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CF23">
      <w:pPr>
        <w:keepNext w:val="0"/>
        <w:keepLines w:val="0"/>
        <w:widowControl/>
        <w:suppressLineNumbers w:val="0"/>
        <w:jc w:val="center"/>
        <w:outlineLvl w:val="0"/>
        <w:rPr>
          <w:rFonts w:hint="eastAsia" w:ascii="宋体" w:hAnsi="宋体" w:eastAsia="宋体" w:cs="宋体"/>
          <w:b/>
          <w:bCs/>
          <w:color w:val="auto"/>
          <w:kern w:val="0"/>
          <w:sz w:val="48"/>
          <w:szCs w:val="48"/>
          <w:highlight w:val="none"/>
          <w:lang w:val="en-US" w:eastAsia="zh-CN" w:bidi="ar"/>
        </w:rPr>
      </w:pPr>
      <w:bookmarkStart w:id="0" w:name="_Toc930"/>
      <w:bookmarkStart w:id="1" w:name="_Toc32759"/>
      <w:r>
        <w:rPr>
          <w:rFonts w:hint="eastAsia" w:ascii="宋体" w:hAnsi="宋体" w:eastAsia="宋体" w:cs="宋体"/>
          <w:b/>
          <w:bCs/>
          <w:color w:val="auto"/>
          <w:kern w:val="0"/>
          <w:sz w:val="48"/>
          <w:szCs w:val="48"/>
          <w:highlight w:val="none"/>
          <w:lang w:val="en-US" w:eastAsia="zh-CN" w:bidi="ar"/>
        </w:rPr>
        <w:t>渑池县人民医院口腔科义齿类耗材配送</w:t>
      </w:r>
      <w:bookmarkEnd w:id="0"/>
      <w:bookmarkEnd w:id="1"/>
    </w:p>
    <w:p w14:paraId="6FEAF84D">
      <w:pPr>
        <w:keepNext w:val="0"/>
        <w:keepLines w:val="0"/>
        <w:widowControl/>
        <w:suppressLineNumbers w:val="0"/>
        <w:jc w:val="center"/>
        <w:outlineLvl w:val="0"/>
        <w:rPr>
          <w:rFonts w:hint="default" w:ascii="宋体" w:hAnsi="宋体" w:eastAsia="宋体" w:cs="宋体"/>
          <w:b/>
          <w:bCs/>
          <w:color w:val="auto"/>
          <w:kern w:val="0"/>
          <w:sz w:val="48"/>
          <w:szCs w:val="48"/>
          <w:highlight w:val="none"/>
          <w:lang w:val="en-US" w:eastAsia="zh-CN" w:bidi="ar"/>
        </w:rPr>
      </w:pPr>
      <w:bookmarkStart w:id="2" w:name="_Toc15644"/>
      <w:bookmarkStart w:id="3" w:name="_Toc21592"/>
      <w:r>
        <w:rPr>
          <w:rFonts w:hint="eastAsia" w:ascii="宋体" w:hAnsi="宋体" w:eastAsia="宋体" w:cs="宋体"/>
          <w:b/>
          <w:bCs/>
          <w:color w:val="auto"/>
          <w:kern w:val="0"/>
          <w:sz w:val="48"/>
          <w:szCs w:val="48"/>
          <w:highlight w:val="none"/>
          <w:lang w:val="en-US" w:eastAsia="zh-CN" w:bidi="ar"/>
        </w:rPr>
        <w:t>企业遴选项目</w:t>
      </w:r>
      <w:bookmarkEnd w:id="2"/>
      <w:bookmarkEnd w:id="3"/>
      <w:r>
        <w:rPr>
          <w:rFonts w:hint="eastAsia" w:ascii="宋体" w:hAnsi="宋体" w:cs="宋体"/>
          <w:b/>
          <w:bCs/>
          <w:color w:val="auto"/>
          <w:kern w:val="0"/>
          <w:sz w:val="48"/>
          <w:szCs w:val="48"/>
          <w:highlight w:val="none"/>
          <w:lang w:val="en-US" w:eastAsia="zh-CN" w:bidi="ar"/>
        </w:rPr>
        <w:t>（二次）</w:t>
      </w:r>
    </w:p>
    <w:p w14:paraId="3BE4F970">
      <w:pPr>
        <w:keepNext w:val="0"/>
        <w:keepLines w:val="0"/>
        <w:widowControl/>
        <w:suppressLineNumbers w:val="0"/>
        <w:ind w:firstLine="3092" w:firstLineChars="1100"/>
        <w:jc w:val="left"/>
        <w:rPr>
          <w:rFonts w:hint="eastAsia" w:ascii="宋体" w:hAnsi="宋体" w:eastAsia="宋体" w:cs="宋体"/>
          <w:b/>
          <w:bCs/>
          <w:color w:val="auto"/>
          <w:kern w:val="0"/>
          <w:sz w:val="28"/>
          <w:szCs w:val="28"/>
          <w:highlight w:val="none"/>
          <w:lang w:val="en-US" w:eastAsia="zh-CN" w:bidi="ar"/>
        </w:rPr>
      </w:pPr>
    </w:p>
    <w:p w14:paraId="55DCE78B">
      <w:pPr>
        <w:keepNext w:val="0"/>
        <w:keepLines w:val="0"/>
        <w:widowControl/>
        <w:suppressLineNumbers w:val="0"/>
        <w:spacing w:line="360" w:lineRule="auto"/>
        <w:ind w:firstLine="3092" w:firstLineChars="1100"/>
        <w:jc w:val="left"/>
        <w:rPr>
          <w:rFonts w:hint="eastAsia" w:ascii="宋体" w:hAnsi="宋体" w:eastAsia="宋体" w:cs="宋体"/>
          <w:b/>
          <w:bCs/>
          <w:color w:val="auto"/>
          <w:kern w:val="0"/>
          <w:sz w:val="28"/>
          <w:szCs w:val="28"/>
          <w:highlight w:val="none"/>
          <w:lang w:val="en-US" w:eastAsia="zh-CN" w:bidi="ar"/>
        </w:rPr>
      </w:pPr>
    </w:p>
    <w:p w14:paraId="732E5ECE">
      <w:pPr>
        <w:keepNext w:val="0"/>
        <w:keepLines w:val="0"/>
        <w:widowControl/>
        <w:suppressLineNumbers w:val="0"/>
        <w:spacing w:line="360" w:lineRule="auto"/>
        <w:ind w:firstLine="3092" w:firstLineChars="1100"/>
        <w:jc w:val="left"/>
        <w:rPr>
          <w:rFonts w:hint="eastAsia" w:ascii="宋体" w:hAnsi="宋体" w:eastAsia="宋体" w:cs="宋体"/>
          <w:b/>
          <w:bCs/>
          <w:color w:val="auto"/>
          <w:kern w:val="0"/>
          <w:sz w:val="28"/>
          <w:szCs w:val="28"/>
          <w:highlight w:val="none"/>
          <w:lang w:val="en-US" w:eastAsia="zh-CN" w:bidi="ar"/>
        </w:rPr>
      </w:pPr>
    </w:p>
    <w:p w14:paraId="28386073">
      <w:pPr>
        <w:keepNext w:val="0"/>
        <w:keepLines w:val="0"/>
        <w:widowControl/>
        <w:suppressLineNumbers w:val="0"/>
        <w:spacing w:line="360" w:lineRule="auto"/>
        <w:ind w:firstLine="3092" w:firstLineChars="1100"/>
        <w:jc w:val="left"/>
        <w:outlineLvl w:val="0"/>
        <w:rPr>
          <w:rFonts w:hint="eastAsia" w:ascii="宋体" w:hAnsi="宋体" w:eastAsia="宋体" w:cs="宋体"/>
          <w:b/>
          <w:bCs/>
          <w:color w:val="auto"/>
          <w:kern w:val="0"/>
          <w:sz w:val="28"/>
          <w:szCs w:val="28"/>
          <w:highlight w:val="none"/>
          <w:lang w:val="en-US" w:eastAsia="zh-CN" w:bidi="ar"/>
        </w:rPr>
      </w:pPr>
      <w:bookmarkStart w:id="4" w:name="_Toc14400"/>
      <w:bookmarkStart w:id="5" w:name="_Toc3622"/>
      <w:r>
        <w:rPr>
          <w:rFonts w:hint="eastAsia" w:ascii="宋体" w:hAnsi="宋体" w:eastAsia="宋体" w:cs="宋体"/>
          <w:b/>
          <w:bCs/>
          <w:color w:val="auto"/>
          <w:kern w:val="0"/>
          <w:sz w:val="28"/>
          <w:szCs w:val="28"/>
          <w:highlight w:val="none"/>
          <w:lang w:val="en-US" w:eastAsia="zh-CN" w:bidi="ar"/>
        </w:rPr>
        <w:t>项目编号：渑池竞磋采购-202</w:t>
      </w:r>
      <w:r>
        <w:rPr>
          <w:rFonts w:hint="eastAsia" w:ascii="宋体" w:hAnsi="宋体" w:cs="宋体"/>
          <w:b/>
          <w:bCs/>
          <w:color w:val="auto"/>
          <w:kern w:val="0"/>
          <w:sz w:val="28"/>
          <w:szCs w:val="28"/>
          <w:highlight w:val="none"/>
          <w:lang w:val="en-US" w:eastAsia="zh-CN" w:bidi="ar"/>
        </w:rPr>
        <w:t>5</w:t>
      </w:r>
      <w:r>
        <w:rPr>
          <w:rFonts w:hint="eastAsia" w:ascii="宋体" w:hAnsi="宋体" w:eastAsia="宋体" w:cs="宋体"/>
          <w:b/>
          <w:bCs/>
          <w:color w:val="auto"/>
          <w:kern w:val="0"/>
          <w:sz w:val="28"/>
          <w:szCs w:val="28"/>
          <w:highlight w:val="none"/>
          <w:lang w:val="en-US" w:eastAsia="zh-CN" w:bidi="ar"/>
        </w:rPr>
        <w:t>-</w:t>
      </w:r>
      <w:bookmarkEnd w:id="4"/>
      <w:bookmarkEnd w:id="5"/>
      <w:r>
        <w:rPr>
          <w:rFonts w:hint="eastAsia" w:ascii="宋体" w:hAnsi="宋体" w:cs="宋体"/>
          <w:b/>
          <w:bCs/>
          <w:color w:val="auto"/>
          <w:kern w:val="0"/>
          <w:sz w:val="28"/>
          <w:szCs w:val="28"/>
          <w:highlight w:val="none"/>
          <w:lang w:val="en-US" w:eastAsia="zh-CN" w:bidi="ar"/>
        </w:rPr>
        <w:t>2</w:t>
      </w:r>
    </w:p>
    <w:p w14:paraId="7D2CB9AE">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              MCGZ[2025]021-ZC014</w:t>
      </w:r>
    </w:p>
    <w:p w14:paraId="13CB9AE8">
      <w:pPr>
        <w:keepNext w:val="0"/>
        <w:keepLines w:val="0"/>
        <w:widowControl/>
        <w:suppressLineNumbers w:val="0"/>
        <w:jc w:val="center"/>
        <w:outlineLvl w:val="0"/>
        <w:rPr>
          <w:rFonts w:hint="eastAsia" w:ascii="宋体" w:hAnsi="宋体" w:eastAsia="宋体" w:cs="宋体"/>
          <w:b/>
          <w:bCs/>
          <w:color w:val="auto"/>
          <w:kern w:val="0"/>
          <w:sz w:val="28"/>
          <w:szCs w:val="28"/>
          <w:highlight w:val="none"/>
          <w:lang w:val="en-US" w:eastAsia="zh-CN" w:bidi="ar"/>
        </w:rPr>
      </w:pPr>
    </w:p>
    <w:p w14:paraId="1D901DC4">
      <w:pPr>
        <w:keepNext w:val="0"/>
        <w:keepLines w:val="0"/>
        <w:widowControl/>
        <w:suppressLineNumbers w:val="0"/>
        <w:jc w:val="center"/>
        <w:outlineLvl w:val="0"/>
        <w:rPr>
          <w:rFonts w:hint="eastAsia" w:ascii="宋体" w:hAnsi="宋体" w:eastAsia="宋体" w:cs="宋体"/>
          <w:b/>
          <w:bCs/>
          <w:color w:val="0000FF"/>
          <w:kern w:val="0"/>
          <w:sz w:val="28"/>
          <w:szCs w:val="28"/>
          <w:highlight w:val="none"/>
          <w:lang w:val="en-US" w:eastAsia="zh-CN" w:bidi="ar"/>
        </w:rPr>
      </w:pPr>
    </w:p>
    <w:p w14:paraId="4ADDFBBE">
      <w:pPr>
        <w:keepNext w:val="0"/>
        <w:keepLines w:val="0"/>
        <w:widowControl/>
        <w:suppressLineNumbers w:val="0"/>
        <w:jc w:val="center"/>
        <w:rPr>
          <w:rFonts w:hint="eastAsia" w:ascii="宋体" w:hAnsi="宋体" w:eastAsia="宋体" w:cs="宋体"/>
          <w:b/>
          <w:bCs/>
          <w:color w:val="auto"/>
          <w:kern w:val="0"/>
          <w:sz w:val="52"/>
          <w:szCs w:val="52"/>
          <w:highlight w:val="none"/>
          <w:lang w:val="en-US" w:eastAsia="zh-CN" w:bidi="ar"/>
        </w:rPr>
      </w:pPr>
    </w:p>
    <w:p w14:paraId="4AA5BB07">
      <w:pPr>
        <w:keepNext w:val="0"/>
        <w:keepLines w:val="0"/>
        <w:widowControl/>
        <w:suppressLineNumbers w:val="0"/>
        <w:jc w:val="center"/>
        <w:rPr>
          <w:rFonts w:hint="eastAsia" w:ascii="宋体" w:hAnsi="宋体" w:eastAsia="宋体" w:cs="宋体"/>
          <w:color w:val="auto"/>
          <w:sz w:val="21"/>
          <w:szCs w:val="24"/>
          <w:highlight w:val="none"/>
        </w:rPr>
      </w:pPr>
      <w:r>
        <w:rPr>
          <w:rFonts w:hint="eastAsia" w:ascii="宋体" w:hAnsi="宋体" w:eastAsia="宋体" w:cs="宋体"/>
          <w:color w:val="auto"/>
          <w:kern w:val="2"/>
          <w:sz w:val="22"/>
          <w:szCs w:val="22"/>
          <w:highlight w:val="none"/>
          <w:shd w:val="clear" w:color="auto" w:fill="FFFFFF"/>
          <w:lang w:eastAsia="zh-CN"/>
        </w:rPr>
        <w:drawing>
          <wp:anchor distT="0" distB="0" distL="114300" distR="114300" simplePos="0" relativeHeight="251660288" behindDoc="1" locked="0" layoutInCell="1" allowOverlap="1">
            <wp:simplePos x="0" y="0"/>
            <wp:positionH relativeFrom="column">
              <wp:posOffset>1981835</wp:posOffset>
            </wp:positionH>
            <wp:positionV relativeFrom="paragraph">
              <wp:posOffset>1072515</wp:posOffset>
            </wp:positionV>
            <wp:extent cx="2066925" cy="2228850"/>
            <wp:effectExtent l="0" t="0" r="9525" b="0"/>
            <wp:wrapTight wrapText="bothSides">
              <wp:wrapPolygon>
                <wp:start x="0" y="0"/>
                <wp:lineTo x="0" y="21415"/>
                <wp:lineTo x="21500" y="21415"/>
                <wp:lineTo x="21500" y="0"/>
                <wp:lineTo x="0" y="0"/>
              </wp:wrapPolygon>
            </wp:wrapTight>
            <wp:docPr id="4" name="图片 4" descr="992f9bfd8c261eee5121feb4fbd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2f9bfd8c261eee5121feb4fbd4518"/>
                    <pic:cNvPicPr>
                      <a:picLocks noChangeAspect="1"/>
                    </pic:cNvPicPr>
                  </pic:nvPicPr>
                  <pic:blipFill>
                    <a:blip r:embed="rId8"/>
                    <a:stretch>
                      <a:fillRect/>
                    </a:stretch>
                  </pic:blipFill>
                  <pic:spPr>
                    <a:xfrm>
                      <a:off x="0" y="0"/>
                      <a:ext cx="2066925" cy="2228850"/>
                    </a:xfrm>
                    <a:prstGeom prst="rect">
                      <a:avLst/>
                    </a:prstGeom>
                    <a:noFill/>
                    <a:ln>
                      <a:noFill/>
                    </a:ln>
                  </pic:spPr>
                </pic:pic>
              </a:graphicData>
            </a:graphic>
          </wp:anchor>
        </w:drawing>
      </w:r>
      <w:r>
        <w:rPr>
          <w:rFonts w:hint="eastAsia" w:ascii="宋体" w:hAnsi="宋体" w:eastAsia="宋体" w:cs="宋体"/>
          <w:b/>
          <w:bCs/>
          <w:color w:val="auto"/>
          <w:kern w:val="0"/>
          <w:sz w:val="52"/>
          <w:szCs w:val="52"/>
          <w:highlight w:val="none"/>
          <w:lang w:val="en-US" w:eastAsia="zh-CN" w:bidi="ar"/>
        </w:rPr>
        <w:t>竞争性磋商文件</w:t>
      </w:r>
    </w:p>
    <w:p w14:paraId="0934F2AB">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98EAF6C">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BF79059">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2C4827A">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EA2D000">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F91D7DF">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1185AD80">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09762F2D">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2BC242B4">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3FFEC7A8">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14:paraId="78772D17">
      <w:pPr>
        <w:keepNext w:val="0"/>
        <w:keepLines w:val="0"/>
        <w:widowControl/>
        <w:suppressLineNumbers w:val="0"/>
        <w:spacing w:line="360" w:lineRule="auto"/>
        <w:jc w:val="left"/>
        <w:rPr>
          <w:rFonts w:hint="eastAsia" w:ascii="宋体" w:hAnsi="宋体" w:eastAsia="宋体" w:cs="宋体"/>
          <w:b/>
          <w:bCs/>
          <w:color w:val="auto"/>
          <w:kern w:val="0"/>
          <w:sz w:val="28"/>
          <w:szCs w:val="28"/>
          <w:highlight w:val="none"/>
          <w:lang w:val="en-US" w:eastAsia="zh-CN" w:bidi="ar"/>
        </w:rPr>
      </w:pPr>
    </w:p>
    <w:p w14:paraId="351AB303">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6F10D9F4">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52A01113">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p>
    <w:p w14:paraId="27028A46">
      <w:pPr>
        <w:keepNext w:val="0"/>
        <w:keepLines w:val="0"/>
        <w:widowControl/>
        <w:suppressLineNumbers w:val="0"/>
        <w:spacing w:line="360" w:lineRule="auto"/>
        <w:ind w:firstLine="3112" w:firstLineChars="1000"/>
        <w:jc w:val="both"/>
        <w:outlineLvl w:val="9"/>
        <w:rPr>
          <w:rFonts w:hint="eastAsia" w:ascii="宋体" w:hAnsi="宋体" w:eastAsia="宋体" w:cs="宋体"/>
          <w:color w:val="auto"/>
          <w:highlight w:val="none"/>
        </w:rPr>
      </w:pPr>
      <w:bookmarkStart w:id="6" w:name="_Toc31323"/>
      <w:r>
        <w:rPr>
          <w:rFonts w:hint="eastAsia" w:ascii="宋体" w:hAnsi="宋体" w:eastAsia="宋体" w:cs="宋体"/>
          <w:b/>
          <w:bCs/>
          <w:color w:val="auto"/>
          <w:kern w:val="0"/>
          <w:sz w:val="31"/>
          <w:szCs w:val="31"/>
          <w:highlight w:val="none"/>
          <w:lang w:val="en-US" w:eastAsia="zh-CN" w:bidi="ar"/>
        </w:rPr>
        <w:t>采购人：</w:t>
      </w:r>
      <w:bookmarkEnd w:id="6"/>
      <w:r>
        <w:rPr>
          <w:rFonts w:hint="eastAsia" w:ascii="宋体" w:hAnsi="宋体" w:eastAsia="宋体" w:cs="宋体"/>
          <w:b/>
          <w:bCs/>
          <w:color w:val="auto"/>
          <w:kern w:val="0"/>
          <w:sz w:val="31"/>
          <w:szCs w:val="31"/>
          <w:highlight w:val="none"/>
          <w:lang w:val="en-US" w:eastAsia="zh-CN" w:bidi="ar"/>
        </w:rPr>
        <w:t>渑池县人民医院</w:t>
      </w:r>
    </w:p>
    <w:p w14:paraId="306805C5">
      <w:pPr>
        <w:keepNext w:val="0"/>
        <w:keepLines w:val="0"/>
        <w:widowControl/>
        <w:suppressLineNumbers w:val="0"/>
        <w:spacing w:line="360" w:lineRule="auto"/>
        <w:ind w:firstLine="2801" w:firstLineChars="900"/>
        <w:jc w:val="both"/>
        <w:outlineLvl w:val="9"/>
        <w:rPr>
          <w:rFonts w:hint="eastAsia" w:ascii="宋体" w:hAnsi="宋体" w:eastAsia="宋体" w:cs="宋体"/>
          <w:color w:val="auto"/>
          <w:highlight w:val="none"/>
        </w:rPr>
      </w:pPr>
      <w:bookmarkStart w:id="7" w:name="_Toc14251"/>
      <w:r>
        <w:rPr>
          <w:rFonts w:hint="eastAsia" w:ascii="宋体" w:hAnsi="宋体" w:eastAsia="宋体" w:cs="宋体"/>
          <w:b/>
          <w:bCs/>
          <w:color w:val="auto"/>
          <w:kern w:val="0"/>
          <w:sz w:val="31"/>
          <w:szCs w:val="31"/>
          <w:highlight w:val="none"/>
          <w:lang w:val="en-US" w:eastAsia="zh-CN" w:bidi="ar"/>
        </w:rPr>
        <w:t>代理机构：河南省中塍建设管理有限公司</w:t>
      </w:r>
      <w:bookmarkEnd w:id="7"/>
    </w:p>
    <w:p w14:paraId="472FD292">
      <w:pPr>
        <w:keepNext w:val="0"/>
        <w:keepLines w:val="0"/>
        <w:widowControl/>
        <w:suppressLineNumbers w:val="0"/>
        <w:spacing w:line="360" w:lineRule="auto"/>
        <w:ind w:firstLine="3112" w:firstLineChars="1000"/>
        <w:jc w:val="both"/>
        <w:rPr>
          <w:rFonts w:hint="eastAsia" w:ascii="宋体" w:hAnsi="宋体" w:eastAsia="宋体" w:cs="宋体"/>
          <w:b/>
          <w:bCs/>
          <w:color w:val="auto"/>
          <w:kern w:val="0"/>
          <w:sz w:val="31"/>
          <w:szCs w:val="31"/>
          <w:highlight w:val="none"/>
          <w:lang w:val="en-US" w:eastAsia="zh-CN" w:bidi="ar"/>
        </w:rPr>
      </w:pPr>
      <w:r>
        <w:rPr>
          <w:rFonts w:hint="eastAsia" w:ascii="宋体" w:hAnsi="宋体" w:eastAsia="宋体" w:cs="宋体"/>
          <w:b/>
          <w:bCs/>
          <w:color w:val="auto"/>
          <w:kern w:val="0"/>
          <w:sz w:val="31"/>
          <w:szCs w:val="31"/>
          <w:highlight w:val="none"/>
          <w:lang w:val="en-US" w:eastAsia="zh-CN" w:bidi="ar"/>
        </w:rPr>
        <w:t>时间：二〇二五年一月</w:t>
      </w:r>
    </w:p>
    <w:p w14:paraId="4074C735">
      <w:pPr>
        <w:spacing w:before="48"/>
        <w:ind w:left="0" w:right="1157" w:firstLine="0"/>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start="1"/>
          <w:cols w:space="720" w:num="1"/>
        </w:sectPr>
      </w:pPr>
    </w:p>
    <w:p w14:paraId="7DF41D6A">
      <w:pPr>
        <w:spacing w:before="48"/>
        <w:ind w:left="0" w:right="1157" w:firstLine="0"/>
        <w:jc w:val="center"/>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目</w:t>
      </w:r>
      <w:r>
        <w:rPr>
          <w:rFonts w:hint="eastAsia" w:ascii="宋体" w:hAnsi="宋体" w:cs="宋体"/>
          <w:b/>
          <w:bCs/>
          <w:color w:val="000000"/>
          <w:sz w:val="40"/>
          <w:szCs w:val="40"/>
          <w:highlight w:val="none"/>
          <w:lang w:val="en-US" w:eastAsia="zh-CN"/>
        </w:rPr>
        <w:t xml:space="preserve">  </w:t>
      </w:r>
      <w:r>
        <w:rPr>
          <w:rFonts w:hint="eastAsia" w:ascii="宋体" w:hAnsi="宋体" w:eastAsia="宋体" w:cs="宋体"/>
          <w:b/>
          <w:bCs/>
          <w:color w:val="000000"/>
          <w:sz w:val="40"/>
          <w:szCs w:val="40"/>
          <w:highlight w:val="none"/>
        </w:rPr>
        <w:t>录</w:t>
      </w:r>
    </w:p>
    <w:sdt>
      <w:sdtPr>
        <w:rPr>
          <w:rFonts w:ascii="宋体" w:hAnsi="宋体" w:eastAsia="宋体" w:cs="Times New Roman"/>
          <w:kern w:val="2"/>
          <w:sz w:val="21"/>
          <w:szCs w:val="24"/>
          <w:lang w:val="en-US" w:eastAsia="zh-CN" w:bidi="ar-SA"/>
        </w:rPr>
        <w:id w:val="147468839"/>
        <w15:color w:val="DBDBDB"/>
        <w:docPartObj>
          <w:docPartGallery w:val="Table of Contents"/>
          <w:docPartUnique/>
        </w:docPartObj>
      </w:sdtPr>
      <w:sdtEndPr>
        <w:rPr>
          <w:rFonts w:ascii="Calibri" w:hAnsi="Calibri" w:eastAsia="宋体" w:cs="Times New Roman"/>
          <w:kern w:val="2"/>
          <w:sz w:val="21"/>
          <w:szCs w:val="22"/>
          <w:lang w:val="en-US" w:eastAsia="zh-CN" w:bidi="ar-SA"/>
        </w:rPr>
      </w:sdtEndPr>
      <w:sdtContent>
        <w:p w14:paraId="61F4429B">
          <w:pPr>
            <w:spacing w:before="0" w:beforeLines="0" w:after="0" w:afterLines="0" w:line="240" w:lineRule="auto"/>
            <w:ind w:left="0" w:leftChars="0" w:right="0" w:rightChars="0" w:firstLine="0" w:firstLineChars="0"/>
            <w:jc w:val="center"/>
          </w:pPr>
        </w:p>
        <w:p w14:paraId="2496F091">
          <w:pPr>
            <w:pStyle w:val="45"/>
            <w:tabs>
              <w:tab w:val="right" w:leader="dot" w:pos="9026"/>
            </w:tabs>
          </w:pPr>
          <w:r>
            <w:fldChar w:fldCharType="begin"/>
          </w:r>
          <w:r>
            <w:instrText xml:space="preserve">TOC \o "1-1" \h \u </w:instrText>
          </w:r>
          <w:r>
            <w:fldChar w:fldCharType="separate"/>
          </w:r>
        </w:p>
        <w:p w14:paraId="1A780CC7">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_Toc29227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第一章</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_Toc29227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AE043BA">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_Toc31155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第二章</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供应商须知</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_Toc31155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9E16721">
          <w:pPr>
            <w:pStyle w:val="45"/>
            <w:tabs>
              <w:tab w:val="right" w:pos="2800"/>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_Toc23073 </w:instrText>
          </w:r>
          <w:r>
            <w:rPr>
              <w:rFonts w:hint="eastAsia" w:ascii="宋体" w:hAnsi="宋体" w:eastAsia="宋体" w:cs="宋体"/>
              <w:sz w:val="28"/>
              <w:szCs w:val="28"/>
            </w:rPr>
            <w:fldChar w:fldCharType="separate"/>
          </w:r>
          <w:r>
            <w:rPr>
              <w:rFonts w:hint="eastAsia" w:ascii="宋体" w:hAnsi="宋体" w:eastAsia="宋体" w:cs="宋体"/>
              <w:sz w:val="28"/>
              <w:szCs w:val="48"/>
              <w:highlight w:val="none"/>
            </w:rPr>
            <w:t>第三章</w:t>
          </w:r>
          <w:r>
            <w:rPr>
              <w:rFonts w:hint="eastAsia" w:ascii="宋体" w:hAnsi="宋体" w:eastAsia="宋体" w:cs="宋体"/>
              <w:sz w:val="28"/>
              <w:szCs w:val="48"/>
              <w:highlight w:val="none"/>
              <w:lang w:val="en-US" w:eastAsia="zh-CN"/>
            </w:rPr>
            <w:t xml:space="preserve">  </w:t>
          </w:r>
          <w:r>
            <w:rPr>
              <w:rFonts w:hint="eastAsia" w:ascii="宋体" w:hAnsi="宋体" w:eastAsia="宋体" w:cs="宋体"/>
              <w:sz w:val="28"/>
              <w:szCs w:val="48"/>
              <w:highlight w:val="none"/>
            </w:rPr>
            <w:t>评标办法</w:t>
          </w:r>
          <w:r>
            <w:rPr>
              <w:rFonts w:hint="eastAsia" w:ascii="宋体" w:hAnsi="宋体" w:eastAsia="宋体" w:cs="宋体"/>
              <w:sz w:val="28"/>
              <w:szCs w:val="48"/>
              <w:highlight w:val="none"/>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_Toc23073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1E414CB">
          <w:pPr>
            <w:pStyle w:val="45"/>
            <w:tabs>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_Toc6840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rPr>
            <w:t>合同主要条款及格式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_Toc6840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7BD878C">
          <w:pPr>
            <w:pStyle w:val="45"/>
            <w:tabs>
              <w:tab w:val="right" w:leader="dot" w:pos="902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_Toc7808 </w:instrText>
          </w:r>
          <w:r>
            <w:rPr>
              <w:rFonts w:hint="eastAsia" w:ascii="宋体" w:hAnsi="宋体" w:eastAsia="宋体" w:cs="宋体"/>
              <w:sz w:val="28"/>
              <w:szCs w:val="28"/>
            </w:rPr>
            <w:fldChar w:fldCharType="separate"/>
          </w:r>
          <w:r>
            <w:rPr>
              <w:rFonts w:hint="eastAsia" w:ascii="宋体" w:hAnsi="宋体" w:eastAsia="宋体" w:cs="宋体"/>
              <w:bCs/>
              <w:kern w:val="2"/>
              <w:sz w:val="28"/>
              <w:szCs w:val="44"/>
              <w:lang w:val="en-US" w:eastAsia="zh-CN" w:bidi="ar-SA"/>
            </w:rPr>
            <w:t xml:space="preserve">第五章  </w:t>
          </w:r>
          <w:r>
            <w:rPr>
              <w:rFonts w:hint="eastAsia" w:ascii="宋体" w:hAnsi="宋体" w:eastAsia="宋体" w:cs="宋体"/>
              <w:bCs/>
              <w:kern w:val="2"/>
              <w:sz w:val="28"/>
              <w:szCs w:val="44"/>
              <w:highlight w:val="none"/>
              <w:lang w:val="en-US" w:eastAsia="zh-CN" w:bidi="ar-SA"/>
            </w:rPr>
            <w:t>服务要求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_Toc7808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F6FC16C">
          <w:pPr>
            <w:pStyle w:val="45"/>
            <w:tabs>
              <w:tab w:val="right" w:leader="dot" w:pos="902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_Toc16625 </w:instrText>
          </w:r>
          <w:r>
            <w:rPr>
              <w:rFonts w:hint="eastAsia" w:ascii="宋体" w:hAnsi="宋体" w:eastAsia="宋体" w:cs="宋体"/>
              <w:sz w:val="28"/>
              <w:szCs w:val="28"/>
            </w:rPr>
            <w:fldChar w:fldCharType="separate"/>
          </w:r>
          <w:r>
            <w:rPr>
              <w:rFonts w:hint="eastAsia" w:ascii="宋体" w:hAnsi="宋体" w:eastAsia="宋体" w:cs="宋体"/>
              <w:bCs/>
              <w:sz w:val="28"/>
              <w:szCs w:val="48"/>
              <w:highlight w:val="none"/>
              <w:lang w:val="en-US" w:eastAsia="zh-CN"/>
            </w:rPr>
            <w:t>第六章  电子化响应文件内容及格式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_Toc16625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562E8BC">
          <w:pPr>
            <w:pStyle w:val="45"/>
            <w:tabs>
              <w:tab w:val="right" w:leader="dot" w:pos="9026"/>
            </w:tabs>
          </w:pPr>
        </w:p>
        <w:p w14:paraId="6218D582">
          <w:pPr>
            <w:pStyle w:val="2"/>
            <w:rPr>
              <w:rFonts w:ascii="Calibri" w:hAnsi="Calibri" w:eastAsia="宋体" w:cs="Times New Roman"/>
              <w:kern w:val="2"/>
              <w:sz w:val="21"/>
              <w:szCs w:val="22"/>
              <w:lang w:val="en-US" w:eastAsia="zh-CN" w:bidi="ar-SA"/>
            </w:rPr>
          </w:pPr>
          <w:r>
            <w:fldChar w:fldCharType="end"/>
          </w:r>
        </w:p>
      </w:sdtContent>
    </w:sdt>
    <w:p w14:paraId="6182CB3A">
      <w:pPr>
        <w:pStyle w:val="2"/>
        <w:rPr>
          <w:rFonts w:ascii="Calibri" w:hAnsi="Calibri" w:eastAsia="宋体" w:cs="Times New Roman"/>
          <w:kern w:val="2"/>
          <w:sz w:val="21"/>
          <w:szCs w:val="22"/>
          <w:lang w:val="en-US" w:eastAsia="zh-CN" w:bidi="ar-SA"/>
        </w:rPr>
        <w:sectPr>
          <w:footerReference r:id="rId3" w:type="default"/>
          <w:pgSz w:w="11906" w:h="16838"/>
          <w:pgMar w:top="1803" w:right="1440" w:bottom="1803" w:left="1440" w:header="720" w:footer="720" w:gutter="0"/>
          <w:pgNumType w:fmt="decimal"/>
          <w:cols w:space="720" w:num="1"/>
          <w:docGrid w:type="lines" w:linePitch="312" w:charSpace="0"/>
        </w:sectPr>
      </w:pPr>
    </w:p>
    <w:p w14:paraId="70A89F67">
      <w:pPr>
        <w:pStyle w:val="3"/>
        <w:tabs>
          <w:tab w:val="left" w:pos="1125"/>
        </w:tabs>
        <w:rPr>
          <w:highlight w:val="none"/>
        </w:rPr>
      </w:pPr>
      <w:bookmarkStart w:id="8" w:name="_Toc9875"/>
      <w:bookmarkStart w:id="9" w:name="_Toc9961"/>
      <w:bookmarkStart w:id="10" w:name="_Toc29227"/>
      <w:r>
        <w:rPr>
          <w:highlight w:val="none"/>
        </w:rPr>
        <w:t>第一章</w:t>
      </w:r>
      <w:r>
        <w:rPr>
          <w:highlight w:val="none"/>
        </w:rPr>
        <w:tab/>
      </w:r>
      <w:r>
        <w:rPr>
          <w:highlight w:val="none"/>
        </w:rPr>
        <w:t>竞争性磋商公告</w:t>
      </w:r>
      <w:bookmarkEnd w:id="8"/>
      <w:bookmarkEnd w:id="9"/>
      <w:bookmarkEnd w:id="10"/>
    </w:p>
    <w:p w14:paraId="2E065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渑池县人民医院口腔科义齿类耗材配送企业遴选项目</w:t>
      </w:r>
      <w:r>
        <w:rPr>
          <w:rFonts w:hint="eastAsia" w:ascii="宋体" w:hAnsi="宋体" w:cs="宋体"/>
          <w:color w:val="000000"/>
          <w:kern w:val="0"/>
          <w:sz w:val="24"/>
          <w:szCs w:val="24"/>
          <w:highlight w:val="none"/>
          <w:lang w:val="en-US" w:eastAsia="zh-CN"/>
        </w:rPr>
        <w:t>（二次）</w:t>
      </w:r>
      <w:r>
        <w:rPr>
          <w:rFonts w:hint="eastAsia" w:ascii="宋体" w:hAnsi="宋体" w:cs="宋体"/>
          <w:kern w:val="0"/>
          <w:sz w:val="24"/>
          <w:szCs w:val="24"/>
          <w:highlight w:val="none"/>
        </w:rPr>
        <w:t>的潜在</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应在三门峡市公共资源交易中心网（网址：http://gzjy.smx.gov.cn/）获取磋商文件，</w:t>
      </w:r>
      <w:r>
        <w:rPr>
          <w:rFonts w:hint="eastAsia" w:ascii="宋体" w:hAnsi="宋体" w:cs="宋体"/>
          <w:color w:val="000000"/>
          <w:kern w:val="0"/>
          <w:sz w:val="24"/>
          <w:szCs w:val="24"/>
          <w:highlight w:val="none"/>
        </w:rPr>
        <w:t>并于</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lang w:eastAsia="zh-CN"/>
        </w:rPr>
        <w:t>日08时20分</w:t>
      </w:r>
      <w:r>
        <w:rPr>
          <w:rFonts w:hint="eastAsia" w:ascii="宋体" w:hAnsi="宋体" w:cs="宋体"/>
          <w:color w:val="000000"/>
          <w:kern w:val="0"/>
          <w:sz w:val="24"/>
          <w:szCs w:val="24"/>
          <w:highlight w:val="none"/>
        </w:rPr>
        <w:t>（北京时间）前递交</w:t>
      </w:r>
      <w:r>
        <w:rPr>
          <w:rFonts w:hint="eastAsia" w:ascii="宋体" w:hAnsi="宋体" w:cs="宋体"/>
          <w:color w:val="000000"/>
          <w:kern w:val="0"/>
          <w:sz w:val="24"/>
          <w:szCs w:val="24"/>
          <w:highlight w:val="none"/>
          <w:lang w:val="en-US" w:eastAsia="zh-CN"/>
        </w:rPr>
        <w:t>磋商</w:t>
      </w:r>
      <w:r>
        <w:rPr>
          <w:rFonts w:hint="eastAsia" w:ascii="宋体" w:hAnsi="宋体" w:cs="宋体"/>
          <w:color w:val="000000"/>
          <w:kern w:val="0"/>
          <w:sz w:val="24"/>
          <w:szCs w:val="24"/>
          <w:highlight w:val="none"/>
        </w:rPr>
        <w:t>文件。</w:t>
      </w:r>
    </w:p>
    <w:p w14:paraId="22BBB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color w:val="000000"/>
          <w:kern w:val="0"/>
          <w:sz w:val="24"/>
          <w:szCs w:val="24"/>
          <w:highlight w:val="none"/>
        </w:rPr>
      </w:pPr>
      <w:bookmarkStart w:id="11" w:name="_Toc14291"/>
      <w:r>
        <w:rPr>
          <w:rFonts w:hint="eastAsia" w:ascii="宋体" w:hAnsi="宋体" w:cs="宋体"/>
          <w:color w:val="000000"/>
          <w:kern w:val="0"/>
          <w:sz w:val="24"/>
          <w:szCs w:val="24"/>
          <w:highlight w:val="none"/>
        </w:rPr>
        <w:t>一、项目基本情况：</w:t>
      </w:r>
      <w:bookmarkEnd w:id="11"/>
    </w:p>
    <w:p w14:paraId="141D14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1、项目编号：</w:t>
      </w:r>
      <w:r>
        <w:rPr>
          <w:rFonts w:hint="eastAsia" w:ascii="宋体" w:hAnsi="宋体" w:cs="宋体"/>
          <w:color w:val="000000"/>
          <w:kern w:val="0"/>
          <w:sz w:val="24"/>
          <w:szCs w:val="24"/>
          <w:highlight w:val="none"/>
          <w:lang w:val="en-US" w:eastAsia="zh-CN"/>
        </w:rPr>
        <w:t>渑池竞磋采购-2025-2、MCGZ[2025]021-ZC014</w:t>
      </w:r>
    </w:p>
    <w:p w14:paraId="71B3F2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rPr>
        <w:t>2、项目名称：</w:t>
      </w:r>
      <w:bookmarkStart w:id="126" w:name="_GoBack"/>
      <w:bookmarkEnd w:id="126"/>
      <w:r>
        <w:rPr>
          <w:rFonts w:hint="eastAsia" w:ascii="宋体" w:hAnsi="宋体" w:cs="宋体"/>
          <w:color w:val="000000"/>
          <w:kern w:val="0"/>
          <w:sz w:val="24"/>
          <w:szCs w:val="24"/>
          <w:highlight w:val="none"/>
          <w:lang w:eastAsia="zh-CN"/>
        </w:rPr>
        <w:t>渑池县人民医院口腔科义齿类耗材配送企业遴选项目</w:t>
      </w:r>
      <w:r>
        <w:rPr>
          <w:rFonts w:hint="eastAsia" w:ascii="宋体" w:hAnsi="宋体" w:cs="宋体"/>
          <w:color w:val="000000"/>
          <w:kern w:val="0"/>
          <w:sz w:val="24"/>
          <w:szCs w:val="24"/>
          <w:highlight w:val="none"/>
          <w:lang w:val="en-US" w:eastAsia="zh-CN"/>
        </w:rPr>
        <w:t>（二次）</w:t>
      </w:r>
    </w:p>
    <w:p w14:paraId="23CAF0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3、采购方式：竞争性磋商</w:t>
      </w:r>
    </w:p>
    <w:p w14:paraId="26607A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eastAsia="zh-CN"/>
        </w:rPr>
      </w:pPr>
      <w:r>
        <w:rPr>
          <w:rFonts w:hint="eastAsia" w:ascii="宋体" w:hAnsi="宋体" w:cs="宋体"/>
          <w:kern w:val="0"/>
          <w:sz w:val="24"/>
          <w:szCs w:val="24"/>
          <w:highlight w:val="none"/>
        </w:rPr>
        <w:t>4、预算金额：</w:t>
      </w:r>
      <w:r>
        <w:rPr>
          <w:rFonts w:hint="eastAsia" w:ascii="宋体" w:hAnsi="宋体" w:cs="宋体"/>
          <w:color w:val="000000"/>
          <w:kern w:val="0"/>
          <w:sz w:val="24"/>
          <w:szCs w:val="24"/>
          <w:highlight w:val="none"/>
          <w:lang w:eastAsia="zh-CN"/>
        </w:rPr>
        <w:t>420000.00元</w:t>
      </w:r>
    </w:p>
    <w:p w14:paraId="099FCC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最高限价：</w:t>
      </w:r>
      <w:r>
        <w:rPr>
          <w:rFonts w:hint="eastAsia" w:ascii="宋体" w:hAnsi="宋体" w:cs="宋体"/>
          <w:color w:val="000000"/>
          <w:kern w:val="0"/>
          <w:sz w:val="24"/>
          <w:szCs w:val="24"/>
          <w:highlight w:val="none"/>
          <w:lang w:eastAsia="zh-CN"/>
        </w:rPr>
        <w:t>420000.00元</w:t>
      </w:r>
    </w:p>
    <w:tbl>
      <w:tblPr>
        <w:tblStyle w:val="2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616"/>
        <w:gridCol w:w="2378"/>
        <w:gridCol w:w="1500"/>
        <w:gridCol w:w="1650"/>
      </w:tblGrid>
      <w:tr w14:paraId="5BD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68" w:type="dxa"/>
            <w:noWrap/>
            <w:vAlign w:val="center"/>
          </w:tcPr>
          <w:p w14:paraId="4E34A4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2616" w:type="dxa"/>
            <w:noWrap/>
            <w:vAlign w:val="center"/>
          </w:tcPr>
          <w:p w14:paraId="4C81D8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包号</w:t>
            </w:r>
          </w:p>
        </w:tc>
        <w:tc>
          <w:tcPr>
            <w:tcW w:w="2378" w:type="dxa"/>
            <w:noWrap/>
            <w:vAlign w:val="center"/>
          </w:tcPr>
          <w:p w14:paraId="45F8A7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包名称</w:t>
            </w:r>
          </w:p>
        </w:tc>
        <w:tc>
          <w:tcPr>
            <w:tcW w:w="1500" w:type="dxa"/>
            <w:noWrap/>
            <w:vAlign w:val="center"/>
          </w:tcPr>
          <w:p w14:paraId="45A5A17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包预算（元）</w:t>
            </w:r>
          </w:p>
        </w:tc>
        <w:tc>
          <w:tcPr>
            <w:tcW w:w="1650" w:type="dxa"/>
            <w:noWrap/>
            <w:vAlign w:val="center"/>
          </w:tcPr>
          <w:p w14:paraId="1810E2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包最高限价（元）</w:t>
            </w:r>
          </w:p>
        </w:tc>
      </w:tr>
      <w:tr w14:paraId="0DA8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8" w:type="dxa"/>
            <w:noWrap/>
            <w:vAlign w:val="center"/>
          </w:tcPr>
          <w:p w14:paraId="587E6A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2616" w:type="dxa"/>
            <w:noWrap/>
            <w:vAlign w:val="center"/>
          </w:tcPr>
          <w:p w14:paraId="552AAA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MCGZ[2025]021-ZC014</w:t>
            </w:r>
          </w:p>
        </w:tc>
        <w:tc>
          <w:tcPr>
            <w:tcW w:w="2378" w:type="dxa"/>
            <w:noWrap/>
            <w:vAlign w:val="center"/>
          </w:tcPr>
          <w:p w14:paraId="4C8BDE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渑池县人民医院口腔科义齿类耗材配送企业遴选项目</w:t>
            </w:r>
            <w:r>
              <w:rPr>
                <w:rFonts w:hint="eastAsia" w:ascii="宋体" w:hAnsi="宋体" w:cs="宋体"/>
                <w:color w:val="000000"/>
                <w:kern w:val="0"/>
                <w:sz w:val="24"/>
                <w:szCs w:val="24"/>
                <w:highlight w:val="none"/>
                <w:lang w:val="en-US" w:eastAsia="zh-CN"/>
              </w:rPr>
              <w:t>（二次）</w:t>
            </w:r>
          </w:p>
        </w:tc>
        <w:tc>
          <w:tcPr>
            <w:tcW w:w="1500" w:type="dxa"/>
            <w:noWrap/>
            <w:vAlign w:val="center"/>
          </w:tcPr>
          <w:p w14:paraId="2D2D07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420000.00</w:t>
            </w:r>
          </w:p>
        </w:tc>
        <w:tc>
          <w:tcPr>
            <w:tcW w:w="1650" w:type="dxa"/>
            <w:noWrap/>
            <w:vAlign w:val="center"/>
          </w:tcPr>
          <w:p w14:paraId="13A1BA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420000.00</w:t>
            </w:r>
          </w:p>
        </w:tc>
      </w:tr>
    </w:tbl>
    <w:p w14:paraId="701531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5、采购需求（包括但不限于标的的名称、数量、简要技术需求或服务要求等）：</w:t>
      </w:r>
    </w:p>
    <w:p w14:paraId="2F53DD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1"/>
          <w:highlight w:val="none"/>
          <w:lang w:eastAsia="zh-CN"/>
        </w:rPr>
      </w:pPr>
      <w:r>
        <w:rPr>
          <w:rFonts w:hint="eastAsia" w:ascii="宋体" w:hAnsi="宋体" w:cs="宋体"/>
          <w:kern w:val="0"/>
          <w:sz w:val="24"/>
          <w:szCs w:val="24"/>
          <w:highlight w:val="none"/>
        </w:rPr>
        <w:t>5.1、</w:t>
      </w:r>
      <w:r>
        <w:rPr>
          <w:rFonts w:hint="eastAsia" w:ascii="宋体" w:hAnsi="宋体" w:cs="宋体"/>
          <w:kern w:val="0"/>
          <w:sz w:val="24"/>
          <w:szCs w:val="24"/>
          <w:highlight w:val="none"/>
          <w:lang w:val="en-US" w:eastAsia="zh-CN"/>
        </w:rPr>
        <w:t>服务内容</w:t>
      </w:r>
      <w:r>
        <w:rPr>
          <w:rFonts w:hint="eastAsia" w:ascii="宋体" w:hAnsi="宋体" w:eastAsia="宋体" w:cs="宋体"/>
          <w:sz w:val="24"/>
          <w:szCs w:val="21"/>
          <w:highlight w:val="none"/>
        </w:rPr>
        <w:t>：</w:t>
      </w: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r>
        <w:rPr>
          <w:rFonts w:hint="eastAsia" w:ascii="宋体" w:hAnsi="宋体" w:cs="宋体"/>
          <w:sz w:val="24"/>
          <w:szCs w:val="28"/>
          <w:highlight w:val="none"/>
        </w:rPr>
        <w:t>具体</w:t>
      </w:r>
      <w:r>
        <w:rPr>
          <w:rFonts w:hint="eastAsia" w:ascii="宋体" w:hAnsi="宋体" w:cs="宋体"/>
          <w:sz w:val="24"/>
          <w:szCs w:val="28"/>
          <w:highlight w:val="none"/>
          <w:lang w:val="en-US" w:eastAsia="zh-CN"/>
        </w:rPr>
        <w:t>服务</w:t>
      </w:r>
      <w:r>
        <w:rPr>
          <w:rFonts w:hint="eastAsia" w:ascii="宋体" w:hAnsi="宋体" w:cs="宋体"/>
          <w:sz w:val="24"/>
          <w:szCs w:val="28"/>
          <w:highlight w:val="none"/>
        </w:rPr>
        <w:t>要求详见竞争性磋商文件</w:t>
      </w:r>
      <w:r>
        <w:rPr>
          <w:rFonts w:hint="eastAsia" w:ascii="宋体" w:hAnsi="宋体" w:eastAsia="宋体" w:cs="宋体"/>
          <w:sz w:val="24"/>
          <w:szCs w:val="21"/>
          <w:highlight w:val="none"/>
        </w:rPr>
        <w:t>。</w:t>
      </w:r>
    </w:p>
    <w:p w14:paraId="7F961F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资金来源：</w:t>
      </w:r>
      <w:r>
        <w:rPr>
          <w:rFonts w:hint="eastAsia" w:ascii="宋体" w:hAnsi="宋体" w:cs="宋体"/>
          <w:kern w:val="0"/>
          <w:sz w:val="24"/>
          <w:szCs w:val="24"/>
          <w:highlight w:val="none"/>
          <w:lang w:val="en-US" w:eastAsia="zh-CN"/>
        </w:rPr>
        <w:t>自筹</w:t>
      </w:r>
      <w:r>
        <w:rPr>
          <w:rFonts w:hint="eastAsia" w:ascii="宋体" w:hAnsi="宋体" w:cs="宋体"/>
          <w:kern w:val="0"/>
          <w:sz w:val="24"/>
          <w:szCs w:val="24"/>
          <w:highlight w:val="none"/>
        </w:rPr>
        <w:t>资金，已落实</w:t>
      </w:r>
    </w:p>
    <w:p w14:paraId="5E02F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5.3</w:t>
      </w:r>
      <w:r>
        <w:rPr>
          <w:rFonts w:hint="eastAsia" w:ascii="宋体" w:hAnsi="宋体" w:cs="宋体"/>
          <w:kern w:val="0"/>
          <w:sz w:val="24"/>
          <w:szCs w:val="24"/>
          <w:highlight w:val="none"/>
          <w:lang w:eastAsia="zh-CN"/>
        </w:rPr>
        <w:t>、项目地点</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渑池县人民医院</w:t>
      </w:r>
    </w:p>
    <w:p w14:paraId="209650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FF0000"/>
          <w:kern w:val="0"/>
          <w:sz w:val="24"/>
          <w:szCs w:val="24"/>
          <w:highlight w:val="none"/>
          <w:lang w:eastAsia="zh-CN"/>
        </w:rPr>
      </w:pPr>
      <w:r>
        <w:rPr>
          <w:rFonts w:hint="eastAsia" w:ascii="宋体" w:hAnsi="宋体" w:cs="宋体"/>
          <w:kern w:val="0"/>
          <w:sz w:val="24"/>
          <w:szCs w:val="24"/>
          <w:highlight w:val="none"/>
        </w:rPr>
        <w:t>5.4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lang w:eastAsia="zh-CN"/>
        </w:rPr>
        <w:t>期限</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三年</w:t>
      </w:r>
    </w:p>
    <w:p w14:paraId="341C6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5.5</w:t>
      </w:r>
      <w:r>
        <w:rPr>
          <w:rFonts w:hint="eastAsia" w:ascii="宋体" w:hAnsi="宋体" w:cs="宋体"/>
          <w:kern w:val="0"/>
          <w:sz w:val="24"/>
          <w:szCs w:val="24"/>
          <w:highlight w:val="none"/>
          <w:lang w:eastAsia="zh-CN"/>
        </w:rPr>
        <w:t>、</w:t>
      </w:r>
      <w:r>
        <w:rPr>
          <w:rFonts w:hint="eastAsia" w:ascii="宋体" w:hAnsi="宋体" w:cs="宋体"/>
          <w:sz w:val="24"/>
          <w:szCs w:val="28"/>
          <w:highlight w:val="none"/>
        </w:rPr>
        <w:t>服务质量：符合国家及行业相关规范和标准</w:t>
      </w:r>
    </w:p>
    <w:p w14:paraId="35FBF3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6、合同履约期限：</w:t>
      </w:r>
      <w:r>
        <w:rPr>
          <w:rFonts w:hint="eastAsia" w:ascii="宋体" w:hAnsi="宋体" w:cs="宋体"/>
          <w:color w:val="000000"/>
          <w:kern w:val="0"/>
          <w:sz w:val="24"/>
          <w:szCs w:val="24"/>
          <w:highlight w:val="none"/>
          <w:lang w:val="en-US" w:eastAsia="zh-CN"/>
        </w:rPr>
        <w:t>三年</w:t>
      </w:r>
    </w:p>
    <w:p w14:paraId="69769A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7、本项目是否接受联合体投标：否</w:t>
      </w:r>
    </w:p>
    <w:p w14:paraId="2F08FC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8、是否接受进口产品：否</w:t>
      </w:r>
    </w:p>
    <w:p w14:paraId="4B1D78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9.是否专门面向中小企业：是</w:t>
      </w:r>
    </w:p>
    <w:p w14:paraId="7B2D63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2" w:name="_Toc18702"/>
      <w:r>
        <w:rPr>
          <w:rFonts w:hint="eastAsia" w:ascii="宋体" w:hAnsi="宋体" w:cs="宋体"/>
          <w:kern w:val="0"/>
          <w:sz w:val="24"/>
          <w:szCs w:val="24"/>
          <w:highlight w:val="none"/>
        </w:rPr>
        <w:t>二、申请人资格要求：</w:t>
      </w:r>
      <w:bookmarkEnd w:id="12"/>
    </w:p>
    <w:p w14:paraId="21E6C8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1、满足《中华人民共和国政府采购法》第二十二条规定；</w:t>
      </w:r>
    </w:p>
    <w:p w14:paraId="3CE65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2、落实政府采购政策满足的资格要求：</w:t>
      </w:r>
    </w:p>
    <w:p w14:paraId="6AB2C7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eastAsia="zh-CN"/>
        </w:rPr>
      </w:pPr>
      <w:r>
        <w:rPr>
          <w:rFonts w:hint="eastAsia" w:ascii="宋体" w:hAnsi="宋体" w:cs="宋体"/>
          <w:kern w:val="0"/>
          <w:sz w:val="24"/>
          <w:szCs w:val="24"/>
          <w:highlight w:val="none"/>
          <w:lang w:eastAsia="zh-CN"/>
        </w:rPr>
        <w:t>本项目专门面向中小微企业采购。</w:t>
      </w:r>
    </w:p>
    <w:p w14:paraId="46C94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3、本项目的特定资格要求</w:t>
      </w:r>
    </w:p>
    <w:p w14:paraId="6C286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3"/>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3.1、供应商须具有具有有效的营业执照；</w:t>
      </w:r>
    </w:p>
    <w:p w14:paraId="4597E0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自行出具本单位无商业贿赂及无不正当竞争行为的承诺书；</w:t>
      </w:r>
    </w:p>
    <w:p w14:paraId="7BC3FC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w:t>
      </w:r>
      <w:bookmarkStart w:id="13" w:name="_Hlk139301777"/>
      <w:r>
        <w:rPr>
          <w:rFonts w:hint="eastAsia" w:ascii="宋体" w:hAnsi="宋体" w:cs="宋体"/>
          <w:kern w:val="0"/>
          <w:sz w:val="24"/>
          <w:szCs w:val="24"/>
          <w:highlight w:val="none"/>
          <w:lang w:val="en-US" w:eastAsia="zh-CN"/>
        </w:rPr>
        <w:t>3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13"/>
    </w:p>
    <w:p w14:paraId="41E9F1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3.4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p w14:paraId="63101C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3.6本项目不接受联合体投标，提供非联合体投标承诺，格式自拟。</w:t>
      </w:r>
    </w:p>
    <w:p w14:paraId="10AE30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注：</w:t>
      </w:r>
      <w:r>
        <w:rPr>
          <w:rFonts w:hint="eastAsia" w:ascii="宋体" w:hAnsi="宋体" w:cs="宋体"/>
          <w:kern w:val="0"/>
          <w:sz w:val="24"/>
          <w:szCs w:val="24"/>
          <w:highlight w:val="none"/>
        </w:rPr>
        <w:t>本项目实行资格后审，资格审查的具体要求见竞争性磋商文件。</w:t>
      </w:r>
    </w:p>
    <w:p w14:paraId="393427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4" w:name="_Toc24604"/>
      <w:r>
        <w:rPr>
          <w:rFonts w:hint="eastAsia" w:ascii="宋体" w:hAnsi="宋体" w:cs="宋体"/>
          <w:kern w:val="0"/>
          <w:sz w:val="24"/>
          <w:szCs w:val="24"/>
          <w:highlight w:val="none"/>
        </w:rPr>
        <w:t>三、获取</w:t>
      </w:r>
      <w:r>
        <w:rPr>
          <w:rFonts w:hint="eastAsia" w:ascii="宋体" w:hAnsi="宋体" w:cs="宋体"/>
          <w:kern w:val="0"/>
          <w:sz w:val="24"/>
          <w:szCs w:val="24"/>
          <w:highlight w:val="none"/>
          <w:lang w:val="en-US" w:eastAsia="zh-CN"/>
        </w:rPr>
        <w:t>采购</w:t>
      </w:r>
      <w:r>
        <w:rPr>
          <w:rFonts w:hint="eastAsia" w:ascii="宋体" w:hAnsi="宋体" w:cs="宋体"/>
          <w:kern w:val="0"/>
          <w:sz w:val="24"/>
          <w:szCs w:val="24"/>
          <w:highlight w:val="none"/>
        </w:rPr>
        <w:t>文件：</w:t>
      </w:r>
      <w:bookmarkEnd w:id="14"/>
    </w:p>
    <w:p w14:paraId="1427C8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1、</w:t>
      </w:r>
      <w:r>
        <w:rPr>
          <w:rFonts w:ascii="宋体" w:hAnsi="宋体" w:cs="宋体"/>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23</w:t>
      </w:r>
      <w:r>
        <w:rPr>
          <w:rFonts w:hint="eastAsia" w:ascii="宋体" w:hAnsi="宋体" w:cs="宋体"/>
          <w:color w:val="000000"/>
          <w:kern w:val="0"/>
          <w:sz w:val="24"/>
          <w:szCs w:val="24"/>
          <w:highlight w:val="none"/>
          <w:lang w:eastAsia="zh-CN"/>
        </w:rPr>
        <w:t>日至2025年</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月</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lang w:eastAsia="zh-CN"/>
        </w:rPr>
        <w:t>日，</w:t>
      </w:r>
      <w:r>
        <w:rPr>
          <w:rFonts w:hint="eastAsia" w:ascii="宋体" w:hAnsi="宋体" w:cs="宋体"/>
          <w:color w:val="000000"/>
          <w:kern w:val="0"/>
          <w:sz w:val="24"/>
          <w:szCs w:val="24"/>
          <w:highlight w:val="none"/>
          <w:lang w:val="en-US" w:eastAsia="zh-CN"/>
        </w:rPr>
        <w:t>每天上午00:00至12:00，下午12:00至23:59（北京时间，法定节假日除外。）</w:t>
      </w:r>
    </w:p>
    <w:p w14:paraId="02633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2、地点：三门峡市公共资源交易中心网（网址：http://gzjy.smx.gov.cn/）</w:t>
      </w:r>
    </w:p>
    <w:p w14:paraId="694BB1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3、方式：本项目没有报名环节，</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凭CA数字证书通过三门峡市公共资源交易中心网（网址：http://gzjy.smx.gov.cn/），点击公共资源交易平台选择“交易主体登录”，在所参与项目右侧点击参与投标，即可直接下载本项目磋商文件。</w:t>
      </w:r>
    </w:p>
    <w:p w14:paraId="64284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注：根据《关于进一步加强公共资源交易管理持续优化营商环境的通知》（三公管办〔2020〕2号）文件的要求,招标（磋商）文件费用不再收取。</w:t>
      </w:r>
    </w:p>
    <w:p w14:paraId="32FE5EC4">
      <w:pPr>
        <w:pStyle w:val="3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eastAsia="宋体"/>
          <w:highlight w:val="none"/>
          <w:lang w:val="en-US" w:eastAsia="zh-CN"/>
        </w:rPr>
      </w:pPr>
      <w:r>
        <w:rPr>
          <w:rFonts w:hint="eastAsia" w:ascii="宋体" w:hAnsi="宋体" w:cs="宋体"/>
          <w:kern w:val="0"/>
          <w:sz w:val="24"/>
          <w:szCs w:val="24"/>
          <w:highlight w:val="none"/>
          <w:lang w:val="en-US" w:eastAsia="zh-CN"/>
        </w:rPr>
        <w:t>4、售价：0元。</w:t>
      </w:r>
    </w:p>
    <w:p w14:paraId="2223E2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5" w:name="_Toc11682"/>
      <w:r>
        <w:rPr>
          <w:rFonts w:hint="eastAsia" w:ascii="宋体" w:hAnsi="宋体" w:cs="宋体"/>
          <w:kern w:val="0"/>
          <w:sz w:val="24"/>
          <w:szCs w:val="24"/>
          <w:highlight w:val="none"/>
          <w:lang w:val="en-US" w:eastAsia="zh-CN"/>
        </w:rPr>
        <w:t>四</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响应文件提交</w:t>
      </w:r>
      <w:r>
        <w:rPr>
          <w:rFonts w:hint="eastAsia" w:ascii="宋体" w:hAnsi="宋体" w:cs="宋体"/>
          <w:kern w:val="0"/>
          <w:sz w:val="24"/>
          <w:szCs w:val="24"/>
          <w:highlight w:val="none"/>
        </w:rPr>
        <w:t>：</w:t>
      </w:r>
      <w:bookmarkEnd w:id="15"/>
    </w:p>
    <w:p w14:paraId="2DD36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截止</w:t>
      </w:r>
      <w:r>
        <w:rPr>
          <w:rFonts w:ascii="宋体" w:hAnsi="宋体" w:cs="宋体"/>
          <w:color w:val="000000"/>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月7日08时20分（</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p w14:paraId="3D14CF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2、地点：</w:t>
      </w:r>
      <w:r>
        <w:rPr>
          <w:rFonts w:hint="eastAsia" w:ascii="宋体" w:hAnsi="宋体" w:cs="宋体"/>
          <w:kern w:val="0"/>
          <w:sz w:val="24"/>
          <w:szCs w:val="24"/>
          <w:highlight w:val="none"/>
        </w:rPr>
        <w:t>三门峡市公共资源交易中心网（网址：http://gzjy.smx.gov.cn/</w:t>
      </w:r>
      <w:r>
        <w:rPr>
          <w:rFonts w:hint="eastAsia" w:ascii="宋体" w:hAnsi="宋体" w:cs="宋体"/>
          <w:color w:val="000000"/>
          <w:kern w:val="0"/>
          <w:sz w:val="24"/>
          <w:szCs w:val="24"/>
          <w:highlight w:val="none"/>
          <w:lang w:val="en-US" w:eastAsia="zh-CN"/>
        </w:rPr>
        <w:t>）</w:t>
      </w:r>
    </w:p>
    <w:p w14:paraId="2D4D6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6" w:name="_Toc29743"/>
      <w:r>
        <w:rPr>
          <w:rFonts w:hint="eastAsia" w:ascii="宋体" w:hAnsi="宋体" w:cs="宋体"/>
          <w:kern w:val="0"/>
          <w:sz w:val="24"/>
          <w:szCs w:val="24"/>
          <w:highlight w:val="none"/>
          <w:lang w:val="en-US" w:eastAsia="zh-CN"/>
        </w:rPr>
        <w:t>五</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响应文件开启</w:t>
      </w:r>
      <w:r>
        <w:rPr>
          <w:rFonts w:hint="eastAsia" w:ascii="宋体" w:hAnsi="宋体" w:cs="宋体"/>
          <w:kern w:val="0"/>
          <w:sz w:val="24"/>
          <w:szCs w:val="24"/>
          <w:highlight w:val="none"/>
        </w:rPr>
        <w:t>：</w:t>
      </w:r>
      <w:bookmarkEnd w:id="16"/>
    </w:p>
    <w:p w14:paraId="2619AD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1、</w:t>
      </w:r>
      <w:r>
        <w:rPr>
          <w:rFonts w:ascii="宋体" w:hAnsi="宋体" w:cs="宋体"/>
          <w:color w:val="000000"/>
          <w:kern w:val="0"/>
          <w:sz w:val="24"/>
          <w:szCs w:val="24"/>
          <w:highlight w:val="none"/>
        </w:rPr>
        <w:t>时间</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2025年</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eastAsia="zh-CN"/>
        </w:rPr>
        <w:t>月7日08时20分（</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p w14:paraId="67BAC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2、地点：渑池县公共资源交易中心</w:t>
      </w:r>
      <w:r>
        <w:rPr>
          <w:rFonts w:hint="eastAsia" w:ascii="宋体" w:hAnsi="宋体" w:cs="宋体"/>
          <w:color w:val="000000"/>
          <w:kern w:val="0"/>
          <w:sz w:val="24"/>
          <w:szCs w:val="24"/>
          <w:highlight w:val="none"/>
          <w:lang w:val="en-US" w:eastAsia="zh-CN"/>
        </w:rPr>
        <w:t>六楼开标二室</w:t>
      </w:r>
      <w:r>
        <w:rPr>
          <w:rFonts w:hint="eastAsia" w:ascii="宋体" w:hAnsi="宋体" w:cs="宋体"/>
          <w:kern w:val="0"/>
          <w:sz w:val="24"/>
          <w:szCs w:val="24"/>
          <w:highlight w:val="none"/>
        </w:rPr>
        <w:t>（网址：http://gzjy.smx.gov.cn/</w:t>
      </w:r>
      <w:r>
        <w:rPr>
          <w:rFonts w:hint="eastAsia" w:ascii="宋体" w:hAnsi="宋体" w:cs="宋体"/>
          <w:kern w:val="0"/>
          <w:sz w:val="24"/>
          <w:szCs w:val="24"/>
          <w:highlight w:val="none"/>
          <w:lang w:eastAsia="zh-CN"/>
        </w:rPr>
        <w:t>）</w:t>
      </w:r>
    </w:p>
    <w:p w14:paraId="57B977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7" w:name="_Toc7576"/>
      <w:r>
        <w:rPr>
          <w:rFonts w:hint="eastAsia" w:ascii="宋体" w:hAnsi="宋体" w:cs="宋体"/>
          <w:kern w:val="0"/>
          <w:sz w:val="24"/>
          <w:szCs w:val="24"/>
          <w:highlight w:val="none"/>
          <w:lang w:val="en-US" w:eastAsia="zh-CN"/>
        </w:rPr>
        <w:t>六</w:t>
      </w:r>
      <w:r>
        <w:rPr>
          <w:rFonts w:hint="eastAsia" w:ascii="宋体" w:hAnsi="宋体" w:cs="宋体"/>
          <w:kern w:val="0"/>
          <w:sz w:val="24"/>
          <w:szCs w:val="24"/>
          <w:highlight w:val="none"/>
        </w:rPr>
        <w:t>、发布公告的媒介</w:t>
      </w:r>
      <w:r>
        <w:rPr>
          <w:rFonts w:hint="eastAsia" w:ascii="宋体" w:hAnsi="宋体" w:cs="宋体"/>
          <w:kern w:val="0"/>
          <w:sz w:val="24"/>
          <w:szCs w:val="24"/>
          <w:highlight w:val="none"/>
          <w:lang w:val="en-US" w:eastAsia="zh-CN"/>
        </w:rPr>
        <w:t>及公告期限</w:t>
      </w:r>
      <w:r>
        <w:rPr>
          <w:rFonts w:hint="eastAsia" w:ascii="宋体" w:hAnsi="宋体" w:cs="宋体"/>
          <w:kern w:val="0"/>
          <w:sz w:val="24"/>
          <w:szCs w:val="24"/>
          <w:highlight w:val="none"/>
        </w:rPr>
        <w:t>：</w:t>
      </w:r>
      <w:bookmarkEnd w:id="17"/>
    </w:p>
    <w:p w14:paraId="6A6270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本次竞争性磋商公告同时在《河南省政府采购网》</w:t>
      </w:r>
      <w:r>
        <w:rPr>
          <w:rFonts w:hint="eastAsia" w:ascii="宋体" w:hAnsi="宋体" w:cs="宋体"/>
          <w:kern w:val="0"/>
          <w:sz w:val="24"/>
          <w:szCs w:val="24"/>
          <w:highlight w:val="none"/>
          <w:lang w:eastAsia="zh-CN"/>
        </w:rPr>
        <w:t>、</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中国采购与招标网</w:t>
      </w:r>
      <w:r>
        <w:rPr>
          <w:rFonts w:hint="eastAsia" w:ascii="宋体" w:hAnsi="宋体" w:cs="宋体"/>
          <w:color w:val="000000"/>
          <w:kern w:val="0"/>
          <w:sz w:val="24"/>
          <w:szCs w:val="24"/>
          <w:highlight w:val="none"/>
        </w:rPr>
        <w:t>》</w:t>
      </w:r>
      <w:r>
        <w:rPr>
          <w:rFonts w:hint="eastAsia" w:ascii="宋体" w:hAnsi="宋体" w:cs="宋体"/>
          <w:kern w:val="0"/>
          <w:sz w:val="24"/>
          <w:szCs w:val="24"/>
          <w:highlight w:val="none"/>
        </w:rPr>
        <w:t>、《三门峡市公共资源交易中心网》</w:t>
      </w:r>
      <w:r>
        <w:rPr>
          <w:rFonts w:hint="eastAsia" w:ascii="宋体" w:hAnsi="宋体" w:cs="宋体"/>
          <w:kern w:val="0"/>
          <w:sz w:val="24"/>
          <w:szCs w:val="24"/>
          <w:highlight w:val="none"/>
          <w:lang w:val="en-US" w:eastAsia="zh-CN"/>
        </w:rPr>
        <w:t>上</w:t>
      </w:r>
      <w:r>
        <w:rPr>
          <w:rFonts w:hint="eastAsia" w:ascii="宋体" w:hAnsi="宋体" w:cs="宋体"/>
          <w:kern w:val="0"/>
          <w:sz w:val="24"/>
          <w:szCs w:val="24"/>
          <w:highlight w:val="none"/>
        </w:rPr>
        <w:t>发布</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公告期限为三个工作日 。</w:t>
      </w:r>
    </w:p>
    <w:p w14:paraId="391244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8" w:name="_Toc19165"/>
      <w:r>
        <w:rPr>
          <w:rFonts w:hint="eastAsia" w:ascii="宋体" w:hAnsi="宋体" w:cs="宋体"/>
          <w:kern w:val="0"/>
          <w:sz w:val="24"/>
          <w:szCs w:val="24"/>
          <w:highlight w:val="none"/>
          <w:lang w:val="en-US" w:eastAsia="zh-CN"/>
        </w:rPr>
        <w:t>七</w:t>
      </w:r>
      <w:r>
        <w:rPr>
          <w:rFonts w:hint="eastAsia" w:ascii="宋体" w:hAnsi="宋体" w:cs="宋体"/>
          <w:kern w:val="0"/>
          <w:sz w:val="24"/>
          <w:szCs w:val="24"/>
          <w:highlight w:val="none"/>
        </w:rPr>
        <w:t>、其他补充事宜</w:t>
      </w:r>
      <w:bookmarkEnd w:id="18"/>
    </w:p>
    <w:p w14:paraId="096849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应仔细阅读操作手册，在本公告中要求的截止时间前完成竞争性磋商响应文件的上传工作，并充分考虑人为操作等因素，因</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操作不当造成的无法投标等一切后果，由供应商自行承担。</w:t>
      </w:r>
    </w:p>
    <w:p w14:paraId="54E20A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2、磋商所发生一切费用由各</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自行承担，并承担相应的风险和责任。</w:t>
      </w:r>
    </w:p>
    <w:p w14:paraId="36B284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3、本项目不组织</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踏勘现场。</w:t>
      </w:r>
    </w:p>
    <w:p w14:paraId="20CF5A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4、本项目无论中标与否，均不退还响应文件。</w:t>
      </w:r>
    </w:p>
    <w:p w14:paraId="323CF6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5、本项目资格评审和业绩以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为准，</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可使用电子营业执照。</w:t>
      </w:r>
    </w:p>
    <w:p w14:paraId="0B49EB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（1）资格评（预）审部分：资格评（预）审以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为准，其上传资料真实性由</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自行承担，同时，</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要完善主体库。</w:t>
      </w:r>
    </w:p>
    <w:p w14:paraId="6A073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（2）评标打分部分：评标打分部分仍按照100分制原则进行，涉及到资格审查、企业荣誉、人员业绩、企业业绩等计分部分时，以投标单位自行上传到</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中的相应内容为准。</w:t>
      </w:r>
    </w:p>
    <w:p w14:paraId="2C674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编制部分：在</w:t>
      </w:r>
      <w:r>
        <w:rPr>
          <w:rFonts w:hint="eastAsia" w:ascii="宋体" w:hAnsi="宋体" w:cs="宋体"/>
          <w:kern w:val="0"/>
          <w:sz w:val="24"/>
          <w:szCs w:val="24"/>
          <w:highlight w:val="none"/>
          <w:lang w:eastAsia="zh-CN"/>
        </w:rPr>
        <w:t>磋商文件</w:t>
      </w:r>
      <w:r>
        <w:rPr>
          <w:rFonts w:hint="eastAsia" w:ascii="宋体" w:hAnsi="宋体" w:cs="宋体"/>
          <w:kern w:val="0"/>
          <w:sz w:val="24"/>
          <w:szCs w:val="24"/>
          <w:highlight w:val="none"/>
        </w:rPr>
        <w:t>中要求</w:t>
      </w:r>
      <w:r>
        <w:rPr>
          <w:rFonts w:hint="eastAsia" w:ascii="宋体" w:hAnsi="宋体" w:cs="宋体"/>
          <w:kern w:val="0"/>
          <w:sz w:val="24"/>
          <w:szCs w:val="24"/>
          <w:highlight w:val="none"/>
          <w:lang w:eastAsia="zh-CN"/>
        </w:rPr>
        <w:t>响应人</w:t>
      </w:r>
      <w:r>
        <w:rPr>
          <w:rFonts w:hint="eastAsia" w:ascii="宋体" w:hAnsi="宋体" w:cs="宋体"/>
          <w:kern w:val="0"/>
          <w:sz w:val="24"/>
          <w:szCs w:val="24"/>
          <w:highlight w:val="none"/>
        </w:rPr>
        <w:t>按照</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格式进行</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编制，在</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编制时，应明确将投标单位企业基本情况、资质情况、人员情况、财务情况、业绩情况编入</w:t>
      </w:r>
      <w:r>
        <w:rPr>
          <w:rFonts w:hint="eastAsia" w:ascii="宋体" w:hAnsi="宋体" w:cs="宋体"/>
          <w:kern w:val="0"/>
          <w:sz w:val="24"/>
          <w:szCs w:val="24"/>
          <w:highlight w:val="none"/>
          <w:lang w:eastAsia="zh-CN"/>
        </w:rPr>
        <w:t>响应文件</w:t>
      </w:r>
      <w:r>
        <w:rPr>
          <w:rFonts w:hint="eastAsia" w:ascii="宋体" w:hAnsi="宋体" w:cs="宋体"/>
          <w:kern w:val="0"/>
          <w:sz w:val="24"/>
          <w:szCs w:val="24"/>
          <w:highlight w:val="none"/>
        </w:rPr>
        <w:t>，便于进行资格审查及评标打分。</w:t>
      </w:r>
    </w:p>
    <w:p w14:paraId="75E61F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312F48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1"/>
        <w:rPr>
          <w:rFonts w:ascii="宋体" w:hAnsi="宋体" w:cs="宋体"/>
          <w:kern w:val="0"/>
          <w:sz w:val="24"/>
          <w:szCs w:val="24"/>
          <w:highlight w:val="none"/>
        </w:rPr>
      </w:pPr>
      <w:bookmarkStart w:id="19" w:name="_Toc9345"/>
      <w:r>
        <w:rPr>
          <w:rFonts w:hint="eastAsia" w:ascii="宋体" w:hAnsi="宋体" w:cs="宋体"/>
          <w:kern w:val="0"/>
          <w:sz w:val="24"/>
          <w:szCs w:val="24"/>
          <w:highlight w:val="none"/>
          <w:lang w:val="en-US" w:eastAsia="zh-CN"/>
        </w:rPr>
        <w:t>八</w:t>
      </w:r>
      <w:r>
        <w:rPr>
          <w:rFonts w:hint="eastAsia" w:ascii="宋体" w:hAnsi="宋体" w:cs="宋体"/>
          <w:kern w:val="0"/>
          <w:sz w:val="24"/>
          <w:szCs w:val="24"/>
          <w:highlight w:val="none"/>
        </w:rPr>
        <w:t>、凡对本次磋商提出询问，请按照以下方式联系：</w:t>
      </w:r>
      <w:bookmarkEnd w:id="19"/>
    </w:p>
    <w:p w14:paraId="12321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kern w:val="0"/>
          <w:sz w:val="24"/>
          <w:szCs w:val="24"/>
          <w:highlight w:val="none"/>
        </w:rPr>
      </w:pPr>
      <w:r>
        <w:rPr>
          <w:rFonts w:hint="eastAsia" w:ascii="宋体" w:hAnsi="宋体" w:cs="宋体"/>
          <w:kern w:val="0"/>
          <w:sz w:val="24"/>
          <w:szCs w:val="24"/>
          <w:highlight w:val="none"/>
        </w:rPr>
        <w:t>1、采购人信息：</w:t>
      </w:r>
    </w:p>
    <w:p w14:paraId="655CD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名称：</w:t>
      </w:r>
      <w:r>
        <w:rPr>
          <w:rFonts w:hint="eastAsia" w:ascii="宋体" w:hAnsi="宋体" w:cs="宋体"/>
          <w:kern w:val="0"/>
          <w:sz w:val="24"/>
          <w:szCs w:val="24"/>
          <w:highlight w:val="none"/>
          <w:lang w:eastAsia="zh-CN"/>
        </w:rPr>
        <w:t>渑池县人民医院</w:t>
      </w:r>
    </w:p>
    <w:p w14:paraId="5D0C27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地址：</w:t>
      </w:r>
      <w:r>
        <w:rPr>
          <w:rFonts w:hint="eastAsia" w:ascii="宋体" w:hAnsi="宋体" w:cs="Calibri"/>
          <w:sz w:val="24"/>
          <w:highlight w:val="none"/>
        </w:rPr>
        <w:t>渑池县</w:t>
      </w:r>
      <w:r>
        <w:rPr>
          <w:rFonts w:hint="eastAsia" w:ascii="宋体" w:hAnsi="宋体" w:cs="Calibri"/>
          <w:sz w:val="24"/>
          <w:highlight w:val="none"/>
          <w:lang w:val="en-US" w:eastAsia="zh-CN"/>
        </w:rPr>
        <w:t>黄河路中段</w:t>
      </w:r>
    </w:p>
    <w:p w14:paraId="561F5F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关女士</w:t>
      </w:r>
    </w:p>
    <w:p w14:paraId="3B0CA8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电话：13949772760</w:t>
      </w:r>
    </w:p>
    <w:p w14:paraId="2975E5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rPr>
        <w:t>2、采购代理机构：</w:t>
      </w:r>
      <w:r>
        <w:rPr>
          <w:rFonts w:hint="eastAsia" w:ascii="宋体" w:hAnsi="宋体" w:cs="宋体"/>
          <w:color w:val="000000"/>
          <w:kern w:val="0"/>
          <w:sz w:val="24"/>
          <w:szCs w:val="24"/>
          <w:highlight w:val="none"/>
          <w:lang w:eastAsia="zh-CN"/>
        </w:rPr>
        <w:t>河南省中塍建设管理有限公司</w:t>
      </w:r>
    </w:p>
    <w:p w14:paraId="6E4EC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地址：河南自贸试验区郑州片区（郑东）心怡路319号易元国际B座1623室</w:t>
      </w:r>
    </w:p>
    <w:p w14:paraId="773C04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联系人：高先生</w:t>
      </w:r>
    </w:p>
    <w:p w14:paraId="54B06A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联系电话：18439724752</w:t>
      </w:r>
    </w:p>
    <w:p w14:paraId="6AD343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ascii="宋体" w:hAnsi="宋体" w:cs="宋体"/>
          <w:kern w:val="0"/>
          <w:sz w:val="24"/>
          <w:szCs w:val="24"/>
          <w:highlight w:val="none"/>
        </w:rPr>
      </w:pPr>
      <w:r>
        <w:rPr>
          <w:rFonts w:hint="eastAsia" w:ascii="宋体" w:hAnsi="宋体" w:cs="宋体"/>
          <w:kern w:val="0"/>
          <w:sz w:val="24"/>
          <w:szCs w:val="24"/>
          <w:highlight w:val="none"/>
        </w:rPr>
        <w:t>3、监督单位信息：</w:t>
      </w:r>
    </w:p>
    <w:p w14:paraId="6B5BE6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名称：渑池县政府采购办公室</w:t>
      </w:r>
    </w:p>
    <w:p w14:paraId="74CD4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cs="宋体"/>
          <w:kern w:val="0"/>
          <w:sz w:val="24"/>
          <w:szCs w:val="24"/>
          <w:highlight w:val="none"/>
        </w:rPr>
      </w:pPr>
      <w:r>
        <w:rPr>
          <w:rFonts w:hint="eastAsia" w:ascii="宋体" w:hAnsi="宋体" w:cs="宋体"/>
          <w:kern w:val="0"/>
          <w:sz w:val="24"/>
          <w:szCs w:val="24"/>
          <w:highlight w:val="none"/>
        </w:rPr>
        <w:t>联系方式：0398-4818677</w:t>
      </w:r>
    </w:p>
    <w:p w14:paraId="52EC952F">
      <w:pPr>
        <w:keepNext w:val="0"/>
        <w:keepLines w:val="0"/>
        <w:widowControl/>
        <w:suppressLineNumbers w:val="0"/>
        <w:ind w:firstLine="1200" w:firstLineChars="500"/>
        <w:jc w:val="left"/>
        <w:rPr>
          <w:rFonts w:ascii="宋体" w:hAnsi="Times New Roman" w:eastAsia="宋体" w:cs="Times New Roman"/>
          <w:color w:val="000000"/>
          <w:kern w:val="0"/>
          <w:sz w:val="24"/>
          <w:szCs w:val="24"/>
          <w:highlight w:val="none"/>
        </w:rPr>
      </w:pPr>
    </w:p>
    <w:p w14:paraId="3E70CC2F">
      <w:pPr>
        <w:rPr>
          <w:b/>
          <w:sz w:val="32"/>
          <w:highlight w:val="none"/>
        </w:rPr>
      </w:pPr>
      <w:r>
        <w:rPr>
          <w:b/>
          <w:sz w:val="32"/>
          <w:highlight w:val="none"/>
        </w:rPr>
        <w:br w:type="page"/>
      </w:r>
    </w:p>
    <w:p w14:paraId="49935AC0">
      <w:pPr>
        <w:tabs>
          <w:tab w:val="left" w:pos="1283"/>
        </w:tabs>
        <w:spacing w:before="55"/>
        <w:ind w:left="0" w:right="22" w:firstLine="0"/>
        <w:jc w:val="center"/>
        <w:outlineLvl w:val="0"/>
        <w:rPr>
          <w:b/>
          <w:sz w:val="32"/>
          <w:highlight w:val="none"/>
        </w:rPr>
      </w:pPr>
      <w:bookmarkStart w:id="20" w:name="_Toc6506"/>
      <w:bookmarkStart w:id="21" w:name="_Toc17792"/>
      <w:bookmarkStart w:id="22" w:name="_Toc31155"/>
      <w:r>
        <w:rPr>
          <w:b/>
          <w:sz w:val="32"/>
          <w:highlight w:val="none"/>
        </w:rPr>
        <w:t>第二章</w:t>
      </w:r>
      <w:r>
        <w:rPr>
          <w:b/>
          <w:sz w:val="32"/>
          <w:highlight w:val="none"/>
        </w:rPr>
        <w:tab/>
      </w:r>
      <w:r>
        <w:rPr>
          <w:b/>
          <w:sz w:val="32"/>
          <w:highlight w:val="none"/>
        </w:rPr>
        <w:t>供应商须知</w:t>
      </w:r>
      <w:bookmarkEnd w:id="20"/>
      <w:bookmarkEnd w:id="21"/>
      <w:bookmarkEnd w:id="22"/>
    </w:p>
    <w:p w14:paraId="7AA73C34">
      <w:pPr>
        <w:pStyle w:val="9"/>
        <w:spacing w:before="210" w:after="3"/>
        <w:ind w:left="755" w:right="776"/>
        <w:jc w:val="center"/>
        <w:rPr>
          <w:b/>
          <w:bCs/>
          <w:sz w:val="28"/>
          <w:szCs w:val="32"/>
          <w:highlight w:val="none"/>
        </w:rPr>
      </w:pPr>
      <w:r>
        <w:rPr>
          <w:b/>
          <w:bCs/>
          <w:sz w:val="28"/>
          <w:szCs w:val="32"/>
          <w:highlight w:val="none"/>
        </w:rPr>
        <w:t>供应商须知前附表</w:t>
      </w:r>
    </w:p>
    <w:tbl>
      <w:tblPr>
        <w:tblStyle w:val="20"/>
        <w:tblW w:w="9584" w:type="dxa"/>
        <w:jc w:val="center"/>
        <w:tblLayout w:type="fixed"/>
        <w:tblCellMar>
          <w:top w:w="0" w:type="dxa"/>
          <w:left w:w="108" w:type="dxa"/>
          <w:bottom w:w="0" w:type="dxa"/>
          <w:right w:w="108" w:type="dxa"/>
        </w:tblCellMar>
      </w:tblPr>
      <w:tblGrid>
        <w:gridCol w:w="1101"/>
        <w:gridCol w:w="1838"/>
        <w:gridCol w:w="6645"/>
      </w:tblGrid>
      <w:tr w14:paraId="1CF47C98">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91594AC">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条款号</w:t>
            </w:r>
          </w:p>
        </w:tc>
        <w:tc>
          <w:tcPr>
            <w:tcW w:w="1838" w:type="dxa"/>
            <w:tcBorders>
              <w:top w:val="single" w:color="auto" w:sz="4" w:space="0"/>
              <w:left w:val="nil"/>
              <w:bottom w:val="single" w:color="auto" w:sz="4" w:space="0"/>
              <w:right w:val="single" w:color="auto" w:sz="4" w:space="0"/>
            </w:tcBorders>
            <w:noWrap w:val="0"/>
            <w:vAlign w:val="center"/>
          </w:tcPr>
          <w:p w14:paraId="67C34FA9">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条款名称</w:t>
            </w:r>
          </w:p>
        </w:tc>
        <w:tc>
          <w:tcPr>
            <w:tcW w:w="6645" w:type="dxa"/>
            <w:tcBorders>
              <w:top w:val="single" w:color="auto" w:sz="4" w:space="0"/>
              <w:left w:val="nil"/>
              <w:bottom w:val="single" w:color="auto" w:sz="4" w:space="0"/>
              <w:right w:val="single" w:color="auto" w:sz="4" w:space="0"/>
            </w:tcBorders>
            <w:noWrap w:val="0"/>
            <w:vAlign w:val="center"/>
          </w:tcPr>
          <w:p w14:paraId="262C3661">
            <w:pPr>
              <w:spacing w:line="460" w:lineRule="exact"/>
              <w:jc w:val="center"/>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编列内容</w:t>
            </w:r>
          </w:p>
        </w:tc>
      </w:tr>
      <w:tr w14:paraId="1A4BD7EF">
        <w:tblPrEx>
          <w:tblCellMar>
            <w:top w:w="0" w:type="dxa"/>
            <w:left w:w="108" w:type="dxa"/>
            <w:bottom w:w="0" w:type="dxa"/>
            <w:right w:w="108" w:type="dxa"/>
          </w:tblCellMar>
        </w:tblPrEx>
        <w:trPr>
          <w:trHeight w:val="1652"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B01B372">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1.1</w:t>
            </w:r>
          </w:p>
        </w:tc>
        <w:tc>
          <w:tcPr>
            <w:tcW w:w="1838" w:type="dxa"/>
            <w:tcBorders>
              <w:top w:val="nil"/>
              <w:left w:val="nil"/>
              <w:bottom w:val="single" w:color="auto" w:sz="4" w:space="0"/>
              <w:right w:val="single" w:color="auto" w:sz="4" w:space="0"/>
            </w:tcBorders>
            <w:noWrap w:val="0"/>
            <w:vAlign w:val="center"/>
          </w:tcPr>
          <w:p w14:paraId="71F0A76B">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采购人</w:t>
            </w:r>
          </w:p>
        </w:tc>
        <w:tc>
          <w:tcPr>
            <w:tcW w:w="6645" w:type="dxa"/>
            <w:tcBorders>
              <w:top w:val="single" w:color="auto" w:sz="4" w:space="0"/>
              <w:left w:val="nil"/>
              <w:bottom w:val="single" w:color="auto" w:sz="4" w:space="0"/>
              <w:right w:val="single" w:color="auto" w:sz="4" w:space="0"/>
            </w:tcBorders>
            <w:noWrap w:val="0"/>
            <w:vAlign w:val="center"/>
          </w:tcPr>
          <w:p w14:paraId="0E2AEE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名称：</w:t>
            </w:r>
            <w:r>
              <w:rPr>
                <w:rFonts w:hint="eastAsia" w:ascii="宋体" w:hAnsi="宋体" w:cs="宋体"/>
                <w:kern w:val="0"/>
                <w:sz w:val="24"/>
                <w:szCs w:val="24"/>
                <w:highlight w:val="none"/>
                <w:lang w:eastAsia="zh-CN"/>
              </w:rPr>
              <w:t>渑池县人民医院</w:t>
            </w:r>
          </w:p>
          <w:p w14:paraId="644F739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地址：</w:t>
            </w:r>
            <w:r>
              <w:rPr>
                <w:rFonts w:hint="eastAsia" w:ascii="宋体" w:hAnsi="宋体" w:cs="Calibri"/>
                <w:sz w:val="24"/>
                <w:highlight w:val="none"/>
              </w:rPr>
              <w:t>渑池县</w:t>
            </w:r>
            <w:r>
              <w:rPr>
                <w:rFonts w:hint="eastAsia" w:ascii="宋体" w:hAnsi="宋体" w:cs="Calibri"/>
                <w:sz w:val="24"/>
                <w:highlight w:val="none"/>
                <w:lang w:val="en-US" w:eastAsia="zh-CN"/>
              </w:rPr>
              <w:t>黄河路中段</w:t>
            </w:r>
          </w:p>
          <w:p w14:paraId="30D24E6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关女士</w:t>
            </w:r>
          </w:p>
          <w:p w14:paraId="5214EB9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宋体" w:hAnsi="宋体" w:eastAsia="宋体" w:cs="Times New Roman"/>
                <w:sz w:val="24"/>
                <w:szCs w:val="24"/>
                <w:highlight w:val="none"/>
              </w:rPr>
            </w:pPr>
            <w:r>
              <w:rPr>
                <w:rFonts w:hint="eastAsia" w:ascii="宋体" w:hAnsi="宋体" w:cs="宋体"/>
                <w:kern w:val="0"/>
                <w:sz w:val="24"/>
                <w:szCs w:val="24"/>
                <w:highlight w:val="none"/>
                <w:lang w:val="en-US" w:eastAsia="zh-CN"/>
              </w:rPr>
              <w:t>电话：13949772760</w:t>
            </w:r>
          </w:p>
        </w:tc>
      </w:tr>
      <w:tr w14:paraId="796EF1F6">
        <w:tblPrEx>
          <w:tblCellMar>
            <w:top w:w="0" w:type="dxa"/>
            <w:left w:w="108" w:type="dxa"/>
            <w:bottom w:w="0" w:type="dxa"/>
            <w:right w:w="108" w:type="dxa"/>
          </w:tblCellMar>
        </w:tblPrEx>
        <w:trPr>
          <w:trHeight w:val="169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1E59EAE6">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1.2</w:t>
            </w:r>
          </w:p>
        </w:tc>
        <w:tc>
          <w:tcPr>
            <w:tcW w:w="1838" w:type="dxa"/>
            <w:tcBorders>
              <w:top w:val="nil"/>
              <w:left w:val="nil"/>
              <w:bottom w:val="single" w:color="auto" w:sz="4" w:space="0"/>
              <w:right w:val="single" w:color="auto" w:sz="4" w:space="0"/>
            </w:tcBorders>
            <w:noWrap w:val="0"/>
            <w:vAlign w:val="center"/>
          </w:tcPr>
          <w:p w14:paraId="6BEE632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采购代理机构</w:t>
            </w:r>
          </w:p>
        </w:tc>
        <w:tc>
          <w:tcPr>
            <w:tcW w:w="6645" w:type="dxa"/>
            <w:tcBorders>
              <w:top w:val="single" w:color="auto" w:sz="4" w:space="0"/>
              <w:left w:val="nil"/>
              <w:bottom w:val="single" w:color="auto" w:sz="4" w:space="0"/>
              <w:right w:val="single" w:color="auto" w:sz="4" w:space="0"/>
            </w:tcBorders>
            <w:noWrap w:val="0"/>
            <w:vAlign w:val="center"/>
          </w:tcPr>
          <w:p w14:paraId="5B0DCAB7">
            <w:pPr>
              <w:pStyle w:val="36"/>
              <w:spacing w:before="6" w:line="360" w:lineRule="auto"/>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采购代理机构：河南省中塍建设管理有限公司</w:t>
            </w:r>
          </w:p>
          <w:p w14:paraId="313FFA5E">
            <w:pPr>
              <w:pStyle w:val="36"/>
              <w:spacing w:before="6" w:line="360" w:lineRule="auto"/>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地址：河南自贸试验区郑州片区（郑东）心怡路319号易元国际B座1623室</w:t>
            </w:r>
          </w:p>
          <w:p w14:paraId="20849736">
            <w:pPr>
              <w:pStyle w:val="36"/>
              <w:spacing w:before="6" w:line="360" w:lineRule="auto"/>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联系人：高先生</w:t>
            </w:r>
          </w:p>
          <w:p w14:paraId="0912E3D6">
            <w:pPr>
              <w:pStyle w:val="36"/>
              <w:spacing w:before="6" w:line="360" w:lineRule="auto"/>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联系电话：18439724752</w:t>
            </w:r>
          </w:p>
        </w:tc>
      </w:tr>
      <w:tr w14:paraId="52962213">
        <w:tblPrEx>
          <w:tblCellMar>
            <w:top w:w="0" w:type="dxa"/>
            <w:left w:w="108" w:type="dxa"/>
            <w:bottom w:w="0" w:type="dxa"/>
            <w:right w:w="108" w:type="dxa"/>
          </w:tblCellMar>
        </w:tblPrEx>
        <w:trPr>
          <w:trHeight w:val="553" w:hRule="atLeast"/>
          <w:jc w:val="center"/>
        </w:trPr>
        <w:tc>
          <w:tcPr>
            <w:tcW w:w="1101" w:type="dxa"/>
            <w:tcBorders>
              <w:top w:val="nil"/>
              <w:left w:val="single" w:color="auto" w:sz="4" w:space="0"/>
              <w:bottom w:val="single" w:color="auto" w:sz="4" w:space="0"/>
              <w:right w:val="single" w:color="auto" w:sz="4" w:space="0"/>
            </w:tcBorders>
            <w:noWrap w:val="0"/>
            <w:vAlign w:val="center"/>
          </w:tcPr>
          <w:p w14:paraId="5C6CC911">
            <w:pPr>
              <w:widowControl/>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1.3</w:t>
            </w:r>
          </w:p>
        </w:tc>
        <w:tc>
          <w:tcPr>
            <w:tcW w:w="1838" w:type="dxa"/>
            <w:tcBorders>
              <w:top w:val="nil"/>
              <w:left w:val="nil"/>
              <w:bottom w:val="single" w:color="auto" w:sz="4" w:space="0"/>
              <w:right w:val="single" w:color="auto" w:sz="4" w:space="0"/>
            </w:tcBorders>
            <w:noWrap w:val="0"/>
            <w:vAlign w:val="center"/>
          </w:tcPr>
          <w:p w14:paraId="74ECC3CB">
            <w:pPr>
              <w:widowControl/>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预算</w:t>
            </w:r>
            <w:r>
              <w:rPr>
                <w:rFonts w:ascii="宋体" w:hAnsi="宋体" w:eastAsia="宋体" w:cs="Times New Roman"/>
                <w:color w:val="000000"/>
                <w:sz w:val="24"/>
                <w:szCs w:val="24"/>
                <w:highlight w:val="none"/>
              </w:rPr>
              <w:t>金额</w:t>
            </w:r>
          </w:p>
        </w:tc>
        <w:tc>
          <w:tcPr>
            <w:tcW w:w="6645" w:type="dxa"/>
            <w:tcBorders>
              <w:top w:val="single" w:color="auto" w:sz="4" w:space="0"/>
              <w:left w:val="nil"/>
              <w:bottom w:val="single" w:color="auto" w:sz="4" w:space="0"/>
              <w:right w:val="single" w:color="auto" w:sz="4" w:space="0"/>
            </w:tcBorders>
            <w:noWrap w:val="0"/>
            <w:vAlign w:val="center"/>
          </w:tcPr>
          <w:p w14:paraId="29F9DC99">
            <w:pPr>
              <w:spacing w:line="460" w:lineRule="exact"/>
              <w:rPr>
                <w:rFonts w:ascii="宋体" w:hAnsi="宋体" w:eastAsia="宋体" w:cs="Times New Roman"/>
                <w:color w:val="000000"/>
                <w:sz w:val="24"/>
                <w:szCs w:val="24"/>
                <w:highlight w:val="none"/>
              </w:rPr>
            </w:pPr>
            <w:r>
              <w:rPr>
                <w:rFonts w:hint="eastAsia" w:ascii="宋体" w:hAnsi="宋体" w:cs="Times New Roman"/>
                <w:color w:val="000000"/>
                <w:sz w:val="24"/>
                <w:szCs w:val="24"/>
                <w:highlight w:val="none"/>
                <w:lang w:val="en-US" w:eastAsia="zh-CN"/>
              </w:rPr>
              <w:t>约420000.00元</w:t>
            </w:r>
          </w:p>
        </w:tc>
      </w:tr>
      <w:tr w14:paraId="3FD5FC57">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76C6F7E">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1.4</w:t>
            </w:r>
          </w:p>
        </w:tc>
        <w:tc>
          <w:tcPr>
            <w:tcW w:w="1838" w:type="dxa"/>
            <w:tcBorders>
              <w:top w:val="single" w:color="auto" w:sz="4" w:space="0"/>
              <w:left w:val="nil"/>
              <w:bottom w:val="single" w:color="auto" w:sz="4" w:space="0"/>
              <w:right w:val="single" w:color="auto" w:sz="4" w:space="0"/>
            </w:tcBorders>
            <w:noWrap w:val="0"/>
            <w:vAlign w:val="center"/>
          </w:tcPr>
          <w:p w14:paraId="5ED9561C">
            <w:pPr>
              <w:spacing w:line="460" w:lineRule="exact"/>
              <w:jc w:val="center"/>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rPr>
              <w:t>项目名称</w:t>
            </w:r>
            <w:r>
              <w:rPr>
                <w:rFonts w:hint="eastAsia" w:ascii="宋体" w:hAnsi="宋体" w:eastAsia="宋体" w:cs="Times New Roman"/>
                <w:color w:val="000000"/>
                <w:sz w:val="24"/>
                <w:szCs w:val="24"/>
                <w:highlight w:val="none"/>
                <w:lang w:val="en-US" w:eastAsia="zh-CN"/>
              </w:rPr>
              <w:t>及项目编号</w:t>
            </w:r>
          </w:p>
        </w:tc>
        <w:tc>
          <w:tcPr>
            <w:tcW w:w="6645" w:type="dxa"/>
            <w:tcBorders>
              <w:top w:val="single" w:color="auto" w:sz="4" w:space="0"/>
              <w:left w:val="nil"/>
              <w:bottom w:val="single" w:color="auto" w:sz="4" w:space="0"/>
              <w:right w:val="single" w:color="auto" w:sz="4" w:space="0"/>
            </w:tcBorders>
            <w:noWrap w:val="0"/>
            <w:vAlign w:val="center"/>
          </w:tcPr>
          <w:p w14:paraId="593FED13">
            <w:pPr>
              <w:spacing w:line="460" w:lineRule="exact"/>
              <w:rPr>
                <w:rFonts w:hint="eastAsia"/>
                <w:sz w:val="24"/>
                <w:highlight w:val="none"/>
                <w:lang w:eastAsia="zh-CN"/>
              </w:rPr>
            </w:pPr>
            <w:r>
              <w:rPr>
                <w:rFonts w:hint="eastAsia"/>
                <w:sz w:val="24"/>
                <w:highlight w:val="none"/>
                <w:lang w:val="en-US" w:eastAsia="zh-CN"/>
              </w:rPr>
              <w:t>项目名称：</w:t>
            </w:r>
            <w:r>
              <w:rPr>
                <w:rFonts w:hint="eastAsia"/>
                <w:sz w:val="24"/>
                <w:highlight w:val="none"/>
                <w:lang w:eastAsia="zh-CN"/>
              </w:rPr>
              <w:t>渑池县人民医院口腔科义齿类耗材配送企业遴选项目</w:t>
            </w:r>
            <w:r>
              <w:rPr>
                <w:rFonts w:hint="eastAsia" w:ascii="宋体" w:hAnsi="宋体" w:cs="宋体"/>
                <w:color w:val="000000"/>
                <w:kern w:val="0"/>
                <w:sz w:val="24"/>
                <w:szCs w:val="24"/>
                <w:highlight w:val="none"/>
                <w:lang w:val="en-US" w:eastAsia="zh-CN"/>
              </w:rPr>
              <w:t>（二次）</w:t>
            </w:r>
          </w:p>
          <w:p w14:paraId="29F9BD2D">
            <w:pPr>
              <w:spacing w:line="460" w:lineRule="exact"/>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sz w:val="24"/>
                <w:szCs w:val="24"/>
                <w:highlight w:val="none"/>
                <w:shd w:val="clear" w:color="auto" w:fill="FFFFFF"/>
                <w:lang w:eastAsia="zh-CN"/>
              </w:rPr>
              <w:t>项目编号</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渑池竞磋采购-2025-2、</w:t>
            </w:r>
            <w:r>
              <w:rPr>
                <w:rFonts w:hint="eastAsia" w:ascii="宋体" w:hAnsi="宋体" w:cs="宋体"/>
                <w:color w:val="auto"/>
                <w:sz w:val="24"/>
                <w:szCs w:val="24"/>
                <w:highlight w:val="none"/>
                <w:shd w:val="clear" w:color="auto" w:fill="FFFFFF"/>
                <w:lang w:val="en-US" w:eastAsia="zh-CN"/>
              </w:rPr>
              <w:t>MCGZ[2025]021-ZC014</w:t>
            </w:r>
          </w:p>
        </w:tc>
      </w:tr>
      <w:tr w14:paraId="2C6259AD">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E82C12E">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1.5</w:t>
            </w:r>
          </w:p>
        </w:tc>
        <w:tc>
          <w:tcPr>
            <w:tcW w:w="1838" w:type="dxa"/>
            <w:tcBorders>
              <w:top w:val="single" w:color="auto" w:sz="4" w:space="0"/>
              <w:left w:val="nil"/>
              <w:bottom w:val="single" w:color="auto" w:sz="4" w:space="0"/>
              <w:right w:val="single" w:color="auto" w:sz="4" w:space="0"/>
            </w:tcBorders>
            <w:noWrap w:val="0"/>
            <w:vAlign w:val="center"/>
          </w:tcPr>
          <w:p w14:paraId="690FB614">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资金来源及</w:t>
            </w:r>
            <w:r>
              <w:rPr>
                <w:rFonts w:ascii="宋体" w:hAnsi="宋体" w:eastAsia="宋体" w:cs="Times New Roman"/>
                <w:sz w:val="24"/>
                <w:szCs w:val="24"/>
                <w:highlight w:val="none"/>
              </w:rPr>
              <w:t>落实情况</w:t>
            </w:r>
          </w:p>
        </w:tc>
        <w:tc>
          <w:tcPr>
            <w:tcW w:w="6645" w:type="dxa"/>
            <w:tcBorders>
              <w:top w:val="single" w:color="auto" w:sz="4" w:space="0"/>
              <w:left w:val="nil"/>
              <w:bottom w:val="single" w:color="auto" w:sz="4" w:space="0"/>
              <w:right w:val="single" w:color="auto" w:sz="4" w:space="0"/>
            </w:tcBorders>
            <w:noWrap w:val="0"/>
            <w:vAlign w:val="center"/>
          </w:tcPr>
          <w:p w14:paraId="6F62DC69">
            <w:pPr>
              <w:spacing w:line="360" w:lineRule="auto"/>
              <w:jc w:val="left"/>
              <w:rPr>
                <w:rFonts w:ascii="宋体" w:hAnsi="宋体" w:eastAsia="宋体" w:cs="Times New Roman"/>
                <w:sz w:val="24"/>
                <w:szCs w:val="24"/>
                <w:highlight w:val="none"/>
              </w:rPr>
            </w:pPr>
            <w:r>
              <w:rPr>
                <w:rFonts w:hint="eastAsia" w:ascii="宋体" w:hAnsi="宋体" w:cs="宋体"/>
                <w:kern w:val="0"/>
                <w:sz w:val="24"/>
                <w:szCs w:val="24"/>
                <w:highlight w:val="none"/>
                <w:lang w:val="en-US" w:eastAsia="zh-CN"/>
              </w:rPr>
              <w:t>自筹</w:t>
            </w:r>
            <w:r>
              <w:rPr>
                <w:rFonts w:hint="eastAsia" w:ascii="宋体" w:hAnsi="宋体" w:cs="宋体"/>
                <w:kern w:val="0"/>
                <w:sz w:val="24"/>
                <w:szCs w:val="24"/>
                <w:highlight w:val="none"/>
              </w:rPr>
              <w:t>资金，已落实</w:t>
            </w:r>
          </w:p>
        </w:tc>
      </w:tr>
      <w:tr w14:paraId="51597FC8">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1985330">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p>
        </w:tc>
        <w:tc>
          <w:tcPr>
            <w:tcW w:w="1838" w:type="dxa"/>
            <w:tcBorders>
              <w:top w:val="single" w:color="auto" w:sz="4" w:space="0"/>
              <w:left w:val="nil"/>
              <w:bottom w:val="single" w:color="auto" w:sz="4" w:space="0"/>
              <w:right w:val="single" w:color="auto" w:sz="4" w:space="0"/>
            </w:tcBorders>
            <w:noWrap w:val="0"/>
            <w:vAlign w:val="center"/>
          </w:tcPr>
          <w:p w14:paraId="7BC79A7D">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地点</w:t>
            </w:r>
          </w:p>
        </w:tc>
        <w:tc>
          <w:tcPr>
            <w:tcW w:w="6645" w:type="dxa"/>
            <w:tcBorders>
              <w:top w:val="single" w:color="auto" w:sz="4" w:space="0"/>
              <w:left w:val="nil"/>
              <w:bottom w:val="single" w:color="auto" w:sz="4" w:space="0"/>
              <w:right w:val="single" w:color="auto" w:sz="4" w:space="0"/>
            </w:tcBorders>
            <w:noWrap w:val="0"/>
            <w:vAlign w:val="center"/>
          </w:tcPr>
          <w:p w14:paraId="0271AFEC">
            <w:pPr>
              <w:spacing w:line="460" w:lineRule="exact"/>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渑池县人民医院</w:t>
            </w:r>
          </w:p>
        </w:tc>
      </w:tr>
      <w:tr w14:paraId="319B4BEB">
        <w:tblPrEx>
          <w:tblCellMar>
            <w:top w:w="0" w:type="dxa"/>
            <w:left w:w="108" w:type="dxa"/>
            <w:bottom w:w="0" w:type="dxa"/>
            <w:right w:w="108" w:type="dxa"/>
          </w:tblCellMar>
        </w:tblPrEx>
        <w:trPr>
          <w:trHeight w:val="56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787ACCC4">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7</w:t>
            </w:r>
          </w:p>
        </w:tc>
        <w:tc>
          <w:tcPr>
            <w:tcW w:w="1838" w:type="dxa"/>
            <w:tcBorders>
              <w:top w:val="nil"/>
              <w:left w:val="nil"/>
              <w:bottom w:val="single" w:color="auto" w:sz="4" w:space="0"/>
              <w:right w:val="single" w:color="auto" w:sz="4" w:space="0"/>
            </w:tcBorders>
            <w:noWrap w:val="0"/>
            <w:vAlign w:val="center"/>
          </w:tcPr>
          <w:p w14:paraId="2FF81ED4">
            <w:pPr>
              <w:keepLines/>
              <w:spacing w:line="460" w:lineRule="exact"/>
              <w:jc w:val="center"/>
              <w:rPr>
                <w:rFonts w:ascii="宋体" w:hAnsi="宋体" w:eastAsia="宋体" w:cs="Times New Roman"/>
                <w:kern w:val="0"/>
                <w:sz w:val="24"/>
                <w:szCs w:val="24"/>
                <w:highlight w:val="none"/>
              </w:rPr>
            </w:pPr>
            <w:r>
              <w:rPr>
                <w:rFonts w:hint="eastAsia" w:ascii="宋体" w:hAnsi="宋体" w:cs="宋体"/>
                <w:kern w:val="0"/>
                <w:sz w:val="24"/>
                <w:szCs w:val="24"/>
                <w:highlight w:val="none"/>
                <w:lang w:val="en-US" w:eastAsia="zh-CN"/>
              </w:rPr>
              <w:t>服务内容</w:t>
            </w:r>
          </w:p>
        </w:tc>
        <w:tc>
          <w:tcPr>
            <w:tcW w:w="6645" w:type="dxa"/>
            <w:tcBorders>
              <w:top w:val="nil"/>
              <w:left w:val="nil"/>
              <w:bottom w:val="single" w:color="auto" w:sz="4" w:space="0"/>
              <w:right w:val="single" w:color="auto" w:sz="4" w:space="0"/>
            </w:tcBorders>
            <w:noWrap w:val="0"/>
            <w:vAlign w:val="center"/>
          </w:tcPr>
          <w:p w14:paraId="57E31EA3">
            <w:pPr>
              <w:spacing w:line="460" w:lineRule="exact"/>
              <w:rPr>
                <w:rFonts w:ascii="宋体" w:hAnsi="宋体" w:eastAsia="宋体" w:cs="Times New Roman"/>
                <w:sz w:val="24"/>
                <w:szCs w:val="24"/>
                <w:highlight w:val="none"/>
              </w:rPr>
            </w:pP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p>
        </w:tc>
      </w:tr>
      <w:tr w14:paraId="3946100A">
        <w:tblPrEx>
          <w:tblCellMar>
            <w:top w:w="0" w:type="dxa"/>
            <w:left w:w="108" w:type="dxa"/>
            <w:bottom w:w="0" w:type="dxa"/>
            <w:right w:w="108" w:type="dxa"/>
          </w:tblCellMar>
        </w:tblPrEx>
        <w:trPr>
          <w:trHeight w:val="78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1531318C">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1.8</w:t>
            </w:r>
          </w:p>
        </w:tc>
        <w:tc>
          <w:tcPr>
            <w:tcW w:w="1838" w:type="dxa"/>
            <w:tcBorders>
              <w:top w:val="single" w:color="auto" w:sz="4" w:space="0"/>
              <w:left w:val="nil"/>
              <w:bottom w:val="single" w:color="auto" w:sz="4" w:space="0"/>
              <w:right w:val="single" w:color="auto" w:sz="4" w:space="0"/>
            </w:tcBorders>
            <w:noWrap w:val="0"/>
            <w:vAlign w:val="center"/>
          </w:tcPr>
          <w:p w14:paraId="01C8BF72">
            <w:pPr>
              <w:keepLines/>
              <w:spacing w:line="460" w:lineRule="exact"/>
              <w:jc w:val="center"/>
              <w:rPr>
                <w:rFonts w:hint="eastAsia" w:ascii="宋体" w:hAnsi="宋体" w:eastAsia="宋体" w:cs="Times New Roman"/>
                <w:kern w:val="0"/>
                <w:sz w:val="24"/>
                <w:szCs w:val="24"/>
                <w:highlight w:val="none"/>
                <w:lang w:eastAsia="zh-CN"/>
              </w:rPr>
            </w:pPr>
            <w:r>
              <w:rPr>
                <w:rFonts w:hint="eastAsia" w:ascii="宋体" w:hAnsi="宋体" w:eastAsia="宋体" w:cs="Times New Roman"/>
                <w:kern w:val="0"/>
                <w:sz w:val="24"/>
                <w:szCs w:val="24"/>
                <w:highlight w:val="none"/>
                <w:lang w:val="en-US" w:eastAsia="zh-CN"/>
              </w:rPr>
              <w:t>服务期限</w:t>
            </w:r>
          </w:p>
        </w:tc>
        <w:tc>
          <w:tcPr>
            <w:tcW w:w="6645" w:type="dxa"/>
            <w:tcBorders>
              <w:top w:val="single" w:color="auto" w:sz="4" w:space="0"/>
              <w:left w:val="nil"/>
              <w:bottom w:val="single" w:color="auto" w:sz="4" w:space="0"/>
              <w:right w:val="single" w:color="auto" w:sz="4" w:space="0"/>
            </w:tcBorders>
            <w:noWrap w:val="0"/>
            <w:vAlign w:val="center"/>
          </w:tcPr>
          <w:p w14:paraId="7440CDF7">
            <w:pPr>
              <w:spacing w:line="460" w:lineRule="exact"/>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三年</w:t>
            </w:r>
          </w:p>
        </w:tc>
      </w:tr>
      <w:tr w14:paraId="21F534B1">
        <w:tblPrEx>
          <w:tblCellMar>
            <w:top w:w="0" w:type="dxa"/>
            <w:left w:w="108" w:type="dxa"/>
            <w:bottom w:w="0" w:type="dxa"/>
            <w:right w:w="108" w:type="dxa"/>
          </w:tblCellMar>
        </w:tblPrEx>
        <w:trPr>
          <w:trHeight w:val="69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F2427DA">
            <w:pPr>
              <w:spacing w:line="460" w:lineRule="exact"/>
              <w:jc w:val="center"/>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1.9</w:t>
            </w:r>
          </w:p>
        </w:tc>
        <w:tc>
          <w:tcPr>
            <w:tcW w:w="1838" w:type="dxa"/>
            <w:tcBorders>
              <w:top w:val="single" w:color="auto" w:sz="4" w:space="0"/>
              <w:left w:val="nil"/>
              <w:bottom w:val="single" w:color="auto" w:sz="4" w:space="0"/>
              <w:right w:val="single" w:color="auto" w:sz="4" w:space="0"/>
            </w:tcBorders>
            <w:noWrap w:val="0"/>
            <w:vAlign w:val="center"/>
          </w:tcPr>
          <w:p w14:paraId="7CF6AA47">
            <w:pPr>
              <w:keepLines/>
              <w:spacing w:line="460" w:lineRule="exact"/>
              <w:jc w:val="center"/>
              <w:rPr>
                <w:rFonts w:hint="eastAsia" w:ascii="宋体" w:hAnsi="宋体" w:eastAsia="宋体" w:cs="Times New Roman"/>
                <w:sz w:val="24"/>
                <w:szCs w:val="21"/>
                <w:highlight w:val="none"/>
                <w:lang w:eastAsia="zh-CN"/>
              </w:rPr>
            </w:pPr>
            <w:r>
              <w:rPr>
                <w:rFonts w:hint="eastAsia" w:ascii="宋体" w:hAnsi="宋体" w:cs="Times New Roman"/>
                <w:sz w:val="24"/>
                <w:szCs w:val="21"/>
                <w:highlight w:val="none"/>
                <w:lang w:eastAsia="zh-CN"/>
              </w:rPr>
              <w:t>服务质量</w:t>
            </w:r>
          </w:p>
        </w:tc>
        <w:tc>
          <w:tcPr>
            <w:tcW w:w="6645" w:type="dxa"/>
            <w:tcBorders>
              <w:top w:val="single" w:color="auto" w:sz="4" w:space="0"/>
              <w:left w:val="nil"/>
              <w:bottom w:val="single" w:color="auto" w:sz="4" w:space="0"/>
              <w:right w:val="single" w:color="auto" w:sz="4" w:space="0"/>
            </w:tcBorders>
            <w:noWrap w:val="0"/>
            <w:vAlign w:val="center"/>
          </w:tcPr>
          <w:p w14:paraId="46CAAB63">
            <w:pPr>
              <w:keepLines/>
              <w:spacing w:line="460" w:lineRule="exact"/>
              <w:jc w:val="left"/>
              <w:rPr>
                <w:rFonts w:hint="eastAsia" w:ascii="宋体" w:hAnsi="宋体" w:eastAsia="宋体" w:cs="Times New Roman"/>
                <w:sz w:val="24"/>
                <w:szCs w:val="21"/>
                <w:highlight w:val="none"/>
                <w:lang w:val="en-US" w:eastAsia="zh-CN"/>
              </w:rPr>
            </w:pPr>
            <w:r>
              <w:rPr>
                <w:rFonts w:hint="eastAsia" w:ascii="宋体" w:hAnsi="宋体" w:cs="宋体"/>
                <w:sz w:val="24"/>
                <w:szCs w:val="28"/>
                <w:highlight w:val="none"/>
              </w:rPr>
              <w:t>符合国家及行业相关规范和标准</w:t>
            </w:r>
          </w:p>
        </w:tc>
      </w:tr>
      <w:tr w14:paraId="65227E25">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EAD5FC8">
            <w:pPr>
              <w:spacing w:line="460" w:lineRule="exact"/>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 xml:space="preserve">  2.</w:t>
            </w:r>
            <w:r>
              <w:rPr>
                <w:rFonts w:hint="eastAsia" w:ascii="宋体" w:hAnsi="宋体" w:eastAsia="宋体" w:cs="Times New Roman"/>
                <w:sz w:val="24"/>
                <w:szCs w:val="24"/>
                <w:highlight w:val="none"/>
                <w:lang w:val="en-US" w:eastAsia="zh-CN"/>
              </w:rPr>
              <w:t>0</w:t>
            </w:r>
          </w:p>
        </w:tc>
        <w:tc>
          <w:tcPr>
            <w:tcW w:w="1838" w:type="dxa"/>
            <w:tcBorders>
              <w:top w:val="single" w:color="auto" w:sz="4" w:space="0"/>
              <w:left w:val="nil"/>
              <w:bottom w:val="single" w:color="auto" w:sz="4" w:space="0"/>
              <w:right w:val="single" w:color="auto" w:sz="4" w:space="0"/>
            </w:tcBorders>
            <w:noWrap w:val="0"/>
            <w:vAlign w:val="center"/>
          </w:tcPr>
          <w:p w14:paraId="284BFE1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磋商响应供应商资格要求</w:t>
            </w:r>
          </w:p>
        </w:tc>
        <w:tc>
          <w:tcPr>
            <w:tcW w:w="6645" w:type="dxa"/>
            <w:tcBorders>
              <w:top w:val="single" w:color="auto" w:sz="4" w:space="0"/>
              <w:left w:val="nil"/>
              <w:bottom w:val="single" w:color="auto" w:sz="4" w:space="0"/>
              <w:right w:val="single" w:color="auto" w:sz="4" w:space="0"/>
            </w:tcBorders>
            <w:noWrap w:val="0"/>
            <w:vAlign w:val="center"/>
          </w:tcPr>
          <w:p w14:paraId="4AC01248">
            <w:pPr>
              <w:spacing w:line="48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1、满足《中华人民共和国政府采购法》第二十二条规定；</w:t>
            </w:r>
          </w:p>
          <w:p w14:paraId="5A0CD208">
            <w:pPr>
              <w:spacing w:line="480" w:lineRule="exact"/>
              <w:jc w:val="left"/>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rPr>
              <w:t>2、落实政府采购政</w:t>
            </w:r>
            <w:r>
              <w:rPr>
                <w:rFonts w:hint="eastAsia" w:ascii="宋体" w:hAnsi="宋体" w:eastAsia="宋体" w:cs="宋体"/>
                <w:color w:val="000000"/>
                <w:kern w:val="0"/>
                <w:sz w:val="24"/>
                <w:szCs w:val="24"/>
                <w:highlight w:val="none"/>
              </w:rPr>
              <w:t>策满足的资格要求：</w:t>
            </w:r>
          </w:p>
          <w:p w14:paraId="5F628C8C">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本项目专门面向中小微企业采购。</w:t>
            </w:r>
          </w:p>
          <w:p w14:paraId="23A50D42">
            <w:pPr>
              <w:spacing w:line="480" w:lineRule="exact"/>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3、本项目的特定资格要求</w:t>
            </w:r>
          </w:p>
          <w:p w14:paraId="658A543D">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3.1、</w:t>
            </w:r>
            <w:r>
              <w:rPr>
                <w:rFonts w:hint="eastAsia" w:ascii="宋体" w:hAnsi="宋体" w:cs="宋体"/>
                <w:color w:val="000000"/>
                <w:kern w:val="0"/>
                <w:sz w:val="24"/>
                <w:szCs w:val="24"/>
                <w:highlight w:val="none"/>
                <w:lang w:eastAsia="zh-CN"/>
              </w:rPr>
              <w:t>供应商须具有具有有效的营业执照</w:t>
            </w:r>
            <w:r>
              <w:rPr>
                <w:rFonts w:hint="eastAsia" w:ascii="宋体" w:hAnsi="宋体" w:eastAsia="宋体" w:cs="宋体"/>
                <w:color w:val="000000"/>
                <w:kern w:val="0"/>
                <w:sz w:val="24"/>
                <w:szCs w:val="24"/>
                <w:highlight w:val="none"/>
                <w:lang w:eastAsia="zh-CN"/>
              </w:rPr>
              <w:t>；</w:t>
            </w:r>
          </w:p>
          <w:p w14:paraId="5845D0BF">
            <w:pPr>
              <w:spacing w:line="480" w:lineRule="exact"/>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3.</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eastAsia="zh-CN"/>
              </w:rPr>
              <w:t>自行出具本单位无商业贿赂及无不正当竞争行为的承诺书；</w:t>
            </w:r>
          </w:p>
          <w:p w14:paraId="2D377A77">
            <w:pPr>
              <w:widowControl/>
              <w:spacing w:line="500" w:lineRule="exact"/>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3</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cs="宋体"/>
                <w:color w:val="auto"/>
                <w:sz w:val="24"/>
                <w:highlight w:val="none"/>
              </w:rPr>
              <w:t>；</w:t>
            </w:r>
          </w:p>
          <w:p w14:paraId="35151EE7">
            <w:pPr>
              <w:widowControl/>
              <w:spacing w:line="500" w:lineRule="exact"/>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4</w:t>
            </w:r>
            <w:r>
              <w:rPr>
                <w:rFonts w:hint="eastAsia" w:ascii="宋体" w:hAnsi="宋体" w:cs="宋体"/>
                <w:color w:val="auto"/>
                <w:kern w:val="2"/>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宋体" w:hAnsi="宋体" w:cs="宋体"/>
                <w:color w:val="auto"/>
                <w:sz w:val="24"/>
                <w:highlight w:val="none"/>
              </w:rPr>
              <w:t>；</w:t>
            </w:r>
          </w:p>
          <w:p w14:paraId="0BE7E3D2">
            <w:pPr>
              <w:widowControl/>
              <w:spacing w:line="500" w:lineRule="exact"/>
              <w:outlineLvl w:val="2"/>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r>
              <w:rPr>
                <w:rFonts w:hint="eastAsia" w:ascii="宋体" w:hAnsi="宋体" w:cs="宋体"/>
                <w:color w:val="auto"/>
                <w:sz w:val="24"/>
                <w:highlight w:val="none"/>
              </w:rPr>
              <w:t>。</w:t>
            </w:r>
          </w:p>
          <w:p w14:paraId="0AA229F7">
            <w:pPr>
              <w:spacing w:line="480" w:lineRule="exact"/>
              <w:jc w:val="left"/>
              <w:rPr>
                <w:rFonts w:ascii="宋体" w:hAnsi="宋体" w:eastAsia="宋体" w:cs="宋体"/>
                <w:b/>
                <w:kern w:val="1"/>
                <w:sz w:val="24"/>
                <w:szCs w:val="28"/>
                <w:highlight w:val="none"/>
              </w:rPr>
            </w:pPr>
            <w:r>
              <w:rPr>
                <w:rFonts w:hint="eastAsia" w:ascii="宋体" w:hAnsi="宋体" w:eastAsia="宋体" w:cs="宋体"/>
                <w:color w:val="000000"/>
                <w:kern w:val="0"/>
                <w:sz w:val="24"/>
                <w:szCs w:val="24"/>
                <w:highlight w:val="none"/>
                <w:lang w:val="en-US" w:eastAsia="zh-CN"/>
              </w:rPr>
              <w:t>注：</w:t>
            </w:r>
            <w:r>
              <w:rPr>
                <w:rFonts w:hint="eastAsia" w:ascii="宋体" w:hAnsi="宋体" w:eastAsia="宋体" w:cs="宋体"/>
                <w:color w:val="000000"/>
                <w:kern w:val="0"/>
                <w:sz w:val="24"/>
                <w:szCs w:val="24"/>
                <w:highlight w:val="none"/>
              </w:rPr>
              <w:t>本项目实行资格后审，资格审查的具体要求见竞争性磋商文件。</w:t>
            </w:r>
          </w:p>
        </w:tc>
      </w:tr>
      <w:tr w14:paraId="4D80CEA1">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4B20634">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1</w:t>
            </w:r>
          </w:p>
        </w:tc>
        <w:tc>
          <w:tcPr>
            <w:tcW w:w="1838" w:type="dxa"/>
            <w:tcBorders>
              <w:top w:val="single" w:color="auto" w:sz="4" w:space="0"/>
              <w:left w:val="nil"/>
              <w:bottom w:val="single" w:color="auto" w:sz="4" w:space="0"/>
              <w:right w:val="single" w:color="auto" w:sz="4" w:space="0"/>
            </w:tcBorders>
            <w:noWrap w:val="0"/>
            <w:vAlign w:val="center"/>
          </w:tcPr>
          <w:p w14:paraId="0887528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磋商响应供应商提出问题的截止时间</w:t>
            </w:r>
          </w:p>
        </w:tc>
        <w:tc>
          <w:tcPr>
            <w:tcW w:w="6645" w:type="dxa"/>
            <w:tcBorders>
              <w:top w:val="single" w:color="auto" w:sz="4" w:space="0"/>
              <w:left w:val="nil"/>
              <w:bottom w:val="single" w:color="auto" w:sz="4" w:space="0"/>
              <w:right w:val="single" w:color="auto" w:sz="4" w:space="0"/>
            </w:tcBorders>
            <w:noWrap w:val="0"/>
            <w:vAlign w:val="center"/>
          </w:tcPr>
          <w:p w14:paraId="353A99E1">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递交磋商响应文件截止之日</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日前</w:t>
            </w:r>
          </w:p>
        </w:tc>
      </w:tr>
      <w:tr w14:paraId="2DF03B9E">
        <w:tblPrEx>
          <w:tblCellMar>
            <w:top w:w="0" w:type="dxa"/>
            <w:left w:w="108" w:type="dxa"/>
            <w:bottom w:w="0" w:type="dxa"/>
            <w:right w:w="108" w:type="dxa"/>
          </w:tblCellMar>
        </w:tblPrEx>
        <w:trPr>
          <w:trHeight w:val="1081" w:hRule="atLeast"/>
          <w:jc w:val="center"/>
        </w:trPr>
        <w:tc>
          <w:tcPr>
            <w:tcW w:w="1101" w:type="dxa"/>
            <w:tcBorders>
              <w:top w:val="nil"/>
              <w:left w:val="single" w:color="auto" w:sz="4" w:space="0"/>
              <w:bottom w:val="single" w:color="auto" w:sz="4" w:space="0"/>
              <w:right w:val="single" w:color="auto" w:sz="4" w:space="0"/>
            </w:tcBorders>
            <w:noWrap w:val="0"/>
            <w:vAlign w:val="center"/>
          </w:tcPr>
          <w:p w14:paraId="275EEF3D">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.2</w:t>
            </w:r>
          </w:p>
        </w:tc>
        <w:tc>
          <w:tcPr>
            <w:tcW w:w="1838" w:type="dxa"/>
            <w:tcBorders>
              <w:top w:val="nil"/>
              <w:left w:val="nil"/>
              <w:bottom w:val="single" w:color="auto" w:sz="4" w:space="0"/>
              <w:right w:val="single" w:color="auto" w:sz="4" w:space="0"/>
            </w:tcBorders>
            <w:noWrap w:val="0"/>
            <w:vAlign w:val="center"/>
          </w:tcPr>
          <w:p w14:paraId="42E94DC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采购人书面</w:t>
            </w:r>
          </w:p>
          <w:p w14:paraId="5BAA2222">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澄清的时间</w:t>
            </w:r>
          </w:p>
        </w:tc>
        <w:tc>
          <w:tcPr>
            <w:tcW w:w="6645" w:type="dxa"/>
            <w:tcBorders>
              <w:top w:val="nil"/>
              <w:left w:val="nil"/>
              <w:bottom w:val="single" w:color="auto" w:sz="4" w:space="0"/>
              <w:right w:val="single" w:color="auto" w:sz="4" w:space="0"/>
            </w:tcBorders>
            <w:noWrap w:val="0"/>
            <w:vAlign w:val="center"/>
          </w:tcPr>
          <w:p w14:paraId="19D0AA5F">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递交磋商响应文件截止之日</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日前</w:t>
            </w:r>
          </w:p>
        </w:tc>
      </w:tr>
      <w:tr w14:paraId="5DEE7313">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3E6F85CB">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2</w:t>
            </w:r>
          </w:p>
        </w:tc>
        <w:tc>
          <w:tcPr>
            <w:tcW w:w="1838" w:type="dxa"/>
            <w:tcBorders>
              <w:top w:val="single" w:color="auto" w:sz="4" w:space="0"/>
              <w:left w:val="nil"/>
              <w:bottom w:val="single" w:color="auto" w:sz="4" w:space="0"/>
              <w:right w:val="single" w:color="auto" w:sz="4" w:space="0"/>
            </w:tcBorders>
            <w:noWrap w:val="0"/>
            <w:vAlign w:val="center"/>
          </w:tcPr>
          <w:p w14:paraId="077972CA">
            <w:pPr>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磋商截止时间</w:t>
            </w:r>
          </w:p>
        </w:tc>
        <w:tc>
          <w:tcPr>
            <w:tcW w:w="6645" w:type="dxa"/>
            <w:tcBorders>
              <w:top w:val="single" w:color="auto" w:sz="4" w:space="0"/>
              <w:left w:val="nil"/>
              <w:bottom w:val="single" w:color="auto" w:sz="4" w:space="0"/>
              <w:right w:val="single" w:color="auto" w:sz="4" w:space="0"/>
            </w:tcBorders>
            <w:noWrap w:val="0"/>
            <w:vAlign w:val="center"/>
          </w:tcPr>
          <w:p w14:paraId="53CFDA8D">
            <w:pPr>
              <w:spacing w:line="460" w:lineRule="exact"/>
              <w:rPr>
                <w:rFonts w:ascii="宋体" w:hAnsi="宋体" w:eastAsia="宋体" w:cs="Times New Roman"/>
                <w:color w:val="000000"/>
                <w:sz w:val="24"/>
                <w:szCs w:val="24"/>
                <w:highlight w:val="none"/>
              </w:rPr>
            </w:pPr>
            <w:r>
              <w:rPr>
                <w:rFonts w:hint="eastAsia" w:ascii="宋体" w:hAnsi="宋体" w:cs="Times New Roman"/>
                <w:color w:val="000000"/>
                <w:sz w:val="24"/>
                <w:szCs w:val="28"/>
                <w:highlight w:val="none"/>
                <w:lang w:eastAsia="zh-CN"/>
              </w:rPr>
              <w:t>2025年</w:t>
            </w:r>
            <w:r>
              <w:rPr>
                <w:rFonts w:hint="eastAsia" w:ascii="宋体" w:hAnsi="宋体" w:cs="Times New Roman"/>
                <w:color w:val="000000"/>
                <w:sz w:val="24"/>
                <w:szCs w:val="28"/>
                <w:highlight w:val="none"/>
                <w:lang w:val="en-US" w:eastAsia="zh-CN"/>
              </w:rPr>
              <w:t>2</w:t>
            </w:r>
            <w:r>
              <w:rPr>
                <w:rFonts w:hint="eastAsia" w:ascii="宋体" w:hAnsi="宋体" w:cs="Times New Roman"/>
                <w:color w:val="000000"/>
                <w:sz w:val="24"/>
                <w:szCs w:val="28"/>
                <w:highlight w:val="none"/>
                <w:lang w:eastAsia="zh-CN"/>
              </w:rPr>
              <w:t>月7日08时20分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p>
        </w:tc>
      </w:tr>
      <w:tr w14:paraId="3AF4C4CA">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3304D36">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3</w:t>
            </w:r>
          </w:p>
        </w:tc>
        <w:tc>
          <w:tcPr>
            <w:tcW w:w="1838" w:type="dxa"/>
            <w:tcBorders>
              <w:top w:val="single" w:color="auto" w:sz="4" w:space="0"/>
              <w:left w:val="nil"/>
              <w:bottom w:val="single" w:color="auto" w:sz="4" w:space="0"/>
              <w:right w:val="single" w:color="auto" w:sz="4" w:space="0"/>
            </w:tcBorders>
            <w:noWrap w:val="0"/>
            <w:vAlign w:val="center"/>
          </w:tcPr>
          <w:p w14:paraId="622F4B9D">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磋商有效期</w:t>
            </w:r>
          </w:p>
        </w:tc>
        <w:tc>
          <w:tcPr>
            <w:tcW w:w="6645" w:type="dxa"/>
            <w:tcBorders>
              <w:top w:val="single" w:color="auto" w:sz="4" w:space="0"/>
              <w:left w:val="nil"/>
              <w:bottom w:val="single" w:color="auto" w:sz="4" w:space="0"/>
              <w:right w:val="single" w:color="auto" w:sz="4" w:space="0"/>
            </w:tcBorders>
            <w:noWrap w:val="0"/>
            <w:vAlign w:val="center"/>
          </w:tcPr>
          <w:p w14:paraId="37682B9D">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60日历天（从投标截止之日算起）</w:t>
            </w:r>
          </w:p>
        </w:tc>
      </w:tr>
      <w:tr w14:paraId="30A6F6EC">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647F77F">
            <w:pPr>
              <w:spacing w:line="460" w:lineRule="exact"/>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4</w:t>
            </w:r>
          </w:p>
        </w:tc>
        <w:tc>
          <w:tcPr>
            <w:tcW w:w="1838" w:type="dxa"/>
            <w:tcBorders>
              <w:top w:val="single" w:color="auto" w:sz="4" w:space="0"/>
              <w:left w:val="nil"/>
              <w:bottom w:val="single" w:color="auto" w:sz="4" w:space="0"/>
              <w:right w:val="single" w:color="auto" w:sz="4" w:space="0"/>
            </w:tcBorders>
            <w:noWrap w:val="0"/>
            <w:vAlign w:val="center"/>
          </w:tcPr>
          <w:p w14:paraId="3EE8EBE9">
            <w:pPr>
              <w:widowControl/>
              <w:spacing w:line="460" w:lineRule="exact"/>
              <w:jc w:val="center"/>
              <w:rPr>
                <w:rFonts w:ascii="宋体" w:hAnsi="宋体" w:eastAsia="宋体" w:cs="宋体"/>
                <w:kern w:val="0"/>
                <w:sz w:val="24"/>
                <w:szCs w:val="24"/>
                <w:highlight w:val="none"/>
              </w:rPr>
            </w:pPr>
            <w:r>
              <w:rPr>
                <w:rFonts w:hint="eastAsia" w:ascii="宋体" w:hAnsi="宋体" w:eastAsia="宋体" w:cs="宋体"/>
                <w:kern w:val="44"/>
                <w:sz w:val="24"/>
                <w:szCs w:val="24"/>
                <w:highlight w:val="none"/>
              </w:rPr>
              <w:t>磋商保证金</w:t>
            </w:r>
          </w:p>
        </w:tc>
        <w:tc>
          <w:tcPr>
            <w:tcW w:w="6645" w:type="dxa"/>
            <w:tcBorders>
              <w:top w:val="single" w:color="auto" w:sz="4" w:space="0"/>
              <w:left w:val="nil"/>
              <w:bottom w:val="single" w:color="auto" w:sz="4" w:space="0"/>
              <w:right w:val="single" w:color="auto" w:sz="4" w:space="0"/>
            </w:tcBorders>
            <w:noWrap w:val="0"/>
            <w:vAlign w:val="center"/>
          </w:tcPr>
          <w:p w14:paraId="3A95687B">
            <w:pPr>
              <w:widowControl/>
              <w:spacing w:line="460" w:lineRule="exact"/>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不收取</w:t>
            </w:r>
          </w:p>
        </w:tc>
      </w:tr>
      <w:tr w14:paraId="352FCA40">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1124638">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5</w:t>
            </w:r>
          </w:p>
        </w:tc>
        <w:tc>
          <w:tcPr>
            <w:tcW w:w="1838" w:type="dxa"/>
            <w:tcBorders>
              <w:top w:val="single" w:color="auto" w:sz="4" w:space="0"/>
              <w:left w:val="nil"/>
              <w:bottom w:val="single" w:color="auto" w:sz="4" w:space="0"/>
              <w:right w:val="single" w:color="auto" w:sz="4" w:space="0"/>
            </w:tcBorders>
            <w:noWrap w:val="0"/>
            <w:vAlign w:val="center"/>
          </w:tcPr>
          <w:p w14:paraId="693D603E">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签字或盖章</w:t>
            </w:r>
          </w:p>
          <w:p w14:paraId="2E569068">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要求</w:t>
            </w:r>
          </w:p>
        </w:tc>
        <w:tc>
          <w:tcPr>
            <w:tcW w:w="6645" w:type="dxa"/>
            <w:tcBorders>
              <w:top w:val="single" w:color="auto" w:sz="4" w:space="0"/>
              <w:left w:val="nil"/>
              <w:bottom w:val="single" w:color="auto" w:sz="4" w:space="0"/>
              <w:right w:val="single" w:color="auto" w:sz="4" w:space="0"/>
            </w:tcBorders>
            <w:noWrap w:val="0"/>
            <w:vAlign w:val="center"/>
          </w:tcPr>
          <w:p w14:paraId="72EAB17D">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磋商响应供应商在进行电子化磋商响应文件签章时，竞争性磋商文件中要求磋商响应供应商盖章的，以签盖单位章为准；要求法定代表人签章的，以签盖法定代表人签章为准。</w:t>
            </w:r>
          </w:p>
        </w:tc>
      </w:tr>
      <w:tr w14:paraId="7886BD3D">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3B292C2">
            <w:pPr>
              <w:spacing w:line="460" w:lineRule="exact"/>
              <w:jc w:val="center"/>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6</w:t>
            </w:r>
          </w:p>
        </w:tc>
        <w:tc>
          <w:tcPr>
            <w:tcW w:w="1838" w:type="dxa"/>
            <w:tcBorders>
              <w:top w:val="single" w:color="auto" w:sz="4" w:space="0"/>
              <w:left w:val="nil"/>
              <w:bottom w:val="single" w:color="auto" w:sz="4" w:space="0"/>
              <w:right w:val="single" w:color="auto" w:sz="4" w:space="0"/>
            </w:tcBorders>
            <w:noWrap w:val="0"/>
            <w:vAlign w:val="center"/>
          </w:tcPr>
          <w:p w14:paraId="5DFD1C80">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电子化</w:t>
            </w:r>
            <w:r>
              <w:rPr>
                <w:rFonts w:hint="eastAsia" w:ascii="宋体" w:hAnsi="宋体" w:eastAsia="宋体" w:cs="Times New Roman"/>
                <w:sz w:val="24"/>
                <w:szCs w:val="24"/>
                <w:highlight w:val="none"/>
              </w:rPr>
              <w:t>磋商</w:t>
            </w:r>
            <w:r>
              <w:rPr>
                <w:rFonts w:hint="eastAsia" w:ascii="宋体" w:hAnsi="宋体" w:eastAsia="宋体" w:cs="Times New Roman"/>
                <w:kern w:val="0"/>
                <w:sz w:val="24"/>
                <w:szCs w:val="24"/>
                <w:highlight w:val="none"/>
              </w:rPr>
              <w:t>响应文件的格式及上传</w:t>
            </w:r>
          </w:p>
        </w:tc>
        <w:tc>
          <w:tcPr>
            <w:tcW w:w="6645" w:type="dxa"/>
            <w:tcBorders>
              <w:top w:val="single" w:color="auto" w:sz="4" w:space="0"/>
              <w:left w:val="nil"/>
              <w:bottom w:val="single" w:color="auto" w:sz="4" w:space="0"/>
              <w:right w:val="single" w:color="auto" w:sz="4" w:space="0"/>
            </w:tcBorders>
            <w:noWrap w:val="0"/>
            <w:vAlign w:val="center"/>
          </w:tcPr>
          <w:p w14:paraId="0A6AEF0B">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1、供应商所上传的电子化磋商响应文件，应是通过中心磋商响应文件制作系统制作的（磋商响应文件制作工具下载地址：</w:t>
            </w:r>
            <w:r>
              <w:rPr>
                <w:rFonts w:hint="eastAsia" w:ascii="Times New Roman" w:hAnsi="Times New Roman" w:eastAsia="宋体" w:cs="Times New Roman"/>
                <w:szCs w:val="21"/>
                <w:highlight w:val="none"/>
              </w:rPr>
              <w:t>http://gzjy.smx.gov.cn/fwzn/004003/20200330/0de4b849-7eb7-4f4e-9a30-ae8b6a961d7f.html</w:t>
            </w:r>
            <w:r>
              <w:rPr>
                <w:rFonts w:hint="eastAsia" w:ascii="宋体" w:hAnsi="宋体" w:eastAsia="宋体" w:cs="Times New Roman"/>
                <w:kern w:val="0"/>
                <w:sz w:val="24"/>
                <w:szCs w:val="24"/>
                <w:highlight w:val="none"/>
              </w:rPr>
              <w:t>），经过签章和加密后生成的电子版磋商响应文件。其中包含用于磋商响应文件上传的主文件（后缀为.smxtf）和用于应急补救的磋商响应文件备份文件（后缀为.nsmxtf）。</w:t>
            </w:r>
          </w:p>
          <w:p w14:paraId="4E2A2AA2">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3FB0949D">
            <w:pPr>
              <w:spacing w:line="460" w:lineRule="exac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技术联系电话：0398-3117871 。</w:t>
            </w:r>
          </w:p>
        </w:tc>
      </w:tr>
      <w:tr w14:paraId="48BC8E2A">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7FB0F9FF">
            <w:pPr>
              <w:spacing w:line="460" w:lineRule="exact"/>
              <w:ind w:firstLine="240" w:firstLineChars="1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7</w:t>
            </w:r>
          </w:p>
        </w:tc>
        <w:tc>
          <w:tcPr>
            <w:tcW w:w="1838" w:type="dxa"/>
            <w:tcBorders>
              <w:top w:val="single" w:color="auto" w:sz="4" w:space="0"/>
              <w:left w:val="nil"/>
              <w:bottom w:val="single" w:color="auto" w:sz="4" w:space="0"/>
              <w:right w:val="single" w:color="auto" w:sz="4" w:space="0"/>
            </w:tcBorders>
            <w:noWrap w:val="0"/>
            <w:vAlign w:val="center"/>
          </w:tcPr>
          <w:p w14:paraId="1F850AE1">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磋商时间</w:t>
            </w:r>
          </w:p>
          <w:p w14:paraId="7EC5BB29">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和地点</w:t>
            </w:r>
          </w:p>
        </w:tc>
        <w:tc>
          <w:tcPr>
            <w:tcW w:w="6645" w:type="dxa"/>
            <w:tcBorders>
              <w:top w:val="single" w:color="auto" w:sz="4" w:space="0"/>
              <w:left w:val="nil"/>
              <w:bottom w:val="single" w:color="auto" w:sz="4" w:space="0"/>
              <w:right w:val="single" w:color="auto" w:sz="4" w:space="0"/>
            </w:tcBorders>
            <w:noWrap w:val="0"/>
            <w:vAlign w:val="center"/>
          </w:tcPr>
          <w:p w14:paraId="16AAA44E">
            <w:pPr>
              <w:spacing w:line="460" w:lineRule="exac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时间：</w:t>
            </w:r>
            <w:r>
              <w:rPr>
                <w:rFonts w:hint="eastAsia" w:ascii="宋体" w:hAnsi="宋体" w:cs="Times New Roman"/>
                <w:color w:val="000000"/>
                <w:sz w:val="24"/>
                <w:szCs w:val="28"/>
                <w:highlight w:val="none"/>
                <w:lang w:eastAsia="zh-CN"/>
              </w:rPr>
              <w:t>2025年</w:t>
            </w:r>
            <w:r>
              <w:rPr>
                <w:rFonts w:hint="eastAsia" w:ascii="宋体" w:hAnsi="宋体" w:cs="Times New Roman"/>
                <w:color w:val="000000"/>
                <w:sz w:val="24"/>
                <w:szCs w:val="28"/>
                <w:highlight w:val="none"/>
                <w:lang w:val="en-US" w:eastAsia="zh-CN"/>
              </w:rPr>
              <w:t>2</w:t>
            </w:r>
            <w:r>
              <w:rPr>
                <w:rFonts w:hint="eastAsia" w:ascii="宋体" w:hAnsi="宋体" w:cs="Times New Roman"/>
                <w:color w:val="000000"/>
                <w:sz w:val="24"/>
                <w:szCs w:val="28"/>
                <w:highlight w:val="none"/>
                <w:lang w:eastAsia="zh-CN"/>
              </w:rPr>
              <w:t>月7日08时20分</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北京时间</w:t>
            </w:r>
            <w:r>
              <w:rPr>
                <w:rFonts w:hint="eastAsia" w:ascii="宋体" w:hAnsi="宋体" w:cs="宋体"/>
                <w:color w:val="000000"/>
                <w:kern w:val="0"/>
                <w:sz w:val="24"/>
                <w:szCs w:val="24"/>
                <w:highlight w:val="none"/>
                <w:lang w:eastAsia="zh-CN"/>
              </w:rPr>
              <w:t>）</w:t>
            </w:r>
            <w:r>
              <w:rPr>
                <w:rFonts w:hint="eastAsia" w:ascii="宋体" w:hAnsi="宋体" w:eastAsia="宋体" w:cs="Times New Roman"/>
                <w:color w:val="000000"/>
                <w:sz w:val="24"/>
                <w:szCs w:val="24"/>
                <w:highlight w:val="none"/>
              </w:rPr>
              <w:t>。</w:t>
            </w:r>
          </w:p>
          <w:p w14:paraId="4CDA3730">
            <w:pPr>
              <w:spacing w:line="460" w:lineRule="exact"/>
              <w:rPr>
                <w:rFonts w:ascii="宋体" w:hAnsi="宋体" w:eastAsia="宋体" w:cs="Times New Roman"/>
                <w:sz w:val="24"/>
                <w:szCs w:val="24"/>
                <w:highlight w:val="none"/>
              </w:rPr>
            </w:pPr>
            <w:r>
              <w:rPr>
                <w:rFonts w:hint="eastAsia" w:ascii="宋体" w:hAnsi="宋体" w:eastAsia="宋体" w:cs="Times New Roman"/>
                <w:color w:val="000000"/>
                <w:sz w:val="24"/>
                <w:szCs w:val="24"/>
                <w:highlight w:val="none"/>
              </w:rPr>
              <w:t>地点：</w:t>
            </w:r>
            <w:r>
              <w:rPr>
                <w:rFonts w:hint="eastAsia" w:ascii="宋体" w:hAnsi="宋体" w:cs="宋体"/>
                <w:color w:val="000000"/>
                <w:kern w:val="0"/>
                <w:sz w:val="24"/>
                <w:szCs w:val="24"/>
                <w:highlight w:val="none"/>
              </w:rPr>
              <w:t>渑池县公共资源交易中心</w:t>
            </w:r>
            <w:r>
              <w:rPr>
                <w:rFonts w:hint="eastAsia" w:ascii="宋体" w:hAnsi="宋体" w:cs="宋体"/>
                <w:color w:val="000000"/>
                <w:kern w:val="0"/>
                <w:sz w:val="24"/>
                <w:szCs w:val="24"/>
                <w:highlight w:val="none"/>
                <w:lang w:val="en-US" w:eastAsia="zh-CN"/>
              </w:rPr>
              <w:t>六楼开标二室</w:t>
            </w:r>
            <w:r>
              <w:rPr>
                <w:rFonts w:hint="eastAsia" w:ascii="宋体" w:hAnsi="宋体" w:eastAsia="宋体" w:cs="Times New Roman"/>
                <w:color w:val="000000"/>
                <w:sz w:val="24"/>
                <w:szCs w:val="24"/>
                <w:highlight w:val="none"/>
              </w:rPr>
              <w:t>。</w:t>
            </w:r>
          </w:p>
        </w:tc>
      </w:tr>
      <w:tr w14:paraId="1D23C536">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8E70734">
            <w:pPr>
              <w:spacing w:line="460" w:lineRule="exact"/>
              <w:rPr>
                <w:rFonts w:ascii="宋体" w:hAnsi="宋体" w:eastAsia="宋体" w:cs="Times New Roman"/>
                <w:sz w:val="24"/>
                <w:szCs w:val="24"/>
                <w:highlight w:val="none"/>
              </w:rPr>
            </w:pPr>
            <w:r>
              <w:rPr>
                <w:rFonts w:ascii="宋体" w:hAnsi="宋体" w:eastAsia="宋体" w:cs="Times New Roman"/>
                <w:sz w:val="24"/>
                <w:szCs w:val="24"/>
                <w:highlight w:val="none"/>
              </w:rPr>
              <w:t xml:space="preserve">  3.</w:t>
            </w:r>
            <w:r>
              <w:rPr>
                <w:rFonts w:hint="eastAsia" w:ascii="宋体" w:hAnsi="宋体" w:eastAsia="宋体" w:cs="Times New Roman"/>
                <w:sz w:val="24"/>
                <w:szCs w:val="24"/>
                <w:highlight w:val="none"/>
              </w:rPr>
              <w:t>0</w:t>
            </w:r>
          </w:p>
        </w:tc>
        <w:tc>
          <w:tcPr>
            <w:tcW w:w="1838" w:type="dxa"/>
            <w:tcBorders>
              <w:top w:val="single" w:color="auto" w:sz="4" w:space="0"/>
              <w:left w:val="nil"/>
              <w:bottom w:val="single" w:color="auto" w:sz="4" w:space="0"/>
              <w:right w:val="single" w:color="auto" w:sz="4" w:space="0"/>
            </w:tcBorders>
            <w:noWrap w:val="0"/>
            <w:vAlign w:val="center"/>
          </w:tcPr>
          <w:p w14:paraId="2B326F53">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磋商顺序</w:t>
            </w:r>
          </w:p>
        </w:tc>
        <w:tc>
          <w:tcPr>
            <w:tcW w:w="6645" w:type="dxa"/>
            <w:tcBorders>
              <w:top w:val="single" w:color="auto" w:sz="4" w:space="0"/>
              <w:left w:val="nil"/>
              <w:bottom w:val="single" w:color="auto" w:sz="4" w:space="0"/>
              <w:right w:val="single" w:color="auto" w:sz="4" w:space="0"/>
            </w:tcBorders>
            <w:noWrap w:val="0"/>
            <w:vAlign w:val="center"/>
          </w:tcPr>
          <w:p w14:paraId="1E097761">
            <w:pPr>
              <w:widowControl/>
              <w:spacing w:line="460" w:lineRule="exact"/>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按</w:t>
            </w:r>
            <w:r>
              <w:rPr>
                <w:rFonts w:hint="eastAsia" w:ascii="宋体" w:hAnsi="宋体" w:eastAsia="宋体" w:cs="Times New Roman"/>
                <w:sz w:val="24"/>
                <w:szCs w:val="24"/>
                <w:highlight w:val="none"/>
              </w:rPr>
              <w:t>电子化磋商</w:t>
            </w:r>
            <w:r>
              <w:rPr>
                <w:rFonts w:hint="eastAsia" w:ascii="宋体" w:hAnsi="宋体" w:eastAsia="宋体" w:cs="Times New Roman"/>
                <w:kern w:val="0"/>
                <w:sz w:val="24"/>
                <w:szCs w:val="24"/>
                <w:highlight w:val="none"/>
              </w:rPr>
              <w:t>响应文件上传的时间顺序磋商。</w:t>
            </w:r>
          </w:p>
        </w:tc>
      </w:tr>
      <w:tr w14:paraId="6F05C9A9">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D3BB204">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1</w:t>
            </w:r>
          </w:p>
        </w:tc>
        <w:tc>
          <w:tcPr>
            <w:tcW w:w="1838" w:type="dxa"/>
            <w:tcBorders>
              <w:top w:val="single" w:color="auto" w:sz="4" w:space="0"/>
              <w:left w:val="nil"/>
              <w:bottom w:val="single" w:color="auto" w:sz="4" w:space="0"/>
              <w:right w:val="single" w:color="auto" w:sz="4" w:space="0"/>
            </w:tcBorders>
            <w:noWrap w:val="0"/>
            <w:vAlign w:val="center"/>
          </w:tcPr>
          <w:p w14:paraId="0FC815BE">
            <w:pPr>
              <w:spacing w:line="460" w:lineRule="exact"/>
              <w:jc w:val="center"/>
              <w:rPr>
                <w:rFonts w:hint="eastAsia" w:ascii="宋体" w:hAnsi="宋体" w:eastAsia="宋体" w:cs="Times New Roman"/>
                <w:sz w:val="24"/>
                <w:szCs w:val="24"/>
                <w:highlight w:val="none"/>
                <w:lang w:eastAsia="zh-CN"/>
              </w:rPr>
            </w:pPr>
            <w:r>
              <w:rPr>
                <w:rFonts w:hint="eastAsia" w:ascii="宋体" w:hAnsi="宋体" w:cs="Times New Roman"/>
                <w:sz w:val="24"/>
                <w:szCs w:val="24"/>
                <w:highlight w:val="none"/>
                <w:lang w:eastAsia="zh-CN"/>
              </w:rPr>
              <w:t>磋商小组</w:t>
            </w:r>
          </w:p>
          <w:p w14:paraId="61A34724">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的组建</w:t>
            </w:r>
          </w:p>
        </w:tc>
        <w:tc>
          <w:tcPr>
            <w:tcW w:w="6645" w:type="dxa"/>
            <w:tcBorders>
              <w:top w:val="single" w:color="auto" w:sz="4" w:space="0"/>
              <w:left w:val="nil"/>
              <w:bottom w:val="single" w:color="auto" w:sz="4" w:space="0"/>
              <w:right w:val="single" w:color="auto" w:sz="4" w:space="0"/>
            </w:tcBorders>
            <w:noWrap w:val="0"/>
            <w:vAlign w:val="center"/>
          </w:tcPr>
          <w:p w14:paraId="3383CA7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评标活动依法成立</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在开标前组建，</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由3人组成，其中</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代表1人，</w:t>
            </w:r>
            <w:r>
              <w:rPr>
                <w:rFonts w:hint="eastAsia" w:ascii="宋体" w:hAnsi="宋体" w:eastAsia="宋体" w:cs="宋体"/>
                <w:color w:val="auto"/>
                <w:kern w:val="0"/>
                <w:sz w:val="24"/>
                <w:szCs w:val="24"/>
                <w:highlight w:val="none"/>
                <w:lang w:val="en-US" w:eastAsia="zh-CN"/>
              </w:rPr>
              <w:t>其它</w:t>
            </w:r>
            <w:r>
              <w:rPr>
                <w:rFonts w:hint="eastAsia" w:ascii="宋体" w:hAnsi="宋体" w:eastAsia="宋体" w:cs="宋体"/>
                <w:color w:val="auto"/>
                <w:kern w:val="0"/>
                <w:sz w:val="24"/>
                <w:szCs w:val="24"/>
                <w:highlight w:val="none"/>
              </w:rPr>
              <w:t>专家2人；</w:t>
            </w:r>
          </w:p>
          <w:p w14:paraId="41AD052A">
            <w:pPr>
              <w:spacing w:line="460" w:lineRule="exact"/>
              <w:rPr>
                <w:rFonts w:ascii="宋体" w:hAnsi="宋体" w:eastAsia="宋体" w:cs="Times New Roman"/>
                <w:sz w:val="24"/>
                <w:szCs w:val="24"/>
                <w:highlight w:val="none"/>
              </w:rPr>
            </w:pPr>
            <w:r>
              <w:rPr>
                <w:rFonts w:hint="eastAsia" w:ascii="宋体" w:hAnsi="宋体" w:eastAsia="宋体" w:cs="宋体"/>
                <w:color w:val="auto"/>
                <w:kern w:val="0"/>
                <w:sz w:val="24"/>
                <w:szCs w:val="24"/>
                <w:highlight w:val="none"/>
              </w:rPr>
              <w:t>确定方式：开标当天从河南省政府采购网专家库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3A858720">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99D6D15">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2</w:t>
            </w:r>
          </w:p>
        </w:tc>
        <w:tc>
          <w:tcPr>
            <w:tcW w:w="1838" w:type="dxa"/>
            <w:tcBorders>
              <w:top w:val="single" w:color="auto" w:sz="4" w:space="0"/>
              <w:left w:val="nil"/>
              <w:bottom w:val="single" w:color="auto" w:sz="4" w:space="0"/>
              <w:right w:val="single" w:color="auto" w:sz="4" w:space="0"/>
            </w:tcBorders>
            <w:noWrap w:val="0"/>
            <w:vAlign w:val="center"/>
          </w:tcPr>
          <w:p w14:paraId="4378331A">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是否授权磋商专家确定成交供应商</w:t>
            </w:r>
          </w:p>
        </w:tc>
        <w:tc>
          <w:tcPr>
            <w:tcW w:w="6645" w:type="dxa"/>
            <w:tcBorders>
              <w:top w:val="single" w:color="auto" w:sz="4" w:space="0"/>
              <w:left w:val="nil"/>
              <w:bottom w:val="single" w:color="auto" w:sz="4" w:space="0"/>
              <w:right w:val="single" w:color="auto" w:sz="4" w:space="0"/>
            </w:tcBorders>
            <w:noWrap w:val="0"/>
            <w:vAlign w:val="center"/>
          </w:tcPr>
          <w:p w14:paraId="474E0609">
            <w:pPr>
              <w:spacing w:line="460" w:lineRule="exact"/>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否</w:t>
            </w:r>
            <w:r>
              <w:rPr>
                <w:rFonts w:hint="eastAsia" w:ascii="宋体" w:hAnsi="宋体" w:eastAsia="宋体" w:cs="Times New Roman"/>
                <w:sz w:val="24"/>
                <w:szCs w:val="24"/>
                <w:highlight w:val="none"/>
              </w:rPr>
              <w:t>。</w:t>
            </w:r>
          </w:p>
        </w:tc>
      </w:tr>
      <w:tr w14:paraId="66A8F3C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57D2AFF1">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3</w:t>
            </w:r>
          </w:p>
        </w:tc>
        <w:tc>
          <w:tcPr>
            <w:tcW w:w="1838" w:type="dxa"/>
            <w:tcBorders>
              <w:top w:val="single" w:color="auto" w:sz="4" w:space="0"/>
              <w:left w:val="nil"/>
              <w:bottom w:val="single" w:color="auto" w:sz="4" w:space="0"/>
              <w:right w:val="single" w:color="auto" w:sz="4" w:space="0"/>
            </w:tcBorders>
            <w:noWrap w:val="0"/>
            <w:vAlign w:val="center"/>
          </w:tcPr>
          <w:p w14:paraId="6D0D7271">
            <w:pPr>
              <w:keepLines/>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代理服务费</w:t>
            </w:r>
          </w:p>
        </w:tc>
        <w:tc>
          <w:tcPr>
            <w:tcW w:w="6645" w:type="dxa"/>
            <w:tcBorders>
              <w:top w:val="single" w:color="auto" w:sz="4" w:space="0"/>
              <w:left w:val="nil"/>
              <w:bottom w:val="single" w:color="auto" w:sz="4" w:space="0"/>
              <w:right w:val="single" w:color="auto" w:sz="4" w:space="0"/>
            </w:tcBorders>
            <w:noWrap w:val="0"/>
            <w:vAlign w:val="center"/>
          </w:tcPr>
          <w:p w14:paraId="11B8DC36">
            <w:pPr>
              <w:keepLines/>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eastAsia="宋体" w:cs="Times New Roman"/>
                <w:color w:val="000000"/>
                <w:sz w:val="24"/>
                <w:szCs w:val="24"/>
                <w:highlight w:val="none"/>
                <w:lang w:val="en-US" w:eastAsia="zh-CN"/>
              </w:rPr>
              <w:t>。</w:t>
            </w:r>
          </w:p>
        </w:tc>
      </w:tr>
      <w:tr w14:paraId="6B4F3815">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4AECD793">
            <w:pPr>
              <w:spacing w:line="460" w:lineRule="exact"/>
              <w:jc w:val="center"/>
              <w:rPr>
                <w:rFonts w:ascii="宋体" w:hAnsi="宋体" w:eastAsia="宋体" w:cs="Times New Roman"/>
                <w:sz w:val="24"/>
                <w:szCs w:val="24"/>
                <w:highlight w:val="none"/>
              </w:rPr>
            </w:pPr>
            <w:r>
              <w:rPr>
                <w:rFonts w:ascii="宋体" w:hAnsi="宋体" w:eastAsia="宋体" w:cs="Times New Roman"/>
                <w:sz w:val="24"/>
                <w:szCs w:val="24"/>
                <w:highlight w:val="none"/>
              </w:rPr>
              <w:t>3.4</w:t>
            </w:r>
          </w:p>
        </w:tc>
        <w:tc>
          <w:tcPr>
            <w:tcW w:w="1838" w:type="dxa"/>
            <w:tcBorders>
              <w:top w:val="single" w:color="auto" w:sz="4" w:space="0"/>
              <w:left w:val="nil"/>
              <w:bottom w:val="single" w:color="auto" w:sz="4" w:space="0"/>
              <w:right w:val="single" w:color="auto" w:sz="4" w:space="0"/>
            </w:tcBorders>
            <w:noWrap w:val="0"/>
            <w:vAlign w:val="center"/>
          </w:tcPr>
          <w:p w14:paraId="77F877F1">
            <w:pPr>
              <w:spacing w:line="460" w:lineRule="exact"/>
              <w:jc w:val="center"/>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招标控制价</w:t>
            </w:r>
          </w:p>
        </w:tc>
        <w:tc>
          <w:tcPr>
            <w:tcW w:w="6645" w:type="dxa"/>
            <w:tcBorders>
              <w:top w:val="single" w:color="auto" w:sz="4" w:space="0"/>
              <w:left w:val="nil"/>
              <w:bottom w:val="single" w:color="auto" w:sz="4" w:space="0"/>
              <w:right w:val="single" w:color="auto" w:sz="4" w:space="0"/>
            </w:tcBorders>
            <w:noWrap w:val="0"/>
            <w:vAlign w:val="center"/>
          </w:tcPr>
          <w:p w14:paraId="74F6BB92">
            <w:pPr>
              <w:widowControl/>
              <w:spacing w:line="460" w:lineRule="exact"/>
              <w:jc w:val="left"/>
              <w:rPr>
                <w:rFonts w:hint="eastAsia" w:ascii="宋体" w:hAnsi="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大写：</w:t>
            </w:r>
            <w:r>
              <w:rPr>
                <w:rFonts w:hint="eastAsia" w:ascii="宋体" w:hAnsi="宋体" w:cs="Times New Roman"/>
                <w:color w:val="000000"/>
                <w:sz w:val="24"/>
                <w:szCs w:val="24"/>
                <w:highlight w:val="none"/>
                <w:lang w:val="en-US" w:eastAsia="zh-CN"/>
              </w:rPr>
              <w:t>肆拾贰万元整</w:t>
            </w:r>
          </w:p>
          <w:p w14:paraId="6713D89A">
            <w:pPr>
              <w:widowControl/>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lang w:val="en-US" w:eastAsia="zh-CN"/>
              </w:rPr>
              <w:t>小写：</w:t>
            </w:r>
            <w:r>
              <w:rPr>
                <w:rFonts w:hint="eastAsia" w:ascii="宋体" w:hAnsi="宋体" w:cs="Times New Roman"/>
                <w:color w:val="000000"/>
                <w:sz w:val="24"/>
                <w:szCs w:val="24"/>
                <w:highlight w:val="none"/>
                <w:lang w:val="en-US" w:eastAsia="zh-CN"/>
              </w:rPr>
              <w:t>420000.00元</w:t>
            </w:r>
          </w:p>
          <w:p w14:paraId="4A8C5A8C">
            <w:pPr>
              <w:widowControl/>
              <w:spacing w:line="460" w:lineRule="exact"/>
              <w:jc w:val="lef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凡磋商响应供应商的磋商报价超出“招标控制价”的，该磋商响应供应商的磋商响应文件应作无效标处理。</w:t>
            </w:r>
          </w:p>
        </w:tc>
      </w:tr>
      <w:tr w14:paraId="7CD790C6">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204000B0">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3.5</w:t>
            </w:r>
          </w:p>
        </w:tc>
        <w:tc>
          <w:tcPr>
            <w:tcW w:w="1838" w:type="dxa"/>
            <w:tcBorders>
              <w:top w:val="single" w:color="auto" w:sz="4" w:space="0"/>
              <w:left w:val="nil"/>
              <w:bottom w:val="single" w:color="auto" w:sz="4" w:space="0"/>
              <w:right w:val="single" w:color="auto" w:sz="4" w:space="0"/>
            </w:tcBorders>
            <w:noWrap w:val="0"/>
            <w:vAlign w:val="center"/>
          </w:tcPr>
          <w:p w14:paraId="12392B16">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其他</w:t>
            </w:r>
          </w:p>
        </w:tc>
        <w:tc>
          <w:tcPr>
            <w:tcW w:w="6645" w:type="dxa"/>
            <w:tcBorders>
              <w:top w:val="single" w:color="auto" w:sz="4" w:space="0"/>
              <w:left w:val="nil"/>
              <w:bottom w:val="single" w:color="auto" w:sz="4" w:space="0"/>
              <w:right w:val="single" w:color="auto" w:sz="4" w:space="0"/>
            </w:tcBorders>
            <w:noWrap w:val="0"/>
            <w:vAlign w:val="center"/>
          </w:tcPr>
          <w:p w14:paraId="0593A829">
            <w:pPr>
              <w:widowControl/>
              <w:spacing w:line="460" w:lineRule="exac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1.我单位（采购人）严格按三财购【2021】9号文要求的时限发布</w:t>
            </w:r>
            <w:r>
              <w:rPr>
                <w:rFonts w:hint="eastAsia" w:ascii="宋体" w:hAnsi="宋体" w:cs="Times New Roman"/>
                <w:sz w:val="24"/>
                <w:szCs w:val="24"/>
                <w:highlight w:val="none"/>
                <w:lang w:val="en-US" w:eastAsia="zh-CN"/>
              </w:rPr>
              <w:t>成交公告</w:t>
            </w:r>
            <w:r>
              <w:rPr>
                <w:rFonts w:hint="eastAsia" w:ascii="宋体" w:hAnsi="宋体" w:eastAsia="宋体" w:cs="Times New Roman"/>
                <w:sz w:val="24"/>
                <w:szCs w:val="24"/>
                <w:highlight w:val="none"/>
              </w:rPr>
              <w:t>，发出中标（成交）通知书，签订采购合同，上传采购合同。</w:t>
            </w:r>
          </w:p>
          <w:p w14:paraId="44102CBF">
            <w:pPr>
              <w:spacing w:line="360" w:lineRule="auto"/>
              <w:rPr>
                <w:rFonts w:ascii="宋体" w:hAnsi="宋体" w:eastAsia="宋体" w:cs="宋体"/>
                <w:kern w:val="1"/>
                <w:sz w:val="24"/>
                <w:szCs w:val="21"/>
                <w:highlight w:val="none"/>
              </w:rPr>
            </w:pPr>
            <w:r>
              <w:rPr>
                <w:rFonts w:hint="eastAsia" w:ascii="宋体" w:hAnsi="宋体" w:eastAsia="宋体" w:cs="宋体"/>
                <w:kern w:val="1"/>
                <w:sz w:val="24"/>
                <w:szCs w:val="21"/>
                <w:highlight w:val="none"/>
              </w:rPr>
              <w:t>2.以</w:t>
            </w:r>
            <w:r>
              <w:rPr>
                <w:rFonts w:hint="eastAsia" w:ascii="宋体" w:hAnsi="宋体" w:cs="宋体"/>
                <w:kern w:val="1"/>
                <w:sz w:val="24"/>
                <w:szCs w:val="21"/>
                <w:highlight w:val="none"/>
                <w:lang w:eastAsia="zh-CN"/>
              </w:rPr>
              <w:t>响应文件</w:t>
            </w:r>
            <w:r>
              <w:rPr>
                <w:rFonts w:hint="eastAsia" w:ascii="宋体" w:hAnsi="宋体" w:eastAsia="宋体" w:cs="宋体"/>
                <w:kern w:val="1"/>
                <w:sz w:val="24"/>
                <w:szCs w:val="21"/>
                <w:highlight w:val="none"/>
              </w:rPr>
              <w:t>业绩信息为准，可使用电子营业执照。</w:t>
            </w:r>
          </w:p>
          <w:p w14:paraId="6F63DE52">
            <w:pPr>
              <w:spacing w:line="360" w:lineRule="auto"/>
              <w:rPr>
                <w:rFonts w:ascii="宋体" w:hAnsi="宋体" w:eastAsia="宋体" w:cs="Times New Roman"/>
                <w:sz w:val="24"/>
                <w:szCs w:val="24"/>
                <w:highlight w:val="none"/>
              </w:rPr>
            </w:pPr>
            <w:r>
              <w:rPr>
                <w:rFonts w:hint="eastAsia" w:ascii="宋体" w:hAnsi="宋体" w:eastAsia="宋体" w:cs="宋体"/>
                <w:b w:val="0"/>
                <w:bCs/>
                <w:sz w:val="24"/>
                <w:szCs w:val="24"/>
                <w:highlight w:val="none"/>
              </w:rPr>
              <w:t>3.本项</w:t>
            </w:r>
            <w:r>
              <w:rPr>
                <w:rFonts w:hint="eastAsia" w:ascii="宋体" w:hAnsi="宋体" w:eastAsia="宋体" w:cs="Times New Roman"/>
                <w:sz w:val="24"/>
                <w:szCs w:val="24"/>
                <w:highlight w:val="none"/>
              </w:rPr>
              <w:t>目实行资格后审，根据优化营商环境的要求，评标时审查内容以投标（响应）文件为准：</w:t>
            </w:r>
          </w:p>
          <w:p w14:paraId="6F7C8A66">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（1）资格评（预）审部分：资格评（预）以投标（响应）文件为准，其上传资料真实性由供应商自行承担，同时，供应商要完善主体库。</w:t>
            </w:r>
          </w:p>
          <w:p w14:paraId="489241F9">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（2）评标打分部分：评标打分部分仍按照100分制原则进行，涉及到资格审查、企业荣誉、人员业绩、企业业绩等计分部分时，以供应商自行上传到投标（响应）文件中的相应内容为准。</w:t>
            </w:r>
          </w:p>
          <w:p w14:paraId="5F0E6C5C">
            <w:pPr>
              <w:spacing w:line="360" w:lineRule="auto"/>
              <w:rPr>
                <w:rFonts w:ascii="宋体" w:hAnsi="宋体" w:eastAsia="宋体" w:cs="Times New Roman"/>
                <w:b/>
                <w:kern w:val="1"/>
                <w:sz w:val="24"/>
                <w:szCs w:val="24"/>
                <w:highlight w:val="none"/>
              </w:rPr>
            </w:pPr>
            <w:r>
              <w:rPr>
                <w:rFonts w:hint="eastAsia" w:ascii="宋体" w:hAnsi="宋体" w:eastAsia="宋体" w:cs="Times New Roman"/>
                <w:b/>
                <w:kern w:val="1"/>
                <w:sz w:val="24"/>
                <w:szCs w:val="24"/>
                <w:highlight w:val="none"/>
              </w:rPr>
              <w:t>（3）响应文件编制部分：在</w:t>
            </w:r>
            <w:r>
              <w:rPr>
                <w:rFonts w:hint="eastAsia" w:ascii="宋体" w:hAnsi="宋体" w:cs="Times New Roman"/>
                <w:b/>
                <w:kern w:val="1"/>
                <w:sz w:val="24"/>
                <w:szCs w:val="24"/>
                <w:highlight w:val="none"/>
                <w:lang w:eastAsia="zh-CN"/>
              </w:rPr>
              <w:t>磋商文件</w:t>
            </w:r>
            <w:r>
              <w:rPr>
                <w:rFonts w:hint="eastAsia" w:ascii="宋体" w:hAnsi="宋体" w:eastAsia="宋体" w:cs="Times New Roman"/>
                <w:b/>
                <w:kern w:val="1"/>
                <w:sz w:val="24"/>
                <w:szCs w:val="24"/>
                <w:highlight w:val="none"/>
              </w:rPr>
              <w:t>中要求供应商按照投标（响应）文件格式进行</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编制，在</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编制时，应明确将投标单位企业基本情况、资质情况、人员情况、财务情况、业绩情况编入</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，便于进行资格审查及评标打分以</w:t>
            </w:r>
            <w:r>
              <w:rPr>
                <w:rFonts w:hint="eastAsia" w:ascii="宋体" w:hAnsi="宋体" w:cs="Times New Roman"/>
                <w:b/>
                <w:kern w:val="1"/>
                <w:sz w:val="24"/>
                <w:szCs w:val="24"/>
                <w:highlight w:val="none"/>
                <w:lang w:eastAsia="zh-CN"/>
              </w:rPr>
              <w:t>响应文件</w:t>
            </w:r>
            <w:r>
              <w:rPr>
                <w:rFonts w:hint="eastAsia" w:ascii="宋体" w:hAnsi="宋体" w:eastAsia="宋体" w:cs="Times New Roman"/>
                <w:b/>
                <w:kern w:val="1"/>
                <w:sz w:val="24"/>
                <w:szCs w:val="24"/>
                <w:highlight w:val="none"/>
              </w:rPr>
              <w:t>业绩信息为准，可使用电子营业执照。</w:t>
            </w:r>
          </w:p>
          <w:p w14:paraId="490CE9EA">
            <w:pPr>
              <w:spacing w:line="360" w:lineRule="auto"/>
              <w:rPr>
                <w:rFonts w:ascii="宋体" w:hAnsi="宋体" w:eastAsia="宋体" w:cs="Times New Roman"/>
                <w:b/>
                <w:kern w:val="1"/>
                <w:sz w:val="24"/>
                <w:szCs w:val="24"/>
                <w:highlight w:val="none"/>
              </w:rPr>
            </w:pPr>
            <w:r>
              <w:rPr>
                <w:rFonts w:hint="eastAsia" w:ascii="宋体" w:hAnsi="宋体" w:eastAsia="宋体" w:cs="Times New Roman"/>
                <w:b/>
                <w:kern w:val="1"/>
                <w:sz w:val="24"/>
                <w:szCs w:val="24"/>
                <w:highlight w:val="none"/>
              </w:rPr>
              <w:t>4.</w:t>
            </w:r>
            <w:r>
              <w:rPr>
                <w:rFonts w:hint="eastAsia" w:ascii="宋体" w:hAnsi="宋体" w:eastAsia="宋体" w:cs="Times New Roman"/>
                <w:b/>
                <w:kern w:val="1"/>
                <w:sz w:val="24"/>
                <w:szCs w:val="24"/>
                <w:highlight w:val="none"/>
                <w:lang w:eastAsia="zh-CN"/>
              </w:rPr>
              <w:t>采购人</w:t>
            </w:r>
            <w:r>
              <w:rPr>
                <w:rFonts w:hint="eastAsia" w:ascii="宋体" w:hAnsi="宋体" w:eastAsia="宋体" w:cs="Times New Roman"/>
                <w:b/>
                <w:kern w:val="1"/>
                <w:sz w:val="24"/>
                <w:szCs w:val="24"/>
                <w:highlight w:val="none"/>
              </w:rPr>
              <w:t>以书面形式向中标人发出中标通知书，同时向未中标企业以书面或电子形式告知未中标原因。</w:t>
            </w:r>
          </w:p>
        </w:tc>
      </w:tr>
      <w:tr w14:paraId="755725B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center"/>
          </w:tcPr>
          <w:p w14:paraId="0A360437">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ascii="宋体" w:hAnsi="宋体" w:eastAsia="宋体" w:cs="Times New Roman"/>
                <w:sz w:val="24"/>
                <w:szCs w:val="24"/>
                <w:highlight w:val="none"/>
              </w:rPr>
              <w:t>7</w:t>
            </w:r>
          </w:p>
        </w:tc>
        <w:tc>
          <w:tcPr>
            <w:tcW w:w="1838" w:type="dxa"/>
            <w:tcBorders>
              <w:top w:val="single" w:color="auto" w:sz="4" w:space="0"/>
              <w:left w:val="nil"/>
              <w:bottom w:val="single" w:color="auto" w:sz="4" w:space="0"/>
              <w:right w:val="single" w:color="auto" w:sz="4" w:space="0"/>
            </w:tcBorders>
            <w:noWrap w:val="0"/>
            <w:vAlign w:val="center"/>
          </w:tcPr>
          <w:p w14:paraId="10504B9B">
            <w:pPr>
              <w:widowControl/>
              <w:spacing w:line="460" w:lineRule="exact"/>
              <w:jc w:val="center"/>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电子化交易</w:t>
            </w:r>
          </w:p>
          <w:p w14:paraId="3942DBE3">
            <w:pPr>
              <w:spacing w:line="460" w:lineRule="exact"/>
              <w:jc w:val="center"/>
              <w:rPr>
                <w:rFonts w:ascii="宋体" w:hAnsi="宋体" w:eastAsia="宋体" w:cs="Times New Roman"/>
                <w:sz w:val="24"/>
                <w:szCs w:val="24"/>
                <w:highlight w:val="none"/>
              </w:rPr>
            </w:pPr>
            <w:r>
              <w:rPr>
                <w:rFonts w:hint="eastAsia" w:ascii="宋体" w:hAnsi="宋体" w:eastAsia="宋体" w:cs="Times New Roman"/>
                <w:kern w:val="0"/>
                <w:sz w:val="24"/>
                <w:szCs w:val="24"/>
                <w:highlight w:val="none"/>
              </w:rPr>
              <w:t>注意事项</w:t>
            </w:r>
          </w:p>
        </w:tc>
        <w:tc>
          <w:tcPr>
            <w:tcW w:w="6645" w:type="dxa"/>
            <w:tcBorders>
              <w:top w:val="single" w:color="auto" w:sz="4" w:space="0"/>
              <w:left w:val="nil"/>
              <w:bottom w:val="single" w:color="auto" w:sz="4" w:space="0"/>
              <w:right w:val="single" w:color="auto" w:sz="4" w:space="0"/>
            </w:tcBorders>
            <w:noWrap w:val="0"/>
            <w:vAlign w:val="center"/>
          </w:tcPr>
          <w:p w14:paraId="6DFABBBF">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具体要求：本项目为电子化、无纸化交易项目，磋商响应文件是供应商通过中心磋商响应文件制作系统制作，并经过签章和加密后生成的电子版磋商响应文件。</w:t>
            </w:r>
          </w:p>
          <w:p w14:paraId="3B3CB2A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电子化磋商响应文件具体制作文件请点击http://gzjy.smx.gov.cn/fwzn/004003/20200330/0de4b849-7eb7-4f4e-9a30-ae8b6a961d7f.html进行下载。</w:t>
            </w:r>
          </w:p>
          <w:p w14:paraId="2D011D27">
            <w:pPr>
              <w:spacing w:line="360" w:lineRule="auto"/>
              <w:rPr>
                <w:rFonts w:ascii="宋体" w:hAnsi="宋体" w:eastAsia="宋体" w:cs="宋体"/>
                <w:sz w:val="24"/>
                <w:szCs w:val="21"/>
                <w:highlight w:val="none"/>
              </w:rPr>
            </w:pPr>
            <w:r>
              <w:rPr>
                <w:rFonts w:hint="eastAsia" w:ascii="宋体" w:hAnsi="宋体" w:eastAsia="宋体" w:cs="宋体"/>
                <w:b/>
                <w:sz w:val="24"/>
                <w:szCs w:val="21"/>
                <w:highlight w:val="none"/>
              </w:rPr>
              <w:t>温馨提示：本项目为电子化、无纸化交易项目，为保证您能投标成功，请需仔细阅读以下条款。</w:t>
            </w:r>
          </w:p>
          <w:p w14:paraId="4D018110">
            <w:pPr>
              <w:spacing w:line="360" w:lineRule="auto"/>
              <w:rPr>
                <w:rFonts w:ascii="宋体" w:hAnsi="宋体" w:eastAsia="宋体" w:cs="宋体"/>
                <w:b/>
                <w:sz w:val="24"/>
                <w:szCs w:val="21"/>
                <w:highlight w:val="none"/>
              </w:rPr>
            </w:pPr>
            <w:r>
              <w:rPr>
                <w:rFonts w:hint="eastAsia" w:ascii="宋体" w:hAnsi="宋体" w:eastAsia="宋体" w:cs="宋体"/>
                <w:b/>
                <w:sz w:val="24"/>
                <w:szCs w:val="21"/>
                <w:highlight w:val="none"/>
              </w:rPr>
              <w:t>一、电子化投标</w:t>
            </w:r>
          </w:p>
          <w:p w14:paraId="776947D8">
            <w:pPr>
              <w:spacing w:line="360" w:lineRule="auto"/>
              <w:rPr>
                <w:rFonts w:ascii="宋体" w:hAnsi="宋体" w:eastAsia="宋体" w:cs="宋体"/>
                <w:b/>
                <w:sz w:val="24"/>
                <w:szCs w:val="21"/>
                <w:highlight w:val="none"/>
              </w:rPr>
            </w:pPr>
            <w:r>
              <w:rPr>
                <w:rFonts w:hint="eastAsia" w:ascii="宋体" w:hAnsi="宋体" w:eastAsia="宋体" w:cs="宋体"/>
                <w:sz w:val="24"/>
                <w:szCs w:val="21"/>
                <w:highlight w:val="none"/>
              </w:rPr>
              <w:t>（一）网上磋商保证金的缴纳</w:t>
            </w:r>
          </w:p>
          <w:p w14:paraId="29F97802">
            <w:pPr>
              <w:spacing w:line="360" w:lineRule="auto"/>
              <w:ind w:firstLine="120" w:firstLineChars="50"/>
              <w:rPr>
                <w:rFonts w:ascii="宋体" w:hAnsi="宋体" w:eastAsia="宋体" w:cs="宋体"/>
                <w:sz w:val="24"/>
                <w:szCs w:val="21"/>
                <w:highlight w:val="none"/>
              </w:rPr>
            </w:pPr>
            <w:r>
              <w:rPr>
                <w:rFonts w:hint="eastAsia" w:ascii="宋体" w:hAnsi="宋体" w:eastAsia="宋体" w:cs="Times New Roman"/>
                <w:sz w:val="24"/>
                <w:szCs w:val="24"/>
                <w:highlight w:val="none"/>
              </w:rPr>
              <w:t>根据《河南省财政厅关于优化政府采购营商环境有关问题的通知》（豫财购【2019】4号）第6条的规定，磋商保证金不再收取</w:t>
            </w:r>
            <w:r>
              <w:rPr>
                <w:rFonts w:hint="eastAsia" w:ascii="宋体" w:hAnsi="宋体" w:eastAsia="宋体" w:cs="宋体"/>
                <w:sz w:val="24"/>
                <w:szCs w:val="21"/>
                <w:highlight w:val="none"/>
              </w:rPr>
              <w:t>。</w:t>
            </w:r>
          </w:p>
          <w:p w14:paraId="2C1D465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（二）电子化磋商响应文件的签章</w:t>
            </w:r>
          </w:p>
          <w:p w14:paraId="5A2646BA">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1、供应商在生成电子化磋商响应文件后，应对电子化磋商响应文件进行签章，未进行签章的视为无效投标。</w:t>
            </w:r>
          </w:p>
          <w:p w14:paraId="02FAE8CE">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2、</w:t>
            </w:r>
            <w:r>
              <w:rPr>
                <w:rFonts w:hint="eastAsia" w:ascii="宋体" w:hAnsi="宋体" w:eastAsia="宋体" w:cs="宋体"/>
                <w:b/>
                <w:sz w:val="24"/>
                <w:szCs w:val="21"/>
                <w:highlight w:val="none"/>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highlight w:val="none"/>
              </w:rPr>
              <w:t>。</w:t>
            </w:r>
          </w:p>
          <w:p w14:paraId="2C7697C0">
            <w:pPr>
              <w:spacing w:line="360" w:lineRule="auto"/>
              <w:rPr>
                <w:rFonts w:ascii="宋体" w:hAnsi="宋体" w:eastAsia="宋体" w:cs="宋体"/>
                <w:b/>
                <w:sz w:val="24"/>
                <w:szCs w:val="21"/>
                <w:highlight w:val="none"/>
              </w:rPr>
            </w:pPr>
            <w:r>
              <w:rPr>
                <w:rFonts w:hint="eastAsia" w:ascii="宋体" w:hAnsi="宋体" w:eastAsia="宋体" w:cs="宋体"/>
                <w:sz w:val="24"/>
                <w:szCs w:val="21"/>
                <w:highlight w:val="none"/>
              </w:rPr>
              <w:t>（三）电子化磋商响应文件的格式及上传投标</w:t>
            </w:r>
          </w:p>
          <w:p w14:paraId="10F11FCF">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7F4A5C71">
            <w:pPr>
              <w:spacing w:line="360" w:lineRule="auto"/>
              <w:ind w:firstLine="240" w:firstLineChars="100"/>
              <w:rPr>
                <w:rFonts w:ascii="宋体" w:hAnsi="宋体" w:eastAsia="宋体" w:cs="宋体"/>
                <w:sz w:val="24"/>
                <w:szCs w:val="21"/>
                <w:highlight w:val="none"/>
              </w:rPr>
            </w:pPr>
            <w:r>
              <w:rPr>
                <w:rFonts w:hint="eastAsia" w:ascii="宋体" w:hAnsi="宋体" w:eastAsia="宋体" w:cs="宋体"/>
                <w:sz w:val="24"/>
                <w:szCs w:val="21"/>
                <w:highlight w:val="none"/>
              </w:rPr>
              <w:t>2、电子化磋商响应文件应在投标截止时间前成功上传至三门峡市公共资源电子化交易系统。至投标截止时间止，仍未上传成功的电子化磋商响应文件将不予接收。</w:t>
            </w:r>
          </w:p>
          <w:p w14:paraId="5CA87272">
            <w:pPr>
              <w:spacing w:line="360" w:lineRule="auto"/>
              <w:ind w:firstLine="241" w:firstLineChars="100"/>
              <w:rPr>
                <w:rFonts w:ascii="宋体" w:hAnsi="宋体" w:eastAsia="宋体" w:cs="宋体"/>
                <w:sz w:val="24"/>
                <w:szCs w:val="21"/>
                <w:highlight w:val="none"/>
              </w:rPr>
            </w:pPr>
            <w:r>
              <w:rPr>
                <w:rFonts w:hint="eastAsia" w:ascii="宋体" w:hAnsi="宋体" w:eastAsia="宋体" w:cs="宋体"/>
                <w:b/>
                <w:sz w:val="24"/>
                <w:szCs w:val="21"/>
                <w:highlight w:val="none"/>
              </w:rPr>
              <w:t>注：</w:t>
            </w:r>
            <w:r>
              <w:rPr>
                <w:rFonts w:hint="eastAsia" w:ascii="宋体" w:hAnsi="宋体" w:eastAsia="宋体" w:cs="宋体"/>
                <w:sz w:val="24"/>
                <w:szCs w:val="21"/>
                <w:highlight w:val="none"/>
              </w:rPr>
              <w:t>如按照电子化投标操作教材制作完成的电子化磋商响应文件无法上传的，供应商应在</w:t>
            </w:r>
            <w:r>
              <w:rPr>
                <w:rFonts w:hint="eastAsia" w:ascii="宋体" w:hAnsi="宋体" w:eastAsia="宋体" w:cs="宋体"/>
                <w:b/>
                <w:sz w:val="24"/>
                <w:szCs w:val="21"/>
                <w:highlight w:val="none"/>
              </w:rPr>
              <w:t>投标截止时间前尽早的</w:t>
            </w:r>
            <w:r>
              <w:rPr>
                <w:rFonts w:hint="eastAsia" w:ascii="宋体" w:hAnsi="宋体" w:eastAsia="宋体" w:cs="宋体"/>
                <w:sz w:val="24"/>
                <w:szCs w:val="21"/>
                <w:highlight w:val="none"/>
              </w:rPr>
              <w:t>联系中心技术人员，以便有充分的时间进行处理。</w:t>
            </w:r>
            <w:r>
              <w:rPr>
                <w:rFonts w:hint="eastAsia" w:ascii="宋体" w:hAnsi="宋体" w:eastAsia="宋体" w:cs="宋体"/>
                <w:b/>
                <w:sz w:val="24"/>
                <w:szCs w:val="21"/>
                <w:highlight w:val="none"/>
              </w:rPr>
              <w:t>供应商应充分考虑到处理技术问题和上传数据等工作所需的时间问题，磋商响应文件未在投标截止时间前成功上传的，其磋商响应文件不予接收。</w:t>
            </w:r>
          </w:p>
          <w:p w14:paraId="5368B7EE">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（四）电子化项目开标、解密、唱标、评标</w:t>
            </w:r>
          </w:p>
          <w:p w14:paraId="0F652915">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1、本项目采用</w:t>
            </w:r>
            <w:r>
              <w:rPr>
                <w:rFonts w:hint="eastAsia" w:ascii="宋体" w:hAnsi="宋体" w:eastAsia="宋体" w:cs="宋体"/>
                <w:b/>
                <w:sz w:val="24"/>
                <w:szCs w:val="21"/>
                <w:highlight w:val="none"/>
              </w:rPr>
              <w:t>电子化、无纸化</w:t>
            </w:r>
            <w:r>
              <w:rPr>
                <w:rFonts w:hint="eastAsia" w:ascii="宋体" w:hAnsi="宋体" w:eastAsia="宋体" w:cs="宋体"/>
                <w:sz w:val="24"/>
                <w:szCs w:val="21"/>
                <w:highlight w:val="none"/>
              </w:rPr>
              <w:t>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07102189">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666A90D5">
            <w:pPr>
              <w:spacing w:line="360" w:lineRule="auto"/>
              <w:ind w:firstLine="120" w:firstLineChars="50"/>
              <w:rPr>
                <w:rFonts w:ascii="宋体" w:hAnsi="宋体" w:eastAsia="宋体" w:cs="宋体"/>
                <w:b/>
                <w:sz w:val="24"/>
                <w:szCs w:val="21"/>
                <w:highlight w:val="none"/>
              </w:rPr>
            </w:pPr>
            <w:r>
              <w:rPr>
                <w:rFonts w:hint="eastAsia" w:ascii="宋体" w:hAnsi="宋体" w:eastAsia="宋体" w:cs="宋体"/>
                <w:sz w:val="24"/>
                <w:szCs w:val="21"/>
                <w:highlight w:val="none"/>
              </w:rPr>
              <w:t>3、电子化磋商响应文件解密异常的处理</w:t>
            </w:r>
          </w:p>
          <w:p w14:paraId="11B1570F">
            <w:pPr>
              <w:spacing w:line="360" w:lineRule="auto"/>
              <w:ind w:firstLine="120" w:firstLineChars="50"/>
              <w:rPr>
                <w:rFonts w:ascii="宋体" w:hAnsi="宋体" w:eastAsia="宋体" w:cs="宋体"/>
                <w:sz w:val="24"/>
                <w:szCs w:val="21"/>
                <w:highlight w:val="none"/>
              </w:rPr>
            </w:pPr>
            <w:r>
              <w:rPr>
                <w:rFonts w:hint="eastAsia" w:ascii="宋体" w:hAnsi="宋体" w:eastAsia="宋体" w:cs="宋体"/>
                <w:sz w:val="24"/>
                <w:szCs w:val="21"/>
                <w:highlight w:val="none"/>
              </w:rPr>
              <w:t>如出现供应商的电子磋商响应文件无法解密等异常情况，供应商应及时致电中介服务机构说明。磋商响应文件异常，按以下步骤进行处理：</w:t>
            </w:r>
          </w:p>
          <w:p w14:paraId="561DA04E">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（1）首先由技术人员进行问题排查。</w:t>
            </w:r>
          </w:p>
          <w:p w14:paraId="4D73EB63">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（2）经技术人员排查后，是供应商文件自身问题导致磋商响应文件无法解密的，该磋商响应文件将不予接收、解密和唱标。开标会议继续进行。</w:t>
            </w:r>
          </w:p>
          <w:p w14:paraId="355971E4">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BBE1F57">
            <w:pPr>
              <w:spacing w:line="360" w:lineRule="auto"/>
              <w:rPr>
                <w:rFonts w:ascii="宋体" w:hAnsi="宋体" w:eastAsia="宋体" w:cs="宋体"/>
                <w:sz w:val="24"/>
                <w:szCs w:val="21"/>
                <w:highlight w:val="none"/>
              </w:rPr>
            </w:pPr>
            <w:r>
              <w:rPr>
                <w:rFonts w:hint="eastAsia" w:ascii="宋体" w:hAnsi="宋体" w:eastAsia="宋体" w:cs="宋体"/>
                <w:sz w:val="24"/>
                <w:szCs w:val="21"/>
                <w:highlight w:val="none"/>
              </w:rPr>
              <w:t>4、待所有供应商磋商响应文件解密完成后，由中介服务机构操作，对所有已解密磋商响应文件进行唱标。</w:t>
            </w:r>
          </w:p>
          <w:p w14:paraId="634C80A8">
            <w:pPr>
              <w:spacing w:line="360" w:lineRule="auto"/>
              <w:rPr>
                <w:rFonts w:ascii="宋体" w:hAnsi="宋体" w:eastAsia="宋体" w:cs="宋体"/>
                <w:sz w:val="24"/>
                <w:szCs w:val="21"/>
                <w:highlight w:val="none"/>
              </w:rPr>
            </w:pPr>
            <w:r>
              <w:rPr>
                <w:rFonts w:hint="eastAsia" w:ascii="宋体" w:hAnsi="宋体" w:eastAsia="宋体" w:cs="宋体"/>
                <w:b/>
                <w:sz w:val="24"/>
                <w:szCs w:val="21"/>
                <w:highlight w:val="none"/>
              </w:rPr>
              <w:t>供应商应保证在开标期间电话、电脑、网络能够正常工作，供应商因停电、电脑病毒、网络堵塞等原因，未在规定的解密时间内对磋商响应文件进行解密的，其磋商响应文件不予接收、唱标。</w:t>
            </w:r>
          </w:p>
          <w:p w14:paraId="1E589C75">
            <w:pPr>
              <w:spacing w:line="360" w:lineRule="auto"/>
              <w:rPr>
                <w:rFonts w:ascii="宋体" w:hAnsi="宋体" w:eastAsia="宋体" w:cs="宋体"/>
                <w:sz w:val="24"/>
                <w:szCs w:val="21"/>
                <w:highlight w:val="none"/>
              </w:rPr>
            </w:pPr>
            <w:r>
              <w:rPr>
                <w:rFonts w:ascii="宋体" w:hAnsi="宋体" w:eastAsia="宋体" w:cs="宋体"/>
                <w:sz w:val="24"/>
                <w:szCs w:val="21"/>
                <w:highlight w:val="none"/>
              </w:rPr>
              <w:t>5</w:t>
            </w:r>
            <w:r>
              <w:rPr>
                <w:rFonts w:hint="eastAsia" w:ascii="宋体" w:hAnsi="宋体" w:eastAsia="宋体" w:cs="宋体"/>
                <w:sz w:val="24"/>
                <w:szCs w:val="21"/>
                <w:highlight w:val="none"/>
              </w:rPr>
              <w:t>、评标时，</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w:t>
            </w:r>
          </w:p>
          <w:p w14:paraId="2C53AD75">
            <w:pPr>
              <w:spacing w:line="360" w:lineRule="auto"/>
              <w:rPr>
                <w:rFonts w:ascii="宋体" w:hAnsi="宋体" w:eastAsia="宋体" w:cs="宋体"/>
                <w:sz w:val="24"/>
                <w:szCs w:val="21"/>
                <w:highlight w:val="none"/>
              </w:rPr>
            </w:pPr>
            <w:r>
              <w:rPr>
                <w:rFonts w:ascii="宋体" w:hAnsi="宋体" w:eastAsia="宋体" w:cs="宋体"/>
                <w:sz w:val="24"/>
                <w:szCs w:val="21"/>
                <w:highlight w:val="none"/>
              </w:rPr>
              <w:t>6</w:t>
            </w:r>
            <w:r>
              <w:rPr>
                <w:rFonts w:hint="eastAsia" w:ascii="宋体" w:hAnsi="宋体" w:eastAsia="宋体" w:cs="宋体"/>
                <w:sz w:val="24"/>
                <w:szCs w:val="21"/>
                <w:highlight w:val="none"/>
              </w:rPr>
              <w:t>、如</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对需要回复的供应商连续三次致电未接通的，视为供应商放弃回复，</w:t>
            </w:r>
            <w:r>
              <w:rPr>
                <w:rFonts w:hint="eastAsia" w:ascii="宋体" w:hAnsi="宋体" w:cs="宋体"/>
                <w:sz w:val="24"/>
                <w:szCs w:val="21"/>
                <w:highlight w:val="none"/>
                <w:lang w:eastAsia="zh-CN"/>
              </w:rPr>
              <w:t>磋商小组</w:t>
            </w:r>
            <w:r>
              <w:rPr>
                <w:rFonts w:hint="eastAsia" w:ascii="宋体" w:hAnsi="宋体" w:eastAsia="宋体" w:cs="宋体"/>
                <w:sz w:val="24"/>
                <w:szCs w:val="21"/>
                <w:highlight w:val="none"/>
              </w:rPr>
              <w:t>将自行对需要回复的内容进行认定。</w:t>
            </w:r>
          </w:p>
          <w:p w14:paraId="1CC31D43">
            <w:pPr>
              <w:spacing w:line="360" w:lineRule="auto"/>
              <w:rPr>
                <w:rFonts w:ascii="宋体" w:hAnsi="宋体" w:eastAsia="宋体" w:cs="宋体"/>
                <w:b/>
                <w:bCs/>
                <w:sz w:val="24"/>
                <w:szCs w:val="21"/>
                <w:highlight w:val="none"/>
              </w:rPr>
            </w:pPr>
            <w:r>
              <w:rPr>
                <w:rFonts w:hint="eastAsia" w:ascii="宋体" w:hAnsi="宋体" w:eastAsia="宋体" w:cs="宋体"/>
                <w:b/>
                <w:bCs/>
                <w:sz w:val="24"/>
                <w:szCs w:val="21"/>
                <w:highlight w:val="none"/>
              </w:rPr>
              <w:t>二、相关证书原件的提交</w:t>
            </w:r>
          </w:p>
          <w:p w14:paraId="58C99118">
            <w:pPr>
              <w:spacing w:line="360" w:lineRule="auto"/>
              <w:ind w:firstLine="480" w:firstLineChars="200"/>
              <w:rPr>
                <w:rFonts w:ascii="宋体" w:hAnsi="宋体" w:eastAsia="宋体" w:cs="宋体"/>
                <w:sz w:val="24"/>
                <w:szCs w:val="21"/>
                <w:highlight w:val="none"/>
              </w:rPr>
            </w:pPr>
            <w:r>
              <w:rPr>
                <w:rFonts w:hint="eastAsia" w:ascii="宋体" w:hAnsi="宋体" w:eastAsia="宋体" w:cs="宋体"/>
                <w:sz w:val="24"/>
                <w:szCs w:val="21"/>
                <w:highlight w:val="none"/>
              </w:rPr>
              <w:t>本项目实行资格后</w:t>
            </w:r>
            <w:r>
              <w:rPr>
                <w:rFonts w:hint="eastAsia" w:ascii="宋体" w:hAnsi="宋体" w:eastAsia="宋体" w:cs="宋体"/>
                <w:color w:val="000000"/>
                <w:sz w:val="24"/>
                <w:szCs w:val="21"/>
                <w:highlight w:val="none"/>
              </w:rPr>
              <w:t>审</w:t>
            </w:r>
            <w:r>
              <w:rPr>
                <w:rFonts w:hint="eastAsia" w:ascii="宋体" w:hAnsi="宋体" w:eastAsia="宋体" w:cs="宋体"/>
                <w:sz w:val="24"/>
                <w:szCs w:val="21"/>
                <w:highlight w:val="none"/>
              </w:rPr>
              <w:t>，以</w:t>
            </w:r>
            <w:r>
              <w:rPr>
                <w:rFonts w:hint="eastAsia" w:ascii="宋体" w:hAnsi="宋体" w:cs="宋体"/>
                <w:sz w:val="24"/>
                <w:szCs w:val="21"/>
                <w:highlight w:val="none"/>
                <w:lang w:eastAsia="zh-CN"/>
              </w:rPr>
              <w:t>响应文件</w:t>
            </w:r>
            <w:r>
              <w:rPr>
                <w:rFonts w:hint="eastAsia" w:ascii="宋体" w:hAnsi="宋体" w:eastAsia="宋体" w:cs="宋体"/>
                <w:sz w:val="24"/>
                <w:szCs w:val="21"/>
                <w:highlight w:val="none"/>
              </w:rPr>
              <w:t>为准，其上传资料真实性由</w:t>
            </w:r>
            <w:r>
              <w:rPr>
                <w:rFonts w:hint="eastAsia" w:ascii="宋体" w:hAnsi="宋体" w:eastAsia="宋体" w:cs="宋体"/>
                <w:sz w:val="24"/>
                <w:szCs w:val="21"/>
                <w:highlight w:val="none"/>
                <w:lang w:eastAsia="zh-CN"/>
              </w:rPr>
              <w:t>供应商</w:t>
            </w:r>
            <w:r>
              <w:rPr>
                <w:rFonts w:hint="eastAsia" w:ascii="宋体" w:hAnsi="宋体" w:eastAsia="宋体" w:cs="宋体"/>
                <w:sz w:val="24"/>
                <w:szCs w:val="21"/>
                <w:highlight w:val="none"/>
              </w:rPr>
              <w:t>自行承担，同时，</w:t>
            </w:r>
            <w:r>
              <w:rPr>
                <w:rFonts w:hint="eastAsia" w:ascii="宋体" w:hAnsi="宋体" w:eastAsia="宋体" w:cs="宋体"/>
                <w:sz w:val="24"/>
                <w:szCs w:val="21"/>
                <w:highlight w:val="none"/>
                <w:lang w:eastAsia="zh-CN"/>
              </w:rPr>
              <w:t>供应商</w:t>
            </w:r>
            <w:r>
              <w:rPr>
                <w:rFonts w:hint="eastAsia" w:ascii="宋体" w:hAnsi="宋体" w:eastAsia="宋体" w:cs="宋体"/>
                <w:sz w:val="24"/>
                <w:szCs w:val="21"/>
                <w:highlight w:val="none"/>
              </w:rPr>
              <w:t>要完善主体库。</w:t>
            </w:r>
          </w:p>
          <w:p w14:paraId="4992EE76">
            <w:pPr>
              <w:spacing w:line="360" w:lineRule="exact"/>
              <w:ind w:firstLine="480" w:firstLineChars="200"/>
              <w:rPr>
                <w:rFonts w:ascii="宋体" w:hAnsi="宋体" w:eastAsia="宋体" w:cs="宋体"/>
                <w:color w:val="000000"/>
                <w:sz w:val="24"/>
                <w:szCs w:val="21"/>
                <w:highlight w:val="none"/>
              </w:rPr>
            </w:pPr>
            <w:r>
              <w:rPr>
                <w:rFonts w:hint="eastAsia" w:ascii="宋体" w:hAnsi="宋体" w:cs="宋体"/>
                <w:color w:val="000000"/>
                <w:sz w:val="24"/>
                <w:szCs w:val="21"/>
                <w:highlight w:val="none"/>
                <w:lang w:eastAsia="zh-CN"/>
              </w:rPr>
              <w:t>磋商小组</w:t>
            </w:r>
            <w:r>
              <w:rPr>
                <w:rFonts w:hint="eastAsia" w:ascii="宋体" w:hAnsi="宋体" w:eastAsia="宋体" w:cs="宋体"/>
                <w:color w:val="000000"/>
                <w:sz w:val="24"/>
                <w:szCs w:val="21"/>
                <w:highlight w:val="none"/>
              </w:rPr>
              <w:t>对原件的核验工作按以下条款进行：</w:t>
            </w:r>
          </w:p>
          <w:p w14:paraId="208904CB">
            <w:pPr>
              <w:spacing w:line="360" w:lineRule="exact"/>
              <w:ind w:firstLine="480" w:firstLineChars="200"/>
              <w:rPr>
                <w:rFonts w:ascii="宋体" w:hAnsi="宋体" w:eastAsia="宋体" w:cs="宋体"/>
                <w:sz w:val="24"/>
                <w:szCs w:val="21"/>
                <w:highlight w:val="none"/>
              </w:rPr>
            </w:pPr>
            <w:r>
              <w:rPr>
                <w:rFonts w:hint="eastAsia" w:ascii="宋体" w:hAnsi="宋体" w:eastAsia="宋体" w:cs="宋体"/>
                <w:sz w:val="24"/>
                <w:szCs w:val="21"/>
                <w:highlight w:val="none"/>
              </w:rPr>
              <w:t>供应商需应仔细阅读操作手册，保证上传内容齐全，真实有效，原件扫描件清晰可辨。因供应商上传原因导致应得分项而未得分或资格审查不合格等情况的，由供应商自行承担责任。</w:t>
            </w:r>
          </w:p>
          <w:p w14:paraId="6D3C3C8F">
            <w:pPr>
              <w:widowControl/>
              <w:spacing w:line="460" w:lineRule="exact"/>
              <w:ind w:firstLine="241" w:firstLineChars="100"/>
              <w:rPr>
                <w:rFonts w:ascii="宋体" w:hAnsi="宋体" w:eastAsia="宋体" w:cs="Times New Roman"/>
                <w:kern w:val="0"/>
                <w:sz w:val="24"/>
                <w:szCs w:val="24"/>
                <w:highlight w:val="none"/>
                <w:shd w:val="clear" w:color="auto" w:fill="FFFFFF"/>
              </w:rPr>
            </w:pPr>
            <w:r>
              <w:rPr>
                <w:rFonts w:hint="eastAsia" w:ascii="宋体" w:hAnsi="宋体" w:eastAsia="宋体" w:cs="宋体"/>
                <w:b/>
                <w:sz w:val="24"/>
                <w:szCs w:val="21"/>
                <w:highlight w:val="none"/>
              </w:rPr>
              <w:t>提示：本项目为电子化、无纸化交易项目，为保证您能投标成功，请需仔细阅读以上条款。</w:t>
            </w:r>
          </w:p>
        </w:tc>
      </w:tr>
    </w:tbl>
    <w:p w14:paraId="6B73B225">
      <w:pPr>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br w:type="page"/>
      </w:r>
    </w:p>
    <w:p w14:paraId="04E79860">
      <w:pPr>
        <w:spacing w:line="360" w:lineRule="auto"/>
        <w:ind w:firstLine="318" w:firstLineChars="132"/>
        <w:outlineLvl w:val="1"/>
        <w:rPr>
          <w:rFonts w:ascii="宋体" w:hAnsi="宋体" w:eastAsia="宋体" w:cs="Times New Roman"/>
          <w:b/>
          <w:bCs/>
          <w:sz w:val="24"/>
          <w:szCs w:val="24"/>
          <w:highlight w:val="none"/>
        </w:rPr>
      </w:pPr>
      <w:bookmarkStart w:id="23" w:name="_Toc673"/>
      <w:r>
        <w:rPr>
          <w:rFonts w:hint="eastAsia" w:ascii="宋体" w:hAnsi="宋体" w:eastAsia="宋体" w:cs="Times New Roman"/>
          <w:b/>
          <w:bCs/>
          <w:sz w:val="24"/>
          <w:szCs w:val="24"/>
          <w:highlight w:val="none"/>
        </w:rPr>
        <w:t>总则</w:t>
      </w:r>
      <w:bookmarkEnd w:id="23"/>
    </w:p>
    <w:p w14:paraId="4FC1E49A">
      <w:pPr>
        <w:spacing w:line="360" w:lineRule="auto"/>
        <w:ind w:firstLine="318" w:firstLineChars="132"/>
        <w:outlineLvl w:val="1"/>
        <w:rPr>
          <w:rFonts w:ascii="宋体" w:hAnsi="宋体" w:eastAsia="宋体" w:cs="Times New Roman"/>
          <w:b/>
          <w:bCs/>
          <w:sz w:val="24"/>
          <w:szCs w:val="24"/>
          <w:highlight w:val="none"/>
        </w:rPr>
      </w:pPr>
      <w:bookmarkStart w:id="24" w:name="_Toc18134"/>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、项目概况</w:t>
      </w:r>
      <w:bookmarkEnd w:id="24"/>
    </w:p>
    <w:p w14:paraId="3A1A0D3C">
      <w:pPr>
        <w:autoSpaceDE w:val="0"/>
        <w:autoSpaceDN w:val="0"/>
        <w:adjustRightInd w:val="0"/>
        <w:spacing w:line="360" w:lineRule="auto"/>
        <w:ind w:firstLine="480" w:firstLineChars="200"/>
        <w:rPr>
          <w:rFonts w:ascii="宋体" w:hAnsi="宋体" w:eastAsia="宋体" w:cs="Times New Roman"/>
          <w:sz w:val="24"/>
          <w:szCs w:val="21"/>
          <w:highlight w:val="none"/>
        </w:rPr>
      </w:pPr>
      <w:r>
        <w:rPr>
          <w:rFonts w:hint="eastAsia" w:ascii="宋体" w:hAnsi="宋体" w:eastAsia="宋体" w:cs="Times New Roman"/>
          <w:sz w:val="24"/>
          <w:szCs w:val="24"/>
          <w:highlight w:val="none"/>
        </w:rPr>
        <w:t>1.1采购范围：详见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1"/>
          <w:highlight w:val="none"/>
        </w:rPr>
        <w:t>。</w:t>
      </w:r>
    </w:p>
    <w:p w14:paraId="7E04EF8E">
      <w:pPr>
        <w:spacing w:line="360" w:lineRule="auto"/>
        <w:ind w:firstLine="424" w:firstLineChars="177"/>
        <w:rPr>
          <w:rFonts w:ascii="宋体" w:hAnsi="宋体" w:eastAsia="宋体" w:cs="Times New Roman"/>
          <w:sz w:val="24"/>
          <w:szCs w:val="24"/>
          <w:highlight w:val="none"/>
        </w:rPr>
      </w:pPr>
      <w:r>
        <w:rPr>
          <w:rFonts w:hint="eastAsia" w:ascii="宋体" w:hAnsi="宋体" w:eastAsia="宋体" w:cs="Times New Roman"/>
          <w:sz w:val="24"/>
          <w:szCs w:val="24"/>
          <w:highlight w:val="none"/>
        </w:rPr>
        <w:t>1.2资金来源：详见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4"/>
          <w:highlight w:val="none"/>
        </w:rPr>
        <w:t>。</w:t>
      </w:r>
    </w:p>
    <w:p w14:paraId="2EFF9EF1">
      <w:pPr>
        <w:spacing w:line="460" w:lineRule="exact"/>
        <w:ind w:firstLine="420" w:firstLineChars="175"/>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3</w:t>
      </w:r>
      <w:r>
        <w:rPr>
          <w:rFonts w:hint="eastAsia" w:ascii="宋体" w:hAnsi="宋体" w:cs="Times New Roman"/>
          <w:sz w:val="24"/>
          <w:szCs w:val="24"/>
          <w:highlight w:val="none"/>
          <w:lang w:eastAsia="zh-CN"/>
        </w:rPr>
        <w:t>服务质量</w:t>
      </w: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4"/>
          <w:highlight w:val="none"/>
        </w:rPr>
        <w:t>。</w:t>
      </w:r>
    </w:p>
    <w:p w14:paraId="06B12C58">
      <w:pPr>
        <w:spacing w:line="460" w:lineRule="exact"/>
        <w:ind w:firstLine="420" w:firstLineChars="175"/>
        <w:rPr>
          <w:rFonts w:ascii="宋体" w:hAnsi="宋体" w:eastAsia="宋体" w:cs="Times New Roman"/>
          <w:sz w:val="24"/>
          <w:szCs w:val="21"/>
          <w:highlight w:val="none"/>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eastAsia="zh-CN"/>
        </w:rPr>
        <w:t>服务期限</w:t>
      </w: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r>
        <w:rPr>
          <w:rFonts w:hint="eastAsia" w:ascii="宋体" w:hAnsi="宋体" w:eastAsia="宋体" w:cs="Times New Roman"/>
          <w:sz w:val="24"/>
          <w:szCs w:val="21"/>
          <w:highlight w:val="none"/>
        </w:rPr>
        <w:t>。</w:t>
      </w:r>
    </w:p>
    <w:p w14:paraId="225005A5">
      <w:pPr>
        <w:spacing w:line="360" w:lineRule="auto"/>
        <w:ind w:firstLine="420"/>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w:t>
      </w:r>
      <w:r>
        <w:rPr>
          <w:rFonts w:hint="eastAsia" w:ascii="宋体" w:hAnsi="宋体" w:eastAsia="宋体" w:cs="Times New Roman"/>
          <w:kern w:val="0"/>
          <w:sz w:val="24"/>
          <w:szCs w:val="24"/>
          <w:highlight w:val="none"/>
          <w:lang w:val="en-US" w:eastAsia="zh-CN"/>
        </w:rPr>
        <w:t>5服务</w:t>
      </w:r>
      <w:r>
        <w:rPr>
          <w:rFonts w:hint="eastAsia" w:ascii="宋体" w:hAnsi="宋体" w:eastAsia="宋体" w:cs="Times New Roman"/>
          <w:kern w:val="0"/>
          <w:sz w:val="24"/>
          <w:szCs w:val="24"/>
          <w:highlight w:val="none"/>
        </w:rPr>
        <w:t>地点：详见供应商须知前附表。</w:t>
      </w:r>
    </w:p>
    <w:p w14:paraId="2AE3AE60">
      <w:pPr>
        <w:spacing w:line="360" w:lineRule="auto"/>
        <w:ind w:firstLine="424" w:firstLineChars="176"/>
        <w:outlineLvl w:val="1"/>
        <w:rPr>
          <w:rFonts w:ascii="宋体" w:hAnsi="宋体" w:eastAsia="宋体" w:cs="Times New Roman"/>
          <w:b/>
          <w:bCs/>
          <w:sz w:val="24"/>
          <w:szCs w:val="24"/>
          <w:highlight w:val="none"/>
        </w:rPr>
      </w:pPr>
      <w:bookmarkStart w:id="25" w:name="_Toc13210"/>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、合格的磋商响应供应商</w:t>
      </w:r>
      <w:bookmarkEnd w:id="25"/>
    </w:p>
    <w:p w14:paraId="3AC207BE">
      <w:pPr>
        <w:spacing w:line="360" w:lineRule="auto"/>
        <w:ind w:firstLine="422" w:firstLineChars="176"/>
        <w:rPr>
          <w:rFonts w:ascii="宋体" w:hAnsi="宋体" w:eastAsia="宋体" w:cs="Times New Roman"/>
          <w:kern w:val="0"/>
          <w:sz w:val="24"/>
          <w:szCs w:val="24"/>
          <w:highlight w:val="none"/>
        </w:rPr>
      </w:pPr>
      <w:r>
        <w:rPr>
          <w:rFonts w:hint="eastAsia" w:ascii="宋体" w:hAnsi="宋体" w:eastAsia="宋体" w:cs="Times New Roman"/>
          <w:sz w:val="24"/>
          <w:szCs w:val="24"/>
          <w:highlight w:val="none"/>
        </w:rPr>
        <w:t>详见</w:t>
      </w:r>
      <w:r>
        <w:rPr>
          <w:rFonts w:hint="eastAsia" w:ascii="宋体" w:hAnsi="宋体" w:eastAsia="宋体" w:cs="Times New Roman"/>
          <w:kern w:val="0"/>
          <w:sz w:val="24"/>
          <w:szCs w:val="24"/>
          <w:highlight w:val="none"/>
        </w:rPr>
        <w:t>供应商须知前附表</w:t>
      </w:r>
    </w:p>
    <w:p w14:paraId="00F2C74B">
      <w:pPr>
        <w:spacing w:line="360" w:lineRule="auto"/>
        <w:ind w:firstLine="424" w:firstLineChars="176"/>
        <w:outlineLvl w:val="1"/>
        <w:rPr>
          <w:rFonts w:ascii="宋体" w:hAnsi="宋体" w:eastAsia="宋体" w:cs="Times New Roman"/>
          <w:b/>
          <w:bCs/>
          <w:sz w:val="24"/>
          <w:szCs w:val="24"/>
          <w:highlight w:val="none"/>
        </w:rPr>
      </w:pPr>
      <w:bookmarkStart w:id="26" w:name="_Toc22099"/>
      <w:r>
        <w:rPr>
          <w:rFonts w:ascii="宋体" w:hAnsi="宋体" w:eastAsia="宋体" w:cs="Times New Roman"/>
          <w:b/>
          <w:bCs/>
          <w:sz w:val="24"/>
          <w:szCs w:val="24"/>
          <w:highlight w:val="none"/>
        </w:rPr>
        <w:t>3</w:t>
      </w:r>
      <w:r>
        <w:rPr>
          <w:rFonts w:hint="eastAsia" w:ascii="宋体" w:hAnsi="宋体" w:eastAsia="宋体" w:cs="Times New Roman"/>
          <w:b/>
          <w:bCs/>
          <w:sz w:val="24"/>
          <w:szCs w:val="24"/>
          <w:highlight w:val="none"/>
        </w:rPr>
        <w:t>、费用</w:t>
      </w:r>
      <w:bookmarkEnd w:id="26"/>
    </w:p>
    <w:p w14:paraId="00474977">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3.1</w:t>
      </w:r>
      <w:r>
        <w:rPr>
          <w:rFonts w:hint="eastAsia" w:ascii="宋体" w:hAnsi="宋体" w:eastAsia="宋体" w:cs="Times New Roman"/>
          <w:sz w:val="24"/>
          <w:szCs w:val="24"/>
          <w:highlight w:val="none"/>
        </w:rPr>
        <w:t>磋商响应供应商应自行承担参加磋商活动有关的全部费用，采购人在任何情况下均无义务和责任承担上述费用。</w:t>
      </w:r>
    </w:p>
    <w:p w14:paraId="37E886DE">
      <w:pPr>
        <w:spacing w:line="360" w:lineRule="auto"/>
        <w:ind w:firstLine="424" w:firstLineChars="176"/>
        <w:outlineLvl w:val="1"/>
        <w:rPr>
          <w:rFonts w:ascii="宋体" w:hAnsi="宋体" w:eastAsia="宋体" w:cs="Times New Roman"/>
          <w:b/>
          <w:bCs/>
          <w:sz w:val="24"/>
          <w:szCs w:val="24"/>
          <w:highlight w:val="none"/>
        </w:rPr>
      </w:pPr>
      <w:bookmarkStart w:id="27" w:name="_Toc13194"/>
      <w:r>
        <w:rPr>
          <w:rFonts w:ascii="宋体" w:hAnsi="宋体" w:eastAsia="宋体" w:cs="Times New Roman"/>
          <w:b/>
          <w:bCs/>
          <w:sz w:val="24"/>
          <w:szCs w:val="24"/>
          <w:highlight w:val="none"/>
        </w:rPr>
        <w:t>4</w:t>
      </w:r>
      <w:r>
        <w:rPr>
          <w:rFonts w:hint="eastAsia" w:ascii="宋体" w:hAnsi="宋体" w:eastAsia="宋体" w:cs="Times New Roman"/>
          <w:b/>
          <w:bCs/>
          <w:sz w:val="24"/>
          <w:szCs w:val="24"/>
          <w:highlight w:val="none"/>
        </w:rPr>
        <w:t>、竞争性磋商文件的构成</w:t>
      </w:r>
      <w:bookmarkEnd w:id="27"/>
    </w:p>
    <w:p w14:paraId="770E5EDC">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第一章  竞争性磋商公告</w:t>
      </w:r>
    </w:p>
    <w:p w14:paraId="0BD542A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第二章  供应商须知</w:t>
      </w:r>
    </w:p>
    <w:p w14:paraId="207F5831">
      <w:pPr>
        <w:spacing w:line="360" w:lineRule="auto"/>
        <w:ind w:firstLine="422" w:firstLineChars="176"/>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第三章  评</w:t>
      </w:r>
      <w:r>
        <w:rPr>
          <w:rFonts w:hint="eastAsia" w:ascii="宋体" w:hAnsi="宋体" w:cs="Times New Roman"/>
          <w:sz w:val="24"/>
          <w:szCs w:val="24"/>
          <w:highlight w:val="none"/>
          <w:lang w:val="en-US" w:eastAsia="zh-CN"/>
        </w:rPr>
        <w:t>标</w:t>
      </w:r>
      <w:r>
        <w:rPr>
          <w:rFonts w:hint="eastAsia" w:ascii="宋体" w:hAnsi="宋体" w:eastAsia="宋体" w:cs="Times New Roman"/>
          <w:sz w:val="24"/>
          <w:szCs w:val="24"/>
          <w:highlight w:val="none"/>
        </w:rPr>
        <w:t>办法</w:t>
      </w:r>
    </w:p>
    <w:p w14:paraId="1E2F2FFF">
      <w:pPr>
        <w:spacing w:line="360" w:lineRule="auto"/>
        <w:ind w:firstLine="422" w:firstLineChars="176"/>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 xml:space="preserve">第四章  </w:t>
      </w:r>
      <w:r>
        <w:rPr>
          <w:rFonts w:hint="eastAsia" w:ascii="宋体" w:hAnsi="宋体" w:eastAsia="宋体" w:cs="Times New Roman"/>
          <w:sz w:val="24"/>
          <w:szCs w:val="24"/>
          <w:highlight w:val="none"/>
          <w:lang w:val="en-US" w:eastAsia="zh-CN"/>
        </w:rPr>
        <w:t>合同</w:t>
      </w:r>
      <w:r>
        <w:rPr>
          <w:rFonts w:hint="eastAsia" w:ascii="宋体" w:hAnsi="宋体" w:cs="Times New Roman"/>
          <w:sz w:val="24"/>
          <w:szCs w:val="24"/>
          <w:highlight w:val="none"/>
          <w:lang w:val="en-US" w:eastAsia="zh-CN"/>
        </w:rPr>
        <w:t>主要条款及格式</w:t>
      </w:r>
    </w:p>
    <w:p w14:paraId="436EC642">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第五章  </w:t>
      </w:r>
      <w:r>
        <w:rPr>
          <w:rFonts w:hint="eastAsia" w:ascii="宋体" w:hAnsi="宋体" w:eastAsia="宋体" w:cs="Times New Roman"/>
          <w:sz w:val="24"/>
          <w:szCs w:val="24"/>
          <w:highlight w:val="none"/>
          <w:lang w:eastAsia="zh-CN"/>
        </w:rPr>
        <w:t>服务需求</w:t>
      </w:r>
    </w:p>
    <w:p w14:paraId="14E08F6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第六章  </w:t>
      </w:r>
      <w:r>
        <w:rPr>
          <w:rFonts w:hint="eastAsia" w:ascii="宋体" w:hAnsi="宋体" w:eastAsia="宋体" w:cs="Times New Roman"/>
          <w:sz w:val="24"/>
          <w:szCs w:val="24"/>
          <w:highlight w:val="none"/>
          <w:lang w:val="en-US" w:eastAsia="zh-CN"/>
        </w:rPr>
        <w:t>电子化响应文件内容及格</w:t>
      </w:r>
      <w:r>
        <w:rPr>
          <w:rFonts w:hint="eastAsia" w:ascii="宋体" w:hAnsi="宋体" w:eastAsia="宋体" w:cs="Times New Roman"/>
          <w:sz w:val="24"/>
          <w:szCs w:val="24"/>
          <w:highlight w:val="none"/>
        </w:rPr>
        <w:t>式</w:t>
      </w:r>
    </w:p>
    <w:p w14:paraId="0AAB141F">
      <w:pPr>
        <w:spacing w:line="360" w:lineRule="auto"/>
        <w:ind w:firstLine="424" w:firstLineChars="176"/>
        <w:outlineLvl w:val="1"/>
        <w:rPr>
          <w:rFonts w:ascii="宋体" w:hAnsi="宋体" w:eastAsia="宋体" w:cs="Times New Roman"/>
          <w:b/>
          <w:bCs/>
          <w:sz w:val="24"/>
          <w:szCs w:val="24"/>
          <w:highlight w:val="none"/>
        </w:rPr>
      </w:pPr>
      <w:bookmarkStart w:id="28" w:name="_Toc2676"/>
      <w:r>
        <w:rPr>
          <w:rFonts w:ascii="宋体" w:hAnsi="宋体" w:eastAsia="宋体" w:cs="Times New Roman"/>
          <w:b/>
          <w:bCs/>
          <w:sz w:val="24"/>
          <w:szCs w:val="24"/>
          <w:highlight w:val="none"/>
        </w:rPr>
        <w:t>5</w:t>
      </w:r>
      <w:r>
        <w:rPr>
          <w:rFonts w:hint="eastAsia" w:ascii="宋体" w:hAnsi="宋体" w:eastAsia="宋体" w:cs="Times New Roman"/>
          <w:b/>
          <w:bCs/>
          <w:sz w:val="24"/>
          <w:szCs w:val="24"/>
          <w:highlight w:val="none"/>
        </w:rPr>
        <w:t>、竞争性磋商文件的澄清</w:t>
      </w:r>
      <w:bookmarkEnd w:id="28"/>
    </w:p>
    <w:p w14:paraId="759A8956">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5.1</w:t>
      </w:r>
      <w:r>
        <w:rPr>
          <w:rFonts w:hint="eastAsia" w:ascii="宋体" w:hAnsi="宋体" w:eastAsia="宋体" w:cs="Times New Roman"/>
          <w:sz w:val="24"/>
          <w:szCs w:val="24"/>
          <w:highlight w:val="none"/>
        </w:rPr>
        <w:t>磋商响应供应商对磋商文件需有澄清或疑问，应在购买竞争性磋商文件后</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日内向采购人进行询问，采购人在收到磋商响应供应商的疑问后于</w:t>
      </w:r>
      <w:r>
        <w:rPr>
          <w:rFonts w:ascii="宋体" w:hAnsi="宋体" w:eastAsia="宋体" w:cs="Times New Roman"/>
          <w:sz w:val="24"/>
          <w:szCs w:val="24"/>
          <w:highlight w:val="none"/>
        </w:rPr>
        <w:t>5</w:t>
      </w:r>
      <w:r>
        <w:rPr>
          <w:rFonts w:hint="eastAsia" w:ascii="宋体" w:hAnsi="宋体" w:eastAsia="宋体" w:cs="Times New Roman"/>
          <w:sz w:val="24"/>
          <w:szCs w:val="24"/>
          <w:highlight w:val="none"/>
        </w:rPr>
        <w:t>日内将视情况确定采用适当方式予以澄清或以书面形式予以答复，并在其认为必要时，将书面答复发送已购买竞争性磋商文件的所有潜在磋商响应供应商。</w:t>
      </w:r>
    </w:p>
    <w:p w14:paraId="06AFA31C">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5.2</w:t>
      </w:r>
      <w:r>
        <w:rPr>
          <w:rFonts w:hint="eastAsia" w:ascii="宋体" w:hAnsi="宋体" w:eastAsia="宋体" w:cs="Times New Roman"/>
          <w:sz w:val="24"/>
          <w:szCs w:val="24"/>
          <w:highlight w:val="none"/>
        </w:rPr>
        <w:t>采购人将视情况在认为必要时于采购截止时间前答疑。</w:t>
      </w:r>
    </w:p>
    <w:p w14:paraId="77D49E1B">
      <w:pPr>
        <w:spacing w:line="360" w:lineRule="auto"/>
        <w:ind w:firstLine="424" w:firstLineChars="176"/>
        <w:outlineLvl w:val="1"/>
        <w:rPr>
          <w:rFonts w:ascii="宋体" w:hAnsi="宋体" w:eastAsia="宋体" w:cs="Times New Roman"/>
          <w:b/>
          <w:bCs/>
          <w:sz w:val="24"/>
          <w:szCs w:val="24"/>
          <w:highlight w:val="none"/>
        </w:rPr>
      </w:pPr>
      <w:bookmarkStart w:id="29" w:name="_Toc15862"/>
      <w:r>
        <w:rPr>
          <w:rFonts w:ascii="宋体" w:hAnsi="宋体" w:eastAsia="宋体" w:cs="Times New Roman"/>
          <w:b/>
          <w:bCs/>
          <w:sz w:val="24"/>
          <w:szCs w:val="24"/>
          <w:highlight w:val="none"/>
        </w:rPr>
        <w:t>6</w:t>
      </w:r>
      <w:r>
        <w:rPr>
          <w:rFonts w:hint="eastAsia" w:ascii="宋体" w:hAnsi="宋体" w:eastAsia="宋体" w:cs="Times New Roman"/>
          <w:b/>
          <w:bCs/>
          <w:sz w:val="24"/>
          <w:szCs w:val="24"/>
          <w:highlight w:val="none"/>
        </w:rPr>
        <w:t>、竞争性磋商文件的修改</w:t>
      </w:r>
      <w:bookmarkEnd w:id="29"/>
    </w:p>
    <w:p w14:paraId="2193FECA">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6.1</w:t>
      </w:r>
      <w:r>
        <w:rPr>
          <w:rFonts w:hint="eastAsia" w:ascii="宋体" w:hAnsi="宋体" w:eastAsia="宋体" w:cs="Times New Roman"/>
          <w:sz w:val="24"/>
          <w:szCs w:val="24"/>
          <w:highlight w:val="none"/>
        </w:rPr>
        <w:t>竞争性磋商文件的修改书将构成磋商响应文件的一部分，对所有磋商响应供应商均有约束力。</w:t>
      </w:r>
    </w:p>
    <w:p w14:paraId="5529A21C">
      <w:pPr>
        <w:spacing w:line="360" w:lineRule="auto"/>
        <w:ind w:firstLine="424" w:firstLineChars="176"/>
        <w:outlineLvl w:val="1"/>
        <w:rPr>
          <w:rFonts w:ascii="宋体" w:hAnsi="宋体" w:eastAsia="宋体" w:cs="Times New Roman"/>
          <w:b/>
          <w:bCs/>
          <w:sz w:val="24"/>
          <w:szCs w:val="24"/>
          <w:highlight w:val="none"/>
        </w:rPr>
      </w:pPr>
      <w:bookmarkStart w:id="30" w:name="_Toc12001"/>
      <w:r>
        <w:rPr>
          <w:rFonts w:ascii="宋体" w:hAnsi="宋体" w:eastAsia="宋体" w:cs="Times New Roman"/>
          <w:b/>
          <w:bCs/>
          <w:sz w:val="24"/>
          <w:szCs w:val="24"/>
          <w:highlight w:val="none"/>
        </w:rPr>
        <w:t>7</w:t>
      </w:r>
      <w:r>
        <w:rPr>
          <w:rFonts w:hint="eastAsia" w:ascii="宋体" w:hAnsi="宋体" w:eastAsia="宋体" w:cs="Times New Roman"/>
          <w:b/>
          <w:bCs/>
          <w:sz w:val="24"/>
          <w:szCs w:val="24"/>
          <w:highlight w:val="none"/>
        </w:rPr>
        <w:t>、要求</w:t>
      </w:r>
      <w:bookmarkEnd w:id="30"/>
    </w:p>
    <w:p w14:paraId="032E990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7.1</w:t>
      </w:r>
      <w:r>
        <w:rPr>
          <w:rFonts w:hint="eastAsia" w:ascii="宋体" w:hAnsi="宋体" w:eastAsia="宋体" w:cs="Times New Roman"/>
          <w:sz w:val="24"/>
          <w:szCs w:val="24"/>
          <w:highlight w:val="none"/>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788BE883">
      <w:pPr>
        <w:spacing w:line="360" w:lineRule="auto"/>
        <w:ind w:firstLine="424" w:firstLineChars="176"/>
        <w:outlineLvl w:val="1"/>
        <w:rPr>
          <w:rFonts w:ascii="宋体" w:hAnsi="宋体" w:eastAsia="宋体" w:cs="Times New Roman"/>
          <w:b/>
          <w:bCs/>
          <w:sz w:val="24"/>
          <w:szCs w:val="24"/>
          <w:highlight w:val="none"/>
        </w:rPr>
      </w:pPr>
      <w:bookmarkStart w:id="31" w:name="_Toc23867"/>
      <w:r>
        <w:rPr>
          <w:rFonts w:ascii="宋体" w:hAnsi="宋体" w:eastAsia="宋体" w:cs="Times New Roman"/>
          <w:b/>
          <w:bCs/>
          <w:sz w:val="24"/>
          <w:szCs w:val="24"/>
          <w:highlight w:val="none"/>
        </w:rPr>
        <w:t>8</w:t>
      </w:r>
      <w:r>
        <w:rPr>
          <w:rFonts w:hint="eastAsia" w:ascii="宋体" w:hAnsi="宋体" w:eastAsia="宋体" w:cs="Times New Roman"/>
          <w:b/>
          <w:bCs/>
          <w:sz w:val="24"/>
          <w:szCs w:val="24"/>
          <w:highlight w:val="none"/>
        </w:rPr>
        <w:t>、电子化磋商响应文件的组成</w:t>
      </w:r>
      <w:bookmarkEnd w:id="31"/>
    </w:p>
    <w:p w14:paraId="628279F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Times New Roman"/>
          <w:sz w:val="24"/>
          <w:szCs w:val="24"/>
          <w:highlight w:val="none"/>
        </w:rPr>
        <w:t>（1）</w:t>
      </w:r>
      <w:r>
        <w:rPr>
          <w:rFonts w:hint="eastAsia" w:ascii="宋体" w:hAnsi="宋体" w:cs="Times New Roman"/>
          <w:sz w:val="24"/>
          <w:szCs w:val="24"/>
          <w:highlight w:val="none"/>
          <w:lang w:eastAsia="zh-CN"/>
        </w:rPr>
        <w:t>投标函及投标函附录</w:t>
      </w:r>
      <w:r>
        <w:rPr>
          <w:rFonts w:hint="eastAsia" w:ascii="宋体" w:hAnsi="宋体" w:eastAsia="宋体" w:cs="宋体"/>
          <w:sz w:val="24"/>
          <w:szCs w:val="24"/>
          <w:highlight w:val="none"/>
        </w:rPr>
        <w:t>；</w:t>
      </w:r>
    </w:p>
    <w:p w14:paraId="08873E1B">
      <w:pPr>
        <w:spacing w:line="360" w:lineRule="auto"/>
        <w:ind w:firstLine="480" w:firstLineChars="200"/>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hint="eastAsia" w:ascii="宋体" w:hAnsi="宋体" w:cs="Times New Roman"/>
          <w:sz w:val="24"/>
          <w:szCs w:val="24"/>
          <w:highlight w:val="none"/>
          <w:lang w:eastAsia="zh-CN"/>
        </w:rPr>
        <w:t>法定代表人身份证明</w:t>
      </w:r>
      <w:r>
        <w:rPr>
          <w:rFonts w:hint="eastAsia" w:ascii="宋体" w:hAnsi="宋体" w:eastAsia="宋体" w:cs="Times New Roman"/>
          <w:sz w:val="24"/>
          <w:szCs w:val="24"/>
          <w:highlight w:val="none"/>
        </w:rPr>
        <w:t>；</w:t>
      </w:r>
    </w:p>
    <w:p w14:paraId="59FC95BD">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（3）授权委托书；</w:t>
      </w:r>
    </w:p>
    <w:p w14:paraId="462A7E4E">
      <w:pPr>
        <w:keepNext/>
        <w:spacing w:line="360" w:lineRule="auto"/>
        <w:ind w:firstLine="480" w:firstLineChars="200"/>
        <w:jc w:val="left"/>
        <w:textAlignment w:val="baseline"/>
        <w:outlineLvl w:val="9"/>
        <w:rPr>
          <w:rFonts w:hint="default"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rPr>
        <w:t>（4）</w:t>
      </w:r>
      <w:r>
        <w:rPr>
          <w:rFonts w:hint="eastAsia" w:ascii="宋体" w:hAnsi="宋体" w:cs="Times New Roman"/>
          <w:kern w:val="0"/>
          <w:sz w:val="24"/>
          <w:szCs w:val="24"/>
          <w:highlight w:val="none"/>
          <w:lang w:val="en-US" w:eastAsia="zh-CN"/>
        </w:rPr>
        <w:t>响应承诺函；</w:t>
      </w:r>
    </w:p>
    <w:p w14:paraId="618DBE15">
      <w:pPr>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（5）</w:t>
      </w:r>
      <w:r>
        <w:rPr>
          <w:rFonts w:hint="eastAsia" w:ascii="宋体" w:hAnsi="宋体" w:cs="Times New Roman"/>
          <w:sz w:val="24"/>
          <w:szCs w:val="24"/>
          <w:highlight w:val="none"/>
          <w:lang w:val="en-US" w:eastAsia="zh-CN"/>
        </w:rPr>
        <w:t>综合标；</w:t>
      </w:r>
    </w:p>
    <w:p w14:paraId="3F6DE923">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Times New Roman"/>
          <w:sz w:val="24"/>
          <w:szCs w:val="24"/>
          <w:highlight w:val="none"/>
        </w:rPr>
        <w:t>（6）</w:t>
      </w:r>
      <w:r>
        <w:rPr>
          <w:rFonts w:hint="eastAsia" w:ascii="宋体" w:hAnsi="宋体" w:eastAsia="宋体" w:cs="宋体"/>
          <w:sz w:val="24"/>
          <w:szCs w:val="24"/>
          <w:highlight w:val="none"/>
          <w:lang w:val="en-US" w:eastAsia="zh-CN"/>
        </w:rPr>
        <w:t>资格证明文件</w:t>
      </w:r>
      <w:r>
        <w:rPr>
          <w:rFonts w:hint="eastAsia" w:ascii="宋体" w:hAnsi="宋体" w:eastAsia="宋体" w:cs="宋体"/>
          <w:sz w:val="24"/>
          <w:szCs w:val="24"/>
          <w:highlight w:val="none"/>
        </w:rPr>
        <w:t>；</w:t>
      </w:r>
    </w:p>
    <w:p w14:paraId="0AB870E4">
      <w:pPr>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cs="Times New Roman"/>
          <w:sz w:val="24"/>
          <w:szCs w:val="24"/>
          <w:highlight w:val="none"/>
          <w:lang w:val="en-US" w:eastAsia="zh-CN"/>
        </w:rPr>
        <w:t>技术标</w:t>
      </w:r>
      <w:r>
        <w:rPr>
          <w:rFonts w:hint="eastAsia" w:ascii="宋体" w:hAnsi="宋体" w:eastAsia="宋体" w:cs="宋体"/>
          <w:sz w:val="24"/>
          <w:szCs w:val="24"/>
          <w:highlight w:val="none"/>
        </w:rPr>
        <w:t>；</w:t>
      </w:r>
    </w:p>
    <w:p w14:paraId="3BC3783B">
      <w:pPr>
        <w:autoSpaceDE w:val="0"/>
        <w:autoSpaceDN w:val="0"/>
        <w:adjustRightInd w:val="0"/>
        <w:spacing w:line="360" w:lineRule="auto"/>
        <w:ind w:firstLine="480" w:firstLineChars="200"/>
        <w:jc w:val="left"/>
        <w:rPr>
          <w:rFonts w:ascii="宋体" w:hAnsi="Times New Roman" w:eastAsia="宋体" w:cs="Times New Roman"/>
          <w:color w:val="000000"/>
          <w:kern w:val="0"/>
          <w:sz w:val="24"/>
          <w:szCs w:val="24"/>
          <w:highlight w:val="none"/>
        </w:rPr>
      </w:pPr>
      <w:r>
        <w:rPr>
          <w:rFonts w:hint="eastAsia" w:ascii="宋体" w:hAnsi="Times New Roman" w:eastAsia="宋体" w:cs="Times New Roman"/>
          <w:color w:val="000000"/>
          <w:kern w:val="0"/>
          <w:sz w:val="24"/>
          <w:szCs w:val="24"/>
          <w:highlight w:val="none"/>
        </w:rPr>
        <w:t>（8）响应供应商可提交的其他资料。</w:t>
      </w:r>
    </w:p>
    <w:p w14:paraId="220E7D61">
      <w:pPr>
        <w:spacing w:line="360" w:lineRule="auto"/>
        <w:ind w:firstLine="424" w:firstLineChars="176"/>
        <w:outlineLvl w:val="1"/>
        <w:rPr>
          <w:rFonts w:ascii="宋体" w:hAnsi="宋体" w:eastAsia="宋体" w:cs="Times New Roman"/>
          <w:b/>
          <w:bCs/>
          <w:sz w:val="24"/>
          <w:szCs w:val="24"/>
          <w:highlight w:val="none"/>
        </w:rPr>
      </w:pPr>
      <w:bookmarkStart w:id="32" w:name="_Toc9358"/>
      <w:r>
        <w:rPr>
          <w:rFonts w:ascii="宋体" w:hAnsi="宋体" w:eastAsia="宋体" w:cs="Times New Roman"/>
          <w:b/>
          <w:bCs/>
          <w:sz w:val="24"/>
          <w:szCs w:val="24"/>
          <w:highlight w:val="none"/>
        </w:rPr>
        <w:t>9</w:t>
      </w:r>
      <w:r>
        <w:rPr>
          <w:rFonts w:hint="eastAsia" w:ascii="宋体" w:hAnsi="宋体" w:eastAsia="宋体" w:cs="Times New Roman"/>
          <w:b/>
          <w:bCs/>
          <w:sz w:val="24"/>
          <w:szCs w:val="24"/>
          <w:highlight w:val="none"/>
        </w:rPr>
        <w:t>、电子化磋商响应文件的格式</w:t>
      </w:r>
      <w:bookmarkEnd w:id="32"/>
    </w:p>
    <w:p w14:paraId="4CB7AB62">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9.1</w:t>
      </w:r>
      <w:r>
        <w:rPr>
          <w:rFonts w:hint="eastAsia" w:ascii="宋体" w:hAnsi="宋体" w:eastAsia="宋体" w:cs="Times New Roman"/>
          <w:sz w:val="24"/>
          <w:szCs w:val="24"/>
          <w:highlight w:val="none"/>
        </w:rPr>
        <w:t>供应商所上传的电子化磋商响应文件，应是通过中心磋商响应文件制作系统制作的，经过签章和加密后生成的电子版磋商响应文件。其中包含用于磋商响应文件上传的主文件（后缀为.smxtf）和用于应急补救的磋商响应文件备份文件（后缀为.nsmxtf）。</w:t>
      </w:r>
    </w:p>
    <w:p w14:paraId="268224F9">
      <w:pPr>
        <w:spacing w:line="360" w:lineRule="auto"/>
        <w:ind w:firstLine="424" w:firstLineChars="176"/>
        <w:outlineLvl w:val="1"/>
        <w:rPr>
          <w:rFonts w:ascii="宋体" w:hAnsi="宋体" w:eastAsia="宋体" w:cs="Times New Roman"/>
          <w:sz w:val="24"/>
          <w:szCs w:val="24"/>
          <w:highlight w:val="none"/>
        </w:rPr>
      </w:pPr>
      <w:bookmarkStart w:id="33" w:name="_Toc5726"/>
      <w:r>
        <w:rPr>
          <w:rFonts w:ascii="宋体" w:hAnsi="宋体" w:eastAsia="宋体" w:cs="Times New Roman"/>
          <w:b/>
          <w:bCs/>
          <w:sz w:val="24"/>
          <w:szCs w:val="24"/>
          <w:highlight w:val="none"/>
        </w:rPr>
        <w:t>10</w:t>
      </w:r>
      <w:r>
        <w:rPr>
          <w:rFonts w:hint="eastAsia" w:ascii="宋体" w:hAnsi="宋体" w:eastAsia="宋体" w:cs="Times New Roman"/>
          <w:b/>
          <w:bCs/>
          <w:sz w:val="24"/>
          <w:szCs w:val="24"/>
          <w:highlight w:val="none"/>
        </w:rPr>
        <w:t>、电子化磋商响应文件的签署</w:t>
      </w:r>
      <w:bookmarkEnd w:id="33"/>
    </w:p>
    <w:p w14:paraId="6F5945AC">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10.1</w:t>
      </w:r>
      <w:r>
        <w:rPr>
          <w:rFonts w:hint="eastAsia" w:ascii="宋体" w:hAnsi="宋体" w:eastAsia="宋体" w:cs="Times New Roman"/>
          <w:sz w:val="24"/>
          <w:szCs w:val="24"/>
          <w:highlight w:val="none"/>
        </w:rPr>
        <w:t>磋商响应供应商在进行电子化磋商响应文件签章时，竞争性磋商文件中要求磋商响应供应商盖章的，以签盖单位章为准；要求法定代表人或授权代理人签章的，以签盖法定代表人签章为准。</w:t>
      </w:r>
    </w:p>
    <w:p w14:paraId="098D729C">
      <w:pPr>
        <w:spacing w:line="360" w:lineRule="auto"/>
        <w:ind w:firstLine="424" w:firstLineChars="176"/>
        <w:outlineLvl w:val="1"/>
        <w:rPr>
          <w:rFonts w:ascii="宋体" w:hAnsi="宋体" w:eastAsia="宋体" w:cs="Times New Roman"/>
          <w:b/>
          <w:bCs/>
          <w:sz w:val="24"/>
          <w:szCs w:val="24"/>
          <w:highlight w:val="none"/>
        </w:rPr>
      </w:pPr>
      <w:bookmarkStart w:id="34" w:name="_Toc27848"/>
      <w:r>
        <w:rPr>
          <w:rFonts w:ascii="宋体" w:hAnsi="宋体" w:eastAsia="宋体" w:cs="Times New Roman"/>
          <w:b/>
          <w:bCs/>
          <w:sz w:val="24"/>
          <w:szCs w:val="24"/>
          <w:highlight w:val="none"/>
        </w:rPr>
        <w:t>11</w:t>
      </w:r>
      <w:r>
        <w:rPr>
          <w:rFonts w:hint="eastAsia" w:ascii="宋体" w:hAnsi="宋体" w:eastAsia="宋体" w:cs="Times New Roman"/>
          <w:b/>
          <w:bCs/>
          <w:sz w:val="24"/>
          <w:szCs w:val="24"/>
          <w:highlight w:val="none"/>
        </w:rPr>
        <w:t>、电子化磋商响应文件的上传</w:t>
      </w:r>
      <w:bookmarkEnd w:id="34"/>
    </w:p>
    <w:p w14:paraId="1B5676EA">
      <w:pPr>
        <w:spacing w:line="360" w:lineRule="auto"/>
        <w:ind w:firstLine="422" w:firstLineChars="176"/>
        <w:jc w:val="left"/>
        <w:rPr>
          <w:rFonts w:ascii="宋体" w:hAnsi="宋体" w:eastAsia="宋体" w:cs="Times New Roman"/>
          <w:kern w:val="0"/>
          <w:sz w:val="24"/>
          <w:szCs w:val="24"/>
          <w:highlight w:val="none"/>
        </w:rPr>
      </w:pPr>
      <w:r>
        <w:rPr>
          <w:rFonts w:ascii="宋体" w:hAnsi="宋体" w:eastAsia="宋体" w:cs="Times New Roman"/>
          <w:sz w:val="24"/>
          <w:szCs w:val="24"/>
          <w:highlight w:val="none"/>
        </w:rPr>
        <w:t>11.1</w:t>
      </w:r>
      <w:r>
        <w:rPr>
          <w:rFonts w:hint="eastAsia" w:ascii="宋体" w:hAnsi="宋体" w:eastAsia="宋体" w:cs="Times New Roman"/>
          <w:kern w:val="0"/>
          <w:sz w:val="24"/>
          <w:szCs w:val="24"/>
          <w:highlight w:val="none"/>
        </w:rPr>
        <w:t>电子化磋商响应文件应在投标截止时间前成功上传至三门峡市公共资源电子化交易系统。至投标截止时间止，仍未上传成功的电子化磋商响应文件将不予接收。</w:t>
      </w:r>
    </w:p>
    <w:p w14:paraId="6616A461">
      <w:pPr>
        <w:spacing w:line="360" w:lineRule="auto"/>
        <w:ind w:firstLine="422" w:firstLineChars="176"/>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7873EC16">
      <w:pPr>
        <w:spacing w:line="360" w:lineRule="auto"/>
        <w:ind w:firstLine="424" w:firstLineChars="176"/>
        <w:outlineLvl w:val="1"/>
        <w:rPr>
          <w:rFonts w:ascii="宋体" w:hAnsi="宋体" w:eastAsia="宋体" w:cs="Times New Roman"/>
          <w:b/>
          <w:bCs/>
          <w:sz w:val="24"/>
          <w:szCs w:val="24"/>
          <w:highlight w:val="none"/>
        </w:rPr>
      </w:pPr>
      <w:bookmarkStart w:id="35" w:name="_Toc7272"/>
      <w:r>
        <w:rPr>
          <w:rFonts w:ascii="宋体" w:hAnsi="宋体" w:eastAsia="宋体" w:cs="Times New Roman"/>
          <w:b/>
          <w:bCs/>
          <w:sz w:val="24"/>
          <w:szCs w:val="24"/>
          <w:highlight w:val="none"/>
        </w:rPr>
        <w:t>12</w:t>
      </w:r>
      <w:r>
        <w:rPr>
          <w:rFonts w:hint="eastAsia" w:ascii="宋体" w:hAnsi="宋体" w:eastAsia="宋体" w:cs="Times New Roman"/>
          <w:b/>
          <w:bCs/>
          <w:sz w:val="24"/>
          <w:szCs w:val="24"/>
          <w:highlight w:val="none"/>
        </w:rPr>
        <w:t>、磋商截止时间</w:t>
      </w:r>
      <w:bookmarkEnd w:id="35"/>
    </w:p>
    <w:p w14:paraId="5DC2FF8D">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12.1</w:t>
      </w:r>
      <w:r>
        <w:rPr>
          <w:rFonts w:hint="eastAsia" w:ascii="宋体" w:hAnsi="宋体" w:eastAsia="宋体" w:cs="Times New Roman"/>
          <w:sz w:val="24"/>
          <w:szCs w:val="24"/>
          <w:highlight w:val="none"/>
        </w:rPr>
        <w:t>电子化磋商响应文件的截止时间见本须知前附表规定。</w:t>
      </w:r>
    </w:p>
    <w:p w14:paraId="5F028487">
      <w:pPr>
        <w:spacing w:line="360" w:lineRule="auto"/>
        <w:ind w:firstLine="424" w:firstLineChars="176"/>
        <w:outlineLvl w:val="1"/>
        <w:rPr>
          <w:rFonts w:ascii="宋体" w:hAnsi="宋体" w:eastAsia="宋体" w:cs="Times New Roman"/>
          <w:sz w:val="24"/>
          <w:szCs w:val="24"/>
          <w:highlight w:val="none"/>
        </w:rPr>
      </w:pPr>
      <w:bookmarkStart w:id="36" w:name="_Toc4506"/>
      <w:r>
        <w:rPr>
          <w:rFonts w:ascii="宋体" w:hAnsi="宋体" w:eastAsia="宋体" w:cs="Times New Roman"/>
          <w:b/>
          <w:bCs/>
          <w:sz w:val="24"/>
          <w:szCs w:val="24"/>
          <w:highlight w:val="none"/>
        </w:rPr>
        <w:t>13</w:t>
      </w:r>
      <w:r>
        <w:rPr>
          <w:rFonts w:hint="eastAsia" w:ascii="宋体" w:hAnsi="宋体" w:eastAsia="宋体" w:cs="Times New Roman"/>
          <w:b/>
          <w:bCs/>
          <w:sz w:val="24"/>
          <w:szCs w:val="24"/>
          <w:highlight w:val="none"/>
        </w:rPr>
        <w:t>、电子化磋商响应文件的补充、修改与撤回</w:t>
      </w:r>
      <w:bookmarkEnd w:id="36"/>
    </w:p>
    <w:p w14:paraId="1E9B4B53">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13.1</w:t>
      </w:r>
      <w:r>
        <w:rPr>
          <w:rFonts w:hint="eastAsia" w:ascii="宋体" w:hAnsi="宋体" w:eastAsia="宋体" w:cs="Times New Roman"/>
          <w:sz w:val="24"/>
          <w:szCs w:val="24"/>
          <w:highlight w:val="none"/>
        </w:rPr>
        <w:t>在磋商截止时间之后，磋商响应供应商不得补充、修改电子化磋商响应文件。</w:t>
      </w:r>
    </w:p>
    <w:p w14:paraId="65238FEE">
      <w:pPr>
        <w:spacing w:line="360" w:lineRule="auto"/>
        <w:ind w:firstLine="424" w:firstLineChars="176"/>
        <w:outlineLvl w:val="1"/>
        <w:rPr>
          <w:rFonts w:ascii="宋体" w:hAnsi="宋体" w:eastAsia="宋体" w:cs="Times New Roman"/>
          <w:szCs w:val="21"/>
          <w:highlight w:val="none"/>
        </w:rPr>
      </w:pPr>
      <w:bookmarkStart w:id="37" w:name="_Toc4032"/>
      <w:r>
        <w:rPr>
          <w:rFonts w:hint="eastAsia" w:ascii="宋体" w:hAnsi="宋体" w:eastAsia="宋体" w:cs="Times New Roman"/>
          <w:b/>
          <w:bCs/>
          <w:sz w:val="24"/>
          <w:szCs w:val="24"/>
          <w:highlight w:val="none"/>
        </w:rPr>
        <w:t>14、磋商报价</w:t>
      </w:r>
      <w:bookmarkEnd w:id="37"/>
      <w:r>
        <w:rPr>
          <w:rFonts w:ascii="宋体" w:hAnsi="宋体" w:eastAsia="宋体" w:cs="Times New Roman"/>
          <w:b/>
          <w:bCs/>
          <w:sz w:val="24"/>
          <w:szCs w:val="24"/>
          <w:highlight w:val="none"/>
        </w:rPr>
        <w:tab/>
      </w:r>
    </w:p>
    <w:p w14:paraId="256C984B">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14.1</w:t>
      </w:r>
      <w:r>
        <w:rPr>
          <w:rFonts w:hint="eastAsia" w:ascii="宋体" w:hAnsi="宋体" w:eastAsia="宋体" w:cs="Times New Roman"/>
          <w:sz w:val="24"/>
          <w:szCs w:val="24"/>
          <w:highlight w:val="none"/>
        </w:rPr>
        <w:t>本次磋商采购的均须以人民币为计算单位。</w:t>
      </w:r>
    </w:p>
    <w:p w14:paraId="721579F4">
      <w:pPr>
        <w:spacing w:line="46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14.2本项目应以人民币报价，供应商应就该项目完整投标（报价、服务、税费、售后服务等综合费用），采购人不另外支付其他任何费用；</w:t>
      </w:r>
    </w:p>
    <w:p w14:paraId="6DC4F992">
      <w:pPr>
        <w:spacing w:line="46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14.3 </w:t>
      </w:r>
      <w:r>
        <w:rPr>
          <w:rFonts w:hint="eastAsia" w:ascii="宋体" w:hAnsi="宋体" w:eastAsia="宋体" w:cs="Times New Roman"/>
          <w:sz w:val="24"/>
          <w:szCs w:val="24"/>
          <w:highlight w:val="none"/>
        </w:rPr>
        <w:t>磋商响应供应商应充分考虑市场风险和国家政策性风险系数，根据企业具体情况在合理的范围内自主报价，但不得低于企业实际成本。</w:t>
      </w:r>
    </w:p>
    <w:p w14:paraId="7241C813">
      <w:pPr>
        <w:spacing w:line="360" w:lineRule="auto"/>
        <w:ind w:firstLine="422" w:firstLineChars="176"/>
        <w:rPr>
          <w:rFonts w:ascii="宋体" w:hAnsi="宋体" w:eastAsia="宋体" w:cs="Times New Roman"/>
          <w:kern w:val="0"/>
          <w:sz w:val="24"/>
          <w:szCs w:val="24"/>
          <w:highlight w:val="none"/>
        </w:rPr>
      </w:pPr>
      <w:r>
        <w:rPr>
          <w:rFonts w:ascii="宋体" w:hAnsi="宋体" w:eastAsia="宋体" w:cs="Times New Roman"/>
          <w:kern w:val="0"/>
          <w:sz w:val="24"/>
          <w:szCs w:val="24"/>
          <w:highlight w:val="none"/>
        </w:rPr>
        <w:t>14.4</w:t>
      </w:r>
      <w:r>
        <w:rPr>
          <w:rFonts w:hint="eastAsia" w:ascii="宋体" w:hAnsi="宋体" w:eastAsia="宋体" w:cs="Times New Roman"/>
          <w:kern w:val="0"/>
          <w:sz w:val="24"/>
          <w:szCs w:val="24"/>
          <w:highlight w:val="none"/>
        </w:rPr>
        <w:t>磋商响应供应商只能提出一个报价，采购人不接受任何有选择的报价，最后报价不得超过项目招标控制价。</w:t>
      </w:r>
    </w:p>
    <w:p w14:paraId="61F51CC1">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14.5</w:t>
      </w:r>
      <w:r>
        <w:rPr>
          <w:rFonts w:hint="eastAsia" w:ascii="宋体" w:hAnsi="宋体" w:eastAsia="宋体" w:cs="Times New Roman"/>
          <w:sz w:val="24"/>
          <w:szCs w:val="24"/>
          <w:highlight w:val="none"/>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认定该报价人以低于成本报价，其报价应作无效报价处理。</w:t>
      </w:r>
    </w:p>
    <w:p w14:paraId="70591131">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14.6</w:t>
      </w:r>
      <w:r>
        <w:rPr>
          <w:rFonts w:hint="eastAsia" w:ascii="宋体" w:hAnsi="宋体" w:eastAsia="宋体" w:cs="Times New Roman"/>
          <w:sz w:val="24"/>
          <w:szCs w:val="24"/>
          <w:highlight w:val="none"/>
        </w:rPr>
        <w:t>本次采购为竞争性磋商采购，允许二次报价。</w:t>
      </w:r>
    </w:p>
    <w:p w14:paraId="0EE88230">
      <w:pPr>
        <w:spacing w:line="360" w:lineRule="auto"/>
        <w:ind w:firstLine="424" w:firstLineChars="176"/>
        <w:outlineLvl w:val="1"/>
        <w:rPr>
          <w:rFonts w:ascii="宋体" w:hAnsi="宋体" w:eastAsia="宋体" w:cs="Times New Roman"/>
          <w:b/>
          <w:bCs/>
          <w:sz w:val="24"/>
          <w:szCs w:val="24"/>
          <w:highlight w:val="none"/>
        </w:rPr>
      </w:pPr>
      <w:bookmarkStart w:id="38" w:name="_Toc32334"/>
      <w:r>
        <w:rPr>
          <w:rFonts w:ascii="宋体" w:hAnsi="宋体" w:eastAsia="宋体" w:cs="Times New Roman"/>
          <w:b/>
          <w:bCs/>
          <w:sz w:val="24"/>
          <w:szCs w:val="24"/>
          <w:highlight w:val="none"/>
        </w:rPr>
        <w:t>15</w:t>
      </w:r>
      <w:r>
        <w:rPr>
          <w:rFonts w:hint="eastAsia" w:ascii="宋体" w:hAnsi="宋体" w:eastAsia="宋体" w:cs="Times New Roman"/>
          <w:b/>
          <w:bCs/>
          <w:sz w:val="24"/>
          <w:szCs w:val="24"/>
          <w:highlight w:val="none"/>
        </w:rPr>
        <w:t>、磋商响应供应商资格的证明文件</w:t>
      </w:r>
      <w:bookmarkEnd w:id="38"/>
      <w:r>
        <w:rPr>
          <w:rFonts w:ascii="宋体" w:hAnsi="宋体" w:eastAsia="宋体" w:cs="Times New Roman"/>
          <w:b/>
          <w:bCs/>
          <w:sz w:val="24"/>
          <w:szCs w:val="24"/>
          <w:highlight w:val="none"/>
        </w:rPr>
        <w:tab/>
      </w:r>
    </w:p>
    <w:p w14:paraId="4E7B2403">
      <w:pPr>
        <w:spacing w:line="360" w:lineRule="auto"/>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15.1</w:t>
      </w:r>
      <w:r>
        <w:rPr>
          <w:rFonts w:hint="eastAsia" w:ascii="宋体" w:hAnsi="宋体" w:eastAsia="宋体" w:cs="Times New Roman"/>
          <w:sz w:val="24"/>
          <w:szCs w:val="24"/>
          <w:highlight w:val="none"/>
        </w:rPr>
        <w:t>证明磋商响应供应商是有资格参加</w:t>
      </w:r>
      <w:r>
        <w:rPr>
          <w:rFonts w:hint="eastAsia" w:ascii="宋体" w:hAnsi="宋体" w:eastAsia="宋体" w:cs="Times New Roman"/>
          <w:kern w:val="0"/>
          <w:sz w:val="24"/>
          <w:szCs w:val="24"/>
          <w:highlight w:val="none"/>
        </w:rPr>
        <w:t>磋商</w:t>
      </w:r>
      <w:r>
        <w:rPr>
          <w:rFonts w:hint="eastAsia" w:ascii="宋体" w:hAnsi="宋体" w:eastAsia="宋体" w:cs="Times New Roman"/>
          <w:sz w:val="24"/>
          <w:szCs w:val="24"/>
          <w:highlight w:val="none"/>
        </w:rPr>
        <w:t>的。</w:t>
      </w:r>
    </w:p>
    <w:p w14:paraId="269D2EF5">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15.2</w:t>
      </w:r>
      <w:r>
        <w:rPr>
          <w:rFonts w:hint="eastAsia" w:ascii="宋体" w:hAnsi="宋体" w:eastAsia="宋体" w:cs="Times New Roman"/>
          <w:sz w:val="24"/>
          <w:szCs w:val="24"/>
          <w:highlight w:val="none"/>
        </w:rPr>
        <w:t>证明磋商响应供应商有能力履行竞争性磋商文件中合同条款和技术要求规定的由磋商响应供应商提供的服务等义务。</w:t>
      </w:r>
    </w:p>
    <w:p w14:paraId="4119FF22">
      <w:pPr>
        <w:spacing w:line="360" w:lineRule="auto"/>
        <w:ind w:firstLine="424" w:firstLineChars="176"/>
        <w:outlineLvl w:val="1"/>
        <w:rPr>
          <w:rFonts w:ascii="宋体" w:hAnsi="宋体" w:eastAsia="宋体" w:cs="Times New Roman"/>
          <w:b/>
          <w:bCs/>
          <w:sz w:val="24"/>
          <w:szCs w:val="24"/>
          <w:highlight w:val="none"/>
        </w:rPr>
      </w:pPr>
      <w:bookmarkStart w:id="39" w:name="_Toc12563"/>
      <w:r>
        <w:rPr>
          <w:rFonts w:hint="eastAsia" w:ascii="宋体" w:hAnsi="宋体" w:eastAsia="宋体" w:cs="Times New Roman"/>
          <w:b/>
          <w:bCs/>
          <w:sz w:val="24"/>
          <w:szCs w:val="24"/>
          <w:highlight w:val="none"/>
        </w:rPr>
        <w:t>16、磋商响应文件有效期</w:t>
      </w:r>
      <w:bookmarkEnd w:id="39"/>
    </w:p>
    <w:p w14:paraId="143DA672">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响应性文件从首次递交竞争性磋商响应文件截止时间之日起开始生效，磋商有效期为</w:t>
      </w:r>
      <w:r>
        <w:rPr>
          <w:rFonts w:ascii="宋体" w:hAnsi="宋体" w:eastAsia="宋体" w:cs="Times New Roman"/>
          <w:sz w:val="24"/>
          <w:szCs w:val="24"/>
          <w:highlight w:val="none"/>
        </w:rPr>
        <w:t>60</w:t>
      </w:r>
      <w:r>
        <w:rPr>
          <w:rFonts w:hint="eastAsia" w:ascii="宋体" w:hAnsi="宋体" w:eastAsia="宋体" w:cs="Times New Roman"/>
          <w:sz w:val="24"/>
          <w:szCs w:val="24"/>
          <w:highlight w:val="none"/>
        </w:rPr>
        <w:t>日历天（从投标截止之日算起），有效期短于此规定的响应文件将被视为无效文件。</w:t>
      </w:r>
    </w:p>
    <w:p w14:paraId="44D9BCEE">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4C8AC5B">
      <w:pPr>
        <w:spacing w:line="360" w:lineRule="auto"/>
        <w:ind w:firstLine="424" w:firstLineChars="176"/>
        <w:outlineLvl w:val="1"/>
        <w:rPr>
          <w:rFonts w:ascii="宋体" w:hAnsi="宋体" w:eastAsia="宋体" w:cs="Times New Roman"/>
          <w:b/>
          <w:bCs/>
          <w:sz w:val="24"/>
          <w:szCs w:val="24"/>
          <w:highlight w:val="none"/>
        </w:rPr>
      </w:pPr>
      <w:bookmarkStart w:id="40" w:name="_Toc12577"/>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7、磋商</w:t>
      </w:r>
      <w:bookmarkEnd w:id="40"/>
    </w:p>
    <w:p w14:paraId="777299D1">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17.1 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14:paraId="735B6E9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17.2 电子化磋商响应文件采用一次加密方式。开标时，由供应商使用CA证书，在规定时间内对其电子化磋商响应文件进行解密。每位供应商的解密时间为开标时间起30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5489F80">
      <w:pPr>
        <w:spacing w:line="360" w:lineRule="auto"/>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17.3 电子化磋商响应文件解密异常的处理</w:t>
      </w:r>
    </w:p>
    <w:p w14:paraId="778109F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如出现供应商的电子磋商响应文件无法解密等异常情况，供应商应及时致电中介服务机构说明。磋商响应文件异常，按以下步骤进行处理：</w:t>
      </w:r>
    </w:p>
    <w:p w14:paraId="38C203A1">
      <w:pPr>
        <w:spacing w:line="360" w:lineRule="auto"/>
        <w:ind w:firstLine="422" w:firstLineChars="176"/>
        <w:outlineLvl w:val="3"/>
        <w:rPr>
          <w:rFonts w:ascii="宋体" w:hAnsi="宋体" w:eastAsia="宋体" w:cs="Times New Roman"/>
          <w:sz w:val="24"/>
          <w:szCs w:val="24"/>
          <w:highlight w:val="none"/>
        </w:rPr>
      </w:pPr>
      <w:r>
        <w:rPr>
          <w:rFonts w:hint="eastAsia" w:ascii="宋体" w:hAnsi="宋体" w:eastAsia="宋体" w:cs="Times New Roman"/>
          <w:sz w:val="24"/>
          <w:szCs w:val="24"/>
          <w:highlight w:val="none"/>
        </w:rPr>
        <w:t>（1）首先由技术人员进行问题排查。</w:t>
      </w:r>
    </w:p>
    <w:p w14:paraId="2BAE11F4">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（2）经技术人员排查后，是供应商文件自身问题导致磋商响应文件无法解密的，该磋商响应文件将不予接收、解密和唱标。开标会议继续进行。</w:t>
      </w:r>
    </w:p>
    <w:p w14:paraId="02FEB5F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0F1DDF8F">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17.4 待所有供应商磋商响应文件解密完成后，由中介服务机构操作，对所有已解密磋商响应文件进行唱标。</w:t>
      </w:r>
    </w:p>
    <w:p w14:paraId="2C60866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供应商应保证在开标期间电话、电脑、网络能够正常工作，供应商因停电、电脑病毒、网络堵塞等原因，未在规定的解密时间内对磋商响应文件进行解密的，其磋商响应文件不予接收、唱标。</w:t>
      </w:r>
    </w:p>
    <w:p w14:paraId="7F981D69">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029D48D0">
      <w:pPr>
        <w:spacing w:line="360" w:lineRule="auto"/>
        <w:ind w:firstLine="424" w:firstLineChars="176"/>
        <w:outlineLvl w:val="1"/>
        <w:rPr>
          <w:rFonts w:hint="eastAsia" w:ascii="宋体" w:hAnsi="宋体" w:eastAsia="宋体" w:cs="Times New Roman"/>
          <w:b/>
          <w:bCs/>
          <w:sz w:val="24"/>
          <w:szCs w:val="24"/>
          <w:highlight w:val="none"/>
          <w:lang w:eastAsia="zh-CN"/>
        </w:rPr>
      </w:pPr>
      <w:bookmarkStart w:id="41" w:name="_Toc27860"/>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8、</w:t>
      </w:r>
      <w:r>
        <w:rPr>
          <w:rFonts w:hint="eastAsia" w:ascii="宋体" w:hAnsi="宋体" w:cs="Times New Roman"/>
          <w:b/>
          <w:bCs/>
          <w:sz w:val="24"/>
          <w:szCs w:val="24"/>
          <w:highlight w:val="none"/>
          <w:lang w:eastAsia="zh-CN"/>
        </w:rPr>
        <w:t>磋商小组</w:t>
      </w:r>
      <w:bookmarkEnd w:id="41"/>
    </w:p>
    <w:p w14:paraId="783919D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由</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人构成：采购人代表</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人，其他专家</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人</w:t>
      </w:r>
      <w:r>
        <w:rPr>
          <w:rFonts w:hint="eastAsia" w:ascii="宋体" w:hAnsi="宋体" w:eastAsia="宋体" w:cs="宋体"/>
          <w:kern w:val="44"/>
          <w:sz w:val="24"/>
          <w:szCs w:val="24"/>
          <w:highlight w:val="none"/>
        </w:rPr>
        <w:t>开标当天通过渑池县公共资源交易中心网络抽取终端从</w:t>
      </w:r>
      <w:r>
        <w:rPr>
          <w:rFonts w:hint="eastAsia" w:ascii="宋体" w:hAnsi="宋体" w:eastAsia="宋体" w:cs="Times New Roman"/>
          <w:sz w:val="24"/>
          <w:szCs w:val="24"/>
          <w:highlight w:val="none"/>
          <w:lang w:val="en-US" w:eastAsia="zh-CN"/>
        </w:rPr>
        <w:t>河南省政府采购库</w:t>
      </w:r>
      <w:r>
        <w:rPr>
          <w:rFonts w:hint="eastAsia" w:ascii="宋体" w:hAnsi="宋体" w:eastAsia="宋体" w:cs="Times New Roman"/>
          <w:sz w:val="24"/>
          <w:szCs w:val="24"/>
          <w:highlight w:val="none"/>
        </w:rPr>
        <w:t>评标专家库中随机抽取</w:t>
      </w:r>
      <w:r>
        <w:rPr>
          <w:rFonts w:hint="eastAsia" w:ascii="宋体" w:hAnsi="宋体" w:eastAsia="宋体" w:cs="宋体"/>
          <w:kern w:val="44"/>
          <w:sz w:val="24"/>
          <w:szCs w:val="24"/>
          <w:highlight w:val="none"/>
        </w:rPr>
        <w:t>。</w:t>
      </w:r>
    </w:p>
    <w:p w14:paraId="4CE449A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对所有磋商响应供应商的磋商响应文件进行评审，按评审后得分由高到低顺序排列，递交给采购人。</w:t>
      </w:r>
    </w:p>
    <w:p w14:paraId="56F0DEED">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.3</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成员要依法独立评审，并对评审意见承担个人责任。</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成员对需要共同认定的事项存在争议的，按照少数服从多数的原则做出结论。持不同意见的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成员应当在评审报告上签署不同意见并说明理由，否则视为同意。</w:t>
      </w:r>
    </w:p>
    <w:p w14:paraId="347EDC88">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.4</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不得修改评审结果或者要求重新评审，但因资格性审查认定错误或价格计算错误需依法重新评审的除外。应在评审报告中明确记载。</w:t>
      </w:r>
    </w:p>
    <w:p w14:paraId="4A7A646F">
      <w:pPr>
        <w:spacing w:line="360" w:lineRule="auto"/>
        <w:ind w:firstLine="424" w:firstLineChars="176"/>
        <w:outlineLvl w:val="1"/>
        <w:rPr>
          <w:rFonts w:ascii="宋体" w:hAnsi="宋体" w:eastAsia="宋体" w:cs="Times New Roman"/>
          <w:b/>
          <w:bCs/>
          <w:sz w:val="24"/>
          <w:szCs w:val="24"/>
          <w:highlight w:val="none"/>
        </w:rPr>
      </w:pPr>
      <w:bookmarkStart w:id="42" w:name="_Toc14171"/>
      <w:r>
        <w:rPr>
          <w:rFonts w:hint="eastAsia" w:ascii="宋体" w:hAnsi="宋体" w:eastAsia="宋体" w:cs="Times New Roman"/>
          <w:b/>
          <w:bCs/>
          <w:sz w:val="24"/>
          <w:szCs w:val="24"/>
          <w:highlight w:val="none"/>
        </w:rPr>
        <w:t>19、磋商程序</w:t>
      </w:r>
      <w:bookmarkEnd w:id="42"/>
    </w:p>
    <w:p w14:paraId="215F97F1">
      <w:pPr>
        <w:spacing w:line="360" w:lineRule="auto"/>
        <w:ind w:firstLine="422" w:firstLineChars="176"/>
        <w:rPr>
          <w:rFonts w:ascii="宋体" w:hAnsi="宋体" w:eastAsia="宋体" w:cs="Times New Roman"/>
          <w:b/>
          <w:bCs/>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所有成员集中评审磋商响应文件及集中与磋商响应供应商分别进行磋商。</w:t>
      </w:r>
    </w:p>
    <w:p w14:paraId="2C62051B">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首先对所有磋商响应文件进行资格性和符合性审查。</w:t>
      </w:r>
    </w:p>
    <w:p w14:paraId="408BA7EF">
      <w:pPr>
        <w:spacing w:line="360" w:lineRule="auto"/>
        <w:ind w:firstLine="422" w:firstLineChars="176"/>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资格性审查是指：</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按照竞争性磋商文件第二章供应商须知前附表第</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1项的要求，对磋商响应供应商进行审查，有一项不符合的，视为未通过资格审查，不得进入下一评审过程。</w:t>
      </w:r>
    </w:p>
    <w:p w14:paraId="5B52A9E8">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符合性审查是指：</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按照竞争性磋商文件本须知的要求，对磋商响应供应商进行审查，有一项不符合的，视为未通过符合性审查。未通过资格性和符合性审查的磋商响应文件按无效响应处理，</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应当告知提交磋商响应文件的磋商响应供应商。</w:t>
      </w:r>
    </w:p>
    <w:p w14:paraId="5A5C909F">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.2.1</w:t>
      </w:r>
      <w:r>
        <w:rPr>
          <w:rFonts w:hint="eastAsia" w:ascii="宋体" w:hAnsi="宋体" w:eastAsia="宋体" w:cs="Times New Roman"/>
          <w:sz w:val="24"/>
          <w:szCs w:val="24"/>
          <w:highlight w:val="none"/>
        </w:rPr>
        <w:t>允许修正磋商响应文件中不构成重大偏离的、微小的、非正规的、不一致或不规则的地方。</w:t>
      </w:r>
    </w:p>
    <w:p w14:paraId="3646A157">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 xml:space="preserve">.2.2 </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判断磋商响应文件的响应性仅基于磋商响应文件本身内容而不靠外部证据。</w:t>
      </w:r>
    </w:p>
    <w:p w14:paraId="0C50D52B">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.2.3</w:t>
      </w:r>
      <w:r>
        <w:rPr>
          <w:rFonts w:hint="eastAsia" w:ascii="宋体" w:hAnsi="宋体" w:eastAsia="宋体" w:cs="Times New Roman"/>
          <w:sz w:val="24"/>
          <w:szCs w:val="24"/>
          <w:highlight w:val="none"/>
        </w:rPr>
        <w:t>实质性未响应磋商文件要求的响应将被拒绝，磋商响应供应商不得通过修正或撤消不符之处而使其响应成为实质性响应。</w:t>
      </w:r>
    </w:p>
    <w:p w14:paraId="1B176823">
      <w:p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.2.4</w:t>
      </w:r>
      <w:r>
        <w:rPr>
          <w:rFonts w:hint="eastAsia" w:ascii="宋体" w:hAnsi="宋体" w:eastAsia="宋体" w:cs="Times New Roman"/>
          <w:sz w:val="24"/>
          <w:szCs w:val="24"/>
          <w:highlight w:val="none"/>
        </w:rPr>
        <w:t>实质性未响应是指磋商响应文件中提出了超出磋商文件中招标控制价、采购数量、</w:t>
      </w:r>
      <w:r>
        <w:rPr>
          <w:rFonts w:hint="eastAsia" w:ascii="宋体" w:hAnsi="宋体" w:cs="Times New Roman"/>
          <w:sz w:val="24"/>
          <w:szCs w:val="24"/>
          <w:highlight w:val="none"/>
          <w:lang w:val="en-US" w:eastAsia="zh-CN"/>
        </w:rPr>
        <w:t>服务期限</w:t>
      </w:r>
      <w:r>
        <w:rPr>
          <w:rFonts w:hint="eastAsia" w:ascii="宋体" w:hAnsi="宋体" w:eastAsia="宋体" w:cs="Times New Roman"/>
          <w:sz w:val="24"/>
          <w:szCs w:val="24"/>
          <w:highlight w:val="none"/>
        </w:rPr>
        <w:t>和服务要求等内容。</w:t>
      </w:r>
    </w:p>
    <w:p w14:paraId="70C0B70E">
      <w:pPr>
        <w:spacing w:line="360" w:lineRule="auto"/>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19</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有下列情形之一的，其磋商响应文件将会被拒绝：</w:t>
      </w:r>
    </w:p>
    <w:p w14:paraId="527C0BB2">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磋商响应供应商资格不符合竞争性磋商文件要求的；</w:t>
      </w:r>
    </w:p>
    <w:p w14:paraId="0B5E4E17">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磋商报价超过竞争性磋商文件规定的招标控制价的；</w:t>
      </w:r>
    </w:p>
    <w:p w14:paraId="19896D91">
      <w:pPr>
        <w:numPr>
          <w:ilvl w:val="0"/>
          <w:numId w:val="1"/>
        </w:numPr>
        <w:spacing w:line="360" w:lineRule="auto"/>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以他人的名义磋商、串通磋商、以行贿手段谋取成交或者以其他弄虚作假方式磋商的；</w:t>
      </w:r>
    </w:p>
    <w:p w14:paraId="412B9FFE">
      <w:pPr>
        <w:spacing w:line="360" w:lineRule="auto"/>
        <w:ind w:firstLine="480" w:firstLineChars="200"/>
        <w:outlineLvl w:val="3"/>
        <w:rPr>
          <w:rFonts w:ascii="宋体" w:hAnsi="宋体" w:eastAsia="宋体" w:cs="Times New Roman"/>
          <w:sz w:val="24"/>
          <w:szCs w:val="24"/>
          <w:highlight w:val="none"/>
        </w:rPr>
      </w:pPr>
      <w:r>
        <w:rPr>
          <w:rFonts w:hint="eastAsia" w:ascii="宋体" w:hAnsi="宋体" w:eastAsia="宋体" w:cs="Times New Roman"/>
          <w:sz w:val="24"/>
          <w:szCs w:val="24"/>
          <w:highlight w:val="none"/>
        </w:rPr>
        <w:t>（4）采取不正当手段谋取成交的。</w:t>
      </w:r>
    </w:p>
    <w:p w14:paraId="0667B42F">
      <w:pPr>
        <w:spacing w:line="360" w:lineRule="auto"/>
        <w:ind w:firstLine="424" w:firstLineChars="176"/>
        <w:outlineLvl w:val="1"/>
        <w:rPr>
          <w:rFonts w:ascii="宋体" w:hAnsi="宋体" w:eastAsia="宋体" w:cs="Times New Roman"/>
          <w:b/>
          <w:bCs/>
          <w:sz w:val="24"/>
          <w:szCs w:val="24"/>
          <w:highlight w:val="none"/>
        </w:rPr>
      </w:pPr>
      <w:bookmarkStart w:id="43" w:name="_Toc2899"/>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0、对磋商响应供应商的评价</w:t>
      </w:r>
      <w:bookmarkEnd w:id="43"/>
    </w:p>
    <w:p w14:paraId="249C9A60">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只对已判定为实质性响应且通过资格审查的磋商响应文件进行详细评价和比较。</w:t>
      </w:r>
    </w:p>
    <w:p w14:paraId="2A668809">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2</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所有成员应当集中与单一磋商响应供应商分别进行磋商，并给予所有参加磋商的磋商响应供应商平等的磋商机会。磋商完成后，要求其在规定时间内提交最后报价，提交最后报价的供应商可以为两家。</w:t>
      </w:r>
    </w:p>
    <w:p w14:paraId="326B00DB">
      <w:pPr>
        <w:spacing w:line="360" w:lineRule="auto"/>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3经磋商确定最终采购需求和提交最后报价的磋商响应供应商后，</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采用综合评分法对提交最后报价的磋商响应供应商的磋商响应文件和最后报价进行综合评分。</w:t>
      </w:r>
    </w:p>
    <w:p w14:paraId="2F9F2EBB">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4</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根据综合评分情况，按评审得分由高到低的顺序确定三名成交候选供应商（如提交最后报价的供应商为两家时，</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评审得分由高到低的顺序确定两名成交候选供应商），并编写评审报告。评审得分相同的，按照最后报价由低到高的顺序确定，评审得分且最后报价相同的，按照技术指标优劣顺序确定成交候选供应商。评审报告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全体人员签字。</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成员对评审报告有异议的，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按照少数服从多数的原则推荐成交候选供应商，采购程序继续进行。对评审报告有异议的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成员，应当在报告上签署不同意见并说明理由，由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书面记录相关情况。</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成员拒绝在报告上签字又不书面说明其不同意见和理由的，视为同意评审报告。</w:t>
      </w:r>
    </w:p>
    <w:p w14:paraId="03C5D13A">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5如果第一名供应商放弃成交资格或因不可抗力提出不能履行合同、竞争性磋商文件规定，采购人将依序确定排名第二名的成交候选供应商为成交供应商，也可以重新开展政府采购活动。</w:t>
      </w:r>
    </w:p>
    <w:p w14:paraId="6A3DF1C4">
      <w:pPr>
        <w:spacing w:line="440" w:lineRule="exact"/>
        <w:ind w:firstLine="424" w:firstLineChars="176"/>
        <w:outlineLvl w:val="1"/>
        <w:rPr>
          <w:rFonts w:ascii="宋体" w:hAnsi="宋体" w:eastAsia="宋体" w:cs="Times New Roman"/>
          <w:b/>
          <w:bCs/>
          <w:sz w:val="24"/>
          <w:szCs w:val="24"/>
          <w:highlight w:val="none"/>
        </w:rPr>
      </w:pPr>
      <w:bookmarkStart w:id="44" w:name="_Toc12144"/>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1、磋商响应文件的澄清</w:t>
      </w:r>
      <w:bookmarkEnd w:id="44"/>
    </w:p>
    <w:p w14:paraId="72FEFB20">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为了有助于对磋商响应文件进行审查、评估和比较，</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有权向磋商响应供应商质疑。请磋商响应供应商澄清其</w:t>
      </w:r>
      <w:r>
        <w:rPr>
          <w:rFonts w:hint="eastAsia" w:ascii="宋体" w:hAnsi="宋体" w:eastAsia="宋体" w:cs="Times New Roman"/>
          <w:kern w:val="0"/>
          <w:sz w:val="24"/>
          <w:szCs w:val="24"/>
          <w:highlight w:val="none"/>
        </w:rPr>
        <w:t>磋商</w:t>
      </w:r>
      <w:r>
        <w:rPr>
          <w:rFonts w:hint="eastAsia" w:ascii="宋体" w:hAnsi="宋体" w:eastAsia="宋体" w:cs="Times New Roman"/>
          <w:sz w:val="24"/>
          <w:szCs w:val="24"/>
          <w:highlight w:val="none"/>
        </w:rPr>
        <w:t>内容。磋商响应供应商有责任按照</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通知的时间、地点、方式指派委托代理人进行答疑和澄清。</w:t>
      </w:r>
    </w:p>
    <w:p w14:paraId="3A4E0DCC">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重要澄清的答复应是书面的，并由法定代表人或其委托代理人签字。</w:t>
      </w:r>
    </w:p>
    <w:p w14:paraId="6F37241E">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磋商响应供应商的澄清文件是磋商响应文件的组成部分，并取代磋商响应文件中被澄清的部分。</w:t>
      </w:r>
    </w:p>
    <w:p w14:paraId="0754FAAE">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.4</w:t>
      </w:r>
      <w:r>
        <w:rPr>
          <w:rFonts w:hint="eastAsia" w:ascii="宋体" w:hAnsi="宋体" w:eastAsia="宋体" w:cs="Times New Roman"/>
          <w:sz w:val="24"/>
          <w:szCs w:val="24"/>
          <w:highlight w:val="none"/>
        </w:rPr>
        <w:t>磋商响应文件澄清部分不得对磋商内容进行实质性修改。</w:t>
      </w:r>
    </w:p>
    <w:p w14:paraId="015563D6">
      <w:pPr>
        <w:spacing w:line="440" w:lineRule="exact"/>
        <w:ind w:firstLine="424" w:firstLineChars="176"/>
        <w:outlineLvl w:val="1"/>
        <w:rPr>
          <w:rFonts w:ascii="宋体" w:hAnsi="宋体" w:eastAsia="宋体" w:cs="Times New Roman"/>
          <w:b/>
          <w:bCs/>
          <w:sz w:val="24"/>
          <w:szCs w:val="24"/>
          <w:highlight w:val="none"/>
        </w:rPr>
      </w:pPr>
      <w:bookmarkStart w:id="45" w:name="_Toc2943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2、磋商原则和方法</w:t>
      </w:r>
      <w:bookmarkEnd w:id="45"/>
    </w:p>
    <w:p w14:paraId="1FECC6D0">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坚持公开、公平、公正的原则。</w:t>
      </w:r>
    </w:p>
    <w:p w14:paraId="49004939">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磋商在</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应当集中与单一磋商响应供应商分别进行磋商，</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将遵照磋商原则，公正、平等地对待所有磋商响应供应商。</w:t>
      </w:r>
    </w:p>
    <w:p w14:paraId="2BE7990A">
      <w:pPr>
        <w:spacing w:line="440" w:lineRule="exact"/>
        <w:ind w:firstLine="422" w:firstLineChars="176"/>
        <w:outlineLvl w:val="2"/>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评审方法</w:t>
      </w:r>
    </w:p>
    <w:p w14:paraId="6D38CF2D">
      <w:pPr>
        <w:spacing w:line="44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.3.1</w:t>
      </w:r>
      <w:r>
        <w:rPr>
          <w:rFonts w:hint="eastAsia" w:ascii="宋体" w:hAnsi="宋体" w:eastAsia="宋体" w:cs="Times New Roman"/>
          <w:sz w:val="24"/>
          <w:szCs w:val="24"/>
          <w:highlight w:val="none"/>
        </w:rPr>
        <w:t>初步评审（是否响应竞争性磋商文件的要求），确定合格的磋商响应供应商。</w:t>
      </w:r>
    </w:p>
    <w:p w14:paraId="790440BF">
      <w:pPr>
        <w:spacing w:line="440" w:lineRule="exact"/>
        <w:ind w:firstLine="422" w:firstLineChars="176"/>
        <w:outlineLvl w:val="3"/>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.3.2</w:t>
      </w:r>
      <w:r>
        <w:rPr>
          <w:rFonts w:hint="eastAsia" w:ascii="宋体" w:hAnsi="宋体" w:eastAsia="宋体" w:cs="Times New Roman"/>
          <w:sz w:val="24"/>
          <w:szCs w:val="24"/>
          <w:highlight w:val="none"/>
        </w:rPr>
        <w:t>各磋商响应供应商依据各自情况进行最后报价。</w:t>
      </w:r>
    </w:p>
    <w:p w14:paraId="6A6B3FC4">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.3.3</w:t>
      </w:r>
      <w:r>
        <w:rPr>
          <w:rFonts w:hint="eastAsia" w:ascii="宋体" w:hAnsi="宋体" w:eastAsia="宋体" w:cs="Times New Roman"/>
          <w:sz w:val="24"/>
          <w:szCs w:val="24"/>
          <w:highlight w:val="none"/>
        </w:rPr>
        <w:t>经磋商确定最终采购需求和提交最后报价的磋商响应供应商，由</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采用综合评分法对提交最后报价的磋商响应供应商的响应文件和最后报价进行综合评分。</w:t>
      </w:r>
    </w:p>
    <w:p w14:paraId="66DC9E1D">
      <w:pPr>
        <w:spacing w:line="420" w:lineRule="exact"/>
        <w:ind w:firstLine="424" w:firstLineChars="176"/>
        <w:outlineLvl w:val="1"/>
        <w:rPr>
          <w:rFonts w:ascii="宋体" w:hAnsi="宋体" w:eastAsia="宋体" w:cs="Times New Roman"/>
          <w:b/>
          <w:bCs/>
          <w:sz w:val="24"/>
          <w:szCs w:val="24"/>
          <w:highlight w:val="none"/>
        </w:rPr>
      </w:pPr>
      <w:bookmarkStart w:id="46" w:name="_Toc1044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3、确定成交供应商</w:t>
      </w:r>
      <w:bookmarkEnd w:id="46"/>
    </w:p>
    <w:p w14:paraId="647FE07C">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.1</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应当根据综合评分情况，按照评审有高到低的顺序推荐成交候选供应商，并向采购人提供书面评审报告，并经采购人授权，直接确定排名第一</w:t>
      </w:r>
      <w:r>
        <w:rPr>
          <w:rFonts w:hint="eastAsia" w:ascii="宋体" w:hAnsi="宋体" w:cs="Times New Roman"/>
          <w:sz w:val="24"/>
          <w:szCs w:val="24"/>
          <w:highlight w:val="none"/>
          <w:lang w:val="en-US" w:eastAsia="zh-CN"/>
        </w:rPr>
        <w:t>和第二</w:t>
      </w:r>
      <w:r>
        <w:rPr>
          <w:rFonts w:hint="eastAsia" w:ascii="宋体" w:hAnsi="宋体" w:eastAsia="宋体" w:cs="Times New Roman"/>
          <w:sz w:val="24"/>
          <w:szCs w:val="24"/>
          <w:highlight w:val="none"/>
        </w:rPr>
        <w:t>的成交候选供应商为成交供应商。</w:t>
      </w:r>
    </w:p>
    <w:p w14:paraId="35B3FE23">
      <w:pPr>
        <w:spacing w:line="420" w:lineRule="exact"/>
        <w:ind w:firstLine="424" w:firstLineChars="176"/>
        <w:outlineLvl w:val="1"/>
        <w:rPr>
          <w:rFonts w:ascii="宋体" w:hAnsi="宋体" w:eastAsia="宋体" w:cs="Times New Roman"/>
          <w:b/>
          <w:bCs/>
          <w:sz w:val="24"/>
          <w:szCs w:val="24"/>
          <w:highlight w:val="none"/>
        </w:rPr>
      </w:pPr>
      <w:bookmarkStart w:id="47" w:name="_Toc5459"/>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4、保密及其它注意事项</w:t>
      </w:r>
      <w:bookmarkEnd w:id="47"/>
    </w:p>
    <w:p w14:paraId="198712C8">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评审工作是磋商工作的重要环节，评审工作在</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内独立进行。</w:t>
      </w:r>
    </w:p>
    <w:p w14:paraId="4A5C09C7">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在评审期间，磋商响应供应商不得向</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成员询问评审情况，不得进行影响评审结果的活动。否则其响应将会被拒绝。</w:t>
      </w:r>
    </w:p>
    <w:p w14:paraId="5DB76000">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为保证评审的公正性，磋商开始后直至授予成交供应商合同，</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成员不得与供应商私下交换意见。</w:t>
      </w:r>
    </w:p>
    <w:p w14:paraId="197E269B">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.4</w:t>
      </w:r>
      <w:r>
        <w:rPr>
          <w:rFonts w:hint="eastAsia" w:ascii="宋体" w:hAnsi="宋体" w:eastAsia="宋体" w:cs="Times New Roman"/>
          <w:sz w:val="24"/>
          <w:szCs w:val="24"/>
          <w:highlight w:val="none"/>
        </w:rPr>
        <w:t>在评审工作结束后，凡与评审情况有接触的任何人不得擅自将评审情况扩散出评审人员之外。</w:t>
      </w:r>
    </w:p>
    <w:p w14:paraId="26A2BB37">
      <w:pPr>
        <w:spacing w:line="420" w:lineRule="exact"/>
        <w:ind w:firstLine="424" w:firstLineChars="176"/>
        <w:outlineLvl w:val="1"/>
        <w:rPr>
          <w:rFonts w:ascii="宋体" w:hAnsi="宋体" w:eastAsia="宋体" w:cs="Times New Roman"/>
          <w:b/>
          <w:bCs/>
          <w:sz w:val="24"/>
          <w:szCs w:val="24"/>
          <w:highlight w:val="none"/>
        </w:rPr>
      </w:pPr>
      <w:bookmarkStart w:id="48" w:name="_Toc14225"/>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5、成交通知</w:t>
      </w:r>
      <w:bookmarkEnd w:id="48"/>
      <w:r>
        <w:rPr>
          <w:rFonts w:ascii="宋体" w:hAnsi="宋体" w:eastAsia="宋体" w:cs="Times New Roman"/>
          <w:b/>
          <w:bCs/>
          <w:sz w:val="24"/>
          <w:szCs w:val="24"/>
          <w:highlight w:val="none"/>
        </w:rPr>
        <w:tab/>
      </w:r>
    </w:p>
    <w:p w14:paraId="20AEAF35">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成交供应商确定后，采购人向成交供应商签发《成交通知书》，并将成交结果通知所有未成交的磋商响应供应商。</w:t>
      </w:r>
    </w:p>
    <w:p w14:paraId="2CEDDB58">
      <w:pPr>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25</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《成交通知书》作为签订合同的依据，对采购人和成交供应商均具有法律效力，成交通知书发出后，采购人改变成交结果或者成交供应商放弃项目，应依法承担法律责任。</w:t>
      </w:r>
    </w:p>
    <w:p w14:paraId="691BA722">
      <w:pPr>
        <w:spacing w:line="420" w:lineRule="exact"/>
        <w:ind w:firstLine="424" w:firstLineChars="176"/>
        <w:outlineLvl w:val="1"/>
        <w:rPr>
          <w:rFonts w:ascii="宋体" w:hAnsi="宋体" w:eastAsia="宋体" w:cs="Times New Roman"/>
          <w:b/>
          <w:bCs/>
          <w:sz w:val="24"/>
          <w:szCs w:val="24"/>
          <w:highlight w:val="none"/>
        </w:rPr>
      </w:pPr>
      <w:bookmarkStart w:id="49" w:name="_Toc9335"/>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6、授予合同时变更数量的权力</w:t>
      </w:r>
      <w:bookmarkEnd w:id="49"/>
    </w:p>
    <w:p w14:paraId="403FBC18">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采购人在授予合同时，保留对货物数量予以适当增减的权利。成交供应商不得在此情况下对磋商响应文件做出修改，如价格、技术参数、服务承诺等。</w:t>
      </w:r>
    </w:p>
    <w:p w14:paraId="248C38A1">
      <w:pPr>
        <w:spacing w:line="420" w:lineRule="exact"/>
        <w:ind w:firstLine="424" w:firstLineChars="176"/>
        <w:outlineLvl w:val="1"/>
        <w:rPr>
          <w:rFonts w:ascii="宋体" w:hAnsi="宋体" w:eastAsia="宋体" w:cs="Times New Roman"/>
          <w:b/>
          <w:bCs/>
          <w:sz w:val="24"/>
          <w:szCs w:val="24"/>
          <w:highlight w:val="none"/>
        </w:rPr>
      </w:pPr>
      <w:bookmarkStart w:id="50" w:name="_Toc538"/>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7、签订合同</w:t>
      </w:r>
      <w:bookmarkEnd w:id="50"/>
    </w:p>
    <w:p w14:paraId="2F0ECEEA">
      <w:pPr>
        <w:adjustRightInd w:val="0"/>
        <w:spacing w:line="420" w:lineRule="exact"/>
        <w:ind w:firstLine="422" w:firstLineChars="176"/>
        <w:jc w:val="left"/>
        <w:rPr>
          <w:rFonts w:hint="eastAsia"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采购人与成交供应商应当在成交通知书发出之日起30 日内，按照</w:t>
      </w:r>
      <w:r>
        <w:rPr>
          <w:rFonts w:hint="eastAsia" w:ascii="宋体" w:hAnsi="宋体" w:eastAsia="宋体" w:cs="Times New Roman"/>
          <w:sz w:val="24"/>
          <w:szCs w:val="24"/>
          <w:highlight w:val="none"/>
          <w:lang w:val="en-US" w:eastAsia="zh-CN"/>
        </w:rPr>
        <w:t>竞争性磋商</w:t>
      </w:r>
      <w:r>
        <w:rPr>
          <w:rFonts w:hint="eastAsia" w:ascii="宋体" w:hAnsi="宋体" w:eastAsia="宋体" w:cs="Times New Roman"/>
          <w:sz w:val="24"/>
          <w:szCs w:val="24"/>
          <w:highlight w:val="none"/>
        </w:rPr>
        <w:t>文件确定的合同文本以及采购金额</w:t>
      </w:r>
      <w:r>
        <w:rPr>
          <w:rFonts w:hint="eastAsia" w:ascii="宋体" w:hAnsi="宋体" w:cs="Times New Roman"/>
          <w:sz w:val="24"/>
          <w:szCs w:val="24"/>
          <w:highlight w:val="none"/>
          <w:lang w:val="en-US" w:eastAsia="zh-CN"/>
        </w:rPr>
        <w:t>和</w:t>
      </w:r>
      <w:r>
        <w:rPr>
          <w:rFonts w:hint="eastAsia" w:ascii="宋体" w:hAnsi="宋体" w:eastAsia="宋体" w:cs="Times New Roman"/>
          <w:sz w:val="24"/>
          <w:szCs w:val="24"/>
          <w:highlight w:val="none"/>
        </w:rPr>
        <w:t>服务要求等事项签订合同。采购人不得向成交供应商提出超出</w:t>
      </w:r>
      <w:r>
        <w:rPr>
          <w:rFonts w:hint="eastAsia" w:ascii="宋体" w:hAnsi="宋体" w:eastAsia="宋体" w:cs="Times New Roman"/>
          <w:sz w:val="24"/>
          <w:szCs w:val="24"/>
          <w:highlight w:val="none"/>
          <w:lang w:val="en-US" w:eastAsia="zh-CN"/>
        </w:rPr>
        <w:t>以竞争性磋商</w:t>
      </w:r>
      <w:r>
        <w:rPr>
          <w:rFonts w:hint="eastAsia" w:ascii="宋体" w:hAnsi="宋体" w:eastAsia="宋体" w:cs="Times New Roman"/>
          <w:sz w:val="24"/>
          <w:szCs w:val="24"/>
          <w:highlight w:val="none"/>
        </w:rPr>
        <w:t>文件以外的任何要求作为签订合同的条件，不得与成交供应商订立背离谈</w:t>
      </w:r>
      <w:r>
        <w:rPr>
          <w:rFonts w:hint="eastAsia" w:ascii="宋体" w:hAnsi="宋体" w:eastAsia="宋体" w:cs="Times New Roman"/>
          <w:sz w:val="24"/>
          <w:szCs w:val="24"/>
          <w:highlight w:val="none"/>
          <w:lang w:val="en-US" w:eastAsia="zh-CN"/>
        </w:rPr>
        <w:t>竞争性磋商</w:t>
      </w:r>
      <w:r>
        <w:rPr>
          <w:rFonts w:hint="eastAsia" w:ascii="宋体" w:hAnsi="宋体" w:eastAsia="宋体" w:cs="Times New Roman"/>
          <w:sz w:val="24"/>
          <w:szCs w:val="24"/>
          <w:highlight w:val="none"/>
        </w:rPr>
        <w:t>文件确定的合同文本以及采购金额和服务要求等实质性内容的协议。</w:t>
      </w:r>
    </w:p>
    <w:p w14:paraId="482B7FE7">
      <w:pPr>
        <w:adjustRightInd w:val="0"/>
        <w:spacing w:line="420" w:lineRule="exact"/>
        <w:ind w:firstLine="422" w:firstLineChars="176"/>
        <w:jc w:val="left"/>
        <w:rPr>
          <w:rFonts w:ascii="宋体" w:hAnsi="宋体" w:eastAsia="宋体" w:cs="Times New Roman"/>
          <w:color w:val="FF0000"/>
          <w:spacing w:val="-5"/>
          <w:sz w:val="24"/>
          <w:szCs w:val="24"/>
          <w:highlight w:val="none"/>
        </w:rPr>
      </w:pP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.2 除不可抗力因素外，成交通知书发出后，采购人改变成交结果，或者成交供应商拒绝签订政府采购合同的，应当承担相应的法律责任。成交供应商拒绝签订政府采购合同的，采购人可以确定其他供应商作为成交供应商并签订政府采购合同，也可以重新开展采购活动。拒绝签订政府采购合同的成交供应商不得参加对该项目重新开展的采购活动。</w:t>
      </w:r>
    </w:p>
    <w:p w14:paraId="4321A623">
      <w:pPr>
        <w:adjustRightInd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采购人签发的成交通知书、竞争性磋商文件、成交供应商的磋商响应文件及其澄清文件等，均为签订合同的依据。</w:t>
      </w:r>
    </w:p>
    <w:p w14:paraId="30F5D384">
      <w:pPr>
        <w:spacing w:line="420" w:lineRule="exact"/>
        <w:ind w:firstLine="424" w:firstLineChars="176"/>
        <w:outlineLvl w:val="1"/>
        <w:rPr>
          <w:rFonts w:ascii="宋体" w:hAnsi="宋体" w:eastAsia="宋体" w:cs="Times New Roman"/>
          <w:b/>
          <w:sz w:val="24"/>
          <w:szCs w:val="24"/>
          <w:highlight w:val="none"/>
        </w:rPr>
      </w:pPr>
      <w:bookmarkStart w:id="51" w:name="_Toc24221"/>
      <w:r>
        <w:rPr>
          <w:rFonts w:ascii="宋体" w:hAnsi="宋体" w:eastAsia="宋体" w:cs="Times New Roman"/>
          <w:b/>
          <w:sz w:val="24"/>
          <w:szCs w:val="24"/>
          <w:highlight w:val="none"/>
        </w:rPr>
        <w:t>2</w:t>
      </w:r>
      <w:r>
        <w:rPr>
          <w:rFonts w:hint="eastAsia" w:ascii="宋体" w:hAnsi="宋体" w:eastAsia="宋体" w:cs="Times New Roman"/>
          <w:b/>
          <w:sz w:val="24"/>
          <w:szCs w:val="24"/>
          <w:highlight w:val="none"/>
        </w:rPr>
        <w:t>8．特别注意事项：</w:t>
      </w:r>
      <w:bookmarkEnd w:id="51"/>
    </w:p>
    <w:p w14:paraId="40B037CE">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磋商响应供应商出现下列情形之一的，</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可取消其磋商资格：</w:t>
      </w:r>
    </w:p>
    <w:p w14:paraId="206E11B0">
      <w:pPr>
        <w:spacing w:line="420" w:lineRule="exact"/>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）未按磋商文件要求和规定提交实质性响应材料的；</w:t>
      </w:r>
    </w:p>
    <w:p w14:paraId="2740D618">
      <w:pPr>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ascii="宋体" w:hAnsi="宋体" w:eastAsia="宋体" w:cs="Times New Roman"/>
          <w:sz w:val="24"/>
          <w:szCs w:val="24"/>
          <w:highlight w:val="none"/>
        </w:rPr>
        <w:t>2</w:t>
      </w:r>
      <w:r>
        <w:rPr>
          <w:rFonts w:hint="eastAsia" w:ascii="宋体" w:hAnsi="宋体" w:eastAsia="宋体" w:cs="Times New Roman"/>
          <w:sz w:val="24"/>
          <w:szCs w:val="24"/>
          <w:highlight w:val="none"/>
        </w:rPr>
        <w:t>）相互串通磋商的（有下列情形之一的，视为磋商响应供应商相互串通磋商）；</w:t>
      </w:r>
    </w:p>
    <w:p w14:paraId="7A7873C1">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A</w:t>
      </w:r>
      <w:r>
        <w:rPr>
          <w:rFonts w:hint="eastAsia" w:ascii="宋体" w:hAnsi="宋体" w:eastAsia="宋体" w:cs="Times New Roman"/>
          <w:sz w:val="24"/>
          <w:szCs w:val="24"/>
          <w:highlight w:val="none"/>
        </w:rPr>
        <w:t>、不同磋商响应供应商的响应文件由同一单位或者个人编制</w:t>
      </w:r>
    </w:p>
    <w:p w14:paraId="0B5AB122">
      <w:pPr>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B</w:t>
      </w:r>
      <w:r>
        <w:rPr>
          <w:rFonts w:hint="eastAsia" w:ascii="宋体" w:hAnsi="宋体" w:eastAsia="宋体" w:cs="Times New Roman"/>
          <w:sz w:val="24"/>
          <w:szCs w:val="24"/>
          <w:highlight w:val="none"/>
        </w:rPr>
        <w:t>、不同磋商响应供应商的响应文件载明的项目管理成员为同一人</w:t>
      </w:r>
    </w:p>
    <w:p w14:paraId="273E7729">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C</w:t>
      </w:r>
      <w:r>
        <w:rPr>
          <w:rFonts w:hint="eastAsia" w:ascii="宋体" w:hAnsi="宋体" w:eastAsia="宋体" w:cs="Times New Roman"/>
          <w:sz w:val="24"/>
          <w:szCs w:val="24"/>
          <w:highlight w:val="none"/>
        </w:rPr>
        <w:t>、不同磋商响应供应商的响应文件异常一致或者磋商报价呈规律性差异</w:t>
      </w:r>
    </w:p>
    <w:p w14:paraId="18793353">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D</w:t>
      </w:r>
      <w:r>
        <w:rPr>
          <w:rFonts w:hint="eastAsia" w:ascii="宋体" w:hAnsi="宋体" w:eastAsia="宋体" w:cs="Times New Roman"/>
          <w:sz w:val="24"/>
          <w:szCs w:val="24"/>
          <w:highlight w:val="none"/>
        </w:rPr>
        <w:t>、不同磋商响应供应商的响应文件相互混放</w:t>
      </w:r>
    </w:p>
    <w:p w14:paraId="287A3688">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磋商响应供应商出现下列情形之一的，将被视为非实质性响应磋商文件要求：</w:t>
      </w:r>
    </w:p>
    <w:p w14:paraId="5BC0B4B2">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(1) </w:t>
      </w:r>
      <w:r>
        <w:rPr>
          <w:rFonts w:hint="eastAsia" w:ascii="宋体" w:hAnsi="宋体" w:cs="Times New Roman"/>
          <w:sz w:val="24"/>
          <w:szCs w:val="24"/>
          <w:highlight w:val="none"/>
          <w:lang w:val="en-US" w:eastAsia="zh-CN"/>
        </w:rPr>
        <w:t>服务</w:t>
      </w:r>
      <w:r>
        <w:rPr>
          <w:rFonts w:hint="eastAsia" w:ascii="宋体" w:hAnsi="宋体" w:eastAsia="宋体" w:cs="Times New Roman"/>
          <w:sz w:val="24"/>
          <w:szCs w:val="24"/>
          <w:highlight w:val="none"/>
        </w:rPr>
        <w:t>（完成）期限不确切或不符合磋商文件要求的；</w:t>
      </w:r>
    </w:p>
    <w:p w14:paraId="47117D10">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最后报价有选择性的；</w:t>
      </w:r>
    </w:p>
    <w:p w14:paraId="7F2CA5DE">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(3) </w:t>
      </w:r>
      <w:r>
        <w:rPr>
          <w:rFonts w:hint="eastAsia" w:ascii="宋体" w:hAnsi="宋体" w:eastAsia="宋体" w:cs="Times New Roman"/>
          <w:sz w:val="24"/>
          <w:szCs w:val="24"/>
          <w:highlight w:val="none"/>
        </w:rPr>
        <w:t>最后报价超过招标控制价的；</w:t>
      </w:r>
    </w:p>
    <w:p w14:paraId="506D1367">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 xml:space="preserve">(4) </w:t>
      </w:r>
      <w:r>
        <w:rPr>
          <w:rFonts w:hint="eastAsia" w:ascii="宋体" w:hAnsi="宋体" w:eastAsia="宋体" w:cs="Times New Roman"/>
          <w:sz w:val="24"/>
          <w:szCs w:val="24"/>
          <w:highlight w:val="none"/>
        </w:rPr>
        <w:t>被</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认定存在重大负偏离的；</w:t>
      </w:r>
    </w:p>
    <w:p w14:paraId="0738F703">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注：所谓重大负偏离是指磋商响应供应商对磋商文件的响应在范围、质量、数量和</w:t>
      </w:r>
      <w:r>
        <w:rPr>
          <w:rFonts w:hint="eastAsia" w:ascii="宋体" w:hAnsi="宋体" w:eastAsia="宋体" w:cs="Times New Roman"/>
          <w:sz w:val="24"/>
          <w:szCs w:val="24"/>
          <w:highlight w:val="none"/>
          <w:lang w:val="en-US" w:eastAsia="zh-CN"/>
        </w:rPr>
        <w:t>服务</w:t>
      </w:r>
      <w:r>
        <w:rPr>
          <w:rFonts w:hint="eastAsia" w:ascii="宋体" w:hAnsi="宋体" w:eastAsia="宋体" w:cs="Times New Roman"/>
          <w:sz w:val="24"/>
          <w:szCs w:val="24"/>
          <w:highlight w:val="none"/>
        </w:rPr>
        <w:t>期限、技术规格要求等方面明显不能满足采购需求的。重大负偏离的认定须经</w:t>
      </w:r>
      <w:r>
        <w:rPr>
          <w:rFonts w:hint="eastAsia" w:ascii="宋体" w:hAnsi="宋体" w:cs="Times New Roman"/>
          <w:sz w:val="24"/>
          <w:szCs w:val="24"/>
          <w:highlight w:val="none"/>
          <w:lang w:eastAsia="zh-CN"/>
        </w:rPr>
        <w:t>磋商小组</w:t>
      </w:r>
      <w:r>
        <w:rPr>
          <w:rFonts w:hint="eastAsia" w:ascii="宋体" w:hAnsi="宋体" w:eastAsia="宋体" w:cs="Times New Roman"/>
          <w:sz w:val="24"/>
          <w:szCs w:val="24"/>
          <w:highlight w:val="none"/>
        </w:rPr>
        <w:t>三分之二以上同意。</w:t>
      </w:r>
    </w:p>
    <w:p w14:paraId="10A6F15F">
      <w:pPr>
        <w:autoSpaceDE w:val="0"/>
        <w:spacing w:line="420" w:lineRule="exact"/>
        <w:ind w:firstLine="424" w:firstLineChars="176"/>
        <w:outlineLvl w:val="1"/>
        <w:rPr>
          <w:rFonts w:ascii="宋体" w:hAnsi="宋体" w:eastAsia="宋体" w:cs="Times New Roman"/>
          <w:b/>
          <w:bCs/>
          <w:sz w:val="24"/>
          <w:szCs w:val="24"/>
          <w:highlight w:val="none"/>
        </w:rPr>
      </w:pPr>
      <w:bookmarkStart w:id="52" w:name="_Toc377"/>
      <w:r>
        <w:rPr>
          <w:rFonts w:hint="eastAsia" w:ascii="宋体" w:hAnsi="宋体" w:eastAsia="宋体" w:cs="Times New Roman"/>
          <w:b/>
          <w:bCs/>
          <w:sz w:val="24"/>
          <w:szCs w:val="24"/>
          <w:highlight w:val="none"/>
        </w:rPr>
        <w:t>29．询问</w:t>
      </w:r>
      <w:bookmarkEnd w:id="52"/>
    </w:p>
    <w:p w14:paraId="16AFFABE">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29</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磋商响应供应商对采购事项有疑问，可以按照《政府采购法》的相关规定向采购人或采购代理机构提出询问。</w:t>
      </w:r>
    </w:p>
    <w:p w14:paraId="45375A2F">
      <w:pPr>
        <w:autoSpaceDE w:val="0"/>
        <w:spacing w:line="420" w:lineRule="exact"/>
        <w:ind w:firstLine="424" w:firstLineChars="176"/>
        <w:outlineLvl w:val="1"/>
        <w:rPr>
          <w:rFonts w:ascii="宋体" w:hAnsi="宋体" w:eastAsia="宋体" w:cs="Times New Roman"/>
          <w:b/>
          <w:bCs/>
          <w:sz w:val="24"/>
          <w:szCs w:val="24"/>
          <w:highlight w:val="none"/>
        </w:rPr>
      </w:pPr>
      <w:bookmarkStart w:id="53" w:name="_Toc26024"/>
      <w:r>
        <w:rPr>
          <w:rFonts w:hint="eastAsia" w:ascii="宋体" w:hAnsi="宋体" w:eastAsia="宋体" w:cs="Times New Roman"/>
          <w:b/>
          <w:bCs/>
          <w:sz w:val="24"/>
          <w:szCs w:val="24"/>
          <w:highlight w:val="none"/>
        </w:rPr>
        <w:t>30</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质疑程序及处理</w:t>
      </w:r>
      <w:bookmarkEnd w:id="53"/>
    </w:p>
    <w:p w14:paraId="5C930D2F">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30</w:t>
      </w:r>
      <w:r>
        <w:rPr>
          <w:rFonts w:ascii="宋体" w:hAnsi="宋体" w:eastAsia="宋体" w:cs="Times New Roman"/>
          <w:sz w:val="24"/>
          <w:szCs w:val="24"/>
          <w:highlight w:val="none"/>
        </w:rPr>
        <w:t xml:space="preserve">.1 </w:t>
      </w:r>
      <w:r>
        <w:rPr>
          <w:rFonts w:hint="eastAsia" w:ascii="宋体" w:hAnsi="宋体" w:eastAsia="宋体" w:cs="Times New Roman"/>
          <w:sz w:val="24"/>
          <w:szCs w:val="24"/>
          <w:highlight w:val="none"/>
        </w:rPr>
        <w:t>若竞争性磋商</w:t>
      </w:r>
      <w:r>
        <w:rPr>
          <w:rFonts w:hint="eastAsia" w:ascii="宋体" w:hAnsi="宋体" w:eastAsia="宋体" w:cs="Times New Roman"/>
          <w:sz w:val="24"/>
          <w:szCs w:val="24"/>
          <w:highlight w:val="none"/>
          <w:lang w:eastAsia="zh-CN"/>
        </w:rPr>
        <w:t>供应商</w:t>
      </w:r>
      <w:r>
        <w:rPr>
          <w:rFonts w:hint="eastAsia" w:ascii="宋体" w:hAnsi="宋体" w:eastAsia="宋体" w:cs="Times New Roman"/>
          <w:sz w:val="24"/>
          <w:szCs w:val="24"/>
          <w:highlight w:val="none"/>
        </w:rPr>
        <w:t>认为其磋商未获公平评审或磋商文件、采购过程和成交结果使自己的合法权益受到损害，可以在知道或者应知其权益受到损害之日起</w:t>
      </w:r>
      <w:r>
        <w:rPr>
          <w:rFonts w:ascii="宋体" w:hAnsi="宋体" w:eastAsia="宋体" w:cs="Times New Roman"/>
          <w:sz w:val="24"/>
          <w:szCs w:val="24"/>
          <w:highlight w:val="none"/>
        </w:rPr>
        <w:t xml:space="preserve"> 7 </w:t>
      </w:r>
      <w:r>
        <w:rPr>
          <w:rFonts w:hint="eastAsia" w:ascii="宋体" w:hAnsi="宋体" w:eastAsia="宋体" w:cs="Times New Roman"/>
          <w:sz w:val="24"/>
          <w:szCs w:val="24"/>
          <w:highlight w:val="none"/>
        </w:rPr>
        <w:t>个工作日内，将质疑书原件送达采购人或采购代理机构。提出质疑期限的计算，依照下列规定办理：</w:t>
      </w:r>
    </w:p>
    <w:p w14:paraId="7E4AFC57">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（一）对可以质疑的磋商文件提出质疑的，为收到磋商文件之日或者磋商文件公告期限届满之日；</w:t>
      </w:r>
    </w:p>
    <w:p w14:paraId="4C2ACFB2">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（二）对采购过程提出质疑的，为各采购程序环节结束之日；</w:t>
      </w:r>
    </w:p>
    <w:p w14:paraId="64D4AF40">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（三）对成交结果提出质疑的，为成交结果公告期限届满之日。</w:t>
      </w:r>
    </w:p>
    <w:p w14:paraId="412039F1">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.2 </w:t>
      </w:r>
      <w:r>
        <w:rPr>
          <w:rFonts w:hint="eastAsia" w:ascii="宋体" w:hAnsi="宋体" w:eastAsia="宋体" w:cs="Times New Roman"/>
          <w:sz w:val="24"/>
          <w:szCs w:val="24"/>
          <w:highlight w:val="none"/>
        </w:rPr>
        <w:t>质疑书应当包括下列主要内容，并按照“谁主张、谁举证”的原则，附上相关证明材料。否则，采购人不予受理：</w:t>
      </w:r>
    </w:p>
    <w:p w14:paraId="51F96898">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（一）质疑磋商响应供应商全称、地址、法定代表人、联系人及联系电话、邮政编码等；</w:t>
      </w:r>
    </w:p>
    <w:p w14:paraId="3696B3D2">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（二）被质疑采购项目的名称、编号；</w:t>
      </w:r>
    </w:p>
    <w:p w14:paraId="2DC4C364">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（三）质疑的具体事项、明确的请求和主张；</w:t>
      </w:r>
    </w:p>
    <w:p w14:paraId="1A57E65F">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（四）质疑所依据的法律依据（具体条款）、具体事实和具体理由。质疑书依据理由部分只有主观陈述、推理、猜测等，而没有提供客观事实依据、法律依据的；</w:t>
      </w:r>
    </w:p>
    <w:p w14:paraId="487347FC">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36AA36C4">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（六）充足有效的相关证明材料；如果涉及到产品功能或技术指标的，应出具相关制造商的证明文件；</w:t>
      </w:r>
    </w:p>
    <w:p w14:paraId="2509B040">
      <w:pPr>
        <w:autoSpaceDE w:val="0"/>
        <w:spacing w:line="420" w:lineRule="exact"/>
        <w:ind w:firstLine="422" w:firstLineChars="176"/>
        <w:rPr>
          <w:rFonts w:ascii="宋体" w:hAnsi="宋体" w:eastAsia="宋体" w:cs="Times New Roman"/>
          <w:sz w:val="24"/>
          <w:szCs w:val="24"/>
          <w:highlight w:val="none"/>
        </w:rPr>
      </w:pPr>
      <w:r>
        <w:rPr>
          <w:rFonts w:hint="eastAsia" w:ascii="宋体" w:hAnsi="宋体" w:eastAsia="宋体" w:cs="Times New Roman"/>
          <w:sz w:val="24"/>
          <w:szCs w:val="24"/>
          <w:highlight w:val="none"/>
        </w:rPr>
        <w:t>（七）质疑材料中有外文资料的，应一并附上中文译本，并以中文译本为准。</w:t>
      </w:r>
    </w:p>
    <w:p w14:paraId="3C3B9D17">
      <w:pPr>
        <w:autoSpaceDE w:val="0"/>
        <w:spacing w:line="420" w:lineRule="exact"/>
        <w:ind w:firstLine="422" w:firstLineChars="176"/>
        <w:outlineLvl w:val="2"/>
        <w:rPr>
          <w:rFonts w:ascii="宋体" w:hAnsi="宋体" w:eastAsia="宋体" w:cs="Times New Roman"/>
          <w:sz w:val="24"/>
          <w:szCs w:val="24"/>
          <w:highlight w:val="none"/>
        </w:rPr>
      </w:pPr>
      <w:r>
        <w:rPr>
          <w:rFonts w:hint="eastAsia" w:ascii="宋体" w:hAnsi="宋体" w:eastAsia="宋体" w:cs="Times New Roman"/>
          <w:sz w:val="24"/>
          <w:szCs w:val="24"/>
          <w:highlight w:val="none"/>
        </w:rPr>
        <w:t>（八）提起质疑的日期</w:t>
      </w:r>
    </w:p>
    <w:p w14:paraId="69DE8119">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.3 </w:t>
      </w:r>
      <w:r>
        <w:rPr>
          <w:rFonts w:hint="eastAsia" w:ascii="宋体" w:hAnsi="宋体" w:eastAsia="宋体" w:cs="Times New Roman"/>
          <w:sz w:val="24"/>
          <w:szCs w:val="24"/>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62955FAD">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.4 </w:t>
      </w:r>
      <w:r>
        <w:rPr>
          <w:rFonts w:hint="eastAsia" w:ascii="宋体" w:hAnsi="宋体" w:eastAsia="宋体" w:cs="Times New Roman"/>
          <w:sz w:val="24"/>
          <w:szCs w:val="24"/>
          <w:highlight w:val="none"/>
        </w:rPr>
        <w:t>磋商响应供应商委托代理人办理质疑事宜，应当提交授权委托书，并载明委托代理的具体权限和事项。授权委托书应当由委托人签字并加盖单位公章。</w:t>
      </w:r>
    </w:p>
    <w:p w14:paraId="06D0257F">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.5 </w:t>
      </w:r>
      <w:r>
        <w:rPr>
          <w:rFonts w:hint="eastAsia" w:ascii="宋体" w:hAnsi="宋体" w:eastAsia="宋体" w:cs="Times New Roman"/>
          <w:sz w:val="24"/>
          <w:szCs w:val="24"/>
          <w:highlight w:val="none"/>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1F5F6FF">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.6 </w:t>
      </w:r>
      <w:r>
        <w:rPr>
          <w:rFonts w:hint="eastAsia" w:ascii="宋体" w:hAnsi="宋体" w:eastAsia="宋体" w:cs="Times New Roman"/>
          <w:sz w:val="24"/>
          <w:szCs w:val="24"/>
          <w:highlight w:val="none"/>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77B07293">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.7 </w:t>
      </w:r>
      <w:r>
        <w:rPr>
          <w:rFonts w:hint="eastAsia" w:ascii="宋体" w:hAnsi="宋体" w:eastAsia="宋体" w:cs="Times New Roman"/>
          <w:sz w:val="24"/>
          <w:szCs w:val="24"/>
          <w:highlight w:val="none"/>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349AE786">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.8 </w:t>
      </w:r>
      <w:r>
        <w:rPr>
          <w:rFonts w:hint="eastAsia" w:ascii="宋体" w:hAnsi="宋体" w:eastAsia="宋体" w:cs="Times New Roman"/>
          <w:sz w:val="24"/>
          <w:szCs w:val="24"/>
          <w:highlight w:val="none"/>
        </w:rPr>
        <w:t>采购人将在收到符合上述条件的书面质疑后</w:t>
      </w:r>
      <w:r>
        <w:rPr>
          <w:rFonts w:ascii="宋体" w:hAnsi="宋体" w:eastAsia="宋体" w:cs="Times New Roman"/>
          <w:sz w:val="24"/>
          <w:szCs w:val="24"/>
          <w:highlight w:val="none"/>
        </w:rPr>
        <w:t xml:space="preserve"> 7 </w:t>
      </w:r>
      <w:r>
        <w:rPr>
          <w:rFonts w:hint="eastAsia" w:ascii="宋体" w:hAnsi="宋体" w:eastAsia="宋体" w:cs="Times New Roman"/>
          <w:sz w:val="24"/>
          <w:szCs w:val="24"/>
          <w:highlight w:val="none"/>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78FE0E76">
      <w:pPr>
        <w:autoSpaceDE w:val="0"/>
        <w:spacing w:line="420" w:lineRule="exact"/>
        <w:ind w:firstLine="422" w:firstLineChars="176"/>
        <w:rPr>
          <w:rFonts w:ascii="宋体" w:hAnsi="宋体" w:eastAsia="宋体" w:cs="Times New Roman"/>
          <w:sz w:val="24"/>
          <w:szCs w:val="24"/>
          <w:highlight w:val="none"/>
        </w:rPr>
      </w:pP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 xml:space="preserve">.9 </w:t>
      </w:r>
      <w:r>
        <w:rPr>
          <w:rFonts w:hint="eastAsia" w:ascii="宋体" w:hAnsi="宋体" w:eastAsia="宋体" w:cs="Times New Roman"/>
          <w:sz w:val="24"/>
          <w:szCs w:val="24"/>
          <w:highlight w:val="none"/>
        </w:rPr>
        <w:t>质疑供应商对采购人的答复不满意以及采购人未在规定的时间内做出答复的，可以在答复期满后</w:t>
      </w:r>
      <w:r>
        <w:rPr>
          <w:rFonts w:ascii="宋体" w:hAnsi="宋体" w:eastAsia="宋体" w:cs="Times New Roman"/>
          <w:sz w:val="24"/>
          <w:szCs w:val="24"/>
          <w:highlight w:val="none"/>
        </w:rPr>
        <w:t>15</w:t>
      </w:r>
      <w:r>
        <w:rPr>
          <w:rFonts w:hint="eastAsia" w:ascii="宋体" w:hAnsi="宋体" w:eastAsia="宋体" w:cs="Times New Roman"/>
          <w:sz w:val="24"/>
          <w:szCs w:val="24"/>
          <w:highlight w:val="none"/>
        </w:rPr>
        <w:t>个工作日内向财政部门投诉。</w:t>
      </w:r>
    </w:p>
    <w:p w14:paraId="2055E3C5">
      <w:pPr>
        <w:widowControl/>
        <w:jc w:val="left"/>
        <w:rPr>
          <w:rFonts w:ascii="宋体" w:hAnsi="宋体" w:eastAsia="宋体" w:cs="宋体"/>
          <w:b/>
          <w:bCs/>
          <w:kern w:val="0"/>
          <w:sz w:val="32"/>
          <w:szCs w:val="32"/>
          <w:highlight w:val="none"/>
          <w:shd w:val="clear" w:color="auto" w:fill="FFFFFF"/>
        </w:rPr>
        <w:sectPr>
          <w:footerReference r:id="rId4" w:type="default"/>
          <w:pgSz w:w="11906" w:h="16838"/>
          <w:pgMar w:top="1803" w:right="1440" w:bottom="1803" w:left="1440" w:header="720" w:footer="720" w:gutter="0"/>
          <w:pgNumType w:fmt="decimal" w:start="1"/>
          <w:cols w:space="720" w:num="1"/>
          <w:docGrid w:type="lines" w:linePitch="312" w:charSpace="0"/>
        </w:sectPr>
      </w:pPr>
    </w:p>
    <w:p w14:paraId="60100248">
      <w:pPr>
        <w:pStyle w:val="3"/>
        <w:tabs>
          <w:tab w:val="left" w:pos="1123"/>
        </w:tabs>
        <w:spacing w:before="62"/>
        <w:rPr>
          <w:b/>
          <w:bCs/>
          <w:sz w:val="32"/>
          <w:szCs w:val="36"/>
          <w:highlight w:val="none"/>
        </w:rPr>
      </w:pPr>
      <w:bookmarkStart w:id="54" w:name="_Toc23073"/>
      <w:bookmarkStart w:id="55" w:name="_Toc30036"/>
      <w:bookmarkStart w:id="56" w:name="_Toc12551"/>
      <w:r>
        <w:rPr>
          <w:sz w:val="32"/>
          <w:szCs w:val="32"/>
          <w:highlight w:val="none"/>
        </w:rPr>
        <w:t>第三章</w:t>
      </w:r>
      <w:r>
        <w:rPr>
          <w:sz w:val="32"/>
          <w:szCs w:val="32"/>
          <w:highlight w:val="none"/>
        </w:rPr>
        <w:tab/>
      </w:r>
      <w:r>
        <w:rPr>
          <w:sz w:val="32"/>
          <w:szCs w:val="32"/>
          <w:highlight w:val="none"/>
        </w:rPr>
        <w:t>评标办法</w:t>
      </w:r>
      <w:bookmarkEnd w:id="54"/>
      <w:bookmarkEnd w:id="55"/>
      <w:bookmarkEnd w:id="56"/>
    </w:p>
    <w:p w14:paraId="750BF5E0">
      <w:pPr>
        <w:pStyle w:val="9"/>
        <w:spacing w:before="210" w:after="3"/>
        <w:ind w:right="776"/>
        <w:jc w:val="left"/>
        <w:rPr>
          <w:b w:val="0"/>
          <w:bCs w:val="0"/>
          <w:sz w:val="24"/>
          <w:szCs w:val="28"/>
          <w:highlight w:val="none"/>
        </w:rPr>
      </w:pPr>
      <w:r>
        <w:rPr>
          <w:b w:val="0"/>
          <w:bCs w:val="0"/>
          <w:sz w:val="24"/>
          <w:szCs w:val="28"/>
          <w:highlight w:val="none"/>
        </w:rPr>
        <w:t>本次项目的评审分为初步审查和详细审查。详细审查采用综合评分法，总分为 100 分。评审因素如下：</w:t>
      </w:r>
    </w:p>
    <w:p w14:paraId="337EE5D1">
      <w:pPr>
        <w:pStyle w:val="9"/>
        <w:spacing w:before="210" w:after="3"/>
        <w:ind w:left="755" w:right="776"/>
        <w:jc w:val="both"/>
        <w:rPr>
          <w:b/>
          <w:bCs/>
          <w:sz w:val="24"/>
          <w:szCs w:val="28"/>
          <w:highlight w:val="none"/>
        </w:rPr>
      </w:pPr>
      <w:r>
        <w:rPr>
          <w:b/>
          <w:bCs/>
          <w:sz w:val="24"/>
          <w:szCs w:val="28"/>
          <w:highlight w:val="none"/>
        </w:rPr>
        <w:t>一、初步审查</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76"/>
        <w:gridCol w:w="2410"/>
        <w:gridCol w:w="5124"/>
      </w:tblGrid>
      <w:tr w14:paraId="67F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66" w:type="dxa"/>
            <w:gridSpan w:val="2"/>
            <w:noWrap w:val="0"/>
            <w:vAlign w:val="center"/>
          </w:tcPr>
          <w:p w14:paraId="4755C83A">
            <w:pPr>
              <w:widowControl/>
              <w:spacing w:line="360" w:lineRule="auto"/>
              <w:jc w:val="center"/>
              <w:rPr>
                <w:rFonts w:hint="eastAsia" w:ascii="宋体" w:hAnsi="宋体" w:cs="宋体"/>
                <w:kern w:val="0"/>
                <w:sz w:val="24"/>
                <w:highlight w:val="none"/>
              </w:rPr>
            </w:pPr>
            <w:bookmarkStart w:id="57" w:name="_Toc9836"/>
            <w:r>
              <w:rPr>
                <w:rFonts w:hint="eastAsia" w:ascii="宋体" w:hAnsi="宋体" w:cs="宋体"/>
                <w:kern w:val="0"/>
                <w:sz w:val="24"/>
                <w:highlight w:val="none"/>
              </w:rPr>
              <w:t>条款</w:t>
            </w:r>
          </w:p>
        </w:tc>
        <w:tc>
          <w:tcPr>
            <w:tcW w:w="2410" w:type="dxa"/>
            <w:noWrap w:val="0"/>
            <w:vAlign w:val="center"/>
          </w:tcPr>
          <w:p w14:paraId="02B54ABF">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评审因素</w:t>
            </w:r>
          </w:p>
        </w:tc>
        <w:tc>
          <w:tcPr>
            <w:tcW w:w="5124" w:type="dxa"/>
            <w:noWrap w:val="0"/>
            <w:vAlign w:val="center"/>
          </w:tcPr>
          <w:p w14:paraId="24BBB971">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评审标准</w:t>
            </w:r>
          </w:p>
        </w:tc>
      </w:tr>
      <w:tr w14:paraId="7071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restart"/>
            <w:noWrap w:val="0"/>
            <w:vAlign w:val="center"/>
          </w:tcPr>
          <w:p w14:paraId="4CBEE60B">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.1.1</w:t>
            </w:r>
          </w:p>
        </w:tc>
        <w:tc>
          <w:tcPr>
            <w:tcW w:w="876" w:type="dxa"/>
            <w:vMerge w:val="restart"/>
            <w:noWrap w:val="0"/>
            <w:vAlign w:val="center"/>
          </w:tcPr>
          <w:p w14:paraId="2DB81FA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符合性评审</w:t>
            </w:r>
          </w:p>
        </w:tc>
        <w:tc>
          <w:tcPr>
            <w:tcW w:w="2410" w:type="dxa"/>
            <w:noWrap w:val="0"/>
            <w:vAlign w:val="center"/>
          </w:tcPr>
          <w:p w14:paraId="735717BA">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供应商名称</w:t>
            </w:r>
          </w:p>
        </w:tc>
        <w:tc>
          <w:tcPr>
            <w:tcW w:w="5124" w:type="dxa"/>
            <w:noWrap w:val="0"/>
            <w:vAlign w:val="center"/>
          </w:tcPr>
          <w:p w14:paraId="590EF769">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与营业执照一致</w:t>
            </w:r>
          </w:p>
        </w:tc>
      </w:tr>
      <w:tr w14:paraId="1928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0" w:type="dxa"/>
            <w:vMerge w:val="continue"/>
            <w:noWrap w:val="0"/>
            <w:vAlign w:val="center"/>
          </w:tcPr>
          <w:p w14:paraId="7922D297">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6B2BA5F0">
            <w:pPr>
              <w:widowControl/>
              <w:spacing w:line="360" w:lineRule="auto"/>
              <w:jc w:val="center"/>
              <w:rPr>
                <w:rFonts w:hint="eastAsia" w:ascii="宋体" w:hAnsi="宋体" w:cs="宋体"/>
                <w:kern w:val="0"/>
                <w:sz w:val="24"/>
                <w:highlight w:val="none"/>
              </w:rPr>
            </w:pPr>
          </w:p>
        </w:tc>
        <w:tc>
          <w:tcPr>
            <w:tcW w:w="2410" w:type="dxa"/>
            <w:noWrap w:val="0"/>
            <w:vAlign w:val="center"/>
          </w:tcPr>
          <w:p w14:paraId="55DC568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响应文件签署、盖章</w:t>
            </w:r>
          </w:p>
        </w:tc>
        <w:tc>
          <w:tcPr>
            <w:tcW w:w="5124" w:type="dxa"/>
            <w:noWrap w:val="0"/>
            <w:vAlign w:val="center"/>
          </w:tcPr>
          <w:p w14:paraId="5DD2590E">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响应文件按竞争性磋商文件要求签署、盖章的</w:t>
            </w:r>
          </w:p>
        </w:tc>
      </w:tr>
      <w:tr w14:paraId="75EC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0" w:type="dxa"/>
            <w:vMerge w:val="continue"/>
            <w:noWrap w:val="0"/>
            <w:vAlign w:val="center"/>
          </w:tcPr>
          <w:p w14:paraId="59C5998B">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36927997">
            <w:pPr>
              <w:widowControl/>
              <w:spacing w:line="360" w:lineRule="auto"/>
              <w:jc w:val="center"/>
              <w:rPr>
                <w:rFonts w:hint="eastAsia" w:ascii="宋体" w:hAnsi="宋体" w:cs="宋体"/>
                <w:kern w:val="0"/>
                <w:sz w:val="24"/>
                <w:highlight w:val="none"/>
              </w:rPr>
            </w:pPr>
          </w:p>
        </w:tc>
        <w:tc>
          <w:tcPr>
            <w:tcW w:w="2410" w:type="dxa"/>
            <w:noWrap w:val="0"/>
            <w:vAlign w:val="center"/>
          </w:tcPr>
          <w:p w14:paraId="6D066290">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报价唯一</w:t>
            </w:r>
          </w:p>
        </w:tc>
        <w:tc>
          <w:tcPr>
            <w:tcW w:w="5124" w:type="dxa"/>
            <w:noWrap w:val="0"/>
            <w:vAlign w:val="center"/>
          </w:tcPr>
          <w:p w14:paraId="61719ED4">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只能有一个有效报价</w:t>
            </w:r>
            <w:r>
              <w:rPr>
                <w:rFonts w:hint="eastAsia" w:ascii="宋体" w:hAnsi="宋体" w:cs="宋体"/>
                <w:kern w:val="0"/>
                <w:sz w:val="24"/>
                <w:highlight w:val="none"/>
                <w:lang w:eastAsia="zh-CN"/>
              </w:rPr>
              <w:t>，</w:t>
            </w:r>
            <w:r>
              <w:rPr>
                <w:rFonts w:hint="eastAsia" w:ascii="宋体" w:hAnsi="宋体" w:cs="宋体"/>
                <w:kern w:val="0"/>
                <w:sz w:val="24"/>
                <w:highlight w:val="none"/>
              </w:rPr>
              <w:t>且不超过最高限价</w:t>
            </w:r>
          </w:p>
        </w:tc>
      </w:tr>
      <w:tr w14:paraId="4D90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990" w:type="dxa"/>
            <w:vMerge w:val="restart"/>
            <w:noWrap w:val="0"/>
            <w:vAlign w:val="center"/>
          </w:tcPr>
          <w:p w14:paraId="766FD48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.1.2</w:t>
            </w:r>
          </w:p>
        </w:tc>
        <w:tc>
          <w:tcPr>
            <w:tcW w:w="876" w:type="dxa"/>
            <w:vMerge w:val="restart"/>
            <w:noWrap w:val="0"/>
            <w:vAlign w:val="center"/>
          </w:tcPr>
          <w:p w14:paraId="6F1BFBFC">
            <w:pPr>
              <w:widowControl/>
              <w:spacing w:line="360" w:lineRule="auto"/>
              <w:jc w:val="center"/>
              <w:rPr>
                <w:rFonts w:hint="eastAsia" w:ascii="宋体" w:hAnsi="宋体" w:cs="宋体"/>
                <w:sz w:val="24"/>
                <w:highlight w:val="none"/>
              </w:rPr>
            </w:pPr>
            <w:r>
              <w:rPr>
                <w:rFonts w:hint="eastAsia" w:ascii="宋体" w:hAnsi="宋体" w:cs="宋体"/>
                <w:sz w:val="24"/>
                <w:highlight w:val="none"/>
              </w:rPr>
              <w:t>资格审查</w:t>
            </w:r>
            <w:r>
              <w:rPr>
                <w:rFonts w:hint="eastAsia" w:ascii="宋体" w:hAnsi="宋体" w:cs="宋体"/>
                <w:kern w:val="0"/>
                <w:sz w:val="24"/>
                <w:highlight w:val="none"/>
              </w:rPr>
              <w:t>标准</w:t>
            </w:r>
          </w:p>
        </w:tc>
        <w:tc>
          <w:tcPr>
            <w:tcW w:w="2410" w:type="dxa"/>
            <w:noWrap w:val="0"/>
            <w:vAlign w:val="center"/>
          </w:tcPr>
          <w:p w14:paraId="658A6C6D">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政府采购法二十二条</w:t>
            </w:r>
          </w:p>
        </w:tc>
        <w:tc>
          <w:tcPr>
            <w:tcW w:w="5124" w:type="dxa"/>
            <w:noWrap w:val="0"/>
            <w:vAlign w:val="center"/>
          </w:tcPr>
          <w:p w14:paraId="35C96448">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供应商符合政府采购法二十二条声明函</w:t>
            </w:r>
          </w:p>
        </w:tc>
      </w:tr>
      <w:tr w14:paraId="1982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90" w:type="dxa"/>
            <w:vMerge w:val="continue"/>
            <w:noWrap w:val="0"/>
            <w:vAlign w:val="center"/>
          </w:tcPr>
          <w:p w14:paraId="6AAAAA44">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4BBF6CAE">
            <w:pPr>
              <w:widowControl/>
              <w:spacing w:line="360" w:lineRule="auto"/>
              <w:jc w:val="center"/>
              <w:rPr>
                <w:rFonts w:hint="eastAsia" w:ascii="宋体" w:hAnsi="宋体" w:cs="宋体"/>
                <w:kern w:val="0"/>
                <w:sz w:val="24"/>
                <w:highlight w:val="none"/>
              </w:rPr>
            </w:pPr>
          </w:p>
        </w:tc>
        <w:tc>
          <w:tcPr>
            <w:tcW w:w="2410" w:type="dxa"/>
            <w:noWrap w:val="0"/>
            <w:vAlign w:val="center"/>
          </w:tcPr>
          <w:p w14:paraId="28F8F312">
            <w:pPr>
              <w:spacing w:line="360" w:lineRule="auto"/>
              <w:jc w:val="center"/>
              <w:rPr>
                <w:rFonts w:hint="default" w:ascii="宋体" w:hAnsi="宋体" w:eastAsia="宋体" w:cs="宋体"/>
                <w:color w:val="000000"/>
                <w:kern w:val="0"/>
                <w:sz w:val="24"/>
                <w:highlight w:val="none"/>
                <w:shd w:val="clear" w:color="auto" w:fill="FFFFFF"/>
                <w:lang w:val="en-US" w:eastAsia="zh-CN"/>
              </w:rPr>
            </w:pPr>
            <w:r>
              <w:rPr>
                <w:rFonts w:hint="eastAsia" w:ascii="宋体" w:hAnsi="宋体" w:eastAsia="宋体" w:cs="宋体"/>
                <w:kern w:val="2"/>
                <w:sz w:val="24"/>
                <w:szCs w:val="22"/>
                <w:highlight w:val="none"/>
                <w:lang w:val="en-US" w:eastAsia="zh-CN" w:bidi="ar-SA"/>
              </w:rPr>
              <w:t>无商业贿赂及无不正当竞争行为承诺书</w:t>
            </w:r>
          </w:p>
        </w:tc>
        <w:tc>
          <w:tcPr>
            <w:tcW w:w="5124" w:type="dxa"/>
            <w:noWrap w:val="0"/>
            <w:vAlign w:val="center"/>
          </w:tcPr>
          <w:p w14:paraId="6CED8AE1">
            <w:pPr>
              <w:pStyle w:val="4"/>
              <w:ind w:left="0" w:leftChars="0" w:firstLine="0" w:firstLineChars="0"/>
              <w:jc w:val="center"/>
              <w:rPr>
                <w:rFonts w:hint="eastAsia" w:ascii="宋体" w:hAnsi="宋体" w:eastAsia="宋体" w:cs="宋体"/>
                <w:kern w:val="2"/>
                <w:sz w:val="24"/>
                <w:szCs w:val="22"/>
                <w:highlight w:val="none"/>
                <w:lang w:val="en-US" w:eastAsia="zh-CN" w:bidi="ar-SA"/>
              </w:rPr>
            </w:pPr>
            <w:bookmarkStart w:id="58" w:name="_Toc3225"/>
            <w:r>
              <w:rPr>
                <w:rFonts w:hint="eastAsia" w:ascii="宋体" w:hAnsi="宋体" w:eastAsia="宋体" w:cs="宋体"/>
                <w:kern w:val="2"/>
                <w:sz w:val="24"/>
                <w:szCs w:val="22"/>
                <w:highlight w:val="none"/>
                <w:lang w:val="en-US" w:eastAsia="zh-CN" w:bidi="ar-SA"/>
              </w:rPr>
              <w:t>响应人自行出具本单位无商业贿赂及无不正当竞争行为的承诺书；</w:t>
            </w:r>
            <w:bookmarkEnd w:id="58"/>
          </w:p>
        </w:tc>
      </w:tr>
      <w:tr w14:paraId="3BF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0" w:type="dxa"/>
            <w:vMerge w:val="continue"/>
            <w:noWrap w:val="0"/>
            <w:vAlign w:val="center"/>
          </w:tcPr>
          <w:p w14:paraId="77A0CA96">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5965C7C">
            <w:pPr>
              <w:widowControl/>
              <w:spacing w:line="360" w:lineRule="auto"/>
              <w:jc w:val="center"/>
              <w:rPr>
                <w:rFonts w:hint="eastAsia" w:ascii="宋体" w:hAnsi="宋体" w:cs="宋体"/>
                <w:kern w:val="0"/>
                <w:sz w:val="24"/>
                <w:highlight w:val="none"/>
              </w:rPr>
            </w:pPr>
          </w:p>
        </w:tc>
        <w:tc>
          <w:tcPr>
            <w:tcW w:w="2410" w:type="dxa"/>
            <w:noWrap w:val="0"/>
            <w:vAlign w:val="center"/>
          </w:tcPr>
          <w:p w14:paraId="79B34CD1">
            <w:pPr>
              <w:spacing w:line="360" w:lineRule="auto"/>
              <w:jc w:val="center"/>
              <w:rPr>
                <w:rFonts w:hint="eastAsia" w:ascii="宋体" w:hAnsi="宋体" w:cs="宋体"/>
                <w:sz w:val="24"/>
                <w:highlight w:val="none"/>
              </w:rPr>
            </w:pPr>
            <w:r>
              <w:rPr>
                <w:rFonts w:hint="eastAsia" w:ascii="宋体" w:hAnsi="宋体" w:cs="宋体"/>
                <w:color w:val="000000"/>
                <w:kern w:val="0"/>
                <w:sz w:val="24"/>
                <w:highlight w:val="none"/>
                <w:shd w:val="clear" w:color="auto" w:fill="FFFFFF"/>
              </w:rPr>
              <w:t>信用中国、中国执行信息公开网、中国政府采购网查询截图</w:t>
            </w:r>
          </w:p>
        </w:tc>
        <w:tc>
          <w:tcPr>
            <w:tcW w:w="5124" w:type="dxa"/>
            <w:noWrap w:val="0"/>
            <w:vAlign w:val="center"/>
          </w:tcPr>
          <w:p w14:paraId="51F85127">
            <w:pPr>
              <w:pStyle w:val="4"/>
              <w:ind w:left="0" w:leftChars="0" w:firstLine="0" w:firstLineChars="0"/>
              <w:jc w:val="center"/>
              <w:rPr>
                <w:rFonts w:hint="eastAsia" w:ascii="宋体" w:hAnsi="宋体" w:eastAsia="宋体" w:cs="宋体"/>
                <w:kern w:val="2"/>
                <w:sz w:val="24"/>
                <w:szCs w:val="22"/>
                <w:highlight w:val="none"/>
                <w:lang w:val="en-US" w:eastAsia="zh-CN" w:bidi="ar-SA"/>
              </w:rPr>
            </w:pPr>
            <w:bookmarkStart w:id="59" w:name="_Toc4227"/>
            <w:r>
              <w:rPr>
                <w:rFonts w:hint="eastAsia" w:ascii="宋体" w:hAnsi="宋体" w:eastAsia="宋体" w:cs="宋体"/>
                <w:kern w:val="2"/>
                <w:sz w:val="24"/>
                <w:szCs w:val="22"/>
                <w:highlight w:val="none"/>
                <w:lang w:val="en-US" w:eastAsia="zh-CN" w:bidi="ar-SA"/>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59"/>
          </w:p>
        </w:tc>
      </w:tr>
      <w:tr w14:paraId="4FE9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90" w:type="dxa"/>
            <w:vMerge w:val="continue"/>
            <w:noWrap w:val="0"/>
            <w:vAlign w:val="center"/>
          </w:tcPr>
          <w:p w14:paraId="5525CFF0">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1A379B4">
            <w:pPr>
              <w:widowControl/>
              <w:spacing w:line="360" w:lineRule="auto"/>
              <w:jc w:val="center"/>
              <w:rPr>
                <w:rFonts w:hint="eastAsia" w:ascii="宋体" w:hAnsi="宋体" w:cs="宋体"/>
                <w:kern w:val="0"/>
                <w:sz w:val="24"/>
                <w:highlight w:val="none"/>
              </w:rPr>
            </w:pPr>
          </w:p>
        </w:tc>
        <w:tc>
          <w:tcPr>
            <w:tcW w:w="2410" w:type="dxa"/>
            <w:noWrap w:val="0"/>
            <w:vAlign w:val="center"/>
          </w:tcPr>
          <w:p w14:paraId="5D88B7B5">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kern w:val="0"/>
                <w:sz w:val="24"/>
                <w:szCs w:val="24"/>
                <w:highlight w:val="none"/>
                <w:lang w:val="en-US" w:eastAsia="zh-CN"/>
              </w:rPr>
              <w:t>“国家企业信用信息公示系统</w:t>
            </w:r>
          </w:p>
        </w:tc>
        <w:tc>
          <w:tcPr>
            <w:tcW w:w="5124" w:type="dxa"/>
            <w:noWrap w:val="0"/>
            <w:vAlign w:val="center"/>
          </w:tcPr>
          <w:p w14:paraId="1D63387D">
            <w:pPr>
              <w:ind w:left="0" w:leftChars="0" w:firstLine="0" w:firstLineChars="0"/>
              <w:jc w:val="center"/>
              <w:rPr>
                <w:rFonts w:hint="eastAsia" w:ascii="宋体" w:hAnsi="宋体" w:eastAsia="宋体" w:cs="宋体"/>
                <w:kern w:val="2"/>
                <w:sz w:val="24"/>
                <w:szCs w:val="22"/>
                <w:highlight w:val="none"/>
                <w:lang w:val="en-US" w:eastAsia="zh-CN" w:bidi="ar-SA"/>
              </w:rPr>
            </w:pPr>
            <w:r>
              <w:rPr>
                <w:rFonts w:hint="eastAsia" w:ascii="宋体" w:hAnsi="宋体" w:cs="宋体"/>
                <w:kern w:val="0"/>
                <w:sz w:val="24"/>
                <w:szCs w:val="24"/>
                <w:highlight w:val="none"/>
                <w:lang w:val="en-US" w:eastAsia="zh-CN"/>
              </w:rPr>
              <w:t>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p>
        </w:tc>
      </w:tr>
      <w:tr w14:paraId="387B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90" w:type="dxa"/>
            <w:vMerge w:val="continue"/>
            <w:noWrap w:val="0"/>
            <w:vAlign w:val="center"/>
          </w:tcPr>
          <w:p w14:paraId="7788F8E6">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39D0DE98">
            <w:pPr>
              <w:widowControl/>
              <w:spacing w:line="360" w:lineRule="auto"/>
              <w:jc w:val="center"/>
              <w:rPr>
                <w:rFonts w:hint="eastAsia" w:ascii="宋体" w:hAnsi="宋体" w:cs="宋体"/>
                <w:kern w:val="0"/>
                <w:sz w:val="24"/>
                <w:highlight w:val="none"/>
              </w:rPr>
            </w:pPr>
          </w:p>
        </w:tc>
        <w:tc>
          <w:tcPr>
            <w:tcW w:w="2410" w:type="dxa"/>
            <w:noWrap w:val="0"/>
            <w:vAlign w:val="center"/>
          </w:tcPr>
          <w:p w14:paraId="7986F520">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联合体供应商</w:t>
            </w:r>
          </w:p>
        </w:tc>
        <w:tc>
          <w:tcPr>
            <w:tcW w:w="5124" w:type="dxa"/>
            <w:noWrap w:val="0"/>
            <w:vAlign w:val="center"/>
          </w:tcPr>
          <w:p w14:paraId="0EACD610">
            <w:pPr>
              <w:pStyle w:val="4"/>
              <w:ind w:left="0" w:leftChars="0" w:firstLine="0" w:firstLineChars="0"/>
              <w:jc w:val="center"/>
              <w:rPr>
                <w:rFonts w:hint="eastAsia" w:ascii="宋体" w:hAnsi="宋体" w:cs="宋体"/>
                <w:b w:val="0"/>
                <w:bCs w:val="0"/>
                <w:color w:val="000000"/>
                <w:kern w:val="0"/>
                <w:szCs w:val="24"/>
                <w:highlight w:val="none"/>
                <w:shd w:val="clear" w:color="auto" w:fill="FFFFFF"/>
              </w:rPr>
            </w:pPr>
            <w:bookmarkStart w:id="60" w:name="_Toc4566"/>
            <w:r>
              <w:rPr>
                <w:rFonts w:hint="eastAsia" w:ascii="宋体" w:hAnsi="宋体" w:eastAsia="宋体" w:cs="宋体"/>
                <w:color w:val="000000"/>
                <w:kern w:val="0"/>
                <w:sz w:val="24"/>
                <w:szCs w:val="22"/>
                <w:highlight w:val="none"/>
                <w:shd w:val="clear" w:color="auto" w:fill="FFFFFF"/>
                <w:lang w:val="en-US" w:eastAsia="zh-CN" w:bidi="ar-SA"/>
              </w:rPr>
              <w:t>本项目不接受联合体投标</w:t>
            </w:r>
            <w:bookmarkEnd w:id="60"/>
          </w:p>
        </w:tc>
      </w:tr>
      <w:tr w14:paraId="7675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0" w:type="dxa"/>
            <w:vMerge w:val="restart"/>
            <w:noWrap w:val="0"/>
            <w:vAlign w:val="center"/>
          </w:tcPr>
          <w:p w14:paraId="6798EFD4">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.1.3</w:t>
            </w:r>
          </w:p>
        </w:tc>
        <w:tc>
          <w:tcPr>
            <w:tcW w:w="876" w:type="dxa"/>
            <w:vMerge w:val="restart"/>
            <w:noWrap w:val="0"/>
            <w:vAlign w:val="center"/>
          </w:tcPr>
          <w:p w14:paraId="64B7DEAA">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响应性审查</w:t>
            </w:r>
            <w:r>
              <w:rPr>
                <w:rFonts w:hint="eastAsia" w:ascii="宋体" w:hAnsi="宋体" w:cs="宋体"/>
                <w:kern w:val="0"/>
                <w:sz w:val="24"/>
                <w:highlight w:val="none"/>
              </w:rPr>
              <w:t>标准</w:t>
            </w:r>
          </w:p>
        </w:tc>
        <w:tc>
          <w:tcPr>
            <w:tcW w:w="2410" w:type="dxa"/>
            <w:noWrap w:val="0"/>
            <w:vAlign w:val="center"/>
          </w:tcPr>
          <w:p w14:paraId="7483FD6D">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sz w:val="24"/>
                <w:highlight w:val="none"/>
                <w:lang w:val="en-US" w:eastAsia="zh-CN"/>
              </w:rPr>
              <w:t>服务期限</w:t>
            </w:r>
          </w:p>
        </w:tc>
        <w:tc>
          <w:tcPr>
            <w:tcW w:w="5124" w:type="dxa"/>
            <w:noWrap w:val="0"/>
            <w:vAlign w:val="center"/>
          </w:tcPr>
          <w:p w14:paraId="0DB1540A">
            <w:pPr>
              <w:widowControl/>
              <w:spacing w:line="360" w:lineRule="auto"/>
              <w:jc w:val="center"/>
              <w:rPr>
                <w:rFonts w:hint="eastAsia" w:ascii="宋体" w:hAnsi="宋体" w:cs="宋体"/>
                <w:kern w:val="0"/>
                <w:sz w:val="24"/>
                <w:highlight w:val="none"/>
              </w:rPr>
            </w:pPr>
            <w:r>
              <w:rPr>
                <w:rFonts w:hint="eastAsia" w:ascii="宋体" w:hAnsi="宋体" w:cs="宋体"/>
                <w:color w:val="000000"/>
                <w:kern w:val="0"/>
                <w:sz w:val="24"/>
                <w:szCs w:val="24"/>
                <w:highlight w:val="none"/>
                <w:lang w:val="en-US" w:eastAsia="zh-CN"/>
              </w:rPr>
              <w:t>三年</w:t>
            </w:r>
          </w:p>
        </w:tc>
      </w:tr>
      <w:tr w14:paraId="1DDD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0" w:type="dxa"/>
            <w:vMerge w:val="continue"/>
            <w:noWrap w:val="0"/>
            <w:vAlign w:val="center"/>
          </w:tcPr>
          <w:p w14:paraId="3AFD0284">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1A96B16E">
            <w:pPr>
              <w:widowControl/>
              <w:spacing w:line="360" w:lineRule="auto"/>
              <w:jc w:val="center"/>
              <w:rPr>
                <w:rFonts w:hint="eastAsia" w:ascii="宋体" w:hAnsi="宋体" w:cs="宋体"/>
                <w:kern w:val="0"/>
                <w:sz w:val="24"/>
                <w:highlight w:val="none"/>
              </w:rPr>
            </w:pPr>
          </w:p>
        </w:tc>
        <w:tc>
          <w:tcPr>
            <w:tcW w:w="2410" w:type="dxa"/>
            <w:noWrap w:val="0"/>
            <w:vAlign w:val="center"/>
          </w:tcPr>
          <w:p w14:paraId="32FC336C">
            <w:pPr>
              <w:widowControl/>
              <w:spacing w:line="360" w:lineRule="auto"/>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服务质量</w:t>
            </w:r>
          </w:p>
        </w:tc>
        <w:tc>
          <w:tcPr>
            <w:tcW w:w="5124" w:type="dxa"/>
            <w:noWrap w:val="0"/>
            <w:vAlign w:val="center"/>
          </w:tcPr>
          <w:p w14:paraId="547DA38C">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符合国家及行业相关规范和标准</w:t>
            </w:r>
          </w:p>
        </w:tc>
      </w:tr>
      <w:tr w14:paraId="017A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90" w:type="dxa"/>
            <w:vMerge w:val="continue"/>
            <w:noWrap w:val="0"/>
            <w:vAlign w:val="center"/>
          </w:tcPr>
          <w:p w14:paraId="56159001">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0F12EED9">
            <w:pPr>
              <w:widowControl/>
              <w:spacing w:line="360" w:lineRule="auto"/>
              <w:jc w:val="center"/>
              <w:rPr>
                <w:rFonts w:hint="eastAsia" w:ascii="宋体" w:hAnsi="宋体" w:cs="宋体"/>
                <w:kern w:val="0"/>
                <w:sz w:val="24"/>
                <w:highlight w:val="none"/>
              </w:rPr>
            </w:pPr>
          </w:p>
        </w:tc>
        <w:tc>
          <w:tcPr>
            <w:tcW w:w="2410" w:type="dxa"/>
            <w:noWrap w:val="0"/>
            <w:vAlign w:val="center"/>
          </w:tcPr>
          <w:p w14:paraId="7FC95CB1">
            <w:pPr>
              <w:widowControl/>
              <w:spacing w:line="360" w:lineRule="auto"/>
              <w:jc w:val="center"/>
              <w:rPr>
                <w:rFonts w:hint="eastAsia" w:ascii="宋体" w:hAnsi="宋体" w:cs="宋体"/>
                <w:kern w:val="0"/>
                <w:sz w:val="24"/>
                <w:highlight w:val="none"/>
              </w:rPr>
            </w:pPr>
            <w:r>
              <w:rPr>
                <w:rFonts w:hint="eastAsia" w:ascii="宋体" w:hAnsi="宋体" w:cs="宋体"/>
                <w:sz w:val="24"/>
                <w:highlight w:val="none"/>
              </w:rPr>
              <w:t>磋商有效期</w:t>
            </w:r>
          </w:p>
        </w:tc>
        <w:tc>
          <w:tcPr>
            <w:tcW w:w="5124" w:type="dxa"/>
            <w:noWrap w:val="0"/>
            <w:vAlign w:val="center"/>
          </w:tcPr>
          <w:p w14:paraId="0EED19DC">
            <w:pPr>
              <w:widowControl/>
              <w:spacing w:line="360" w:lineRule="auto"/>
              <w:jc w:val="center"/>
              <w:rPr>
                <w:rFonts w:hint="eastAsia" w:ascii="宋体" w:hAnsi="宋体" w:cs="宋体"/>
                <w:kern w:val="0"/>
                <w:sz w:val="24"/>
                <w:highlight w:val="none"/>
              </w:rPr>
            </w:pPr>
            <w:r>
              <w:rPr>
                <w:rFonts w:hint="eastAsia" w:ascii="宋体" w:hAnsi="宋体" w:eastAsia="宋体" w:cs="Times New Roman"/>
                <w:sz w:val="24"/>
                <w:szCs w:val="24"/>
                <w:highlight w:val="none"/>
              </w:rPr>
              <w:t>60日历天（从投标截止之日算起）</w:t>
            </w:r>
          </w:p>
        </w:tc>
      </w:tr>
      <w:tr w14:paraId="281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0" w:type="dxa"/>
            <w:vMerge w:val="continue"/>
            <w:noWrap w:val="0"/>
            <w:vAlign w:val="center"/>
          </w:tcPr>
          <w:p w14:paraId="5924B17A">
            <w:pPr>
              <w:widowControl/>
              <w:spacing w:line="360" w:lineRule="auto"/>
              <w:jc w:val="center"/>
              <w:rPr>
                <w:rFonts w:hint="eastAsia" w:ascii="宋体" w:hAnsi="宋体" w:cs="宋体"/>
                <w:kern w:val="0"/>
                <w:sz w:val="24"/>
                <w:highlight w:val="none"/>
              </w:rPr>
            </w:pPr>
          </w:p>
        </w:tc>
        <w:tc>
          <w:tcPr>
            <w:tcW w:w="876" w:type="dxa"/>
            <w:vMerge w:val="continue"/>
            <w:noWrap w:val="0"/>
            <w:vAlign w:val="center"/>
          </w:tcPr>
          <w:p w14:paraId="2F24761D">
            <w:pPr>
              <w:widowControl/>
              <w:spacing w:line="360" w:lineRule="auto"/>
              <w:jc w:val="center"/>
              <w:rPr>
                <w:rFonts w:hint="eastAsia" w:ascii="宋体" w:hAnsi="宋体" w:cs="宋体"/>
                <w:kern w:val="0"/>
                <w:sz w:val="24"/>
                <w:highlight w:val="none"/>
              </w:rPr>
            </w:pPr>
          </w:p>
        </w:tc>
        <w:tc>
          <w:tcPr>
            <w:tcW w:w="2410" w:type="dxa"/>
            <w:noWrap w:val="0"/>
            <w:vAlign w:val="center"/>
          </w:tcPr>
          <w:p w14:paraId="325C36CA">
            <w:pPr>
              <w:widowControl/>
              <w:spacing w:line="360" w:lineRule="auto"/>
              <w:jc w:val="center"/>
              <w:rPr>
                <w:rFonts w:hint="eastAsia" w:ascii="宋体" w:hAnsi="宋体" w:cs="宋体"/>
                <w:sz w:val="24"/>
                <w:highlight w:val="none"/>
              </w:rPr>
            </w:pPr>
            <w:r>
              <w:rPr>
                <w:rFonts w:hint="eastAsia" w:ascii="宋体" w:hAnsi="宋体" w:cs="宋体"/>
                <w:sz w:val="24"/>
                <w:highlight w:val="none"/>
              </w:rPr>
              <w:t>其他响应性</w:t>
            </w:r>
          </w:p>
        </w:tc>
        <w:tc>
          <w:tcPr>
            <w:tcW w:w="5124" w:type="dxa"/>
            <w:noWrap w:val="0"/>
            <w:vAlign w:val="center"/>
          </w:tcPr>
          <w:p w14:paraId="11A1A1D1">
            <w:pPr>
              <w:widowControl/>
              <w:spacing w:line="360" w:lineRule="auto"/>
              <w:jc w:val="center"/>
              <w:rPr>
                <w:rFonts w:hint="eastAsia" w:ascii="宋体" w:hAnsi="宋体" w:cs="宋体"/>
                <w:sz w:val="24"/>
                <w:highlight w:val="none"/>
              </w:rPr>
            </w:pPr>
            <w:r>
              <w:rPr>
                <w:rFonts w:hint="eastAsia" w:ascii="宋体" w:hAnsi="宋体" w:cs="宋体"/>
                <w:sz w:val="24"/>
                <w:highlight w:val="none"/>
              </w:rPr>
              <w:t>满足磋商文件的其他实质性要求</w:t>
            </w:r>
          </w:p>
        </w:tc>
      </w:tr>
      <w:bookmarkEnd w:id="57"/>
    </w:tbl>
    <w:p w14:paraId="4E38DEFA">
      <w:pPr>
        <w:pStyle w:val="9"/>
        <w:numPr>
          <w:ilvl w:val="0"/>
          <w:numId w:val="2"/>
        </w:numPr>
        <w:spacing w:before="210" w:after="3"/>
        <w:ind w:left="755" w:right="776"/>
        <w:jc w:val="both"/>
        <w:rPr>
          <w:rFonts w:hint="eastAsia"/>
          <w:b/>
          <w:bCs/>
          <w:sz w:val="24"/>
          <w:szCs w:val="28"/>
          <w:highlight w:val="none"/>
          <w:lang w:val="en-US" w:eastAsia="zh-CN"/>
        </w:rPr>
      </w:pPr>
      <w:r>
        <w:rPr>
          <w:rFonts w:hint="eastAsia"/>
          <w:b/>
          <w:bCs/>
          <w:sz w:val="24"/>
          <w:szCs w:val="28"/>
          <w:highlight w:val="none"/>
          <w:lang w:val="en-US" w:eastAsia="zh-CN"/>
        </w:rPr>
        <w:t>详细审查： 评分标准</w:t>
      </w:r>
    </w:p>
    <w:tbl>
      <w:tblPr>
        <w:tblStyle w:val="2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053"/>
        <w:gridCol w:w="5481"/>
      </w:tblGrid>
      <w:tr w14:paraId="7C88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610C5415">
            <w:pPr>
              <w:spacing w:line="360" w:lineRule="auto"/>
              <w:jc w:val="center"/>
              <w:rPr>
                <w:rFonts w:hint="eastAsia" w:ascii="宋体" w:hAnsi="宋体" w:cs="宋体"/>
                <w:color w:val="000000"/>
                <w:kern w:val="0"/>
                <w:sz w:val="24"/>
                <w:highlight w:val="none"/>
                <w:shd w:val="clear" w:color="auto" w:fill="FFFFFF"/>
              </w:rPr>
            </w:pPr>
          </w:p>
        </w:tc>
        <w:tc>
          <w:tcPr>
            <w:tcW w:w="2053" w:type="dxa"/>
            <w:noWrap w:val="0"/>
            <w:vAlign w:val="center"/>
          </w:tcPr>
          <w:p w14:paraId="68174311">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分值构成</w:t>
            </w:r>
          </w:p>
          <w:p w14:paraId="65C81129">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(总分100分)</w:t>
            </w:r>
          </w:p>
        </w:tc>
        <w:tc>
          <w:tcPr>
            <w:tcW w:w="5481" w:type="dxa"/>
            <w:noWrap w:val="0"/>
            <w:vAlign w:val="center"/>
          </w:tcPr>
          <w:p w14:paraId="5751088F">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报价得分：</w:t>
            </w:r>
            <w:r>
              <w:rPr>
                <w:rFonts w:hint="eastAsia" w:ascii="宋体" w:hAnsi="宋体" w:cs="宋体"/>
                <w:color w:val="000000"/>
                <w:kern w:val="0"/>
                <w:sz w:val="24"/>
                <w:highlight w:val="none"/>
                <w:shd w:val="clear" w:color="auto" w:fill="FFFFFF"/>
                <w:lang w:val="en-US" w:eastAsia="zh-CN"/>
              </w:rPr>
              <w:t>2</w:t>
            </w:r>
            <w:r>
              <w:rPr>
                <w:rFonts w:hint="eastAsia" w:ascii="宋体" w:hAnsi="宋体" w:cs="宋体"/>
                <w:color w:val="000000"/>
                <w:kern w:val="0"/>
                <w:sz w:val="24"/>
                <w:highlight w:val="none"/>
                <w:shd w:val="clear" w:color="auto" w:fill="FFFFFF"/>
              </w:rPr>
              <w:t>0分</w:t>
            </w:r>
          </w:p>
          <w:p w14:paraId="2CA8C95A">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技术部分：</w:t>
            </w:r>
            <w:r>
              <w:rPr>
                <w:rFonts w:hint="eastAsia" w:ascii="宋体" w:hAnsi="宋体" w:cs="宋体"/>
                <w:color w:val="000000"/>
                <w:kern w:val="0"/>
                <w:sz w:val="24"/>
                <w:highlight w:val="none"/>
                <w:shd w:val="clear" w:color="auto" w:fill="FFFFFF"/>
                <w:lang w:val="en-US" w:eastAsia="zh-CN"/>
              </w:rPr>
              <w:t>55</w:t>
            </w:r>
            <w:r>
              <w:rPr>
                <w:rFonts w:hint="eastAsia" w:ascii="宋体" w:hAnsi="宋体" w:cs="宋体"/>
                <w:color w:val="000000"/>
                <w:kern w:val="0"/>
                <w:sz w:val="24"/>
                <w:highlight w:val="none"/>
                <w:shd w:val="clear" w:color="auto" w:fill="FFFFFF"/>
              </w:rPr>
              <w:t>分</w:t>
            </w:r>
          </w:p>
          <w:p w14:paraId="6B4F1011">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lang w:val="en-US" w:eastAsia="zh-CN"/>
              </w:rPr>
              <w:t>商务</w:t>
            </w:r>
            <w:r>
              <w:rPr>
                <w:rFonts w:hint="eastAsia" w:ascii="宋体" w:hAnsi="宋体" w:cs="宋体"/>
                <w:color w:val="000000"/>
                <w:kern w:val="0"/>
                <w:sz w:val="24"/>
                <w:highlight w:val="none"/>
                <w:shd w:val="clear" w:color="auto" w:fill="FFFFFF"/>
              </w:rPr>
              <w:t>部分：</w:t>
            </w:r>
            <w:r>
              <w:rPr>
                <w:rFonts w:hint="eastAsia" w:ascii="宋体" w:hAnsi="宋体" w:cs="宋体"/>
                <w:color w:val="000000"/>
                <w:kern w:val="0"/>
                <w:sz w:val="24"/>
                <w:highlight w:val="none"/>
                <w:shd w:val="clear" w:color="auto" w:fill="FFFFFF"/>
                <w:lang w:val="en-US" w:eastAsia="zh-CN"/>
              </w:rPr>
              <w:t>25</w:t>
            </w:r>
            <w:r>
              <w:rPr>
                <w:rFonts w:hint="eastAsia" w:ascii="宋体" w:hAnsi="宋体" w:cs="宋体"/>
                <w:color w:val="000000"/>
                <w:kern w:val="0"/>
                <w:sz w:val="24"/>
                <w:highlight w:val="none"/>
                <w:shd w:val="clear" w:color="auto" w:fill="FFFFFF"/>
              </w:rPr>
              <w:t>分</w:t>
            </w:r>
          </w:p>
        </w:tc>
      </w:tr>
      <w:tr w14:paraId="76F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top"/>
          </w:tcPr>
          <w:p w14:paraId="5FD79F53">
            <w:pPr>
              <w:spacing w:line="360" w:lineRule="auto"/>
              <w:jc w:val="center"/>
              <w:rPr>
                <w:rFonts w:hint="eastAsia" w:ascii="宋体" w:hAnsi="宋体" w:cs="宋体"/>
                <w:color w:val="000000"/>
                <w:kern w:val="0"/>
                <w:sz w:val="24"/>
                <w:highlight w:val="none"/>
                <w:shd w:val="clear" w:color="auto" w:fill="FFFFFF"/>
              </w:rPr>
            </w:pPr>
            <w:bookmarkStart w:id="61" w:name="_bookmark2"/>
            <w:bookmarkEnd w:id="61"/>
            <w:bookmarkStart w:id="62" w:name="七、综合标及其它资料"/>
            <w:bookmarkEnd w:id="62"/>
            <w:r>
              <w:rPr>
                <w:rFonts w:hint="eastAsia" w:ascii="宋体" w:hAnsi="宋体" w:cs="宋体"/>
                <w:color w:val="000000"/>
                <w:kern w:val="0"/>
                <w:sz w:val="24"/>
                <w:highlight w:val="none"/>
                <w:shd w:val="clear" w:color="auto" w:fill="FFFFFF"/>
              </w:rPr>
              <w:t>条款号</w:t>
            </w:r>
          </w:p>
        </w:tc>
        <w:tc>
          <w:tcPr>
            <w:tcW w:w="2053" w:type="dxa"/>
            <w:noWrap w:val="0"/>
            <w:vAlign w:val="top"/>
          </w:tcPr>
          <w:p w14:paraId="74D2B0D7">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评分因素</w:t>
            </w:r>
          </w:p>
        </w:tc>
        <w:tc>
          <w:tcPr>
            <w:tcW w:w="5481" w:type="dxa"/>
            <w:noWrap w:val="0"/>
            <w:vAlign w:val="center"/>
          </w:tcPr>
          <w:p w14:paraId="0AAD0A4B">
            <w:pPr>
              <w:spacing w:line="360" w:lineRule="auto"/>
              <w:jc w:val="center"/>
              <w:rPr>
                <w:rFonts w:hint="eastAsia" w:ascii="宋体" w:hAnsi="宋体" w:cs="宋体"/>
                <w:color w:val="000000"/>
                <w:kern w:val="0"/>
                <w:sz w:val="24"/>
                <w:highlight w:val="none"/>
                <w:shd w:val="clear" w:color="auto" w:fill="FFFFFF"/>
              </w:rPr>
            </w:pPr>
            <w:r>
              <w:rPr>
                <w:rFonts w:hint="eastAsia" w:ascii="宋体" w:hAnsi="宋体" w:cs="宋体"/>
                <w:color w:val="000000"/>
                <w:kern w:val="0"/>
                <w:sz w:val="24"/>
                <w:highlight w:val="none"/>
                <w:shd w:val="clear" w:color="auto" w:fill="FFFFFF"/>
              </w:rPr>
              <w:t>评</w:t>
            </w:r>
            <w:r>
              <w:rPr>
                <w:rFonts w:hint="eastAsia" w:ascii="宋体" w:hAnsi="宋体" w:cs="宋体"/>
                <w:color w:val="000000"/>
                <w:kern w:val="0"/>
                <w:sz w:val="24"/>
                <w:highlight w:val="none"/>
                <w:shd w:val="clear" w:color="auto" w:fill="FFFFFF"/>
                <w:lang w:val="en-US" w:eastAsia="zh-CN"/>
              </w:rPr>
              <w:t>分</w:t>
            </w:r>
            <w:r>
              <w:rPr>
                <w:rFonts w:hint="eastAsia" w:ascii="宋体" w:hAnsi="宋体" w:cs="宋体"/>
                <w:color w:val="000000"/>
                <w:kern w:val="0"/>
                <w:sz w:val="24"/>
                <w:highlight w:val="none"/>
                <w:shd w:val="clear" w:color="auto" w:fill="FFFFFF"/>
              </w:rPr>
              <w:t>标准</w:t>
            </w:r>
          </w:p>
        </w:tc>
      </w:tr>
      <w:tr w14:paraId="4876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noWrap w:val="0"/>
            <w:vAlign w:val="center"/>
          </w:tcPr>
          <w:p w14:paraId="6E94558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报价得分</w:t>
            </w:r>
          </w:p>
          <w:p w14:paraId="1CFCE20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0分）</w:t>
            </w:r>
          </w:p>
        </w:tc>
        <w:tc>
          <w:tcPr>
            <w:tcW w:w="2053" w:type="dxa"/>
            <w:noWrap w:val="0"/>
            <w:vAlign w:val="center"/>
          </w:tcPr>
          <w:p w14:paraId="0CE3A7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磋商报价评分标准</w:t>
            </w:r>
          </w:p>
        </w:tc>
        <w:tc>
          <w:tcPr>
            <w:tcW w:w="5481" w:type="dxa"/>
            <w:noWrap w:val="0"/>
            <w:vAlign w:val="center"/>
          </w:tcPr>
          <w:p w14:paraId="2075B6A5">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1、按照《财政部关于加强政府采购货物和服务项目价格评审管理的通知》（财库【2007】2 号）规定，综合评分法中的价格分用低价优先法计算，即满足竞争性磋商文件要求且最终磋商价格最低的磋商报价为评标基准价，其价格分为满分</w:t>
            </w:r>
            <w:r>
              <w:rPr>
                <w:rFonts w:hint="eastAsia"/>
                <w:sz w:val="24"/>
                <w:szCs w:val="24"/>
                <w:highlight w:val="none"/>
                <w:lang w:val="en-US" w:eastAsia="zh-CN"/>
              </w:rPr>
              <w:t>2</w:t>
            </w:r>
            <w:r>
              <w:rPr>
                <w:rFonts w:hint="eastAsia"/>
                <w:sz w:val="24"/>
                <w:szCs w:val="24"/>
                <w:highlight w:val="none"/>
              </w:rPr>
              <w:t>0分。</w:t>
            </w:r>
          </w:p>
          <w:p w14:paraId="63B65475">
            <w:pPr>
              <w:keepNext w:val="0"/>
              <w:keepLines w:val="0"/>
              <w:pageBreakBefore w:val="0"/>
              <w:wordWrap/>
              <w:overflowPunct/>
              <w:topLinePunct w:val="0"/>
              <w:bidi w:val="0"/>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sz w:val="24"/>
                <w:szCs w:val="24"/>
                <w:highlight w:val="none"/>
              </w:rPr>
              <w:t>磋商报价得分=(评标基准价/最终磋商报价)×价格权</w:t>
            </w:r>
            <w:r>
              <w:rPr>
                <w:rFonts w:hint="eastAsia" w:ascii="宋体" w:hAnsi="宋体" w:eastAsia="宋体" w:cs="宋体"/>
                <w:sz w:val="24"/>
                <w:szCs w:val="24"/>
                <w:highlight w:val="none"/>
              </w:rPr>
              <w:t>值（</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0%）×100</w:t>
            </w:r>
          </w:p>
          <w:p w14:paraId="769D4499">
            <w:pPr>
              <w:keepNext w:val="0"/>
              <w:keepLines w:val="0"/>
              <w:pageBreakBefore w:val="0"/>
              <w:numPr>
                <w:ilvl w:val="0"/>
                <w:numId w:val="0"/>
              </w:numPr>
              <w:kinsoku/>
              <w:wordWrap w:val="0"/>
              <w:overflowPunct/>
              <w:topLinePunct w:val="0"/>
              <w:bidi w:val="0"/>
              <w:adjustRightInd w:val="0"/>
              <w:snapToGrid w:val="0"/>
              <w:spacing w:line="360" w:lineRule="auto"/>
              <w:ind w:firstLine="0" w:firstLineChars="0"/>
              <w:jc w:val="left"/>
              <w:rPr>
                <w:rFonts w:hint="eastAsia" w:ascii="宋体" w:hAnsi="宋体" w:eastAsia="宋体" w:cs="宋体"/>
                <w:sz w:val="24"/>
                <w:szCs w:val="24"/>
                <w:highlight w:val="none"/>
              </w:rPr>
            </w:pPr>
            <w:r>
              <w:rPr>
                <w:rFonts w:hint="eastAsia" w:eastAsia="宋体"/>
                <w:color w:val="auto"/>
                <w:sz w:val="24"/>
                <w:szCs w:val="24"/>
                <w:highlight w:val="none"/>
              </w:rPr>
              <w:t>注：（1）</w:t>
            </w:r>
            <w:r>
              <w:rPr>
                <w:rFonts w:hint="eastAsia" w:eastAsia="宋体"/>
                <w:color w:val="auto"/>
                <w:sz w:val="24"/>
                <w:szCs w:val="24"/>
                <w:highlight w:val="none"/>
                <w:lang w:val="en-US" w:eastAsia="zh-CN"/>
              </w:rPr>
              <w:t>费率报价：报价均以下浮率报价，</w:t>
            </w:r>
            <w:r>
              <w:rPr>
                <w:rFonts w:hint="eastAsia" w:eastAsia="宋体"/>
                <w:color w:val="auto"/>
                <w:sz w:val="24"/>
                <w:szCs w:val="24"/>
                <w:highlight w:val="none"/>
              </w:rPr>
              <w:t>计算保留小数点后二位。</w:t>
            </w:r>
          </w:p>
          <w:p w14:paraId="610DD9C2">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（1）本项目专门面向中小企业采购，不再进行价格扣除。</w:t>
            </w:r>
          </w:p>
          <w:p w14:paraId="2207C614">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（2）关于监狱企业：视同小微企业。须提供由省级以上监狱管理局、戒毒管理局（含新疆生产建设兵团）出具的属于监狱企业的证明文件。</w:t>
            </w:r>
          </w:p>
          <w:p w14:paraId="05586244">
            <w:pPr>
              <w:keepNext w:val="0"/>
              <w:keepLines w:val="0"/>
              <w:pageBreakBefore w:val="0"/>
              <w:wordWrap/>
              <w:overflowPunct/>
              <w:topLinePunct w:val="0"/>
              <w:bidi w:val="0"/>
              <w:adjustRightInd w:val="0"/>
              <w:snapToGrid w:val="0"/>
              <w:spacing w:line="360" w:lineRule="auto"/>
              <w:ind w:firstLine="0" w:firstLineChars="0"/>
              <w:jc w:val="left"/>
              <w:rPr>
                <w:rFonts w:hint="eastAsia"/>
                <w:sz w:val="24"/>
                <w:szCs w:val="24"/>
                <w:highlight w:val="none"/>
              </w:rPr>
            </w:pPr>
            <w:r>
              <w:rPr>
                <w:rFonts w:hint="eastAsia"/>
                <w:sz w:val="24"/>
                <w:szCs w:val="24"/>
                <w:highlight w:val="none"/>
              </w:rPr>
              <w:t>（3）关于残疾人福利性单位：视同小微企业。须提供完整的“残疾人福利性单位声明函”。</w:t>
            </w:r>
          </w:p>
          <w:p w14:paraId="41452EC6">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宋体"/>
                <w:kern w:val="0"/>
                <w:sz w:val="24"/>
                <w:szCs w:val="24"/>
                <w:highlight w:val="none"/>
              </w:rPr>
            </w:pPr>
            <w:r>
              <w:rPr>
                <w:rFonts w:hint="eastAsia"/>
                <w:sz w:val="24"/>
                <w:szCs w:val="24"/>
                <w:highlight w:val="none"/>
              </w:rPr>
              <w:t>2、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r>
      <w:tr w14:paraId="0C69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top"/>
          </w:tcPr>
          <w:p w14:paraId="44CF8E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8FA93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28DC02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3C869C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A2A2BE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A0961D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061BF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6EDD74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4B56BD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1604C0E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31064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p>
          <w:p w14:paraId="7080D7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3C00E4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55</w:t>
            </w:r>
            <w:r>
              <w:rPr>
                <w:rFonts w:hint="eastAsia" w:ascii="宋体" w:hAnsi="宋体" w:eastAsia="宋体" w:cs="宋体"/>
                <w:b/>
                <w:sz w:val="24"/>
                <w:szCs w:val="24"/>
                <w:highlight w:val="none"/>
              </w:rPr>
              <w:t>分）</w:t>
            </w:r>
          </w:p>
        </w:tc>
        <w:tc>
          <w:tcPr>
            <w:tcW w:w="2053" w:type="dxa"/>
            <w:noWrap w:val="0"/>
            <w:vAlign w:val="center"/>
          </w:tcPr>
          <w:p w14:paraId="132EF039">
            <w:pPr>
              <w:snapToGrid w:val="0"/>
              <w:jc w:val="center"/>
              <w:rPr>
                <w:rFonts w:hint="eastAsia" w:ascii="宋体" w:hAnsi="宋体" w:eastAsia="宋体" w:cs="宋体"/>
                <w:sz w:val="24"/>
                <w:szCs w:val="24"/>
                <w:highlight w:val="none"/>
              </w:rPr>
            </w:pPr>
          </w:p>
          <w:p w14:paraId="1CA14B77">
            <w:pPr>
              <w:snapToGrid w:val="0"/>
              <w:jc w:val="center"/>
              <w:rPr>
                <w:rFonts w:hint="eastAsia" w:ascii="宋体" w:hAnsi="宋体" w:eastAsia="宋体" w:cs="宋体"/>
                <w:sz w:val="24"/>
                <w:szCs w:val="24"/>
                <w:highlight w:val="none"/>
              </w:rPr>
            </w:pPr>
          </w:p>
          <w:p w14:paraId="2159A5CA">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服务方案</w:t>
            </w:r>
          </w:p>
          <w:p w14:paraId="5B1E65EB">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15</w:t>
            </w:r>
            <w:r>
              <w:rPr>
                <w:rFonts w:hint="eastAsia" w:ascii="宋体" w:hAnsi="宋体" w:eastAsia="宋体" w:cs="宋体"/>
                <w:color w:val="000000"/>
                <w:sz w:val="24"/>
                <w:szCs w:val="24"/>
                <w:highlight w:val="none"/>
              </w:rPr>
              <w:t>分）</w:t>
            </w:r>
          </w:p>
        </w:tc>
        <w:tc>
          <w:tcPr>
            <w:tcW w:w="5481" w:type="dxa"/>
            <w:noWrap w:val="0"/>
            <w:vAlign w:val="center"/>
          </w:tcPr>
          <w:p w14:paraId="58DDD045">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供应商针对本项目制定合理的服务方案（服务的内容、形式、时间，及其他需要考虑的情况），根据各供应商提供的内容综合评价；方案完整、详实、可行性强的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分,方案完整、具有可行性的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分，方案完整、可行性</w:t>
            </w:r>
            <w:r>
              <w:rPr>
                <w:rFonts w:hint="eastAsia" w:ascii="宋体" w:hAnsi="宋体" w:eastAsia="宋体" w:cs="宋体"/>
                <w:sz w:val="24"/>
                <w:szCs w:val="24"/>
                <w:highlight w:val="none"/>
                <w:lang w:val="en-US" w:eastAsia="zh-CN"/>
              </w:rPr>
              <w:t>一般</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方案不完整、可行性不强的</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466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866" w:type="dxa"/>
            <w:vMerge w:val="continue"/>
            <w:noWrap w:val="0"/>
            <w:vAlign w:val="top"/>
          </w:tcPr>
          <w:p w14:paraId="37957C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24122818">
            <w:pPr>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人员配置方案</w:t>
            </w:r>
          </w:p>
          <w:p w14:paraId="2FD4CC1F">
            <w:pPr>
              <w:spacing w:line="360" w:lineRule="auto"/>
              <w:ind w:firstLine="480" w:firstLineChars="200"/>
              <w:jc w:val="both"/>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5481" w:type="dxa"/>
            <w:noWrap w:val="0"/>
            <w:vAlign w:val="center"/>
          </w:tcPr>
          <w:p w14:paraId="46C32407">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根据人员职责分工明确性，安排合理性等内容进行打分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方案详细、合理，可操作性强得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分；方案详细、合理，可操作性较强得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分；方案不够详细、合理，可操作性一般得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没有不得分。</w:t>
            </w:r>
          </w:p>
        </w:tc>
      </w:tr>
      <w:tr w14:paraId="3776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866" w:type="dxa"/>
            <w:vMerge w:val="continue"/>
            <w:noWrap w:val="0"/>
            <w:vAlign w:val="top"/>
          </w:tcPr>
          <w:p w14:paraId="47590D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40E806D6">
            <w:pPr>
              <w:adjustRightInd w:val="0"/>
              <w:snapToGrid w:val="0"/>
              <w:spacing w:line="360" w:lineRule="auto"/>
              <w:jc w:val="left"/>
              <w:rPr>
                <w:rFonts w:hint="eastAsia" w:ascii="宋体" w:hAnsi="宋体" w:eastAsia="宋体" w:cs="宋体"/>
                <w:kern w:val="0"/>
                <w:sz w:val="24"/>
                <w:szCs w:val="24"/>
                <w:highlight w:val="yellow"/>
              </w:rPr>
            </w:pPr>
            <w:r>
              <w:rPr>
                <w:rFonts w:hint="eastAsia" w:ascii="宋体" w:hAnsi="宋体" w:eastAsia="宋体" w:cs="宋体"/>
                <w:kern w:val="0"/>
                <w:sz w:val="24"/>
                <w:szCs w:val="24"/>
                <w:highlight w:val="none"/>
              </w:rPr>
              <w:t>配送计划及安排（</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tc>
        <w:tc>
          <w:tcPr>
            <w:tcW w:w="5481" w:type="dxa"/>
            <w:noWrap w:val="0"/>
            <w:vAlign w:val="center"/>
          </w:tcPr>
          <w:p w14:paraId="06A4E56A">
            <w:pPr>
              <w:adjustRightInd w:val="0"/>
              <w:snapToGrid w:val="0"/>
              <w:spacing w:line="36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企业依据自身产品质量及产品性能，制定相应的产品配送计划，根据配送计划货物选定、包装、运输、装卸全过程的整体质量控制措施，能完全保证货物配送过程中包装及产品无损坏等</w:t>
            </w:r>
            <w:r>
              <w:rPr>
                <w:rFonts w:hint="eastAsia" w:ascii="宋体" w:hAnsi="宋体" w:eastAsia="宋体" w:cs="宋体"/>
                <w:kern w:val="0"/>
                <w:sz w:val="24"/>
                <w:szCs w:val="24"/>
                <w:highlight w:val="none"/>
                <w:lang w:eastAsia="zh-CN"/>
              </w:rPr>
              <w:t>。</w:t>
            </w:r>
          </w:p>
          <w:p w14:paraId="72E12ADC">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方案全面完善、切合本项目实际、合理可行的，得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14:paraId="1BFE4853">
            <w:pPr>
              <w:adjustRightInd w:val="0"/>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方案较为完善、基本切合本项目实际、合理可行的，得</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分；方案不完善、与本项目实际切合程度较差的，得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分。缺项不得分；</w:t>
            </w:r>
          </w:p>
        </w:tc>
      </w:tr>
      <w:tr w14:paraId="65F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866" w:type="dxa"/>
            <w:vMerge w:val="continue"/>
            <w:noWrap w:val="0"/>
            <w:vAlign w:val="top"/>
          </w:tcPr>
          <w:p w14:paraId="7A9A04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586B46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应急响应方案</w:t>
            </w:r>
          </w:p>
          <w:p w14:paraId="7BAFC3F2">
            <w:pPr>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12</w:t>
            </w:r>
            <w:r>
              <w:rPr>
                <w:rFonts w:hint="eastAsia" w:ascii="宋体" w:hAnsi="宋体" w:eastAsia="宋体" w:cs="宋体"/>
                <w:color w:val="000000"/>
                <w:sz w:val="24"/>
                <w:szCs w:val="24"/>
                <w:highlight w:val="none"/>
              </w:rPr>
              <w:t>分）</w:t>
            </w:r>
          </w:p>
        </w:tc>
        <w:tc>
          <w:tcPr>
            <w:tcW w:w="5481" w:type="dxa"/>
            <w:noWrap w:val="0"/>
            <w:vAlign w:val="center"/>
          </w:tcPr>
          <w:p w14:paraId="7493E240">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根据应急响应方案的可行性、完整性以及保障措施进行综合打分：有完善、清晰、可行的应急响应方案，能够清晰的列出应急响应内容，对项目的特性特点及用户所需应急的内容清晰明了，得</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分；应急方案可行，对应急业务操作理解清晰、应急方案完整，得</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分；应急方案基本可行，对应急业务操作理解</w:t>
            </w:r>
            <w:r>
              <w:rPr>
                <w:rFonts w:hint="eastAsia" w:ascii="宋体" w:hAnsi="宋体" w:eastAsia="宋体" w:cs="宋体"/>
                <w:sz w:val="24"/>
                <w:szCs w:val="24"/>
                <w:highlight w:val="none"/>
                <w:lang w:val="en-US" w:eastAsia="zh-CN"/>
              </w:rPr>
              <w:t>基本</w:t>
            </w:r>
            <w:r>
              <w:rPr>
                <w:rFonts w:hint="eastAsia" w:ascii="宋体" w:hAnsi="宋体" w:eastAsia="宋体" w:cs="宋体"/>
                <w:sz w:val="24"/>
                <w:szCs w:val="24"/>
                <w:highlight w:val="none"/>
              </w:rPr>
              <w:t>清晰、应急方案完整，得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分；有对应的应急方案，但对应急业务操作理解不准确，方案不完整，得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075D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866" w:type="dxa"/>
            <w:vMerge w:val="continue"/>
            <w:noWrap w:val="0"/>
            <w:vAlign w:val="top"/>
          </w:tcPr>
          <w:p w14:paraId="2F7CC6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7269DE65">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服务质量保证措施</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5481" w:type="dxa"/>
            <w:noWrap w:val="0"/>
            <w:vAlign w:val="center"/>
          </w:tcPr>
          <w:p w14:paraId="5FEEF73E">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供应商具有完善、合理、实用完整的服务质量保证措施方案，根据各供应商的情况综合评价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rPr>
              <w:t>方案完整、详实、可行性强的得</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方案完整、具有可行性的得</w:t>
            </w: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方案不完整、可行性不强的得</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分。</w:t>
            </w:r>
            <w:r>
              <w:rPr>
                <w:rFonts w:hint="eastAsia" w:ascii="宋体" w:hAnsi="宋体" w:eastAsia="宋体" w:cs="宋体"/>
                <w:sz w:val="24"/>
                <w:szCs w:val="24"/>
                <w:highlight w:val="none"/>
              </w:rPr>
              <w:t>未提供不得分。</w:t>
            </w:r>
          </w:p>
        </w:tc>
      </w:tr>
      <w:tr w14:paraId="393B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restart"/>
            <w:noWrap w:val="0"/>
            <w:vAlign w:val="top"/>
          </w:tcPr>
          <w:p w14:paraId="61CA26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lang w:val="en-US" w:eastAsia="zh-CN"/>
              </w:rPr>
            </w:pPr>
          </w:p>
          <w:p w14:paraId="6BE2BD9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764A093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A1553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FDD80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FFEC9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151604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EC5B8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b/>
                <w:bCs/>
                <w:sz w:val="24"/>
                <w:szCs w:val="24"/>
                <w:highlight w:val="none"/>
                <w:lang w:val="en-US" w:eastAsia="zh-CN"/>
              </w:rPr>
            </w:pPr>
          </w:p>
          <w:p w14:paraId="4D1ABF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商务</w:t>
            </w:r>
            <w:r>
              <w:rPr>
                <w:rFonts w:hint="eastAsia" w:ascii="宋体" w:hAnsi="宋体" w:eastAsia="宋体" w:cs="宋体"/>
                <w:b/>
                <w:bCs/>
                <w:sz w:val="24"/>
                <w:szCs w:val="24"/>
                <w:highlight w:val="none"/>
              </w:rPr>
              <w:t>部分</w:t>
            </w:r>
          </w:p>
          <w:p w14:paraId="6696F0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w:t>
            </w:r>
            <w:r>
              <w:rPr>
                <w:rFonts w:hint="eastAsia" w:ascii="宋体" w:hAnsi="宋体" w:cs="宋体"/>
                <w:b/>
                <w:bCs/>
                <w:sz w:val="24"/>
                <w:szCs w:val="24"/>
                <w:highlight w:val="none"/>
                <w:lang w:val="en-US" w:eastAsia="zh-CN"/>
              </w:rPr>
              <w:t>25</w:t>
            </w:r>
            <w:r>
              <w:rPr>
                <w:rFonts w:hint="eastAsia" w:ascii="宋体" w:hAnsi="宋体" w:eastAsia="宋体" w:cs="宋体"/>
                <w:b/>
                <w:bCs/>
                <w:sz w:val="24"/>
                <w:szCs w:val="24"/>
                <w:highlight w:val="none"/>
              </w:rPr>
              <w:t>分</w:t>
            </w:r>
            <w:r>
              <w:rPr>
                <w:rFonts w:hint="eastAsia" w:ascii="宋体" w:hAnsi="宋体" w:eastAsia="宋体" w:cs="宋体"/>
                <w:b/>
                <w:sz w:val="24"/>
                <w:szCs w:val="24"/>
                <w:highlight w:val="none"/>
              </w:rPr>
              <w:t>）</w:t>
            </w:r>
          </w:p>
        </w:tc>
        <w:tc>
          <w:tcPr>
            <w:tcW w:w="2053" w:type="dxa"/>
            <w:noWrap w:val="0"/>
            <w:vAlign w:val="center"/>
          </w:tcPr>
          <w:p w14:paraId="7DDE24D4">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76482631">
            <w:pPr>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5481" w:type="dxa"/>
            <w:noWrap w:val="0"/>
            <w:vAlign w:val="center"/>
          </w:tcPr>
          <w:p w14:paraId="3CF5F8B0">
            <w:pPr>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val="en-US" w:eastAsia="zh-CN"/>
              </w:rPr>
              <w:t>202</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年1月1日以来，企业承担过类似</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业绩的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每</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rPr>
              <w:t>一份得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分，最多得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分。（以合同或中标通知书为准，响应文件中附扫描件）。</w:t>
            </w:r>
          </w:p>
        </w:tc>
      </w:tr>
      <w:tr w14:paraId="63A8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6" w:type="dxa"/>
            <w:vMerge w:val="continue"/>
            <w:noWrap w:val="0"/>
            <w:vAlign w:val="top"/>
          </w:tcPr>
          <w:p w14:paraId="618145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1C90A349">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服务承诺</w:t>
            </w:r>
          </w:p>
          <w:p w14:paraId="0C74B220">
            <w:pPr>
              <w:snapToGri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5481" w:type="dxa"/>
            <w:noWrap w:val="0"/>
            <w:vAlign w:val="center"/>
          </w:tcPr>
          <w:p w14:paraId="1F167250">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提供详细的售后服务计划，有专职人员，售后服务系统完善，售后服务优惠条件承诺；根据各供应商售后服务承诺、优惠条件、响应时间情况综合评价，售后服务承诺全面周到、响应时间短的</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分，售后服务承诺全面、响应时间较短的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分，售后服务承诺不全面、响应时间长的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没有不得分</w:t>
            </w:r>
          </w:p>
        </w:tc>
      </w:tr>
      <w:tr w14:paraId="199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866" w:type="dxa"/>
            <w:vMerge w:val="continue"/>
            <w:noWrap w:val="0"/>
            <w:vAlign w:val="top"/>
          </w:tcPr>
          <w:p w14:paraId="7F31A6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highlight w:val="none"/>
              </w:rPr>
            </w:pPr>
          </w:p>
        </w:tc>
        <w:tc>
          <w:tcPr>
            <w:tcW w:w="2053" w:type="dxa"/>
            <w:noWrap w:val="0"/>
            <w:vAlign w:val="center"/>
          </w:tcPr>
          <w:p w14:paraId="70B59EDB">
            <w:pPr>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优惠条件</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5481" w:type="dxa"/>
            <w:noWrap w:val="0"/>
            <w:vAlign w:val="center"/>
          </w:tcPr>
          <w:p w14:paraId="48CCFCDD">
            <w:pPr>
              <w:spacing w:line="420" w:lineRule="exact"/>
              <w:ind w:right="61" w:rightChars="2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根据供应商提供的其他服务及优惠条件综合评价</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rPr>
              <w:t>方案完整、详实、可行性强的得</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方案完整、具有可行性的得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方案不完整、可行性不强的得1分。</w:t>
            </w:r>
            <w:r>
              <w:rPr>
                <w:rFonts w:hint="eastAsia" w:ascii="宋体" w:hAnsi="宋体" w:eastAsia="宋体" w:cs="宋体"/>
                <w:sz w:val="24"/>
                <w:szCs w:val="24"/>
                <w:highlight w:val="none"/>
              </w:rPr>
              <w:t>未提供不得分。</w:t>
            </w:r>
          </w:p>
        </w:tc>
      </w:tr>
      <w:tr w14:paraId="0AF2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866" w:type="dxa"/>
            <w:vMerge w:val="continue"/>
            <w:noWrap w:val="0"/>
            <w:vAlign w:val="top"/>
          </w:tcPr>
          <w:p w14:paraId="41E54E7A">
            <w:pPr>
              <w:pStyle w:val="46"/>
              <w:rPr>
                <w:rFonts w:hint="eastAsia"/>
              </w:rPr>
            </w:pPr>
          </w:p>
        </w:tc>
        <w:tc>
          <w:tcPr>
            <w:tcW w:w="2053" w:type="dxa"/>
            <w:noWrap w:val="0"/>
            <w:vAlign w:val="center"/>
          </w:tcPr>
          <w:p w14:paraId="1FBC9FFF">
            <w:pPr>
              <w:spacing w:line="360" w:lineRule="auto"/>
              <w:jc w:val="center"/>
              <w:rPr>
                <w:rFonts w:hint="eastAsia" w:ascii="宋体" w:hAnsi="宋体" w:eastAsia="宋体" w:cs="宋体"/>
                <w:sz w:val="24"/>
                <w:szCs w:val="24"/>
                <w:highlight w:val="none"/>
              </w:rPr>
            </w:pPr>
            <w:r>
              <w:rPr>
                <w:rFonts w:hint="eastAsia" w:ascii="宋体" w:hAnsi="宋体" w:cs="宋体"/>
                <w:color w:val="auto"/>
                <w:sz w:val="24"/>
                <w:szCs w:val="24"/>
                <w:highlight w:val="none"/>
              </w:rPr>
              <w:t xml:space="preserve"> 配送服务能力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tc>
        <w:tc>
          <w:tcPr>
            <w:tcW w:w="5481" w:type="dxa"/>
            <w:noWrap w:val="0"/>
            <w:vAlign w:val="center"/>
          </w:tcPr>
          <w:p w14:paraId="255BE1F5">
            <w:pPr>
              <w:spacing w:line="360" w:lineRule="auto"/>
              <w:rPr>
                <w:rFonts w:hint="eastAsia" w:ascii="宋体" w:hAnsi="宋体" w:eastAsia="宋体" w:cs="宋体"/>
                <w:sz w:val="24"/>
                <w:szCs w:val="24"/>
                <w:highlight w:val="none"/>
              </w:rPr>
            </w:pPr>
            <w:r>
              <w:rPr>
                <w:rFonts w:hint="eastAsia" w:ascii="宋体" w:hAnsi="宋体" w:cs="宋体"/>
                <w:color w:val="000000"/>
                <w:sz w:val="24"/>
                <w:szCs w:val="24"/>
                <w:highlight w:val="none"/>
              </w:rPr>
              <w:t>根据投标企业的整体实力水平情况（信誉、配送服务能力及其他证明企业自身实力的证明材料）将各有效投标人综合横向对比在1-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分范围内打分</w:t>
            </w:r>
          </w:p>
        </w:tc>
      </w:tr>
    </w:tbl>
    <w:p w14:paraId="78F80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注：评分办法中要求材料均以原件扫描件为准，保证清晰可见。</w:t>
      </w:r>
    </w:p>
    <w:p w14:paraId="447DC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1"/>
        <w:rPr>
          <w:rFonts w:hint="eastAsia" w:ascii="宋体" w:hAnsi="宋体" w:eastAsia="宋体" w:cs="宋体"/>
          <w:sz w:val="24"/>
          <w:szCs w:val="24"/>
          <w:highlight w:val="none"/>
        </w:rPr>
      </w:pPr>
      <w:bookmarkStart w:id="63" w:name="_Toc13272"/>
      <w:r>
        <w:rPr>
          <w:rFonts w:hint="eastAsia" w:ascii="宋体" w:hAnsi="宋体" w:eastAsia="宋体" w:cs="宋体"/>
          <w:sz w:val="24"/>
          <w:szCs w:val="24"/>
          <w:highlight w:val="none"/>
        </w:rPr>
        <w:t>（1）本次评标采用综合评分法。</w:t>
      </w:r>
      <w:bookmarkEnd w:id="63"/>
    </w:p>
    <w:p w14:paraId="535992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对满足竞争性磋商文件实质性要求的响应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w:t>
      </w:r>
    </w:p>
    <w:p w14:paraId="55D44A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响应文件满足竞争性磋商文件全部实质性要求，且按照评审因素的量化指标评审得分最高的供应商为排名第一的成交候选人。</w:t>
      </w:r>
    </w:p>
    <w:p w14:paraId="38DB1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 评标程序</w:t>
      </w:r>
    </w:p>
    <w:p w14:paraId="3A0A1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2.1 初步评审</w:t>
      </w:r>
    </w:p>
    <w:p w14:paraId="72C47C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2.1.1采购人根据本章规定得资格评审办法对供应商进行资格审查，通过资格审查得供应商由</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依据本章规定的评审标准对响应文件进行符合性评审、响应性评审。有一项不符合评审标准的，将被否决投标。</w:t>
      </w:r>
    </w:p>
    <w:p w14:paraId="2DB6F6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4"/>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有以下情形之一的，其投标将予以否决投标：</w:t>
      </w:r>
    </w:p>
    <w:p w14:paraId="589CE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611E06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（2）不按</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要求澄清、说明或补正的。</w:t>
      </w:r>
    </w:p>
    <w:p w14:paraId="675DDE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2.1.3投标报价有算术错误的，</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按以下原则对投标报价进行修正，修正的价格经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不接受修正价格的，其投标不予评审。</w:t>
      </w:r>
    </w:p>
    <w:p w14:paraId="7E73D4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响应文件中的大写金额与小写金额不一致的，以大写金额为准；</w:t>
      </w:r>
    </w:p>
    <w:p w14:paraId="760A5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总价金额与依据单价计算出的结果不一致的，以单价金额为准修正总价，但单价金额小数点有明显错误的除外。</w:t>
      </w:r>
    </w:p>
    <w:p w14:paraId="791053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2.2 详细评审</w:t>
      </w:r>
    </w:p>
    <w:p w14:paraId="189759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按本章第2.2款规定的量化因素和分值进行打分，并计算出综合评分。</w:t>
      </w:r>
    </w:p>
    <w:p w14:paraId="13517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 评分分值计算保留小数点后两位，小数点后第三位“四舍五入”。</w:t>
      </w:r>
    </w:p>
    <w:p w14:paraId="0AF65F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的报价明显低于其他投标报价，或者在设有最高限价时明显低于最高限价，使得其投标报价可能低于其个别成本的，应当要求该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作出书面说明并提供相应的证明材料。</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不能合理说明或者不能提供相应证明材料的，由</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认定该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以低于成本报价竞标，其投标将予以否决处理。</w:t>
      </w:r>
    </w:p>
    <w:p w14:paraId="5B8E0C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2.3 响应文件的澄清和补正</w:t>
      </w:r>
    </w:p>
    <w:p w14:paraId="223E01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2.3.1在评标过程中，</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可以书面形式要求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对所提交响应文件中不明确的内容进行书面澄清或说明，或者对细微偏差进行补正。</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不接受</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主动提出的澄清、说明或补正。</w:t>
      </w:r>
    </w:p>
    <w:p w14:paraId="4DE547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 澄清、说明和补正不得改变响应文件的实质性内容（算术性错误修正的除外）。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的书面澄清、说明和补正属于响应文件的组成部分。</w:t>
      </w:r>
    </w:p>
    <w:p w14:paraId="0CCA3D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2.3.3 </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进一步澄清、说明或补正，直至满足</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的要求。</w:t>
      </w:r>
    </w:p>
    <w:p w14:paraId="23688D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outlineLvl w:val="3"/>
        <w:rPr>
          <w:rFonts w:hint="eastAsia" w:ascii="宋体" w:hAnsi="宋体" w:eastAsia="宋体" w:cs="宋体"/>
          <w:sz w:val="24"/>
          <w:szCs w:val="24"/>
          <w:highlight w:val="none"/>
        </w:rPr>
      </w:pPr>
      <w:r>
        <w:rPr>
          <w:rFonts w:hint="eastAsia" w:ascii="宋体" w:hAnsi="宋体" w:eastAsia="宋体" w:cs="宋体"/>
          <w:sz w:val="24"/>
          <w:szCs w:val="24"/>
          <w:highlight w:val="none"/>
        </w:rPr>
        <w:t>2.4评标结果</w:t>
      </w:r>
    </w:p>
    <w:p w14:paraId="016257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 除第二章“供应商须知”前附表授权直接确定中标人外，</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按照得分由高到低的顺序推荐中标候选人。</w:t>
      </w:r>
    </w:p>
    <w:p w14:paraId="154740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3.4.2 采购代理机构应当在评标结束后2个工作日内将评标报告送采购人；</w:t>
      </w:r>
    </w:p>
    <w:p w14:paraId="60A4C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3.4.3 采购人应当自收到评标报告之日起5个工作日内，在评标报告确定的</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候选人名单中按顺序确定</w:t>
      </w:r>
      <w:r>
        <w:rPr>
          <w:rFonts w:hint="eastAsia" w:ascii="宋体" w:hAnsi="宋体" w:cs="宋体"/>
          <w:sz w:val="24"/>
          <w:szCs w:val="24"/>
          <w:highlight w:val="none"/>
          <w:lang w:val="en-US" w:eastAsia="zh-CN"/>
        </w:rPr>
        <w:t>第一和第二为</w:t>
      </w:r>
      <w:r>
        <w:rPr>
          <w:rFonts w:hint="eastAsia" w:ascii="宋体" w:hAnsi="宋体" w:eastAsia="宋体" w:cs="宋体"/>
          <w:sz w:val="24"/>
          <w:szCs w:val="24"/>
          <w:highlight w:val="none"/>
        </w:rPr>
        <w:t>中标人。中标候选人并列的，由采购人或者采购人委托</w:t>
      </w:r>
      <w:r>
        <w:rPr>
          <w:rFonts w:hint="eastAsia" w:ascii="宋体" w:hAnsi="宋体" w:cs="宋体"/>
          <w:sz w:val="24"/>
          <w:szCs w:val="24"/>
          <w:highlight w:val="none"/>
          <w:lang w:eastAsia="zh-CN"/>
        </w:rPr>
        <w:t>磋商小组</w:t>
      </w:r>
      <w:r>
        <w:rPr>
          <w:rFonts w:hint="eastAsia" w:ascii="宋体" w:hAnsi="宋体" w:eastAsia="宋体" w:cs="宋体"/>
          <w:sz w:val="24"/>
          <w:szCs w:val="24"/>
          <w:highlight w:val="none"/>
        </w:rPr>
        <w:t>按照竞争性磋商文件规定的方式确定中标人；竞争性磋商文件未规定的，采取随机抽取的方式确定。</w:t>
      </w:r>
    </w:p>
    <w:p w14:paraId="5244446B">
      <w:pPr>
        <w:numPr>
          <w:ilvl w:val="0"/>
          <w:numId w:val="3"/>
        </w:numPr>
        <w:tabs>
          <w:tab w:val="left" w:pos="1283"/>
        </w:tabs>
        <w:spacing w:before="55"/>
        <w:ind w:left="0" w:right="22" w:firstLine="0"/>
        <w:jc w:val="center"/>
        <w:outlineLvl w:val="0"/>
        <w:rPr>
          <w:rFonts w:hint="eastAsia"/>
          <w:b/>
          <w:sz w:val="32"/>
          <w:highlight w:val="none"/>
        </w:rPr>
      </w:pPr>
      <w:r>
        <w:rPr>
          <w:rFonts w:hint="eastAsia"/>
          <w:b/>
          <w:sz w:val="32"/>
          <w:highlight w:val="none"/>
        </w:rPr>
        <w:br w:type="page"/>
      </w:r>
      <w:bookmarkStart w:id="64" w:name="_Toc22339"/>
      <w:bookmarkStart w:id="65" w:name="_Toc13392"/>
      <w:bookmarkStart w:id="66" w:name="_Toc6840"/>
      <w:r>
        <w:rPr>
          <w:rFonts w:hint="eastAsia"/>
          <w:b/>
          <w:sz w:val="32"/>
          <w:highlight w:val="none"/>
        </w:rPr>
        <w:t>合同主要条款及格式</w:t>
      </w:r>
      <w:bookmarkEnd w:id="64"/>
      <w:bookmarkEnd w:id="65"/>
      <w:bookmarkEnd w:id="66"/>
    </w:p>
    <w:p w14:paraId="4E27DBDD">
      <w:pPr>
        <w:pStyle w:val="37"/>
        <w:numPr>
          <w:ilvl w:val="0"/>
          <w:numId w:val="0"/>
        </w:numPr>
        <w:jc w:val="center"/>
        <w:outlineLvl w:val="1"/>
        <w:rPr>
          <w:rFonts w:hint="eastAsia"/>
          <w:b/>
          <w:bCs/>
          <w:sz w:val="32"/>
          <w:szCs w:val="32"/>
          <w:highlight w:val="none"/>
          <w:lang w:eastAsia="zh-CN"/>
        </w:rPr>
      </w:pPr>
      <w:bookmarkStart w:id="67" w:name="_Toc13853"/>
      <w:r>
        <w:rPr>
          <w:rFonts w:hint="eastAsia"/>
          <w:b/>
          <w:bCs/>
          <w:sz w:val="32"/>
          <w:szCs w:val="32"/>
          <w:highlight w:val="none"/>
          <w:lang w:eastAsia="zh-CN"/>
        </w:rPr>
        <w:t>（</w:t>
      </w:r>
      <w:r>
        <w:rPr>
          <w:rFonts w:hint="eastAsia" w:ascii="宋体" w:hAnsi="宋体" w:eastAsia="宋体" w:cs="宋体"/>
          <w:b/>
          <w:bCs/>
          <w:color w:val="000000"/>
          <w:sz w:val="32"/>
          <w:szCs w:val="32"/>
          <w:highlight w:val="none"/>
        </w:rPr>
        <w:t>本合同格式仅供参考，以双方实际签订为准</w:t>
      </w:r>
      <w:r>
        <w:rPr>
          <w:rFonts w:hint="eastAsia"/>
          <w:b/>
          <w:bCs/>
          <w:sz w:val="32"/>
          <w:szCs w:val="32"/>
          <w:highlight w:val="none"/>
          <w:lang w:eastAsia="zh-CN"/>
        </w:rPr>
        <w:t>）</w:t>
      </w:r>
      <w:bookmarkEnd w:id="67"/>
    </w:p>
    <w:p w14:paraId="7C54017D">
      <w:pPr>
        <w:pStyle w:val="37"/>
        <w:numPr>
          <w:ilvl w:val="0"/>
          <w:numId w:val="0"/>
        </w:numPr>
        <w:jc w:val="center"/>
        <w:rPr>
          <w:rFonts w:hint="eastAsia"/>
          <w:b/>
          <w:bCs/>
          <w:sz w:val="32"/>
          <w:szCs w:val="32"/>
          <w:highlight w:val="none"/>
          <w:lang w:eastAsia="zh-CN"/>
        </w:rPr>
      </w:pPr>
    </w:p>
    <w:p w14:paraId="58E753C5">
      <w:pPr>
        <w:pStyle w:val="37"/>
        <w:numPr>
          <w:ilvl w:val="0"/>
          <w:numId w:val="0"/>
        </w:numPr>
        <w:jc w:val="center"/>
        <w:rPr>
          <w:rFonts w:hint="eastAsia"/>
          <w:b/>
          <w:bCs/>
          <w:sz w:val="32"/>
          <w:szCs w:val="32"/>
          <w:highlight w:val="none"/>
          <w:lang w:eastAsia="zh-CN"/>
        </w:rPr>
      </w:pPr>
    </w:p>
    <w:p w14:paraId="68DC8015">
      <w:pPr>
        <w:pStyle w:val="37"/>
        <w:numPr>
          <w:ilvl w:val="0"/>
          <w:numId w:val="0"/>
        </w:numPr>
        <w:jc w:val="both"/>
        <w:rPr>
          <w:rFonts w:hint="eastAsia"/>
        </w:rPr>
      </w:pPr>
      <w:r>
        <w:rPr>
          <w:rFonts w:hint="eastAsia"/>
        </w:rPr>
        <w:t>甲  方：</w:t>
      </w:r>
    </w:p>
    <w:p w14:paraId="78047436">
      <w:pPr>
        <w:pStyle w:val="18"/>
        <w:wordWrap w:val="0"/>
        <w:spacing w:before="0" w:beforeAutospacing="0" w:after="0" w:afterAutospacing="0" w:line="460" w:lineRule="exact"/>
        <w:rPr>
          <w:rFonts w:hint="eastAsia"/>
        </w:rPr>
      </w:pPr>
      <w:r>
        <w:rPr>
          <w:rFonts w:hint="eastAsia"/>
        </w:rPr>
        <w:t xml:space="preserve">乙  方： </w:t>
      </w:r>
    </w:p>
    <w:p w14:paraId="2D66AA7B">
      <w:pPr>
        <w:pStyle w:val="18"/>
        <w:wordWrap w:val="0"/>
        <w:spacing w:before="0" w:beforeAutospacing="0" w:after="0" w:afterAutospacing="0" w:line="460" w:lineRule="exact"/>
        <w:ind w:firstLine="480" w:firstLineChars="200"/>
        <w:rPr>
          <w:rFonts w:hint="eastAsia"/>
        </w:rPr>
      </w:pPr>
      <w:r>
        <w:rPr>
          <w:rFonts w:hint="eastAsia"/>
        </w:rPr>
        <w:t xml:space="preserve">甲方名称根据的批复，组织对***项目进行竞争性磋商，招标编号（），于年月日通过竞争性磋商，确定乙方为***项目中标人。为了保护供需各方合法权益,根据《中华人民共和国政府采购法》、《中华人民共和国合同法》等相关法律、法规的规定，并严格遵循政府采购项目采购文件的相关规定，经甲乙双方协商一致，订立本合同。 </w:t>
      </w:r>
    </w:p>
    <w:p w14:paraId="1C8440DB">
      <w:pPr>
        <w:pStyle w:val="18"/>
        <w:wordWrap w:val="0"/>
        <w:spacing w:before="0" w:beforeAutospacing="0" w:after="0" w:afterAutospacing="0" w:line="460" w:lineRule="exact"/>
        <w:ind w:firstLine="480" w:firstLineChars="200"/>
        <w:outlineLvl w:val="1"/>
        <w:rPr>
          <w:rFonts w:hint="eastAsia"/>
        </w:rPr>
      </w:pPr>
      <w:bookmarkStart w:id="68" w:name="_Toc17156"/>
      <w:r>
        <w:rPr>
          <w:rFonts w:hint="eastAsia"/>
        </w:rPr>
        <w:t>一、项目概况、合同金额（详见报价表，附后）</w:t>
      </w:r>
      <w:bookmarkEnd w:id="68"/>
    </w:p>
    <w:p w14:paraId="2773AEF0">
      <w:pPr>
        <w:pStyle w:val="18"/>
        <w:wordWrap w:val="0"/>
        <w:spacing w:before="0" w:beforeAutospacing="0" w:after="0" w:afterAutospacing="0" w:line="460" w:lineRule="exact"/>
        <w:ind w:firstLine="480" w:firstLineChars="200"/>
        <w:rPr>
          <w:rFonts w:hint="eastAsia"/>
        </w:rPr>
      </w:pPr>
      <w:r>
        <w:rPr>
          <w:rFonts w:hint="eastAsia"/>
        </w:rPr>
        <w:t>1.项目编号：。</w:t>
      </w:r>
    </w:p>
    <w:p w14:paraId="17EAA350">
      <w:pPr>
        <w:pStyle w:val="18"/>
        <w:wordWrap w:val="0"/>
        <w:spacing w:before="0" w:beforeAutospacing="0" w:after="0" w:afterAutospacing="0" w:line="460" w:lineRule="exact"/>
        <w:ind w:firstLine="480" w:firstLineChars="200"/>
        <w:rPr>
          <w:rFonts w:hint="eastAsia"/>
        </w:rPr>
      </w:pPr>
      <w:r>
        <w:rPr>
          <w:rFonts w:hint="eastAsia"/>
        </w:rPr>
        <w:t>2.项目名称：。</w:t>
      </w:r>
    </w:p>
    <w:p w14:paraId="0A911166">
      <w:pPr>
        <w:pStyle w:val="18"/>
        <w:wordWrap w:val="0"/>
        <w:spacing w:before="0" w:beforeAutospacing="0" w:after="0" w:afterAutospacing="0" w:line="460" w:lineRule="exact"/>
        <w:ind w:firstLine="480" w:firstLineChars="200"/>
        <w:rPr>
          <w:rFonts w:hint="eastAsia"/>
        </w:rPr>
      </w:pPr>
      <w:r>
        <w:rPr>
          <w:rFonts w:hint="eastAsia"/>
        </w:rPr>
        <w:t>3.具体内容：（详见乙方报价表）</w:t>
      </w:r>
    </w:p>
    <w:p w14:paraId="753E669F">
      <w:pPr>
        <w:pStyle w:val="18"/>
        <w:wordWrap w:val="0"/>
        <w:spacing w:before="0" w:beforeAutospacing="0" w:after="0" w:afterAutospacing="0" w:line="460" w:lineRule="exact"/>
        <w:ind w:firstLine="480" w:firstLineChars="200"/>
        <w:rPr>
          <w:rFonts w:hint="eastAsia"/>
        </w:rPr>
      </w:pPr>
      <w:r>
        <w:rPr>
          <w:rFonts w:hint="eastAsia"/>
        </w:rPr>
        <w:t>4.合同金额：人民币元（大写：），以上价格以人民币结算。</w:t>
      </w:r>
    </w:p>
    <w:p w14:paraId="352497AF">
      <w:pPr>
        <w:pStyle w:val="18"/>
        <w:wordWrap w:val="0"/>
        <w:spacing w:before="0" w:beforeAutospacing="0" w:after="0" w:afterAutospacing="0" w:line="460" w:lineRule="exact"/>
        <w:ind w:firstLine="480" w:firstLineChars="200"/>
        <w:rPr>
          <w:rFonts w:hint="eastAsia"/>
        </w:rPr>
      </w:pPr>
      <w:r>
        <w:rPr>
          <w:rFonts w:hint="eastAsia"/>
        </w:rPr>
        <w:t>二、付款方式</w:t>
      </w:r>
    </w:p>
    <w:p w14:paraId="63E0996E">
      <w:pPr>
        <w:pStyle w:val="18"/>
        <w:wordWrap w:val="0"/>
        <w:spacing w:before="0" w:beforeAutospacing="0" w:after="0" w:afterAutospacing="0" w:line="460" w:lineRule="exact"/>
        <w:ind w:firstLine="480" w:firstLineChars="200"/>
        <w:rPr>
          <w:rFonts w:hint="eastAsia"/>
        </w:rPr>
      </w:pPr>
      <w:r>
        <w:rPr>
          <w:rFonts w:hint="eastAsia"/>
        </w:rPr>
        <w:t>三、交货时间、交货地点</w:t>
      </w:r>
    </w:p>
    <w:p w14:paraId="07696063">
      <w:pPr>
        <w:pStyle w:val="18"/>
        <w:wordWrap w:val="0"/>
        <w:spacing w:before="0" w:beforeAutospacing="0" w:after="0" w:afterAutospacing="0" w:line="460" w:lineRule="exact"/>
        <w:ind w:firstLine="480" w:firstLineChars="200"/>
        <w:rPr>
          <w:rFonts w:hint="eastAsia"/>
        </w:rPr>
      </w:pPr>
      <w:r>
        <w:rPr>
          <w:rFonts w:hint="eastAsia"/>
        </w:rPr>
        <w:t>1.交货时间：     年   月   日。</w:t>
      </w:r>
    </w:p>
    <w:p w14:paraId="39B7979F">
      <w:pPr>
        <w:pStyle w:val="18"/>
        <w:wordWrap w:val="0"/>
        <w:spacing w:before="0" w:beforeAutospacing="0" w:after="0" w:afterAutospacing="0" w:line="460" w:lineRule="exact"/>
        <w:ind w:firstLine="480" w:firstLineChars="200"/>
        <w:rPr>
          <w:rFonts w:hint="eastAsia"/>
        </w:rPr>
      </w:pPr>
      <w:r>
        <w:rPr>
          <w:rFonts w:hint="eastAsia"/>
        </w:rPr>
        <w:t>2.交货地点：采购人指定地点</w:t>
      </w:r>
    </w:p>
    <w:p w14:paraId="55E0457F">
      <w:pPr>
        <w:pStyle w:val="18"/>
        <w:wordWrap w:val="0"/>
        <w:spacing w:before="0" w:beforeAutospacing="0" w:after="0" w:afterAutospacing="0" w:line="460" w:lineRule="exact"/>
        <w:ind w:firstLine="480" w:firstLineChars="200"/>
        <w:outlineLvl w:val="1"/>
        <w:rPr>
          <w:rFonts w:hint="eastAsia"/>
        </w:rPr>
      </w:pPr>
      <w:bookmarkStart w:id="69" w:name="_Toc20887"/>
      <w:r>
        <w:rPr>
          <w:rFonts w:hint="eastAsia"/>
        </w:rPr>
        <w:t>四、履约验收</w:t>
      </w:r>
      <w:bookmarkEnd w:id="69"/>
    </w:p>
    <w:p w14:paraId="2C25CEAA">
      <w:pPr>
        <w:pStyle w:val="18"/>
        <w:wordWrap w:val="0"/>
        <w:spacing w:before="0" w:beforeAutospacing="0" w:after="0" w:afterAutospacing="0" w:line="460" w:lineRule="exact"/>
        <w:ind w:firstLine="480" w:firstLineChars="200"/>
        <w:rPr>
          <w:rFonts w:hint="eastAsia"/>
        </w:rPr>
      </w:pPr>
      <w:r>
        <w:rPr>
          <w:rFonts w:hint="eastAsia"/>
        </w:rPr>
        <w:t>1.乙方提供的产品为原装正品，各项指标符合出产国检测标准和出厂标准，各项技术参数符合竞争性磋商文件要求和乙方响应文件承诺。</w:t>
      </w:r>
    </w:p>
    <w:p w14:paraId="1E806FE9">
      <w:pPr>
        <w:pStyle w:val="18"/>
        <w:wordWrap w:val="0"/>
        <w:spacing w:before="0" w:beforeAutospacing="0" w:after="0" w:afterAutospacing="0" w:line="460" w:lineRule="exact"/>
        <w:ind w:firstLine="480" w:firstLineChars="200"/>
        <w:rPr>
          <w:rFonts w:hint="eastAsia"/>
        </w:rPr>
      </w:pPr>
      <w:r>
        <w:rPr>
          <w:rFonts w:hint="eastAsia"/>
        </w:rPr>
        <w:t>2.乙方所交产品不符合规定或质量不合格的，由乙方负责包换，并承担换货而支付的一切费用。乙方不能调换的，按不能交货处理。</w:t>
      </w:r>
    </w:p>
    <w:p w14:paraId="655C04BE">
      <w:pPr>
        <w:pStyle w:val="18"/>
        <w:wordWrap w:val="0"/>
        <w:spacing w:before="0" w:beforeAutospacing="0" w:after="0" w:afterAutospacing="0" w:line="460" w:lineRule="exact"/>
        <w:ind w:firstLine="480" w:firstLineChars="200"/>
        <w:rPr>
          <w:rFonts w:hint="eastAsia"/>
        </w:rPr>
      </w:pPr>
      <w:r>
        <w:rPr>
          <w:rFonts w:hint="eastAsia"/>
        </w:rPr>
        <w:t>3.乙方应保证所提供的设备不侵犯第三方的专利权、商标权、著作权或其他知识产权。若乙方的行为侵犯了第三方的前述权利，并造成了第三方追究甲方的责任，甲方为此所受到的损失，应由乙方承担。</w:t>
      </w:r>
    </w:p>
    <w:p w14:paraId="4AA85525">
      <w:pPr>
        <w:pStyle w:val="18"/>
        <w:wordWrap w:val="0"/>
        <w:spacing w:before="0" w:beforeAutospacing="0" w:after="0" w:afterAutospacing="0" w:line="460" w:lineRule="exact"/>
        <w:ind w:firstLine="480" w:firstLineChars="200"/>
        <w:rPr>
          <w:rFonts w:hint="eastAsia"/>
        </w:rPr>
      </w:pPr>
      <w:r>
        <w:rPr>
          <w:rFonts w:hint="eastAsia"/>
        </w:rPr>
        <w:t>4.甲方按国家相关标准和本竞争性磋商文件的相关要求自行组织有关专业人员验收。</w:t>
      </w:r>
    </w:p>
    <w:p w14:paraId="5A77EE97">
      <w:pPr>
        <w:pStyle w:val="18"/>
        <w:wordWrap w:val="0"/>
        <w:spacing w:before="0" w:beforeAutospacing="0" w:after="0" w:afterAutospacing="0" w:line="460" w:lineRule="exact"/>
        <w:ind w:firstLine="480" w:firstLineChars="200"/>
        <w:outlineLvl w:val="2"/>
        <w:rPr>
          <w:rFonts w:hint="eastAsia"/>
        </w:rPr>
      </w:pPr>
      <w:r>
        <w:rPr>
          <w:rFonts w:hint="eastAsia"/>
        </w:rPr>
        <w:t>5.验收内容：所采购的数量、参数标准、规格和质量。</w:t>
      </w:r>
    </w:p>
    <w:p w14:paraId="2DBBB178">
      <w:pPr>
        <w:pStyle w:val="18"/>
        <w:wordWrap w:val="0"/>
        <w:spacing w:before="0" w:beforeAutospacing="0" w:after="0" w:afterAutospacing="0" w:line="460" w:lineRule="exact"/>
        <w:ind w:firstLine="480" w:firstLineChars="200"/>
        <w:outlineLvl w:val="1"/>
        <w:rPr>
          <w:rFonts w:hint="eastAsia"/>
        </w:rPr>
      </w:pPr>
      <w:bookmarkStart w:id="70" w:name="_Toc374"/>
      <w:r>
        <w:rPr>
          <w:rFonts w:hint="eastAsia"/>
        </w:rPr>
        <w:t>五、保修条款、售后服务</w:t>
      </w:r>
      <w:bookmarkEnd w:id="70"/>
    </w:p>
    <w:p w14:paraId="019620DA">
      <w:pPr>
        <w:pStyle w:val="18"/>
        <w:wordWrap w:val="0"/>
        <w:spacing w:before="0" w:beforeAutospacing="0" w:after="0" w:afterAutospacing="0" w:line="460" w:lineRule="exact"/>
        <w:ind w:firstLine="480" w:firstLineChars="200"/>
        <w:rPr>
          <w:rFonts w:hint="eastAsia"/>
        </w:rPr>
      </w:pPr>
      <w:r>
        <w:rPr>
          <w:rFonts w:hint="eastAsia"/>
        </w:rPr>
        <w:t>严格遵守售后服务承诺，质保期为年（若乙方响应文件中承诺的质保期超过年的，以乙方响应文件中承诺的质保期为准）。凡在质保期内，产品出现质量问题，须免费维修，并对产品质量实行“国家规定的三包”服务。</w:t>
      </w:r>
    </w:p>
    <w:p w14:paraId="0BB6454A">
      <w:pPr>
        <w:pStyle w:val="18"/>
        <w:wordWrap w:val="0"/>
        <w:spacing w:before="0" w:beforeAutospacing="0" w:after="0" w:afterAutospacing="0" w:line="460" w:lineRule="exact"/>
        <w:ind w:firstLine="480" w:firstLineChars="200"/>
        <w:outlineLvl w:val="1"/>
        <w:rPr>
          <w:rFonts w:hint="eastAsia"/>
        </w:rPr>
      </w:pPr>
      <w:bookmarkStart w:id="71" w:name="_Toc11457"/>
      <w:r>
        <w:rPr>
          <w:rFonts w:hint="eastAsia"/>
        </w:rPr>
        <w:t>六、相关权利及义务</w:t>
      </w:r>
      <w:bookmarkEnd w:id="71"/>
    </w:p>
    <w:p w14:paraId="06C4FF8C">
      <w:pPr>
        <w:pStyle w:val="18"/>
        <w:wordWrap w:val="0"/>
        <w:spacing w:before="0" w:beforeAutospacing="0" w:after="0" w:afterAutospacing="0" w:line="460" w:lineRule="exact"/>
        <w:ind w:firstLine="480" w:firstLineChars="200"/>
        <w:rPr>
          <w:rFonts w:hint="eastAsia"/>
        </w:rPr>
      </w:pPr>
      <w:r>
        <w:rPr>
          <w:rFonts w:hint="eastAsia"/>
        </w:rPr>
        <w:t>1.甲方在验收时对不符合竞争性磋商文件要求的产品有权拒绝接收和追究违约责任。</w:t>
      </w:r>
    </w:p>
    <w:p w14:paraId="698A4CBD">
      <w:pPr>
        <w:pStyle w:val="18"/>
        <w:wordWrap w:val="0"/>
        <w:spacing w:before="0" w:beforeAutospacing="0" w:after="0" w:afterAutospacing="0" w:line="460" w:lineRule="exact"/>
        <w:ind w:firstLine="480" w:firstLineChars="200"/>
        <w:rPr>
          <w:rFonts w:hint="eastAsia"/>
        </w:rPr>
      </w:pPr>
      <w:r>
        <w:rPr>
          <w:rFonts w:hint="eastAsia"/>
        </w:rPr>
        <w:t>2.甲方有权监督乙方的售后服务，并对乙方的售后服务不符合响应文件承诺内容时加以指出乃至追究合同责任。</w:t>
      </w:r>
    </w:p>
    <w:p w14:paraId="16364FB2">
      <w:pPr>
        <w:pStyle w:val="18"/>
        <w:wordWrap w:val="0"/>
        <w:spacing w:before="0" w:beforeAutospacing="0" w:after="0" w:afterAutospacing="0" w:line="460" w:lineRule="exact"/>
        <w:ind w:firstLine="480" w:firstLineChars="200"/>
        <w:rPr>
          <w:rFonts w:hint="eastAsia"/>
        </w:rPr>
      </w:pPr>
      <w:r>
        <w:rPr>
          <w:rFonts w:hint="eastAsia"/>
        </w:rPr>
        <w:t>3.甲方在合同规定期限内协助履行付款责任。</w:t>
      </w:r>
    </w:p>
    <w:p w14:paraId="763AF928">
      <w:pPr>
        <w:pStyle w:val="18"/>
        <w:wordWrap w:val="0"/>
        <w:spacing w:before="0" w:beforeAutospacing="0" w:after="0" w:afterAutospacing="0" w:line="460" w:lineRule="exact"/>
        <w:ind w:firstLine="480" w:firstLineChars="200"/>
        <w:rPr>
          <w:rFonts w:hint="eastAsia"/>
        </w:rPr>
      </w:pPr>
      <w:r>
        <w:rPr>
          <w:rFonts w:hint="eastAsia"/>
        </w:rPr>
        <w:t>4.甲方对乙方的技术及商业机密予以保密。</w:t>
      </w:r>
    </w:p>
    <w:p w14:paraId="06E9F4CD">
      <w:pPr>
        <w:pStyle w:val="18"/>
        <w:wordWrap w:val="0"/>
        <w:spacing w:before="0" w:beforeAutospacing="0" w:after="0" w:afterAutospacing="0" w:line="460" w:lineRule="exact"/>
        <w:ind w:firstLine="480" w:firstLineChars="200"/>
        <w:rPr>
          <w:rFonts w:hint="eastAsia"/>
        </w:rPr>
      </w:pPr>
      <w:r>
        <w:rPr>
          <w:rFonts w:hint="eastAsia"/>
        </w:rPr>
        <w:t>5.乙方有权按照合同要求及时支付相应合同款项。</w:t>
      </w:r>
    </w:p>
    <w:p w14:paraId="68784A3C">
      <w:pPr>
        <w:pStyle w:val="18"/>
        <w:wordWrap w:val="0"/>
        <w:spacing w:before="0" w:beforeAutospacing="0" w:after="0" w:afterAutospacing="0" w:line="460" w:lineRule="exact"/>
        <w:ind w:firstLine="480" w:firstLineChars="200"/>
        <w:rPr>
          <w:rFonts w:hint="eastAsia"/>
        </w:rPr>
      </w:pPr>
      <w:r>
        <w:rPr>
          <w:rFonts w:hint="eastAsia"/>
        </w:rPr>
        <w:t>6.乙方有义务按响应文件中的售后服务承诺提供良好的服务。</w:t>
      </w:r>
    </w:p>
    <w:p w14:paraId="3C94ACF1">
      <w:pPr>
        <w:pStyle w:val="18"/>
        <w:wordWrap w:val="0"/>
        <w:spacing w:before="0" w:beforeAutospacing="0" w:after="0" w:afterAutospacing="0" w:line="460" w:lineRule="exact"/>
        <w:ind w:firstLine="480" w:firstLineChars="200"/>
        <w:outlineLvl w:val="1"/>
        <w:rPr>
          <w:rFonts w:hint="eastAsia"/>
        </w:rPr>
      </w:pPr>
      <w:bookmarkStart w:id="72" w:name="_Toc20757"/>
      <w:r>
        <w:rPr>
          <w:rFonts w:hint="eastAsia"/>
        </w:rPr>
        <w:t>七、违约责任</w:t>
      </w:r>
      <w:bookmarkEnd w:id="72"/>
    </w:p>
    <w:p w14:paraId="672D7723">
      <w:pPr>
        <w:pStyle w:val="18"/>
        <w:wordWrap w:val="0"/>
        <w:spacing w:before="0" w:beforeAutospacing="0" w:after="0" w:afterAutospacing="0" w:line="460" w:lineRule="exact"/>
        <w:ind w:firstLine="480" w:firstLineChars="200"/>
        <w:rPr>
          <w:rFonts w:hint="eastAsia"/>
        </w:rPr>
      </w:pPr>
      <w:r>
        <w:rPr>
          <w:rFonts w:hint="eastAsia"/>
        </w:rPr>
        <w:t>甲乙双方均应遵守本合同，如有违约，将赔偿因违约给对方造成的经济损失，并向对方支付本合同总额5%的违约金。若因乙方原因在合同规定期限内无法交货，甲方有权终止合同。甲方将视情况在延迟交货期内每天按合同总额3‰的标准收取违约金，并提请政府采购监管部门将其列入不良行为记录。因不可抗力所导致的交货及付款延迟等按照《中华人民共和国合同法》有关条文及本合同第八条处理。</w:t>
      </w:r>
    </w:p>
    <w:p w14:paraId="3C04027D">
      <w:pPr>
        <w:pStyle w:val="18"/>
        <w:wordWrap w:val="0"/>
        <w:spacing w:before="0" w:beforeAutospacing="0" w:after="0" w:afterAutospacing="0" w:line="460" w:lineRule="exact"/>
        <w:ind w:firstLine="480" w:firstLineChars="200"/>
        <w:outlineLvl w:val="1"/>
        <w:rPr>
          <w:rFonts w:hint="eastAsia"/>
        </w:rPr>
      </w:pPr>
      <w:bookmarkStart w:id="73" w:name="_Toc11435"/>
      <w:r>
        <w:rPr>
          <w:rFonts w:hint="eastAsia"/>
        </w:rPr>
        <w:t>八、不可抗力</w:t>
      </w:r>
      <w:bookmarkEnd w:id="73"/>
    </w:p>
    <w:p w14:paraId="23247831">
      <w:pPr>
        <w:pStyle w:val="18"/>
        <w:wordWrap w:val="0"/>
        <w:spacing w:before="0" w:beforeAutospacing="0" w:after="0" w:afterAutospacing="0" w:line="460" w:lineRule="exact"/>
        <w:ind w:firstLine="480" w:firstLineChars="200"/>
        <w:rPr>
          <w:rFonts w:hint="eastAsia"/>
        </w:rPr>
      </w:pPr>
      <w:r>
        <w:rPr>
          <w:rFonts w:hint="eastAsia"/>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6E7964A4">
      <w:pPr>
        <w:pStyle w:val="18"/>
        <w:wordWrap w:val="0"/>
        <w:spacing w:before="0" w:beforeAutospacing="0" w:after="0" w:afterAutospacing="0" w:line="460" w:lineRule="exact"/>
        <w:ind w:firstLine="480" w:firstLineChars="200"/>
        <w:outlineLvl w:val="1"/>
        <w:rPr>
          <w:rFonts w:hint="eastAsia"/>
        </w:rPr>
      </w:pPr>
      <w:bookmarkStart w:id="74" w:name="_Toc20136"/>
      <w:r>
        <w:rPr>
          <w:rFonts w:hint="eastAsia"/>
        </w:rPr>
        <w:t>九、争议</w:t>
      </w:r>
      <w:bookmarkEnd w:id="74"/>
    </w:p>
    <w:p w14:paraId="1C7F0FCE">
      <w:pPr>
        <w:pStyle w:val="18"/>
        <w:wordWrap w:val="0"/>
        <w:spacing w:before="0" w:beforeAutospacing="0" w:after="0" w:afterAutospacing="0" w:line="460" w:lineRule="exact"/>
        <w:ind w:firstLine="480" w:firstLineChars="200"/>
        <w:rPr>
          <w:rFonts w:hint="eastAsia"/>
        </w:rPr>
      </w:pPr>
      <w:r>
        <w:rPr>
          <w:rFonts w:hint="eastAsia"/>
        </w:rPr>
        <w:t>双方本着友好合作的态度，对合同履行过程中发生的违约行为进行及时的协商解决，如不能协商解决可向甲方所在地人民法院提起诉讼。</w:t>
      </w:r>
    </w:p>
    <w:p w14:paraId="6F431D89">
      <w:pPr>
        <w:pStyle w:val="18"/>
        <w:wordWrap w:val="0"/>
        <w:spacing w:before="0" w:beforeAutospacing="0" w:after="0" w:afterAutospacing="0" w:line="460" w:lineRule="exact"/>
        <w:ind w:firstLine="480" w:firstLineChars="200"/>
        <w:outlineLvl w:val="1"/>
        <w:rPr>
          <w:rFonts w:hint="eastAsia"/>
        </w:rPr>
      </w:pPr>
      <w:bookmarkStart w:id="75" w:name="_Toc24360"/>
      <w:r>
        <w:rPr>
          <w:rFonts w:hint="eastAsia"/>
        </w:rPr>
        <w:t>十、其它</w:t>
      </w:r>
      <w:bookmarkEnd w:id="75"/>
    </w:p>
    <w:p w14:paraId="4D7FAD32">
      <w:pPr>
        <w:pStyle w:val="18"/>
        <w:wordWrap w:val="0"/>
        <w:spacing w:before="0" w:beforeAutospacing="0" w:after="0" w:afterAutospacing="0" w:line="460" w:lineRule="exact"/>
        <w:ind w:firstLine="480" w:firstLineChars="200"/>
        <w:rPr>
          <w:rFonts w:hint="eastAsia"/>
        </w:rPr>
      </w:pPr>
      <w:r>
        <w:rPr>
          <w:rFonts w:hint="eastAsia"/>
        </w:rPr>
        <w:t>1.本合同一式陆份，甲方叁份，乙方叁份。</w:t>
      </w:r>
    </w:p>
    <w:p w14:paraId="7D2D205D">
      <w:pPr>
        <w:pStyle w:val="18"/>
        <w:wordWrap w:val="0"/>
        <w:spacing w:before="0" w:beforeAutospacing="0" w:after="0" w:afterAutospacing="0" w:line="460" w:lineRule="exact"/>
        <w:ind w:firstLine="480" w:firstLineChars="200"/>
        <w:rPr>
          <w:rFonts w:hint="eastAsia"/>
        </w:rPr>
      </w:pPr>
      <w:r>
        <w:rPr>
          <w:rFonts w:hint="eastAsia"/>
        </w:rPr>
        <w:t>2.本合同自双方签订之日起生效。</w:t>
      </w:r>
    </w:p>
    <w:p w14:paraId="07AF89FD">
      <w:pPr>
        <w:pStyle w:val="18"/>
        <w:wordWrap w:val="0"/>
        <w:spacing w:before="0" w:beforeAutospacing="0" w:after="0" w:afterAutospacing="0" w:line="460" w:lineRule="exact"/>
        <w:ind w:firstLine="480" w:firstLineChars="200"/>
        <w:rPr>
          <w:rFonts w:hint="eastAsia"/>
        </w:rPr>
      </w:pPr>
      <w:r>
        <w:rPr>
          <w:rFonts w:hint="eastAsia"/>
        </w:rPr>
        <w:t>3.本项目竞争性磋商文件、响应文件等是本合同的附件，与合同具有同等的法律效力。</w:t>
      </w:r>
    </w:p>
    <w:p w14:paraId="7642AFCA">
      <w:pPr>
        <w:pStyle w:val="18"/>
        <w:wordWrap w:val="0"/>
        <w:spacing w:before="0" w:beforeAutospacing="0" w:after="0" w:afterAutospacing="0" w:line="460" w:lineRule="exact"/>
        <w:ind w:firstLine="480" w:firstLineChars="200"/>
        <w:rPr>
          <w:rFonts w:hint="eastAsia"/>
        </w:rPr>
      </w:pPr>
      <w:r>
        <w:rPr>
          <w:rFonts w:hint="eastAsia"/>
        </w:rPr>
        <w:t>4.其它未尽事宜，由甲乙双方友好协商解决，并参照《中华人民共和国合同法》有关条款执行。</w:t>
      </w:r>
    </w:p>
    <w:p w14:paraId="7367C114">
      <w:pPr>
        <w:pStyle w:val="18"/>
        <w:wordWrap w:val="0"/>
        <w:spacing w:before="0" w:beforeAutospacing="0" w:after="0" w:afterAutospacing="0" w:line="460" w:lineRule="exact"/>
        <w:ind w:firstLine="480" w:firstLineChars="200"/>
        <w:rPr>
          <w:rFonts w:hint="eastAsia"/>
        </w:rPr>
      </w:pPr>
      <w:r>
        <w:rPr>
          <w:rFonts w:hint="eastAsia"/>
        </w:rPr>
        <w:t>委托人（盖章）：                     受托人（盖章）：</w:t>
      </w:r>
    </w:p>
    <w:p w14:paraId="4EF2D98F">
      <w:pPr>
        <w:pStyle w:val="18"/>
        <w:wordWrap w:val="0"/>
        <w:spacing w:before="0" w:beforeAutospacing="0" w:after="0" w:afterAutospacing="0" w:line="460" w:lineRule="exact"/>
        <w:ind w:firstLine="480" w:firstLineChars="200"/>
        <w:rPr>
          <w:rFonts w:hint="eastAsia"/>
        </w:rPr>
      </w:pPr>
      <w:r>
        <w:rPr>
          <w:rFonts w:hint="eastAsia"/>
        </w:rPr>
        <w:t>法定代表人（签字或盖章）：           法定代表人（签字或盖章）：</w:t>
      </w:r>
    </w:p>
    <w:p w14:paraId="35C4903A">
      <w:pPr>
        <w:pStyle w:val="18"/>
        <w:wordWrap w:val="0"/>
        <w:spacing w:before="0" w:beforeAutospacing="0" w:after="0" w:afterAutospacing="0" w:line="460" w:lineRule="exact"/>
        <w:ind w:firstLine="480" w:firstLineChars="200"/>
        <w:rPr>
          <w:rFonts w:hint="eastAsia"/>
        </w:rPr>
      </w:pPr>
      <w:r>
        <w:rPr>
          <w:rFonts w:hint="eastAsia"/>
        </w:rPr>
        <w:t>或授权委托人（签字或盖章）：         或授权委托人（签字或盖章）：</w:t>
      </w:r>
    </w:p>
    <w:p w14:paraId="688CED8E">
      <w:pPr>
        <w:pStyle w:val="18"/>
        <w:wordWrap w:val="0"/>
        <w:spacing w:before="0" w:beforeAutospacing="0" w:after="0" w:afterAutospacing="0" w:line="460" w:lineRule="exact"/>
        <w:ind w:firstLine="480" w:firstLineChars="200"/>
        <w:rPr>
          <w:rFonts w:hint="eastAsia"/>
        </w:rPr>
      </w:pPr>
      <w:r>
        <w:rPr>
          <w:rFonts w:hint="eastAsia"/>
        </w:rPr>
        <w:t>单位地址：                          单位地址：</w:t>
      </w:r>
    </w:p>
    <w:p w14:paraId="668568A6">
      <w:pPr>
        <w:pStyle w:val="18"/>
        <w:wordWrap w:val="0"/>
        <w:spacing w:before="0" w:beforeAutospacing="0" w:after="0" w:afterAutospacing="0" w:line="460" w:lineRule="exact"/>
        <w:ind w:firstLine="480" w:firstLineChars="200"/>
        <w:rPr>
          <w:rFonts w:hint="eastAsia"/>
        </w:rPr>
      </w:pPr>
      <w:r>
        <w:rPr>
          <w:rFonts w:hint="eastAsia"/>
        </w:rPr>
        <w:t>邮政编码：                          邮政编码：</w:t>
      </w:r>
    </w:p>
    <w:p w14:paraId="48D9C37D">
      <w:pPr>
        <w:pStyle w:val="18"/>
        <w:wordWrap w:val="0"/>
        <w:spacing w:before="0" w:beforeAutospacing="0" w:after="0" w:afterAutospacing="0" w:line="460" w:lineRule="exact"/>
        <w:ind w:firstLine="480" w:firstLineChars="200"/>
        <w:rPr>
          <w:rFonts w:hint="eastAsia"/>
        </w:rPr>
      </w:pPr>
      <w:r>
        <w:rPr>
          <w:rFonts w:hint="eastAsia"/>
        </w:rPr>
        <w:t>联系电话：                          联系电话：</w:t>
      </w:r>
    </w:p>
    <w:p w14:paraId="6584EAD7">
      <w:pPr>
        <w:pStyle w:val="18"/>
        <w:wordWrap w:val="0"/>
        <w:spacing w:before="0" w:beforeAutospacing="0" w:after="0" w:afterAutospacing="0" w:line="460" w:lineRule="exact"/>
        <w:ind w:firstLine="480" w:firstLineChars="200"/>
        <w:rPr>
          <w:rFonts w:hint="eastAsia"/>
        </w:rPr>
      </w:pPr>
      <w:r>
        <w:rPr>
          <w:rFonts w:hint="eastAsia"/>
        </w:rPr>
        <w:t>传    真：                          传    真：</w:t>
      </w:r>
    </w:p>
    <w:p w14:paraId="4EAF65A2">
      <w:pPr>
        <w:pStyle w:val="18"/>
        <w:wordWrap w:val="0"/>
        <w:spacing w:before="0" w:beforeAutospacing="0" w:after="0" w:afterAutospacing="0" w:line="460" w:lineRule="exact"/>
        <w:ind w:firstLine="480" w:firstLineChars="200"/>
        <w:rPr>
          <w:rFonts w:hint="eastAsia"/>
        </w:rPr>
      </w:pPr>
      <w:r>
        <w:rPr>
          <w:rFonts w:hint="eastAsia"/>
        </w:rPr>
        <w:t>电子信箱：                          电子信箱：</w:t>
      </w:r>
    </w:p>
    <w:p w14:paraId="0FCE9296">
      <w:pPr>
        <w:pStyle w:val="18"/>
        <w:wordWrap w:val="0"/>
        <w:spacing w:before="0" w:beforeAutospacing="0" w:after="0" w:afterAutospacing="0" w:line="460" w:lineRule="exact"/>
        <w:ind w:firstLine="480" w:firstLineChars="200"/>
        <w:rPr>
          <w:rFonts w:hint="eastAsia"/>
        </w:rPr>
      </w:pPr>
      <w:r>
        <w:rPr>
          <w:rFonts w:hint="eastAsia"/>
        </w:rPr>
        <w:t>开户银行：                          开户银行：</w:t>
      </w:r>
    </w:p>
    <w:p w14:paraId="44F68DEE">
      <w:pPr>
        <w:pStyle w:val="18"/>
        <w:wordWrap w:val="0"/>
        <w:spacing w:before="0" w:beforeAutospacing="0" w:after="0" w:afterAutospacing="0" w:line="460" w:lineRule="exact"/>
        <w:ind w:firstLine="480" w:firstLineChars="200"/>
        <w:rPr>
          <w:rFonts w:hint="eastAsia"/>
        </w:rPr>
      </w:pPr>
      <w:r>
        <w:rPr>
          <w:rFonts w:hint="eastAsia"/>
        </w:rPr>
        <w:t>账    号：                          账    号：</w:t>
      </w:r>
    </w:p>
    <w:p w14:paraId="2A7A93D3">
      <w:pPr>
        <w:rPr>
          <w:rFonts w:hint="eastAsia" w:ascii="宋体" w:hAnsi="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br w:type="page"/>
      </w:r>
    </w:p>
    <w:p w14:paraId="2E384E05">
      <w:pPr>
        <w:pStyle w:val="12"/>
        <w:rPr>
          <w:rFonts w:hint="eastAsia"/>
          <w:lang w:val="en-US" w:eastAsia="zh-CN"/>
        </w:rPr>
      </w:pPr>
    </w:p>
    <w:p w14:paraId="5565A6F3">
      <w:pPr>
        <w:pStyle w:val="12"/>
        <w:numPr>
          <w:ilvl w:val="0"/>
          <w:numId w:val="4"/>
        </w:numPr>
        <w:spacing w:before="312" w:beforeLines="100" w:after="312" w:afterLines="100" w:line="360" w:lineRule="auto"/>
        <w:ind w:left="4171" w:leftChars="0" w:firstLine="0" w:firstLineChars="0"/>
        <w:jc w:val="left"/>
        <w:outlineLvl w:val="0"/>
        <w:rPr>
          <w:rFonts w:hint="eastAsia" w:ascii="宋体" w:hAnsi="宋体" w:cs="宋体"/>
          <w:b/>
          <w:bCs/>
          <w:kern w:val="2"/>
          <w:sz w:val="28"/>
          <w:szCs w:val="28"/>
          <w:highlight w:val="none"/>
          <w:lang w:val="en-US" w:eastAsia="zh-CN" w:bidi="ar-SA"/>
        </w:rPr>
      </w:pPr>
      <w:bookmarkStart w:id="76" w:name="_Toc24743"/>
      <w:bookmarkStart w:id="77" w:name="_Toc7808"/>
      <w:bookmarkStart w:id="78" w:name="_Toc19506"/>
      <w:r>
        <w:rPr>
          <w:rFonts w:hint="eastAsia" w:ascii="宋体" w:hAnsi="宋体" w:cs="宋体"/>
          <w:b/>
          <w:bCs/>
          <w:kern w:val="2"/>
          <w:sz w:val="28"/>
          <w:szCs w:val="28"/>
          <w:highlight w:val="none"/>
          <w:lang w:val="en-US" w:eastAsia="zh-CN" w:bidi="ar-SA"/>
        </w:rPr>
        <w:t>服务</w:t>
      </w:r>
      <w:r>
        <w:rPr>
          <w:rFonts w:hint="eastAsia" w:hAnsi="宋体" w:cs="宋体"/>
          <w:b/>
          <w:bCs/>
          <w:kern w:val="2"/>
          <w:sz w:val="28"/>
          <w:szCs w:val="28"/>
          <w:highlight w:val="none"/>
          <w:lang w:val="en-US" w:eastAsia="zh-CN" w:bidi="ar-SA"/>
        </w:rPr>
        <w:t>要</w:t>
      </w:r>
      <w:r>
        <w:rPr>
          <w:rFonts w:hint="eastAsia" w:ascii="宋体" w:hAnsi="宋体" w:cs="宋体"/>
          <w:b/>
          <w:bCs/>
          <w:kern w:val="2"/>
          <w:sz w:val="28"/>
          <w:szCs w:val="28"/>
          <w:highlight w:val="none"/>
          <w:lang w:val="en-US" w:eastAsia="zh-CN" w:bidi="ar-SA"/>
        </w:rPr>
        <w:t>求</w:t>
      </w:r>
      <w:bookmarkEnd w:id="76"/>
      <w:bookmarkEnd w:id="77"/>
      <w:bookmarkEnd w:id="78"/>
    </w:p>
    <w:p w14:paraId="4BD436E2">
      <w:pPr>
        <w:adjustRightInd w:val="0"/>
        <w:snapToGrid w:val="0"/>
        <w:spacing w:line="560" w:lineRule="exact"/>
        <w:ind w:firstLine="480" w:firstLineChars="200"/>
        <w:outlineLvl w:val="1"/>
        <w:rPr>
          <w:rFonts w:hint="default" w:ascii="宋体" w:hAnsi="宋体" w:eastAsia="宋体" w:cs="宋体"/>
          <w:sz w:val="24"/>
          <w:szCs w:val="24"/>
          <w:lang w:val="en-US" w:eastAsia="zh-CN"/>
        </w:rPr>
      </w:pPr>
      <w:bookmarkStart w:id="79" w:name="_Toc25513"/>
      <w:r>
        <w:rPr>
          <w:rFonts w:hint="eastAsia" w:ascii="宋体" w:hAnsi="宋体" w:eastAsia="宋体" w:cs="宋体"/>
          <w:sz w:val="24"/>
          <w:szCs w:val="24"/>
          <w:lang w:val="en-US" w:eastAsia="zh-CN"/>
        </w:rPr>
        <w:t>一、项目名称：</w:t>
      </w:r>
      <w:r>
        <w:rPr>
          <w:rFonts w:hint="eastAsia" w:ascii="宋体" w:hAnsi="宋体" w:cs="宋体"/>
          <w:color w:val="000000"/>
          <w:kern w:val="2"/>
          <w:sz w:val="24"/>
          <w:szCs w:val="24"/>
          <w:u w:val="none" w:color="000000"/>
          <w:lang w:val="en-US" w:eastAsia="zh-CN" w:bidi="ar-SA"/>
        </w:rPr>
        <w:t>渑池县人民医院口腔科义齿类耗材配送企业遴选项目</w:t>
      </w:r>
      <w:bookmarkEnd w:id="79"/>
      <w:r>
        <w:rPr>
          <w:rFonts w:hint="eastAsia" w:ascii="宋体" w:hAnsi="宋体" w:cs="宋体"/>
          <w:color w:val="000000"/>
          <w:kern w:val="0"/>
          <w:sz w:val="24"/>
          <w:szCs w:val="24"/>
          <w:highlight w:val="none"/>
          <w:lang w:val="en-US" w:eastAsia="zh-CN"/>
        </w:rPr>
        <w:t>（二次）</w:t>
      </w:r>
    </w:p>
    <w:p w14:paraId="09FD594E">
      <w:pPr>
        <w:adjustRightInd w:val="0"/>
        <w:snapToGrid w:val="0"/>
        <w:spacing w:line="560" w:lineRule="exact"/>
        <w:ind w:firstLine="480" w:firstLineChars="200"/>
        <w:rPr>
          <w:rFonts w:hint="default" w:ascii="仿宋" w:hAnsi="仿宋" w:eastAsia="仿宋" w:cs="仿宋"/>
          <w:sz w:val="32"/>
          <w:szCs w:val="32"/>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 </w:t>
      </w:r>
      <w:r>
        <w:rPr>
          <w:rFonts w:hint="eastAsia" w:ascii="宋体" w:hAnsi="宋体" w:eastAsia="宋体" w:cs="宋体"/>
          <w:color w:val="000000"/>
          <w:kern w:val="2"/>
          <w:sz w:val="24"/>
          <w:szCs w:val="24"/>
          <w:u w:val="none" w:color="000000"/>
          <w:lang w:val="en-US" w:eastAsia="zh-CN" w:bidi="ar-SA"/>
        </w:rPr>
        <w:t>项目概况：</w:t>
      </w:r>
      <w:r>
        <w:rPr>
          <w:rFonts w:hint="eastAsia" w:ascii="宋体" w:hAnsi="宋体" w:cs="宋体"/>
          <w:color w:val="000000"/>
          <w:kern w:val="2"/>
          <w:sz w:val="24"/>
          <w:szCs w:val="24"/>
          <w:u w:val="none" w:color="000000"/>
          <w:lang w:val="en-US" w:eastAsia="zh-CN" w:bidi="ar-SA"/>
        </w:rPr>
        <w:t>渑池县人民医院口腔科义齿类耗材配送企业遴选项目</w:t>
      </w:r>
      <w:r>
        <w:rPr>
          <w:rFonts w:hint="eastAsia" w:ascii="宋体" w:hAnsi="宋体" w:eastAsia="宋体" w:cs="宋体"/>
          <w:color w:val="000000"/>
          <w:kern w:val="2"/>
          <w:sz w:val="24"/>
          <w:szCs w:val="24"/>
          <w:u w:val="none" w:color="000000"/>
          <w:lang w:val="en-US" w:eastAsia="zh-CN" w:bidi="ar-SA"/>
        </w:rPr>
        <w:t>，采购地址位于</w:t>
      </w:r>
      <w:r>
        <w:rPr>
          <w:rFonts w:hint="eastAsia" w:ascii="宋体" w:hAnsi="宋体" w:cs="宋体"/>
          <w:color w:val="000000"/>
          <w:kern w:val="2"/>
          <w:sz w:val="24"/>
          <w:szCs w:val="24"/>
          <w:u w:val="none" w:color="000000"/>
          <w:lang w:val="en-US" w:eastAsia="zh-CN" w:bidi="ar-SA"/>
        </w:rPr>
        <w:t>渑池县人民医院</w:t>
      </w:r>
      <w:r>
        <w:rPr>
          <w:rFonts w:hint="eastAsia" w:ascii="宋体" w:hAnsi="宋体" w:eastAsia="宋体" w:cs="宋体"/>
          <w:color w:val="000000"/>
          <w:kern w:val="2"/>
          <w:sz w:val="24"/>
          <w:szCs w:val="24"/>
          <w:u w:val="none" w:color="000000"/>
          <w:lang w:val="en-US" w:eastAsia="zh-CN" w:bidi="ar-SA"/>
        </w:rPr>
        <w:t>，主要内容是遴选两家供应商</w:t>
      </w:r>
      <w:r>
        <w:rPr>
          <w:rFonts w:hint="eastAsia" w:ascii="宋体" w:hAnsi="宋体" w:cs="宋体"/>
          <w:color w:val="000000"/>
          <w:kern w:val="2"/>
          <w:sz w:val="24"/>
          <w:szCs w:val="24"/>
          <w:u w:val="none" w:color="000000"/>
          <w:lang w:val="en-US" w:eastAsia="zh-CN" w:bidi="ar-SA"/>
        </w:rPr>
        <w:t>进行</w:t>
      </w:r>
      <w:r>
        <w:rPr>
          <w:rFonts w:hint="eastAsia" w:ascii="宋体" w:hAnsi="宋体" w:eastAsia="宋体" w:cs="宋体"/>
          <w:color w:val="000000"/>
          <w:kern w:val="2"/>
          <w:sz w:val="24"/>
          <w:szCs w:val="24"/>
          <w:u w:val="none" w:color="000000"/>
          <w:lang w:val="en-US" w:eastAsia="zh-CN" w:bidi="ar-SA"/>
        </w:rPr>
        <w:t>配送</w:t>
      </w:r>
      <w:r>
        <w:rPr>
          <w:rFonts w:hint="eastAsia" w:ascii="宋体" w:hAnsi="宋体" w:cs="宋体"/>
          <w:color w:val="000000"/>
          <w:kern w:val="2"/>
          <w:sz w:val="24"/>
          <w:szCs w:val="24"/>
          <w:u w:val="none" w:color="000000"/>
          <w:lang w:val="en-US" w:eastAsia="zh-CN" w:bidi="ar-SA"/>
        </w:rPr>
        <w:t>，年用量约14万元，3年共计约42万元</w:t>
      </w:r>
    </w:p>
    <w:p w14:paraId="2E1E0E2A">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三、入围单位</w:t>
      </w:r>
      <w:r>
        <w:rPr>
          <w:rFonts w:hint="eastAsia" w:ascii="宋体" w:hAnsi="宋体" w:cs="宋体"/>
          <w:color w:val="000000"/>
          <w:kern w:val="2"/>
          <w:sz w:val="24"/>
          <w:szCs w:val="24"/>
          <w:u w:val="none" w:color="000000"/>
          <w:lang w:val="en-US" w:eastAsia="zh-CN" w:bidi="ar-SA"/>
        </w:rPr>
        <w:t>数量</w:t>
      </w:r>
      <w:r>
        <w:rPr>
          <w:rFonts w:hint="eastAsia" w:ascii="宋体" w:hAnsi="宋体" w:eastAsia="宋体" w:cs="宋体"/>
          <w:color w:val="000000"/>
          <w:kern w:val="2"/>
          <w:sz w:val="24"/>
          <w:szCs w:val="24"/>
          <w:u w:val="none" w:color="000000"/>
          <w:lang w:val="en-US" w:eastAsia="zh-CN" w:bidi="ar-SA"/>
        </w:rPr>
        <w:t>：2家。</w:t>
      </w:r>
    </w:p>
    <w:p w14:paraId="0E39C29E">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zh-TW" w:eastAsia="zh-CN" w:bidi="ar-SA"/>
        </w:rPr>
      </w:pPr>
      <w:r>
        <w:rPr>
          <w:rFonts w:hint="eastAsia" w:ascii="宋体" w:hAnsi="宋体" w:eastAsia="宋体" w:cs="宋体"/>
          <w:color w:val="000000"/>
          <w:kern w:val="2"/>
          <w:sz w:val="24"/>
          <w:szCs w:val="24"/>
          <w:u w:val="none" w:color="000000"/>
          <w:lang w:val="en-US" w:eastAsia="zh-CN" w:bidi="ar-SA"/>
        </w:rPr>
        <w:t>四、</w:t>
      </w:r>
      <w:r>
        <w:rPr>
          <w:rFonts w:hint="eastAsia" w:ascii="宋体" w:hAnsi="宋体" w:eastAsia="宋体" w:cs="宋体"/>
          <w:color w:val="000000"/>
          <w:kern w:val="2"/>
          <w:sz w:val="24"/>
          <w:szCs w:val="24"/>
          <w:u w:val="none" w:color="000000"/>
          <w:lang w:val="zh-TW" w:eastAsia="zh-CN" w:bidi="ar-SA"/>
        </w:rPr>
        <w:t>服务期限：自合同签订之日起三年。</w:t>
      </w:r>
    </w:p>
    <w:p w14:paraId="3F8210C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zh-TW" w:eastAsia="zh-CN" w:bidi="ar-SA"/>
        </w:rPr>
      </w:pPr>
      <w:r>
        <w:rPr>
          <w:rFonts w:hint="eastAsia" w:ascii="宋体" w:hAnsi="宋体" w:eastAsia="宋体" w:cs="宋体"/>
          <w:color w:val="000000"/>
          <w:kern w:val="2"/>
          <w:sz w:val="24"/>
          <w:szCs w:val="24"/>
          <w:u w:val="none" w:color="000000"/>
          <w:lang w:val="en-US" w:eastAsia="zh-CN" w:bidi="ar-SA"/>
        </w:rPr>
        <w:t>五、</w:t>
      </w:r>
      <w:r>
        <w:rPr>
          <w:rFonts w:hint="eastAsia" w:ascii="宋体" w:hAnsi="宋体" w:eastAsia="宋体" w:cs="宋体"/>
          <w:color w:val="000000"/>
          <w:kern w:val="2"/>
          <w:sz w:val="24"/>
          <w:szCs w:val="24"/>
          <w:u w:val="none" w:color="000000"/>
          <w:lang w:val="zh-TW" w:eastAsia="zh-CN" w:bidi="ar-SA"/>
        </w:rPr>
        <w:t>服务质量：满足国家行业质量要求的合格标准。</w:t>
      </w:r>
    </w:p>
    <w:p w14:paraId="6172C59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六、服务要求：</w:t>
      </w:r>
    </w:p>
    <w:p w14:paraId="7CAB957E">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1、配送服务期：服务期 3 年，依医院实际需求分批配送，如本次招标遇国家、省、市相关政策调整，按有关规定执行。</w:t>
      </w:r>
    </w:p>
    <w:p w14:paraId="0515F88D">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2、配送服务：</w:t>
      </w:r>
    </w:p>
    <w:p w14:paraId="3378DAA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2.1 正常配送：按医院要求的频次，配备专人送货，一般耗材的配送不超过 48 小时。在整个中标耗材采购周期内，中标人应按照医院要求进行供货。所配送耗材质量符合国家有关法律法规的要求，质量证明文件及购进税票复印件须随货一并送达。</w:t>
      </w:r>
    </w:p>
    <w:p w14:paraId="4E20D65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2.2 急需计划：保证全天候 24 小时可联系，如医院有急需计划，立即启动耗材供应的应急预案，保证在 2 小时内送到医院指定地点。</w:t>
      </w:r>
    </w:p>
    <w:p w14:paraId="27D4458C">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2.3 耗材品种配送原则：耗材配送品种、违约责任及付款方式等，由院方与投标人进行谈判协商，在耗材配送合同中予以明确。</w:t>
      </w:r>
    </w:p>
    <w:p w14:paraId="6E02FD2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2.4 投标人须制定详细可行的个性化配送方案。中标后，在配送周期内按采购人实际需求保质保量、分批，按需配送；医院按规清点，货票同行，所有供货材料证照齐全；</w:t>
      </w:r>
    </w:p>
    <w:p w14:paraId="7AA5A14B">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2.5 在配送周期内，须提供专业技术人员服务（包括跟台服务及外聘教授全程接送）及专业必需的设备保障，保证各项专业技术操作。</w:t>
      </w:r>
    </w:p>
    <w:p w14:paraId="322B86D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2.6 非不可抗力因素，投标人在整个采购周期内，不得擅自调涨价格；若配送品规停产、市场因素需要调涨或其他因素，投标人需提供充足的证明材料，经医院按流程审核同意后供货，不得以此作为消极供货或不供货的理由，一经发现，医院有权终止合同，中标配送商承担全部责任，并赔偿采购方的损失；若因市场价格变化或采购人业务发展需要，可以对部分中标品规进行调整，中标人须无条件执行。</w:t>
      </w:r>
    </w:p>
    <w:p w14:paraId="3AAF9EB1">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3、配送产品质量要求：</w:t>
      </w:r>
    </w:p>
    <w:p w14:paraId="1569B808">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3.1、投标人提供的耗材应是最新生产且检验合格的产品，配送产品有效期核定为二年的，中标人所提供的产品使用期不得少于半年；配送产品有效期核定为半年的，中标人所提供的配送产品使用期不得少于三个月；如中标人提供的配送产品使用期少于三个月的品种需和医院沟通确认订单数量后再发货。中标人负责送货上门，超计划发货造成的损失自行承担。</w:t>
      </w:r>
    </w:p>
    <w:p w14:paraId="52DEF6EC">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3.2、所需配送产品均须在河南省医药集中采购平台目录内，须具备该产品的配送权；在整个配送周期内，按医院上级行政主管部门的要求需在服务平台采购的，中标人应保证采购人在服务平台能进行勾选，否则其中标无效，并承担相应的违约责任。在整个配送周期内，供货价格不得高于服务平台的最低价格，若是中标人原因导致医院不能在服务平台进行勾选采购，医院有权取消其配送权。中标人承担一切责任。</w:t>
      </w:r>
    </w:p>
    <w:p w14:paraId="22CA1636">
      <w:pPr>
        <w:adjustRightInd w:val="0"/>
        <w:snapToGrid w:val="0"/>
        <w:spacing w:line="560" w:lineRule="exact"/>
        <w:ind w:firstLine="480" w:firstLineChars="200"/>
        <w:outlineLvl w:val="3"/>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3.3 配送耗材必须是合格的耗材：</w:t>
      </w:r>
    </w:p>
    <w:p w14:paraId="73644F93">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1）投标人提供的耗材必须符合国家承认的相应标准。</w:t>
      </w:r>
    </w:p>
    <w:p w14:paraId="4A395235">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2）投标人所提供的必须是其合法生产或代理的合格耗材。</w:t>
      </w:r>
    </w:p>
    <w:p w14:paraId="675AB508">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3）产品包装上（包括大包装、小包装等），必须按照国家相关规定附有名称、批号、产地、注册证号、标准编号、规格、型号、灭菌期、有效期等标识。</w:t>
      </w:r>
    </w:p>
    <w:p w14:paraId="36023661">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4、售后服务：对所配送到医院耗材的各个环节进行跟踪，负责滞销、破损、质量等问题的及时处理；对于短缺耗材、质量问题耗材、破损耗材及效期问题耗材等，中标人须配合医院及时解决。</w:t>
      </w:r>
    </w:p>
    <w:p w14:paraId="63AFD8F7">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5、建立应急机制：有应对自然灾害、突发公共卫生事件等耗材管理与耗材供应管理的应急预案，有冷链耗材管理应急预案。</w:t>
      </w:r>
    </w:p>
    <w:p w14:paraId="296DD9C0">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6、验收:买卖双方根据相关技术规格要求和质量标准，对所需内容进行检查验收，验收不合格退回。</w:t>
      </w:r>
    </w:p>
    <w:p w14:paraId="39188655">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7、配送公司能协助医院学科发展和人才培养等。</w:t>
      </w:r>
    </w:p>
    <w:p w14:paraId="08E26D23">
      <w:pPr>
        <w:adjustRightInd w:val="0"/>
        <w:snapToGrid w:val="0"/>
        <w:spacing w:line="560" w:lineRule="exact"/>
        <w:ind w:firstLine="480" w:firstLineChars="200"/>
        <w:outlineLvl w:val="1"/>
        <w:rPr>
          <w:rFonts w:hint="eastAsia" w:ascii="宋体" w:hAnsi="宋体" w:eastAsia="宋体" w:cs="宋体"/>
          <w:color w:val="000000"/>
          <w:kern w:val="2"/>
          <w:sz w:val="24"/>
          <w:szCs w:val="24"/>
          <w:u w:val="none" w:color="000000"/>
          <w:lang w:val="en-US" w:eastAsia="zh-CN" w:bidi="ar-SA"/>
        </w:rPr>
      </w:pPr>
      <w:bookmarkStart w:id="80" w:name="_Toc4850"/>
      <w:r>
        <w:rPr>
          <w:rFonts w:hint="eastAsia" w:ascii="宋体" w:hAnsi="宋体" w:eastAsia="宋体" w:cs="宋体"/>
          <w:color w:val="000000"/>
          <w:kern w:val="2"/>
          <w:sz w:val="24"/>
          <w:szCs w:val="24"/>
          <w:u w:val="none" w:color="000000"/>
          <w:lang w:val="en-US" w:eastAsia="zh-CN" w:bidi="ar-SA"/>
        </w:rPr>
        <w:t>七、中标供应商数量</w:t>
      </w:r>
      <w:bookmarkEnd w:id="80"/>
    </w:p>
    <w:p w14:paraId="5C8AB0BD">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择优评选2家配送企业为中标人。</w:t>
      </w:r>
    </w:p>
    <w:p w14:paraId="3A96820C">
      <w:pPr>
        <w:adjustRightInd w:val="0"/>
        <w:snapToGrid w:val="0"/>
        <w:spacing w:line="560" w:lineRule="exact"/>
        <w:ind w:firstLine="480" w:firstLineChars="200"/>
        <w:outlineLvl w:val="1"/>
        <w:rPr>
          <w:rFonts w:hint="eastAsia" w:ascii="宋体" w:hAnsi="宋体" w:eastAsia="宋体" w:cs="宋体"/>
          <w:color w:val="000000"/>
          <w:kern w:val="2"/>
          <w:sz w:val="24"/>
          <w:szCs w:val="24"/>
          <w:u w:val="none" w:color="000000"/>
          <w:lang w:val="en-US" w:eastAsia="zh-CN" w:bidi="ar-SA"/>
        </w:rPr>
      </w:pPr>
      <w:bookmarkStart w:id="81" w:name="_Toc12218"/>
      <w:r>
        <w:rPr>
          <w:rFonts w:hint="eastAsia" w:ascii="宋体" w:hAnsi="宋体" w:eastAsia="宋体" w:cs="宋体"/>
          <w:color w:val="000000"/>
          <w:kern w:val="2"/>
          <w:sz w:val="24"/>
          <w:szCs w:val="24"/>
          <w:u w:val="none" w:color="000000"/>
          <w:lang w:val="en-US" w:eastAsia="zh-CN" w:bidi="ar-SA"/>
        </w:rPr>
        <w:t>五、其他要求</w:t>
      </w:r>
      <w:bookmarkEnd w:id="81"/>
    </w:p>
    <w:p w14:paraId="62D54852">
      <w:pPr>
        <w:adjustRightInd w:val="0"/>
        <w:snapToGrid w:val="0"/>
        <w:spacing w:line="560" w:lineRule="exact"/>
        <w:ind w:firstLine="480" w:firstLineChars="200"/>
        <w:outlineLvl w:val="2"/>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1、本项目配送量以实际配送数量为准，按需配送，据实结算。</w:t>
      </w:r>
    </w:p>
    <w:p w14:paraId="5EC822C6">
      <w:pPr>
        <w:adjustRightInd w:val="0"/>
        <w:snapToGrid w:val="0"/>
        <w:spacing w:line="560" w:lineRule="exact"/>
        <w:ind w:firstLine="480" w:firstLineChars="20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2、付款方式：中标后与采购人协商。供应商必须按国家有关财税规定开具发票。</w:t>
      </w:r>
    </w:p>
    <w:p w14:paraId="229CBF20"/>
    <w:p w14:paraId="4B2362B1">
      <w:pPr>
        <w:pStyle w:val="12"/>
        <w:jc w:val="right"/>
        <w:rPr>
          <w:rFonts w:hint="eastAsia" w:ascii="宋体" w:hAnsi="宋体" w:eastAsia="宋体" w:cs="宋体"/>
          <w:color w:val="000000"/>
          <w:kern w:val="2"/>
          <w:sz w:val="24"/>
          <w:szCs w:val="24"/>
          <w:u w:val="none" w:color="000000"/>
          <w:lang w:val="en-US" w:eastAsia="zh-CN" w:bidi="ar-SA"/>
        </w:rPr>
      </w:pPr>
    </w:p>
    <w:p w14:paraId="69BD3334">
      <w:pPr>
        <w:pStyle w:val="12"/>
        <w:jc w:val="right"/>
        <w:rPr>
          <w:rFonts w:hint="eastAsia" w:ascii="宋体" w:hAnsi="宋体" w:eastAsia="宋体" w:cs="宋体"/>
          <w:color w:val="000000"/>
          <w:kern w:val="2"/>
          <w:sz w:val="24"/>
          <w:szCs w:val="24"/>
          <w:u w:val="none" w:color="000000"/>
          <w:lang w:val="en-US" w:eastAsia="zh-CN" w:bidi="ar-SA"/>
        </w:rPr>
      </w:pPr>
    </w:p>
    <w:p w14:paraId="7B5D46FB">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14:paraId="19FD1209">
      <w:pPr>
        <w:widowControl w:val="0"/>
        <w:numPr>
          <w:ilvl w:val="0"/>
          <w:numId w:val="0"/>
        </w:numPr>
        <w:spacing w:line="480" w:lineRule="atLeast"/>
        <w:jc w:val="center"/>
        <w:textAlignment w:val="baseline"/>
        <w:outlineLvl w:val="0"/>
        <w:rPr>
          <w:rFonts w:hint="default" w:ascii="宋体" w:hAnsi="宋体" w:eastAsia="宋体" w:cs="宋体"/>
          <w:b/>
          <w:bCs/>
          <w:sz w:val="32"/>
          <w:szCs w:val="32"/>
          <w:highlight w:val="none"/>
          <w:lang w:val="en-US" w:eastAsia="zh-CN"/>
        </w:rPr>
      </w:pPr>
      <w:bookmarkStart w:id="82" w:name="_Toc30315"/>
      <w:bookmarkStart w:id="83" w:name="_Toc27796"/>
      <w:bookmarkStart w:id="84" w:name="_Toc16625"/>
      <w:r>
        <w:rPr>
          <w:rFonts w:hint="eastAsia" w:ascii="宋体" w:hAnsi="宋体" w:eastAsia="宋体" w:cs="宋体"/>
          <w:b/>
          <w:bCs/>
          <w:sz w:val="32"/>
          <w:szCs w:val="32"/>
          <w:highlight w:val="none"/>
          <w:lang w:val="en-US" w:eastAsia="zh-CN"/>
        </w:rPr>
        <w:t>第六章  电子化响应文件内容及格式</w:t>
      </w:r>
      <w:bookmarkEnd w:id="82"/>
      <w:bookmarkEnd w:id="83"/>
      <w:bookmarkEnd w:id="84"/>
    </w:p>
    <w:p w14:paraId="2EEB931B">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14:paraId="1FD9507E">
      <w:pPr>
        <w:tabs>
          <w:tab w:val="left" w:pos="4337"/>
        </w:tabs>
        <w:spacing w:before="61"/>
        <w:ind w:left="0" w:right="168" w:firstLine="0"/>
        <w:jc w:val="center"/>
        <w:outlineLvl w:val="1"/>
        <w:rPr>
          <w:b/>
          <w:sz w:val="36"/>
          <w:highlight w:val="none"/>
        </w:rPr>
      </w:pPr>
      <w:r>
        <w:rPr>
          <w:rFonts w:ascii="Times New Roman" w:eastAsia="Times New Roman"/>
          <w:b/>
          <w:sz w:val="36"/>
          <w:highlight w:val="none"/>
          <w:u w:val="single"/>
        </w:rPr>
        <w:t xml:space="preserve"> </w:t>
      </w:r>
      <w:r>
        <w:rPr>
          <w:rFonts w:ascii="Times New Roman" w:eastAsia="Times New Roman"/>
          <w:b/>
          <w:sz w:val="36"/>
          <w:highlight w:val="none"/>
          <w:u w:val="single"/>
        </w:rPr>
        <w:tab/>
      </w:r>
      <w:bookmarkStart w:id="85" w:name="_Toc13421"/>
      <w:r>
        <w:rPr>
          <w:b/>
          <w:sz w:val="36"/>
          <w:highlight w:val="none"/>
        </w:rPr>
        <w:t>项目</w:t>
      </w:r>
      <w:bookmarkEnd w:id="85"/>
    </w:p>
    <w:p w14:paraId="09E725B6">
      <w:pPr>
        <w:pStyle w:val="9"/>
        <w:rPr>
          <w:b/>
          <w:sz w:val="40"/>
          <w:highlight w:val="none"/>
        </w:rPr>
      </w:pPr>
    </w:p>
    <w:p w14:paraId="4637FB2B">
      <w:pPr>
        <w:pStyle w:val="9"/>
        <w:rPr>
          <w:b/>
          <w:sz w:val="40"/>
          <w:highlight w:val="none"/>
        </w:rPr>
      </w:pPr>
    </w:p>
    <w:p w14:paraId="00E34125">
      <w:pPr>
        <w:pStyle w:val="9"/>
        <w:rPr>
          <w:b/>
          <w:sz w:val="40"/>
          <w:highlight w:val="none"/>
        </w:rPr>
      </w:pPr>
    </w:p>
    <w:p w14:paraId="7751D881">
      <w:pPr>
        <w:pStyle w:val="9"/>
        <w:rPr>
          <w:b/>
          <w:sz w:val="40"/>
          <w:highlight w:val="none"/>
        </w:rPr>
      </w:pPr>
    </w:p>
    <w:p w14:paraId="79BAD381">
      <w:pPr>
        <w:pStyle w:val="9"/>
        <w:spacing w:before="7"/>
        <w:rPr>
          <w:b/>
          <w:sz w:val="29"/>
          <w:highlight w:val="none"/>
        </w:rPr>
      </w:pPr>
    </w:p>
    <w:p w14:paraId="49B99009">
      <w:pPr>
        <w:spacing w:before="0"/>
        <w:ind w:left="0" w:right="869" w:firstLine="0"/>
        <w:jc w:val="center"/>
        <w:rPr>
          <w:sz w:val="72"/>
          <w:highlight w:val="none"/>
        </w:rPr>
      </w:pPr>
      <w:r>
        <w:rPr>
          <w:sz w:val="72"/>
          <w:highlight w:val="none"/>
        </w:rPr>
        <w:t>响应文件</w:t>
      </w:r>
    </w:p>
    <w:p w14:paraId="0FD994C5">
      <w:pPr>
        <w:pStyle w:val="9"/>
        <w:rPr>
          <w:sz w:val="72"/>
          <w:highlight w:val="none"/>
        </w:rPr>
      </w:pPr>
    </w:p>
    <w:p w14:paraId="029E7B91">
      <w:pPr>
        <w:pStyle w:val="9"/>
        <w:rPr>
          <w:sz w:val="72"/>
          <w:highlight w:val="none"/>
        </w:rPr>
      </w:pPr>
    </w:p>
    <w:p w14:paraId="1EEB6F91">
      <w:pPr>
        <w:pStyle w:val="9"/>
        <w:rPr>
          <w:sz w:val="72"/>
          <w:highlight w:val="none"/>
        </w:rPr>
      </w:pPr>
    </w:p>
    <w:p w14:paraId="172B320F">
      <w:pPr>
        <w:tabs>
          <w:tab w:val="left" w:pos="1827"/>
          <w:tab w:val="left" w:pos="2427"/>
          <w:tab w:val="left" w:pos="6207"/>
        </w:tabs>
        <w:spacing w:before="635"/>
        <w:ind w:left="1228" w:right="0" w:firstLine="0"/>
        <w:jc w:val="left"/>
        <w:rPr>
          <w:sz w:val="24"/>
          <w:szCs w:val="24"/>
          <w:highlight w:val="none"/>
        </w:rPr>
      </w:pPr>
      <w:r>
        <w:rPr>
          <w:rFonts w:hint="eastAsia"/>
          <w:sz w:val="24"/>
          <w:szCs w:val="24"/>
          <w:highlight w:val="none"/>
          <w:lang w:eastAsia="zh-CN"/>
        </w:rPr>
        <w:t>供应商</w:t>
      </w:r>
      <w:r>
        <w:rPr>
          <w:sz w:val="24"/>
          <w:szCs w:val="24"/>
          <w:highlight w:val="none"/>
        </w:rPr>
        <w:t>：</w:t>
      </w:r>
      <w:r>
        <w:rPr>
          <w:sz w:val="24"/>
          <w:szCs w:val="24"/>
          <w:highlight w:val="none"/>
          <w:u w:val="single"/>
        </w:rPr>
        <w:t xml:space="preserve"> </w:t>
      </w:r>
      <w:r>
        <w:rPr>
          <w:sz w:val="24"/>
          <w:szCs w:val="24"/>
          <w:highlight w:val="none"/>
          <w:u w:val="single"/>
        </w:rPr>
        <w:tab/>
      </w:r>
      <w:r>
        <w:rPr>
          <w:rFonts w:hint="eastAsia"/>
          <w:sz w:val="24"/>
          <w:szCs w:val="24"/>
          <w:highlight w:val="none"/>
          <w:u w:val="single"/>
          <w:lang w:val="en-US" w:eastAsia="zh-CN"/>
        </w:rPr>
        <w:t xml:space="preserve">                                 </w:t>
      </w:r>
      <w:r>
        <w:rPr>
          <w:sz w:val="24"/>
          <w:szCs w:val="24"/>
          <w:highlight w:val="none"/>
        </w:rPr>
        <w:t>（盖单位章）</w:t>
      </w:r>
    </w:p>
    <w:p w14:paraId="51C36E8A">
      <w:pPr>
        <w:pStyle w:val="9"/>
        <w:rPr>
          <w:sz w:val="24"/>
          <w:szCs w:val="24"/>
          <w:highlight w:val="none"/>
        </w:rPr>
      </w:pPr>
    </w:p>
    <w:p w14:paraId="2031CF5E">
      <w:pPr>
        <w:pStyle w:val="9"/>
        <w:spacing w:before="5"/>
        <w:rPr>
          <w:sz w:val="24"/>
          <w:szCs w:val="24"/>
          <w:highlight w:val="none"/>
        </w:rPr>
      </w:pPr>
    </w:p>
    <w:p w14:paraId="040786EC">
      <w:pPr>
        <w:tabs>
          <w:tab w:val="left" w:pos="6627"/>
        </w:tabs>
        <w:spacing w:before="0"/>
        <w:ind w:left="1228" w:right="0" w:firstLine="0"/>
        <w:jc w:val="left"/>
        <w:rPr>
          <w:sz w:val="24"/>
          <w:szCs w:val="24"/>
          <w:highlight w:val="none"/>
        </w:rPr>
      </w:pPr>
      <w:r>
        <w:rPr>
          <w:sz w:val="24"/>
          <w:szCs w:val="24"/>
          <w:highlight w:val="none"/>
        </w:rPr>
        <w:t>法定代表人或其委托代理人：</w:t>
      </w:r>
      <w:r>
        <w:rPr>
          <w:sz w:val="24"/>
          <w:szCs w:val="24"/>
          <w:highlight w:val="none"/>
          <w:u w:val="single"/>
        </w:rPr>
        <w:t xml:space="preserve"> </w:t>
      </w:r>
      <w:r>
        <w:rPr>
          <w:sz w:val="24"/>
          <w:szCs w:val="24"/>
          <w:highlight w:val="none"/>
          <w:u w:val="single"/>
        </w:rPr>
        <w:tab/>
      </w:r>
      <w:r>
        <w:rPr>
          <w:sz w:val="24"/>
          <w:szCs w:val="24"/>
          <w:highlight w:val="none"/>
        </w:rPr>
        <w:t>（签字或盖章）</w:t>
      </w:r>
    </w:p>
    <w:p w14:paraId="7E49A47E">
      <w:pPr>
        <w:pStyle w:val="9"/>
        <w:rPr>
          <w:sz w:val="24"/>
          <w:szCs w:val="24"/>
          <w:highlight w:val="none"/>
        </w:rPr>
      </w:pPr>
    </w:p>
    <w:p w14:paraId="301036B2">
      <w:pPr>
        <w:pStyle w:val="9"/>
        <w:spacing w:before="5"/>
        <w:rPr>
          <w:sz w:val="24"/>
          <w:szCs w:val="24"/>
          <w:highlight w:val="none"/>
        </w:rPr>
      </w:pPr>
    </w:p>
    <w:p w14:paraId="44684762">
      <w:pPr>
        <w:tabs>
          <w:tab w:val="left" w:pos="3567"/>
          <w:tab w:val="left" w:pos="4527"/>
          <w:tab w:val="left" w:pos="5247"/>
        </w:tabs>
        <w:spacing w:before="0"/>
        <w:ind w:left="2728" w:right="0" w:firstLine="0"/>
        <w:jc w:val="left"/>
        <w:rPr>
          <w:rFonts w:hint="default" w:eastAsia="宋体"/>
          <w:sz w:val="24"/>
          <w:szCs w:val="24"/>
          <w:highlight w:val="none"/>
          <w:lang w:val="en-US" w:eastAsia="zh-CN"/>
        </w:rPr>
      </w:pPr>
      <w:r>
        <w:rPr>
          <w:sz w:val="24"/>
          <w:szCs w:val="24"/>
          <w:highlight w:val="none"/>
        </w:rPr>
        <w:t>日</w:t>
      </w:r>
      <w:r>
        <w:rPr>
          <w:sz w:val="24"/>
          <w:szCs w:val="24"/>
          <w:highlight w:val="none"/>
        </w:rPr>
        <w:tab/>
      </w:r>
      <w:r>
        <w:rPr>
          <w:sz w:val="24"/>
          <w:szCs w:val="24"/>
          <w:highlight w:val="none"/>
        </w:rPr>
        <w:t>期：</w:t>
      </w:r>
      <w:r>
        <w:rPr>
          <w:sz w:val="24"/>
          <w:szCs w:val="24"/>
          <w:highlight w:val="none"/>
        </w:rPr>
        <w:tab/>
      </w:r>
      <w:r>
        <w:rPr>
          <w:sz w:val="24"/>
          <w:szCs w:val="24"/>
          <w:highlight w:val="none"/>
        </w:rPr>
        <w:t>年</w:t>
      </w:r>
      <w:r>
        <w:rPr>
          <w:sz w:val="24"/>
          <w:szCs w:val="24"/>
          <w:highlight w:val="none"/>
        </w:rPr>
        <w:tab/>
      </w:r>
      <w:r>
        <w:rPr>
          <w:sz w:val="24"/>
          <w:szCs w:val="24"/>
          <w:highlight w:val="none"/>
        </w:rPr>
        <w:t>月</w:t>
      </w:r>
      <w:r>
        <w:rPr>
          <w:rFonts w:hint="eastAsia"/>
          <w:sz w:val="24"/>
          <w:szCs w:val="24"/>
          <w:highlight w:val="none"/>
          <w:lang w:val="en-US" w:eastAsia="zh-CN"/>
        </w:rPr>
        <w:t xml:space="preserve">   日</w:t>
      </w:r>
    </w:p>
    <w:p w14:paraId="15186C39">
      <w:pPr>
        <w:spacing w:after="0"/>
        <w:jc w:val="left"/>
        <w:rPr>
          <w:rFonts w:hint="eastAsia" w:eastAsia="宋体"/>
          <w:sz w:val="24"/>
          <w:szCs w:val="24"/>
          <w:highlight w:val="none"/>
          <w:lang w:val="en-US" w:eastAsia="zh-CN"/>
        </w:rPr>
        <w:sectPr>
          <w:pgSz w:w="11910" w:h="16840"/>
          <w:pgMar w:top="1803" w:right="1440" w:bottom="1803" w:left="1440" w:header="882" w:footer="1012" w:gutter="0"/>
          <w:pgNumType w:fmt="decimal"/>
          <w:cols w:space="720" w:num="1"/>
        </w:sectPr>
      </w:pPr>
      <w:r>
        <w:rPr>
          <w:rFonts w:hint="eastAsia"/>
          <w:sz w:val="24"/>
          <w:szCs w:val="24"/>
          <w:highlight w:val="none"/>
          <w:lang w:val="en-US" w:eastAsia="zh-CN"/>
        </w:rPr>
        <w:t xml:space="preserve"> </w:t>
      </w:r>
    </w:p>
    <w:p w14:paraId="49D4F82F">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目</w:t>
      </w:r>
      <w:r>
        <w:rPr>
          <w:rFonts w:hint="eastAsia" w:ascii="宋体" w:hAnsi="宋体" w:eastAsia="宋体" w:cs="宋体"/>
          <w:b/>
          <w:bCs/>
          <w:sz w:val="32"/>
          <w:szCs w:val="32"/>
          <w:highlight w:val="none"/>
          <w:lang w:val="en-US" w:eastAsia="zh-CN"/>
        </w:rPr>
        <w:tab/>
      </w:r>
      <w:r>
        <w:rPr>
          <w:rFonts w:hint="eastAsia" w:ascii="宋体" w:hAnsi="宋体" w:eastAsia="宋体" w:cs="宋体"/>
          <w:b/>
          <w:bCs/>
          <w:sz w:val="32"/>
          <w:szCs w:val="32"/>
          <w:highlight w:val="none"/>
          <w:lang w:val="en-US" w:eastAsia="zh-CN"/>
        </w:rPr>
        <w:t>录</w:t>
      </w:r>
    </w:p>
    <w:p w14:paraId="520D8952">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sectPr>
          <w:pgSz w:w="11910" w:h="16840"/>
          <w:pgMar w:top="1440" w:right="1080" w:bottom="1440" w:left="1080" w:header="873" w:footer="955" w:gutter="0"/>
          <w:pgNumType w:fmt="decimal"/>
          <w:cols w:space="720" w:num="1"/>
        </w:sectPr>
      </w:pPr>
      <w:r>
        <w:rPr>
          <w:rFonts w:hint="eastAsia" w:ascii="宋体" w:hAnsi="宋体" w:eastAsia="宋体" w:cs="宋体"/>
          <w:b/>
          <w:bCs/>
          <w:sz w:val="32"/>
          <w:szCs w:val="32"/>
          <w:highlight w:val="none"/>
          <w:lang w:val="en-US" w:eastAsia="zh-CN"/>
        </w:rPr>
        <w:t>（自拟）</w:t>
      </w:r>
    </w:p>
    <w:p w14:paraId="22755075">
      <w:pPr>
        <w:pStyle w:val="5"/>
        <w:ind w:left="0" w:leftChars="0" w:firstLine="0" w:firstLineChars="0"/>
        <w:jc w:val="center"/>
        <w:outlineLvl w:val="1"/>
        <w:rPr>
          <w:b/>
          <w:bCs/>
          <w:sz w:val="32"/>
          <w:szCs w:val="32"/>
          <w:highlight w:val="none"/>
        </w:rPr>
      </w:pPr>
      <w:bookmarkStart w:id="86" w:name="一、投标函及投标函附录"/>
      <w:bookmarkEnd w:id="86"/>
      <w:bookmarkStart w:id="87" w:name="_bookmark5"/>
      <w:bookmarkEnd w:id="87"/>
      <w:bookmarkStart w:id="88" w:name="_Toc18580"/>
      <w:r>
        <w:rPr>
          <w:b/>
          <w:bCs/>
          <w:sz w:val="32"/>
          <w:szCs w:val="32"/>
          <w:highlight w:val="none"/>
        </w:rPr>
        <w:t>一、投标函及投标函附录</w:t>
      </w:r>
      <w:bookmarkEnd w:id="88"/>
    </w:p>
    <w:p w14:paraId="40487E79">
      <w:pPr>
        <w:pStyle w:val="9"/>
        <w:spacing w:before="2"/>
        <w:rPr>
          <w:b/>
          <w:sz w:val="30"/>
          <w:highlight w:val="none"/>
        </w:rPr>
      </w:pPr>
    </w:p>
    <w:p w14:paraId="21B83269">
      <w:pPr>
        <w:pStyle w:val="7"/>
        <w:ind w:left="0" w:right="1019" w:firstLine="0"/>
        <w:jc w:val="center"/>
        <w:outlineLvl w:val="2"/>
        <w:rPr>
          <w:rFonts w:hint="eastAsia" w:ascii="宋体" w:hAnsi="宋体" w:eastAsia="宋体" w:cs="宋体"/>
          <w:sz w:val="32"/>
          <w:szCs w:val="32"/>
          <w:highlight w:val="none"/>
        </w:rPr>
      </w:pPr>
      <w:r>
        <w:rPr>
          <w:rFonts w:hint="eastAsia" w:ascii="宋体" w:hAnsi="宋体" w:eastAsia="宋体" w:cs="宋体"/>
          <w:sz w:val="32"/>
          <w:szCs w:val="32"/>
          <w:highlight w:val="none"/>
        </w:rPr>
        <w:t>(一) 投标函</w:t>
      </w:r>
    </w:p>
    <w:p w14:paraId="3238C94E">
      <w:pPr>
        <w:pStyle w:val="9"/>
        <w:spacing w:before="166"/>
        <w:ind w:left="212"/>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4F634CD3">
      <w:pPr>
        <w:pStyle w:val="38"/>
        <w:numPr>
          <w:ilvl w:val="0"/>
          <w:numId w:val="5"/>
        </w:numPr>
        <w:tabs>
          <w:tab w:val="left" w:pos="844"/>
          <w:tab w:val="left" w:pos="2101"/>
          <w:tab w:val="left" w:pos="2439"/>
          <w:tab w:val="left" w:pos="3503"/>
          <w:tab w:val="left" w:pos="3729"/>
          <w:tab w:val="left" w:pos="5451"/>
          <w:tab w:val="left" w:pos="7527"/>
        </w:tabs>
        <w:spacing w:before="170" w:after="0" w:line="393" w:lineRule="auto"/>
        <w:ind w:left="212" w:right="312" w:firstLine="42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我方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（响应人名称</w:t>
      </w:r>
      <w:r>
        <w:rPr>
          <w:rFonts w:hint="eastAsia" w:ascii="宋体" w:hAnsi="宋体" w:eastAsia="宋体" w:cs="宋体"/>
          <w:spacing w:val="-3"/>
          <w:sz w:val="24"/>
          <w:szCs w:val="24"/>
          <w:highlight w:val="none"/>
          <w:u w:val="single"/>
        </w:rPr>
        <w:t>）</w:t>
      </w:r>
      <w:r>
        <w:rPr>
          <w:rFonts w:hint="eastAsia" w:ascii="宋体" w:hAnsi="宋体" w:eastAsia="宋体" w:cs="宋体"/>
          <w:sz w:val="24"/>
          <w:szCs w:val="24"/>
          <w:highlight w:val="none"/>
        </w:rPr>
        <w:t>已仔细研究了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w:t>
      </w:r>
      <w:r>
        <w:rPr>
          <w:rFonts w:hint="eastAsia" w:ascii="宋体" w:hAnsi="宋体" w:eastAsia="宋体" w:cs="宋体"/>
          <w:spacing w:val="-3"/>
          <w:sz w:val="24"/>
          <w:szCs w:val="24"/>
          <w:highlight w:val="none"/>
        </w:rPr>
        <w:t>）</w:t>
      </w:r>
      <w:r>
        <w:rPr>
          <w:rFonts w:hint="eastAsia" w:cs="宋体"/>
          <w:sz w:val="24"/>
          <w:szCs w:val="24"/>
          <w:highlight w:val="none"/>
          <w:lang w:val="en-US" w:eastAsia="zh-CN"/>
        </w:rPr>
        <w:t>磋商</w:t>
      </w:r>
      <w:r>
        <w:rPr>
          <w:rFonts w:hint="eastAsia" w:ascii="宋体" w:hAnsi="宋体" w:eastAsia="宋体" w:cs="宋体"/>
          <w:sz w:val="24"/>
          <w:szCs w:val="24"/>
          <w:highlight w:val="none"/>
        </w:rPr>
        <w:t>文件的全部内容</w:t>
      </w:r>
      <w:r>
        <w:rPr>
          <w:rFonts w:hint="eastAsia" w:ascii="宋体" w:hAnsi="宋体" w:eastAsia="宋体" w:cs="宋体"/>
          <w:spacing w:val="-3"/>
          <w:sz w:val="24"/>
          <w:szCs w:val="24"/>
          <w:highlight w:val="none"/>
        </w:rPr>
        <w:t>，</w:t>
      </w:r>
      <w:r>
        <w:rPr>
          <w:rFonts w:hint="eastAsia" w:ascii="宋体" w:hAnsi="宋体" w:eastAsia="宋体" w:cs="宋体"/>
          <w:color w:val="auto"/>
          <w:sz w:val="24"/>
          <w:szCs w:val="24"/>
          <w:highlight w:val="none"/>
        </w:rPr>
        <w:t>愿意以</w:t>
      </w:r>
      <w:r>
        <w:rPr>
          <w:rFonts w:hint="eastAsia" w:ascii="宋体" w:hAnsi="宋体"/>
          <w:color w:val="auto"/>
          <w:sz w:val="24"/>
          <w:highlight w:val="none"/>
          <w:lang w:val="en-US" w:eastAsia="zh-CN"/>
        </w:rPr>
        <w:t>下浮率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为投标报价</w:t>
      </w:r>
      <w:r>
        <w:rPr>
          <w:rFonts w:hint="eastAsia" w:cs="宋体"/>
          <w:color w:val="auto"/>
          <w:sz w:val="24"/>
          <w:szCs w:val="24"/>
          <w:highlight w:val="none"/>
          <w:lang w:eastAsia="zh-CN"/>
        </w:rPr>
        <w:t>，</w:t>
      </w:r>
      <w:r>
        <w:rPr>
          <w:rFonts w:hint="eastAsia" w:cs="宋体"/>
          <w:sz w:val="24"/>
          <w:szCs w:val="24"/>
          <w:highlight w:val="none"/>
          <w:lang w:eastAsia="zh-CN"/>
        </w:rPr>
        <w:t>，</w:t>
      </w:r>
      <w:r>
        <w:rPr>
          <w:rFonts w:hint="eastAsia" w:cs="宋体"/>
          <w:sz w:val="24"/>
          <w:szCs w:val="24"/>
          <w:highlight w:val="none"/>
          <w:lang w:val="en-US" w:eastAsia="zh-CN"/>
        </w:rPr>
        <w:t>服务</w:t>
      </w:r>
      <w:r>
        <w:rPr>
          <w:rFonts w:hint="eastAsia" w:ascii="宋体" w:hAnsi="宋体" w:eastAsia="宋体" w:cs="宋体"/>
          <w:spacing w:val="4"/>
          <w:sz w:val="24"/>
          <w:szCs w:val="24"/>
          <w:highlight w:val="none"/>
        </w:rPr>
        <w:t>期</w:t>
      </w:r>
      <w:r>
        <w:rPr>
          <w:rFonts w:hint="eastAsia" w:ascii="宋体" w:hAnsi="宋体" w:eastAsia="宋体" w:cs="宋体"/>
          <w:sz w:val="24"/>
          <w:szCs w:val="24"/>
          <w:highlight w:val="none"/>
        </w:rPr>
        <w:t>限</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，按合同</w:t>
      </w:r>
      <w:r>
        <w:rPr>
          <w:rFonts w:hint="eastAsia" w:ascii="宋体" w:hAnsi="宋体" w:eastAsia="宋体" w:cs="宋体"/>
          <w:spacing w:val="4"/>
          <w:sz w:val="24"/>
          <w:szCs w:val="24"/>
          <w:highlight w:val="none"/>
        </w:rPr>
        <w:t>约</w:t>
      </w:r>
      <w:r>
        <w:rPr>
          <w:rFonts w:hint="eastAsia" w:ascii="宋体" w:hAnsi="宋体" w:eastAsia="宋体" w:cs="宋体"/>
          <w:sz w:val="24"/>
          <w:szCs w:val="24"/>
          <w:highlight w:val="none"/>
        </w:rPr>
        <w:t>定完成该项</w:t>
      </w:r>
      <w:r>
        <w:rPr>
          <w:rFonts w:hint="eastAsia" w:ascii="宋体" w:hAnsi="宋体" w:eastAsia="宋体" w:cs="宋体"/>
          <w:spacing w:val="-14"/>
          <w:sz w:val="24"/>
          <w:szCs w:val="24"/>
          <w:highlight w:val="none"/>
        </w:rPr>
        <w:t>目</w:t>
      </w:r>
      <w:r>
        <w:rPr>
          <w:rFonts w:hint="eastAsia" w:ascii="宋体" w:hAnsi="宋体" w:eastAsia="宋体" w:cs="宋体"/>
          <w:sz w:val="24"/>
          <w:szCs w:val="24"/>
          <w:highlight w:val="none"/>
        </w:rPr>
        <w:t>服务工作，</w:t>
      </w:r>
      <w:r>
        <w:rPr>
          <w:rFonts w:hint="eastAsia" w:cs="宋体"/>
          <w:sz w:val="24"/>
          <w:szCs w:val="24"/>
          <w:highlight w:val="none"/>
          <w:lang w:eastAsia="zh-CN"/>
        </w:rPr>
        <w:t>服务质量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w:t>
      </w:r>
    </w:p>
    <w:p w14:paraId="1C797E88">
      <w:pPr>
        <w:pStyle w:val="38"/>
        <w:numPr>
          <w:ilvl w:val="0"/>
          <w:numId w:val="5"/>
        </w:numPr>
        <w:tabs>
          <w:tab w:val="left" w:pos="844"/>
        </w:tabs>
        <w:spacing w:before="0" w:after="0" w:line="265" w:lineRule="exact"/>
        <w:ind w:left="844" w:right="0" w:hanging="2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我方承诺在投标有效期内不修改、撤销</w:t>
      </w:r>
      <w:r>
        <w:rPr>
          <w:rFonts w:hint="eastAsia" w:cs="宋体"/>
          <w:sz w:val="24"/>
          <w:szCs w:val="24"/>
          <w:highlight w:val="none"/>
          <w:lang w:eastAsia="zh-CN"/>
        </w:rPr>
        <w:t>响应文件</w:t>
      </w:r>
      <w:r>
        <w:rPr>
          <w:rFonts w:hint="eastAsia" w:ascii="宋体" w:hAnsi="宋体" w:eastAsia="宋体" w:cs="宋体"/>
          <w:sz w:val="24"/>
          <w:szCs w:val="24"/>
          <w:highlight w:val="none"/>
        </w:rPr>
        <w:t>。</w:t>
      </w:r>
    </w:p>
    <w:p w14:paraId="5171A97E">
      <w:pPr>
        <w:pStyle w:val="38"/>
        <w:numPr>
          <w:ilvl w:val="0"/>
          <w:numId w:val="5"/>
        </w:numPr>
        <w:tabs>
          <w:tab w:val="left" w:pos="844"/>
        </w:tabs>
        <w:spacing w:before="172" w:after="0" w:line="240" w:lineRule="auto"/>
        <w:ind w:left="844" w:right="0" w:hanging="21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如我方中标：</w:t>
      </w:r>
    </w:p>
    <w:p w14:paraId="5E28F616">
      <w:pPr>
        <w:pStyle w:val="38"/>
        <w:numPr>
          <w:ilvl w:val="0"/>
          <w:numId w:val="0"/>
        </w:numPr>
        <w:tabs>
          <w:tab w:val="left" w:pos="1458"/>
        </w:tabs>
        <w:spacing w:before="170" w:after="0" w:line="240" w:lineRule="auto"/>
        <w:ind w:right="0" w:rightChars="0" w:firstLine="480" w:firstLineChars="200"/>
        <w:jc w:val="left"/>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1</w:t>
      </w:r>
      <w:r>
        <w:rPr>
          <w:rFonts w:hint="eastAsia" w:cs="宋体"/>
          <w:sz w:val="24"/>
          <w:szCs w:val="24"/>
          <w:highlight w:val="none"/>
          <w:lang w:eastAsia="zh-CN"/>
        </w:rPr>
        <w:t>）</w:t>
      </w:r>
      <w:r>
        <w:rPr>
          <w:rFonts w:hint="eastAsia" w:ascii="宋体" w:hAnsi="宋体" w:eastAsia="宋体" w:cs="宋体"/>
          <w:sz w:val="24"/>
          <w:szCs w:val="24"/>
          <w:highlight w:val="none"/>
        </w:rPr>
        <w:t>我方承诺在收到</w:t>
      </w:r>
      <w:r>
        <w:rPr>
          <w:rFonts w:hint="eastAsia" w:cs="宋体"/>
          <w:sz w:val="24"/>
          <w:szCs w:val="24"/>
          <w:highlight w:val="none"/>
          <w:lang w:val="en-US" w:eastAsia="zh-CN"/>
        </w:rPr>
        <w:t>成交</w:t>
      </w:r>
      <w:r>
        <w:rPr>
          <w:rFonts w:hint="eastAsia" w:ascii="宋体" w:hAnsi="宋体" w:eastAsia="宋体" w:cs="宋体"/>
          <w:sz w:val="24"/>
          <w:szCs w:val="24"/>
          <w:highlight w:val="none"/>
        </w:rPr>
        <w:t>通知书后，在中标通知书规定的期限内与你方签订合同。</w:t>
      </w:r>
    </w:p>
    <w:p w14:paraId="0255D26A">
      <w:pPr>
        <w:pStyle w:val="38"/>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sz w:val="24"/>
          <w:szCs w:val="24"/>
          <w:highlight w:val="none"/>
        </w:rPr>
      </w:pPr>
      <w:r>
        <w:rPr>
          <w:rFonts w:hint="eastAsia" w:cs="宋体"/>
          <w:sz w:val="24"/>
          <w:szCs w:val="24"/>
          <w:highlight w:val="none"/>
          <w:lang w:eastAsia="zh-CN"/>
        </w:rPr>
        <w:t>（</w:t>
      </w:r>
      <w:r>
        <w:rPr>
          <w:rFonts w:hint="eastAsia" w:cs="宋体"/>
          <w:sz w:val="24"/>
          <w:szCs w:val="24"/>
          <w:highlight w:val="none"/>
          <w:lang w:val="en-US" w:eastAsia="zh-CN"/>
        </w:rPr>
        <w:t>2</w:t>
      </w:r>
      <w:r>
        <w:rPr>
          <w:rFonts w:hint="eastAsia" w:cs="宋体"/>
          <w:sz w:val="24"/>
          <w:szCs w:val="24"/>
          <w:highlight w:val="none"/>
          <w:lang w:eastAsia="zh-CN"/>
        </w:rPr>
        <w:t>）</w:t>
      </w:r>
      <w:r>
        <w:rPr>
          <w:rFonts w:hint="eastAsia" w:ascii="宋体" w:hAnsi="宋体" w:eastAsia="宋体" w:cs="宋体"/>
          <w:sz w:val="24"/>
          <w:szCs w:val="24"/>
          <w:highlight w:val="none"/>
        </w:rPr>
        <w:t>我单位愿意履行</w:t>
      </w:r>
      <w:r>
        <w:rPr>
          <w:rFonts w:hint="eastAsia" w:cs="宋体"/>
          <w:sz w:val="24"/>
          <w:szCs w:val="24"/>
          <w:highlight w:val="none"/>
          <w:lang w:eastAsia="zh-CN"/>
        </w:rPr>
        <w:t>响应文件</w:t>
      </w:r>
      <w:r>
        <w:rPr>
          <w:rFonts w:hint="eastAsia" w:ascii="宋体" w:hAnsi="宋体" w:eastAsia="宋体" w:cs="宋体"/>
          <w:sz w:val="24"/>
          <w:szCs w:val="24"/>
          <w:highlight w:val="none"/>
        </w:rPr>
        <w:t>中的一切优惠条件和承诺措施,提供优质高效的服务，并承诺在合同约定的期限内完成并移交全部工作内容。</w:t>
      </w:r>
    </w:p>
    <w:p w14:paraId="1635BA5E">
      <w:pPr>
        <w:pStyle w:val="38"/>
        <w:numPr>
          <w:ilvl w:val="0"/>
          <w:numId w:val="0"/>
        </w:numPr>
        <w:tabs>
          <w:tab w:val="left" w:pos="1458"/>
        </w:tabs>
        <w:spacing w:before="0" w:after="0" w:line="267" w:lineRule="exact"/>
        <w:ind w:right="0" w:rightChars="0" w:firstLine="464" w:firstLineChars="200"/>
        <w:jc w:val="left"/>
        <w:rPr>
          <w:rFonts w:hint="eastAsia" w:ascii="宋体" w:hAnsi="宋体" w:eastAsia="宋体" w:cs="宋体"/>
          <w:sz w:val="24"/>
          <w:szCs w:val="24"/>
          <w:highlight w:val="none"/>
        </w:rPr>
      </w:pPr>
      <w:r>
        <w:rPr>
          <w:rFonts w:hint="eastAsia" w:cs="宋体"/>
          <w:spacing w:val="-4"/>
          <w:sz w:val="24"/>
          <w:szCs w:val="24"/>
          <w:highlight w:val="none"/>
          <w:lang w:eastAsia="zh-CN"/>
        </w:rPr>
        <w:t>（</w:t>
      </w:r>
      <w:r>
        <w:rPr>
          <w:rFonts w:hint="eastAsia" w:cs="宋体"/>
          <w:spacing w:val="-4"/>
          <w:sz w:val="24"/>
          <w:szCs w:val="24"/>
          <w:highlight w:val="none"/>
          <w:lang w:val="en-US" w:eastAsia="zh-CN"/>
        </w:rPr>
        <w:t>3</w:t>
      </w:r>
      <w:r>
        <w:rPr>
          <w:rFonts w:hint="eastAsia" w:cs="宋体"/>
          <w:spacing w:val="-4"/>
          <w:sz w:val="24"/>
          <w:szCs w:val="24"/>
          <w:highlight w:val="none"/>
          <w:lang w:eastAsia="zh-CN"/>
        </w:rPr>
        <w:t>）</w:t>
      </w:r>
      <w:r>
        <w:rPr>
          <w:rFonts w:hint="eastAsia" w:ascii="宋体" w:hAnsi="宋体" w:eastAsia="宋体" w:cs="宋体"/>
          <w:spacing w:val="-4"/>
          <w:sz w:val="24"/>
          <w:szCs w:val="24"/>
          <w:highlight w:val="none"/>
        </w:rPr>
        <w:t xml:space="preserve">我方承诺在从规定的自开标之日起 </w:t>
      </w:r>
      <w:r>
        <w:rPr>
          <w:rFonts w:hint="eastAsia" w:ascii="宋体" w:hAnsi="宋体" w:eastAsia="宋体" w:cs="宋体"/>
          <w:sz w:val="24"/>
          <w:szCs w:val="24"/>
          <w:highlight w:val="none"/>
        </w:rPr>
        <w:t>60</w:t>
      </w:r>
      <w:r>
        <w:rPr>
          <w:rFonts w:hint="eastAsia" w:ascii="宋体" w:hAnsi="宋体" w:eastAsia="宋体" w:cs="宋体"/>
          <w:spacing w:val="-9"/>
          <w:sz w:val="24"/>
          <w:szCs w:val="24"/>
          <w:highlight w:val="none"/>
        </w:rPr>
        <w:t xml:space="preserve"> 日历天的投标有效期内不修改、撤销</w:t>
      </w:r>
      <w:r>
        <w:rPr>
          <w:rFonts w:hint="eastAsia" w:cs="宋体"/>
          <w:spacing w:val="-9"/>
          <w:sz w:val="24"/>
          <w:szCs w:val="24"/>
          <w:highlight w:val="none"/>
          <w:lang w:eastAsia="zh-CN"/>
        </w:rPr>
        <w:t>响应文件</w:t>
      </w:r>
      <w:r>
        <w:rPr>
          <w:rFonts w:hint="eastAsia" w:ascii="宋体" w:hAnsi="宋体" w:eastAsia="宋体" w:cs="宋体"/>
          <w:spacing w:val="-9"/>
          <w:sz w:val="24"/>
          <w:szCs w:val="24"/>
          <w:highlight w:val="none"/>
        </w:rPr>
        <w:t>。</w:t>
      </w:r>
    </w:p>
    <w:p w14:paraId="51D98C9D">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我单位同意提供与招标有关的一切数据和资料,完全理解最低报价不是中标唯一条件。</w:t>
      </w:r>
    </w:p>
    <w:p w14:paraId="2EAE626F">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right="312" w:righ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我方承诺若我方有幸中标，在领取中标通知书前向代理机构支付代理服务费及相关费用。   </w:t>
      </w:r>
    </w:p>
    <w:p w14:paraId="17B101CD">
      <w:pPr>
        <w:pStyle w:val="38"/>
        <w:numPr>
          <w:ilvl w:val="0"/>
          <w:numId w:val="0"/>
        </w:numPr>
        <w:tabs>
          <w:tab w:val="left" w:pos="844"/>
          <w:tab w:val="left" w:pos="2101"/>
          <w:tab w:val="left" w:pos="2439"/>
          <w:tab w:val="left" w:pos="3503"/>
          <w:tab w:val="left" w:pos="3729"/>
          <w:tab w:val="left" w:pos="5451"/>
          <w:tab w:val="left" w:pos="7527"/>
        </w:tabs>
        <w:spacing w:before="170" w:after="0" w:line="393" w:lineRule="auto"/>
        <w:ind w:left="632" w:leftChars="0" w:right="312"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4.我方在此声明，所递交的</w:t>
      </w:r>
      <w:r>
        <w:rPr>
          <w:rFonts w:hint="eastAsia" w:cs="宋体"/>
          <w:sz w:val="24"/>
          <w:szCs w:val="24"/>
          <w:highlight w:val="none"/>
          <w:lang w:eastAsia="zh-CN"/>
        </w:rPr>
        <w:t>响应文件</w:t>
      </w:r>
      <w:r>
        <w:rPr>
          <w:rFonts w:hint="eastAsia" w:ascii="宋体" w:hAnsi="宋体" w:eastAsia="宋体" w:cs="宋体"/>
          <w:sz w:val="24"/>
          <w:szCs w:val="24"/>
          <w:highlight w:val="none"/>
        </w:rPr>
        <w:t>及有关资料内容完整、真实和准确。</w:t>
      </w:r>
    </w:p>
    <w:p w14:paraId="16FB1E8A">
      <w:pPr>
        <w:pStyle w:val="9"/>
        <w:rPr>
          <w:rFonts w:hint="eastAsia" w:ascii="宋体" w:hAnsi="宋体" w:eastAsia="宋体" w:cs="宋体"/>
          <w:sz w:val="24"/>
          <w:szCs w:val="24"/>
          <w:highlight w:val="none"/>
        </w:rPr>
      </w:pPr>
    </w:p>
    <w:p w14:paraId="10D51FB1">
      <w:pPr>
        <w:pStyle w:val="9"/>
        <w:spacing w:before="7"/>
        <w:rPr>
          <w:rFonts w:hint="eastAsia" w:ascii="宋体" w:hAnsi="宋体" w:eastAsia="宋体" w:cs="宋体"/>
          <w:sz w:val="24"/>
          <w:szCs w:val="24"/>
          <w:highlight w:val="none"/>
        </w:rPr>
      </w:pPr>
    </w:p>
    <w:p w14:paraId="779B883D">
      <w:pPr>
        <w:pStyle w:val="9"/>
        <w:spacing w:line="24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（盖单位章）</w:t>
      </w:r>
    </w:p>
    <w:p w14:paraId="0176BF04">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法定代表人或被授权代表：（签字或盖章）</w:t>
      </w:r>
    </w:p>
    <w:p w14:paraId="59D99A29">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rPr>
        <w:tab/>
      </w:r>
    </w:p>
    <w:p w14:paraId="343F4737">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w:t>
      </w:r>
      <w:r>
        <w:rPr>
          <w:rFonts w:hint="eastAsia" w:ascii="宋体" w:hAnsi="宋体" w:eastAsia="宋体" w:cs="宋体"/>
          <w:sz w:val="24"/>
          <w:szCs w:val="24"/>
          <w:highlight w:val="none"/>
        </w:rPr>
        <w:tab/>
      </w:r>
    </w:p>
    <w:p w14:paraId="1BE3B95E">
      <w:pPr>
        <w:pStyle w:val="38"/>
        <w:numPr>
          <w:ilvl w:val="0"/>
          <w:numId w:val="0"/>
        </w:numPr>
        <w:tabs>
          <w:tab w:val="left" w:pos="1464"/>
        </w:tabs>
        <w:spacing w:before="170" w:after="0" w:line="240" w:lineRule="auto"/>
        <w:ind w:right="312" w:rightChars="0" w:firstLine="3120" w:firstLineChars="13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邮政编码： </w:t>
      </w:r>
      <w:r>
        <w:rPr>
          <w:rFonts w:hint="eastAsia" w:ascii="宋体" w:hAnsi="宋体" w:eastAsia="宋体" w:cs="宋体"/>
          <w:sz w:val="24"/>
          <w:szCs w:val="24"/>
          <w:highlight w:val="none"/>
        </w:rPr>
        <w:tab/>
      </w:r>
    </w:p>
    <w:p w14:paraId="01815B82">
      <w:pPr>
        <w:pStyle w:val="38"/>
        <w:numPr>
          <w:ilvl w:val="0"/>
          <w:numId w:val="0"/>
        </w:numPr>
        <w:tabs>
          <w:tab w:val="left" w:pos="1464"/>
        </w:tabs>
        <w:spacing w:before="170" w:after="0" w:line="393" w:lineRule="auto"/>
        <w:ind w:right="312" w:rightChars="0" w:firstLine="480" w:firstLineChars="200"/>
        <w:jc w:val="left"/>
        <w:rPr>
          <w:rFonts w:hint="eastAsia" w:ascii="宋体" w:hAnsi="宋体" w:eastAsia="宋体" w:cs="宋体"/>
          <w:sz w:val="24"/>
          <w:szCs w:val="24"/>
          <w:highlight w:val="none"/>
        </w:rPr>
      </w:pPr>
    </w:p>
    <w:p w14:paraId="5E04DB47">
      <w:pPr>
        <w:pStyle w:val="9"/>
        <w:tabs>
          <w:tab w:val="left" w:pos="420"/>
          <w:tab w:val="left" w:pos="945"/>
          <w:tab w:val="left" w:pos="1574"/>
        </w:tabs>
        <w:spacing w:before="70"/>
        <w:ind w:right="184"/>
        <w:jc w:val="center"/>
        <w:rPr>
          <w:rFonts w:hint="eastAsia" w:ascii="宋体" w:hAnsi="宋体" w:eastAsia="宋体" w:cs="宋体"/>
          <w:sz w:val="24"/>
          <w:szCs w:val="24"/>
          <w:highlight w:val="none"/>
        </w:rPr>
      </w:pPr>
      <w:r>
        <w:rPr>
          <w:rFonts w:hint="eastAsia" w:ascii="宋体" w:hAnsi="宋体" w:eastAsia="宋体" w:cs="宋体"/>
          <w:w w:val="99"/>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5ECCD42D">
      <w:pPr>
        <w:spacing w:after="0"/>
        <w:jc w:val="center"/>
        <w:rPr>
          <w:rFonts w:hint="eastAsia" w:ascii="宋体" w:hAnsi="宋体" w:eastAsia="宋体" w:cs="宋体"/>
          <w:sz w:val="24"/>
          <w:szCs w:val="24"/>
          <w:highlight w:val="none"/>
        </w:rPr>
        <w:sectPr>
          <w:headerReference r:id="rId5" w:type="default"/>
          <w:footerReference r:id="rId6" w:type="default"/>
          <w:pgSz w:w="11910" w:h="16840"/>
          <w:pgMar w:top="1440" w:right="1080" w:bottom="1440" w:left="1080" w:header="882" w:footer="1140" w:gutter="0"/>
          <w:pgNumType w:fmt="decimal"/>
          <w:cols w:space="720" w:num="1"/>
        </w:sectPr>
      </w:pPr>
    </w:p>
    <w:p w14:paraId="4C79CF54">
      <w:pPr>
        <w:widowControl w:val="0"/>
        <w:numPr>
          <w:ilvl w:val="0"/>
          <w:numId w:val="0"/>
        </w:numPr>
        <w:spacing w:line="480" w:lineRule="atLeast"/>
        <w:jc w:val="center"/>
        <w:textAlignment w:val="baseline"/>
        <w:outlineLvl w:val="2"/>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（二）</w:t>
      </w:r>
      <w:r>
        <w:rPr>
          <w:rFonts w:hint="eastAsia" w:ascii="宋体" w:hAnsi="宋体" w:eastAsia="宋体" w:cs="宋体"/>
          <w:b/>
          <w:bCs/>
          <w:sz w:val="32"/>
          <w:szCs w:val="32"/>
          <w:highlight w:val="none"/>
          <w:lang w:val="en-US" w:eastAsia="zh-CN"/>
        </w:rPr>
        <w:t>投标函附录</w:t>
      </w:r>
    </w:p>
    <w:tbl>
      <w:tblPr>
        <w:tblStyle w:val="20"/>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6"/>
        <w:gridCol w:w="6703"/>
      </w:tblGrid>
      <w:tr w14:paraId="6393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2996" w:type="dxa"/>
            <w:noWrap w:val="0"/>
            <w:vAlign w:val="center"/>
          </w:tcPr>
          <w:p w14:paraId="6C6CB918">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项目名称</w:t>
            </w:r>
          </w:p>
        </w:tc>
        <w:tc>
          <w:tcPr>
            <w:tcW w:w="6703" w:type="dxa"/>
            <w:noWrap w:val="0"/>
            <w:vAlign w:val="center"/>
          </w:tcPr>
          <w:p w14:paraId="12430508">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296BA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996" w:type="dxa"/>
            <w:noWrap w:val="0"/>
            <w:vAlign w:val="center"/>
          </w:tcPr>
          <w:p w14:paraId="721A4BC6">
            <w:pPr>
              <w:widowControl w:val="0"/>
              <w:numPr>
                <w:ilvl w:val="0"/>
                <w:numId w:val="0"/>
              </w:numPr>
              <w:spacing w:line="480" w:lineRule="atLeast"/>
              <w:jc w:val="center"/>
              <w:textAlignment w:val="baseline"/>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供应商名称</w:t>
            </w:r>
          </w:p>
        </w:tc>
        <w:tc>
          <w:tcPr>
            <w:tcW w:w="6703" w:type="dxa"/>
            <w:noWrap w:val="0"/>
            <w:vAlign w:val="center"/>
          </w:tcPr>
          <w:p w14:paraId="129C5BCF">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7DDA1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996" w:type="dxa"/>
            <w:noWrap w:val="0"/>
            <w:vAlign w:val="center"/>
          </w:tcPr>
          <w:p w14:paraId="346EEE5B">
            <w:pPr>
              <w:widowControl w:val="0"/>
              <w:numPr>
                <w:ilvl w:val="0"/>
                <w:numId w:val="0"/>
              </w:numPr>
              <w:spacing w:line="480" w:lineRule="atLeast"/>
              <w:jc w:val="center"/>
              <w:textAlignment w:val="baseline"/>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供应商地址</w:t>
            </w:r>
          </w:p>
        </w:tc>
        <w:tc>
          <w:tcPr>
            <w:tcW w:w="6703" w:type="dxa"/>
            <w:noWrap w:val="0"/>
            <w:vAlign w:val="center"/>
          </w:tcPr>
          <w:p w14:paraId="2D6FF16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6FDA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996" w:type="dxa"/>
            <w:noWrap w:val="0"/>
            <w:vAlign w:val="center"/>
          </w:tcPr>
          <w:p w14:paraId="276BFB2C">
            <w:pPr>
              <w:widowControl w:val="0"/>
              <w:numPr>
                <w:ilvl w:val="0"/>
                <w:numId w:val="0"/>
              </w:numPr>
              <w:spacing w:line="480" w:lineRule="atLeast"/>
              <w:jc w:val="center"/>
              <w:textAlignment w:val="baseline"/>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供应商统一社会信用代码</w:t>
            </w:r>
          </w:p>
        </w:tc>
        <w:tc>
          <w:tcPr>
            <w:tcW w:w="6703" w:type="dxa"/>
            <w:noWrap w:val="0"/>
            <w:vAlign w:val="center"/>
          </w:tcPr>
          <w:p w14:paraId="04861A5A">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4FA32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2996" w:type="dxa"/>
            <w:noWrap w:val="0"/>
            <w:vAlign w:val="center"/>
          </w:tcPr>
          <w:p w14:paraId="10095C40">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投标总报价</w:t>
            </w:r>
          </w:p>
        </w:tc>
        <w:tc>
          <w:tcPr>
            <w:tcW w:w="6703" w:type="dxa"/>
            <w:noWrap w:val="0"/>
            <w:vAlign w:val="center"/>
          </w:tcPr>
          <w:p w14:paraId="7ECEB59E">
            <w:pPr>
              <w:widowControl w:val="0"/>
              <w:numPr>
                <w:ilvl w:val="0"/>
                <w:numId w:val="0"/>
              </w:numPr>
              <w:spacing w:line="480" w:lineRule="atLeast"/>
              <w:jc w:val="both"/>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sz w:val="24"/>
                <w:szCs w:val="24"/>
                <w:highlight w:val="none"/>
              </w:rPr>
              <w:t>愿意以</w:t>
            </w:r>
            <w:r>
              <w:rPr>
                <w:rFonts w:hint="eastAsia" w:ascii="宋体" w:hAnsi="宋体"/>
                <w:color w:val="auto"/>
                <w:sz w:val="24"/>
                <w:highlight w:val="none"/>
                <w:lang w:val="en-US" w:eastAsia="zh-CN"/>
              </w:rPr>
              <w:t>下浮率</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rPr>
              <w:t>为投标报价</w:t>
            </w:r>
          </w:p>
        </w:tc>
      </w:tr>
      <w:tr w14:paraId="21A56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2996" w:type="dxa"/>
            <w:noWrap w:val="0"/>
            <w:vAlign w:val="center"/>
          </w:tcPr>
          <w:p w14:paraId="7DE0DD7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服务期限</w:t>
            </w:r>
          </w:p>
        </w:tc>
        <w:tc>
          <w:tcPr>
            <w:tcW w:w="6703" w:type="dxa"/>
            <w:noWrap w:val="0"/>
            <w:vAlign w:val="center"/>
          </w:tcPr>
          <w:p w14:paraId="0B2BEA44">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1FC4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0E93640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服务质量</w:t>
            </w:r>
          </w:p>
        </w:tc>
        <w:tc>
          <w:tcPr>
            <w:tcW w:w="6703" w:type="dxa"/>
            <w:noWrap w:val="0"/>
            <w:vAlign w:val="center"/>
          </w:tcPr>
          <w:p w14:paraId="5C8D1697">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r w14:paraId="368D9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4CB52000">
            <w:pPr>
              <w:spacing w:line="460" w:lineRule="exact"/>
              <w:jc w:val="center"/>
              <w:rPr>
                <w:rFonts w:hint="eastAsia" w:ascii="宋体" w:hAnsi="宋体" w:eastAsia="宋体" w:cs="宋体"/>
                <w:b w:val="0"/>
                <w:bCs w:val="0"/>
                <w:sz w:val="24"/>
                <w:szCs w:val="24"/>
                <w:highlight w:val="none"/>
                <w:lang w:val="en-US" w:eastAsia="zh-CN"/>
              </w:rPr>
            </w:pPr>
            <w:r>
              <w:rPr>
                <w:rFonts w:hint="eastAsia" w:ascii="宋体" w:hAnsi="宋体" w:eastAsia="宋体" w:cs="Times New Roman"/>
                <w:sz w:val="24"/>
                <w:szCs w:val="24"/>
                <w:highlight w:val="none"/>
              </w:rPr>
              <w:t>磋商有效期</w:t>
            </w:r>
          </w:p>
        </w:tc>
        <w:tc>
          <w:tcPr>
            <w:tcW w:w="6703" w:type="dxa"/>
            <w:noWrap w:val="0"/>
            <w:vAlign w:val="center"/>
          </w:tcPr>
          <w:p w14:paraId="0EE525E0">
            <w:pPr>
              <w:spacing w:line="460" w:lineRule="exact"/>
              <w:rPr>
                <w:rFonts w:hint="eastAsia" w:ascii="宋体" w:hAnsi="宋体" w:eastAsia="宋体" w:cs="宋体"/>
                <w:b w:val="0"/>
                <w:bCs w:val="0"/>
                <w:sz w:val="24"/>
                <w:szCs w:val="24"/>
                <w:highlight w:val="none"/>
                <w:lang w:val="en-US" w:eastAsia="zh-CN"/>
              </w:rPr>
            </w:pPr>
          </w:p>
        </w:tc>
      </w:tr>
      <w:tr w14:paraId="0FD5D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2996" w:type="dxa"/>
            <w:noWrap w:val="0"/>
            <w:vAlign w:val="center"/>
          </w:tcPr>
          <w:p w14:paraId="371D61F1">
            <w:pPr>
              <w:spacing w:line="460" w:lineRule="exact"/>
              <w:jc w:val="center"/>
              <w:rPr>
                <w:rFonts w:hint="default" w:ascii="宋体" w:hAnsi="宋体" w:eastAsia="宋体" w:cs="Times New Roman"/>
                <w:sz w:val="24"/>
                <w:szCs w:val="24"/>
                <w:highlight w:val="none"/>
                <w:lang w:val="en-US" w:eastAsia="zh-CN"/>
              </w:rPr>
            </w:pPr>
            <w:r>
              <w:rPr>
                <w:rFonts w:hint="eastAsia" w:ascii="宋体" w:hAnsi="宋体" w:cs="Times New Roman"/>
                <w:sz w:val="24"/>
                <w:szCs w:val="24"/>
                <w:highlight w:val="none"/>
                <w:lang w:val="en-US" w:eastAsia="zh-CN"/>
              </w:rPr>
              <w:t>项目联系人及联系方式</w:t>
            </w:r>
          </w:p>
        </w:tc>
        <w:tc>
          <w:tcPr>
            <w:tcW w:w="6703" w:type="dxa"/>
            <w:noWrap w:val="0"/>
            <w:vAlign w:val="center"/>
          </w:tcPr>
          <w:p w14:paraId="50D9A3DB">
            <w:pPr>
              <w:spacing w:line="460" w:lineRule="exact"/>
              <w:rPr>
                <w:rFonts w:hint="eastAsia" w:ascii="宋体" w:hAnsi="宋体" w:eastAsia="宋体" w:cs="宋体"/>
                <w:b w:val="0"/>
                <w:bCs w:val="0"/>
                <w:sz w:val="24"/>
                <w:szCs w:val="24"/>
                <w:highlight w:val="none"/>
                <w:lang w:val="en-US" w:eastAsia="zh-CN"/>
              </w:rPr>
            </w:pPr>
          </w:p>
        </w:tc>
      </w:tr>
      <w:tr w14:paraId="325B6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2996" w:type="dxa"/>
            <w:noWrap w:val="0"/>
            <w:vAlign w:val="center"/>
          </w:tcPr>
          <w:p w14:paraId="130AC8AC">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备注</w:t>
            </w:r>
          </w:p>
        </w:tc>
        <w:tc>
          <w:tcPr>
            <w:tcW w:w="6703" w:type="dxa"/>
            <w:noWrap w:val="0"/>
            <w:vAlign w:val="center"/>
          </w:tcPr>
          <w:p w14:paraId="1BF22423">
            <w:pPr>
              <w:widowControl w:val="0"/>
              <w:numPr>
                <w:ilvl w:val="0"/>
                <w:numId w:val="0"/>
              </w:numPr>
              <w:spacing w:line="480" w:lineRule="atLeast"/>
              <w:jc w:val="center"/>
              <w:textAlignment w:val="baseline"/>
              <w:rPr>
                <w:rFonts w:hint="eastAsia" w:ascii="宋体" w:hAnsi="宋体" w:eastAsia="宋体" w:cs="宋体"/>
                <w:b w:val="0"/>
                <w:bCs w:val="0"/>
                <w:sz w:val="24"/>
                <w:szCs w:val="24"/>
                <w:highlight w:val="none"/>
                <w:lang w:val="en-US" w:eastAsia="zh-CN"/>
              </w:rPr>
            </w:pPr>
          </w:p>
        </w:tc>
      </w:tr>
    </w:tbl>
    <w:p w14:paraId="4AE840C4">
      <w:pPr>
        <w:widowControl w:val="0"/>
        <w:numPr>
          <w:ilvl w:val="0"/>
          <w:numId w:val="0"/>
        </w:numPr>
        <w:spacing w:line="480" w:lineRule="atLeast"/>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14:paraId="4F910F08">
      <w:pPr>
        <w:pStyle w:val="9"/>
        <w:spacing w:line="360" w:lineRule="auto"/>
        <w:rPr>
          <w:rFonts w:hint="eastAsia" w:ascii="宋体" w:hAnsi="宋体" w:eastAsia="宋体" w:cs="宋体"/>
          <w:sz w:val="24"/>
          <w:szCs w:val="24"/>
          <w:highlight w:val="none"/>
        </w:rPr>
      </w:pPr>
    </w:p>
    <w:p w14:paraId="1F25C702">
      <w:pPr>
        <w:pStyle w:val="9"/>
        <w:spacing w:before="168"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444A8C48">
      <w:pPr>
        <w:pStyle w:val="9"/>
        <w:spacing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42EB8040">
      <w:pPr>
        <w:pStyle w:val="9"/>
        <w:tabs>
          <w:tab w:val="left" w:pos="1944"/>
          <w:tab w:val="left" w:pos="3146"/>
          <w:tab w:val="left" w:pos="4407"/>
        </w:tabs>
        <w:spacing w:line="360" w:lineRule="auto"/>
        <w:ind w:left="472"/>
        <w:rPr>
          <w:rFonts w:hint="eastAsia" w:ascii="宋体" w:hAnsi="宋体" w:eastAsia="宋体" w:cs="宋体"/>
          <w:sz w:val="24"/>
          <w:szCs w:val="24"/>
          <w:highlight w:val="none"/>
        </w:rPr>
      </w:pPr>
      <w:r>
        <w:rPr>
          <w:rFonts w:hint="eastAsia" w:ascii="宋体" w:hAnsi="宋体" w:eastAsia="宋体" w:cs="宋体"/>
          <w:sz w:val="24"/>
          <w:szCs w:val="24"/>
          <w:highlight w:val="none"/>
        </w:rPr>
        <w:t>日</w:t>
      </w:r>
      <w:r>
        <w:rPr>
          <w:rFonts w:hint="eastAsia" w:ascii="宋体" w:hAnsi="宋体" w:eastAsia="宋体" w:cs="宋体"/>
          <w:spacing w:val="2"/>
          <w:sz w:val="24"/>
          <w:szCs w:val="24"/>
          <w:highlight w:val="none"/>
        </w:rPr>
        <w:t xml:space="preserve"> </w:t>
      </w:r>
      <w:r>
        <w:rPr>
          <w:rFonts w:hint="eastAsia" w:ascii="宋体" w:hAnsi="宋体" w:eastAsia="宋体" w:cs="宋体"/>
          <w:spacing w:val="-3"/>
          <w:sz w:val="24"/>
          <w:szCs w:val="24"/>
          <w:highlight w:val="none"/>
        </w:rPr>
        <w:t>期</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0C1B61B4">
      <w:pPr>
        <w:bidi w:val="0"/>
        <w:rPr>
          <w:rFonts w:hint="default" w:ascii="Calibri" w:hAnsi="Calibri" w:eastAsia="宋体" w:cs="Times New Roman"/>
          <w:kern w:val="2"/>
          <w:sz w:val="21"/>
          <w:szCs w:val="24"/>
          <w:highlight w:val="none"/>
          <w:lang w:val="en-US" w:eastAsia="zh-CN" w:bidi="ar-SA"/>
        </w:rPr>
      </w:pPr>
    </w:p>
    <w:p w14:paraId="008012EF">
      <w:pPr>
        <w:spacing w:before="58"/>
        <w:ind w:left="321" w:right="17" w:firstLine="0"/>
        <w:jc w:val="center"/>
        <w:outlineLvl w:val="1"/>
        <w:rPr>
          <w:b/>
          <w:sz w:val="30"/>
          <w:highlight w:val="none"/>
        </w:rPr>
      </w:pPr>
      <w:bookmarkStart w:id="89" w:name="_Toc21576"/>
      <w:r>
        <w:rPr>
          <w:rFonts w:hint="eastAsia"/>
          <w:b/>
          <w:sz w:val="30"/>
          <w:highlight w:val="none"/>
          <w:lang w:val="en-US" w:eastAsia="zh-CN"/>
        </w:rPr>
        <w:t>二</w:t>
      </w:r>
      <w:r>
        <w:rPr>
          <w:b/>
          <w:sz w:val="30"/>
          <w:highlight w:val="none"/>
        </w:rPr>
        <w:t>、法定代表人身份证明</w:t>
      </w:r>
      <w:bookmarkEnd w:id="89"/>
    </w:p>
    <w:p w14:paraId="4C86AE37">
      <w:pPr>
        <w:pStyle w:val="9"/>
        <w:spacing w:before="8" w:line="480" w:lineRule="auto"/>
        <w:rPr>
          <w:b/>
          <w:highlight w:val="none"/>
        </w:rPr>
      </w:pPr>
    </w:p>
    <w:p w14:paraId="7B628ECB">
      <w:pPr>
        <w:pStyle w:val="9"/>
        <w:tabs>
          <w:tab w:val="left" w:pos="2789"/>
          <w:tab w:val="left" w:pos="3838"/>
          <w:tab w:val="left" w:pos="4887"/>
        </w:tabs>
        <w:spacing w:before="2" w:line="480" w:lineRule="auto"/>
        <w:ind w:left="686"/>
        <w:rPr>
          <w:sz w:val="24"/>
          <w:szCs w:val="24"/>
          <w:highlight w:val="none"/>
        </w:rPr>
      </w:pPr>
      <w:r>
        <w:rPr>
          <w:sz w:val="24"/>
          <w:szCs w:val="24"/>
          <w:highlight w:val="none"/>
        </w:rPr>
        <w:t>供应商名称：</w:t>
      </w:r>
    </w:p>
    <w:p w14:paraId="416994AB">
      <w:pPr>
        <w:pStyle w:val="9"/>
        <w:tabs>
          <w:tab w:val="left" w:pos="2789"/>
          <w:tab w:val="left" w:pos="3838"/>
          <w:tab w:val="left" w:pos="4887"/>
        </w:tabs>
        <w:spacing w:before="2" w:line="480" w:lineRule="auto"/>
        <w:ind w:left="686"/>
        <w:rPr>
          <w:sz w:val="24"/>
          <w:szCs w:val="24"/>
          <w:highlight w:val="none"/>
        </w:rPr>
      </w:pPr>
      <w:r>
        <w:rPr>
          <w:sz w:val="24"/>
          <w:szCs w:val="24"/>
          <w:highlight w:val="none"/>
        </w:rPr>
        <w:t>单位性质：</w:t>
      </w:r>
    </w:p>
    <w:p w14:paraId="61ADF89D">
      <w:pPr>
        <w:pStyle w:val="9"/>
        <w:tabs>
          <w:tab w:val="left" w:pos="2789"/>
          <w:tab w:val="left" w:pos="3838"/>
          <w:tab w:val="left" w:pos="4887"/>
        </w:tabs>
        <w:spacing w:before="2" w:line="480" w:lineRule="auto"/>
        <w:ind w:left="686"/>
        <w:rPr>
          <w:sz w:val="24"/>
          <w:szCs w:val="24"/>
          <w:highlight w:val="none"/>
        </w:rPr>
      </w:pPr>
      <w:r>
        <w:rPr>
          <w:sz w:val="24"/>
          <w:szCs w:val="24"/>
          <w:highlight w:val="none"/>
        </w:rPr>
        <w:t xml:space="preserve">地址：  </w:t>
      </w:r>
    </w:p>
    <w:p w14:paraId="3C87D6FE">
      <w:pPr>
        <w:pStyle w:val="9"/>
        <w:tabs>
          <w:tab w:val="left" w:pos="2789"/>
          <w:tab w:val="left" w:pos="3838"/>
          <w:tab w:val="left" w:pos="4887"/>
        </w:tabs>
        <w:spacing w:before="2" w:line="480" w:lineRule="auto"/>
        <w:ind w:left="686"/>
        <w:rPr>
          <w:sz w:val="24"/>
          <w:szCs w:val="24"/>
          <w:highlight w:val="none"/>
        </w:rPr>
      </w:pPr>
      <w:r>
        <w:rPr>
          <w:sz w:val="24"/>
          <w:szCs w:val="24"/>
          <w:highlight w:val="none"/>
        </w:rPr>
        <w:t>成立</w:t>
      </w:r>
      <w:r>
        <w:rPr>
          <w:spacing w:val="-3"/>
          <w:sz w:val="24"/>
          <w:szCs w:val="24"/>
          <w:highlight w:val="none"/>
        </w:rPr>
        <w:t>时</w:t>
      </w:r>
      <w:r>
        <w:rPr>
          <w:sz w:val="24"/>
          <w:szCs w:val="24"/>
          <w:highlight w:val="none"/>
        </w:rPr>
        <w:t>间</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年</w:t>
      </w:r>
      <w:r>
        <w:rPr>
          <w:spacing w:val="-3"/>
          <w:sz w:val="24"/>
          <w:szCs w:val="24"/>
          <w:highlight w:val="none"/>
          <w:u w:val="single"/>
        </w:rPr>
        <w:t xml:space="preserve"> </w:t>
      </w:r>
      <w:r>
        <w:rPr>
          <w:spacing w:val="-3"/>
          <w:sz w:val="24"/>
          <w:szCs w:val="24"/>
          <w:highlight w:val="none"/>
          <w:u w:val="single"/>
        </w:rPr>
        <w:tab/>
      </w:r>
      <w:r>
        <w:rPr>
          <w:sz w:val="24"/>
          <w:szCs w:val="24"/>
          <w:highlight w:val="none"/>
        </w:rPr>
        <w:t>月</w:t>
      </w:r>
      <w:r>
        <w:rPr>
          <w:sz w:val="24"/>
          <w:szCs w:val="24"/>
          <w:highlight w:val="none"/>
          <w:u w:val="single"/>
        </w:rPr>
        <w:t xml:space="preserve"> </w:t>
      </w:r>
      <w:r>
        <w:rPr>
          <w:sz w:val="24"/>
          <w:szCs w:val="24"/>
          <w:highlight w:val="none"/>
          <w:u w:val="single"/>
        </w:rPr>
        <w:tab/>
      </w:r>
      <w:r>
        <w:rPr>
          <w:sz w:val="24"/>
          <w:szCs w:val="24"/>
          <w:highlight w:val="none"/>
        </w:rPr>
        <w:t>日</w:t>
      </w:r>
    </w:p>
    <w:p w14:paraId="389CD3AA">
      <w:pPr>
        <w:pStyle w:val="9"/>
        <w:spacing w:before="72" w:line="480" w:lineRule="auto"/>
        <w:ind w:left="686"/>
        <w:rPr>
          <w:sz w:val="24"/>
          <w:szCs w:val="24"/>
          <w:highlight w:val="none"/>
        </w:rPr>
      </w:pPr>
      <w:r>
        <w:rPr>
          <w:sz w:val="24"/>
          <w:szCs w:val="24"/>
          <w:highlight w:val="none"/>
        </w:rPr>
        <w:t>经营期限：</w:t>
      </w:r>
    </w:p>
    <w:p w14:paraId="238AFACC">
      <w:pPr>
        <w:pStyle w:val="9"/>
        <w:tabs>
          <w:tab w:val="left" w:pos="2311"/>
          <w:tab w:val="left" w:pos="3944"/>
          <w:tab w:val="left" w:pos="5412"/>
        </w:tabs>
        <w:spacing w:line="480" w:lineRule="auto"/>
        <w:ind w:left="686"/>
        <w:rPr>
          <w:sz w:val="24"/>
          <w:szCs w:val="24"/>
          <w:highlight w:val="none"/>
        </w:rPr>
      </w:pPr>
      <w:r>
        <w:rPr>
          <w:sz w:val="24"/>
          <w:szCs w:val="24"/>
          <w:highlight w:val="none"/>
        </w:rPr>
        <w:t>姓名</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性</w:t>
      </w:r>
      <w:r>
        <w:rPr>
          <w:sz w:val="24"/>
          <w:szCs w:val="24"/>
          <w:highlight w:val="none"/>
        </w:rPr>
        <w:t>别</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pacing w:val="-3"/>
          <w:sz w:val="24"/>
          <w:szCs w:val="24"/>
          <w:highlight w:val="none"/>
        </w:rPr>
        <w:t>年</w:t>
      </w:r>
      <w:r>
        <w:rPr>
          <w:sz w:val="24"/>
          <w:szCs w:val="24"/>
          <w:highlight w:val="none"/>
        </w:rPr>
        <w:t>龄</w:t>
      </w:r>
      <w:r>
        <w:rPr>
          <w:spacing w:val="-3"/>
          <w:sz w:val="24"/>
          <w:szCs w:val="24"/>
          <w:highlight w:val="none"/>
        </w:rPr>
        <w:t>：</w:t>
      </w:r>
      <w:r>
        <w:rPr>
          <w:spacing w:val="-3"/>
          <w:sz w:val="24"/>
          <w:szCs w:val="24"/>
          <w:highlight w:val="none"/>
          <w:u w:val="single"/>
        </w:rPr>
        <w:t xml:space="preserve"> </w:t>
      </w:r>
      <w:r>
        <w:rPr>
          <w:spacing w:val="-3"/>
          <w:sz w:val="24"/>
          <w:szCs w:val="24"/>
          <w:highlight w:val="none"/>
          <w:u w:val="single"/>
        </w:rPr>
        <w:tab/>
      </w:r>
      <w:r>
        <w:rPr>
          <w:sz w:val="24"/>
          <w:szCs w:val="24"/>
          <w:highlight w:val="none"/>
        </w:rPr>
        <w:t>职务：</w:t>
      </w:r>
    </w:p>
    <w:p w14:paraId="26A1E94D">
      <w:pPr>
        <w:pStyle w:val="9"/>
        <w:tabs>
          <w:tab w:val="left" w:pos="3991"/>
        </w:tabs>
        <w:spacing w:before="79" w:line="480" w:lineRule="auto"/>
        <w:ind w:left="686"/>
        <w:rPr>
          <w:sz w:val="24"/>
          <w:szCs w:val="24"/>
          <w:highlight w:val="none"/>
        </w:rPr>
      </w:pPr>
      <w:r>
        <w:rPr>
          <w:sz w:val="24"/>
          <w:szCs w:val="24"/>
          <w:highlight w:val="none"/>
        </w:rPr>
        <w:t>系</w:t>
      </w:r>
      <w:r>
        <w:rPr>
          <w:sz w:val="24"/>
          <w:szCs w:val="24"/>
          <w:highlight w:val="none"/>
          <w:u w:val="single"/>
        </w:rPr>
        <w:t xml:space="preserve"> </w:t>
      </w:r>
      <w:r>
        <w:rPr>
          <w:sz w:val="24"/>
          <w:szCs w:val="24"/>
          <w:highlight w:val="none"/>
          <w:u w:val="single"/>
        </w:rPr>
        <w:tab/>
      </w:r>
      <w:r>
        <w:rPr>
          <w:sz w:val="24"/>
          <w:szCs w:val="24"/>
          <w:highlight w:val="none"/>
        </w:rPr>
        <w:t>（</w:t>
      </w:r>
      <w:r>
        <w:rPr>
          <w:spacing w:val="-3"/>
          <w:sz w:val="24"/>
          <w:szCs w:val="24"/>
          <w:highlight w:val="none"/>
        </w:rPr>
        <w:t>供</w:t>
      </w:r>
      <w:r>
        <w:rPr>
          <w:sz w:val="24"/>
          <w:szCs w:val="24"/>
          <w:highlight w:val="none"/>
        </w:rPr>
        <w:t>应</w:t>
      </w:r>
      <w:r>
        <w:rPr>
          <w:spacing w:val="-3"/>
          <w:sz w:val="24"/>
          <w:szCs w:val="24"/>
          <w:highlight w:val="none"/>
        </w:rPr>
        <w:t>商</w:t>
      </w:r>
      <w:r>
        <w:rPr>
          <w:sz w:val="24"/>
          <w:szCs w:val="24"/>
          <w:highlight w:val="none"/>
        </w:rPr>
        <w:t>名</w:t>
      </w:r>
      <w:r>
        <w:rPr>
          <w:spacing w:val="-3"/>
          <w:sz w:val="24"/>
          <w:szCs w:val="24"/>
          <w:highlight w:val="none"/>
        </w:rPr>
        <w:t>称）</w:t>
      </w:r>
      <w:r>
        <w:rPr>
          <w:sz w:val="24"/>
          <w:szCs w:val="24"/>
          <w:highlight w:val="none"/>
        </w:rPr>
        <w:t>的法</w:t>
      </w:r>
      <w:r>
        <w:rPr>
          <w:spacing w:val="-3"/>
          <w:sz w:val="24"/>
          <w:szCs w:val="24"/>
          <w:highlight w:val="none"/>
        </w:rPr>
        <w:t>定</w:t>
      </w:r>
      <w:r>
        <w:rPr>
          <w:sz w:val="24"/>
          <w:szCs w:val="24"/>
          <w:highlight w:val="none"/>
        </w:rPr>
        <w:t>代</w:t>
      </w:r>
      <w:r>
        <w:rPr>
          <w:spacing w:val="-3"/>
          <w:sz w:val="24"/>
          <w:szCs w:val="24"/>
          <w:highlight w:val="none"/>
        </w:rPr>
        <w:t>表</w:t>
      </w:r>
      <w:r>
        <w:rPr>
          <w:sz w:val="24"/>
          <w:szCs w:val="24"/>
          <w:highlight w:val="none"/>
        </w:rPr>
        <w:t>人。</w:t>
      </w:r>
    </w:p>
    <w:p w14:paraId="4EB5387C">
      <w:pPr>
        <w:pStyle w:val="9"/>
        <w:spacing w:before="11"/>
        <w:rPr>
          <w:sz w:val="24"/>
          <w:szCs w:val="24"/>
          <w:highlight w:val="none"/>
        </w:rPr>
      </w:pPr>
    </w:p>
    <w:p w14:paraId="399989A5">
      <w:pPr>
        <w:pStyle w:val="9"/>
        <w:spacing w:before="71"/>
        <w:ind w:left="1102"/>
        <w:rPr>
          <w:sz w:val="24"/>
          <w:szCs w:val="24"/>
          <w:highlight w:val="none"/>
        </w:rPr>
      </w:pPr>
      <w:r>
        <w:rPr>
          <w:sz w:val="24"/>
          <w:szCs w:val="24"/>
          <w:highlight w:val="none"/>
        </w:rPr>
        <w:t>特此证明。</w:t>
      </w:r>
    </w:p>
    <w:p w14:paraId="5B1207A3">
      <w:pPr>
        <w:pStyle w:val="9"/>
        <w:spacing w:before="4"/>
        <w:rPr>
          <w:sz w:val="24"/>
          <w:szCs w:val="24"/>
          <w:highlight w:val="none"/>
        </w:rPr>
      </w:pPr>
    </w:p>
    <w:p w14:paraId="777C15C0">
      <w:pPr>
        <w:pStyle w:val="9"/>
        <w:ind w:left="682"/>
        <w:rPr>
          <w:sz w:val="24"/>
          <w:szCs w:val="24"/>
          <w:highlight w:val="none"/>
        </w:rPr>
      </w:pPr>
      <w:r>
        <w:rPr>
          <w:sz w:val="24"/>
          <w:szCs w:val="24"/>
          <w:highlight w:val="none"/>
        </w:rPr>
        <w:t>附：法定代表人身份证复印件</w:t>
      </w:r>
    </w:p>
    <w:p w14:paraId="32386A15">
      <w:pPr>
        <w:pStyle w:val="9"/>
        <w:rPr>
          <w:sz w:val="24"/>
          <w:szCs w:val="24"/>
          <w:highlight w:val="none"/>
        </w:rPr>
      </w:pPr>
    </w:p>
    <w:p w14:paraId="07C739E4">
      <w:pPr>
        <w:pStyle w:val="9"/>
        <w:rPr>
          <w:sz w:val="24"/>
          <w:szCs w:val="24"/>
          <w:highlight w:val="none"/>
        </w:rPr>
      </w:pPr>
    </w:p>
    <w:p w14:paraId="3337D1E2">
      <w:pPr>
        <w:pStyle w:val="9"/>
        <w:rPr>
          <w:sz w:val="24"/>
          <w:szCs w:val="24"/>
          <w:highlight w:val="none"/>
        </w:rPr>
      </w:pPr>
    </w:p>
    <w:p w14:paraId="22D1C88E">
      <w:pPr>
        <w:pStyle w:val="9"/>
        <w:rPr>
          <w:sz w:val="24"/>
          <w:szCs w:val="24"/>
          <w:highlight w:val="none"/>
        </w:rPr>
      </w:pPr>
    </w:p>
    <w:p w14:paraId="6B8BABB9">
      <w:pPr>
        <w:pStyle w:val="9"/>
        <w:rPr>
          <w:sz w:val="24"/>
          <w:szCs w:val="24"/>
          <w:highlight w:val="none"/>
        </w:rPr>
      </w:pPr>
    </w:p>
    <w:p w14:paraId="0947C314">
      <w:pPr>
        <w:pStyle w:val="9"/>
        <w:spacing w:before="5"/>
        <w:rPr>
          <w:sz w:val="24"/>
          <w:szCs w:val="24"/>
          <w:highlight w:val="none"/>
        </w:rPr>
      </w:pPr>
    </w:p>
    <w:p w14:paraId="6FDC5278">
      <w:pPr>
        <w:pStyle w:val="9"/>
        <w:tabs>
          <w:tab w:val="left" w:pos="5616"/>
        </w:tabs>
        <w:ind w:left="2993"/>
        <w:rPr>
          <w:sz w:val="24"/>
          <w:szCs w:val="24"/>
          <w:highlight w:val="none"/>
        </w:rPr>
      </w:pPr>
      <w:r>
        <w:rPr>
          <w:spacing w:val="-3"/>
          <w:sz w:val="24"/>
          <w:szCs w:val="24"/>
          <w:highlight w:val="none"/>
        </w:rPr>
        <w:t>供</w:t>
      </w:r>
      <w:r>
        <w:rPr>
          <w:sz w:val="24"/>
          <w:szCs w:val="24"/>
          <w:highlight w:val="none"/>
        </w:rPr>
        <w:t>应</w:t>
      </w:r>
      <w:r>
        <w:rPr>
          <w:spacing w:val="-3"/>
          <w:sz w:val="24"/>
          <w:szCs w:val="24"/>
          <w:highlight w:val="none"/>
        </w:rPr>
        <w:t>商</w:t>
      </w:r>
      <w:r>
        <w:rPr>
          <w:sz w:val="24"/>
          <w:szCs w:val="24"/>
          <w:highlight w:val="none"/>
        </w:rPr>
        <w:t>：</w:t>
      </w:r>
      <w:r>
        <w:rPr>
          <w:sz w:val="24"/>
          <w:szCs w:val="24"/>
          <w:highlight w:val="none"/>
          <w:u w:val="single"/>
        </w:rPr>
        <w:t xml:space="preserve"> </w:t>
      </w:r>
      <w:r>
        <w:rPr>
          <w:sz w:val="24"/>
          <w:szCs w:val="24"/>
          <w:highlight w:val="none"/>
          <w:u w:val="single"/>
        </w:rPr>
        <w:tab/>
      </w:r>
      <w:r>
        <w:rPr>
          <w:sz w:val="24"/>
          <w:szCs w:val="24"/>
          <w:highlight w:val="none"/>
        </w:rPr>
        <w:t>（</w:t>
      </w:r>
      <w:r>
        <w:rPr>
          <w:spacing w:val="-3"/>
          <w:sz w:val="24"/>
          <w:szCs w:val="24"/>
          <w:highlight w:val="none"/>
        </w:rPr>
        <w:t>盖</w:t>
      </w:r>
      <w:r>
        <w:rPr>
          <w:sz w:val="24"/>
          <w:szCs w:val="24"/>
          <w:highlight w:val="none"/>
        </w:rPr>
        <w:t>单</w:t>
      </w:r>
      <w:r>
        <w:rPr>
          <w:spacing w:val="-3"/>
          <w:sz w:val="24"/>
          <w:szCs w:val="24"/>
          <w:highlight w:val="none"/>
        </w:rPr>
        <w:t>位</w:t>
      </w:r>
      <w:r>
        <w:rPr>
          <w:sz w:val="24"/>
          <w:szCs w:val="24"/>
          <w:highlight w:val="none"/>
        </w:rPr>
        <w:t>章）</w:t>
      </w:r>
    </w:p>
    <w:p w14:paraId="19F99778">
      <w:pPr>
        <w:pStyle w:val="9"/>
        <w:spacing w:before="11"/>
        <w:rPr>
          <w:sz w:val="24"/>
          <w:szCs w:val="24"/>
          <w:highlight w:val="none"/>
        </w:rPr>
      </w:pPr>
    </w:p>
    <w:p w14:paraId="1814C099">
      <w:pPr>
        <w:pStyle w:val="9"/>
        <w:tabs>
          <w:tab w:val="left" w:pos="734"/>
          <w:tab w:val="left" w:pos="1677"/>
          <w:tab w:val="left" w:pos="2623"/>
        </w:tabs>
        <w:spacing w:before="72"/>
        <w:ind w:right="10"/>
        <w:jc w:val="center"/>
        <w:rPr>
          <w:sz w:val="24"/>
          <w:szCs w:val="24"/>
          <w:highlight w:val="none"/>
        </w:rPr>
      </w:pPr>
      <w:r>
        <w:rPr>
          <w:rFonts w:ascii="Times New Roman" w:eastAsia="Times New Roman"/>
          <w:w w:val="100"/>
          <w:sz w:val="24"/>
          <w:szCs w:val="24"/>
          <w:highlight w:val="none"/>
          <w:u w:val="single"/>
        </w:rPr>
        <w:t xml:space="preserve"> </w:t>
      </w:r>
      <w:r>
        <w:rPr>
          <w:rFonts w:ascii="Times New Roman" w:eastAsia="Times New Roman"/>
          <w:sz w:val="24"/>
          <w:szCs w:val="24"/>
          <w:highlight w:val="none"/>
          <w:u w:val="single"/>
        </w:rPr>
        <w:tab/>
      </w:r>
      <w:r>
        <w:rPr>
          <w:sz w:val="24"/>
          <w:szCs w:val="24"/>
          <w:highlight w:val="none"/>
        </w:rPr>
        <w:t>年</w:t>
      </w:r>
      <w:r>
        <w:rPr>
          <w:sz w:val="24"/>
          <w:szCs w:val="24"/>
          <w:highlight w:val="none"/>
          <w:u w:val="single"/>
        </w:rPr>
        <w:t xml:space="preserve"> </w:t>
      </w:r>
      <w:r>
        <w:rPr>
          <w:sz w:val="24"/>
          <w:szCs w:val="24"/>
          <w:highlight w:val="none"/>
          <w:u w:val="single"/>
        </w:rPr>
        <w:tab/>
      </w:r>
      <w:r>
        <w:rPr>
          <w:sz w:val="24"/>
          <w:szCs w:val="24"/>
          <w:highlight w:val="none"/>
        </w:rPr>
        <w:t>月</w:t>
      </w:r>
      <w:r>
        <w:rPr>
          <w:sz w:val="24"/>
          <w:szCs w:val="24"/>
          <w:highlight w:val="none"/>
          <w:u w:val="single"/>
        </w:rPr>
        <w:t xml:space="preserve"> </w:t>
      </w:r>
      <w:r>
        <w:rPr>
          <w:sz w:val="24"/>
          <w:szCs w:val="24"/>
          <w:highlight w:val="none"/>
          <w:u w:val="single"/>
        </w:rPr>
        <w:tab/>
      </w:r>
      <w:r>
        <w:rPr>
          <w:sz w:val="24"/>
          <w:szCs w:val="24"/>
          <w:highlight w:val="none"/>
        </w:rPr>
        <w:t>日</w:t>
      </w:r>
    </w:p>
    <w:p w14:paraId="1AB39087">
      <w:pPr>
        <w:spacing w:after="0"/>
        <w:jc w:val="center"/>
        <w:rPr>
          <w:sz w:val="24"/>
          <w:szCs w:val="24"/>
          <w:highlight w:val="none"/>
        </w:rPr>
        <w:sectPr>
          <w:pgSz w:w="11910" w:h="16840"/>
          <w:pgMar w:top="1440" w:right="1080" w:bottom="1440" w:left="1080" w:header="762" w:footer="738" w:gutter="0"/>
          <w:pgNumType w:fmt="decimal"/>
          <w:cols w:space="720" w:num="1"/>
        </w:sectPr>
      </w:pPr>
    </w:p>
    <w:p w14:paraId="76E160D4">
      <w:pPr>
        <w:spacing w:line="480" w:lineRule="atLeast"/>
        <w:ind w:firstLine="567"/>
        <w:jc w:val="center"/>
        <w:textAlignment w:val="baseline"/>
        <w:outlineLvl w:val="1"/>
        <w:rPr>
          <w:rFonts w:hint="eastAsia" w:ascii="宋体" w:hAnsi="宋体" w:eastAsia="宋体" w:cs="宋体"/>
          <w:sz w:val="24"/>
          <w:szCs w:val="24"/>
          <w:highlight w:val="none"/>
        </w:rPr>
      </w:pPr>
      <w:bookmarkStart w:id="90" w:name="_Toc161"/>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rPr>
        <w:t>、授权委托书</w:t>
      </w:r>
      <w:bookmarkEnd w:id="90"/>
    </w:p>
    <w:p w14:paraId="300516F7">
      <w:pPr>
        <w:spacing w:line="480" w:lineRule="atLeast"/>
        <w:ind w:firstLine="567"/>
        <w:textAlignment w:val="baseline"/>
        <w:rPr>
          <w:rFonts w:hint="eastAsia" w:ascii="宋体" w:hAnsi="宋体" w:eastAsia="宋体" w:cs="宋体"/>
          <w:sz w:val="24"/>
          <w:szCs w:val="24"/>
          <w:highlight w:val="none"/>
        </w:rPr>
      </w:pPr>
    </w:p>
    <w:p w14:paraId="6450B46A">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本人 </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（姓名）系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（供应商名称）的法定代表人，现委托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、签订合同和处理有关事宜，其法律后果由我方承担。委托期限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w:t>
      </w:r>
    </w:p>
    <w:p w14:paraId="707E531E">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3E710FED">
      <w:pPr>
        <w:spacing w:line="480" w:lineRule="atLeast"/>
        <w:ind w:firstLine="567"/>
        <w:textAlignment w:val="baseline"/>
        <w:rPr>
          <w:rFonts w:hint="eastAsia" w:ascii="宋体" w:hAnsi="宋体" w:eastAsia="宋体" w:cs="宋体"/>
          <w:sz w:val="24"/>
          <w:szCs w:val="24"/>
          <w:highlight w:val="none"/>
        </w:rPr>
      </w:pPr>
    </w:p>
    <w:p w14:paraId="39BFB5D5">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附：委托代理人身份证复印件</w:t>
      </w:r>
    </w:p>
    <w:p w14:paraId="04765B00">
      <w:pPr>
        <w:spacing w:line="480" w:lineRule="atLeast"/>
        <w:ind w:firstLine="567"/>
        <w:textAlignment w:val="baseline"/>
        <w:rPr>
          <w:rFonts w:hint="eastAsia" w:ascii="宋体" w:hAnsi="宋体" w:eastAsia="宋体" w:cs="宋体"/>
          <w:sz w:val="24"/>
          <w:szCs w:val="24"/>
          <w:highlight w:val="none"/>
        </w:rPr>
      </w:pPr>
    </w:p>
    <w:p w14:paraId="57DD1413">
      <w:pPr>
        <w:spacing w:line="480" w:lineRule="atLeast"/>
        <w:ind w:firstLine="567"/>
        <w:textAlignment w:val="baseline"/>
        <w:rPr>
          <w:rFonts w:hint="eastAsia" w:ascii="宋体" w:hAnsi="宋体" w:eastAsia="宋体" w:cs="宋体"/>
          <w:sz w:val="24"/>
          <w:szCs w:val="24"/>
          <w:highlight w:val="none"/>
        </w:rPr>
      </w:pPr>
    </w:p>
    <w:p w14:paraId="27F3BC9F">
      <w:pPr>
        <w:spacing w:line="480" w:lineRule="atLeast"/>
        <w:ind w:firstLine="567"/>
        <w:textAlignment w:val="baseline"/>
        <w:rPr>
          <w:rFonts w:hint="eastAsia" w:ascii="宋体" w:hAnsi="宋体" w:eastAsia="宋体" w:cs="宋体"/>
          <w:sz w:val="24"/>
          <w:szCs w:val="24"/>
          <w:highlight w:val="none"/>
        </w:rPr>
      </w:pPr>
    </w:p>
    <w:p w14:paraId="6C42717E">
      <w:pPr>
        <w:spacing w:line="480" w:lineRule="atLeast"/>
        <w:textAlignment w:val="baseline"/>
        <w:rPr>
          <w:rFonts w:hint="eastAsia" w:ascii="宋体" w:hAnsi="宋体" w:eastAsia="宋体" w:cs="宋体"/>
          <w:sz w:val="24"/>
          <w:szCs w:val="24"/>
          <w:highlight w:val="none"/>
        </w:rPr>
      </w:pPr>
    </w:p>
    <w:p w14:paraId="59725C65">
      <w:pPr>
        <w:spacing w:line="480" w:lineRule="atLeast"/>
        <w:ind w:firstLine="567"/>
        <w:textAlignment w:val="baseline"/>
        <w:rPr>
          <w:rFonts w:hint="eastAsia" w:ascii="宋体" w:hAnsi="宋体" w:eastAsia="宋体" w:cs="宋体"/>
          <w:sz w:val="24"/>
          <w:szCs w:val="24"/>
          <w:highlight w:val="none"/>
        </w:rPr>
      </w:pPr>
    </w:p>
    <w:p w14:paraId="08D2A0AB">
      <w:pPr>
        <w:spacing w:line="480" w:lineRule="atLeast"/>
        <w:ind w:firstLine="567"/>
        <w:textAlignment w:val="baseline"/>
        <w:rPr>
          <w:rFonts w:hint="eastAsia" w:ascii="宋体" w:hAnsi="宋体" w:eastAsia="宋体" w:cs="宋体"/>
          <w:sz w:val="24"/>
          <w:szCs w:val="24"/>
          <w:highlight w:val="none"/>
        </w:rPr>
      </w:pPr>
    </w:p>
    <w:p w14:paraId="3498401E">
      <w:pPr>
        <w:spacing w:line="480" w:lineRule="atLeast"/>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供应商（盖章）：</w:t>
      </w:r>
    </w:p>
    <w:p w14:paraId="3C57D74C">
      <w:pPr>
        <w:spacing w:line="240" w:lineRule="auto"/>
        <w:ind w:firstLine="567"/>
        <w:textAlignment w:val="baseline"/>
        <w:rPr>
          <w:rFonts w:hint="eastAsia" w:ascii="宋体" w:hAnsi="宋体" w:eastAsia="宋体" w:cs="宋体"/>
          <w:sz w:val="24"/>
          <w:szCs w:val="24"/>
          <w:highlight w:val="none"/>
        </w:rPr>
      </w:pPr>
    </w:p>
    <w:p w14:paraId="66BD5019">
      <w:pPr>
        <w:spacing w:line="240" w:lineRule="auto"/>
        <w:ind w:firstLine="56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法定代表人（签字或盖章）： </w:t>
      </w:r>
    </w:p>
    <w:p w14:paraId="2CAD248A">
      <w:pPr>
        <w:spacing w:line="240" w:lineRule="auto"/>
        <w:ind w:firstLine="567"/>
        <w:textAlignment w:val="baseline"/>
        <w:rPr>
          <w:rFonts w:hint="eastAsia" w:ascii="宋体" w:hAnsi="宋体" w:eastAsia="宋体" w:cs="宋体"/>
          <w:sz w:val="24"/>
          <w:szCs w:val="24"/>
          <w:highlight w:val="none"/>
        </w:rPr>
      </w:pPr>
    </w:p>
    <w:p w14:paraId="5BB515CF">
      <w:pPr>
        <w:spacing w:line="240" w:lineRule="auto"/>
        <w:ind w:firstLine="567"/>
        <w:textAlignment w:val="baseline"/>
        <w:rPr>
          <w:rFonts w:hint="eastAsia" w:ascii="宋体" w:hAnsi="宋体" w:eastAsia="宋体" w:cs="宋体"/>
          <w:sz w:val="24"/>
          <w:szCs w:val="24"/>
          <w:highlight w:val="none"/>
        </w:rPr>
        <w:sectPr>
          <w:pgSz w:w="11910" w:h="16840"/>
          <w:pgMar w:top="1440" w:right="1080" w:bottom="1440" w:left="1080" w:header="762" w:footer="738" w:gutter="0"/>
          <w:pgNumType w:fmt="decimal"/>
          <w:cols w:space="720" w:num="1"/>
        </w:sectPr>
      </w:pP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期：</w:t>
      </w:r>
    </w:p>
    <w:p w14:paraId="1D2D7772">
      <w:pPr>
        <w:pStyle w:val="5"/>
        <w:spacing w:before="66" w:line="360" w:lineRule="auto"/>
        <w:ind w:left="220" w:firstLine="0"/>
        <w:jc w:val="center"/>
        <w:outlineLvl w:val="1"/>
        <w:rPr>
          <w:rFonts w:hint="eastAsia" w:ascii="宋体" w:hAnsi="宋体" w:eastAsia="宋体" w:cs="宋体"/>
          <w:b/>
          <w:bCs w:val="0"/>
          <w:sz w:val="24"/>
          <w:szCs w:val="24"/>
          <w:highlight w:val="none"/>
          <w:lang w:eastAsia="zh-CN"/>
        </w:rPr>
      </w:pPr>
      <w:bookmarkStart w:id="91" w:name="_Toc21866"/>
      <w:r>
        <w:rPr>
          <w:rFonts w:hint="eastAsia" w:ascii="宋体" w:hAnsi="宋体" w:eastAsia="宋体" w:cs="宋体"/>
          <w:b/>
          <w:bCs w:val="0"/>
          <w:sz w:val="32"/>
          <w:szCs w:val="32"/>
          <w:highlight w:val="none"/>
          <w:lang w:val="en-US" w:eastAsia="zh-CN"/>
        </w:rPr>
        <w:t>四</w:t>
      </w:r>
      <w:r>
        <w:rPr>
          <w:rFonts w:hint="eastAsia" w:ascii="宋体" w:hAnsi="宋体" w:eastAsia="宋体" w:cs="宋体"/>
          <w:b/>
          <w:bCs w:val="0"/>
          <w:sz w:val="32"/>
          <w:szCs w:val="32"/>
          <w:highlight w:val="none"/>
        </w:rPr>
        <w:t>、</w:t>
      </w:r>
      <w:r>
        <w:rPr>
          <w:rFonts w:hint="eastAsia" w:ascii="宋体" w:hAnsi="宋体" w:eastAsia="宋体" w:cs="宋体"/>
          <w:b/>
          <w:bCs w:val="0"/>
          <w:sz w:val="32"/>
          <w:szCs w:val="32"/>
          <w:highlight w:val="none"/>
          <w:lang w:eastAsia="zh-CN"/>
        </w:rPr>
        <w:t>响应承诺函</w:t>
      </w:r>
      <w:bookmarkEnd w:id="91"/>
    </w:p>
    <w:p w14:paraId="3EBBFF31">
      <w:pPr>
        <w:pStyle w:val="9"/>
        <w:spacing w:before="184" w:line="360" w:lineRule="auto"/>
        <w:ind w:left="220"/>
        <w:rPr>
          <w:rFonts w:hint="eastAsia" w:ascii="宋体" w:hAnsi="宋体" w:eastAsia="宋体" w:cs="宋体"/>
          <w:sz w:val="24"/>
          <w:szCs w:val="24"/>
          <w:highlight w:val="none"/>
        </w:rPr>
      </w:pPr>
      <w:r>
        <w:rPr>
          <w:rFonts w:hint="eastAsia" w:ascii="宋体" w:hAnsi="宋体" w:eastAsia="宋体" w:cs="宋体"/>
          <w:sz w:val="24"/>
          <w:szCs w:val="24"/>
          <w:highlight w:val="none"/>
        </w:rPr>
        <w:t>致 （采购人）：</w:t>
      </w:r>
    </w:p>
    <w:p w14:paraId="214D7E5A">
      <w:pPr>
        <w:pStyle w:val="9"/>
        <w:spacing w:before="2" w:line="360" w:lineRule="auto"/>
        <w:ind w:left="700" w:right="865"/>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我公司作为本次采购项目的供应商，根据竞争性磋商文件要求，现郑重承诺如下： 一、具备《中华人民共和国政府采购法》第二十二条第一款和本项目规定的条件：</w:t>
      </w:r>
    </w:p>
    <w:p w14:paraId="03982E52">
      <w:pPr>
        <w:pStyle w:val="9"/>
        <w:spacing w:before="3"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14:paraId="041F192C">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14:paraId="2E029C43">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14:paraId="6675CE60">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14:paraId="752B85AB">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14:paraId="557F6E16">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14:paraId="0650D3A3">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（七）根据采购项目提出的特殊条件。</w:t>
      </w:r>
    </w:p>
    <w:p w14:paraId="6FF171A8">
      <w:pPr>
        <w:pStyle w:val="9"/>
        <w:spacing w:before="4" w:line="360" w:lineRule="auto"/>
        <w:ind w:left="220" w:right="237"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二、完全接受和满足本项目竞争性磋商文件中规定的实质性要求，如对竞争性磋商文件有异议，已经在投标截止时间届满前依法进行维权救济，不存在对竞争性磋商文件有异议的同时</w:t>
      </w:r>
      <w:r>
        <w:rPr>
          <w:rFonts w:hint="eastAsia" w:ascii="宋体" w:hAnsi="宋体" w:eastAsia="宋体" w:cs="宋体"/>
          <w:sz w:val="24"/>
          <w:szCs w:val="24"/>
          <w:highlight w:val="none"/>
        </w:rPr>
        <w:t>又参加投标以求侥幸中标或者为实现其他非法目的的行为。</w:t>
      </w:r>
    </w:p>
    <w:p w14:paraId="5E30ECA1">
      <w:pPr>
        <w:pStyle w:val="9"/>
        <w:spacing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三、参加本次招标采购活动，不存在与单位负责人为同一人或者存在直接控股、管理关系</w:t>
      </w:r>
      <w:r>
        <w:rPr>
          <w:rFonts w:hint="eastAsia" w:ascii="宋体" w:hAnsi="宋体" w:eastAsia="宋体" w:cs="宋体"/>
          <w:sz w:val="24"/>
          <w:szCs w:val="24"/>
          <w:highlight w:val="none"/>
        </w:rPr>
        <w:t>的其他供应商参与同一合同项下的政府采购活动的行为。</w:t>
      </w:r>
    </w:p>
    <w:p w14:paraId="4F0C21FE">
      <w:pPr>
        <w:pStyle w:val="9"/>
        <w:spacing w:before="2" w:line="360" w:lineRule="auto"/>
        <w:ind w:left="220" w:right="14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四、参加本次招标采购活动，不存在为采购项目提供整体设计、规范编制或者项目管理、监理、检测等服务的行为。</w:t>
      </w:r>
    </w:p>
    <w:p w14:paraId="7D311FAE">
      <w:pPr>
        <w:pStyle w:val="9"/>
        <w:spacing w:before="1"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五、参加本次招标采购活动，不存在和其他供应商在同一合同项下的采购项目中，同时委</w:t>
      </w:r>
      <w:r>
        <w:rPr>
          <w:rFonts w:hint="eastAsia" w:ascii="宋体" w:hAnsi="宋体" w:eastAsia="宋体" w:cs="宋体"/>
          <w:sz w:val="24"/>
          <w:szCs w:val="24"/>
          <w:highlight w:val="none"/>
        </w:rPr>
        <w:t>托同一个自然人、同一家庭的人员、同一单位的人员作为代理人的行为。</w:t>
      </w:r>
    </w:p>
    <w:p w14:paraId="6A0B46B0">
      <w:pPr>
        <w:pStyle w:val="9"/>
        <w:spacing w:before="3"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六、供应商参加本次政府采购活动要求在近三年内供应商和其法定代表人没有行贿犯罪行</w:t>
      </w:r>
      <w:r>
        <w:rPr>
          <w:rFonts w:hint="eastAsia" w:ascii="宋体" w:hAnsi="宋体" w:eastAsia="宋体" w:cs="宋体"/>
          <w:sz w:val="24"/>
          <w:szCs w:val="24"/>
          <w:highlight w:val="none"/>
        </w:rPr>
        <w:t>为。</w:t>
      </w:r>
    </w:p>
    <w:p w14:paraId="717AEA80">
      <w:pPr>
        <w:pStyle w:val="9"/>
        <w:spacing w:line="360" w:lineRule="auto"/>
        <w:ind w:left="700"/>
        <w:outlineLvl w:val="1"/>
        <w:rPr>
          <w:rFonts w:hint="eastAsia" w:ascii="宋体" w:hAnsi="宋体" w:eastAsia="宋体" w:cs="宋体"/>
          <w:sz w:val="24"/>
          <w:szCs w:val="24"/>
          <w:highlight w:val="none"/>
        </w:rPr>
      </w:pPr>
      <w:bookmarkStart w:id="92" w:name="_Toc12550"/>
      <w:r>
        <w:rPr>
          <w:rFonts w:hint="eastAsia" w:ascii="宋体" w:hAnsi="宋体" w:eastAsia="宋体" w:cs="宋体"/>
          <w:sz w:val="24"/>
          <w:szCs w:val="24"/>
          <w:highlight w:val="none"/>
        </w:rPr>
        <w:t>七、参加本次招标采购活动，不存在联合体投标。</w:t>
      </w:r>
      <w:bookmarkEnd w:id="92"/>
    </w:p>
    <w:p w14:paraId="52D32017">
      <w:pPr>
        <w:pStyle w:val="9"/>
        <w:spacing w:before="5"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八、响应文件中提供的能够给予我公司带来优惠、好处的任何材料资料和技术、服务、商</w:t>
      </w:r>
      <w:r>
        <w:rPr>
          <w:rFonts w:hint="eastAsia" w:ascii="宋体" w:hAnsi="宋体" w:eastAsia="宋体" w:cs="宋体"/>
          <w:sz w:val="24"/>
          <w:szCs w:val="24"/>
          <w:highlight w:val="none"/>
        </w:rPr>
        <w:t>务等响应承诺情况都是真实的、有效的、合法的。</w:t>
      </w:r>
    </w:p>
    <w:p w14:paraId="0FD598F0">
      <w:pPr>
        <w:pStyle w:val="9"/>
        <w:spacing w:line="360" w:lineRule="auto"/>
        <w:ind w:left="700"/>
        <w:outlineLvl w:val="1"/>
        <w:rPr>
          <w:rFonts w:hint="eastAsia" w:ascii="宋体" w:hAnsi="宋体" w:eastAsia="宋体" w:cs="宋体"/>
          <w:sz w:val="24"/>
          <w:szCs w:val="24"/>
          <w:highlight w:val="none"/>
        </w:rPr>
      </w:pPr>
      <w:bookmarkStart w:id="93" w:name="_Toc6653"/>
      <w:r>
        <w:rPr>
          <w:rFonts w:hint="eastAsia" w:ascii="宋体" w:hAnsi="宋体" w:eastAsia="宋体" w:cs="宋体"/>
          <w:sz w:val="24"/>
          <w:szCs w:val="24"/>
          <w:highlight w:val="none"/>
        </w:rPr>
        <w:t>九、存在以下行为之一的愿意接受相关部门的处理：</w:t>
      </w:r>
      <w:bookmarkEnd w:id="93"/>
    </w:p>
    <w:p w14:paraId="6011C5DC">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（一）投标有效期内撤销响应文件的；</w:t>
      </w:r>
    </w:p>
    <w:p w14:paraId="588B9875">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（二）在采购人确定中标人以前放弃中标候选资格的；</w:t>
      </w:r>
    </w:p>
    <w:p w14:paraId="0B9B6B0D">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（三）由于</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的原因未能按照竞争性磋商文件的规定与采购人签订合同；</w:t>
      </w:r>
    </w:p>
    <w:p w14:paraId="1B9B6A72">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（四）由于</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的原因未能按照竞争性磋商文件的规定交纳履约保证金；</w:t>
      </w:r>
    </w:p>
    <w:p w14:paraId="293A9E67">
      <w:pPr>
        <w:pStyle w:val="9"/>
        <w:spacing w:before="2"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（五）在响应文件中提供虚假材料谋取中标；</w:t>
      </w:r>
    </w:p>
    <w:p w14:paraId="69045434">
      <w:pPr>
        <w:pStyle w:val="9"/>
        <w:spacing w:before="4"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（六）与采购人、其他供应商或者采购代理机构恶意串通的；</w:t>
      </w:r>
    </w:p>
    <w:p w14:paraId="78D3C795">
      <w:pPr>
        <w:pStyle w:val="9"/>
        <w:spacing w:before="5" w:line="360" w:lineRule="auto"/>
        <w:ind w:left="700"/>
        <w:rPr>
          <w:rFonts w:hint="eastAsia" w:ascii="宋体" w:hAnsi="宋体" w:eastAsia="宋体" w:cs="宋体"/>
          <w:sz w:val="24"/>
          <w:szCs w:val="24"/>
          <w:highlight w:val="none"/>
        </w:rPr>
      </w:pPr>
      <w:r>
        <w:rPr>
          <w:rFonts w:hint="eastAsia" w:ascii="宋体" w:hAnsi="宋体" w:eastAsia="宋体" w:cs="宋体"/>
          <w:sz w:val="24"/>
          <w:szCs w:val="24"/>
          <w:highlight w:val="none"/>
        </w:rPr>
        <w:t>（七）投标有效期内，供应商在政府采购活动中有违法、违规、违纪行为。</w:t>
      </w:r>
    </w:p>
    <w:p w14:paraId="2DAD45DD">
      <w:pPr>
        <w:pStyle w:val="9"/>
        <w:spacing w:before="4"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由此产生的一切法律后果和责任由我公司承担。我公司声明放弃对此提出任何异议和追索</w:t>
      </w:r>
      <w:r>
        <w:rPr>
          <w:rFonts w:hint="eastAsia" w:ascii="宋体" w:hAnsi="宋体" w:eastAsia="宋体" w:cs="宋体"/>
          <w:sz w:val="24"/>
          <w:szCs w:val="24"/>
          <w:highlight w:val="none"/>
        </w:rPr>
        <w:t>的权利。</w:t>
      </w:r>
    </w:p>
    <w:p w14:paraId="46F5D25E">
      <w:pPr>
        <w:pStyle w:val="9"/>
        <w:spacing w:before="1" w:line="360" w:lineRule="auto"/>
        <w:ind w:left="220" w:right="237"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本公司对上述承诺的内容事项真实性负责。如经查实上述承诺的内容事项存在虚假，我公</w:t>
      </w:r>
      <w:r>
        <w:rPr>
          <w:rFonts w:hint="eastAsia" w:ascii="宋体" w:hAnsi="宋体" w:eastAsia="宋体" w:cs="宋体"/>
          <w:sz w:val="24"/>
          <w:szCs w:val="24"/>
          <w:highlight w:val="none"/>
        </w:rPr>
        <w:t>司愿意接受以提供虚假材料谋取中标追究法律责任。</w:t>
      </w:r>
    </w:p>
    <w:p w14:paraId="56FF8069">
      <w:pPr>
        <w:pStyle w:val="9"/>
        <w:spacing w:before="4" w:line="360" w:lineRule="auto"/>
        <w:rPr>
          <w:rFonts w:hint="eastAsia" w:ascii="宋体" w:hAnsi="宋体" w:eastAsia="宋体" w:cs="宋体"/>
          <w:sz w:val="24"/>
          <w:szCs w:val="24"/>
          <w:highlight w:val="none"/>
        </w:rPr>
      </w:pPr>
    </w:p>
    <w:p w14:paraId="340359CB">
      <w:pPr>
        <w:pStyle w:val="9"/>
        <w:tabs>
          <w:tab w:val="left" w:pos="3459"/>
        </w:tabs>
        <w:spacing w:before="1" w:line="360" w:lineRule="auto"/>
        <w:ind w:left="22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（盖章）</w:t>
      </w:r>
    </w:p>
    <w:p w14:paraId="440A59CB">
      <w:pPr>
        <w:pStyle w:val="9"/>
        <w:tabs>
          <w:tab w:val="left" w:pos="3459"/>
        </w:tabs>
        <w:spacing w:before="160" w:line="360" w:lineRule="auto"/>
        <w:ind w:left="220" w:right="5785"/>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（盖章</w:t>
      </w:r>
      <w:r>
        <w:rPr>
          <w:rFonts w:hint="eastAsia" w:ascii="宋体" w:hAnsi="宋体" w:eastAsia="宋体" w:cs="宋体"/>
          <w:spacing w:val="-18"/>
          <w:sz w:val="24"/>
          <w:szCs w:val="24"/>
          <w:highlight w:val="none"/>
        </w:rPr>
        <w:t xml:space="preserve">） </w:t>
      </w:r>
      <w:r>
        <w:rPr>
          <w:rFonts w:hint="eastAsia" w:ascii="宋体" w:hAnsi="宋体" w:eastAsia="宋体" w:cs="宋体"/>
          <w:sz w:val="24"/>
          <w:szCs w:val="24"/>
          <w:highlight w:val="none"/>
        </w:rPr>
        <w:t>日期：</w:t>
      </w:r>
    </w:p>
    <w:p w14:paraId="0075514E">
      <w:pPr>
        <w:spacing w:after="0" w:line="360" w:lineRule="auto"/>
        <w:rPr>
          <w:rFonts w:hint="eastAsia" w:ascii="宋体" w:hAnsi="宋体" w:eastAsia="宋体" w:cs="宋体"/>
          <w:sz w:val="24"/>
          <w:szCs w:val="24"/>
          <w:highlight w:val="none"/>
        </w:rPr>
        <w:sectPr>
          <w:pgSz w:w="11910" w:h="16840"/>
          <w:pgMar w:top="1440" w:right="1800" w:bottom="1440" w:left="1800" w:header="873" w:footer="955" w:gutter="0"/>
          <w:pgNumType w:fmt="decimal"/>
          <w:cols w:space="720" w:num="1"/>
        </w:sectPr>
      </w:pPr>
    </w:p>
    <w:p w14:paraId="3566C4D5">
      <w:pPr>
        <w:spacing w:line="480" w:lineRule="atLeast"/>
        <w:ind w:firstLine="567"/>
        <w:jc w:val="center"/>
        <w:textAlignment w:val="baseline"/>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w:t>
      </w:r>
      <w:r>
        <w:rPr>
          <w:rFonts w:hint="eastAsia" w:ascii="宋体" w:hAnsi="宋体" w:cs="宋体"/>
          <w:b/>
          <w:bCs/>
          <w:sz w:val="32"/>
          <w:szCs w:val="32"/>
          <w:highlight w:val="none"/>
          <w:lang w:val="en-US" w:eastAsia="zh-CN"/>
        </w:rPr>
        <w:t>综合标</w:t>
      </w:r>
    </w:p>
    <w:p w14:paraId="634F3C2C">
      <w:pPr>
        <w:spacing w:line="480" w:lineRule="atLeast"/>
        <w:ind w:firstLine="567"/>
        <w:textAlignment w:val="baseline"/>
        <w:rPr>
          <w:rFonts w:hint="eastAsia" w:ascii="宋体" w:hAnsi="宋体" w:eastAsia="宋体" w:cs="宋体"/>
          <w:sz w:val="24"/>
          <w:szCs w:val="24"/>
          <w:highlight w:val="none"/>
        </w:rPr>
      </w:pPr>
    </w:p>
    <w:p w14:paraId="62182456">
      <w:pPr>
        <w:spacing w:line="480" w:lineRule="atLeast"/>
        <w:ind w:firstLine="567"/>
        <w:textAlignment w:val="baseline"/>
        <w:rPr>
          <w:rFonts w:hint="eastAsia" w:ascii="宋体" w:hAnsi="宋体" w:eastAsia="宋体" w:cs="宋体"/>
          <w:sz w:val="24"/>
          <w:szCs w:val="24"/>
          <w:highlight w:val="none"/>
        </w:rPr>
        <w:sectPr>
          <w:pgSz w:w="11910" w:h="16840"/>
          <w:pgMar w:top="1440" w:right="1800" w:bottom="1440" w:left="1800" w:header="762" w:footer="738" w:gutter="0"/>
          <w:pgNumType w:fmt="decimal"/>
          <w:cols w:space="720" w:num="1"/>
        </w:sectPr>
      </w:pPr>
    </w:p>
    <w:p w14:paraId="1F5687FE">
      <w:pPr>
        <w:spacing w:line="480" w:lineRule="atLeast"/>
        <w:ind w:firstLine="567"/>
        <w:jc w:val="center"/>
        <w:textAlignment w:val="baseline"/>
        <w:rPr>
          <w:rFonts w:hint="eastAsia" w:ascii="宋体" w:hAnsi="宋体" w:eastAsia="宋体" w:cs="宋体"/>
          <w:b/>
          <w:bCs/>
          <w:sz w:val="32"/>
          <w:szCs w:val="32"/>
          <w:highlight w:val="none"/>
        </w:rPr>
      </w:pP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rPr>
        <w:t>、资格证明文件</w:t>
      </w:r>
    </w:p>
    <w:p w14:paraId="52BEE082">
      <w:pPr>
        <w:spacing w:before="50"/>
        <w:ind w:right="0"/>
        <w:jc w:val="left"/>
        <w:rPr>
          <w:rFonts w:hint="eastAsia" w:ascii="宋体" w:hAnsi="宋体" w:eastAsia="宋体" w:cs="宋体"/>
          <w:b/>
          <w:sz w:val="32"/>
          <w:szCs w:val="32"/>
          <w:highlight w:val="none"/>
        </w:rPr>
      </w:pPr>
    </w:p>
    <w:p w14:paraId="51337D15">
      <w:pPr>
        <w:spacing w:before="50"/>
        <w:ind w:right="0"/>
        <w:jc w:val="left"/>
        <w:rPr>
          <w:rFonts w:hint="eastAsia" w:ascii="宋体" w:hAnsi="宋体" w:eastAsia="宋体" w:cs="宋体"/>
          <w:b/>
          <w:sz w:val="32"/>
          <w:szCs w:val="32"/>
          <w:highlight w:val="none"/>
        </w:rPr>
      </w:pPr>
    </w:p>
    <w:p w14:paraId="61C7CC68">
      <w:pPr>
        <w:spacing w:before="50"/>
        <w:ind w:right="0"/>
        <w:jc w:val="left"/>
        <w:rPr>
          <w:rFonts w:hint="eastAsia" w:ascii="宋体" w:hAnsi="宋体" w:eastAsia="宋体" w:cs="宋体"/>
          <w:b/>
          <w:sz w:val="32"/>
          <w:szCs w:val="32"/>
          <w:highlight w:val="none"/>
        </w:rPr>
      </w:pPr>
    </w:p>
    <w:p w14:paraId="1E63FF35">
      <w:pPr>
        <w:spacing w:before="50"/>
        <w:ind w:right="0"/>
        <w:jc w:val="left"/>
        <w:rPr>
          <w:rFonts w:hint="eastAsia" w:ascii="宋体" w:hAnsi="宋体" w:eastAsia="宋体" w:cs="宋体"/>
          <w:b/>
          <w:sz w:val="32"/>
          <w:szCs w:val="32"/>
          <w:highlight w:val="none"/>
        </w:rPr>
      </w:pPr>
    </w:p>
    <w:p w14:paraId="3841E149">
      <w:pPr>
        <w:spacing w:before="50"/>
        <w:ind w:right="0"/>
        <w:jc w:val="left"/>
        <w:rPr>
          <w:rFonts w:hint="eastAsia" w:ascii="宋体" w:hAnsi="宋体" w:eastAsia="宋体" w:cs="宋体"/>
          <w:b/>
          <w:sz w:val="32"/>
          <w:szCs w:val="32"/>
          <w:highlight w:val="none"/>
        </w:rPr>
      </w:pPr>
    </w:p>
    <w:p w14:paraId="0D46E3B6">
      <w:pPr>
        <w:spacing w:before="50"/>
        <w:ind w:right="0"/>
        <w:jc w:val="left"/>
        <w:rPr>
          <w:rFonts w:hint="eastAsia" w:ascii="宋体" w:hAnsi="宋体" w:eastAsia="宋体" w:cs="宋体"/>
          <w:b/>
          <w:sz w:val="32"/>
          <w:szCs w:val="32"/>
          <w:highlight w:val="none"/>
        </w:rPr>
      </w:pPr>
    </w:p>
    <w:p w14:paraId="5B74C652">
      <w:pPr>
        <w:spacing w:before="50"/>
        <w:ind w:right="0"/>
        <w:jc w:val="left"/>
        <w:rPr>
          <w:rFonts w:hint="eastAsia" w:ascii="宋体" w:hAnsi="宋体" w:eastAsia="宋体" w:cs="宋体"/>
          <w:b/>
          <w:sz w:val="32"/>
          <w:szCs w:val="32"/>
          <w:highlight w:val="none"/>
        </w:rPr>
      </w:pPr>
    </w:p>
    <w:p w14:paraId="2F21FA19">
      <w:pPr>
        <w:spacing w:before="50"/>
        <w:ind w:right="0"/>
        <w:jc w:val="left"/>
        <w:rPr>
          <w:rFonts w:hint="eastAsia" w:ascii="宋体" w:hAnsi="宋体" w:eastAsia="宋体" w:cs="宋体"/>
          <w:b/>
          <w:sz w:val="32"/>
          <w:szCs w:val="32"/>
          <w:highlight w:val="none"/>
        </w:rPr>
      </w:pPr>
    </w:p>
    <w:p w14:paraId="6322614C">
      <w:pPr>
        <w:spacing w:before="50"/>
        <w:ind w:right="0"/>
        <w:jc w:val="left"/>
        <w:rPr>
          <w:rFonts w:hint="eastAsia" w:ascii="宋体" w:hAnsi="宋体" w:eastAsia="宋体" w:cs="宋体"/>
          <w:b/>
          <w:sz w:val="32"/>
          <w:szCs w:val="32"/>
          <w:highlight w:val="none"/>
        </w:rPr>
      </w:pPr>
    </w:p>
    <w:p w14:paraId="64372A22">
      <w:pPr>
        <w:spacing w:before="50"/>
        <w:ind w:right="0"/>
        <w:jc w:val="left"/>
        <w:rPr>
          <w:rFonts w:hint="eastAsia" w:ascii="宋体" w:hAnsi="宋体" w:eastAsia="宋体" w:cs="宋体"/>
          <w:b/>
          <w:sz w:val="32"/>
          <w:szCs w:val="32"/>
          <w:highlight w:val="none"/>
        </w:rPr>
      </w:pPr>
    </w:p>
    <w:p w14:paraId="3651B4AE">
      <w:pPr>
        <w:spacing w:before="50"/>
        <w:ind w:right="0"/>
        <w:jc w:val="left"/>
        <w:rPr>
          <w:rFonts w:hint="eastAsia" w:ascii="宋体" w:hAnsi="宋体" w:eastAsia="宋体" w:cs="宋体"/>
          <w:b/>
          <w:sz w:val="32"/>
          <w:szCs w:val="32"/>
          <w:highlight w:val="none"/>
        </w:rPr>
      </w:pPr>
    </w:p>
    <w:p w14:paraId="7C1EF63D">
      <w:pPr>
        <w:spacing w:before="50"/>
        <w:ind w:right="0"/>
        <w:jc w:val="left"/>
        <w:rPr>
          <w:rFonts w:hint="eastAsia" w:ascii="宋体" w:hAnsi="宋体" w:eastAsia="宋体" w:cs="宋体"/>
          <w:b/>
          <w:sz w:val="32"/>
          <w:szCs w:val="32"/>
          <w:highlight w:val="none"/>
        </w:rPr>
      </w:pPr>
    </w:p>
    <w:p w14:paraId="2155F024">
      <w:pPr>
        <w:spacing w:before="50"/>
        <w:ind w:right="0"/>
        <w:jc w:val="left"/>
        <w:rPr>
          <w:rFonts w:hint="eastAsia" w:ascii="宋体" w:hAnsi="宋体" w:eastAsia="宋体" w:cs="宋体"/>
          <w:b/>
          <w:sz w:val="32"/>
          <w:szCs w:val="32"/>
          <w:highlight w:val="none"/>
        </w:rPr>
      </w:pPr>
    </w:p>
    <w:p w14:paraId="300A48AB">
      <w:pPr>
        <w:spacing w:before="50"/>
        <w:ind w:right="0"/>
        <w:jc w:val="left"/>
        <w:rPr>
          <w:rFonts w:hint="eastAsia" w:ascii="宋体" w:hAnsi="宋体" w:eastAsia="宋体" w:cs="宋体"/>
          <w:b/>
          <w:sz w:val="32"/>
          <w:szCs w:val="32"/>
          <w:highlight w:val="none"/>
        </w:rPr>
      </w:pPr>
    </w:p>
    <w:p w14:paraId="5C188DBC">
      <w:pPr>
        <w:spacing w:before="50"/>
        <w:ind w:right="0"/>
        <w:jc w:val="left"/>
        <w:rPr>
          <w:rFonts w:hint="eastAsia" w:ascii="宋体" w:hAnsi="宋体" w:eastAsia="宋体" w:cs="宋体"/>
          <w:b/>
          <w:sz w:val="32"/>
          <w:szCs w:val="32"/>
          <w:highlight w:val="none"/>
        </w:rPr>
      </w:pPr>
    </w:p>
    <w:p w14:paraId="530F6E3E">
      <w:pPr>
        <w:spacing w:before="50"/>
        <w:ind w:right="0"/>
        <w:jc w:val="left"/>
        <w:rPr>
          <w:rFonts w:hint="eastAsia" w:ascii="宋体" w:hAnsi="宋体" w:eastAsia="宋体" w:cs="宋体"/>
          <w:b/>
          <w:sz w:val="32"/>
          <w:szCs w:val="32"/>
          <w:highlight w:val="none"/>
        </w:rPr>
      </w:pPr>
    </w:p>
    <w:p w14:paraId="7B8DA9A9">
      <w:pPr>
        <w:spacing w:before="50"/>
        <w:ind w:right="0"/>
        <w:jc w:val="left"/>
        <w:rPr>
          <w:rFonts w:hint="eastAsia" w:ascii="宋体" w:hAnsi="宋体" w:eastAsia="宋体" w:cs="宋体"/>
          <w:b/>
          <w:sz w:val="32"/>
          <w:szCs w:val="32"/>
          <w:highlight w:val="none"/>
        </w:rPr>
      </w:pPr>
    </w:p>
    <w:p w14:paraId="56317BE7">
      <w:pPr>
        <w:spacing w:before="50"/>
        <w:ind w:right="0"/>
        <w:jc w:val="left"/>
        <w:rPr>
          <w:rFonts w:hint="eastAsia" w:ascii="宋体" w:hAnsi="宋体" w:eastAsia="宋体" w:cs="宋体"/>
          <w:b/>
          <w:sz w:val="32"/>
          <w:szCs w:val="32"/>
          <w:highlight w:val="none"/>
        </w:rPr>
      </w:pPr>
    </w:p>
    <w:p w14:paraId="39FBF426">
      <w:pPr>
        <w:spacing w:before="50"/>
        <w:ind w:right="0"/>
        <w:jc w:val="left"/>
        <w:rPr>
          <w:rFonts w:hint="eastAsia" w:ascii="宋体" w:hAnsi="宋体" w:eastAsia="宋体" w:cs="宋体"/>
          <w:b/>
          <w:sz w:val="32"/>
          <w:szCs w:val="32"/>
          <w:highlight w:val="none"/>
        </w:rPr>
      </w:pPr>
    </w:p>
    <w:p w14:paraId="14C968B1">
      <w:pPr>
        <w:spacing w:before="50"/>
        <w:ind w:right="0"/>
        <w:jc w:val="left"/>
        <w:rPr>
          <w:rFonts w:hint="eastAsia" w:ascii="宋体" w:hAnsi="宋体" w:eastAsia="宋体" w:cs="宋体"/>
          <w:b/>
          <w:sz w:val="32"/>
          <w:szCs w:val="32"/>
          <w:highlight w:val="none"/>
        </w:rPr>
      </w:pPr>
    </w:p>
    <w:p w14:paraId="75124CAE">
      <w:pPr>
        <w:spacing w:before="50"/>
        <w:ind w:right="0"/>
        <w:jc w:val="left"/>
        <w:rPr>
          <w:rFonts w:hint="eastAsia" w:ascii="宋体" w:hAnsi="宋体" w:eastAsia="宋体" w:cs="宋体"/>
          <w:b/>
          <w:sz w:val="32"/>
          <w:szCs w:val="32"/>
          <w:highlight w:val="none"/>
        </w:rPr>
      </w:pPr>
    </w:p>
    <w:p w14:paraId="59A1B681">
      <w:pPr>
        <w:spacing w:before="50"/>
        <w:ind w:right="0"/>
        <w:jc w:val="left"/>
        <w:rPr>
          <w:rFonts w:hint="eastAsia" w:ascii="宋体" w:hAnsi="宋体" w:eastAsia="宋体" w:cs="宋体"/>
          <w:b/>
          <w:sz w:val="32"/>
          <w:szCs w:val="32"/>
          <w:highlight w:val="none"/>
        </w:rPr>
      </w:pPr>
    </w:p>
    <w:p w14:paraId="558F1BCA">
      <w:pPr>
        <w:spacing w:before="50"/>
        <w:ind w:right="0"/>
        <w:jc w:val="left"/>
        <w:rPr>
          <w:rFonts w:hint="eastAsia" w:ascii="宋体" w:hAnsi="宋体" w:eastAsia="宋体" w:cs="宋体"/>
          <w:b/>
          <w:sz w:val="32"/>
          <w:szCs w:val="32"/>
          <w:highlight w:val="none"/>
        </w:rPr>
      </w:pPr>
    </w:p>
    <w:p w14:paraId="10315411">
      <w:pPr>
        <w:spacing w:before="50"/>
        <w:ind w:right="0"/>
        <w:jc w:val="left"/>
        <w:rPr>
          <w:rFonts w:hint="eastAsia" w:ascii="宋体" w:hAnsi="宋体" w:eastAsia="宋体" w:cs="宋体"/>
          <w:b/>
          <w:sz w:val="32"/>
          <w:szCs w:val="32"/>
          <w:highlight w:val="none"/>
        </w:rPr>
      </w:pPr>
    </w:p>
    <w:p w14:paraId="4CBAFE72">
      <w:pPr>
        <w:spacing w:before="50"/>
        <w:ind w:right="0"/>
        <w:jc w:val="left"/>
        <w:rPr>
          <w:rFonts w:hint="eastAsia" w:ascii="宋体" w:hAnsi="宋体" w:eastAsia="宋体" w:cs="宋体"/>
          <w:b/>
          <w:sz w:val="32"/>
          <w:szCs w:val="32"/>
          <w:highlight w:val="none"/>
        </w:rPr>
      </w:pPr>
    </w:p>
    <w:p w14:paraId="2EE0E958">
      <w:pPr>
        <w:spacing w:before="50"/>
        <w:ind w:right="0"/>
        <w:jc w:val="left"/>
        <w:rPr>
          <w:rFonts w:hint="eastAsia" w:ascii="宋体" w:hAnsi="宋体" w:eastAsia="宋体" w:cs="宋体"/>
          <w:b/>
          <w:sz w:val="32"/>
          <w:szCs w:val="32"/>
          <w:highlight w:val="none"/>
        </w:rPr>
      </w:pPr>
    </w:p>
    <w:p w14:paraId="775D386C">
      <w:pPr>
        <w:spacing w:before="50"/>
        <w:ind w:right="0"/>
        <w:jc w:val="left"/>
        <w:rPr>
          <w:rFonts w:hint="eastAsia" w:ascii="宋体" w:hAnsi="宋体" w:eastAsia="宋体" w:cs="宋体"/>
          <w:b/>
          <w:sz w:val="32"/>
          <w:szCs w:val="32"/>
          <w:highlight w:val="none"/>
        </w:rPr>
      </w:pPr>
    </w:p>
    <w:p w14:paraId="7D3CFB06">
      <w:pPr>
        <w:spacing w:before="50"/>
        <w:ind w:right="0"/>
        <w:jc w:val="left"/>
        <w:rPr>
          <w:rFonts w:hint="eastAsia" w:ascii="宋体" w:hAnsi="宋体" w:eastAsia="宋体" w:cs="宋体"/>
          <w:b/>
          <w:sz w:val="32"/>
          <w:szCs w:val="32"/>
          <w:highlight w:val="none"/>
        </w:rPr>
      </w:pPr>
    </w:p>
    <w:p w14:paraId="0A8E76F2">
      <w:pPr>
        <w:spacing w:before="50"/>
        <w:ind w:right="0"/>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七</w:t>
      </w:r>
      <w:r>
        <w:rPr>
          <w:rFonts w:hint="eastAsia" w:ascii="宋体" w:hAnsi="宋体" w:eastAsia="宋体" w:cs="宋体"/>
          <w:b/>
          <w:sz w:val="32"/>
          <w:szCs w:val="32"/>
          <w:highlight w:val="none"/>
        </w:rPr>
        <w:t>、</w:t>
      </w:r>
      <w:r>
        <w:rPr>
          <w:rFonts w:hint="eastAsia" w:ascii="宋体" w:hAnsi="宋体" w:cs="宋体"/>
          <w:b/>
          <w:bCs/>
          <w:sz w:val="32"/>
          <w:szCs w:val="32"/>
          <w:highlight w:val="none"/>
          <w:lang w:val="en-US" w:eastAsia="zh-CN"/>
        </w:rPr>
        <w:t>技术标</w:t>
      </w:r>
    </w:p>
    <w:p w14:paraId="2A0A4788">
      <w:pPr>
        <w:spacing w:before="50"/>
        <w:ind w:right="0"/>
        <w:jc w:val="center"/>
        <w:rPr>
          <w:rFonts w:hint="eastAsia" w:ascii="宋体" w:hAnsi="宋体" w:eastAsia="宋体" w:cs="宋体"/>
          <w:b/>
          <w:sz w:val="32"/>
          <w:szCs w:val="32"/>
          <w:highlight w:val="none"/>
        </w:rPr>
      </w:pPr>
    </w:p>
    <w:p w14:paraId="45BF0D01">
      <w:pPr>
        <w:spacing w:before="50"/>
        <w:ind w:right="0"/>
        <w:jc w:val="center"/>
        <w:rPr>
          <w:rFonts w:hint="eastAsia" w:ascii="宋体" w:hAnsi="宋体" w:eastAsia="宋体" w:cs="宋体"/>
          <w:b/>
          <w:sz w:val="32"/>
          <w:szCs w:val="32"/>
          <w:highlight w:val="none"/>
        </w:rPr>
      </w:pPr>
    </w:p>
    <w:p w14:paraId="1FE91F6A">
      <w:pPr>
        <w:spacing w:before="50"/>
        <w:ind w:right="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（格式自拟）</w:t>
      </w:r>
    </w:p>
    <w:p w14:paraId="2D5A9C2E">
      <w:pPr>
        <w:spacing w:before="50"/>
        <w:ind w:right="0"/>
        <w:jc w:val="left"/>
        <w:rPr>
          <w:rFonts w:hint="eastAsia" w:ascii="仿宋" w:eastAsia="仿宋"/>
          <w:b/>
          <w:sz w:val="36"/>
          <w:highlight w:val="none"/>
        </w:rPr>
        <w:sectPr>
          <w:pgSz w:w="11910" w:h="16840"/>
          <w:pgMar w:top="1440" w:right="1800" w:bottom="1440" w:left="1800" w:header="873" w:footer="955" w:gutter="0"/>
          <w:pgNumType w:fmt="decimal"/>
          <w:cols w:space="720" w:num="1"/>
        </w:sectPr>
      </w:pPr>
    </w:p>
    <w:p w14:paraId="4709B456">
      <w:pPr>
        <w:spacing w:line="500" w:lineRule="exact"/>
        <w:jc w:val="center"/>
        <w:textAlignment w:val="baseline"/>
        <w:outlineLvl w:val="1"/>
        <w:rPr>
          <w:rFonts w:ascii="宋体" w:hAnsi="宋体" w:eastAsia="宋体" w:cs="Times New Roman"/>
          <w:b/>
          <w:bCs/>
          <w:sz w:val="32"/>
          <w:szCs w:val="32"/>
          <w:highlight w:val="none"/>
        </w:rPr>
      </w:pPr>
      <w:bookmarkStart w:id="94" w:name="_Toc27309"/>
      <w:bookmarkStart w:id="95" w:name="_Toc3747"/>
      <w:bookmarkStart w:id="96" w:name="_Toc17170"/>
      <w:r>
        <w:rPr>
          <w:rFonts w:hint="eastAsia" w:ascii="宋体" w:hAnsi="宋体" w:cs="Times New Roman"/>
          <w:b/>
          <w:bCs/>
          <w:sz w:val="32"/>
          <w:szCs w:val="32"/>
          <w:highlight w:val="none"/>
          <w:lang w:val="en-US" w:eastAsia="zh-CN"/>
        </w:rPr>
        <w:t>八</w:t>
      </w:r>
      <w:r>
        <w:rPr>
          <w:rFonts w:hint="eastAsia" w:ascii="宋体" w:hAnsi="宋体" w:eastAsia="宋体" w:cs="Times New Roman"/>
          <w:b/>
          <w:bCs/>
          <w:sz w:val="32"/>
          <w:szCs w:val="32"/>
          <w:highlight w:val="none"/>
        </w:rPr>
        <w:t>、响应供应商可提交的其他资料</w:t>
      </w:r>
      <w:bookmarkEnd w:id="94"/>
      <w:bookmarkEnd w:id="95"/>
      <w:bookmarkEnd w:id="96"/>
    </w:p>
    <w:p w14:paraId="3569A675">
      <w:pPr>
        <w:spacing w:line="360" w:lineRule="auto"/>
        <w:jc w:val="center"/>
        <w:outlineLvl w:val="9"/>
        <w:rPr>
          <w:rFonts w:hint="eastAsia" w:ascii="宋体" w:hAnsi="宋体" w:eastAsia="宋体" w:cs="Times New Roman"/>
          <w:b/>
          <w:sz w:val="32"/>
          <w:szCs w:val="32"/>
          <w:highlight w:val="none"/>
        </w:rPr>
      </w:pPr>
      <w:bookmarkStart w:id="97" w:name="_Toc2866"/>
    </w:p>
    <w:p w14:paraId="4E3DD891">
      <w:pPr>
        <w:spacing w:line="360" w:lineRule="auto"/>
        <w:jc w:val="center"/>
        <w:outlineLvl w:val="9"/>
        <w:rPr>
          <w:rFonts w:hint="eastAsia" w:ascii="宋体" w:hAnsi="宋体" w:eastAsia="宋体" w:cs="Times New Roman"/>
          <w:b/>
          <w:sz w:val="32"/>
          <w:szCs w:val="32"/>
          <w:highlight w:val="none"/>
        </w:rPr>
      </w:pPr>
    </w:p>
    <w:p w14:paraId="20E84178">
      <w:pPr>
        <w:spacing w:line="360" w:lineRule="auto"/>
        <w:jc w:val="center"/>
        <w:outlineLvl w:val="9"/>
        <w:rPr>
          <w:rFonts w:hint="eastAsia" w:ascii="宋体" w:hAnsi="宋体" w:eastAsia="宋体" w:cs="Times New Roman"/>
          <w:b/>
          <w:sz w:val="32"/>
          <w:szCs w:val="32"/>
          <w:highlight w:val="none"/>
        </w:rPr>
      </w:pPr>
    </w:p>
    <w:p w14:paraId="00B56855">
      <w:pPr>
        <w:spacing w:line="360" w:lineRule="auto"/>
        <w:jc w:val="center"/>
        <w:outlineLvl w:val="9"/>
        <w:rPr>
          <w:rFonts w:hint="eastAsia" w:ascii="宋体" w:hAnsi="宋体" w:eastAsia="宋体" w:cs="Times New Roman"/>
          <w:b/>
          <w:sz w:val="32"/>
          <w:szCs w:val="32"/>
          <w:highlight w:val="none"/>
        </w:rPr>
      </w:pPr>
    </w:p>
    <w:p w14:paraId="53922834">
      <w:pPr>
        <w:spacing w:line="360" w:lineRule="auto"/>
        <w:jc w:val="center"/>
        <w:outlineLvl w:val="9"/>
        <w:rPr>
          <w:rFonts w:hint="eastAsia" w:ascii="宋体" w:hAnsi="宋体" w:eastAsia="宋体" w:cs="Times New Roman"/>
          <w:b/>
          <w:sz w:val="32"/>
          <w:szCs w:val="32"/>
          <w:highlight w:val="none"/>
        </w:rPr>
      </w:pPr>
    </w:p>
    <w:p w14:paraId="67A0F31C">
      <w:pPr>
        <w:spacing w:line="360" w:lineRule="auto"/>
        <w:jc w:val="center"/>
        <w:outlineLvl w:val="9"/>
        <w:rPr>
          <w:rFonts w:hint="eastAsia" w:ascii="宋体" w:hAnsi="宋体" w:eastAsia="宋体" w:cs="Times New Roman"/>
          <w:b/>
          <w:sz w:val="32"/>
          <w:szCs w:val="32"/>
          <w:highlight w:val="none"/>
        </w:rPr>
      </w:pPr>
    </w:p>
    <w:p w14:paraId="1A951DFA">
      <w:pPr>
        <w:spacing w:line="360" w:lineRule="auto"/>
        <w:jc w:val="center"/>
        <w:outlineLvl w:val="9"/>
        <w:rPr>
          <w:rFonts w:hint="eastAsia" w:ascii="宋体" w:hAnsi="宋体" w:eastAsia="宋体" w:cs="Times New Roman"/>
          <w:b/>
          <w:sz w:val="32"/>
          <w:szCs w:val="32"/>
          <w:highlight w:val="none"/>
        </w:rPr>
      </w:pPr>
    </w:p>
    <w:p w14:paraId="53D980E3">
      <w:pPr>
        <w:spacing w:line="360" w:lineRule="auto"/>
        <w:jc w:val="center"/>
        <w:outlineLvl w:val="9"/>
        <w:rPr>
          <w:rFonts w:hint="eastAsia" w:ascii="宋体" w:hAnsi="宋体" w:eastAsia="宋体" w:cs="Times New Roman"/>
          <w:b/>
          <w:sz w:val="32"/>
          <w:szCs w:val="32"/>
          <w:highlight w:val="none"/>
        </w:rPr>
      </w:pPr>
    </w:p>
    <w:p w14:paraId="09E3D792">
      <w:pPr>
        <w:spacing w:line="360" w:lineRule="auto"/>
        <w:jc w:val="center"/>
        <w:outlineLvl w:val="9"/>
        <w:rPr>
          <w:rFonts w:hint="eastAsia" w:ascii="宋体" w:hAnsi="宋体" w:eastAsia="宋体" w:cs="Times New Roman"/>
          <w:b/>
          <w:sz w:val="32"/>
          <w:szCs w:val="32"/>
          <w:highlight w:val="none"/>
        </w:rPr>
      </w:pPr>
    </w:p>
    <w:p w14:paraId="02B08386">
      <w:pPr>
        <w:spacing w:line="360" w:lineRule="auto"/>
        <w:jc w:val="center"/>
        <w:outlineLvl w:val="9"/>
        <w:rPr>
          <w:rFonts w:hint="eastAsia" w:ascii="宋体" w:hAnsi="宋体" w:eastAsia="宋体" w:cs="Times New Roman"/>
          <w:b/>
          <w:sz w:val="32"/>
          <w:szCs w:val="32"/>
          <w:highlight w:val="none"/>
        </w:rPr>
      </w:pPr>
    </w:p>
    <w:p w14:paraId="17281B9D">
      <w:pPr>
        <w:spacing w:line="360" w:lineRule="auto"/>
        <w:jc w:val="center"/>
        <w:outlineLvl w:val="9"/>
        <w:rPr>
          <w:rFonts w:hint="eastAsia" w:ascii="宋体" w:hAnsi="宋体" w:eastAsia="宋体" w:cs="Times New Roman"/>
          <w:b/>
          <w:sz w:val="32"/>
          <w:szCs w:val="32"/>
          <w:highlight w:val="none"/>
        </w:rPr>
      </w:pPr>
    </w:p>
    <w:p w14:paraId="6777D9D5">
      <w:pPr>
        <w:spacing w:line="360" w:lineRule="auto"/>
        <w:jc w:val="center"/>
        <w:outlineLvl w:val="9"/>
        <w:rPr>
          <w:rFonts w:hint="eastAsia" w:ascii="宋体" w:hAnsi="宋体" w:eastAsia="宋体" w:cs="Times New Roman"/>
          <w:b/>
          <w:sz w:val="32"/>
          <w:szCs w:val="32"/>
          <w:highlight w:val="none"/>
        </w:rPr>
      </w:pPr>
    </w:p>
    <w:p w14:paraId="1B977E07">
      <w:pPr>
        <w:spacing w:line="360" w:lineRule="auto"/>
        <w:jc w:val="center"/>
        <w:outlineLvl w:val="9"/>
        <w:rPr>
          <w:rFonts w:hint="eastAsia" w:ascii="宋体" w:hAnsi="宋体" w:eastAsia="宋体" w:cs="Times New Roman"/>
          <w:b/>
          <w:sz w:val="32"/>
          <w:szCs w:val="32"/>
          <w:highlight w:val="none"/>
        </w:rPr>
      </w:pPr>
    </w:p>
    <w:p w14:paraId="31DA8DEF">
      <w:pPr>
        <w:spacing w:line="360" w:lineRule="auto"/>
        <w:jc w:val="center"/>
        <w:outlineLvl w:val="9"/>
        <w:rPr>
          <w:rFonts w:hint="eastAsia" w:ascii="宋体" w:hAnsi="宋体" w:eastAsia="宋体" w:cs="Times New Roman"/>
          <w:b/>
          <w:sz w:val="32"/>
          <w:szCs w:val="32"/>
          <w:highlight w:val="none"/>
        </w:rPr>
      </w:pPr>
    </w:p>
    <w:p w14:paraId="19E202A5">
      <w:pPr>
        <w:spacing w:line="360" w:lineRule="auto"/>
        <w:jc w:val="center"/>
        <w:outlineLvl w:val="9"/>
        <w:rPr>
          <w:rFonts w:hint="eastAsia" w:ascii="宋体" w:hAnsi="宋体" w:eastAsia="宋体" w:cs="Times New Roman"/>
          <w:b/>
          <w:sz w:val="32"/>
          <w:szCs w:val="32"/>
          <w:highlight w:val="none"/>
        </w:rPr>
      </w:pPr>
    </w:p>
    <w:p w14:paraId="41AA3A15">
      <w:pPr>
        <w:spacing w:line="360" w:lineRule="auto"/>
        <w:jc w:val="center"/>
        <w:outlineLvl w:val="9"/>
        <w:rPr>
          <w:rFonts w:hint="eastAsia" w:ascii="宋体" w:hAnsi="宋体" w:eastAsia="宋体" w:cs="Times New Roman"/>
          <w:b/>
          <w:sz w:val="32"/>
          <w:szCs w:val="32"/>
          <w:highlight w:val="none"/>
        </w:rPr>
      </w:pPr>
    </w:p>
    <w:p w14:paraId="5A926CCB">
      <w:pPr>
        <w:spacing w:line="360" w:lineRule="auto"/>
        <w:jc w:val="center"/>
        <w:outlineLvl w:val="9"/>
        <w:rPr>
          <w:rFonts w:hint="eastAsia" w:ascii="宋体" w:hAnsi="宋体" w:eastAsia="宋体" w:cs="Times New Roman"/>
          <w:b/>
          <w:sz w:val="32"/>
          <w:szCs w:val="32"/>
          <w:highlight w:val="none"/>
        </w:rPr>
      </w:pPr>
    </w:p>
    <w:p w14:paraId="1E948EA9">
      <w:pPr>
        <w:spacing w:line="360" w:lineRule="auto"/>
        <w:jc w:val="center"/>
        <w:outlineLvl w:val="9"/>
        <w:rPr>
          <w:rFonts w:hint="eastAsia" w:ascii="宋体" w:hAnsi="宋体" w:eastAsia="宋体" w:cs="Times New Roman"/>
          <w:b/>
          <w:sz w:val="32"/>
          <w:szCs w:val="32"/>
          <w:highlight w:val="none"/>
        </w:rPr>
      </w:pPr>
    </w:p>
    <w:p w14:paraId="25EEBE7E">
      <w:pPr>
        <w:spacing w:line="360" w:lineRule="auto"/>
        <w:jc w:val="center"/>
        <w:outlineLvl w:val="9"/>
        <w:rPr>
          <w:rFonts w:hint="eastAsia" w:ascii="宋体" w:hAnsi="宋体" w:eastAsia="宋体" w:cs="Times New Roman"/>
          <w:b/>
          <w:sz w:val="32"/>
          <w:szCs w:val="32"/>
          <w:highlight w:val="none"/>
        </w:rPr>
      </w:pPr>
    </w:p>
    <w:p w14:paraId="5D6B1704">
      <w:pPr>
        <w:spacing w:line="360" w:lineRule="auto"/>
        <w:jc w:val="center"/>
        <w:outlineLvl w:val="9"/>
        <w:rPr>
          <w:rFonts w:hint="eastAsia" w:ascii="宋体" w:hAnsi="宋体" w:eastAsia="宋体" w:cs="Times New Roman"/>
          <w:b/>
          <w:sz w:val="32"/>
          <w:szCs w:val="32"/>
          <w:highlight w:val="none"/>
        </w:rPr>
      </w:pPr>
    </w:p>
    <w:p w14:paraId="4F2A4DB1">
      <w:pPr>
        <w:spacing w:line="360" w:lineRule="auto"/>
        <w:jc w:val="center"/>
        <w:outlineLvl w:val="9"/>
        <w:rPr>
          <w:rFonts w:hint="eastAsia" w:ascii="宋体" w:hAnsi="宋体" w:eastAsia="宋体" w:cs="Times New Roman"/>
          <w:b/>
          <w:sz w:val="32"/>
          <w:szCs w:val="32"/>
          <w:highlight w:val="none"/>
        </w:rPr>
      </w:pPr>
    </w:p>
    <w:bookmarkEnd w:id="97"/>
    <w:p w14:paraId="460ABDFB">
      <w:pPr>
        <w:widowControl/>
        <w:adjustRightInd w:val="0"/>
        <w:snapToGrid w:val="0"/>
        <w:spacing w:before="120" w:beforeLines="50" w:line="360" w:lineRule="auto"/>
        <w:jc w:val="both"/>
        <w:rPr>
          <w:rFonts w:hint="eastAsia" w:ascii="宋体" w:hAnsi="宋体" w:eastAsia="宋体" w:cs="宋体"/>
          <w:b/>
          <w:bCs/>
          <w:spacing w:val="6"/>
          <w:kern w:val="0"/>
          <w:sz w:val="24"/>
          <w:szCs w:val="24"/>
          <w:highlight w:val="none"/>
          <w:lang w:val="en-US" w:eastAsia="zh-CN"/>
        </w:rPr>
      </w:pPr>
    </w:p>
    <w:p w14:paraId="703404BF">
      <w:pPr>
        <w:widowControl/>
        <w:adjustRightInd w:val="0"/>
        <w:snapToGrid w:val="0"/>
        <w:spacing w:before="120" w:beforeLines="50" w:line="360" w:lineRule="auto"/>
        <w:jc w:val="both"/>
        <w:outlineLvl w:val="2"/>
        <w:rPr>
          <w:rFonts w:hint="eastAsia" w:ascii="宋体" w:hAnsi="宋体" w:eastAsia="宋体" w:cs="宋体"/>
          <w:b/>
          <w:bCs/>
          <w:spacing w:val="6"/>
          <w:kern w:val="0"/>
          <w:sz w:val="24"/>
          <w:szCs w:val="24"/>
          <w:highlight w:val="none"/>
          <w:lang w:val="en-US" w:eastAsia="zh-CN"/>
        </w:rPr>
      </w:pPr>
      <w:r>
        <w:rPr>
          <w:rFonts w:hint="eastAsia" w:ascii="宋体" w:hAnsi="宋体" w:eastAsia="宋体" w:cs="宋体"/>
          <w:b/>
          <w:bCs/>
          <w:spacing w:val="6"/>
          <w:kern w:val="0"/>
          <w:sz w:val="24"/>
          <w:szCs w:val="24"/>
          <w:highlight w:val="none"/>
          <w:lang w:val="en-US" w:eastAsia="zh-CN"/>
        </w:rPr>
        <w:t xml:space="preserve">附件1 </w:t>
      </w:r>
    </w:p>
    <w:p w14:paraId="2C95345C">
      <w:pPr>
        <w:jc w:val="center"/>
        <w:rPr>
          <w:rFonts w:ascii="宋体" w:hAnsi="宋体" w:cs="宋体"/>
          <w:color w:val="auto"/>
          <w:spacing w:val="6"/>
          <w:sz w:val="28"/>
          <w:szCs w:val="28"/>
          <w:highlight w:val="none"/>
        </w:rPr>
      </w:pPr>
      <w:r>
        <w:rPr>
          <w:rFonts w:hint="eastAsia" w:ascii="宋体" w:hAnsi="宋体" w:cs="宋体"/>
          <w:color w:val="auto"/>
          <w:spacing w:val="6"/>
          <w:sz w:val="28"/>
          <w:szCs w:val="28"/>
          <w:highlight w:val="none"/>
        </w:rPr>
        <w:t>中小企业声明函（</w:t>
      </w:r>
      <w:r>
        <w:rPr>
          <w:rFonts w:hint="eastAsia" w:ascii="宋体" w:hAnsi="宋体" w:cs="宋体"/>
          <w:color w:val="auto"/>
          <w:spacing w:val="6"/>
          <w:sz w:val="28"/>
          <w:szCs w:val="28"/>
          <w:highlight w:val="none"/>
          <w:lang w:eastAsia="zh-CN"/>
        </w:rPr>
        <w:t>供应商</w:t>
      </w:r>
      <w:r>
        <w:rPr>
          <w:rFonts w:hint="eastAsia" w:ascii="宋体" w:hAnsi="宋体" w:cs="宋体"/>
          <w:color w:val="auto"/>
          <w:spacing w:val="6"/>
          <w:sz w:val="28"/>
          <w:szCs w:val="28"/>
          <w:highlight w:val="none"/>
        </w:rPr>
        <w:t>）</w:t>
      </w:r>
    </w:p>
    <w:p w14:paraId="35500113">
      <w:pPr>
        <w:rPr>
          <w:rFonts w:ascii="宋体" w:hAnsi="宋体" w:cs="宋体"/>
          <w:color w:val="auto"/>
          <w:spacing w:val="6"/>
          <w:szCs w:val="21"/>
          <w:highlight w:val="none"/>
        </w:rPr>
      </w:pPr>
    </w:p>
    <w:p w14:paraId="39215B9E">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本公司（联合体）郑重声明，根据《政府采购促进中小企业发展管理办法》（财库﹝2020﹞46号）的规定，本公司（联合体）参加</w:t>
      </w:r>
      <w:r>
        <w:rPr>
          <w:rFonts w:hint="eastAsia" w:ascii="宋体" w:hAnsi="宋体" w:cs="宋体"/>
          <w:color w:val="auto"/>
          <w:spacing w:val="6"/>
          <w:sz w:val="24"/>
          <w:highlight w:val="none"/>
          <w:u w:val="single"/>
        </w:rPr>
        <w:t>（单位名称）</w:t>
      </w:r>
      <w:r>
        <w:rPr>
          <w:rFonts w:hint="eastAsia" w:ascii="宋体" w:hAnsi="宋体" w:cs="宋体"/>
          <w:color w:val="auto"/>
          <w:spacing w:val="6"/>
          <w:sz w:val="24"/>
          <w:highlight w:val="none"/>
        </w:rPr>
        <w:t>的</w:t>
      </w:r>
      <w:r>
        <w:rPr>
          <w:rFonts w:hint="eastAsia" w:ascii="宋体" w:hAnsi="宋体" w:cs="宋体"/>
          <w:color w:val="auto"/>
          <w:spacing w:val="6"/>
          <w:sz w:val="24"/>
          <w:highlight w:val="none"/>
          <w:u w:val="single"/>
        </w:rPr>
        <w:t>（项目名称）</w:t>
      </w:r>
      <w:r>
        <w:rPr>
          <w:rFonts w:hint="eastAsia" w:ascii="宋体" w:hAnsi="宋体" w:cs="宋体"/>
          <w:color w:val="auto"/>
          <w:spacing w:val="6"/>
          <w:sz w:val="24"/>
          <w:highlight w:val="none"/>
        </w:rPr>
        <w:t>采购活动，工程的施工单位全部为符合政策要求的中小企业。 相关企业（含联合体中的中小企业、签订分包意向协议的中小企业）的具体情况如下：</w:t>
      </w:r>
    </w:p>
    <w:p w14:paraId="190E83D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1、</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w:t>
      </w:r>
      <w:r>
        <w:rPr>
          <w:rFonts w:hint="eastAsia" w:ascii="宋体" w:hAnsi="宋体" w:cs="宋体"/>
          <w:color w:val="auto"/>
          <w:spacing w:val="6"/>
          <w:sz w:val="24"/>
          <w:highlight w:val="none"/>
          <w:lang w:val="en-US" w:eastAsia="zh-CN"/>
        </w:rPr>
        <w:t xml:space="preserve"> </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万元，资产总额为</w:t>
      </w:r>
      <w:r>
        <w:rPr>
          <w:rFonts w:hint="eastAsia" w:ascii="宋体" w:hAnsi="宋体" w:cs="宋体"/>
          <w:color w:val="auto"/>
          <w:spacing w:val="6"/>
          <w:sz w:val="24"/>
          <w:highlight w:val="none"/>
          <w:u w:val="single"/>
          <w:lang w:val="en-US" w:eastAsia="zh-CN"/>
        </w:rPr>
        <w:t xml:space="preserve">  </w:t>
      </w:r>
      <w:r>
        <w:rPr>
          <w:rFonts w:hint="eastAsia" w:ascii="宋体" w:hAnsi="宋体" w:cs="宋体"/>
          <w:color w:val="auto"/>
          <w:spacing w:val="6"/>
          <w:sz w:val="24"/>
          <w:highlight w:val="none"/>
        </w:rPr>
        <w:t>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590E34CC">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2、</w:t>
      </w:r>
      <w:r>
        <w:rPr>
          <w:rFonts w:hint="eastAsia" w:ascii="宋体" w:hAnsi="宋体" w:cs="宋体"/>
          <w:color w:val="auto"/>
          <w:spacing w:val="6"/>
          <w:sz w:val="24"/>
          <w:highlight w:val="none"/>
          <w:u w:val="single"/>
        </w:rPr>
        <w:t>（标的名称）</w:t>
      </w:r>
      <w:r>
        <w:rPr>
          <w:rFonts w:hint="eastAsia" w:ascii="宋体" w:hAnsi="宋体" w:cs="宋体"/>
          <w:color w:val="auto"/>
          <w:spacing w:val="6"/>
          <w:sz w:val="24"/>
          <w:highlight w:val="none"/>
        </w:rPr>
        <w:t>，属于</w:t>
      </w:r>
      <w:r>
        <w:rPr>
          <w:rFonts w:hint="eastAsia" w:ascii="宋体" w:hAnsi="宋体" w:cs="宋体"/>
          <w:color w:val="auto"/>
          <w:spacing w:val="6"/>
          <w:sz w:val="24"/>
          <w:highlight w:val="none"/>
          <w:u w:val="single"/>
        </w:rPr>
        <w:t>（采购文件中明确的所属行业）</w:t>
      </w:r>
      <w:r>
        <w:rPr>
          <w:rFonts w:hint="eastAsia" w:ascii="宋体" w:hAnsi="宋体" w:cs="宋体"/>
          <w:color w:val="auto"/>
          <w:spacing w:val="6"/>
          <w:sz w:val="24"/>
          <w:highlight w:val="none"/>
        </w:rPr>
        <w:t>；承建（承接）企业为</w:t>
      </w:r>
      <w:r>
        <w:rPr>
          <w:rFonts w:hint="eastAsia" w:ascii="宋体" w:hAnsi="宋体" w:cs="宋体"/>
          <w:color w:val="auto"/>
          <w:spacing w:val="6"/>
          <w:sz w:val="24"/>
          <w:highlight w:val="none"/>
          <w:u w:val="single"/>
        </w:rPr>
        <w:t>（企业名称）</w:t>
      </w:r>
      <w:r>
        <w:rPr>
          <w:rFonts w:hint="eastAsia" w:ascii="宋体" w:hAnsi="宋体" w:cs="宋体"/>
          <w:color w:val="auto"/>
          <w:spacing w:val="6"/>
          <w:sz w:val="24"/>
          <w:highlight w:val="none"/>
        </w:rPr>
        <w:t>，从业人员人，营业收入为万元，资产总额为万元，属于</w:t>
      </w:r>
      <w:r>
        <w:rPr>
          <w:rFonts w:hint="eastAsia" w:ascii="宋体" w:hAnsi="宋体" w:cs="宋体"/>
          <w:color w:val="auto"/>
          <w:spacing w:val="6"/>
          <w:sz w:val="24"/>
          <w:highlight w:val="none"/>
          <w:u w:val="single"/>
        </w:rPr>
        <w:t>（中型企业、小型企业、微型企业）</w:t>
      </w:r>
      <w:r>
        <w:rPr>
          <w:rFonts w:hint="eastAsia" w:ascii="宋体" w:hAnsi="宋体" w:cs="宋体"/>
          <w:color w:val="auto"/>
          <w:spacing w:val="6"/>
          <w:sz w:val="24"/>
          <w:highlight w:val="none"/>
        </w:rPr>
        <w:t>；</w:t>
      </w:r>
    </w:p>
    <w:p w14:paraId="1D748357">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p>
    <w:p w14:paraId="2CFBF319">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以上企业，不属于大企业的分支机构，不存在控股股东为大企业的情形，也不存在与大企业的负责人为同一人的情形。</w:t>
      </w:r>
    </w:p>
    <w:p w14:paraId="531DFBAF">
      <w:pPr>
        <w:spacing w:line="50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本企业对上述声明内容的真实性负责。如有虚假，将依法承担相应责任。</w:t>
      </w:r>
    </w:p>
    <w:p w14:paraId="036DF6D6">
      <w:pPr>
        <w:spacing w:line="500" w:lineRule="exact"/>
        <w:ind w:firstLine="5040" w:firstLineChars="2000"/>
        <w:rPr>
          <w:rFonts w:ascii="宋体" w:hAnsi="宋体" w:cs="宋体"/>
          <w:color w:val="auto"/>
          <w:spacing w:val="6"/>
          <w:sz w:val="24"/>
          <w:highlight w:val="none"/>
        </w:rPr>
      </w:pPr>
    </w:p>
    <w:p w14:paraId="1E40D728">
      <w:pPr>
        <w:spacing w:line="500" w:lineRule="exact"/>
        <w:ind w:firstLine="5040" w:firstLineChars="2000"/>
        <w:rPr>
          <w:rFonts w:ascii="宋体" w:hAnsi="宋体" w:cs="宋体"/>
          <w:color w:val="auto"/>
          <w:spacing w:val="6"/>
          <w:sz w:val="24"/>
          <w:highlight w:val="none"/>
        </w:rPr>
      </w:pPr>
    </w:p>
    <w:p w14:paraId="50FB8B7E">
      <w:pPr>
        <w:spacing w:line="500" w:lineRule="exact"/>
        <w:ind w:firstLine="5040" w:firstLineChars="2000"/>
        <w:rPr>
          <w:rFonts w:ascii="宋体" w:hAnsi="宋体" w:cs="宋体"/>
          <w:color w:val="auto"/>
          <w:spacing w:val="6"/>
          <w:sz w:val="24"/>
          <w:highlight w:val="none"/>
        </w:rPr>
      </w:pPr>
    </w:p>
    <w:p w14:paraId="1230A3C7">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企业名称（盖章）：</w:t>
      </w:r>
    </w:p>
    <w:p w14:paraId="33B98041">
      <w:pPr>
        <w:spacing w:line="500" w:lineRule="exact"/>
        <w:ind w:firstLine="5040" w:firstLineChars="2000"/>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479C8FBD">
      <w:pPr>
        <w:spacing w:line="480" w:lineRule="exact"/>
        <w:rPr>
          <w:rFonts w:ascii="宋体" w:hAnsi="宋体" w:cs="宋体"/>
          <w:color w:val="auto"/>
          <w:sz w:val="24"/>
          <w:highlight w:val="none"/>
        </w:rPr>
      </w:pPr>
      <w:r>
        <w:rPr>
          <w:rFonts w:hint="eastAsia" w:ascii="宋体" w:hAnsi="宋体" w:cs="宋体"/>
          <w:color w:val="auto"/>
          <w:sz w:val="24"/>
          <w:highlight w:val="none"/>
        </w:rPr>
        <w:t>说明：</w:t>
      </w:r>
    </w:p>
    <w:p w14:paraId="4CA64316">
      <w:pPr>
        <w:spacing w:line="480" w:lineRule="exact"/>
        <w:rPr>
          <w:rFonts w:ascii="宋体" w:hAnsi="宋体" w:cs="宋体"/>
          <w:color w:val="auto"/>
          <w:sz w:val="24"/>
          <w:highlight w:val="none"/>
        </w:rPr>
      </w:pPr>
      <w:r>
        <w:rPr>
          <w:rFonts w:hint="eastAsia" w:ascii="宋体" w:hAnsi="宋体" w:cs="宋体"/>
          <w:color w:val="auto"/>
          <w:sz w:val="24"/>
          <w:highlight w:val="none"/>
        </w:rPr>
        <w:t>1、该声明函是针对小微型企业的，非小型、微型企业投标时不用提供该声明。</w:t>
      </w:r>
    </w:p>
    <w:p w14:paraId="3BF8D664">
      <w:pPr>
        <w:spacing w:line="480" w:lineRule="exact"/>
        <w:outlineLvl w:val="2"/>
        <w:rPr>
          <w:rFonts w:ascii="宋体" w:hAnsi="宋体" w:cs="宋体"/>
          <w:color w:val="auto"/>
          <w:sz w:val="24"/>
          <w:highlight w:val="none"/>
        </w:rPr>
      </w:pPr>
      <w:r>
        <w:rPr>
          <w:rFonts w:hint="eastAsia" w:ascii="宋体" w:hAnsi="宋体" w:cs="宋体"/>
          <w:color w:val="auto"/>
          <w:sz w:val="24"/>
          <w:highlight w:val="none"/>
        </w:rPr>
        <w:t>2、供应商应提供相应证明材料。</w:t>
      </w:r>
    </w:p>
    <w:p w14:paraId="1C2EC4AB">
      <w:pPr>
        <w:spacing w:line="480" w:lineRule="exact"/>
        <w:rPr>
          <w:rFonts w:ascii="宋体" w:hAnsi="宋体" w:cs="宋体"/>
          <w:color w:val="auto"/>
          <w:sz w:val="24"/>
          <w:highlight w:val="none"/>
        </w:rPr>
      </w:pPr>
      <w:r>
        <w:rPr>
          <w:rFonts w:hint="eastAsia" w:ascii="宋体" w:hAnsi="宋体" w:cs="宋体"/>
          <w:color w:val="auto"/>
          <w:sz w:val="24"/>
          <w:highlight w:val="none"/>
        </w:rPr>
        <w:t>3、供应商是小微企业的需按此格式提供相关资料，否则不需填写此表。</w:t>
      </w:r>
    </w:p>
    <w:p w14:paraId="356F5FB9">
      <w:pPr>
        <w:wordWrap w:val="0"/>
        <w:topLinePunct/>
        <w:adjustRightInd w:val="0"/>
        <w:snapToGrid w:val="0"/>
        <w:spacing w:line="360" w:lineRule="auto"/>
        <w:rPr>
          <w:rFonts w:ascii="宋体" w:hAnsi="宋体" w:eastAsia="宋体" w:cs="宋体"/>
          <w:color w:val="auto"/>
          <w:spacing w:val="6"/>
          <w:sz w:val="24"/>
          <w:szCs w:val="24"/>
          <w:highlight w:val="none"/>
        </w:rPr>
      </w:pPr>
    </w:p>
    <w:p w14:paraId="657D8536">
      <w:pPr>
        <w:wordWrap w:val="0"/>
        <w:topLinePunct/>
        <w:spacing w:after="120" w:line="360" w:lineRule="auto"/>
        <w:outlineLvl w:val="0"/>
        <w:rPr>
          <w:rFonts w:ascii="宋体" w:hAnsi="宋体" w:eastAsia="宋体" w:cs="宋体"/>
          <w:color w:val="auto"/>
          <w:sz w:val="24"/>
          <w:szCs w:val="24"/>
          <w:highlight w:val="none"/>
        </w:rPr>
      </w:pPr>
      <w:bookmarkStart w:id="98" w:name="_Toc18593"/>
      <w:bookmarkStart w:id="99" w:name="_Toc28455"/>
      <w:bookmarkStart w:id="100" w:name="_Toc31038"/>
      <w:bookmarkStart w:id="101" w:name="_Toc3901"/>
      <w:bookmarkStart w:id="102" w:name="_Toc5362"/>
      <w:bookmarkStart w:id="103" w:name="_Toc2102"/>
      <w:bookmarkStart w:id="104" w:name="_Toc27316"/>
      <w:r>
        <w:rPr>
          <w:rFonts w:hint="eastAsia" w:ascii="宋体" w:hAnsi="宋体" w:eastAsia="宋体" w:cs="宋体"/>
          <w:color w:val="auto"/>
          <w:sz w:val="24"/>
          <w:szCs w:val="24"/>
          <w:highlight w:val="none"/>
        </w:rPr>
        <w:t>附件2</w:t>
      </w:r>
      <w:bookmarkEnd w:id="98"/>
      <w:bookmarkEnd w:id="99"/>
      <w:bookmarkEnd w:id="100"/>
      <w:bookmarkEnd w:id="101"/>
      <w:bookmarkEnd w:id="102"/>
      <w:bookmarkEnd w:id="103"/>
      <w:bookmarkEnd w:id="104"/>
    </w:p>
    <w:p w14:paraId="5C2ADFC5">
      <w:pPr>
        <w:wordWrap w:val="0"/>
        <w:topLinePunct/>
        <w:adjustRightInd w:val="0"/>
        <w:snapToGrid w:val="0"/>
        <w:ind w:firstLine="480" w:firstLineChars="200"/>
        <w:rPr>
          <w:rFonts w:ascii="宋体" w:hAnsi="宋体" w:eastAsia="宋体" w:cs="宋体"/>
          <w:color w:val="auto"/>
          <w:sz w:val="24"/>
          <w:szCs w:val="24"/>
          <w:highlight w:val="none"/>
        </w:rPr>
      </w:pPr>
    </w:p>
    <w:p w14:paraId="5D79E424">
      <w:pPr>
        <w:wordWrap w:val="0"/>
        <w:topLinePunct/>
        <w:adjustRightInd w:val="0"/>
        <w:snapToGrid w:val="0"/>
        <w:ind w:firstLine="360" w:firstLineChars="150"/>
        <w:rPr>
          <w:rFonts w:ascii="宋体" w:hAnsi="宋体" w:eastAsia="宋体" w:cs="宋体"/>
          <w:color w:val="auto"/>
          <w:sz w:val="24"/>
          <w:szCs w:val="24"/>
          <w:highlight w:val="none"/>
        </w:rPr>
      </w:pPr>
    </w:p>
    <w:p w14:paraId="2BEF7422">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105" w:name="_Toc20672"/>
      <w:bookmarkStart w:id="106" w:name="_Toc6713"/>
      <w:bookmarkStart w:id="107" w:name="_Toc30785"/>
      <w:bookmarkStart w:id="108" w:name="_Toc25118"/>
      <w:bookmarkStart w:id="109" w:name="_Toc20491"/>
      <w:bookmarkStart w:id="110" w:name="_Toc22690"/>
      <w:bookmarkStart w:id="111" w:name="_Toc22756"/>
      <w:r>
        <w:rPr>
          <w:rFonts w:hint="eastAsia" w:ascii="宋体" w:hAnsi="宋体" w:eastAsia="宋体" w:cs="宋体"/>
          <w:b/>
          <w:bCs/>
          <w:color w:val="auto"/>
          <w:sz w:val="24"/>
          <w:szCs w:val="24"/>
          <w:highlight w:val="none"/>
          <w:lang w:val="zh-CN"/>
        </w:rPr>
        <w:t>监狱企业证明文件</w:t>
      </w:r>
      <w:bookmarkEnd w:id="105"/>
      <w:bookmarkEnd w:id="106"/>
      <w:bookmarkEnd w:id="107"/>
      <w:bookmarkEnd w:id="108"/>
      <w:bookmarkEnd w:id="109"/>
      <w:bookmarkEnd w:id="110"/>
      <w:bookmarkEnd w:id="111"/>
    </w:p>
    <w:p w14:paraId="52966383">
      <w:pPr>
        <w:wordWrap w:val="0"/>
        <w:topLinePunct/>
        <w:jc w:val="center"/>
        <w:rPr>
          <w:rFonts w:ascii="宋体" w:hAnsi="宋体" w:eastAsia="宋体" w:cs="宋体"/>
          <w:b/>
          <w:bCs/>
          <w:color w:val="auto"/>
          <w:sz w:val="24"/>
          <w:szCs w:val="24"/>
          <w:highlight w:val="none"/>
        </w:rPr>
      </w:pPr>
    </w:p>
    <w:p w14:paraId="5B9A7229">
      <w:pPr>
        <w:wordWrap w:val="0"/>
        <w:topLinePunct/>
        <w:spacing w:line="500" w:lineRule="exact"/>
        <w:rPr>
          <w:rFonts w:ascii="宋体" w:hAnsi="宋体" w:eastAsia="宋体" w:cs="宋体"/>
          <w:color w:val="auto"/>
          <w:spacing w:val="6"/>
          <w:sz w:val="24"/>
          <w:szCs w:val="24"/>
          <w:highlight w:val="none"/>
        </w:rPr>
      </w:pPr>
    </w:p>
    <w:p w14:paraId="0B7C395B">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334B0465">
      <w:pPr>
        <w:wordWrap w:val="0"/>
        <w:topLinePunct/>
        <w:spacing w:line="500" w:lineRule="exact"/>
        <w:ind w:firstLine="504" w:firstLineChars="200"/>
        <w:rPr>
          <w:rFonts w:ascii="宋体" w:hAnsi="宋体" w:eastAsia="宋体" w:cs="宋体"/>
          <w:color w:val="auto"/>
          <w:spacing w:val="6"/>
          <w:sz w:val="24"/>
          <w:szCs w:val="24"/>
          <w:highlight w:val="none"/>
        </w:rPr>
      </w:pPr>
    </w:p>
    <w:p w14:paraId="4A408C26">
      <w:pPr>
        <w:wordWrap w:val="0"/>
        <w:topLinePunct/>
        <w:spacing w:line="500" w:lineRule="exact"/>
        <w:ind w:firstLine="504" w:firstLineChars="200"/>
        <w:rPr>
          <w:rFonts w:ascii="宋体" w:hAnsi="宋体" w:eastAsia="宋体" w:cs="宋体"/>
          <w:color w:val="auto"/>
          <w:spacing w:val="6"/>
          <w:sz w:val="24"/>
          <w:szCs w:val="24"/>
          <w:highlight w:val="none"/>
        </w:rPr>
      </w:pPr>
    </w:p>
    <w:p w14:paraId="40F7A8C0">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6E7E4C6E">
      <w:pPr>
        <w:wordWrap w:val="0"/>
        <w:topLinePunct/>
        <w:spacing w:line="500" w:lineRule="exact"/>
        <w:rPr>
          <w:rFonts w:ascii="宋体" w:hAnsi="宋体" w:eastAsia="宋体" w:cs="宋体"/>
          <w:color w:val="auto"/>
          <w:sz w:val="24"/>
          <w:szCs w:val="24"/>
          <w:highlight w:val="none"/>
        </w:rPr>
      </w:pPr>
    </w:p>
    <w:p w14:paraId="1E371F94">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D39EC9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FABB63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3B8405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AD73A0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87365B8">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87C378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7B40843">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E4DD9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AE3A1FF">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466E1F9">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EDDC03C">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71F2398">
      <w:pPr>
        <w:pageBreakBefore/>
        <w:wordWrap w:val="0"/>
        <w:topLinePunct/>
        <w:ind w:firstLine="360" w:firstLineChars="150"/>
        <w:outlineLvl w:val="0"/>
        <w:rPr>
          <w:rFonts w:ascii="宋体" w:hAnsi="宋体" w:eastAsia="宋体" w:cs="宋体"/>
          <w:color w:val="auto"/>
          <w:sz w:val="24"/>
          <w:szCs w:val="24"/>
          <w:highlight w:val="none"/>
        </w:rPr>
      </w:pPr>
      <w:bookmarkStart w:id="112" w:name="_Toc9618"/>
      <w:bookmarkStart w:id="113" w:name="_Toc27716"/>
      <w:bookmarkStart w:id="114" w:name="_Toc11345"/>
      <w:bookmarkStart w:id="115" w:name="_Toc14176"/>
      <w:bookmarkStart w:id="116" w:name="_Toc16416"/>
      <w:bookmarkStart w:id="117" w:name="_Toc14168"/>
      <w:bookmarkStart w:id="118" w:name="_Toc6264"/>
      <w:r>
        <w:rPr>
          <w:rFonts w:hint="eastAsia" w:ascii="宋体" w:hAnsi="宋体" w:eastAsia="宋体" w:cs="宋体"/>
          <w:color w:val="auto"/>
          <w:sz w:val="24"/>
          <w:szCs w:val="24"/>
          <w:highlight w:val="none"/>
        </w:rPr>
        <w:t>附件3</w:t>
      </w:r>
      <w:bookmarkEnd w:id="112"/>
      <w:bookmarkEnd w:id="113"/>
      <w:bookmarkEnd w:id="114"/>
      <w:bookmarkEnd w:id="115"/>
      <w:bookmarkEnd w:id="116"/>
      <w:bookmarkEnd w:id="117"/>
      <w:bookmarkEnd w:id="118"/>
    </w:p>
    <w:p w14:paraId="229F12F3">
      <w:pPr>
        <w:wordWrap w:val="0"/>
        <w:spacing w:after="120" w:line="480" w:lineRule="exact"/>
        <w:jc w:val="center"/>
        <w:outlineLvl w:val="0"/>
        <w:rPr>
          <w:rFonts w:ascii="宋体" w:hAnsi="宋体" w:eastAsia="宋体" w:cs="宋体"/>
          <w:b/>
          <w:bCs/>
          <w:color w:val="auto"/>
          <w:kern w:val="36"/>
          <w:sz w:val="24"/>
          <w:szCs w:val="24"/>
          <w:highlight w:val="none"/>
        </w:rPr>
      </w:pPr>
      <w:bookmarkStart w:id="119" w:name="_Toc32130"/>
      <w:bookmarkStart w:id="120" w:name="_Toc12807"/>
      <w:bookmarkStart w:id="121" w:name="_Toc8171"/>
      <w:bookmarkStart w:id="122" w:name="_Toc7783"/>
      <w:bookmarkStart w:id="123" w:name="_Toc27930"/>
      <w:bookmarkStart w:id="124" w:name="_Toc18071"/>
      <w:bookmarkStart w:id="125" w:name="_Toc25433"/>
      <w:r>
        <w:rPr>
          <w:rFonts w:hint="eastAsia" w:ascii="宋体" w:hAnsi="宋体" w:eastAsia="宋体" w:cs="宋体"/>
          <w:b/>
          <w:bCs/>
          <w:color w:val="auto"/>
          <w:kern w:val="36"/>
          <w:sz w:val="24"/>
          <w:szCs w:val="24"/>
          <w:highlight w:val="none"/>
        </w:rPr>
        <w:t>残疾人福利性单位声明函（如有）</w:t>
      </w:r>
      <w:bookmarkEnd w:id="119"/>
      <w:bookmarkEnd w:id="120"/>
      <w:bookmarkEnd w:id="121"/>
      <w:bookmarkEnd w:id="122"/>
      <w:bookmarkEnd w:id="123"/>
      <w:bookmarkEnd w:id="124"/>
      <w:bookmarkEnd w:id="125"/>
    </w:p>
    <w:p w14:paraId="5F0BD1B7">
      <w:pPr>
        <w:wordWrap w:val="0"/>
        <w:spacing w:after="120" w:line="480" w:lineRule="exact"/>
        <w:ind w:firstLine="480" w:firstLineChars="200"/>
        <w:rPr>
          <w:rFonts w:ascii="宋体" w:hAnsi="宋体" w:eastAsia="宋体" w:cs="宋体"/>
          <w:color w:val="auto"/>
          <w:kern w:val="36"/>
          <w:sz w:val="24"/>
          <w:szCs w:val="24"/>
          <w:highlight w:val="none"/>
        </w:rPr>
      </w:pPr>
    </w:p>
    <w:p w14:paraId="6659B2BD">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109917F6">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26354D49">
      <w:pPr>
        <w:wordWrap w:val="0"/>
        <w:spacing w:line="480" w:lineRule="exact"/>
        <w:ind w:firstLine="480" w:firstLineChars="200"/>
        <w:jc w:val="right"/>
        <w:rPr>
          <w:rFonts w:ascii="宋体" w:hAnsi="宋体" w:eastAsia="宋体" w:cs="宋体"/>
          <w:color w:val="auto"/>
          <w:sz w:val="24"/>
          <w:szCs w:val="24"/>
          <w:highlight w:val="none"/>
        </w:rPr>
      </w:pPr>
    </w:p>
    <w:p w14:paraId="079A6AC9">
      <w:pPr>
        <w:wordWrap w:val="0"/>
        <w:topLinePunct/>
        <w:spacing w:line="360" w:lineRule="auto"/>
        <w:rPr>
          <w:rFonts w:ascii="宋体" w:hAnsi="宋体" w:eastAsia="宋体" w:cs="宋体"/>
          <w:color w:val="auto"/>
          <w:kern w:val="0"/>
          <w:sz w:val="24"/>
          <w:szCs w:val="24"/>
          <w:highlight w:val="none"/>
        </w:rPr>
      </w:pPr>
    </w:p>
    <w:p w14:paraId="794B8895">
      <w:pPr>
        <w:wordWrap w:val="0"/>
        <w:topLinePunct/>
        <w:spacing w:line="360" w:lineRule="auto"/>
        <w:ind w:firstLine="480" w:firstLineChars="200"/>
        <w:rPr>
          <w:rFonts w:ascii="宋体" w:hAnsi="宋体" w:eastAsia="宋体" w:cs="宋体"/>
          <w:color w:val="auto"/>
          <w:sz w:val="24"/>
          <w:szCs w:val="24"/>
          <w:highlight w:val="none"/>
        </w:rPr>
      </w:pPr>
    </w:p>
    <w:p w14:paraId="2B7D4954">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3B189B28">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4DCC407E">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23D3D6D9">
      <w:pPr>
        <w:rPr>
          <w:rFonts w:ascii="Calibri" w:hAnsi="Calibri" w:eastAsia="宋体" w:cs="Times New Roman"/>
          <w:color w:val="auto"/>
          <w:sz w:val="22"/>
          <w:highlight w:val="none"/>
        </w:rPr>
      </w:pPr>
    </w:p>
    <w:p w14:paraId="305BF695">
      <w:pPr>
        <w:wordWrap w:val="0"/>
        <w:jc w:val="center"/>
        <w:rPr>
          <w:rFonts w:ascii="宋体" w:hAnsi="宋体" w:eastAsia="宋体" w:cs="宋体"/>
          <w:b/>
          <w:bCs/>
          <w:color w:val="auto"/>
          <w:sz w:val="24"/>
          <w:szCs w:val="24"/>
          <w:highlight w:val="none"/>
        </w:rPr>
      </w:pPr>
    </w:p>
    <w:p w14:paraId="3A2CFCEB">
      <w:pPr>
        <w:wordWrap w:val="0"/>
        <w:jc w:val="center"/>
        <w:rPr>
          <w:rFonts w:ascii="宋体" w:hAnsi="宋体" w:eastAsia="宋体" w:cs="宋体"/>
          <w:b/>
          <w:bCs/>
          <w:color w:val="auto"/>
          <w:sz w:val="24"/>
          <w:szCs w:val="24"/>
          <w:highlight w:val="none"/>
        </w:rPr>
      </w:pPr>
    </w:p>
    <w:p w14:paraId="38E481E6">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D14919C">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52761D7D">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E9B2FD8">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5412595">
      <w:pPr>
        <w:topLinePunct/>
        <w:jc w:val="center"/>
        <w:rPr>
          <w:rFonts w:ascii="宋体" w:hAnsi="宋体" w:eastAsia="宋体" w:cs="宋体"/>
          <w:b/>
          <w:bCs/>
          <w:color w:val="auto"/>
          <w:sz w:val="24"/>
          <w:szCs w:val="24"/>
          <w:highlight w:val="none"/>
        </w:rPr>
      </w:pPr>
    </w:p>
    <w:p w14:paraId="30D1DDFA">
      <w:pPr>
        <w:topLinePunct/>
        <w:jc w:val="center"/>
        <w:rPr>
          <w:rFonts w:ascii="宋体" w:hAnsi="宋体" w:eastAsia="宋体" w:cs="宋体"/>
          <w:b/>
          <w:bCs/>
          <w:color w:val="auto"/>
          <w:sz w:val="24"/>
          <w:szCs w:val="24"/>
          <w:highlight w:val="none"/>
        </w:rPr>
      </w:pPr>
    </w:p>
    <w:p w14:paraId="26999121">
      <w:pPr>
        <w:rPr>
          <w:color w:val="auto"/>
          <w:highlight w:val="none"/>
        </w:rPr>
      </w:pPr>
    </w:p>
    <w:p w14:paraId="7FDA56AD">
      <w:pPr>
        <w:pStyle w:val="37"/>
        <w:spacing w:line="480" w:lineRule="exact"/>
        <w:jc w:val="center"/>
        <w:outlineLvl w:val="9"/>
        <w:rPr>
          <w:rFonts w:hint="eastAsia" w:ascii="宋体" w:hAnsi="宋体" w:eastAsia="宋体" w:cs="宋体"/>
          <w:b/>
          <w:sz w:val="28"/>
          <w:highlight w:val="none"/>
          <w:lang w:val="zh-CN"/>
        </w:rPr>
      </w:pPr>
    </w:p>
    <w:p w14:paraId="644A025C">
      <w:pPr>
        <w:pStyle w:val="37"/>
        <w:spacing w:line="480" w:lineRule="exact"/>
        <w:jc w:val="center"/>
        <w:outlineLvl w:val="9"/>
        <w:rPr>
          <w:rFonts w:hint="eastAsia" w:ascii="宋体" w:hAnsi="宋体" w:eastAsia="宋体" w:cs="宋体"/>
          <w:b/>
          <w:sz w:val="28"/>
          <w:highlight w:val="none"/>
          <w:lang w:val="zh-CN"/>
        </w:rPr>
      </w:pPr>
    </w:p>
    <w:p w14:paraId="104BE6D4">
      <w:pPr>
        <w:rPr>
          <w:rFonts w:hint="eastAsia" w:ascii="宋体" w:hAnsi="宋体" w:eastAsia="宋体" w:cs="宋体"/>
          <w:highlight w:val="none"/>
          <w:lang w:val="en-US" w:eastAsia="zh-CN"/>
        </w:rPr>
      </w:pPr>
    </w:p>
    <w:p w14:paraId="4EDA7361">
      <w:pPr>
        <w:rPr>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DCDB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1F6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3037D">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B3037D">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B4F8">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1CE1D">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A1CE1D">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31F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2E293"/>
    <w:multiLevelType w:val="singleLevel"/>
    <w:tmpl w:val="C9F2E293"/>
    <w:lvl w:ilvl="0" w:tentative="0">
      <w:start w:val="5"/>
      <w:numFmt w:val="chineseCounting"/>
      <w:suff w:val="space"/>
      <w:lvlText w:val="第%1章"/>
      <w:lvlJc w:val="left"/>
      <w:pPr>
        <w:ind w:left="4171" w:firstLine="0"/>
      </w:pPr>
      <w:rPr>
        <w:rFonts w:hint="eastAsia"/>
      </w:rPr>
    </w:lvl>
  </w:abstractNum>
  <w:abstractNum w:abstractNumId="1">
    <w:nsid w:val="F9C812F1"/>
    <w:multiLevelType w:val="singleLevel"/>
    <w:tmpl w:val="F9C812F1"/>
    <w:lvl w:ilvl="0" w:tentative="0">
      <w:start w:val="1"/>
      <w:numFmt w:val="decimal"/>
      <w:suff w:val="nothing"/>
      <w:lvlText w:val="（%1）"/>
      <w:lvlJc w:val="left"/>
    </w:lvl>
  </w:abstractNum>
  <w:abstractNum w:abstractNumId="2">
    <w:nsid w:val="1FC106E5"/>
    <w:multiLevelType w:val="singleLevel"/>
    <w:tmpl w:val="1FC106E5"/>
    <w:lvl w:ilvl="0" w:tentative="0">
      <w:start w:val="4"/>
      <w:numFmt w:val="chineseCounting"/>
      <w:suff w:val="space"/>
      <w:lvlText w:val="第%1章"/>
      <w:lvlJc w:val="left"/>
      <w:rPr>
        <w:rFonts w:hint="eastAsia"/>
      </w:rPr>
    </w:lvl>
  </w:abstractNum>
  <w:abstractNum w:abstractNumId="3">
    <w:nsid w:val="3A09B31B"/>
    <w:multiLevelType w:val="singleLevel"/>
    <w:tmpl w:val="3A09B31B"/>
    <w:lvl w:ilvl="0" w:tentative="0">
      <w:start w:val="2"/>
      <w:numFmt w:val="chineseCounting"/>
      <w:suff w:val="nothing"/>
      <w:lvlText w:val="%1、"/>
      <w:lvlJc w:val="left"/>
      <w:rPr>
        <w:rFonts w:hint="eastAsia"/>
      </w:rPr>
    </w:lvl>
  </w:abstractNum>
  <w:abstractNum w:abstractNumId="4">
    <w:nsid w:val="4C3D7A74"/>
    <w:multiLevelType w:val="multilevel"/>
    <w:tmpl w:val="4C3D7A74"/>
    <w:lvl w:ilvl="0" w:tentative="0">
      <w:start w:val="1"/>
      <w:numFmt w:val="decimal"/>
      <w:lvlText w:val="%1."/>
      <w:lvlJc w:val="left"/>
      <w:pPr>
        <w:ind w:left="212" w:hanging="212"/>
        <w:jc w:val="left"/>
      </w:pPr>
      <w:rPr>
        <w:rFonts w:hint="default" w:ascii="宋体" w:hAnsi="宋体" w:eastAsia="宋体" w:cs="宋体"/>
        <w:spacing w:val="1"/>
        <w:w w:val="99"/>
        <w:sz w:val="19"/>
        <w:szCs w:val="19"/>
      </w:rPr>
    </w:lvl>
    <w:lvl w:ilvl="1" w:tentative="0">
      <w:start w:val="1"/>
      <w:numFmt w:val="decimal"/>
      <w:lvlText w:val="（%2）"/>
      <w:lvlJc w:val="left"/>
      <w:pPr>
        <w:ind w:left="1457" w:hanging="525"/>
        <w:jc w:val="left"/>
      </w:pPr>
      <w:rPr>
        <w:rFonts w:hint="default" w:ascii="宋体" w:hAnsi="宋体" w:eastAsia="宋体" w:cs="宋体"/>
        <w:spacing w:val="-1"/>
        <w:w w:val="99"/>
        <w:sz w:val="19"/>
        <w:szCs w:val="19"/>
      </w:rPr>
    </w:lvl>
    <w:lvl w:ilvl="2" w:tentative="0">
      <w:start w:val="0"/>
      <w:numFmt w:val="bullet"/>
      <w:lvlText w:val="•"/>
      <w:lvlJc w:val="left"/>
      <w:pPr>
        <w:ind w:left="2427" w:hanging="525"/>
      </w:pPr>
      <w:rPr>
        <w:rFonts w:hint="default"/>
      </w:rPr>
    </w:lvl>
    <w:lvl w:ilvl="3" w:tentative="0">
      <w:start w:val="0"/>
      <w:numFmt w:val="bullet"/>
      <w:lvlText w:val="•"/>
      <w:lvlJc w:val="left"/>
      <w:pPr>
        <w:ind w:left="3394" w:hanging="525"/>
      </w:pPr>
      <w:rPr>
        <w:rFonts w:hint="default"/>
      </w:rPr>
    </w:lvl>
    <w:lvl w:ilvl="4" w:tentative="0">
      <w:start w:val="0"/>
      <w:numFmt w:val="bullet"/>
      <w:lvlText w:val="•"/>
      <w:lvlJc w:val="left"/>
      <w:pPr>
        <w:ind w:left="4362" w:hanging="525"/>
      </w:pPr>
      <w:rPr>
        <w:rFonts w:hint="default"/>
      </w:rPr>
    </w:lvl>
    <w:lvl w:ilvl="5" w:tentative="0">
      <w:start w:val="0"/>
      <w:numFmt w:val="bullet"/>
      <w:lvlText w:val="•"/>
      <w:lvlJc w:val="left"/>
      <w:pPr>
        <w:ind w:left="5329" w:hanging="525"/>
      </w:pPr>
      <w:rPr>
        <w:rFonts w:hint="default"/>
      </w:rPr>
    </w:lvl>
    <w:lvl w:ilvl="6" w:tentative="0">
      <w:start w:val="0"/>
      <w:numFmt w:val="bullet"/>
      <w:lvlText w:val="•"/>
      <w:lvlJc w:val="left"/>
      <w:pPr>
        <w:ind w:left="6296" w:hanging="525"/>
      </w:pPr>
      <w:rPr>
        <w:rFonts w:hint="default"/>
      </w:rPr>
    </w:lvl>
    <w:lvl w:ilvl="7" w:tentative="0">
      <w:start w:val="0"/>
      <w:numFmt w:val="bullet"/>
      <w:lvlText w:val="•"/>
      <w:lvlJc w:val="left"/>
      <w:pPr>
        <w:ind w:left="7264" w:hanging="525"/>
      </w:pPr>
      <w:rPr>
        <w:rFonts w:hint="default"/>
      </w:rPr>
    </w:lvl>
    <w:lvl w:ilvl="8" w:tentative="0">
      <w:start w:val="0"/>
      <w:numFmt w:val="bullet"/>
      <w:lvlText w:val="•"/>
      <w:lvlJc w:val="left"/>
      <w:pPr>
        <w:ind w:left="8231" w:hanging="525"/>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6F455122"/>
    <w:rsid w:val="033F3145"/>
    <w:rsid w:val="050A7D9D"/>
    <w:rsid w:val="07D433FC"/>
    <w:rsid w:val="087B54C4"/>
    <w:rsid w:val="0E77399F"/>
    <w:rsid w:val="0F69793C"/>
    <w:rsid w:val="1B214753"/>
    <w:rsid w:val="1BA86C22"/>
    <w:rsid w:val="1BB750B7"/>
    <w:rsid w:val="1C7F782D"/>
    <w:rsid w:val="1CFB20F0"/>
    <w:rsid w:val="220C3CE1"/>
    <w:rsid w:val="239B0E1A"/>
    <w:rsid w:val="24526D1A"/>
    <w:rsid w:val="24D74F06"/>
    <w:rsid w:val="2C113AC3"/>
    <w:rsid w:val="2D0A14EA"/>
    <w:rsid w:val="2E147EF8"/>
    <w:rsid w:val="30D9656E"/>
    <w:rsid w:val="31B7018C"/>
    <w:rsid w:val="321002F1"/>
    <w:rsid w:val="3357543B"/>
    <w:rsid w:val="33CE13D1"/>
    <w:rsid w:val="37EE37B7"/>
    <w:rsid w:val="38AC0272"/>
    <w:rsid w:val="3A28104F"/>
    <w:rsid w:val="3B9E28F1"/>
    <w:rsid w:val="3EB357DA"/>
    <w:rsid w:val="41596145"/>
    <w:rsid w:val="450F36EA"/>
    <w:rsid w:val="451C5E07"/>
    <w:rsid w:val="4E9D3820"/>
    <w:rsid w:val="51E25CE3"/>
    <w:rsid w:val="534F4201"/>
    <w:rsid w:val="575A4079"/>
    <w:rsid w:val="589A5BCB"/>
    <w:rsid w:val="5E224037"/>
    <w:rsid w:val="5EC15003"/>
    <w:rsid w:val="612D7B6C"/>
    <w:rsid w:val="62DC480A"/>
    <w:rsid w:val="647C7590"/>
    <w:rsid w:val="68940919"/>
    <w:rsid w:val="6A845E04"/>
    <w:rsid w:val="6D3671B7"/>
    <w:rsid w:val="6EC407F2"/>
    <w:rsid w:val="6F455122"/>
    <w:rsid w:val="73F73575"/>
    <w:rsid w:val="752244C4"/>
    <w:rsid w:val="7533222E"/>
    <w:rsid w:val="7A1C7734"/>
    <w:rsid w:val="7BAB0D70"/>
    <w:rsid w:val="7C02295A"/>
    <w:rsid w:val="7E4B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ind w:right="19"/>
      <w:jc w:val="center"/>
      <w:outlineLvl w:val="0"/>
    </w:pPr>
    <w:rPr>
      <w:rFonts w:ascii="宋体" w:hAnsi="宋体" w:eastAsia="宋体" w:cs="宋体"/>
      <w:b/>
      <w:bCs/>
      <w:sz w:val="28"/>
      <w:szCs w:val="28"/>
    </w:rPr>
  </w:style>
  <w:style w:type="paragraph" w:styleId="4">
    <w:name w:val="heading 2"/>
    <w:basedOn w:val="1"/>
    <w:next w:val="1"/>
    <w:qFormat/>
    <w:uiPriority w:val="1"/>
    <w:pPr>
      <w:ind w:left="3553"/>
      <w:outlineLvl w:val="1"/>
    </w:pPr>
    <w:rPr>
      <w:rFonts w:ascii="黑体" w:hAnsi="黑体" w:eastAsia="黑体" w:cs="黑体"/>
      <w:sz w:val="28"/>
      <w:szCs w:val="28"/>
    </w:rPr>
  </w:style>
  <w:style w:type="paragraph" w:styleId="5">
    <w:name w:val="heading 3"/>
    <w:basedOn w:val="1"/>
    <w:qFormat/>
    <w:uiPriority w:val="1"/>
    <w:pPr>
      <w:spacing w:before="60"/>
      <w:ind w:left="273"/>
      <w:outlineLvl w:val="2"/>
    </w:pPr>
    <w:rPr>
      <w:rFonts w:ascii="宋体" w:hAnsi="宋体" w:eastAsia="宋体" w:cs="宋体"/>
      <w:sz w:val="29"/>
      <w:szCs w:val="29"/>
    </w:rPr>
  </w:style>
  <w:style w:type="paragraph" w:styleId="6">
    <w:name w:val="heading 4"/>
    <w:basedOn w:val="1"/>
    <w:next w:val="1"/>
    <w:qFormat/>
    <w:uiPriority w:val="99"/>
    <w:pPr>
      <w:keepNext/>
      <w:outlineLvl w:val="3"/>
    </w:pPr>
    <w:rPr>
      <w:b/>
      <w:bCs/>
      <w:kern w:val="0"/>
      <w:sz w:val="24"/>
      <w:szCs w:val="24"/>
    </w:rPr>
  </w:style>
  <w:style w:type="paragraph" w:styleId="7">
    <w:name w:val="heading 7"/>
    <w:basedOn w:val="1"/>
    <w:qFormat/>
    <w:uiPriority w:val="1"/>
    <w:pPr>
      <w:ind w:left="748" w:hanging="420"/>
      <w:outlineLvl w:val="6"/>
    </w:pPr>
    <w:rPr>
      <w:rFonts w:ascii="宋体" w:hAnsi="宋体" w:eastAsia="宋体" w:cs="宋体"/>
      <w:b/>
      <w:bCs/>
      <w:sz w:val="21"/>
      <w:szCs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8">
    <w:name w:val="toa heading"/>
    <w:basedOn w:val="1"/>
    <w:next w:val="1"/>
    <w:semiHidden/>
    <w:qFormat/>
    <w:uiPriority w:val="0"/>
    <w:pPr>
      <w:widowControl/>
      <w:tabs>
        <w:tab w:val="left" w:pos="9000"/>
        <w:tab w:val="right" w:pos="9360"/>
      </w:tabs>
      <w:suppressAutoHyphens/>
      <w:jc w:val="left"/>
    </w:pPr>
    <w:rPr>
      <w:rFonts w:ascii="Courier" w:hAnsi="Courier" w:eastAsia="宋体" w:cs="Times New Roman"/>
      <w:kern w:val="0"/>
      <w:sz w:val="20"/>
      <w:szCs w:val="20"/>
      <w:lang w:eastAsia="en-US"/>
    </w:rPr>
  </w:style>
  <w:style w:type="paragraph" w:styleId="9">
    <w:name w:val="Body Text"/>
    <w:basedOn w:val="1"/>
    <w:next w:val="1"/>
    <w:qFormat/>
    <w:uiPriority w:val="1"/>
    <w:rPr>
      <w:rFonts w:ascii="宋体" w:hAnsi="宋体" w:eastAsia="宋体" w:cs="宋体"/>
      <w:sz w:val="23"/>
      <w:szCs w:val="23"/>
    </w:rPr>
  </w:style>
  <w:style w:type="paragraph" w:styleId="10">
    <w:name w:val="Body Text Indent"/>
    <w:basedOn w:val="1"/>
    <w:next w:val="11"/>
    <w:qFormat/>
    <w:uiPriority w:val="0"/>
    <w:pPr>
      <w:adjustRightInd w:val="0"/>
      <w:ind w:left="960"/>
      <w:jc w:val="left"/>
      <w:textAlignment w:val="baseline"/>
    </w:pPr>
    <w:rPr>
      <w:rFonts w:ascii="楷体_GB2312" w:eastAsia="楷体_GB2312"/>
      <w:kern w:val="0"/>
      <w:sz w:val="28"/>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spacing w:line="360" w:lineRule="auto"/>
      <w:ind w:firstLine="420"/>
    </w:pPr>
    <w:rPr>
      <w:rFonts w:ascii="宋体" w:hAnsi="宋体" w:cs="宋体"/>
      <w:b/>
      <w:kern w:val="1"/>
      <w:sz w:val="24"/>
    </w:rPr>
  </w:style>
  <w:style w:type="paragraph" w:styleId="14">
    <w:name w:val="footer"/>
    <w:basedOn w:val="1"/>
    <w:unhideWhenUsed/>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6" w:lineRule="atLeast"/>
      <w:jc w:val="left"/>
    </w:pPr>
    <w:rPr>
      <w:rFonts w:ascii="Arial" w:hAnsi="Arial" w:cs="Arial"/>
      <w:kern w:val="0"/>
      <w:sz w:val="25"/>
      <w:szCs w:val="25"/>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2"/>
    <w:basedOn w:val="10"/>
    <w:next w:val="1"/>
    <w:qFormat/>
    <w:uiPriority w:val="0"/>
    <w:pPr>
      <w:ind w:firstLine="420" w:firstLineChars="200"/>
    </w:pPr>
    <w:rPr>
      <w:rFonts w:ascii="Times New Roman" w:hAnsi="Times New Roman" w:eastAsia="宋体" w:cs="Times New Roman"/>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18"/>
      <w:szCs w:val="18"/>
      <w:bdr w:val="single" w:color="D2D2D2" w:sz="2" w:space="0"/>
    </w:rPr>
  </w:style>
  <w:style w:type="character" w:styleId="28">
    <w:name w:val="HTML Acronym"/>
    <w:basedOn w:val="22"/>
    <w:qFormat/>
    <w:uiPriority w:val="0"/>
  </w:style>
  <w:style w:type="character" w:styleId="29">
    <w:name w:val="HTML Variable"/>
    <w:basedOn w:val="22"/>
    <w:qFormat/>
    <w:uiPriority w:val="0"/>
    <w:rPr>
      <w:shd w:val="clear" w:fill="FFFFFF"/>
    </w:rPr>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样式 样式 行距: 1.5 倍行距 + 首行缩进:  2 字符"/>
    <w:next w:val="9"/>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36">
    <w:name w:val="Table Paragraph"/>
    <w:basedOn w:val="1"/>
    <w:qFormat/>
    <w:uiPriority w:val="1"/>
    <w:rPr>
      <w:rFonts w:ascii="宋体" w:hAnsi="宋体" w:eastAsia="宋体" w:cs="宋体"/>
    </w:rPr>
  </w:style>
  <w:style w:type="paragraph" w:customStyle="1" w:styleId="37">
    <w:name w:val="Default"/>
    <w:next w:val="1"/>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styleId="38">
    <w:name w:val="List Paragraph"/>
    <w:basedOn w:val="1"/>
    <w:qFormat/>
    <w:uiPriority w:val="1"/>
    <w:pPr>
      <w:ind w:left="1182" w:hanging="483"/>
    </w:pPr>
    <w:rPr>
      <w:rFonts w:ascii="宋体" w:hAnsi="宋体" w:eastAsia="宋体" w:cs="宋体"/>
    </w:rPr>
  </w:style>
  <w:style w:type="paragraph" w:customStyle="1" w:styleId="39">
    <w:name w:val="_Style 1"/>
    <w:basedOn w:val="1"/>
    <w:qFormat/>
    <w:uiPriority w:val="34"/>
    <w:pPr>
      <w:ind w:firstLine="420" w:firstLineChars="200"/>
    </w:pPr>
  </w:style>
  <w:style w:type="character" w:customStyle="1" w:styleId="40">
    <w:name w:val="hover1"/>
    <w:basedOn w:val="22"/>
    <w:qFormat/>
    <w:uiPriority w:val="0"/>
    <w:rPr>
      <w:color w:val="2590EB"/>
    </w:rPr>
  </w:style>
  <w:style w:type="character" w:customStyle="1" w:styleId="41">
    <w:name w:val="hover2"/>
    <w:basedOn w:val="22"/>
    <w:qFormat/>
    <w:uiPriority w:val="0"/>
    <w:rPr>
      <w:color w:val="2590EB"/>
    </w:rPr>
  </w:style>
  <w:style w:type="character" w:customStyle="1" w:styleId="42">
    <w:name w:val="hover3"/>
    <w:basedOn w:val="22"/>
    <w:qFormat/>
    <w:uiPriority w:val="0"/>
  </w:style>
  <w:style w:type="character" w:customStyle="1" w:styleId="43">
    <w:name w:val="mini-outputtext1"/>
    <w:basedOn w:val="22"/>
    <w:qFormat/>
    <w:uiPriority w:val="0"/>
  </w:style>
  <w:style w:type="character" w:customStyle="1" w:styleId="44">
    <w:name w:val="hover"/>
    <w:basedOn w:val="22"/>
    <w:qFormat/>
    <w:uiPriority w:val="0"/>
    <w:rPr>
      <w:color w:val="2590EB"/>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正文首行缩进11"/>
    <w:basedOn w:val="9"/>
    <w:qFormat/>
    <w:uiPriority w:val="0"/>
    <w:pPr>
      <w:spacing w:before="100" w:beforeAutospacing="1"/>
      <w:ind w:firstLine="420" w:firstLineChars="100"/>
    </w:pPr>
    <w:rPr>
      <w:rFonts w:ascii="Calibri" w:hAnsi="Calibri" w:cs="Times New Roman"/>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18014</Words>
  <Characters>19396</Characters>
  <Lines>0</Lines>
  <Paragraphs>0</Paragraphs>
  <TotalTime>1</TotalTime>
  <ScaleCrop>false</ScaleCrop>
  <LinksUpToDate>false</LinksUpToDate>
  <CharactersWithSpaces>19529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2024-06-01T08:48:00Z</dcterms:created>
  <dc:creator>李扬</dc:creator>
  <cp:lastModifiedBy>李扬</cp:lastModifiedBy>
  <dcterms:modified xsi:type="dcterms:W3CDTF">2025-01-22T08:51:47Z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D8AAEE0B55DE405598C8C338957A9C30_11</vt:lpwstr>
  </property>
  <property fmtid="{D5CDD505-2E9C-101B-9397-08002B2CF9AE}" pid="4" name="KSOTemplateDocerSaveRecord">
    <vt:lpwstr>eyJoZGlkIjoiODMwNWNmZTllMTQ2YjMwYjEwNTBhYzVlNTJjODYzNjMiLCJ1c2VySWQiOiI0MzczODk0NzkifQ==</vt:lpwstr>
  </property>
</Properties>
</file>