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99A251">
      <w:pPr>
        <w:bidi w:val="0"/>
        <w:spacing w:line="720" w:lineRule="auto"/>
        <w:jc w:val="center"/>
        <w:rPr>
          <w:rFonts w:hint="eastAsia"/>
          <w:b/>
          <w:bCs/>
          <w:color w:val="auto"/>
          <w:sz w:val="40"/>
          <w:szCs w:val="44"/>
          <w:highlight w:val="none"/>
          <w:lang w:eastAsia="zh-CN"/>
        </w:rPr>
      </w:pPr>
      <w:bookmarkStart w:id="0" w:name="_Toc13814"/>
      <w:bookmarkStart w:id="1" w:name="_Toc15236"/>
      <w:bookmarkStart w:id="2" w:name="_Toc12347"/>
      <w:r>
        <w:rPr>
          <w:rFonts w:hint="eastAsia"/>
          <w:b/>
          <w:bCs/>
          <w:color w:val="auto"/>
          <w:sz w:val="40"/>
          <w:szCs w:val="44"/>
          <w:highlight w:val="none"/>
          <w:lang w:eastAsia="zh-CN"/>
        </w:rPr>
        <w:t>渑池县中医院DIP智能辅助系统采购项目</w:t>
      </w:r>
    </w:p>
    <w:p w14:paraId="7B7B774A">
      <w:pPr>
        <w:bidi w:val="0"/>
        <w:spacing w:line="720" w:lineRule="auto"/>
        <w:jc w:val="center"/>
        <w:rPr>
          <w:b/>
          <w:bCs/>
          <w:color w:val="auto"/>
          <w:sz w:val="48"/>
          <w:szCs w:val="52"/>
          <w:highlight w:val="none"/>
        </w:rPr>
      </w:pPr>
      <w:r>
        <w:rPr>
          <w:rFonts w:hint="eastAsia"/>
          <w:b/>
          <w:bCs/>
          <w:color w:val="auto"/>
          <w:sz w:val="48"/>
          <w:szCs w:val="52"/>
          <w:highlight w:val="none"/>
        </w:rPr>
        <w:t>竞争性磋商文件</w:t>
      </w:r>
      <w:bookmarkEnd w:id="0"/>
      <w:bookmarkEnd w:id="1"/>
      <w:bookmarkEnd w:id="2"/>
    </w:p>
    <w:p w14:paraId="5BAA86EC">
      <w:pPr>
        <w:ind w:firstLine="435"/>
        <w:jc w:val="center"/>
        <w:rPr>
          <w:color w:val="auto"/>
          <w:highlight w:val="none"/>
        </w:rPr>
      </w:pPr>
    </w:p>
    <w:p w14:paraId="051F69A5">
      <w:pPr>
        <w:spacing w:line="360" w:lineRule="auto"/>
        <w:jc w:val="center"/>
        <w:outlineLvl w:val="9"/>
        <w:rPr>
          <w:rFonts w:ascii="宋体" w:hAnsi="宋体" w:cs="宋体"/>
          <w:b/>
          <w:color w:val="auto"/>
          <w:sz w:val="24"/>
          <w:szCs w:val="28"/>
          <w:highlight w:val="none"/>
        </w:rPr>
      </w:pPr>
      <w:bookmarkStart w:id="3" w:name="_Toc12438"/>
    </w:p>
    <w:bookmarkEnd w:id="3"/>
    <w:p w14:paraId="46EB79C4">
      <w:pPr>
        <w:ind w:firstLine="435"/>
        <w:jc w:val="center"/>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项目编号：渑池竞磋采购-2025-</w:t>
      </w:r>
      <w:r>
        <w:rPr>
          <w:rFonts w:hint="eastAsia" w:ascii="宋体" w:hAnsi="宋体" w:cs="宋体"/>
          <w:b/>
          <w:bCs/>
          <w:color w:val="auto"/>
          <w:sz w:val="28"/>
          <w:szCs w:val="28"/>
          <w:highlight w:val="none"/>
          <w:lang w:val="en-US" w:eastAsia="zh-CN"/>
        </w:rPr>
        <w:t>13</w:t>
      </w:r>
      <w:r>
        <w:rPr>
          <w:rFonts w:hint="eastAsia" w:ascii="宋体" w:hAnsi="宋体" w:eastAsia="宋体" w:cs="宋体"/>
          <w:b/>
          <w:bCs/>
          <w:color w:val="auto"/>
          <w:sz w:val="28"/>
          <w:szCs w:val="28"/>
          <w:highlight w:val="none"/>
          <w:lang w:val="en-US" w:eastAsia="zh-CN"/>
        </w:rPr>
        <w:t xml:space="preserve">  </w:t>
      </w:r>
    </w:p>
    <w:p w14:paraId="06574B68">
      <w:pPr>
        <w:ind w:firstLine="435"/>
        <w:jc w:val="center"/>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 xml:space="preserve">       MCGZ[2025]031-ZC022</w:t>
      </w:r>
    </w:p>
    <w:p w14:paraId="02B8836D">
      <w:pPr>
        <w:ind w:firstLine="435"/>
        <w:jc w:val="center"/>
        <w:rPr>
          <w:rFonts w:hint="eastAsia" w:ascii="宋体" w:hAnsi="宋体" w:eastAsia="宋体" w:cs="宋体"/>
          <w:b/>
          <w:bCs/>
          <w:color w:val="auto"/>
          <w:sz w:val="28"/>
          <w:szCs w:val="28"/>
          <w:highlight w:val="none"/>
        </w:rPr>
      </w:pPr>
    </w:p>
    <w:p w14:paraId="7F1C2866">
      <w:pPr>
        <w:ind w:firstLine="435"/>
        <w:jc w:val="center"/>
        <w:rPr>
          <w:color w:val="auto"/>
          <w:highlight w:val="none"/>
        </w:rPr>
      </w:pPr>
    </w:p>
    <w:p w14:paraId="5F1431CF">
      <w:pPr>
        <w:ind w:firstLine="435"/>
        <w:jc w:val="center"/>
        <w:rPr>
          <w:color w:val="auto"/>
          <w:highlight w:val="none"/>
        </w:rPr>
      </w:pPr>
      <w:r>
        <w:rPr>
          <w:rFonts w:hint="eastAsia" w:ascii="宋体" w:hAnsi="宋体" w:eastAsia="宋体"/>
          <w:color w:val="auto"/>
          <w:sz w:val="32"/>
          <w:szCs w:val="32"/>
          <w:highlight w:val="none"/>
        </w:rPr>
        <w:drawing>
          <wp:inline distT="0" distB="0" distL="114300" distR="114300">
            <wp:extent cx="3070860" cy="2527300"/>
            <wp:effectExtent l="0" t="0" r="15240" b="6350"/>
            <wp:docPr id="1" name="图片 1" descr="公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
                    <pic:cNvPicPr>
                      <a:picLocks noChangeAspect="1"/>
                    </pic:cNvPicPr>
                  </pic:nvPicPr>
                  <pic:blipFill>
                    <a:blip r:embed="rId9"/>
                    <a:stretch>
                      <a:fillRect/>
                    </a:stretch>
                  </pic:blipFill>
                  <pic:spPr>
                    <a:xfrm>
                      <a:off x="0" y="0"/>
                      <a:ext cx="3070860" cy="2527300"/>
                    </a:xfrm>
                    <a:prstGeom prst="rect">
                      <a:avLst/>
                    </a:prstGeom>
                    <a:noFill/>
                    <a:ln>
                      <a:noFill/>
                    </a:ln>
                  </pic:spPr>
                </pic:pic>
              </a:graphicData>
            </a:graphic>
          </wp:inline>
        </w:drawing>
      </w:r>
    </w:p>
    <w:p w14:paraId="36AF57A7">
      <w:pPr>
        <w:spacing w:line="600" w:lineRule="auto"/>
        <w:rPr>
          <w:rFonts w:hint="eastAsia" w:cs="宋体"/>
          <w:b/>
          <w:color w:val="auto"/>
          <w:sz w:val="32"/>
          <w:highlight w:val="none"/>
          <w:lang w:bidi="ar"/>
        </w:rPr>
      </w:pPr>
    </w:p>
    <w:p w14:paraId="2CBE6B0B">
      <w:pPr>
        <w:spacing w:line="600" w:lineRule="auto"/>
        <w:ind w:firstLine="1928" w:firstLineChars="600"/>
        <w:rPr>
          <w:rFonts w:hint="default" w:eastAsiaTheme="minorEastAsia"/>
          <w:b/>
          <w:color w:val="auto"/>
          <w:sz w:val="32"/>
          <w:highlight w:val="none"/>
          <w:lang w:val="en-US" w:eastAsia="zh-CN"/>
        </w:rPr>
      </w:pPr>
      <w:r>
        <w:rPr>
          <w:rFonts w:hint="eastAsia" w:cs="宋体"/>
          <w:b/>
          <w:color w:val="auto"/>
          <w:sz w:val="32"/>
          <w:highlight w:val="none"/>
          <w:lang w:bidi="ar"/>
        </w:rPr>
        <w:t>采购人：</w:t>
      </w:r>
      <w:r>
        <w:rPr>
          <w:rFonts w:hint="eastAsia" w:cs="宋体"/>
          <w:b/>
          <w:color w:val="auto"/>
          <w:sz w:val="32"/>
          <w:highlight w:val="none"/>
          <w:lang w:eastAsia="zh-CN" w:bidi="ar"/>
        </w:rPr>
        <w:t>渑池县中医院</w:t>
      </w:r>
    </w:p>
    <w:p w14:paraId="5DFF99E2">
      <w:pPr>
        <w:spacing w:line="600" w:lineRule="auto"/>
        <w:ind w:firstLine="1928" w:firstLineChars="600"/>
        <w:rPr>
          <w:rFonts w:hint="eastAsia" w:eastAsiaTheme="minorEastAsia"/>
          <w:b/>
          <w:color w:val="auto"/>
          <w:sz w:val="32"/>
          <w:highlight w:val="none"/>
          <w:lang w:eastAsia="zh-CN"/>
        </w:rPr>
      </w:pPr>
      <w:r>
        <w:rPr>
          <w:rFonts w:hint="eastAsia" w:cs="宋体"/>
          <w:b/>
          <w:color w:val="auto"/>
          <w:sz w:val="32"/>
          <w:highlight w:val="none"/>
          <w:lang w:bidi="ar"/>
        </w:rPr>
        <w:t>代理机构：</w:t>
      </w:r>
      <w:r>
        <w:rPr>
          <w:rFonts w:hint="eastAsia" w:cs="宋体"/>
          <w:b/>
          <w:color w:val="auto"/>
          <w:sz w:val="32"/>
          <w:highlight w:val="none"/>
          <w:lang w:eastAsia="zh-CN" w:bidi="ar"/>
        </w:rPr>
        <w:t>中基建安工程管理有限公司</w:t>
      </w:r>
    </w:p>
    <w:p w14:paraId="705429CB">
      <w:pPr>
        <w:spacing w:line="600" w:lineRule="auto"/>
        <w:ind w:firstLine="1928" w:firstLineChars="600"/>
        <w:rPr>
          <w:b/>
          <w:color w:val="auto"/>
          <w:sz w:val="32"/>
          <w:highlight w:val="none"/>
        </w:rPr>
      </w:pPr>
      <w:r>
        <w:rPr>
          <w:rFonts w:hint="eastAsia" w:cs="宋体"/>
          <w:b/>
          <w:color w:val="auto"/>
          <w:sz w:val="32"/>
          <w:highlight w:val="none"/>
          <w:lang w:bidi="ar"/>
        </w:rPr>
        <w:t>时间：二〇二</w:t>
      </w:r>
      <w:r>
        <w:rPr>
          <w:rFonts w:hint="eastAsia" w:cs="宋体"/>
          <w:b/>
          <w:color w:val="auto"/>
          <w:sz w:val="32"/>
          <w:highlight w:val="none"/>
          <w:lang w:val="en-US" w:eastAsia="zh-CN" w:bidi="ar"/>
        </w:rPr>
        <w:t>五</w:t>
      </w:r>
      <w:r>
        <w:rPr>
          <w:rFonts w:hint="eastAsia" w:cs="宋体"/>
          <w:b/>
          <w:color w:val="auto"/>
          <w:sz w:val="32"/>
          <w:highlight w:val="none"/>
          <w:lang w:bidi="ar"/>
        </w:rPr>
        <w:t>年</w:t>
      </w:r>
      <w:r>
        <w:rPr>
          <w:rFonts w:hint="eastAsia" w:cs="宋体"/>
          <w:b/>
          <w:color w:val="auto"/>
          <w:sz w:val="32"/>
          <w:highlight w:val="none"/>
          <w:lang w:val="en-US" w:eastAsia="zh-CN" w:bidi="ar"/>
        </w:rPr>
        <w:t>二</w:t>
      </w:r>
      <w:r>
        <w:rPr>
          <w:rFonts w:hint="eastAsia" w:cs="宋体"/>
          <w:b/>
          <w:color w:val="auto"/>
          <w:sz w:val="32"/>
          <w:highlight w:val="none"/>
          <w:lang w:bidi="ar"/>
        </w:rPr>
        <w:t>月</w:t>
      </w:r>
    </w:p>
    <w:p w14:paraId="092F7F5F">
      <w:pPr>
        <w:rPr>
          <w:rFonts w:hint="eastAsia" w:ascii="宋体" w:hAnsi="宋体" w:cs="宋体"/>
          <w:b/>
          <w:bCs/>
          <w:color w:val="auto"/>
          <w:sz w:val="36"/>
          <w:szCs w:val="36"/>
          <w:highlight w:val="none"/>
        </w:rPr>
      </w:pPr>
      <w:r>
        <w:rPr>
          <w:rFonts w:hint="eastAsia" w:ascii="宋体" w:hAnsi="宋体" w:cs="宋体"/>
          <w:b/>
          <w:bCs/>
          <w:color w:val="auto"/>
          <w:sz w:val="36"/>
          <w:szCs w:val="36"/>
          <w:highlight w:val="none"/>
        </w:rPr>
        <w:br w:type="page"/>
      </w:r>
    </w:p>
    <w:p w14:paraId="5122CF56">
      <w:pPr>
        <w:wordWrap w:val="0"/>
        <w:ind w:firstLine="723" w:firstLineChars="200"/>
        <w:jc w:val="center"/>
        <w:rPr>
          <w:rFonts w:hint="eastAsia" w:ascii="宋体" w:hAnsi="宋体" w:cs="宋体"/>
          <w:b/>
          <w:bCs/>
          <w:color w:val="auto"/>
          <w:sz w:val="36"/>
          <w:szCs w:val="36"/>
          <w:highlight w:val="none"/>
        </w:rPr>
      </w:pPr>
      <w:r>
        <w:rPr>
          <w:rFonts w:hint="eastAsia" w:ascii="宋体" w:hAnsi="宋体" w:cs="宋体"/>
          <w:b/>
          <w:bCs/>
          <w:color w:val="auto"/>
          <w:sz w:val="36"/>
          <w:szCs w:val="36"/>
          <w:highlight w:val="none"/>
        </w:rPr>
        <w:t>目   录</w:t>
      </w:r>
    </w:p>
    <w:p w14:paraId="3524BCCE">
      <w:pPr>
        <w:wordWrap w:val="0"/>
        <w:ind w:firstLine="482" w:firstLineChars="200"/>
        <w:jc w:val="center"/>
        <w:rPr>
          <w:rFonts w:hint="eastAsia" w:ascii="宋体" w:hAnsi="宋体" w:cs="宋体"/>
          <w:b/>
          <w:bCs/>
          <w:color w:val="auto"/>
          <w:highlight w:val="none"/>
        </w:rPr>
      </w:pPr>
      <w:r>
        <w:rPr>
          <w:rFonts w:hint="eastAsia" w:ascii="宋体" w:hAnsi="宋体" w:cs="宋体"/>
          <w:b/>
          <w:bCs/>
          <w:color w:val="auto"/>
          <w:highlight w:val="none"/>
        </w:rPr>
        <w:t xml:space="preserve"> </w:t>
      </w:r>
    </w:p>
    <w:p w14:paraId="25AF3045">
      <w:pPr>
        <w:pStyle w:val="12"/>
        <w:tabs>
          <w:tab w:val="right" w:leader="dot" w:pos="9070"/>
        </w:tabs>
        <w:wordWrap w:val="0"/>
        <w:spacing w:line="600" w:lineRule="auto"/>
        <w:rPr>
          <w:rFonts w:hint="eastAsia" w:ascii="宋体" w:hAnsi="宋体" w:cs="宋体"/>
          <w:b/>
          <w:bCs/>
          <w:color w:val="auto"/>
          <w:sz w:val="28"/>
          <w:szCs w:val="28"/>
          <w:highlight w:val="none"/>
        </w:rPr>
      </w:pP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TOC \o "1-1" \h \u </w:instrText>
      </w:r>
      <w:r>
        <w:rPr>
          <w:rFonts w:hint="eastAsia" w:ascii="宋体" w:hAnsi="宋体" w:cs="宋体"/>
          <w:color w:val="auto"/>
          <w:sz w:val="28"/>
          <w:szCs w:val="28"/>
          <w:highlight w:val="none"/>
        </w:rPr>
        <w:fldChar w:fldCharType="separate"/>
      </w:r>
      <w:r>
        <w:rPr>
          <w:rFonts w:hint="eastAsia" w:ascii="宋体" w:hAnsi="宋体" w:cs="宋体"/>
          <w:b/>
          <w:bCs/>
          <w:color w:val="auto"/>
          <w:sz w:val="28"/>
          <w:szCs w:val="28"/>
          <w:highlight w:val="none"/>
        </w:rPr>
        <w:fldChar w:fldCharType="begin"/>
      </w:r>
      <w:r>
        <w:rPr>
          <w:rFonts w:hint="eastAsia" w:ascii="宋体" w:hAnsi="宋体" w:cs="宋体"/>
          <w:b/>
          <w:bCs/>
          <w:color w:val="auto"/>
          <w:sz w:val="28"/>
          <w:szCs w:val="28"/>
          <w:highlight w:val="none"/>
        </w:rPr>
        <w:instrText xml:space="preserve"> HYPERLINK \l _Toc24135 </w:instrText>
      </w:r>
      <w:r>
        <w:rPr>
          <w:rFonts w:hint="eastAsia" w:ascii="宋体" w:hAnsi="宋体" w:cs="宋体"/>
          <w:b/>
          <w:bCs/>
          <w:color w:val="auto"/>
          <w:sz w:val="28"/>
          <w:szCs w:val="28"/>
          <w:highlight w:val="none"/>
        </w:rPr>
        <w:fldChar w:fldCharType="separate"/>
      </w:r>
      <w:r>
        <w:rPr>
          <w:rFonts w:hint="eastAsia" w:ascii="宋体" w:hAnsi="宋体" w:cs="宋体"/>
          <w:b/>
          <w:bCs/>
          <w:color w:val="auto"/>
          <w:sz w:val="28"/>
          <w:szCs w:val="28"/>
          <w:highlight w:val="none"/>
        </w:rPr>
        <w:t>第一章 竞争性磋商</w:t>
      </w:r>
      <w:bookmarkStart w:id="4" w:name="_Hlt126944248"/>
      <w:r>
        <w:rPr>
          <w:rFonts w:hint="eastAsia" w:ascii="宋体" w:hAnsi="宋体" w:cs="宋体"/>
          <w:b/>
          <w:bCs/>
          <w:color w:val="auto"/>
          <w:sz w:val="28"/>
          <w:szCs w:val="28"/>
          <w:highlight w:val="none"/>
        </w:rPr>
        <w:t>公</w:t>
      </w:r>
      <w:bookmarkEnd w:id="4"/>
      <w:bookmarkStart w:id="5" w:name="_Hlt126944346"/>
      <w:r>
        <w:rPr>
          <w:rFonts w:hint="eastAsia" w:ascii="宋体" w:hAnsi="宋体" w:cs="宋体"/>
          <w:b/>
          <w:bCs/>
          <w:color w:val="auto"/>
          <w:sz w:val="28"/>
          <w:szCs w:val="28"/>
          <w:highlight w:val="none"/>
        </w:rPr>
        <w:t>告</w:t>
      </w:r>
      <w:bookmarkEnd w:id="5"/>
      <w:r>
        <w:rPr>
          <w:rFonts w:hint="eastAsia" w:ascii="宋体" w:hAnsi="宋体" w:cs="宋体"/>
          <w:b/>
          <w:bCs/>
          <w:color w:val="auto"/>
          <w:sz w:val="28"/>
          <w:szCs w:val="28"/>
          <w:highlight w:val="none"/>
        </w:rPr>
        <w:tab/>
      </w:r>
      <w:r>
        <w:rPr>
          <w:rFonts w:hint="eastAsia" w:ascii="宋体" w:hAnsi="宋体" w:cs="宋体"/>
          <w:b/>
          <w:bCs/>
          <w:color w:val="auto"/>
          <w:sz w:val="28"/>
          <w:szCs w:val="28"/>
          <w:highlight w:val="none"/>
        </w:rPr>
        <w:fldChar w:fldCharType="begin"/>
      </w:r>
      <w:r>
        <w:rPr>
          <w:rFonts w:hint="eastAsia" w:ascii="宋体" w:hAnsi="宋体" w:cs="宋体"/>
          <w:b/>
          <w:bCs/>
          <w:color w:val="auto"/>
          <w:sz w:val="28"/>
          <w:szCs w:val="28"/>
          <w:highlight w:val="none"/>
        </w:rPr>
        <w:instrText xml:space="preserve"> PAGEREF _Toc24135 \h </w:instrText>
      </w:r>
      <w:r>
        <w:rPr>
          <w:rFonts w:hint="eastAsia" w:ascii="宋体" w:hAnsi="宋体" w:cs="宋体"/>
          <w:b/>
          <w:bCs/>
          <w:color w:val="auto"/>
          <w:sz w:val="28"/>
          <w:szCs w:val="28"/>
          <w:highlight w:val="none"/>
        </w:rPr>
        <w:fldChar w:fldCharType="separate"/>
      </w:r>
      <w:r>
        <w:rPr>
          <w:rFonts w:hint="eastAsia" w:ascii="宋体" w:hAnsi="宋体" w:cs="宋体"/>
          <w:b/>
          <w:bCs/>
          <w:color w:val="auto"/>
          <w:sz w:val="28"/>
          <w:szCs w:val="28"/>
          <w:highlight w:val="none"/>
        </w:rPr>
        <w:t>1</w:t>
      </w:r>
      <w:r>
        <w:rPr>
          <w:rFonts w:hint="eastAsia" w:ascii="宋体" w:hAnsi="宋体" w:cs="宋体"/>
          <w:b/>
          <w:bCs/>
          <w:color w:val="auto"/>
          <w:sz w:val="28"/>
          <w:szCs w:val="28"/>
          <w:highlight w:val="none"/>
        </w:rPr>
        <w:fldChar w:fldCharType="end"/>
      </w:r>
      <w:r>
        <w:rPr>
          <w:rFonts w:hint="eastAsia" w:ascii="宋体" w:hAnsi="宋体" w:cs="宋体"/>
          <w:b/>
          <w:bCs/>
          <w:color w:val="auto"/>
          <w:sz w:val="28"/>
          <w:szCs w:val="28"/>
          <w:highlight w:val="none"/>
        </w:rPr>
        <w:fldChar w:fldCharType="end"/>
      </w:r>
    </w:p>
    <w:p w14:paraId="2DFC5D1C">
      <w:pPr>
        <w:pStyle w:val="12"/>
        <w:tabs>
          <w:tab w:val="right" w:leader="dot" w:pos="9070"/>
        </w:tabs>
        <w:wordWrap w:val="0"/>
        <w:spacing w:line="600" w:lineRule="auto"/>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fldChar w:fldCharType="begin"/>
      </w:r>
      <w:r>
        <w:rPr>
          <w:rFonts w:hint="eastAsia" w:ascii="宋体" w:hAnsi="宋体" w:cs="宋体"/>
          <w:b/>
          <w:bCs/>
          <w:color w:val="auto"/>
          <w:sz w:val="28"/>
          <w:szCs w:val="28"/>
          <w:highlight w:val="none"/>
        </w:rPr>
        <w:instrText xml:space="preserve"> HYPERLINK \l _Toc13128 </w:instrText>
      </w:r>
      <w:r>
        <w:rPr>
          <w:rFonts w:hint="eastAsia" w:ascii="宋体" w:hAnsi="宋体" w:cs="宋体"/>
          <w:b/>
          <w:bCs/>
          <w:color w:val="auto"/>
          <w:sz w:val="28"/>
          <w:szCs w:val="28"/>
          <w:highlight w:val="none"/>
        </w:rPr>
        <w:fldChar w:fldCharType="separate"/>
      </w:r>
      <w:r>
        <w:rPr>
          <w:rFonts w:hint="eastAsia" w:ascii="宋体" w:hAnsi="宋体" w:cs="宋体"/>
          <w:b/>
          <w:bCs/>
          <w:color w:val="auto"/>
          <w:sz w:val="28"/>
          <w:szCs w:val="28"/>
          <w:highlight w:val="none"/>
        </w:rPr>
        <w:t>第二章 供应商</w:t>
      </w:r>
      <w:bookmarkStart w:id="6" w:name="_Hlt160466743"/>
      <w:bookmarkStart w:id="7" w:name="_Hlt129962235"/>
      <w:bookmarkStart w:id="8" w:name="_Hlt129950319"/>
      <w:bookmarkStart w:id="9" w:name="_Hlt129868127"/>
      <w:bookmarkStart w:id="10" w:name="_Hlt129962234"/>
      <w:bookmarkStart w:id="11" w:name="_Hlt160467739"/>
      <w:r>
        <w:rPr>
          <w:rFonts w:hint="eastAsia" w:ascii="宋体" w:hAnsi="宋体" w:cs="宋体"/>
          <w:b/>
          <w:bCs/>
          <w:color w:val="auto"/>
          <w:sz w:val="28"/>
          <w:szCs w:val="28"/>
          <w:highlight w:val="none"/>
        </w:rPr>
        <w:t>须</w:t>
      </w:r>
      <w:bookmarkEnd w:id="6"/>
      <w:bookmarkEnd w:id="7"/>
      <w:bookmarkEnd w:id="8"/>
      <w:bookmarkEnd w:id="9"/>
      <w:bookmarkEnd w:id="10"/>
      <w:bookmarkEnd w:id="11"/>
      <w:r>
        <w:rPr>
          <w:rFonts w:hint="eastAsia" w:ascii="宋体" w:hAnsi="宋体" w:cs="宋体"/>
          <w:b/>
          <w:bCs/>
          <w:color w:val="auto"/>
          <w:sz w:val="28"/>
          <w:szCs w:val="28"/>
          <w:highlight w:val="none"/>
        </w:rPr>
        <w:t>知</w:t>
      </w:r>
      <w:r>
        <w:rPr>
          <w:rFonts w:hint="eastAsia" w:ascii="宋体" w:hAnsi="宋体" w:cs="宋体"/>
          <w:b/>
          <w:bCs/>
          <w:color w:val="auto"/>
          <w:sz w:val="28"/>
          <w:szCs w:val="28"/>
          <w:highlight w:val="none"/>
        </w:rPr>
        <w:tab/>
      </w:r>
      <w:r>
        <w:rPr>
          <w:rFonts w:hint="eastAsia" w:ascii="宋体" w:hAnsi="宋体" w:cs="宋体"/>
          <w:b/>
          <w:bCs/>
          <w:color w:val="auto"/>
          <w:sz w:val="28"/>
          <w:szCs w:val="28"/>
          <w:highlight w:val="none"/>
        </w:rPr>
        <w:t>6</w:t>
      </w:r>
      <w:r>
        <w:rPr>
          <w:rFonts w:hint="eastAsia" w:ascii="宋体" w:hAnsi="宋体" w:cs="宋体"/>
          <w:b/>
          <w:bCs/>
          <w:color w:val="auto"/>
          <w:sz w:val="28"/>
          <w:szCs w:val="28"/>
          <w:highlight w:val="none"/>
        </w:rPr>
        <w:fldChar w:fldCharType="end"/>
      </w:r>
    </w:p>
    <w:p w14:paraId="522FB1F7">
      <w:pPr>
        <w:pStyle w:val="12"/>
        <w:tabs>
          <w:tab w:val="right" w:leader="dot" w:pos="9070"/>
        </w:tabs>
        <w:wordWrap w:val="0"/>
        <w:spacing w:line="600" w:lineRule="auto"/>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fldChar w:fldCharType="begin"/>
      </w:r>
      <w:r>
        <w:rPr>
          <w:rFonts w:hint="eastAsia" w:ascii="宋体" w:hAnsi="宋体" w:cs="宋体"/>
          <w:b/>
          <w:bCs/>
          <w:color w:val="auto"/>
          <w:sz w:val="28"/>
          <w:szCs w:val="28"/>
          <w:highlight w:val="none"/>
        </w:rPr>
        <w:instrText xml:space="preserve"> HYPERLINK \l _Toc1341 </w:instrText>
      </w:r>
      <w:r>
        <w:rPr>
          <w:rFonts w:hint="eastAsia" w:ascii="宋体" w:hAnsi="宋体" w:cs="宋体"/>
          <w:b/>
          <w:bCs/>
          <w:color w:val="auto"/>
          <w:sz w:val="28"/>
          <w:szCs w:val="28"/>
          <w:highlight w:val="none"/>
        </w:rPr>
        <w:fldChar w:fldCharType="separate"/>
      </w:r>
      <w:r>
        <w:rPr>
          <w:rFonts w:hint="eastAsia" w:ascii="宋体" w:hAnsi="宋体" w:cs="宋体"/>
          <w:b/>
          <w:bCs/>
          <w:color w:val="auto"/>
          <w:sz w:val="28"/>
          <w:szCs w:val="28"/>
          <w:highlight w:val="none"/>
        </w:rPr>
        <w:t>第三章 评标办</w:t>
      </w:r>
      <w:bookmarkStart w:id="12" w:name="_Hlt160466733"/>
      <w:r>
        <w:rPr>
          <w:rFonts w:hint="eastAsia" w:ascii="宋体" w:hAnsi="宋体" w:cs="宋体"/>
          <w:b/>
          <w:bCs/>
          <w:color w:val="auto"/>
          <w:sz w:val="28"/>
          <w:szCs w:val="28"/>
          <w:highlight w:val="none"/>
        </w:rPr>
        <w:t>法</w:t>
      </w:r>
      <w:bookmarkEnd w:id="12"/>
      <w:bookmarkStart w:id="13" w:name="_Hlt160467732"/>
      <w:r>
        <w:rPr>
          <w:rFonts w:hint="eastAsia" w:ascii="宋体" w:hAnsi="宋体" w:cs="宋体"/>
          <w:b/>
          <w:bCs/>
          <w:color w:val="auto"/>
          <w:sz w:val="28"/>
          <w:szCs w:val="28"/>
          <w:highlight w:val="none"/>
        </w:rPr>
        <w:t>（</w:t>
      </w:r>
      <w:bookmarkEnd w:id="13"/>
      <w:r>
        <w:rPr>
          <w:rFonts w:hint="eastAsia" w:ascii="宋体" w:hAnsi="宋体" w:cs="宋体"/>
          <w:b/>
          <w:bCs/>
          <w:color w:val="auto"/>
          <w:sz w:val="28"/>
          <w:szCs w:val="28"/>
          <w:highlight w:val="none"/>
        </w:rPr>
        <w:t>综</w:t>
      </w:r>
      <w:bookmarkStart w:id="14" w:name="_Hlt126944350"/>
      <w:bookmarkStart w:id="15" w:name="_Hlt129950312"/>
      <w:r>
        <w:rPr>
          <w:rFonts w:hint="eastAsia" w:ascii="宋体" w:hAnsi="宋体" w:cs="宋体"/>
          <w:b/>
          <w:bCs/>
          <w:color w:val="auto"/>
          <w:sz w:val="28"/>
          <w:szCs w:val="28"/>
          <w:highlight w:val="none"/>
        </w:rPr>
        <w:t>合</w:t>
      </w:r>
      <w:bookmarkEnd w:id="14"/>
      <w:bookmarkEnd w:id="15"/>
      <w:r>
        <w:rPr>
          <w:rFonts w:hint="eastAsia" w:ascii="宋体" w:hAnsi="宋体" w:cs="宋体"/>
          <w:b/>
          <w:bCs/>
          <w:color w:val="auto"/>
          <w:sz w:val="28"/>
          <w:szCs w:val="28"/>
          <w:highlight w:val="none"/>
        </w:rPr>
        <w:t>评估法）</w:t>
      </w:r>
      <w:r>
        <w:rPr>
          <w:rFonts w:hint="eastAsia" w:ascii="宋体" w:hAnsi="宋体" w:cs="宋体"/>
          <w:b/>
          <w:bCs/>
          <w:color w:val="auto"/>
          <w:sz w:val="28"/>
          <w:szCs w:val="28"/>
          <w:highlight w:val="none"/>
        </w:rPr>
        <w:tab/>
      </w:r>
      <w:r>
        <w:rPr>
          <w:rFonts w:hint="eastAsia" w:ascii="宋体" w:hAnsi="宋体" w:cs="宋体"/>
          <w:b/>
          <w:bCs/>
          <w:color w:val="auto"/>
          <w:sz w:val="28"/>
          <w:szCs w:val="28"/>
          <w:highlight w:val="none"/>
        </w:rPr>
        <w:t>20</w:t>
      </w:r>
      <w:r>
        <w:rPr>
          <w:rFonts w:hint="eastAsia" w:ascii="宋体" w:hAnsi="宋体" w:cs="宋体"/>
          <w:b/>
          <w:bCs/>
          <w:color w:val="auto"/>
          <w:sz w:val="28"/>
          <w:szCs w:val="28"/>
          <w:highlight w:val="none"/>
        </w:rPr>
        <w:fldChar w:fldCharType="end"/>
      </w:r>
    </w:p>
    <w:p w14:paraId="4893784C">
      <w:pPr>
        <w:pStyle w:val="12"/>
        <w:tabs>
          <w:tab w:val="right" w:leader="dot" w:pos="9070"/>
        </w:tabs>
        <w:wordWrap w:val="0"/>
        <w:spacing w:line="600" w:lineRule="auto"/>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fldChar w:fldCharType="begin"/>
      </w:r>
      <w:r>
        <w:rPr>
          <w:rFonts w:hint="eastAsia" w:ascii="宋体" w:hAnsi="宋体" w:cs="宋体"/>
          <w:b/>
          <w:bCs/>
          <w:color w:val="auto"/>
          <w:sz w:val="28"/>
          <w:szCs w:val="28"/>
          <w:highlight w:val="none"/>
        </w:rPr>
        <w:instrText xml:space="preserve"> HYPERLINK \l _Toc23845 </w:instrText>
      </w:r>
      <w:r>
        <w:rPr>
          <w:rFonts w:hint="eastAsia" w:ascii="宋体" w:hAnsi="宋体" w:cs="宋体"/>
          <w:b/>
          <w:bCs/>
          <w:color w:val="auto"/>
          <w:sz w:val="28"/>
          <w:szCs w:val="28"/>
          <w:highlight w:val="none"/>
        </w:rPr>
        <w:fldChar w:fldCharType="separate"/>
      </w:r>
      <w:r>
        <w:rPr>
          <w:rFonts w:hint="eastAsia" w:ascii="宋体" w:hAnsi="宋体" w:cs="宋体"/>
          <w:b/>
          <w:bCs/>
          <w:color w:val="auto"/>
          <w:sz w:val="28"/>
          <w:szCs w:val="28"/>
          <w:highlight w:val="none"/>
        </w:rPr>
        <w:t>第四章 合同条款</w:t>
      </w:r>
      <w:bookmarkStart w:id="16" w:name="_Hlt129868132"/>
      <w:bookmarkStart w:id="17" w:name="_Hlt129950305"/>
      <w:r>
        <w:rPr>
          <w:rFonts w:hint="eastAsia" w:ascii="宋体" w:hAnsi="宋体" w:cs="宋体"/>
          <w:b/>
          <w:bCs/>
          <w:color w:val="auto"/>
          <w:sz w:val="28"/>
          <w:szCs w:val="28"/>
          <w:highlight w:val="none"/>
        </w:rPr>
        <w:t>及</w:t>
      </w:r>
      <w:bookmarkEnd w:id="16"/>
      <w:bookmarkEnd w:id="17"/>
      <w:bookmarkStart w:id="18" w:name="_Hlt160466755"/>
      <w:bookmarkStart w:id="19" w:name="_Hlt126944354"/>
      <w:bookmarkStart w:id="20" w:name="_Hlt129868112"/>
      <w:r>
        <w:rPr>
          <w:rFonts w:hint="eastAsia" w:ascii="宋体" w:hAnsi="宋体" w:cs="宋体"/>
          <w:b/>
          <w:bCs/>
          <w:color w:val="auto"/>
          <w:sz w:val="28"/>
          <w:szCs w:val="28"/>
          <w:highlight w:val="none"/>
        </w:rPr>
        <w:t>格</w:t>
      </w:r>
      <w:bookmarkEnd w:id="18"/>
      <w:bookmarkEnd w:id="19"/>
      <w:bookmarkEnd w:id="20"/>
      <w:r>
        <w:rPr>
          <w:rFonts w:hint="eastAsia" w:ascii="宋体" w:hAnsi="宋体" w:cs="宋体"/>
          <w:b/>
          <w:bCs/>
          <w:color w:val="auto"/>
          <w:sz w:val="28"/>
          <w:szCs w:val="28"/>
          <w:highlight w:val="none"/>
        </w:rPr>
        <w:t>式</w:t>
      </w:r>
      <w:r>
        <w:rPr>
          <w:rFonts w:hint="eastAsia" w:ascii="宋体" w:hAnsi="宋体" w:cs="宋体"/>
          <w:b/>
          <w:bCs/>
          <w:color w:val="auto"/>
          <w:sz w:val="28"/>
          <w:szCs w:val="28"/>
          <w:highlight w:val="none"/>
        </w:rPr>
        <w:tab/>
      </w:r>
      <w:r>
        <w:rPr>
          <w:rFonts w:hint="eastAsia" w:ascii="宋体" w:hAnsi="宋体" w:cs="宋体"/>
          <w:b/>
          <w:bCs/>
          <w:color w:val="auto"/>
          <w:sz w:val="28"/>
          <w:szCs w:val="28"/>
          <w:highlight w:val="none"/>
        </w:rPr>
        <w:fldChar w:fldCharType="begin"/>
      </w:r>
      <w:r>
        <w:rPr>
          <w:rFonts w:hint="eastAsia" w:ascii="宋体" w:hAnsi="宋体" w:cs="宋体"/>
          <w:b/>
          <w:bCs/>
          <w:color w:val="auto"/>
          <w:sz w:val="28"/>
          <w:szCs w:val="28"/>
          <w:highlight w:val="none"/>
        </w:rPr>
        <w:instrText xml:space="preserve"> PAGEREF _Toc23845 \h </w:instrText>
      </w:r>
      <w:r>
        <w:rPr>
          <w:rFonts w:hint="eastAsia" w:ascii="宋体" w:hAnsi="宋体" w:cs="宋体"/>
          <w:b/>
          <w:bCs/>
          <w:color w:val="auto"/>
          <w:sz w:val="28"/>
          <w:szCs w:val="28"/>
          <w:highlight w:val="none"/>
        </w:rPr>
        <w:fldChar w:fldCharType="separate"/>
      </w:r>
      <w:r>
        <w:rPr>
          <w:rFonts w:hint="eastAsia" w:ascii="宋体" w:hAnsi="宋体" w:cs="宋体"/>
          <w:b/>
          <w:bCs/>
          <w:color w:val="auto"/>
          <w:sz w:val="28"/>
          <w:szCs w:val="28"/>
          <w:highlight w:val="none"/>
        </w:rPr>
        <w:t>26</w:t>
      </w:r>
      <w:r>
        <w:rPr>
          <w:rFonts w:hint="eastAsia" w:ascii="宋体" w:hAnsi="宋体" w:cs="宋体"/>
          <w:b/>
          <w:bCs/>
          <w:color w:val="auto"/>
          <w:sz w:val="28"/>
          <w:szCs w:val="28"/>
          <w:highlight w:val="none"/>
        </w:rPr>
        <w:fldChar w:fldCharType="end"/>
      </w:r>
      <w:r>
        <w:rPr>
          <w:rFonts w:hint="eastAsia" w:ascii="宋体" w:hAnsi="宋体" w:cs="宋体"/>
          <w:b/>
          <w:bCs/>
          <w:color w:val="auto"/>
          <w:sz w:val="28"/>
          <w:szCs w:val="28"/>
          <w:highlight w:val="none"/>
        </w:rPr>
        <w:fldChar w:fldCharType="end"/>
      </w:r>
    </w:p>
    <w:p w14:paraId="7F24E7D8">
      <w:pPr>
        <w:pStyle w:val="12"/>
        <w:tabs>
          <w:tab w:val="right" w:leader="dot" w:pos="9070"/>
        </w:tabs>
        <w:wordWrap w:val="0"/>
        <w:spacing w:line="600" w:lineRule="auto"/>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fldChar w:fldCharType="begin"/>
      </w:r>
      <w:r>
        <w:rPr>
          <w:rFonts w:hint="eastAsia" w:ascii="宋体" w:hAnsi="宋体" w:cs="宋体"/>
          <w:b/>
          <w:bCs/>
          <w:color w:val="auto"/>
          <w:sz w:val="28"/>
          <w:szCs w:val="28"/>
          <w:highlight w:val="none"/>
        </w:rPr>
        <w:instrText xml:space="preserve"> HYPERLINK \l _Toc27145 </w:instrText>
      </w:r>
      <w:r>
        <w:rPr>
          <w:rFonts w:hint="eastAsia" w:ascii="宋体" w:hAnsi="宋体" w:cs="宋体"/>
          <w:b/>
          <w:bCs/>
          <w:color w:val="auto"/>
          <w:sz w:val="28"/>
          <w:szCs w:val="28"/>
          <w:highlight w:val="none"/>
        </w:rPr>
        <w:fldChar w:fldCharType="separate"/>
      </w:r>
      <w:r>
        <w:rPr>
          <w:rFonts w:hint="eastAsia" w:ascii="宋体" w:hAnsi="宋体" w:cs="宋体"/>
          <w:b/>
          <w:bCs/>
          <w:color w:val="auto"/>
          <w:sz w:val="28"/>
          <w:szCs w:val="28"/>
          <w:highlight w:val="none"/>
        </w:rPr>
        <w:t>第五章 采购</w:t>
      </w:r>
      <w:bookmarkStart w:id="21" w:name="_Hlt129950300"/>
      <w:bookmarkStart w:id="22" w:name="_Hlt129950299"/>
      <w:bookmarkStart w:id="23" w:name="_Hlt126944245"/>
      <w:r>
        <w:rPr>
          <w:rFonts w:hint="eastAsia" w:ascii="宋体" w:hAnsi="宋体" w:cs="宋体"/>
          <w:b/>
          <w:bCs/>
          <w:color w:val="auto"/>
          <w:sz w:val="28"/>
          <w:szCs w:val="28"/>
          <w:highlight w:val="none"/>
        </w:rPr>
        <w:t>需</w:t>
      </w:r>
      <w:bookmarkEnd w:id="21"/>
      <w:bookmarkEnd w:id="22"/>
      <w:bookmarkEnd w:id="23"/>
      <w:bookmarkStart w:id="24" w:name="_Hlt126944238"/>
      <w:bookmarkStart w:id="25" w:name="_Hlt126944359"/>
      <w:bookmarkStart w:id="26" w:name="_Hlt126944239"/>
      <w:r>
        <w:rPr>
          <w:rFonts w:hint="eastAsia" w:ascii="宋体" w:hAnsi="宋体" w:cs="宋体"/>
          <w:b/>
          <w:bCs/>
          <w:color w:val="auto"/>
          <w:sz w:val="28"/>
          <w:szCs w:val="28"/>
          <w:highlight w:val="none"/>
        </w:rPr>
        <w:t>求</w:t>
      </w:r>
      <w:bookmarkEnd w:id="24"/>
      <w:bookmarkEnd w:id="25"/>
      <w:bookmarkEnd w:id="26"/>
      <w:r>
        <w:rPr>
          <w:rFonts w:hint="eastAsia" w:ascii="宋体" w:hAnsi="宋体" w:cs="宋体"/>
          <w:b/>
          <w:bCs/>
          <w:color w:val="auto"/>
          <w:sz w:val="28"/>
          <w:szCs w:val="28"/>
          <w:highlight w:val="none"/>
        </w:rPr>
        <w:tab/>
      </w:r>
      <w:r>
        <w:rPr>
          <w:rFonts w:hint="eastAsia" w:ascii="宋体" w:hAnsi="宋体" w:cs="宋体"/>
          <w:b/>
          <w:bCs/>
          <w:color w:val="auto"/>
          <w:sz w:val="28"/>
          <w:szCs w:val="28"/>
          <w:highlight w:val="none"/>
        </w:rPr>
        <w:t>30</w:t>
      </w:r>
      <w:r>
        <w:rPr>
          <w:rFonts w:hint="eastAsia" w:ascii="宋体" w:hAnsi="宋体" w:cs="宋体"/>
          <w:b/>
          <w:bCs/>
          <w:color w:val="auto"/>
          <w:sz w:val="28"/>
          <w:szCs w:val="28"/>
          <w:highlight w:val="none"/>
        </w:rPr>
        <w:fldChar w:fldCharType="end"/>
      </w:r>
    </w:p>
    <w:p w14:paraId="6F14D476">
      <w:pPr>
        <w:pStyle w:val="12"/>
        <w:tabs>
          <w:tab w:val="right" w:leader="dot" w:pos="9070"/>
        </w:tabs>
        <w:wordWrap w:val="0"/>
        <w:spacing w:line="600" w:lineRule="auto"/>
        <w:rPr>
          <w:color w:val="auto"/>
          <w:highlight w:val="none"/>
        </w:rPr>
      </w:pPr>
      <w:r>
        <w:rPr>
          <w:rFonts w:hint="eastAsia" w:ascii="宋体" w:hAnsi="宋体" w:cs="宋体"/>
          <w:b/>
          <w:bCs/>
          <w:color w:val="auto"/>
          <w:sz w:val="28"/>
          <w:szCs w:val="28"/>
          <w:highlight w:val="none"/>
        </w:rPr>
        <w:fldChar w:fldCharType="begin"/>
      </w:r>
      <w:r>
        <w:rPr>
          <w:rFonts w:hint="eastAsia" w:ascii="宋体" w:hAnsi="宋体" w:cs="宋体"/>
          <w:b/>
          <w:bCs/>
          <w:color w:val="auto"/>
          <w:sz w:val="28"/>
          <w:szCs w:val="28"/>
          <w:highlight w:val="none"/>
        </w:rPr>
        <w:instrText xml:space="preserve"> HYPERLINK \l _Toc19386 </w:instrText>
      </w:r>
      <w:r>
        <w:rPr>
          <w:rFonts w:hint="eastAsia" w:ascii="宋体" w:hAnsi="宋体" w:cs="宋体"/>
          <w:b/>
          <w:bCs/>
          <w:color w:val="auto"/>
          <w:sz w:val="28"/>
          <w:szCs w:val="28"/>
          <w:highlight w:val="none"/>
        </w:rPr>
        <w:fldChar w:fldCharType="separate"/>
      </w:r>
      <w:r>
        <w:rPr>
          <w:rFonts w:hint="eastAsia" w:ascii="宋体" w:hAnsi="宋体" w:cs="宋体"/>
          <w:b/>
          <w:bCs/>
          <w:color w:val="auto"/>
          <w:sz w:val="28"/>
          <w:szCs w:val="28"/>
          <w:highlight w:val="none"/>
        </w:rPr>
        <w:t>第六章 响应文</w:t>
      </w:r>
      <w:bookmarkStart w:id="27" w:name="_Hlt126944343"/>
      <w:bookmarkStart w:id="28" w:name="_Hlt160467723"/>
      <w:bookmarkStart w:id="29" w:name="_Hlt160468746"/>
      <w:r>
        <w:rPr>
          <w:rFonts w:hint="eastAsia" w:ascii="宋体" w:hAnsi="宋体" w:cs="宋体"/>
          <w:b/>
          <w:bCs/>
          <w:color w:val="auto"/>
          <w:sz w:val="28"/>
          <w:szCs w:val="28"/>
          <w:highlight w:val="none"/>
        </w:rPr>
        <w:t>件</w:t>
      </w:r>
      <w:bookmarkEnd w:id="27"/>
      <w:bookmarkEnd w:id="28"/>
      <w:bookmarkEnd w:id="29"/>
      <w:bookmarkStart w:id="30" w:name="_Hlt160466749"/>
      <w:r>
        <w:rPr>
          <w:rFonts w:hint="eastAsia" w:ascii="宋体" w:hAnsi="宋体" w:cs="宋体"/>
          <w:b/>
          <w:bCs/>
          <w:color w:val="auto"/>
          <w:sz w:val="28"/>
          <w:szCs w:val="28"/>
          <w:highlight w:val="none"/>
        </w:rPr>
        <w:t>格</w:t>
      </w:r>
      <w:bookmarkEnd w:id="30"/>
      <w:r>
        <w:rPr>
          <w:rFonts w:hint="eastAsia" w:ascii="宋体" w:hAnsi="宋体" w:cs="宋体"/>
          <w:b/>
          <w:bCs/>
          <w:color w:val="auto"/>
          <w:sz w:val="28"/>
          <w:szCs w:val="28"/>
          <w:highlight w:val="none"/>
        </w:rPr>
        <w:t>式</w:t>
      </w:r>
      <w:r>
        <w:rPr>
          <w:rFonts w:hint="eastAsia" w:ascii="宋体" w:hAnsi="宋体" w:cs="宋体"/>
          <w:b/>
          <w:bCs/>
          <w:color w:val="auto"/>
          <w:sz w:val="28"/>
          <w:szCs w:val="28"/>
          <w:highlight w:val="none"/>
        </w:rPr>
        <w:tab/>
      </w:r>
      <w:r>
        <w:rPr>
          <w:rFonts w:hint="eastAsia" w:ascii="宋体" w:hAnsi="宋体" w:cs="宋体"/>
          <w:b/>
          <w:bCs/>
          <w:color w:val="auto"/>
          <w:sz w:val="28"/>
          <w:szCs w:val="28"/>
          <w:highlight w:val="none"/>
        </w:rPr>
        <w:t>43</w:t>
      </w:r>
      <w:r>
        <w:rPr>
          <w:rFonts w:hint="eastAsia" w:ascii="宋体" w:hAnsi="宋体" w:cs="宋体"/>
          <w:b/>
          <w:bCs/>
          <w:color w:val="auto"/>
          <w:sz w:val="28"/>
          <w:szCs w:val="28"/>
          <w:highlight w:val="none"/>
        </w:rPr>
        <w:fldChar w:fldCharType="end"/>
      </w:r>
    </w:p>
    <w:p w14:paraId="22A6A086">
      <w:pPr>
        <w:wordWrap w:val="0"/>
        <w:spacing w:line="600" w:lineRule="auto"/>
        <w:rPr>
          <w:rFonts w:hint="eastAsia" w:ascii="宋体" w:hAnsi="宋体" w:cs="宋体"/>
          <w:color w:val="auto"/>
          <w:highlight w:val="none"/>
        </w:rPr>
      </w:pPr>
      <w:r>
        <w:rPr>
          <w:rFonts w:hint="eastAsia" w:ascii="宋体" w:hAnsi="宋体" w:cs="宋体"/>
          <w:color w:val="auto"/>
          <w:szCs w:val="28"/>
          <w:highlight w:val="none"/>
        </w:rPr>
        <w:fldChar w:fldCharType="end"/>
      </w:r>
    </w:p>
    <w:p w14:paraId="25C74DE7">
      <w:pPr>
        <w:pStyle w:val="8"/>
        <w:wordWrap w:val="0"/>
        <w:spacing w:line="360" w:lineRule="auto"/>
        <w:ind w:left="0" w:leftChars="0" w:firstLine="482" w:firstLineChars="200"/>
        <w:jc w:val="both"/>
        <w:rPr>
          <w:rFonts w:hint="eastAsia" w:ascii="宋体" w:hAnsi="宋体" w:cs="宋体"/>
          <w:b/>
          <w:bCs/>
          <w:color w:val="auto"/>
          <w:highlight w:val="none"/>
        </w:rPr>
      </w:pPr>
      <w:r>
        <w:rPr>
          <w:rFonts w:hint="eastAsia" w:ascii="宋体" w:hAnsi="宋体" w:cs="宋体"/>
          <w:b/>
          <w:bCs/>
          <w:color w:val="auto"/>
          <w:highlight w:val="none"/>
        </w:rPr>
        <w:t xml:space="preserve"> </w:t>
      </w:r>
    </w:p>
    <w:p w14:paraId="3B76F44B">
      <w:pPr>
        <w:wordWrap w:val="0"/>
        <w:rPr>
          <w:rFonts w:hint="eastAsia" w:ascii="宋体" w:hAnsi="宋体" w:cs="宋体"/>
          <w:b/>
          <w:bCs/>
          <w:color w:val="auto"/>
          <w:highlight w:val="none"/>
        </w:rPr>
      </w:pPr>
      <w:r>
        <w:rPr>
          <w:rFonts w:hint="eastAsia" w:ascii="宋体" w:hAnsi="宋体" w:cs="宋体"/>
          <w:b/>
          <w:bCs/>
          <w:color w:val="auto"/>
          <w:highlight w:val="none"/>
        </w:rPr>
        <w:t xml:space="preserve"> </w:t>
      </w:r>
    </w:p>
    <w:p w14:paraId="7475A680">
      <w:pPr>
        <w:widowControl/>
        <w:wordWrap w:val="0"/>
        <w:spacing w:line="240" w:lineRule="auto"/>
        <w:rPr>
          <w:rFonts w:hint="eastAsia" w:ascii="宋体" w:hAnsi="宋体" w:cs="宋体"/>
          <w:b/>
          <w:bCs/>
          <w:color w:val="auto"/>
          <w:kern w:val="36"/>
          <w:highlight w:val="none"/>
        </w:rPr>
        <w:sectPr>
          <w:headerReference r:id="rId5" w:type="default"/>
          <w:pgSz w:w="11906" w:h="16838"/>
          <w:pgMar w:top="1702" w:right="1418" w:bottom="1418" w:left="1418" w:header="720" w:footer="720" w:gutter="0"/>
          <w:pgNumType w:fmt="decimal" w:start="1"/>
          <w:cols w:space="720" w:num="1"/>
          <w:docGrid w:type="lines" w:linePitch="312" w:charSpace="0"/>
        </w:sectPr>
      </w:pPr>
    </w:p>
    <w:p w14:paraId="7AA2972A">
      <w:pPr>
        <w:pStyle w:val="3"/>
        <w:wordWrap w:val="0"/>
        <w:rPr>
          <w:rFonts w:hint="eastAsia"/>
          <w:color w:val="auto"/>
          <w:sz w:val="40"/>
          <w:highlight w:val="none"/>
        </w:rPr>
      </w:pPr>
      <w:bookmarkStart w:id="31" w:name="_Toc337622983"/>
      <w:bookmarkEnd w:id="31"/>
      <w:bookmarkStart w:id="32" w:name="_Toc337622790"/>
      <w:bookmarkEnd w:id="32"/>
      <w:bookmarkStart w:id="33" w:name="_Toc341992630"/>
      <w:bookmarkEnd w:id="33"/>
      <w:bookmarkStart w:id="34" w:name="_Toc337620692"/>
      <w:bookmarkEnd w:id="34"/>
      <w:bookmarkStart w:id="35" w:name="_Toc441564066"/>
      <w:bookmarkEnd w:id="35"/>
      <w:bookmarkStart w:id="36" w:name="_Toc513029202"/>
      <w:bookmarkEnd w:id="36"/>
      <w:bookmarkStart w:id="37" w:name="_Toc373781378"/>
      <w:bookmarkEnd w:id="37"/>
      <w:bookmarkStart w:id="38" w:name="_Toc365619242"/>
      <w:bookmarkEnd w:id="38"/>
      <w:bookmarkStart w:id="39" w:name="_Toc403560410"/>
      <w:bookmarkEnd w:id="39"/>
      <w:bookmarkStart w:id="40" w:name="_Toc403401434"/>
      <w:bookmarkEnd w:id="40"/>
      <w:bookmarkStart w:id="41" w:name="_Toc16938518"/>
      <w:bookmarkEnd w:id="41"/>
      <w:bookmarkStart w:id="42" w:name="_Toc342558384"/>
      <w:bookmarkEnd w:id="42"/>
      <w:bookmarkStart w:id="43" w:name="_Toc341993788"/>
      <w:bookmarkEnd w:id="43"/>
      <w:bookmarkStart w:id="44" w:name="_Toc342374716"/>
      <w:bookmarkEnd w:id="44"/>
      <w:bookmarkStart w:id="45" w:name="_Toc337622251"/>
      <w:bookmarkEnd w:id="45"/>
      <w:bookmarkStart w:id="46" w:name="_Toc341991044"/>
      <w:bookmarkEnd w:id="46"/>
      <w:bookmarkStart w:id="47" w:name="_Toc342241487"/>
      <w:bookmarkEnd w:id="47"/>
      <w:bookmarkStart w:id="48" w:name="_Toc337620800"/>
      <w:bookmarkEnd w:id="48"/>
      <w:bookmarkStart w:id="49" w:name="_Toc337584877"/>
      <w:bookmarkEnd w:id="49"/>
      <w:bookmarkStart w:id="50" w:name="_Toc20823274"/>
      <w:bookmarkEnd w:id="50"/>
      <w:bookmarkStart w:id="51" w:name="_Toc341993114"/>
      <w:bookmarkEnd w:id="51"/>
      <w:bookmarkStart w:id="52" w:name="_Toc337622278"/>
      <w:bookmarkEnd w:id="52"/>
      <w:bookmarkStart w:id="53" w:name="_Toc517178991"/>
      <w:bookmarkEnd w:id="53"/>
      <w:bookmarkStart w:id="54" w:name="_Toc337622640"/>
      <w:bookmarkEnd w:id="54"/>
      <w:bookmarkStart w:id="55" w:name="_Toc337622372"/>
      <w:bookmarkEnd w:id="55"/>
      <w:bookmarkStart w:id="56" w:name="_Toc342252863"/>
      <w:bookmarkEnd w:id="56"/>
      <w:bookmarkStart w:id="57" w:name="_Toc337620620"/>
      <w:bookmarkEnd w:id="57"/>
      <w:bookmarkStart w:id="58" w:name="_Toc337584644"/>
      <w:bookmarkEnd w:id="58"/>
      <w:bookmarkStart w:id="59" w:name="_Toc366517151"/>
      <w:bookmarkEnd w:id="59"/>
      <w:bookmarkStart w:id="60" w:name="_Toc341988484"/>
      <w:bookmarkEnd w:id="60"/>
      <w:bookmarkStart w:id="61" w:name="_Toc337584958"/>
      <w:bookmarkEnd w:id="61"/>
      <w:bookmarkStart w:id="62" w:name="_Toc528078006"/>
      <w:bookmarkEnd w:id="62"/>
      <w:bookmarkStart w:id="63" w:name="_Toc342497332"/>
      <w:bookmarkEnd w:id="63"/>
      <w:bookmarkStart w:id="64" w:name="_Toc341992710"/>
      <w:bookmarkEnd w:id="64"/>
      <w:bookmarkStart w:id="65" w:name="_Ref352791871"/>
      <w:bookmarkEnd w:id="65"/>
      <w:bookmarkStart w:id="66" w:name="_Toc120614213"/>
      <w:bookmarkEnd w:id="66"/>
      <w:bookmarkStart w:id="67" w:name="_Toc337622690"/>
      <w:bookmarkEnd w:id="67"/>
      <w:bookmarkStart w:id="68" w:name="_Toc337622590"/>
      <w:bookmarkEnd w:id="68"/>
      <w:bookmarkStart w:id="69" w:name="_Toc24135"/>
      <w:bookmarkStart w:id="70" w:name="_Toc28880"/>
      <w:r>
        <w:rPr>
          <w:rFonts w:hint="eastAsia"/>
          <w:color w:val="auto"/>
          <w:sz w:val="40"/>
          <w:highlight w:val="none"/>
        </w:rPr>
        <w:t>第一章 竞争性磋商公告</w:t>
      </w:r>
      <w:bookmarkEnd w:id="69"/>
      <w:bookmarkEnd w:id="70"/>
    </w:p>
    <w:p w14:paraId="7E32878D">
      <w:pPr>
        <w:spacing w:line="360" w:lineRule="auto"/>
        <w:ind w:firstLine="566" w:firstLineChars="236"/>
        <w:rPr>
          <w:rFonts w:hint="eastAsia" w:asciiTheme="minorEastAsia" w:hAnsiTheme="minorEastAsia" w:cstheme="minorEastAsia"/>
          <w:color w:val="auto"/>
          <w:sz w:val="24"/>
          <w:szCs w:val="24"/>
          <w:highlight w:val="none"/>
        </w:rPr>
      </w:pPr>
      <w:bookmarkStart w:id="71" w:name="_Toc13128"/>
      <w:r>
        <w:rPr>
          <w:rFonts w:hint="eastAsia" w:asciiTheme="minorEastAsia" w:hAnsiTheme="minorEastAsia" w:cstheme="minorEastAsia"/>
          <w:color w:val="auto"/>
          <w:sz w:val="24"/>
          <w:szCs w:val="24"/>
          <w:highlight w:val="none"/>
        </w:rPr>
        <w:t>项目概况</w:t>
      </w:r>
    </w:p>
    <w:p w14:paraId="0D1F3A47">
      <w:pPr>
        <w:spacing w:line="360" w:lineRule="auto"/>
        <w:ind w:firstLine="566" w:firstLineChars="236"/>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lang w:eastAsia="zh-CN"/>
        </w:rPr>
        <w:t>渑池县中医院DIP智能辅助系统采购项目</w:t>
      </w:r>
      <w:r>
        <w:rPr>
          <w:rFonts w:hint="eastAsia" w:asciiTheme="minorEastAsia" w:hAnsiTheme="minorEastAsia" w:cstheme="minorEastAsia"/>
          <w:color w:val="auto"/>
          <w:sz w:val="24"/>
          <w:szCs w:val="24"/>
          <w:highlight w:val="none"/>
        </w:rPr>
        <w:t>的潜在供应商应在三门峡市公共资源交易中心网上获取招标文件，并于202</w:t>
      </w:r>
      <w:r>
        <w:rPr>
          <w:rFonts w:hint="eastAsia" w:asciiTheme="minorEastAsia" w:hAnsiTheme="minorEastAsia" w:cstheme="minorEastAsia"/>
          <w:color w:val="auto"/>
          <w:sz w:val="24"/>
          <w:szCs w:val="24"/>
          <w:highlight w:val="none"/>
          <w:lang w:val="en-US" w:eastAsia="zh-CN"/>
        </w:rPr>
        <w:t>5</w:t>
      </w:r>
      <w:r>
        <w:rPr>
          <w:rFonts w:hint="eastAsia" w:asciiTheme="minorEastAsia" w:hAnsiTheme="minorEastAsia" w:cstheme="minorEastAsia"/>
          <w:color w:val="auto"/>
          <w:sz w:val="24"/>
          <w:szCs w:val="24"/>
          <w:highlight w:val="none"/>
        </w:rPr>
        <w:t>年</w:t>
      </w:r>
      <w:r>
        <w:rPr>
          <w:rFonts w:hint="eastAsia" w:asciiTheme="minorEastAsia" w:hAnsiTheme="minorEastAsia" w:cstheme="minorEastAsia"/>
          <w:color w:val="auto"/>
          <w:sz w:val="24"/>
          <w:szCs w:val="24"/>
          <w:highlight w:val="none"/>
          <w:lang w:val="en-US" w:eastAsia="zh-CN"/>
        </w:rPr>
        <w:t>2</w:t>
      </w:r>
      <w:r>
        <w:rPr>
          <w:rFonts w:hint="eastAsia" w:asciiTheme="minorEastAsia" w:hAnsiTheme="minorEastAsia" w:cstheme="minorEastAsia"/>
          <w:color w:val="auto"/>
          <w:sz w:val="24"/>
          <w:szCs w:val="24"/>
          <w:highlight w:val="none"/>
        </w:rPr>
        <w:t>月</w:t>
      </w:r>
      <w:r>
        <w:rPr>
          <w:rFonts w:hint="eastAsia" w:asciiTheme="minorEastAsia" w:hAnsiTheme="minorEastAsia" w:cstheme="minorEastAsia"/>
          <w:color w:val="auto"/>
          <w:sz w:val="24"/>
          <w:szCs w:val="24"/>
          <w:highlight w:val="none"/>
          <w:lang w:val="en-US" w:eastAsia="zh-CN"/>
        </w:rPr>
        <w:t>28</w:t>
      </w:r>
      <w:r>
        <w:rPr>
          <w:rFonts w:hint="eastAsia" w:asciiTheme="minorEastAsia" w:hAnsiTheme="minorEastAsia" w:cstheme="minorEastAsia"/>
          <w:color w:val="auto"/>
          <w:sz w:val="24"/>
          <w:szCs w:val="24"/>
          <w:highlight w:val="none"/>
        </w:rPr>
        <w:t>日0</w:t>
      </w:r>
      <w:r>
        <w:rPr>
          <w:rFonts w:hint="eastAsia" w:asciiTheme="minorEastAsia" w:hAnsiTheme="minorEastAsia" w:cstheme="minorEastAsia"/>
          <w:color w:val="auto"/>
          <w:sz w:val="24"/>
          <w:szCs w:val="24"/>
          <w:highlight w:val="none"/>
          <w:lang w:val="en-US" w:eastAsia="zh-CN"/>
        </w:rPr>
        <w:t>8</w:t>
      </w:r>
      <w:r>
        <w:rPr>
          <w:rFonts w:hint="eastAsia" w:asciiTheme="minorEastAsia" w:hAnsiTheme="minorEastAsia" w:cstheme="minorEastAsia"/>
          <w:color w:val="auto"/>
          <w:sz w:val="24"/>
          <w:szCs w:val="24"/>
          <w:highlight w:val="none"/>
        </w:rPr>
        <w:t>时</w:t>
      </w:r>
      <w:r>
        <w:rPr>
          <w:rFonts w:hint="eastAsia" w:asciiTheme="minorEastAsia" w:hAnsiTheme="minorEastAsia" w:cstheme="minorEastAsia"/>
          <w:color w:val="auto"/>
          <w:sz w:val="24"/>
          <w:szCs w:val="24"/>
          <w:highlight w:val="none"/>
          <w:lang w:val="en-US" w:eastAsia="zh-CN"/>
        </w:rPr>
        <w:t>2</w:t>
      </w:r>
      <w:r>
        <w:rPr>
          <w:rFonts w:hint="eastAsia" w:asciiTheme="minorEastAsia" w:hAnsiTheme="minorEastAsia" w:cstheme="minorEastAsia"/>
          <w:color w:val="auto"/>
          <w:sz w:val="24"/>
          <w:szCs w:val="24"/>
          <w:highlight w:val="none"/>
        </w:rPr>
        <w:t>0分（北京时间）前递交投标文件。</w:t>
      </w:r>
    </w:p>
    <w:p w14:paraId="29E0F23F">
      <w:pPr>
        <w:spacing w:line="360" w:lineRule="auto"/>
        <w:ind w:firstLine="566" w:firstLineChars="236"/>
        <w:rPr>
          <w:rFonts w:hint="eastAsia" w:asciiTheme="minorEastAsia" w:hAnsiTheme="minorEastAsia" w:cstheme="minorEastAsia"/>
          <w:color w:val="auto"/>
          <w:sz w:val="24"/>
          <w:szCs w:val="24"/>
          <w:highlight w:val="none"/>
          <w:lang w:val="en-US" w:eastAsia="zh-CN"/>
        </w:rPr>
      </w:pPr>
      <w:r>
        <w:rPr>
          <w:rFonts w:hint="eastAsia" w:asciiTheme="minorEastAsia" w:hAnsiTheme="minorEastAsia" w:cstheme="minorEastAsia"/>
          <w:color w:val="auto"/>
          <w:sz w:val="24"/>
          <w:szCs w:val="24"/>
          <w:highlight w:val="none"/>
        </w:rPr>
        <w:t>一、项目基本情况</w:t>
      </w:r>
      <w:r>
        <w:rPr>
          <w:rFonts w:hint="eastAsia" w:asciiTheme="minorEastAsia" w:hAnsiTheme="minorEastAsia" w:cstheme="minorEastAsia"/>
          <w:color w:val="auto"/>
          <w:sz w:val="24"/>
          <w:szCs w:val="24"/>
          <w:highlight w:val="none"/>
          <w:lang w:val="en-US" w:eastAsia="zh-CN"/>
        </w:rPr>
        <w:t xml:space="preserve"> </w:t>
      </w:r>
    </w:p>
    <w:p w14:paraId="10F7055F">
      <w:pPr>
        <w:spacing w:line="360" w:lineRule="auto"/>
        <w:ind w:firstLine="566" w:firstLineChars="236"/>
        <w:rPr>
          <w:rFonts w:hint="default" w:asciiTheme="minorEastAsia" w:hAnsiTheme="minorEastAsia" w:cstheme="minorEastAsia"/>
          <w:color w:val="auto"/>
          <w:sz w:val="24"/>
          <w:szCs w:val="24"/>
          <w:highlight w:val="none"/>
          <w:lang w:val="en-US"/>
        </w:rPr>
      </w:pPr>
      <w:r>
        <w:rPr>
          <w:rFonts w:hint="eastAsia" w:asciiTheme="minorEastAsia" w:hAnsiTheme="minorEastAsia" w:cstheme="minorEastAsia"/>
          <w:color w:val="auto"/>
          <w:sz w:val="24"/>
          <w:szCs w:val="24"/>
          <w:highlight w:val="none"/>
        </w:rPr>
        <w:t>1.采购项目编号：</w:t>
      </w:r>
      <w:r>
        <w:rPr>
          <w:rFonts w:hint="eastAsia" w:asciiTheme="minorEastAsia" w:hAnsiTheme="minorEastAsia" w:cstheme="minorEastAsia"/>
          <w:color w:val="auto"/>
          <w:sz w:val="24"/>
          <w:szCs w:val="24"/>
          <w:highlight w:val="none"/>
          <w:lang w:val="en-US" w:eastAsia="zh-CN"/>
        </w:rPr>
        <w:t>MCGZ[2025]031-ZC022</w:t>
      </w:r>
      <w:r>
        <w:rPr>
          <w:rFonts w:hint="eastAsia" w:asciiTheme="minorEastAsia" w:hAnsiTheme="minorEastAsia" w:cstheme="minorEastAsia"/>
          <w:color w:val="auto"/>
          <w:sz w:val="24"/>
          <w:szCs w:val="24"/>
          <w:highlight w:val="none"/>
        </w:rPr>
        <w:t>、</w:t>
      </w:r>
      <w:r>
        <w:rPr>
          <w:rFonts w:hint="eastAsia" w:asciiTheme="minorEastAsia" w:hAnsiTheme="minorEastAsia" w:cstheme="minorEastAsia"/>
          <w:color w:val="auto"/>
          <w:sz w:val="24"/>
          <w:szCs w:val="24"/>
          <w:highlight w:val="none"/>
          <w:lang w:val="en-US" w:eastAsia="zh-CN"/>
        </w:rPr>
        <w:t>渑池竞磋采购-2025-13</w:t>
      </w:r>
    </w:p>
    <w:p w14:paraId="0DBD5DB9">
      <w:pPr>
        <w:spacing w:line="360" w:lineRule="auto"/>
        <w:ind w:firstLine="566" w:firstLineChars="236"/>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2.采购项目名称：</w:t>
      </w:r>
      <w:r>
        <w:rPr>
          <w:rFonts w:hint="eastAsia" w:asciiTheme="minorEastAsia" w:hAnsiTheme="minorEastAsia" w:cstheme="minorEastAsia"/>
          <w:color w:val="auto"/>
          <w:sz w:val="24"/>
          <w:szCs w:val="24"/>
          <w:highlight w:val="none"/>
          <w:lang w:eastAsia="zh-CN"/>
        </w:rPr>
        <w:t>渑池县中医院DIP智能辅助系统采购项目</w:t>
      </w:r>
    </w:p>
    <w:p w14:paraId="1519DFE3">
      <w:pPr>
        <w:spacing w:line="360" w:lineRule="auto"/>
        <w:ind w:firstLine="566" w:firstLineChars="236"/>
        <w:rPr>
          <w:rFonts w:hint="eastAsia" w:asciiTheme="minorEastAsia" w:hAnsiTheme="minorEastAsia" w:cstheme="minorEastAsia"/>
          <w:color w:val="auto"/>
          <w:sz w:val="24"/>
          <w:szCs w:val="24"/>
          <w:highlight w:val="none"/>
          <w:lang w:val="en-US" w:eastAsia="zh-CN"/>
        </w:rPr>
      </w:pPr>
      <w:r>
        <w:rPr>
          <w:rFonts w:hint="eastAsia" w:asciiTheme="minorEastAsia" w:hAnsiTheme="minorEastAsia" w:cstheme="minorEastAsia"/>
          <w:color w:val="auto"/>
          <w:sz w:val="24"/>
          <w:szCs w:val="24"/>
          <w:highlight w:val="none"/>
        </w:rPr>
        <w:t>3.采购方式：</w:t>
      </w:r>
      <w:r>
        <w:rPr>
          <w:rFonts w:hint="eastAsia" w:asciiTheme="minorEastAsia" w:hAnsiTheme="minorEastAsia" w:cstheme="minorEastAsia"/>
          <w:color w:val="auto"/>
          <w:sz w:val="24"/>
          <w:szCs w:val="24"/>
          <w:highlight w:val="none"/>
          <w:lang w:val="en-US" w:eastAsia="zh-CN"/>
        </w:rPr>
        <w:t>竞争性磋商</w:t>
      </w:r>
    </w:p>
    <w:p w14:paraId="565B6C07">
      <w:pPr>
        <w:spacing w:line="360" w:lineRule="auto"/>
        <w:ind w:firstLine="566" w:firstLineChars="236"/>
        <w:rPr>
          <w:rFonts w:hint="eastAsia" w:asciiTheme="minorEastAsia" w:hAnsiTheme="minorEastAsia" w:cstheme="minorEastAsia"/>
          <w:color w:val="auto"/>
          <w:sz w:val="24"/>
          <w:szCs w:val="24"/>
          <w:highlight w:val="none"/>
          <w:lang w:val="en-US" w:eastAsia="zh-CN"/>
        </w:rPr>
      </w:pPr>
      <w:r>
        <w:rPr>
          <w:rFonts w:hint="eastAsia" w:asciiTheme="minorEastAsia" w:hAnsiTheme="minorEastAsia" w:cstheme="minorEastAsia"/>
          <w:color w:val="auto"/>
          <w:sz w:val="24"/>
          <w:szCs w:val="24"/>
          <w:highlight w:val="none"/>
        </w:rPr>
        <w:t>4.预算金额：</w:t>
      </w:r>
      <w:r>
        <w:rPr>
          <w:rFonts w:hint="eastAsia" w:asciiTheme="minorEastAsia" w:hAnsiTheme="minorEastAsia" w:cstheme="minorEastAsia"/>
          <w:color w:val="auto"/>
          <w:sz w:val="24"/>
          <w:szCs w:val="24"/>
          <w:highlight w:val="none"/>
          <w:lang w:val="en-US" w:eastAsia="zh-CN"/>
        </w:rPr>
        <w:t>980000.00元</w:t>
      </w:r>
      <w:bookmarkStart w:id="278" w:name="_GoBack"/>
      <w:bookmarkEnd w:id="278"/>
    </w:p>
    <w:p w14:paraId="5D1FB8A9">
      <w:pPr>
        <w:spacing w:line="360" w:lineRule="auto"/>
        <w:ind w:firstLine="566" w:firstLineChars="236"/>
        <w:rPr>
          <w:rFonts w:hint="eastAsia" w:asciiTheme="minorEastAsia" w:hAnsiTheme="minorEastAsia" w:cstheme="minorEastAsia"/>
          <w:color w:val="auto"/>
          <w:sz w:val="24"/>
          <w:szCs w:val="24"/>
          <w:highlight w:val="none"/>
          <w:lang w:val="en-US" w:eastAsia="zh-CN"/>
        </w:rPr>
      </w:pPr>
      <w:r>
        <w:rPr>
          <w:rFonts w:hint="eastAsia" w:asciiTheme="minorEastAsia" w:hAnsiTheme="minorEastAsia" w:cstheme="minorEastAsia"/>
          <w:color w:val="auto"/>
          <w:sz w:val="24"/>
          <w:szCs w:val="24"/>
          <w:highlight w:val="none"/>
        </w:rPr>
        <w:t>最高限价：</w:t>
      </w:r>
      <w:r>
        <w:rPr>
          <w:rFonts w:hint="eastAsia" w:asciiTheme="minorEastAsia" w:hAnsiTheme="minorEastAsia" w:cstheme="minorEastAsia"/>
          <w:color w:val="auto"/>
          <w:sz w:val="24"/>
          <w:szCs w:val="24"/>
          <w:highlight w:val="none"/>
          <w:lang w:val="en-US" w:eastAsia="zh-CN"/>
        </w:rPr>
        <w:t>980000.00元</w:t>
      </w:r>
    </w:p>
    <w:tbl>
      <w:tblPr>
        <w:tblStyle w:val="17"/>
        <w:tblW w:w="9555"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2"/>
        <w:gridCol w:w="2741"/>
        <w:gridCol w:w="2416"/>
        <w:gridCol w:w="1532"/>
        <w:gridCol w:w="2034"/>
      </w:tblGrid>
      <w:tr w14:paraId="4F0E1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dxa"/>
            <w:vAlign w:val="center"/>
          </w:tcPr>
          <w:p w14:paraId="4EE422F3">
            <w:pPr>
              <w:spacing w:line="360" w:lineRule="auto"/>
              <w:jc w:val="center"/>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序号</w:t>
            </w:r>
          </w:p>
        </w:tc>
        <w:tc>
          <w:tcPr>
            <w:tcW w:w="2741" w:type="dxa"/>
            <w:vAlign w:val="center"/>
          </w:tcPr>
          <w:p w14:paraId="03C219CA">
            <w:pPr>
              <w:spacing w:line="360" w:lineRule="auto"/>
              <w:ind w:firstLine="566" w:firstLineChars="236"/>
              <w:jc w:val="center"/>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包号</w:t>
            </w:r>
          </w:p>
        </w:tc>
        <w:tc>
          <w:tcPr>
            <w:tcW w:w="2416" w:type="dxa"/>
            <w:vAlign w:val="center"/>
          </w:tcPr>
          <w:p w14:paraId="15BA6253">
            <w:pPr>
              <w:spacing w:line="360" w:lineRule="auto"/>
              <w:ind w:firstLine="566" w:firstLineChars="236"/>
              <w:jc w:val="center"/>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包名称</w:t>
            </w:r>
          </w:p>
        </w:tc>
        <w:tc>
          <w:tcPr>
            <w:tcW w:w="1532" w:type="dxa"/>
            <w:vAlign w:val="center"/>
          </w:tcPr>
          <w:p w14:paraId="078D2E3D">
            <w:pPr>
              <w:spacing w:line="360" w:lineRule="auto"/>
              <w:jc w:val="both"/>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包预算（元）</w:t>
            </w:r>
          </w:p>
        </w:tc>
        <w:tc>
          <w:tcPr>
            <w:tcW w:w="2034" w:type="dxa"/>
            <w:vAlign w:val="center"/>
          </w:tcPr>
          <w:p w14:paraId="7C7AADEA">
            <w:pPr>
              <w:spacing w:line="360" w:lineRule="auto"/>
              <w:jc w:val="both"/>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包最高限价（元）</w:t>
            </w:r>
          </w:p>
        </w:tc>
      </w:tr>
      <w:tr w14:paraId="0D270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dxa"/>
            <w:vAlign w:val="center"/>
          </w:tcPr>
          <w:p w14:paraId="0C99A513">
            <w:pPr>
              <w:spacing w:line="360" w:lineRule="auto"/>
              <w:jc w:val="center"/>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1</w:t>
            </w:r>
          </w:p>
        </w:tc>
        <w:tc>
          <w:tcPr>
            <w:tcW w:w="2741" w:type="dxa"/>
            <w:vAlign w:val="center"/>
          </w:tcPr>
          <w:p w14:paraId="6F22110B">
            <w:pPr>
              <w:spacing w:line="360" w:lineRule="auto"/>
              <w:jc w:val="both"/>
              <w:rPr>
                <w:rFonts w:hint="eastAsia" w:asciiTheme="minorEastAsia" w:hAnsiTheme="minorEastAsia" w:cstheme="minorEastAsia"/>
                <w:color w:val="auto"/>
                <w:sz w:val="24"/>
                <w:szCs w:val="24"/>
                <w:highlight w:val="none"/>
                <w:lang w:eastAsia="zh-CN"/>
              </w:rPr>
            </w:pPr>
            <w:r>
              <w:rPr>
                <w:rFonts w:hint="eastAsia" w:asciiTheme="minorEastAsia" w:hAnsiTheme="minorEastAsia" w:cstheme="minorEastAsia"/>
                <w:color w:val="auto"/>
                <w:sz w:val="24"/>
                <w:szCs w:val="24"/>
                <w:highlight w:val="none"/>
                <w:lang w:val="en-US" w:eastAsia="zh-CN"/>
              </w:rPr>
              <w:t>MCGZ[2025]031-ZC022</w:t>
            </w:r>
          </w:p>
        </w:tc>
        <w:tc>
          <w:tcPr>
            <w:tcW w:w="2416" w:type="dxa"/>
            <w:vAlign w:val="center"/>
          </w:tcPr>
          <w:p w14:paraId="19252567">
            <w:pPr>
              <w:spacing w:line="360" w:lineRule="auto"/>
              <w:jc w:val="both"/>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lang w:eastAsia="zh-CN"/>
              </w:rPr>
              <w:t>渑池县中医院DIP智能辅助系统采购项目</w:t>
            </w:r>
          </w:p>
        </w:tc>
        <w:tc>
          <w:tcPr>
            <w:tcW w:w="1532" w:type="dxa"/>
            <w:vAlign w:val="center"/>
          </w:tcPr>
          <w:p w14:paraId="27347C23">
            <w:pPr>
              <w:spacing w:line="360" w:lineRule="auto"/>
              <w:jc w:val="center"/>
              <w:rPr>
                <w:rFonts w:hint="eastAsia" w:asciiTheme="minorEastAsia" w:hAnsiTheme="minorEastAsia" w:cstheme="minorEastAsia"/>
                <w:color w:val="auto"/>
                <w:sz w:val="24"/>
                <w:szCs w:val="24"/>
                <w:highlight w:val="none"/>
                <w:lang w:val="en-US" w:eastAsia="zh-CN"/>
              </w:rPr>
            </w:pPr>
            <w:r>
              <w:rPr>
                <w:rFonts w:hint="eastAsia" w:asciiTheme="minorEastAsia" w:hAnsiTheme="minorEastAsia" w:cstheme="minorEastAsia"/>
                <w:color w:val="auto"/>
                <w:sz w:val="24"/>
                <w:szCs w:val="24"/>
                <w:highlight w:val="none"/>
                <w:lang w:val="en-US" w:eastAsia="zh-CN"/>
              </w:rPr>
              <w:t>980000.00</w:t>
            </w:r>
          </w:p>
        </w:tc>
        <w:tc>
          <w:tcPr>
            <w:tcW w:w="2034" w:type="dxa"/>
            <w:vAlign w:val="center"/>
          </w:tcPr>
          <w:p w14:paraId="371086CF">
            <w:pPr>
              <w:spacing w:line="360" w:lineRule="auto"/>
              <w:jc w:val="center"/>
              <w:rPr>
                <w:rFonts w:hint="eastAsia" w:asciiTheme="minorEastAsia" w:hAnsiTheme="minorEastAsia" w:cstheme="minorEastAsia"/>
                <w:color w:val="auto"/>
                <w:sz w:val="24"/>
                <w:szCs w:val="24"/>
                <w:highlight w:val="none"/>
                <w:lang w:val="en-US" w:eastAsia="zh-CN"/>
              </w:rPr>
            </w:pPr>
            <w:r>
              <w:rPr>
                <w:rFonts w:hint="eastAsia" w:asciiTheme="minorEastAsia" w:hAnsiTheme="minorEastAsia" w:cstheme="minorEastAsia"/>
                <w:color w:val="auto"/>
                <w:sz w:val="24"/>
                <w:szCs w:val="24"/>
                <w:highlight w:val="none"/>
                <w:lang w:val="en-US" w:eastAsia="zh-CN"/>
              </w:rPr>
              <w:t>980000.00</w:t>
            </w:r>
          </w:p>
        </w:tc>
      </w:tr>
    </w:tbl>
    <w:p w14:paraId="1F72ACC4">
      <w:pPr>
        <w:spacing w:line="360" w:lineRule="auto"/>
        <w:ind w:firstLine="566" w:firstLineChars="236"/>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5.采购需求(包括目标、标准、数量、规格、服务要求、验收、标准等)：</w:t>
      </w:r>
    </w:p>
    <w:p w14:paraId="12A0E2F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5.1</w:t>
      </w:r>
      <w:r>
        <w:rPr>
          <w:rFonts w:hint="eastAsia" w:asciiTheme="minorEastAsia" w:hAnsiTheme="minorEastAsia" w:cstheme="minorEastAsia"/>
          <w:color w:val="auto"/>
          <w:sz w:val="24"/>
          <w:szCs w:val="24"/>
          <w:highlight w:val="none"/>
          <w:lang w:eastAsia="zh-CN"/>
        </w:rPr>
        <w:t>服务内容</w:t>
      </w:r>
      <w:r>
        <w:rPr>
          <w:rFonts w:hint="eastAsia" w:asciiTheme="minorEastAsia" w:hAnsiTheme="minorEastAsia" w:cstheme="minorEastAsia"/>
          <w:color w:val="auto"/>
          <w:sz w:val="24"/>
          <w:szCs w:val="24"/>
          <w:highlight w:val="none"/>
        </w:rPr>
        <w:t>：</w:t>
      </w:r>
      <w:r>
        <w:rPr>
          <w:rFonts w:hint="eastAsia" w:asciiTheme="minorEastAsia" w:hAnsiTheme="minorEastAsia" w:cstheme="minorEastAsia"/>
          <w:color w:val="auto"/>
          <w:sz w:val="24"/>
          <w:szCs w:val="24"/>
          <w:highlight w:val="none"/>
          <w:lang w:val="en-US" w:eastAsia="zh-CN"/>
        </w:rPr>
        <w:t>渑池县中医院</w:t>
      </w:r>
      <w:r>
        <w:rPr>
          <w:rFonts w:hint="eastAsia" w:asciiTheme="minorEastAsia" w:hAnsiTheme="minorEastAsia" w:cstheme="minorEastAsia"/>
          <w:color w:val="auto"/>
          <w:sz w:val="24"/>
          <w:szCs w:val="24"/>
          <w:highlight w:val="none"/>
        </w:rPr>
        <w:t>DIP智能辅助系统采购，系统主要功能有病案首页医生端前置质控、DIP实时预分组及智能分组指导、实时预警分析、DIP绩效、数据分析统计等。详见文件参数要求。</w:t>
      </w:r>
      <w:r>
        <w:rPr>
          <w:rFonts w:hint="eastAsia" w:asciiTheme="minorEastAsia" w:hAnsiTheme="minorEastAsia" w:cstheme="minorEastAsia"/>
          <w:color w:val="auto"/>
          <w:sz w:val="24"/>
          <w:szCs w:val="24"/>
          <w:highlight w:val="none"/>
          <w:lang w:val="en-US" w:eastAsia="zh-CN"/>
        </w:rPr>
        <w:t>（购详见第五章服务要求）</w:t>
      </w:r>
    </w:p>
    <w:p w14:paraId="07D80BE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5.2预算金额：</w:t>
      </w:r>
      <w:r>
        <w:rPr>
          <w:rFonts w:hint="eastAsia" w:asciiTheme="minorEastAsia" w:hAnsiTheme="minorEastAsia" w:cstheme="minorEastAsia"/>
          <w:color w:val="auto"/>
          <w:sz w:val="24"/>
          <w:szCs w:val="24"/>
          <w:highlight w:val="none"/>
          <w:lang w:val="en-US" w:eastAsia="zh-CN"/>
        </w:rPr>
        <w:t>980000.00元</w:t>
      </w:r>
    </w:p>
    <w:p w14:paraId="07DC9BC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5.3资金来源：</w:t>
      </w:r>
      <w:r>
        <w:rPr>
          <w:rFonts w:hint="eastAsia" w:asciiTheme="minorEastAsia" w:hAnsiTheme="minorEastAsia" w:cstheme="minorEastAsia"/>
          <w:color w:val="auto"/>
          <w:sz w:val="24"/>
          <w:szCs w:val="24"/>
          <w:highlight w:val="none"/>
          <w:lang w:val="en-US" w:eastAsia="zh-CN"/>
        </w:rPr>
        <w:t>财政资金</w:t>
      </w:r>
      <w:r>
        <w:rPr>
          <w:rFonts w:hint="eastAsia" w:asciiTheme="minorEastAsia" w:hAnsiTheme="minorEastAsia" w:cstheme="minorEastAsia"/>
          <w:color w:val="auto"/>
          <w:sz w:val="24"/>
          <w:szCs w:val="24"/>
          <w:highlight w:val="none"/>
        </w:rPr>
        <w:t>，已落实。</w:t>
      </w:r>
    </w:p>
    <w:p w14:paraId="38C3C67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5.4质量要求：</w:t>
      </w:r>
      <w:r>
        <w:rPr>
          <w:rFonts w:hint="eastAsia" w:asciiTheme="minorEastAsia" w:hAnsiTheme="minorEastAsia" w:cstheme="minorEastAsia"/>
          <w:color w:val="auto"/>
          <w:sz w:val="24"/>
          <w:szCs w:val="24"/>
          <w:highlight w:val="none"/>
          <w:lang w:eastAsia="zh-CN"/>
        </w:rPr>
        <w:t>满足采购人要求</w:t>
      </w:r>
      <w:r>
        <w:rPr>
          <w:rFonts w:hint="eastAsia" w:asciiTheme="minorEastAsia" w:hAnsiTheme="minorEastAsia" w:cstheme="minorEastAsia"/>
          <w:color w:val="auto"/>
          <w:sz w:val="24"/>
          <w:szCs w:val="24"/>
          <w:highlight w:val="none"/>
        </w:rPr>
        <w:t>。</w:t>
      </w:r>
    </w:p>
    <w:p w14:paraId="24F692B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5.5</w:t>
      </w:r>
      <w:r>
        <w:rPr>
          <w:rFonts w:hint="eastAsia" w:asciiTheme="minorEastAsia" w:hAnsiTheme="minorEastAsia" w:cstheme="minorEastAsia"/>
          <w:color w:val="auto"/>
          <w:sz w:val="24"/>
          <w:szCs w:val="24"/>
          <w:highlight w:val="none"/>
          <w:lang w:eastAsia="zh-CN"/>
        </w:rPr>
        <w:t>服务时间</w:t>
      </w:r>
      <w:r>
        <w:rPr>
          <w:rFonts w:hint="eastAsia" w:asciiTheme="minorEastAsia" w:hAnsiTheme="minorEastAsia" w:cstheme="minorEastAsia"/>
          <w:color w:val="auto"/>
          <w:sz w:val="24"/>
          <w:szCs w:val="24"/>
          <w:highlight w:val="none"/>
        </w:rPr>
        <w:t>：</w:t>
      </w:r>
      <w:r>
        <w:rPr>
          <w:rFonts w:hint="eastAsia" w:asciiTheme="minorEastAsia" w:hAnsiTheme="minorEastAsia" w:cstheme="minorEastAsia"/>
          <w:color w:val="auto"/>
          <w:sz w:val="24"/>
          <w:szCs w:val="24"/>
          <w:highlight w:val="none"/>
          <w:lang w:eastAsia="zh-CN"/>
        </w:rPr>
        <w:t>合同签订后30日历天，完成产品的安装、调试</w:t>
      </w:r>
      <w:r>
        <w:rPr>
          <w:rFonts w:hint="eastAsia" w:asciiTheme="minorEastAsia" w:hAnsiTheme="minorEastAsia" w:cstheme="minorEastAsia"/>
          <w:color w:val="auto"/>
          <w:sz w:val="24"/>
          <w:szCs w:val="24"/>
          <w:highlight w:val="none"/>
        </w:rPr>
        <w:t>。</w:t>
      </w:r>
    </w:p>
    <w:p w14:paraId="75BFA1D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5.</w:t>
      </w:r>
      <w:r>
        <w:rPr>
          <w:rFonts w:hint="eastAsia" w:asciiTheme="minorEastAsia" w:hAnsiTheme="minorEastAsia" w:cstheme="minorEastAsia"/>
          <w:color w:val="auto"/>
          <w:sz w:val="24"/>
          <w:szCs w:val="24"/>
          <w:highlight w:val="none"/>
          <w:lang w:val="en-US" w:eastAsia="zh-CN"/>
        </w:rPr>
        <w:t>6</w:t>
      </w:r>
      <w:r>
        <w:rPr>
          <w:rFonts w:hint="eastAsia" w:asciiTheme="minorEastAsia" w:hAnsiTheme="minorEastAsia" w:cstheme="minorEastAsia"/>
          <w:color w:val="auto"/>
          <w:sz w:val="24"/>
          <w:szCs w:val="24"/>
          <w:highlight w:val="none"/>
          <w:lang w:eastAsia="zh-CN"/>
        </w:rPr>
        <w:t>服务地点</w:t>
      </w:r>
      <w:r>
        <w:rPr>
          <w:rFonts w:hint="eastAsia" w:asciiTheme="minorEastAsia" w:hAnsiTheme="minorEastAsia" w:cstheme="minorEastAsia"/>
          <w:color w:val="auto"/>
          <w:sz w:val="24"/>
          <w:szCs w:val="24"/>
          <w:highlight w:val="none"/>
        </w:rPr>
        <w:t>：采购人指定地点。</w:t>
      </w:r>
    </w:p>
    <w:p w14:paraId="05CA86A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6.合同履行期限：</w:t>
      </w:r>
      <w:r>
        <w:rPr>
          <w:rFonts w:ascii="宋体" w:hAnsi="宋体" w:eastAsia="宋体" w:cs="宋体"/>
          <w:color w:val="auto"/>
          <w:sz w:val="24"/>
          <w:szCs w:val="24"/>
          <w:highlight w:val="none"/>
        </w:rPr>
        <w:t>合同签订后30日历天，完成产品的安装、调试</w:t>
      </w:r>
      <w:r>
        <w:rPr>
          <w:rFonts w:hint="eastAsia" w:asciiTheme="minorEastAsia" w:hAnsiTheme="minorEastAsia" w:cstheme="minorEastAsia"/>
          <w:color w:val="auto"/>
          <w:sz w:val="24"/>
          <w:szCs w:val="24"/>
          <w:highlight w:val="none"/>
        </w:rPr>
        <w:t>。</w:t>
      </w:r>
    </w:p>
    <w:p w14:paraId="2C549DC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lang w:val="en-US" w:eastAsia="zh-CN"/>
        </w:rPr>
        <w:t>7</w:t>
      </w:r>
      <w:r>
        <w:rPr>
          <w:rFonts w:hint="eastAsia" w:asciiTheme="minorEastAsia" w:hAnsiTheme="minorEastAsia" w:cstheme="minorEastAsia"/>
          <w:color w:val="auto"/>
          <w:sz w:val="24"/>
          <w:szCs w:val="24"/>
          <w:highlight w:val="none"/>
        </w:rPr>
        <w:t>.本项目是否接受联合体投标：否</w:t>
      </w:r>
    </w:p>
    <w:p w14:paraId="7F0B9A2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lang w:val="en-US" w:eastAsia="zh-CN"/>
        </w:rPr>
        <w:t>8</w:t>
      </w:r>
      <w:r>
        <w:rPr>
          <w:rFonts w:hint="eastAsia" w:asciiTheme="minorEastAsia" w:hAnsiTheme="minorEastAsia" w:cstheme="minorEastAsia"/>
          <w:color w:val="auto"/>
          <w:sz w:val="24"/>
          <w:szCs w:val="24"/>
          <w:highlight w:val="none"/>
        </w:rPr>
        <w:t>.是否接受进口产品：否</w:t>
      </w:r>
    </w:p>
    <w:p w14:paraId="14D207E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cstheme="minorEastAsia"/>
          <w:color w:val="auto"/>
          <w:sz w:val="24"/>
          <w:szCs w:val="24"/>
          <w:highlight w:val="none"/>
          <w:lang w:val="en-US" w:eastAsia="zh-CN"/>
        </w:rPr>
        <w:t>9</w:t>
      </w:r>
      <w:r>
        <w:rPr>
          <w:rFonts w:hint="eastAsia" w:asciiTheme="minorEastAsia" w:hAnsiTheme="minorEastAsia" w:cstheme="minorEastAsia"/>
          <w:color w:val="auto"/>
          <w:sz w:val="24"/>
          <w:szCs w:val="24"/>
          <w:highlight w:val="none"/>
        </w:rPr>
        <w:t>.是否专门面向中小企业：</w:t>
      </w:r>
      <w:r>
        <w:rPr>
          <w:rFonts w:hint="eastAsia" w:asciiTheme="minorEastAsia" w:hAnsiTheme="minorEastAsia" w:cstheme="minorEastAsia"/>
          <w:color w:val="auto"/>
          <w:sz w:val="24"/>
          <w:szCs w:val="24"/>
          <w:highlight w:val="none"/>
          <w:lang w:val="en-US" w:eastAsia="zh-CN"/>
        </w:rPr>
        <w:t>是</w:t>
      </w:r>
    </w:p>
    <w:p w14:paraId="78457B5D">
      <w:pPr>
        <w:spacing w:line="360" w:lineRule="auto"/>
        <w:ind w:firstLine="566" w:firstLineChars="236"/>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二、供应商资格要求</w:t>
      </w:r>
    </w:p>
    <w:p w14:paraId="16C19402">
      <w:pPr>
        <w:spacing w:line="360" w:lineRule="auto"/>
        <w:ind w:firstLine="566" w:firstLineChars="236"/>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1.满足《中华人民共和国政府采购法》第二十二条规定：</w:t>
      </w:r>
    </w:p>
    <w:p w14:paraId="79829ADC">
      <w:pPr>
        <w:spacing w:line="360" w:lineRule="auto"/>
        <w:ind w:firstLine="566" w:firstLineChars="236"/>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2.落实政府采购政策满足的资格要求：根据《政府采购促进中小企业发展管理办法》（财库〔2020〕46号）规定，本项目专门面向中小企业采购,同时供应商须提供《中小企业声明函》；</w:t>
      </w:r>
    </w:p>
    <w:p w14:paraId="3F30C7FA">
      <w:pPr>
        <w:spacing w:line="360" w:lineRule="auto"/>
        <w:ind w:firstLine="566" w:firstLineChars="236"/>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3.本项目的特定资格要求：</w:t>
      </w:r>
    </w:p>
    <w:p w14:paraId="271B976A">
      <w:pPr>
        <w:spacing w:line="360" w:lineRule="auto"/>
        <w:ind w:firstLine="566" w:firstLineChars="236"/>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lang w:val="en-US" w:eastAsia="zh-CN"/>
        </w:rPr>
        <w:t>3.</w:t>
      </w:r>
      <w:r>
        <w:rPr>
          <w:rFonts w:hint="eastAsia" w:asciiTheme="minorEastAsia" w:hAnsiTheme="minorEastAsia" w:cstheme="minorEastAsia"/>
          <w:color w:val="auto"/>
          <w:sz w:val="24"/>
          <w:szCs w:val="24"/>
          <w:highlight w:val="none"/>
        </w:rPr>
        <w:t>1供应商具有有效的营业执照；</w:t>
      </w:r>
    </w:p>
    <w:p w14:paraId="255F99EB">
      <w:pPr>
        <w:spacing w:line="360" w:lineRule="auto"/>
        <w:ind w:firstLine="566" w:firstLineChars="236"/>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3</w:t>
      </w:r>
      <w:r>
        <w:rPr>
          <w:rFonts w:hint="eastAsia" w:asciiTheme="minorEastAsia" w:hAnsiTheme="minorEastAsia" w:cstheme="minorEastAsia"/>
          <w:color w:val="auto"/>
          <w:sz w:val="24"/>
          <w:szCs w:val="24"/>
          <w:highlight w:val="none"/>
          <w:lang w:val="en-US" w:eastAsia="zh-CN"/>
        </w:rPr>
        <w:t>.2</w:t>
      </w:r>
      <w:r>
        <w:rPr>
          <w:rFonts w:hint="eastAsia" w:asciiTheme="minorEastAsia" w:hAnsiTheme="minorEastAsia" w:cstheme="minorEastAsia"/>
          <w:color w:val="auto"/>
          <w:sz w:val="24"/>
          <w:szCs w:val="24"/>
          <w:highlight w:val="none"/>
        </w:rPr>
        <w:t>供应商出具无行贿犯罪记录，在中国裁判文书网自行查询或自行承诺（查询对象：企业、法定代表人）；</w:t>
      </w:r>
    </w:p>
    <w:p w14:paraId="51F3C608">
      <w:pPr>
        <w:spacing w:line="360" w:lineRule="auto"/>
        <w:ind w:firstLine="566" w:firstLineChars="236"/>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lang w:val="en-US" w:eastAsia="zh-CN"/>
        </w:rPr>
        <w:t>3.3</w:t>
      </w:r>
      <w:r>
        <w:rPr>
          <w:rFonts w:hint="eastAsia" w:asciiTheme="minorEastAsia" w:hAnsiTheme="minorEastAsia" w:cstheme="minorEastAsia"/>
          <w:color w:val="auto"/>
          <w:sz w:val="24"/>
          <w:szCs w:val="24"/>
          <w:highlight w:val="none"/>
        </w:rPr>
        <w:t>供应商需提供无商业贿赂及无不正当竞争行为的承诺书；</w:t>
      </w:r>
    </w:p>
    <w:p w14:paraId="609F91C7">
      <w:pPr>
        <w:spacing w:line="360" w:lineRule="auto"/>
        <w:ind w:firstLine="566" w:firstLineChars="236"/>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lang w:val="en-US" w:eastAsia="zh-CN"/>
        </w:rPr>
        <w:t>3.</w:t>
      </w:r>
      <w:bookmarkStart w:id="72" w:name="_Hlk139301777"/>
      <w:r>
        <w:rPr>
          <w:rFonts w:hint="eastAsia" w:asciiTheme="minorEastAsia" w:hAnsiTheme="minorEastAsia" w:cstheme="minorEastAsia"/>
          <w:color w:val="auto"/>
          <w:sz w:val="24"/>
          <w:szCs w:val="24"/>
          <w:highlight w:val="none"/>
          <w:lang w:val="en-US" w:eastAsia="zh-CN"/>
        </w:rPr>
        <w:t>4</w:t>
      </w:r>
      <w:r>
        <w:rPr>
          <w:rFonts w:hint="eastAsia" w:asciiTheme="minorEastAsia" w:hAnsiTheme="minorEastAsia" w:cstheme="minorEastAsia"/>
          <w:color w:val="auto"/>
          <w:sz w:val="24"/>
          <w:szCs w:val="24"/>
          <w:highlight w:val="none"/>
        </w:rPr>
        <w:t>未列入“中国执行信息公开网”http://zxgk.court.gov.cn/shixin网站的“失信被执行人”名单、“信用中国”www.creditchina.gov.cn网站的“重大税收违法失信主体”及“中国政府采购网”www.ccgp.gov.cn网站的“政府采购严重违法失信行为记录名单”；（提供“中国执行信息公开网”、“信用中国”和“中国政府采购网”网站的查询信息截图，加盖单位公章，截图需显示查询时间，查询时间：自公告发布之日起至投标截止时间前）；</w:t>
      </w:r>
      <w:bookmarkEnd w:id="72"/>
    </w:p>
    <w:p w14:paraId="301BE761">
      <w:pPr>
        <w:spacing w:line="360" w:lineRule="auto"/>
        <w:ind w:firstLine="566" w:firstLineChars="236"/>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lang w:val="en-US" w:eastAsia="zh-CN"/>
        </w:rPr>
        <w:t>3.5单位负责人为同一人或者存在直接控股、管理关系的不同投标人，不得参加同一合同项下的采购活动；（提供“国家企业信用信息公示系统”中查询打印的相关信息并加盖公章（查询信息需包含公司基本信息、股东信息及股权变更信息等相关信息，查询日期为本项目公告发布之后至开标截止时间止））</w:t>
      </w:r>
      <w:r>
        <w:rPr>
          <w:rFonts w:hint="eastAsia" w:asciiTheme="minorEastAsia" w:hAnsiTheme="minorEastAsia" w:cstheme="minorEastAsia"/>
          <w:color w:val="auto"/>
          <w:sz w:val="24"/>
          <w:szCs w:val="24"/>
          <w:highlight w:val="none"/>
        </w:rPr>
        <w:t>；</w:t>
      </w:r>
    </w:p>
    <w:p w14:paraId="072345A2">
      <w:pPr>
        <w:spacing w:line="360" w:lineRule="auto"/>
        <w:ind w:firstLine="566" w:firstLineChars="236"/>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lang w:val="en-US" w:eastAsia="zh-CN"/>
        </w:rPr>
        <w:t>3.6</w:t>
      </w:r>
      <w:r>
        <w:rPr>
          <w:rFonts w:hint="eastAsia" w:asciiTheme="minorEastAsia" w:hAnsiTheme="minorEastAsia" w:cstheme="minorEastAsia"/>
          <w:color w:val="auto"/>
          <w:sz w:val="24"/>
          <w:szCs w:val="24"/>
          <w:highlight w:val="none"/>
        </w:rPr>
        <w:t>本项目不接受联合体投标</w:t>
      </w:r>
      <w:r>
        <w:rPr>
          <w:rFonts w:hint="eastAsia" w:asciiTheme="minorEastAsia" w:hAnsiTheme="minorEastAsia" w:cstheme="minorEastAsia"/>
          <w:color w:val="auto"/>
          <w:sz w:val="24"/>
          <w:szCs w:val="24"/>
          <w:highlight w:val="none"/>
          <w:lang w:eastAsia="zh-CN"/>
        </w:rPr>
        <w:t>，</w:t>
      </w:r>
      <w:r>
        <w:rPr>
          <w:rFonts w:hint="eastAsia" w:asciiTheme="minorEastAsia" w:hAnsiTheme="minorEastAsia" w:cstheme="minorEastAsia"/>
          <w:color w:val="auto"/>
          <w:sz w:val="24"/>
          <w:szCs w:val="24"/>
          <w:highlight w:val="none"/>
        </w:rPr>
        <w:t>提供非联合体</w:t>
      </w:r>
      <w:r>
        <w:rPr>
          <w:rFonts w:hint="eastAsia" w:asciiTheme="minorEastAsia" w:hAnsiTheme="minorEastAsia" w:cstheme="minorEastAsia"/>
          <w:color w:val="auto"/>
          <w:sz w:val="24"/>
          <w:szCs w:val="24"/>
          <w:highlight w:val="none"/>
          <w:lang w:val="en-US" w:eastAsia="zh-CN"/>
        </w:rPr>
        <w:t>投标</w:t>
      </w:r>
      <w:r>
        <w:rPr>
          <w:rFonts w:hint="eastAsia" w:asciiTheme="minorEastAsia" w:hAnsiTheme="minorEastAsia" w:cstheme="minorEastAsia"/>
          <w:color w:val="auto"/>
          <w:sz w:val="24"/>
          <w:szCs w:val="24"/>
          <w:highlight w:val="none"/>
        </w:rPr>
        <w:t>承诺，格式自拟。</w:t>
      </w:r>
    </w:p>
    <w:p w14:paraId="4DF269FC">
      <w:pPr>
        <w:widowControl/>
        <w:spacing w:line="360" w:lineRule="auto"/>
        <w:ind w:firstLine="482" w:firstLineChars="200"/>
        <w:jc w:val="left"/>
        <w:rPr>
          <w:rFonts w:ascii="宋体" w:hAnsi="宋体" w:eastAsia="宋体" w:cs="宋体"/>
          <w:b/>
          <w:color w:val="auto"/>
          <w:kern w:val="0"/>
          <w:sz w:val="24"/>
          <w:highlight w:val="none"/>
          <w:lang w:bidi="ar"/>
        </w:rPr>
      </w:pPr>
      <w:r>
        <w:rPr>
          <w:rFonts w:hint="eastAsia" w:ascii="宋体" w:hAnsi="宋体" w:eastAsia="宋体" w:cs="宋体"/>
          <w:b/>
          <w:color w:val="auto"/>
          <w:kern w:val="0"/>
          <w:sz w:val="24"/>
          <w:highlight w:val="none"/>
          <w:lang w:bidi="ar"/>
        </w:rPr>
        <w:t>注：本次磋商实行资格后审，资格评审以投标文件为准，其上传资料真实性由供应商自行承担，同时供应商要完善主体库。</w:t>
      </w:r>
    </w:p>
    <w:p w14:paraId="7194BED6">
      <w:pPr>
        <w:spacing w:line="360" w:lineRule="auto"/>
        <w:ind w:firstLine="566" w:firstLineChars="236"/>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三、获取</w:t>
      </w:r>
      <w:r>
        <w:rPr>
          <w:rFonts w:hint="eastAsia" w:asciiTheme="minorEastAsia" w:hAnsiTheme="minorEastAsia" w:cstheme="minorEastAsia"/>
          <w:color w:val="auto"/>
          <w:sz w:val="24"/>
          <w:szCs w:val="24"/>
          <w:highlight w:val="none"/>
          <w:lang w:val="en-US" w:eastAsia="zh-CN"/>
        </w:rPr>
        <w:t>竞争性磋商</w:t>
      </w:r>
      <w:r>
        <w:rPr>
          <w:rFonts w:hint="eastAsia" w:asciiTheme="minorEastAsia" w:hAnsiTheme="minorEastAsia" w:cstheme="minorEastAsia"/>
          <w:color w:val="auto"/>
          <w:sz w:val="24"/>
          <w:szCs w:val="24"/>
          <w:highlight w:val="none"/>
        </w:rPr>
        <w:t>文件</w:t>
      </w:r>
    </w:p>
    <w:p w14:paraId="016D0272">
      <w:pPr>
        <w:spacing w:line="360" w:lineRule="auto"/>
        <w:ind w:firstLine="566" w:firstLineChars="236"/>
        <w:rPr>
          <w:rFonts w:hint="eastAsia" w:asciiTheme="minorEastAsia" w:hAnsiTheme="minorEastAsia" w:cstheme="minorEastAsia"/>
          <w:color w:val="auto"/>
          <w:sz w:val="24"/>
          <w:szCs w:val="24"/>
          <w:highlight w:val="none"/>
          <w:lang w:val="en-US" w:eastAsia="zh-CN"/>
        </w:rPr>
      </w:pPr>
      <w:r>
        <w:rPr>
          <w:rFonts w:hint="eastAsia" w:asciiTheme="minorEastAsia" w:hAnsiTheme="minorEastAsia" w:cstheme="minorEastAsia"/>
          <w:color w:val="auto"/>
          <w:sz w:val="24"/>
          <w:szCs w:val="24"/>
          <w:highlight w:val="none"/>
          <w:lang w:val="en-US" w:eastAsia="zh-CN"/>
        </w:rPr>
        <w:t>1.时间：2025年2月18日至2025年2月28日，每天上午00:00至12:00，下午12:00至23:59（北京时间，法定节假日除外。）</w:t>
      </w:r>
    </w:p>
    <w:p w14:paraId="50221029">
      <w:pPr>
        <w:spacing w:line="360" w:lineRule="auto"/>
        <w:ind w:firstLine="566" w:firstLineChars="236"/>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2.地点：三门峡市公共资源交易中心网</w:t>
      </w:r>
    </w:p>
    <w:p w14:paraId="114DC8F0">
      <w:pPr>
        <w:spacing w:line="360" w:lineRule="auto"/>
        <w:ind w:firstLine="566" w:firstLineChars="236"/>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3.方式：供应商凭CA数字证书通过三门峡市公共资源交易中心网（网址：http://gzjy.smx.gov.cn/），点击交易平台选择“市场主体登录”，登陆系统后，点击采购业务-业务管理-招标文件领取菜单-点击领取按钮-领取.smxzf格式的电子招标文件。</w:t>
      </w:r>
    </w:p>
    <w:p w14:paraId="27C90915">
      <w:pPr>
        <w:spacing w:line="360" w:lineRule="auto"/>
        <w:ind w:left="643" w:leftChars="268"/>
        <w:jc w:val="left"/>
        <w:rPr>
          <w:rFonts w:asciiTheme="minorEastAsia" w:hAnsiTheme="minorEastAsia" w:cstheme="minorEastAsia"/>
          <w:color w:val="auto"/>
          <w:highlight w:val="none"/>
        </w:rPr>
      </w:pPr>
      <w:r>
        <w:rPr>
          <w:rFonts w:hint="eastAsia" w:asciiTheme="minorEastAsia" w:hAnsiTheme="minorEastAsia" w:cstheme="minorEastAsia"/>
          <w:color w:val="auto"/>
          <w:sz w:val="24"/>
          <w:szCs w:val="24"/>
          <w:highlight w:val="none"/>
        </w:rPr>
        <w:t>办理CA证书：http://gzjy.smx.gov.cn/bzzx/008001/20231102/4defc9b5-408e-47f2-9e9f-1f376a06ee1f.html</w:t>
      </w:r>
    </w:p>
    <w:p w14:paraId="5BF9735F">
      <w:pPr>
        <w:spacing w:line="360" w:lineRule="auto"/>
        <w:ind w:firstLine="566" w:firstLineChars="236"/>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4.售价：0元</w:t>
      </w:r>
    </w:p>
    <w:p w14:paraId="021BC855">
      <w:pPr>
        <w:spacing w:line="360" w:lineRule="auto"/>
        <w:ind w:firstLine="566" w:firstLineChars="236"/>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四、投标截止时间(投标文件递交截止时间)及地点</w:t>
      </w:r>
    </w:p>
    <w:p w14:paraId="4E201E7C">
      <w:pPr>
        <w:spacing w:line="360" w:lineRule="auto"/>
        <w:ind w:firstLine="566" w:firstLineChars="236"/>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1.时间：</w:t>
      </w:r>
      <w:r>
        <w:rPr>
          <w:rFonts w:hint="eastAsia" w:asciiTheme="minorEastAsia" w:hAnsiTheme="minorEastAsia" w:cstheme="minorEastAsia"/>
          <w:color w:val="auto"/>
          <w:sz w:val="24"/>
          <w:szCs w:val="24"/>
          <w:highlight w:val="none"/>
          <w:lang w:eastAsia="zh-CN"/>
        </w:rPr>
        <w:t>2025年</w:t>
      </w:r>
      <w:r>
        <w:rPr>
          <w:rFonts w:hint="eastAsia" w:asciiTheme="minorEastAsia" w:hAnsiTheme="minorEastAsia" w:cstheme="minorEastAsia"/>
          <w:color w:val="auto"/>
          <w:sz w:val="24"/>
          <w:szCs w:val="24"/>
          <w:highlight w:val="none"/>
          <w:lang w:val="en-US" w:eastAsia="zh-CN"/>
        </w:rPr>
        <w:t>2</w:t>
      </w:r>
      <w:r>
        <w:rPr>
          <w:rFonts w:hint="eastAsia" w:asciiTheme="minorEastAsia" w:hAnsiTheme="minorEastAsia" w:cstheme="minorEastAsia"/>
          <w:color w:val="auto"/>
          <w:sz w:val="24"/>
          <w:szCs w:val="24"/>
          <w:highlight w:val="none"/>
        </w:rPr>
        <w:t>月</w:t>
      </w:r>
      <w:r>
        <w:rPr>
          <w:rFonts w:hint="eastAsia" w:asciiTheme="minorEastAsia" w:hAnsiTheme="minorEastAsia" w:cstheme="minorEastAsia"/>
          <w:color w:val="auto"/>
          <w:sz w:val="24"/>
          <w:szCs w:val="24"/>
          <w:highlight w:val="none"/>
          <w:lang w:val="en-US" w:eastAsia="zh-CN"/>
        </w:rPr>
        <w:t>28</w:t>
      </w:r>
      <w:r>
        <w:rPr>
          <w:rFonts w:hint="eastAsia" w:asciiTheme="minorEastAsia" w:hAnsiTheme="minorEastAsia" w:cstheme="minorEastAsia"/>
          <w:color w:val="auto"/>
          <w:sz w:val="24"/>
          <w:szCs w:val="24"/>
          <w:highlight w:val="none"/>
        </w:rPr>
        <w:t>日0</w:t>
      </w:r>
      <w:r>
        <w:rPr>
          <w:rFonts w:hint="eastAsia" w:asciiTheme="minorEastAsia" w:hAnsiTheme="minorEastAsia" w:cstheme="minorEastAsia"/>
          <w:color w:val="auto"/>
          <w:sz w:val="24"/>
          <w:szCs w:val="24"/>
          <w:highlight w:val="none"/>
          <w:lang w:val="en-US" w:eastAsia="zh-CN"/>
        </w:rPr>
        <w:t>8</w:t>
      </w:r>
      <w:r>
        <w:rPr>
          <w:rFonts w:hint="eastAsia" w:asciiTheme="minorEastAsia" w:hAnsiTheme="minorEastAsia" w:cstheme="minorEastAsia"/>
          <w:color w:val="auto"/>
          <w:sz w:val="24"/>
          <w:szCs w:val="24"/>
          <w:highlight w:val="none"/>
        </w:rPr>
        <w:t>时</w:t>
      </w:r>
      <w:r>
        <w:rPr>
          <w:rFonts w:hint="eastAsia" w:asciiTheme="minorEastAsia" w:hAnsiTheme="minorEastAsia" w:cstheme="minorEastAsia"/>
          <w:color w:val="auto"/>
          <w:sz w:val="24"/>
          <w:szCs w:val="24"/>
          <w:highlight w:val="none"/>
          <w:lang w:val="en-US" w:eastAsia="zh-CN"/>
        </w:rPr>
        <w:t>2</w:t>
      </w:r>
      <w:r>
        <w:rPr>
          <w:rFonts w:hint="eastAsia" w:asciiTheme="minorEastAsia" w:hAnsiTheme="minorEastAsia" w:cstheme="minorEastAsia"/>
          <w:color w:val="auto"/>
          <w:sz w:val="24"/>
          <w:szCs w:val="24"/>
          <w:highlight w:val="none"/>
        </w:rPr>
        <w:t>0分。</w:t>
      </w:r>
    </w:p>
    <w:p w14:paraId="7C7197CD">
      <w:pPr>
        <w:spacing w:line="360" w:lineRule="auto"/>
        <w:ind w:firstLine="566" w:firstLineChars="236"/>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2.地点：加密电子投标文件须在投标截止时间前通过三门峡市公共资源交易中心电子交易平台加密上传。</w:t>
      </w:r>
    </w:p>
    <w:p w14:paraId="6FA1BD15">
      <w:pPr>
        <w:spacing w:line="360" w:lineRule="auto"/>
        <w:ind w:firstLine="566" w:firstLineChars="236"/>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五、开标时间及地点</w:t>
      </w:r>
    </w:p>
    <w:p w14:paraId="565CD65C">
      <w:pPr>
        <w:spacing w:line="360" w:lineRule="auto"/>
        <w:ind w:firstLine="566" w:firstLineChars="236"/>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1.时间：</w:t>
      </w:r>
      <w:r>
        <w:rPr>
          <w:rFonts w:hint="eastAsia" w:asciiTheme="minorEastAsia" w:hAnsiTheme="minorEastAsia" w:cstheme="minorEastAsia"/>
          <w:color w:val="auto"/>
          <w:sz w:val="24"/>
          <w:szCs w:val="24"/>
          <w:highlight w:val="none"/>
          <w:lang w:eastAsia="zh-CN"/>
        </w:rPr>
        <w:t>2025年</w:t>
      </w:r>
      <w:r>
        <w:rPr>
          <w:rFonts w:hint="eastAsia" w:asciiTheme="minorEastAsia" w:hAnsiTheme="minorEastAsia" w:cstheme="minorEastAsia"/>
          <w:color w:val="auto"/>
          <w:sz w:val="24"/>
          <w:szCs w:val="24"/>
          <w:highlight w:val="none"/>
          <w:lang w:val="en-US" w:eastAsia="zh-CN"/>
        </w:rPr>
        <w:t>2</w:t>
      </w:r>
      <w:r>
        <w:rPr>
          <w:rFonts w:hint="eastAsia" w:asciiTheme="minorEastAsia" w:hAnsiTheme="minorEastAsia" w:cstheme="minorEastAsia"/>
          <w:color w:val="auto"/>
          <w:sz w:val="24"/>
          <w:szCs w:val="24"/>
          <w:highlight w:val="none"/>
        </w:rPr>
        <w:t>月</w:t>
      </w:r>
      <w:r>
        <w:rPr>
          <w:rFonts w:hint="eastAsia" w:asciiTheme="minorEastAsia" w:hAnsiTheme="minorEastAsia" w:cstheme="minorEastAsia"/>
          <w:color w:val="auto"/>
          <w:sz w:val="24"/>
          <w:szCs w:val="24"/>
          <w:highlight w:val="none"/>
          <w:lang w:val="en-US" w:eastAsia="zh-CN"/>
        </w:rPr>
        <w:t>28</w:t>
      </w:r>
      <w:r>
        <w:rPr>
          <w:rFonts w:hint="eastAsia" w:asciiTheme="minorEastAsia" w:hAnsiTheme="minorEastAsia" w:cstheme="minorEastAsia"/>
          <w:color w:val="auto"/>
          <w:sz w:val="24"/>
          <w:szCs w:val="24"/>
          <w:highlight w:val="none"/>
        </w:rPr>
        <w:t>日0</w:t>
      </w:r>
      <w:r>
        <w:rPr>
          <w:rFonts w:hint="eastAsia" w:asciiTheme="minorEastAsia" w:hAnsiTheme="minorEastAsia" w:cstheme="minorEastAsia"/>
          <w:color w:val="auto"/>
          <w:sz w:val="24"/>
          <w:szCs w:val="24"/>
          <w:highlight w:val="none"/>
          <w:lang w:val="en-US" w:eastAsia="zh-CN"/>
        </w:rPr>
        <w:t>8</w:t>
      </w:r>
      <w:r>
        <w:rPr>
          <w:rFonts w:hint="eastAsia" w:asciiTheme="minorEastAsia" w:hAnsiTheme="minorEastAsia" w:cstheme="minorEastAsia"/>
          <w:color w:val="auto"/>
          <w:sz w:val="24"/>
          <w:szCs w:val="24"/>
          <w:highlight w:val="none"/>
        </w:rPr>
        <w:t>时</w:t>
      </w:r>
      <w:r>
        <w:rPr>
          <w:rFonts w:hint="eastAsia" w:asciiTheme="minorEastAsia" w:hAnsiTheme="minorEastAsia" w:cstheme="minorEastAsia"/>
          <w:color w:val="auto"/>
          <w:sz w:val="24"/>
          <w:szCs w:val="24"/>
          <w:highlight w:val="none"/>
          <w:lang w:val="en-US" w:eastAsia="zh-CN"/>
        </w:rPr>
        <w:t>2</w:t>
      </w:r>
      <w:r>
        <w:rPr>
          <w:rFonts w:hint="eastAsia" w:asciiTheme="minorEastAsia" w:hAnsiTheme="minorEastAsia" w:cstheme="minorEastAsia"/>
          <w:color w:val="auto"/>
          <w:sz w:val="24"/>
          <w:szCs w:val="24"/>
          <w:highlight w:val="none"/>
        </w:rPr>
        <w:t>0分。</w:t>
      </w:r>
    </w:p>
    <w:p w14:paraId="4B1A573C">
      <w:pPr>
        <w:spacing w:line="360" w:lineRule="auto"/>
        <w:ind w:firstLine="566" w:firstLineChars="236"/>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cstheme="minorEastAsia"/>
          <w:color w:val="auto"/>
          <w:sz w:val="24"/>
          <w:szCs w:val="24"/>
          <w:highlight w:val="none"/>
        </w:rPr>
        <w:t>2.地点：</w:t>
      </w:r>
      <w:r>
        <w:rPr>
          <w:rFonts w:hint="eastAsia" w:asciiTheme="minorEastAsia" w:hAnsiTheme="minorEastAsia" w:cstheme="minorEastAsia"/>
          <w:color w:val="auto"/>
          <w:sz w:val="24"/>
          <w:szCs w:val="24"/>
          <w:highlight w:val="none"/>
          <w:lang w:val="en-US" w:eastAsia="zh-CN"/>
        </w:rPr>
        <w:t>渑池县公共资源交易中心六楼开标二室</w:t>
      </w:r>
    </w:p>
    <w:p w14:paraId="6546EE9A">
      <w:pPr>
        <w:spacing w:line="360" w:lineRule="auto"/>
        <w:ind w:firstLine="566" w:firstLineChars="236"/>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六、发布公告的媒介</w:t>
      </w:r>
    </w:p>
    <w:p w14:paraId="62B32D34">
      <w:pPr>
        <w:spacing w:line="360" w:lineRule="auto"/>
        <w:ind w:firstLine="566" w:firstLineChars="236"/>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本次公告在</w:t>
      </w:r>
      <w:r>
        <w:rPr>
          <w:rFonts w:hint="eastAsia" w:asciiTheme="minorEastAsia" w:hAnsiTheme="minorEastAsia" w:cstheme="minorEastAsia"/>
          <w:color w:val="auto"/>
          <w:sz w:val="24"/>
          <w:szCs w:val="24"/>
          <w:highlight w:val="none"/>
          <w:lang w:val="en-US" w:eastAsia="zh-CN"/>
        </w:rPr>
        <w:t>《</w:t>
      </w:r>
      <w:r>
        <w:rPr>
          <w:rFonts w:hint="eastAsia" w:ascii="宋体" w:hAnsi="宋体" w:cs="Calibri"/>
          <w:color w:val="auto"/>
          <w:kern w:val="0"/>
          <w:sz w:val="24"/>
          <w:highlight w:val="none"/>
          <w:lang w:eastAsia="zh-CN"/>
        </w:rPr>
        <w:t>中国采购与招标网</w:t>
      </w:r>
      <w:r>
        <w:rPr>
          <w:rFonts w:hint="eastAsia" w:asciiTheme="minorEastAsia" w:hAnsiTheme="minorEastAsia" w:cstheme="minorEastAsia"/>
          <w:color w:val="auto"/>
          <w:sz w:val="24"/>
          <w:szCs w:val="24"/>
          <w:highlight w:val="none"/>
          <w:lang w:val="en-US" w:eastAsia="zh-CN"/>
        </w:rPr>
        <w:t>》</w:t>
      </w:r>
      <w:r>
        <w:rPr>
          <w:rFonts w:hint="eastAsia" w:asciiTheme="minorEastAsia" w:hAnsiTheme="minorEastAsia" w:cstheme="minorEastAsia"/>
          <w:color w:val="auto"/>
          <w:sz w:val="24"/>
          <w:szCs w:val="24"/>
          <w:highlight w:val="none"/>
        </w:rPr>
        <w:t>、</w:t>
      </w:r>
      <w:r>
        <w:rPr>
          <w:rFonts w:hint="eastAsia" w:asciiTheme="minorEastAsia" w:hAnsiTheme="minorEastAsia" w:cstheme="minorEastAsia"/>
          <w:color w:val="auto"/>
          <w:sz w:val="24"/>
          <w:szCs w:val="24"/>
          <w:highlight w:val="none"/>
          <w:lang w:eastAsia="zh-CN"/>
        </w:rPr>
        <w:t>《</w:t>
      </w:r>
      <w:r>
        <w:rPr>
          <w:rFonts w:hint="eastAsia" w:asciiTheme="minorEastAsia" w:hAnsiTheme="minorEastAsia" w:cstheme="minorEastAsia"/>
          <w:color w:val="auto"/>
          <w:sz w:val="24"/>
          <w:szCs w:val="24"/>
          <w:highlight w:val="none"/>
          <w:lang w:val="en-US" w:eastAsia="zh-CN"/>
        </w:rPr>
        <w:t>河南省政府采购网</w:t>
      </w:r>
      <w:r>
        <w:rPr>
          <w:rFonts w:hint="eastAsia" w:asciiTheme="minorEastAsia" w:hAnsiTheme="minorEastAsia" w:cstheme="minorEastAsia"/>
          <w:color w:val="auto"/>
          <w:sz w:val="24"/>
          <w:szCs w:val="24"/>
          <w:highlight w:val="none"/>
          <w:lang w:eastAsia="zh-CN"/>
        </w:rPr>
        <w:t>》、</w:t>
      </w:r>
      <w:r>
        <w:rPr>
          <w:rFonts w:hint="eastAsia" w:asciiTheme="minorEastAsia" w:hAnsiTheme="minorEastAsia" w:cstheme="minorEastAsia"/>
          <w:color w:val="auto"/>
          <w:sz w:val="24"/>
          <w:szCs w:val="24"/>
          <w:highlight w:val="none"/>
        </w:rPr>
        <w:t>《三门峡市公共资源交易中心》上发布。</w:t>
      </w:r>
    </w:p>
    <w:p w14:paraId="642AF508">
      <w:pPr>
        <w:spacing w:line="360" w:lineRule="auto"/>
        <w:ind w:firstLine="566" w:firstLineChars="236"/>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七、其他补充事宜</w:t>
      </w:r>
    </w:p>
    <w:p w14:paraId="10AEDC71">
      <w:pPr>
        <w:spacing w:line="360" w:lineRule="auto"/>
        <w:ind w:firstLine="484" w:firstLineChars="202"/>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1.本项目为不见面开标项目，开标当日，供应商无需到开标现场参加开标会议，供应商应当在投标截止时间前，登陆不见面开标大厅选择登陆三门峡市公共资源电子招投标系统进行登陆（网址为</w:t>
      </w:r>
      <w:r>
        <w:rPr>
          <w:rFonts w:asciiTheme="minorEastAsia" w:hAnsiTheme="minorEastAsia" w:cstheme="minorEastAsia"/>
          <w:color w:val="auto"/>
          <w:sz w:val="24"/>
          <w:szCs w:val="24"/>
          <w:highlight w:val="none"/>
        </w:rPr>
        <w:t>http://120.194.249.36:10094/BidOpening/bidopeninghallaction/hall/login</w:t>
      </w:r>
      <w:r>
        <w:rPr>
          <w:rFonts w:hint="eastAsia" w:asciiTheme="minorEastAsia" w:hAnsiTheme="minorEastAsia" w:cstheme="minorEastAsia"/>
          <w:color w:val="auto"/>
          <w:sz w:val="24"/>
          <w:szCs w:val="24"/>
          <w:highlight w:val="none"/>
        </w:rPr>
        <w:t>）,在线准时参加开标活动并进行投标文件解密等。每位供应商的解密时间为开标时间起30分钟内完成。因供应商原因未能解密、解密失败或解密超时的将被拒绝。</w:t>
      </w:r>
    </w:p>
    <w:p w14:paraId="6787799B">
      <w:pPr>
        <w:spacing w:line="360" w:lineRule="auto"/>
        <w:ind w:firstLine="484" w:firstLineChars="202"/>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2.本项目为电子化、无纸化交易项目，开标时不再接受任何纸质资料，为保证您能投标成功，请需仔细阅读招标文件和三门峡市公共资源交易中心官网业务办理指南。</w:t>
      </w:r>
    </w:p>
    <w:p w14:paraId="20A5A93B">
      <w:pPr>
        <w:spacing w:line="360" w:lineRule="auto"/>
        <w:ind w:firstLine="484" w:firstLineChars="202"/>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3.根据《河南省财政厅关于优化政府采购营商环境有关问题的通知》（豫财购【2019】4号）第6条的规定，投标保证金不再收取。</w:t>
      </w:r>
    </w:p>
    <w:p w14:paraId="747068B0">
      <w:pPr>
        <w:spacing w:line="360" w:lineRule="auto"/>
        <w:ind w:firstLine="484" w:firstLineChars="202"/>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4.</w:t>
      </w:r>
      <w:r>
        <w:rPr>
          <w:rFonts w:hint="eastAsia"/>
          <w:color w:val="auto"/>
          <w:sz w:val="24"/>
          <w:szCs w:val="24"/>
          <w:highlight w:val="none"/>
        </w:rPr>
        <w:t xml:space="preserve"> </w:t>
      </w:r>
      <w:r>
        <w:rPr>
          <w:rFonts w:hint="eastAsia" w:asciiTheme="minorEastAsia" w:hAnsiTheme="minorEastAsia" w:cstheme="minorEastAsia"/>
          <w:color w:val="auto"/>
          <w:sz w:val="24"/>
          <w:szCs w:val="24"/>
          <w:highlight w:val="none"/>
        </w:rPr>
        <w:t>资格评（预）审部分：资格评（预）以投标文件为准，其上传资料真实性由</w:t>
      </w:r>
      <w:r>
        <w:rPr>
          <w:rFonts w:hint="eastAsia" w:asciiTheme="minorEastAsia" w:hAnsiTheme="minorEastAsia" w:cstheme="minorEastAsia"/>
          <w:color w:val="auto"/>
          <w:sz w:val="24"/>
          <w:szCs w:val="24"/>
          <w:highlight w:val="none"/>
          <w:lang w:eastAsia="zh-CN"/>
        </w:rPr>
        <w:t>供应商</w:t>
      </w:r>
      <w:r>
        <w:rPr>
          <w:rFonts w:hint="eastAsia" w:asciiTheme="minorEastAsia" w:hAnsiTheme="minorEastAsia" w:cstheme="minorEastAsia"/>
          <w:color w:val="auto"/>
          <w:sz w:val="24"/>
          <w:szCs w:val="24"/>
          <w:highlight w:val="none"/>
        </w:rPr>
        <w:t>自行承担。同时，</w:t>
      </w:r>
      <w:r>
        <w:rPr>
          <w:rFonts w:hint="eastAsia" w:asciiTheme="minorEastAsia" w:hAnsiTheme="minorEastAsia" w:cstheme="minorEastAsia"/>
          <w:color w:val="auto"/>
          <w:sz w:val="24"/>
          <w:szCs w:val="24"/>
          <w:highlight w:val="none"/>
          <w:lang w:eastAsia="zh-CN"/>
        </w:rPr>
        <w:t>供应商</w:t>
      </w:r>
      <w:r>
        <w:rPr>
          <w:rFonts w:hint="eastAsia" w:asciiTheme="minorEastAsia" w:hAnsiTheme="minorEastAsia" w:cstheme="minorEastAsia"/>
          <w:color w:val="auto"/>
          <w:sz w:val="24"/>
          <w:szCs w:val="24"/>
          <w:highlight w:val="none"/>
        </w:rPr>
        <w:t>应在开标前自行完善主体库信息。</w:t>
      </w:r>
    </w:p>
    <w:p w14:paraId="7B8F83CF">
      <w:pPr>
        <w:spacing w:line="360" w:lineRule="auto"/>
        <w:ind w:firstLine="484" w:firstLineChars="202"/>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5.评标打分部分：评标打分部分仍按照100分制原则进行，涉及到资格审查、企业荣誉、企业业绩等计分部分时，以投标单位自行上传到投标文件中的相应内容为准。</w:t>
      </w:r>
    </w:p>
    <w:p w14:paraId="45247A2C">
      <w:pPr>
        <w:spacing w:line="360" w:lineRule="auto"/>
        <w:ind w:firstLine="484" w:firstLineChars="202"/>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6.在招标文件中要求供应商按照投标文件格式进行投标文件编制，在投标文件编制时，应明确将供应商企业基本情况、人员情况、财务情况、业绩情况编入投标文件，便于进行资格审查及评标打分。</w:t>
      </w:r>
    </w:p>
    <w:p w14:paraId="2007EE15">
      <w:pPr>
        <w:spacing w:line="360" w:lineRule="auto"/>
        <w:ind w:firstLine="484" w:firstLineChars="202"/>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7.我单位（采购人）严格按三财购【2021】9号文要求的时限发布中标结果公告，发出中标通知书，签订采购合同，上传采购合同。</w:t>
      </w:r>
    </w:p>
    <w:p w14:paraId="34D731E8">
      <w:pPr>
        <w:spacing w:line="360" w:lineRule="auto"/>
        <w:ind w:firstLine="484" w:firstLineChars="202"/>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八、凡对本次招标提出询问，请按照以下方式联系</w:t>
      </w:r>
    </w:p>
    <w:p w14:paraId="069C7522">
      <w:pPr>
        <w:spacing w:line="360" w:lineRule="auto"/>
        <w:ind w:firstLine="484" w:firstLineChars="202"/>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1、</w:t>
      </w:r>
      <w:bookmarkStart w:id="73" w:name="_Hlk139302531"/>
      <w:r>
        <w:rPr>
          <w:rFonts w:hint="eastAsia" w:asciiTheme="minorEastAsia" w:hAnsiTheme="minorEastAsia" w:cstheme="minorEastAsia"/>
          <w:color w:val="auto"/>
          <w:sz w:val="24"/>
          <w:szCs w:val="24"/>
          <w:highlight w:val="none"/>
        </w:rPr>
        <w:t>监督单位：渑池县政府采购办公室</w:t>
      </w:r>
      <w:bookmarkEnd w:id="73"/>
    </w:p>
    <w:p w14:paraId="392C9C91">
      <w:pPr>
        <w:spacing w:line="360" w:lineRule="auto"/>
        <w:ind w:firstLine="484" w:firstLineChars="202"/>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联系方式：</w:t>
      </w:r>
      <w:bookmarkStart w:id="74" w:name="_Hlk139302540"/>
      <w:r>
        <w:rPr>
          <w:rFonts w:hint="eastAsia" w:asciiTheme="minorEastAsia" w:hAnsiTheme="minorEastAsia" w:cstheme="minorEastAsia"/>
          <w:color w:val="auto"/>
          <w:sz w:val="24"/>
          <w:szCs w:val="24"/>
          <w:highlight w:val="none"/>
        </w:rPr>
        <w:t>0398-4818677</w:t>
      </w:r>
      <w:bookmarkEnd w:id="74"/>
    </w:p>
    <w:p w14:paraId="61AA207A">
      <w:pPr>
        <w:spacing w:line="360" w:lineRule="auto"/>
        <w:ind w:firstLine="420" w:firstLineChars="175"/>
        <w:rPr>
          <w:rFonts w:hint="eastAsia" w:asciiTheme="minorEastAsia" w:hAnsiTheme="minorEastAsia" w:cstheme="minorEastAsia"/>
          <w:color w:val="auto"/>
          <w:sz w:val="24"/>
          <w:szCs w:val="24"/>
          <w:highlight w:val="none"/>
        </w:rPr>
      </w:pPr>
      <w:bookmarkStart w:id="75" w:name="_Toc8198"/>
      <w:bookmarkStart w:id="76" w:name="_Toc27640"/>
      <w:r>
        <w:rPr>
          <w:rFonts w:hint="eastAsia" w:asciiTheme="minorEastAsia" w:hAnsiTheme="minorEastAsia" w:cstheme="minorEastAsia"/>
          <w:color w:val="auto"/>
          <w:sz w:val="24"/>
          <w:szCs w:val="24"/>
          <w:highlight w:val="none"/>
        </w:rPr>
        <w:t>2、</w:t>
      </w:r>
      <w:bookmarkEnd w:id="75"/>
      <w:bookmarkEnd w:id="76"/>
      <w:bookmarkStart w:id="77" w:name="_Toc6612"/>
      <w:r>
        <w:rPr>
          <w:rFonts w:hint="eastAsia" w:asciiTheme="minorEastAsia" w:hAnsiTheme="minorEastAsia" w:cstheme="minorEastAsia"/>
          <w:color w:val="auto"/>
          <w:sz w:val="24"/>
          <w:szCs w:val="24"/>
          <w:highlight w:val="none"/>
        </w:rPr>
        <w:t>采 购 人：</w:t>
      </w:r>
      <w:bookmarkStart w:id="78" w:name="_Toc15139"/>
      <w:bookmarkEnd w:id="78"/>
      <w:r>
        <w:rPr>
          <w:rFonts w:hint="eastAsia" w:asciiTheme="minorEastAsia" w:hAnsiTheme="minorEastAsia" w:cstheme="minorEastAsia"/>
          <w:color w:val="auto"/>
          <w:sz w:val="24"/>
          <w:szCs w:val="24"/>
          <w:highlight w:val="none"/>
          <w:lang w:eastAsia="zh-CN"/>
        </w:rPr>
        <w:t>渑池县中医院</w:t>
      </w:r>
      <w:r>
        <w:rPr>
          <w:rFonts w:hint="eastAsia" w:asciiTheme="minorEastAsia" w:hAnsiTheme="minorEastAsia" w:cstheme="minorEastAsia"/>
          <w:color w:val="auto"/>
          <w:sz w:val="24"/>
          <w:szCs w:val="24"/>
          <w:highlight w:val="none"/>
        </w:rPr>
        <w:t> </w:t>
      </w:r>
    </w:p>
    <w:p w14:paraId="315C2FD1">
      <w:pPr>
        <w:spacing w:line="360" w:lineRule="auto"/>
        <w:ind w:firstLine="420" w:firstLineChars="175"/>
        <w:rPr>
          <w:rFonts w:hint="eastAsia" w:eastAsia="宋体" w:asciiTheme="minorEastAsia" w:hAnsiTheme="minorEastAsia" w:cstheme="minorEastAsia"/>
          <w:color w:val="auto"/>
          <w:sz w:val="24"/>
          <w:szCs w:val="24"/>
          <w:highlight w:val="none"/>
          <w:lang w:eastAsia="zh-CN"/>
        </w:rPr>
      </w:pPr>
      <w:r>
        <w:rPr>
          <w:rFonts w:hint="eastAsia" w:asciiTheme="minorEastAsia" w:hAnsiTheme="minorEastAsia" w:cstheme="minorEastAsia"/>
          <w:color w:val="auto"/>
          <w:sz w:val="24"/>
          <w:szCs w:val="24"/>
          <w:highlight w:val="none"/>
        </w:rPr>
        <w:t>地    址：</w:t>
      </w:r>
      <w:r>
        <w:rPr>
          <w:rFonts w:hint="eastAsia" w:asciiTheme="minorEastAsia" w:hAnsiTheme="minorEastAsia" w:cstheme="minorEastAsia"/>
          <w:color w:val="auto"/>
          <w:sz w:val="24"/>
          <w:szCs w:val="24"/>
          <w:highlight w:val="none"/>
          <w:lang w:eastAsia="zh-CN"/>
        </w:rPr>
        <w:t>渑池县韶州路</w:t>
      </w:r>
    </w:p>
    <w:p w14:paraId="2F16AB62">
      <w:pPr>
        <w:spacing w:line="360" w:lineRule="auto"/>
        <w:ind w:firstLine="420" w:firstLineChars="175"/>
        <w:rPr>
          <w:rFonts w:hint="eastAsia" w:asciiTheme="minorEastAsia" w:hAnsiTheme="minorEastAsia" w:cstheme="minorEastAsia"/>
          <w:color w:val="auto"/>
          <w:sz w:val="24"/>
          <w:szCs w:val="24"/>
          <w:highlight w:val="none"/>
          <w:lang w:val="en-US" w:eastAsia="zh-CN"/>
        </w:rPr>
      </w:pPr>
      <w:r>
        <w:rPr>
          <w:rFonts w:hint="eastAsia" w:asciiTheme="minorEastAsia" w:hAnsiTheme="minorEastAsia" w:cstheme="minorEastAsia"/>
          <w:color w:val="auto"/>
          <w:sz w:val="24"/>
          <w:szCs w:val="24"/>
          <w:highlight w:val="none"/>
          <w:lang w:val="en-US" w:eastAsia="zh-CN"/>
        </w:rPr>
        <w:t xml:space="preserve">联 系 人：郭女士  </w:t>
      </w:r>
    </w:p>
    <w:p w14:paraId="03BDF16B">
      <w:pPr>
        <w:spacing w:line="360" w:lineRule="auto"/>
        <w:ind w:firstLine="420" w:firstLineChars="175"/>
        <w:rPr>
          <w:rFonts w:hint="eastAsia" w:asciiTheme="minorEastAsia" w:hAnsiTheme="minorEastAsia" w:cstheme="minorEastAsia"/>
          <w:color w:val="auto"/>
          <w:sz w:val="24"/>
          <w:szCs w:val="24"/>
          <w:highlight w:val="none"/>
          <w:lang w:val="en-US" w:eastAsia="zh-CN"/>
        </w:rPr>
      </w:pPr>
      <w:r>
        <w:rPr>
          <w:rFonts w:hint="eastAsia" w:asciiTheme="minorEastAsia" w:hAnsiTheme="minorEastAsia" w:cstheme="minorEastAsia"/>
          <w:color w:val="auto"/>
          <w:sz w:val="24"/>
          <w:szCs w:val="24"/>
          <w:highlight w:val="none"/>
          <w:lang w:val="en-US" w:eastAsia="zh-CN"/>
        </w:rPr>
        <w:t xml:space="preserve">联系电话：15516280710 </w:t>
      </w:r>
    </w:p>
    <w:p w14:paraId="36C2BD3A">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Theme="minorEastAsia" w:hAnsiTheme="minorEastAsia" w:cstheme="minorEastAsia"/>
          <w:color w:val="auto"/>
          <w:sz w:val="24"/>
          <w:szCs w:val="24"/>
          <w:highlight w:val="none"/>
        </w:rPr>
        <w:t>3、</w:t>
      </w:r>
      <w:bookmarkEnd w:id="77"/>
      <w:r>
        <w:rPr>
          <w:rFonts w:hint="eastAsia" w:ascii="宋体" w:hAnsi="宋体" w:eastAsia="宋体" w:cs="宋体"/>
          <w:color w:val="auto"/>
          <w:sz w:val="24"/>
          <w:szCs w:val="24"/>
          <w:highlight w:val="none"/>
          <w:lang w:eastAsia="zh-CN"/>
        </w:rPr>
        <w:t>代理机构：中基建安工程管理有限公司</w:t>
      </w:r>
    </w:p>
    <w:p w14:paraId="65FA3621">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地    址：河南自贸试验区郑州片区（郑东）心怡路319号易元国际B座1624号</w:t>
      </w:r>
    </w:p>
    <w:p w14:paraId="7E37CEA0">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联 系 人：</w:t>
      </w:r>
      <w:r>
        <w:rPr>
          <w:rFonts w:hint="eastAsia" w:ascii="宋体" w:hAnsi="宋体" w:eastAsia="宋体" w:cs="宋体"/>
          <w:color w:val="auto"/>
          <w:sz w:val="24"/>
          <w:szCs w:val="24"/>
          <w:highlight w:val="none"/>
          <w:lang w:val="en-US" w:eastAsia="zh-CN"/>
        </w:rPr>
        <w:t>李女士</w:t>
      </w:r>
      <w:r>
        <w:rPr>
          <w:rFonts w:hint="eastAsia" w:ascii="宋体" w:hAnsi="宋体" w:eastAsia="宋体" w:cs="宋体"/>
          <w:color w:val="auto"/>
          <w:sz w:val="24"/>
          <w:szCs w:val="24"/>
          <w:highlight w:val="none"/>
          <w:lang w:eastAsia="zh-CN"/>
        </w:rPr>
        <w:t xml:space="preserve">       </w:t>
      </w:r>
    </w:p>
    <w:p w14:paraId="37E8462F">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联系电话：18703809283</w:t>
      </w:r>
    </w:p>
    <w:p w14:paraId="38A19F7B">
      <w:pPr>
        <w:spacing w:line="360" w:lineRule="auto"/>
        <w:ind w:firstLine="420" w:firstLineChars="175"/>
        <w:rPr>
          <w:rFonts w:hint="eastAsia" w:ascii="宋体" w:hAnsi="宋体" w:cs="宋体"/>
          <w:color w:val="auto"/>
          <w:sz w:val="24"/>
          <w:szCs w:val="24"/>
          <w:highlight w:val="none"/>
          <w:lang w:val="en-US" w:eastAsia="zh-CN"/>
        </w:rPr>
      </w:pPr>
    </w:p>
    <w:p w14:paraId="1D02FEAA">
      <w:pPr>
        <w:rPr>
          <w:color w:val="auto"/>
          <w:highlight w:val="none"/>
        </w:rPr>
      </w:pPr>
    </w:p>
    <w:p w14:paraId="7EF63062">
      <w:pPr>
        <w:rPr>
          <w:rFonts w:hint="eastAsia" w:ascii="宋体" w:hAnsi="宋体" w:cs="宋体"/>
          <w:color w:val="auto"/>
          <w:sz w:val="40"/>
          <w:szCs w:val="32"/>
          <w:highlight w:val="none"/>
        </w:rPr>
      </w:pPr>
      <w:r>
        <w:rPr>
          <w:rFonts w:hint="eastAsia" w:ascii="宋体" w:hAnsi="宋体" w:cs="宋体"/>
          <w:color w:val="auto"/>
          <w:sz w:val="40"/>
          <w:szCs w:val="32"/>
          <w:highlight w:val="none"/>
        </w:rPr>
        <w:br w:type="page"/>
      </w:r>
    </w:p>
    <w:p w14:paraId="7D80BD36">
      <w:pPr>
        <w:pStyle w:val="3"/>
        <w:wordWrap w:val="0"/>
        <w:jc w:val="center"/>
        <w:rPr>
          <w:rFonts w:hint="eastAsia" w:ascii="宋体" w:hAnsi="宋体" w:cs="宋体"/>
          <w:color w:val="auto"/>
          <w:sz w:val="32"/>
          <w:highlight w:val="none"/>
        </w:rPr>
      </w:pPr>
      <w:r>
        <w:rPr>
          <w:rFonts w:hint="eastAsia" w:ascii="宋体" w:hAnsi="宋体" w:cs="宋体"/>
          <w:color w:val="auto"/>
          <w:sz w:val="40"/>
          <w:szCs w:val="32"/>
          <w:highlight w:val="none"/>
        </w:rPr>
        <w:t>第二章 供应商须知</w:t>
      </w:r>
      <w:bookmarkEnd w:id="71"/>
    </w:p>
    <w:p w14:paraId="0C54A598">
      <w:pPr>
        <w:widowControl/>
        <w:wordWrap w:val="0"/>
        <w:spacing w:line="240" w:lineRule="auto"/>
        <w:jc w:val="center"/>
        <w:rPr>
          <w:rFonts w:hint="eastAsia" w:ascii="宋体" w:hAnsi="宋体" w:cs="宋体"/>
          <w:b/>
          <w:color w:val="auto"/>
          <w:highlight w:val="none"/>
        </w:rPr>
      </w:pPr>
      <w:bookmarkStart w:id="79" w:name="_Toc44996337"/>
      <w:bookmarkEnd w:id="79"/>
      <w:r>
        <w:rPr>
          <w:rFonts w:hint="eastAsia" w:ascii="宋体" w:hAnsi="宋体" w:cs="宋体"/>
          <w:b/>
          <w:color w:val="auto"/>
          <w:highlight w:val="none"/>
        </w:rPr>
        <w:t>供应商须知前附表</w:t>
      </w:r>
    </w:p>
    <w:tbl>
      <w:tblPr>
        <w:tblStyle w:val="17"/>
        <w:tblW w:w="9120" w:type="dxa"/>
        <w:jc w:val="center"/>
        <w:tblLayout w:type="fixed"/>
        <w:tblCellMar>
          <w:top w:w="0" w:type="dxa"/>
          <w:left w:w="108" w:type="dxa"/>
          <w:bottom w:w="0" w:type="dxa"/>
          <w:right w:w="108" w:type="dxa"/>
        </w:tblCellMar>
      </w:tblPr>
      <w:tblGrid>
        <w:gridCol w:w="697"/>
        <w:gridCol w:w="2070"/>
        <w:gridCol w:w="6353"/>
      </w:tblGrid>
      <w:tr w14:paraId="40376C98">
        <w:tblPrEx>
          <w:tblCellMar>
            <w:top w:w="0" w:type="dxa"/>
            <w:left w:w="108" w:type="dxa"/>
            <w:bottom w:w="0" w:type="dxa"/>
            <w:right w:w="108" w:type="dxa"/>
          </w:tblCellMar>
        </w:tblPrEx>
        <w:trPr>
          <w:trHeight w:val="411" w:hRule="atLeast"/>
          <w:jc w:val="center"/>
        </w:trPr>
        <w:tc>
          <w:tcPr>
            <w:tcW w:w="697" w:type="dxa"/>
            <w:tcBorders>
              <w:top w:val="single" w:color="auto" w:sz="4" w:space="0"/>
              <w:left w:val="single" w:color="auto" w:sz="4" w:space="0"/>
              <w:bottom w:val="single" w:color="auto" w:sz="4" w:space="0"/>
              <w:right w:val="single" w:color="auto" w:sz="4" w:space="0"/>
            </w:tcBorders>
            <w:noWrap w:val="0"/>
            <w:vAlign w:val="center"/>
          </w:tcPr>
          <w:p w14:paraId="3DAC710F">
            <w:pPr>
              <w:widowControl/>
              <w:wordWrap w:val="0"/>
              <w:jc w:val="center"/>
              <w:rPr>
                <w:rFonts w:hint="eastAsia" w:ascii="宋体" w:hAnsi="宋体" w:cs="宋体"/>
                <w:color w:val="auto"/>
                <w:kern w:val="0"/>
                <w:highlight w:val="none"/>
              </w:rPr>
            </w:pPr>
            <w:r>
              <w:rPr>
                <w:rFonts w:hint="eastAsia" w:ascii="宋体" w:hAnsi="宋体" w:cs="宋体"/>
                <w:color w:val="auto"/>
                <w:kern w:val="0"/>
                <w:highlight w:val="none"/>
              </w:rPr>
              <w:t>序号</w:t>
            </w:r>
          </w:p>
        </w:tc>
        <w:tc>
          <w:tcPr>
            <w:tcW w:w="2070" w:type="dxa"/>
            <w:tcBorders>
              <w:top w:val="single" w:color="auto" w:sz="4" w:space="0"/>
              <w:left w:val="nil"/>
              <w:bottom w:val="single" w:color="auto" w:sz="4" w:space="0"/>
              <w:right w:val="single" w:color="auto" w:sz="4" w:space="0"/>
            </w:tcBorders>
            <w:noWrap w:val="0"/>
            <w:vAlign w:val="center"/>
          </w:tcPr>
          <w:p w14:paraId="6663EAD2">
            <w:pPr>
              <w:widowControl/>
              <w:wordWrap w:val="0"/>
              <w:jc w:val="center"/>
              <w:rPr>
                <w:rFonts w:hint="eastAsia" w:ascii="宋体" w:hAnsi="宋体" w:cs="宋体"/>
                <w:color w:val="auto"/>
                <w:kern w:val="0"/>
                <w:highlight w:val="none"/>
              </w:rPr>
            </w:pPr>
            <w:r>
              <w:rPr>
                <w:rFonts w:hint="eastAsia" w:ascii="宋体" w:hAnsi="宋体" w:cs="宋体"/>
                <w:color w:val="auto"/>
                <w:kern w:val="0"/>
                <w:highlight w:val="none"/>
              </w:rPr>
              <w:t>条款名称</w:t>
            </w:r>
          </w:p>
        </w:tc>
        <w:tc>
          <w:tcPr>
            <w:tcW w:w="6353" w:type="dxa"/>
            <w:tcBorders>
              <w:top w:val="single" w:color="auto" w:sz="4" w:space="0"/>
              <w:left w:val="nil"/>
              <w:bottom w:val="single" w:color="auto" w:sz="4" w:space="0"/>
              <w:right w:val="single" w:color="auto" w:sz="4" w:space="0"/>
            </w:tcBorders>
            <w:noWrap w:val="0"/>
            <w:vAlign w:val="center"/>
          </w:tcPr>
          <w:p w14:paraId="53865624">
            <w:pPr>
              <w:widowControl/>
              <w:wordWrap w:val="0"/>
              <w:jc w:val="center"/>
              <w:rPr>
                <w:rFonts w:hint="eastAsia" w:ascii="宋体" w:hAnsi="宋体" w:cs="宋体"/>
                <w:color w:val="auto"/>
                <w:kern w:val="0"/>
                <w:highlight w:val="none"/>
              </w:rPr>
            </w:pPr>
            <w:r>
              <w:rPr>
                <w:rFonts w:hint="eastAsia" w:ascii="宋体" w:hAnsi="宋体" w:cs="宋体"/>
                <w:color w:val="auto"/>
                <w:kern w:val="0"/>
                <w:highlight w:val="none"/>
              </w:rPr>
              <w:t>编列内容</w:t>
            </w:r>
          </w:p>
        </w:tc>
      </w:tr>
      <w:tr w14:paraId="38EFDE95">
        <w:tblPrEx>
          <w:tblCellMar>
            <w:top w:w="0" w:type="dxa"/>
            <w:left w:w="108" w:type="dxa"/>
            <w:bottom w:w="0" w:type="dxa"/>
            <w:right w:w="108" w:type="dxa"/>
          </w:tblCellMar>
        </w:tblPrEx>
        <w:trPr>
          <w:trHeight w:val="1739" w:hRule="atLeast"/>
          <w:jc w:val="center"/>
        </w:trPr>
        <w:tc>
          <w:tcPr>
            <w:tcW w:w="697" w:type="dxa"/>
            <w:tcBorders>
              <w:top w:val="single" w:color="auto" w:sz="4" w:space="0"/>
              <w:left w:val="single" w:color="auto" w:sz="4" w:space="0"/>
              <w:bottom w:val="single" w:color="auto" w:sz="4" w:space="0"/>
              <w:right w:val="single" w:color="auto" w:sz="4" w:space="0"/>
            </w:tcBorders>
            <w:noWrap w:val="0"/>
            <w:vAlign w:val="center"/>
          </w:tcPr>
          <w:p w14:paraId="3DDC3A34">
            <w:pPr>
              <w:widowControl/>
              <w:wordWrap w:val="0"/>
              <w:jc w:val="center"/>
              <w:rPr>
                <w:rFonts w:hint="eastAsia" w:ascii="宋体" w:hAnsi="宋体" w:cs="宋体"/>
                <w:color w:val="auto"/>
                <w:highlight w:val="none"/>
              </w:rPr>
            </w:pPr>
            <w:r>
              <w:rPr>
                <w:rFonts w:hint="eastAsia" w:ascii="宋体" w:hAnsi="宋体" w:cs="宋体"/>
                <w:color w:val="auto"/>
                <w:kern w:val="0"/>
                <w:highlight w:val="none"/>
              </w:rPr>
              <w:t>1</w:t>
            </w:r>
          </w:p>
        </w:tc>
        <w:tc>
          <w:tcPr>
            <w:tcW w:w="2070" w:type="dxa"/>
            <w:tcBorders>
              <w:top w:val="single" w:color="auto" w:sz="4" w:space="0"/>
              <w:left w:val="nil"/>
              <w:bottom w:val="single" w:color="auto" w:sz="4" w:space="0"/>
              <w:right w:val="single" w:color="auto" w:sz="4" w:space="0"/>
            </w:tcBorders>
            <w:noWrap w:val="0"/>
            <w:vAlign w:val="center"/>
          </w:tcPr>
          <w:p w14:paraId="4725CF9F">
            <w:pPr>
              <w:widowControl/>
              <w:wordWrap w:val="0"/>
              <w:jc w:val="center"/>
              <w:rPr>
                <w:rFonts w:hint="eastAsia" w:ascii="宋体" w:hAnsi="宋体" w:cs="宋体"/>
                <w:color w:val="auto"/>
                <w:highlight w:val="none"/>
              </w:rPr>
            </w:pPr>
            <w:r>
              <w:rPr>
                <w:rFonts w:hint="eastAsia" w:ascii="宋体" w:hAnsi="宋体" w:cs="宋体"/>
                <w:color w:val="auto"/>
                <w:highlight w:val="none"/>
              </w:rPr>
              <w:t>采购人</w:t>
            </w:r>
          </w:p>
        </w:tc>
        <w:tc>
          <w:tcPr>
            <w:tcW w:w="6353" w:type="dxa"/>
            <w:tcBorders>
              <w:top w:val="single" w:color="auto" w:sz="4" w:space="0"/>
              <w:left w:val="nil"/>
              <w:bottom w:val="single" w:color="auto" w:sz="4" w:space="0"/>
              <w:right w:val="single" w:color="auto" w:sz="4" w:space="0"/>
            </w:tcBorders>
            <w:noWrap w:val="0"/>
            <w:vAlign w:val="center"/>
          </w:tcPr>
          <w:p w14:paraId="00E0A9BE">
            <w:pPr>
              <w:wordWrap w:val="0"/>
              <w:jc w:val="both"/>
              <w:rPr>
                <w:rFonts w:hint="eastAsia" w:ascii="宋体" w:hAnsi="宋体" w:cs="宋体"/>
                <w:color w:val="auto"/>
                <w:highlight w:val="none"/>
                <w:shd w:val="clear" w:color="auto" w:fill="FFFFFF"/>
              </w:rPr>
            </w:pPr>
            <w:r>
              <w:rPr>
                <w:rFonts w:hint="eastAsia" w:ascii="宋体" w:hAnsi="宋体" w:cs="宋体"/>
                <w:color w:val="auto"/>
                <w:highlight w:val="none"/>
                <w:shd w:val="clear" w:color="auto" w:fill="FFFFFF"/>
              </w:rPr>
              <w:t>采 购 人：</w:t>
            </w:r>
            <w:r>
              <w:rPr>
                <w:rFonts w:hint="eastAsia" w:ascii="宋体" w:hAnsi="宋体" w:cs="宋体"/>
                <w:color w:val="auto"/>
                <w:highlight w:val="none"/>
                <w:shd w:val="clear" w:color="auto" w:fill="FFFFFF"/>
                <w:lang w:eastAsia="zh-CN"/>
              </w:rPr>
              <w:t>渑池县中医院</w:t>
            </w:r>
            <w:r>
              <w:rPr>
                <w:rFonts w:hint="eastAsia" w:ascii="宋体" w:hAnsi="宋体" w:cs="宋体"/>
                <w:color w:val="auto"/>
                <w:highlight w:val="none"/>
                <w:shd w:val="clear" w:color="auto" w:fill="FFFFFF"/>
              </w:rPr>
              <w:t xml:space="preserve"> </w:t>
            </w:r>
          </w:p>
          <w:p w14:paraId="30E7301F">
            <w:pPr>
              <w:wordWrap w:val="0"/>
              <w:jc w:val="both"/>
              <w:rPr>
                <w:rFonts w:hint="eastAsia" w:ascii="宋体" w:hAnsi="宋体" w:eastAsia="宋体" w:cs="宋体"/>
                <w:color w:val="auto"/>
                <w:highlight w:val="none"/>
                <w:shd w:val="clear" w:color="auto" w:fill="FFFFFF"/>
                <w:lang w:eastAsia="zh-CN"/>
              </w:rPr>
            </w:pPr>
            <w:r>
              <w:rPr>
                <w:rFonts w:hint="eastAsia" w:ascii="宋体" w:hAnsi="宋体" w:cs="宋体"/>
                <w:color w:val="auto"/>
                <w:highlight w:val="none"/>
                <w:shd w:val="clear" w:color="auto" w:fill="FFFFFF"/>
              </w:rPr>
              <w:t>地    址：</w:t>
            </w:r>
            <w:r>
              <w:rPr>
                <w:rFonts w:hint="eastAsia" w:ascii="宋体" w:hAnsi="宋体" w:cs="宋体"/>
                <w:color w:val="auto"/>
                <w:highlight w:val="none"/>
                <w:shd w:val="clear" w:color="auto" w:fill="FFFFFF"/>
                <w:lang w:eastAsia="zh-CN"/>
              </w:rPr>
              <w:t>渑池县韶州路</w:t>
            </w:r>
          </w:p>
          <w:p w14:paraId="2C2288AF">
            <w:pPr>
              <w:widowControl/>
              <w:wordWrap w:val="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联 系 人：</w:t>
            </w:r>
            <w:r>
              <w:rPr>
                <w:rFonts w:hint="eastAsia" w:ascii="宋体" w:hAnsi="宋体" w:cs="宋体"/>
                <w:color w:val="auto"/>
                <w:highlight w:val="none"/>
                <w:lang w:val="en-US" w:eastAsia="zh-CN"/>
              </w:rPr>
              <w:t>郭女士</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lang w:eastAsia="zh-CN"/>
              </w:rPr>
              <w:t xml:space="preserve"> </w:t>
            </w:r>
          </w:p>
          <w:p w14:paraId="452FAFB6">
            <w:pPr>
              <w:widowControl/>
              <w:wordWrap w:val="0"/>
              <w:rPr>
                <w:rFonts w:hint="default" w:ascii="宋体" w:hAnsi="宋体" w:eastAsia="宋体" w:cs="宋体"/>
                <w:color w:val="auto"/>
                <w:highlight w:val="none"/>
                <w:lang w:val="en-US" w:eastAsia="zh-CN"/>
              </w:rPr>
            </w:pPr>
            <w:r>
              <w:rPr>
                <w:rFonts w:hint="eastAsia" w:ascii="宋体" w:hAnsi="宋体" w:eastAsia="宋体" w:cs="宋体"/>
                <w:color w:val="auto"/>
                <w:highlight w:val="none"/>
                <w:lang w:eastAsia="zh-CN"/>
              </w:rPr>
              <w:t>联系电话：</w:t>
            </w:r>
            <w:r>
              <w:rPr>
                <w:rFonts w:hint="eastAsia" w:ascii="宋体" w:hAnsi="宋体" w:cs="宋体"/>
                <w:color w:val="auto"/>
                <w:highlight w:val="none"/>
                <w:lang w:val="en-US" w:eastAsia="zh-CN"/>
              </w:rPr>
              <w:t>15516280710</w:t>
            </w:r>
          </w:p>
        </w:tc>
      </w:tr>
      <w:tr w14:paraId="11C4D306">
        <w:tblPrEx>
          <w:tblCellMar>
            <w:top w:w="0" w:type="dxa"/>
            <w:left w:w="108" w:type="dxa"/>
            <w:bottom w:w="0" w:type="dxa"/>
            <w:right w:w="108" w:type="dxa"/>
          </w:tblCellMar>
        </w:tblPrEx>
        <w:trPr>
          <w:trHeight w:val="2071" w:hRule="atLeast"/>
          <w:jc w:val="center"/>
        </w:trPr>
        <w:tc>
          <w:tcPr>
            <w:tcW w:w="697" w:type="dxa"/>
            <w:tcBorders>
              <w:top w:val="single" w:color="auto" w:sz="4" w:space="0"/>
              <w:left w:val="single" w:color="auto" w:sz="4" w:space="0"/>
              <w:bottom w:val="single" w:color="auto" w:sz="4" w:space="0"/>
              <w:right w:val="single" w:color="auto" w:sz="4" w:space="0"/>
            </w:tcBorders>
            <w:noWrap w:val="0"/>
            <w:vAlign w:val="center"/>
          </w:tcPr>
          <w:p w14:paraId="4E95253E">
            <w:pPr>
              <w:widowControl/>
              <w:wordWrap w:val="0"/>
              <w:jc w:val="center"/>
              <w:rPr>
                <w:rFonts w:hint="eastAsia" w:ascii="宋体" w:hAnsi="宋体" w:cs="宋体"/>
                <w:color w:val="auto"/>
                <w:highlight w:val="none"/>
              </w:rPr>
            </w:pPr>
            <w:r>
              <w:rPr>
                <w:rFonts w:hint="eastAsia" w:ascii="宋体" w:hAnsi="宋体" w:cs="宋体"/>
                <w:color w:val="auto"/>
                <w:kern w:val="0"/>
                <w:highlight w:val="none"/>
              </w:rPr>
              <w:t>2</w:t>
            </w:r>
          </w:p>
        </w:tc>
        <w:tc>
          <w:tcPr>
            <w:tcW w:w="2070" w:type="dxa"/>
            <w:tcBorders>
              <w:top w:val="single" w:color="auto" w:sz="4" w:space="0"/>
              <w:left w:val="nil"/>
              <w:bottom w:val="single" w:color="auto" w:sz="4" w:space="0"/>
              <w:right w:val="single" w:color="auto" w:sz="4" w:space="0"/>
            </w:tcBorders>
            <w:noWrap w:val="0"/>
            <w:vAlign w:val="center"/>
          </w:tcPr>
          <w:p w14:paraId="6503BBD3">
            <w:pPr>
              <w:widowControl/>
              <w:wordWrap w:val="0"/>
              <w:jc w:val="center"/>
              <w:rPr>
                <w:rFonts w:hint="eastAsia" w:ascii="宋体" w:hAnsi="宋体" w:cs="宋体"/>
                <w:color w:val="auto"/>
                <w:highlight w:val="none"/>
              </w:rPr>
            </w:pPr>
          </w:p>
          <w:p w14:paraId="079D311E">
            <w:pPr>
              <w:widowControl/>
              <w:wordWrap w:val="0"/>
              <w:jc w:val="center"/>
              <w:rPr>
                <w:rFonts w:hint="eastAsia" w:ascii="宋体" w:hAnsi="宋体" w:cs="宋体"/>
                <w:color w:val="auto"/>
                <w:highlight w:val="none"/>
              </w:rPr>
            </w:pPr>
            <w:r>
              <w:rPr>
                <w:rFonts w:hint="eastAsia" w:ascii="宋体" w:hAnsi="宋体" w:cs="宋体"/>
                <w:color w:val="auto"/>
                <w:kern w:val="0"/>
                <w:highlight w:val="none"/>
              </w:rPr>
              <w:t>采购代理机构</w:t>
            </w:r>
          </w:p>
          <w:p w14:paraId="5FF7FEE0">
            <w:pPr>
              <w:widowControl/>
              <w:wordWrap w:val="0"/>
              <w:jc w:val="center"/>
              <w:rPr>
                <w:rFonts w:hint="eastAsia" w:ascii="宋体" w:hAnsi="宋体" w:cs="宋体"/>
                <w:color w:val="auto"/>
                <w:highlight w:val="none"/>
              </w:rPr>
            </w:pPr>
          </w:p>
        </w:tc>
        <w:tc>
          <w:tcPr>
            <w:tcW w:w="6353" w:type="dxa"/>
            <w:tcBorders>
              <w:top w:val="single" w:color="auto" w:sz="4" w:space="0"/>
              <w:left w:val="nil"/>
              <w:bottom w:val="single" w:color="auto" w:sz="4" w:space="0"/>
              <w:right w:val="single" w:color="auto" w:sz="4" w:space="0"/>
            </w:tcBorders>
            <w:noWrap w:val="0"/>
            <w:vAlign w:val="center"/>
          </w:tcPr>
          <w:p w14:paraId="7793001E">
            <w:pPr>
              <w:wordWrap w:val="0"/>
              <w:rPr>
                <w:rFonts w:hint="eastAsia" w:ascii="宋体" w:hAnsi="宋体" w:cs="宋体"/>
                <w:color w:val="auto"/>
                <w:kern w:val="0"/>
                <w:highlight w:val="none"/>
                <w:lang w:eastAsia="zh-CN"/>
              </w:rPr>
            </w:pPr>
            <w:r>
              <w:rPr>
                <w:rFonts w:hint="eastAsia" w:ascii="宋体" w:hAnsi="宋体" w:cs="宋体"/>
                <w:color w:val="auto"/>
                <w:kern w:val="0"/>
                <w:highlight w:val="none"/>
                <w:lang w:eastAsia="zh-CN"/>
              </w:rPr>
              <w:t>代理机构：中基建安工程管理有限公司</w:t>
            </w:r>
          </w:p>
          <w:p w14:paraId="30C8F531">
            <w:pPr>
              <w:wordWrap w:val="0"/>
              <w:rPr>
                <w:rFonts w:hint="eastAsia" w:ascii="宋体" w:hAnsi="宋体" w:cs="宋体"/>
                <w:color w:val="auto"/>
                <w:kern w:val="0"/>
                <w:highlight w:val="none"/>
                <w:lang w:eastAsia="zh-CN"/>
              </w:rPr>
            </w:pPr>
            <w:r>
              <w:rPr>
                <w:rFonts w:hint="eastAsia" w:ascii="宋体" w:hAnsi="宋体" w:cs="宋体"/>
                <w:color w:val="auto"/>
                <w:kern w:val="0"/>
                <w:highlight w:val="none"/>
                <w:lang w:eastAsia="zh-CN"/>
              </w:rPr>
              <w:t>地    址：河南自贸试验区郑州片区（郑东）心怡路319号易元国际B座1624号</w:t>
            </w:r>
          </w:p>
          <w:p w14:paraId="22E098DF">
            <w:pPr>
              <w:wordWrap w:val="0"/>
              <w:rPr>
                <w:rFonts w:hint="eastAsia" w:ascii="宋体" w:hAnsi="宋体" w:cs="宋体"/>
                <w:color w:val="auto"/>
                <w:kern w:val="0"/>
                <w:highlight w:val="none"/>
                <w:lang w:eastAsia="zh-CN"/>
              </w:rPr>
            </w:pPr>
            <w:r>
              <w:rPr>
                <w:rFonts w:hint="eastAsia" w:ascii="宋体" w:hAnsi="宋体" w:cs="宋体"/>
                <w:color w:val="auto"/>
                <w:kern w:val="0"/>
                <w:highlight w:val="none"/>
                <w:lang w:eastAsia="zh-CN"/>
              </w:rPr>
              <w:t>联 系 人：</w:t>
            </w:r>
            <w:r>
              <w:rPr>
                <w:rFonts w:hint="eastAsia" w:ascii="宋体" w:hAnsi="宋体" w:cs="宋体"/>
                <w:color w:val="auto"/>
                <w:kern w:val="0"/>
                <w:highlight w:val="none"/>
                <w:lang w:val="en-US" w:eastAsia="zh-CN"/>
              </w:rPr>
              <w:t>李女士</w:t>
            </w:r>
            <w:r>
              <w:rPr>
                <w:rFonts w:hint="eastAsia" w:ascii="宋体" w:hAnsi="宋体" w:cs="宋体"/>
                <w:color w:val="auto"/>
                <w:kern w:val="0"/>
                <w:highlight w:val="none"/>
                <w:lang w:eastAsia="zh-CN"/>
              </w:rPr>
              <w:t xml:space="preserve">       </w:t>
            </w:r>
          </w:p>
          <w:p w14:paraId="4244ED42">
            <w:pPr>
              <w:wordWrap w:val="0"/>
              <w:rPr>
                <w:rFonts w:hint="eastAsia" w:ascii="宋体" w:hAnsi="宋体" w:cs="宋体"/>
                <w:color w:val="auto"/>
                <w:kern w:val="0"/>
                <w:highlight w:val="none"/>
              </w:rPr>
            </w:pPr>
            <w:r>
              <w:rPr>
                <w:rFonts w:hint="eastAsia" w:ascii="宋体" w:hAnsi="宋体" w:cs="宋体"/>
                <w:color w:val="auto"/>
                <w:kern w:val="0"/>
                <w:highlight w:val="none"/>
                <w:lang w:eastAsia="zh-CN"/>
              </w:rPr>
              <w:t>联系电话：18703809283</w:t>
            </w:r>
          </w:p>
        </w:tc>
      </w:tr>
      <w:tr w14:paraId="53441884">
        <w:tblPrEx>
          <w:tblCellMar>
            <w:top w:w="0" w:type="dxa"/>
            <w:left w:w="108" w:type="dxa"/>
            <w:bottom w:w="0" w:type="dxa"/>
            <w:right w:w="108" w:type="dxa"/>
          </w:tblCellMar>
        </w:tblPrEx>
        <w:trPr>
          <w:trHeight w:val="735" w:hRule="atLeast"/>
          <w:jc w:val="center"/>
        </w:trPr>
        <w:tc>
          <w:tcPr>
            <w:tcW w:w="697" w:type="dxa"/>
            <w:tcBorders>
              <w:top w:val="single" w:color="auto" w:sz="4" w:space="0"/>
              <w:left w:val="single" w:color="auto" w:sz="4" w:space="0"/>
              <w:bottom w:val="single" w:color="auto" w:sz="4" w:space="0"/>
              <w:right w:val="single" w:color="auto" w:sz="4" w:space="0"/>
            </w:tcBorders>
            <w:noWrap w:val="0"/>
            <w:vAlign w:val="center"/>
          </w:tcPr>
          <w:p w14:paraId="6A11DD01">
            <w:pPr>
              <w:widowControl/>
              <w:wordWrap w:val="0"/>
              <w:jc w:val="center"/>
              <w:rPr>
                <w:rFonts w:hint="eastAsia" w:ascii="宋体" w:hAnsi="宋体" w:cs="宋体"/>
                <w:color w:val="auto"/>
                <w:highlight w:val="none"/>
              </w:rPr>
            </w:pPr>
            <w:r>
              <w:rPr>
                <w:rFonts w:hint="eastAsia" w:ascii="宋体" w:hAnsi="宋体" w:cs="宋体"/>
                <w:color w:val="auto"/>
                <w:kern w:val="0"/>
                <w:highlight w:val="none"/>
              </w:rPr>
              <w:t>3</w:t>
            </w:r>
          </w:p>
        </w:tc>
        <w:tc>
          <w:tcPr>
            <w:tcW w:w="2070" w:type="dxa"/>
            <w:tcBorders>
              <w:top w:val="single" w:color="auto" w:sz="4" w:space="0"/>
              <w:left w:val="nil"/>
              <w:bottom w:val="single" w:color="auto" w:sz="4" w:space="0"/>
              <w:right w:val="single" w:color="auto" w:sz="4" w:space="0"/>
            </w:tcBorders>
            <w:noWrap w:val="0"/>
            <w:vAlign w:val="center"/>
          </w:tcPr>
          <w:p w14:paraId="14F2CDA6">
            <w:pPr>
              <w:widowControl/>
              <w:wordWrap w:val="0"/>
              <w:jc w:val="center"/>
              <w:rPr>
                <w:rFonts w:hint="eastAsia" w:ascii="宋体" w:hAnsi="宋体" w:cs="宋体"/>
                <w:color w:val="auto"/>
                <w:highlight w:val="none"/>
              </w:rPr>
            </w:pPr>
            <w:r>
              <w:rPr>
                <w:rFonts w:hint="eastAsia" w:ascii="宋体" w:hAnsi="宋体" w:cs="宋体"/>
                <w:color w:val="auto"/>
                <w:kern w:val="0"/>
                <w:highlight w:val="none"/>
              </w:rPr>
              <w:t>项目名称</w:t>
            </w:r>
          </w:p>
        </w:tc>
        <w:tc>
          <w:tcPr>
            <w:tcW w:w="6353" w:type="dxa"/>
            <w:tcBorders>
              <w:top w:val="single" w:color="auto" w:sz="4" w:space="0"/>
              <w:left w:val="nil"/>
              <w:bottom w:val="single" w:color="auto" w:sz="4" w:space="0"/>
              <w:right w:val="single" w:color="auto" w:sz="4" w:space="0"/>
            </w:tcBorders>
            <w:noWrap w:val="0"/>
            <w:vAlign w:val="center"/>
          </w:tcPr>
          <w:p w14:paraId="7FAB6513">
            <w:pPr>
              <w:widowControl/>
              <w:wordWrap w:val="0"/>
              <w:rPr>
                <w:rFonts w:hint="eastAsia" w:ascii="宋体" w:hAnsi="宋体" w:eastAsia="宋体" w:cs="宋体"/>
                <w:color w:val="auto"/>
                <w:highlight w:val="none"/>
                <w:lang w:eastAsia="zh-CN"/>
              </w:rPr>
            </w:pPr>
            <w:r>
              <w:rPr>
                <w:rFonts w:hint="eastAsia" w:ascii="宋体" w:hAnsi="宋体" w:cs="宋体"/>
                <w:color w:val="auto"/>
                <w:highlight w:val="none"/>
                <w:lang w:eastAsia="zh-CN"/>
              </w:rPr>
              <w:t>渑池县中医院DIP智能辅助系统采购项目</w:t>
            </w:r>
          </w:p>
        </w:tc>
      </w:tr>
      <w:tr w14:paraId="56C5DD57">
        <w:tblPrEx>
          <w:tblCellMar>
            <w:top w:w="0" w:type="dxa"/>
            <w:left w:w="108" w:type="dxa"/>
            <w:bottom w:w="0" w:type="dxa"/>
            <w:right w:w="108" w:type="dxa"/>
          </w:tblCellMar>
        </w:tblPrEx>
        <w:trPr>
          <w:trHeight w:val="90" w:hRule="atLeast"/>
          <w:jc w:val="center"/>
        </w:trPr>
        <w:tc>
          <w:tcPr>
            <w:tcW w:w="697" w:type="dxa"/>
            <w:tcBorders>
              <w:top w:val="single" w:color="auto" w:sz="4" w:space="0"/>
              <w:left w:val="single" w:color="auto" w:sz="4" w:space="0"/>
              <w:bottom w:val="single" w:color="auto" w:sz="4" w:space="0"/>
              <w:right w:val="single" w:color="auto" w:sz="4" w:space="0"/>
            </w:tcBorders>
            <w:noWrap w:val="0"/>
            <w:vAlign w:val="center"/>
          </w:tcPr>
          <w:p w14:paraId="30181173">
            <w:pPr>
              <w:widowControl/>
              <w:wordWrap w:val="0"/>
              <w:jc w:val="center"/>
              <w:rPr>
                <w:rFonts w:hint="eastAsia" w:ascii="宋体" w:hAnsi="宋体" w:cs="宋体"/>
                <w:color w:val="auto"/>
                <w:highlight w:val="none"/>
              </w:rPr>
            </w:pPr>
            <w:r>
              <w:rPr>
                <w:rFonts w:hint="eastAsia" w:ascii="宋体" w:hAnsi="宋体" w:cs="宋体"/>
                <w:color w:val="auto"/>
                <w:kern w:val="0"/>
                <w:highlight w:val="none"/>
              </w:rPr>
              <w:t>4</w:t>
            </w:r>
          </w:p>
        </w:tc>
        <w:tc>
          <w:tcPr>
            <w:tcW w:w="2070" w:type="dxa"/>
            <w:tcBorders>
              <w:top w:val="single" w:color="auto" w:sz="4" w:space="0"/>
              <w:left w:val="nil"/>
              <w:bottom w:val="single" w:color="auto" w:sz="4" w:space="0"/>
              <w:right w:val="single" w:color="auto" w:sz="4" w:space="0"/>
            </w:tcBorders>
            <w:noWrap w:val="0"/>
            <w:vAlign w:val="center"/>
          </w:tcPr>
          <w:p w14:paraId="62FC5EA1">
            <w:pPr>
              <w:widowControl/>
              <w:wordWrap w:val="0"/>
              <w:jc w:val="center"/>
              <w:rPr>
                <w:rFonts w:hint="eastAsia" w:ascii="宋体" w:hAnsi="宋体" w:eastAsia="宋体" w:cs="宋体"/>
                <w:color w:val="auto"/>
                <w:kern w:val="0"/>
                <w:highlight w:val="none"/>
                <w:lang w:eastAsia="zh-CN"/>
              </w:rPr>
            </w:pPr>
            <w:r>
              <w:rPr>
                <w:rFonts w:hint="eastAsia" w:ascii="宋体" w:hAnsi="宋体" w:cs="宋体"/>
                <w:color w:val="auto"/>
                <w:highlight w:val="none"/>
                <w:lang w:eastAsia="zh-CN"/>
              </w:rPr>
              <w:t>服务内容</w:t>
            </w:r>
          </w:p>
        </w:tc>
        <w:tc>
          <w:tcPr>
            <w:tcW w:w="6353" w:type="dxa"/>
            <w:tcBorders>
              <w:top w:val="single" w:color="auto" w:sz="4" w:space="0"/>
              <w:left w:val="nil"/>
              <w:bottom w:val="single" w:color="auto" w:sz="4" w:space="0"/>
              <w:right w:val="single" w:color="auto" w:sz="4" w:space="0"/>
            </w:tcBorders>
            <w:noWrap w:val="0"/>
            <w:vAlign w:val="center"/>
          </w:tcPr>
          <w:p w14:paraId="5D08763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kern w:val="0"/>
                <w:highlight w:val="none"/>
              </w:rPr>
            </w:pPr>
            <w:r>
              <w:rPr>
                <w:rFonts w:hint="eastAsia" w:asciiTheme="minorEastAsia" w:hAnsiTheme="minorEastAsia" w:cstheme="minorEastAsia"/>
                <w:color w:val="auto"/>
                <w:sz w:val="24"/>
                <w:szCs w:val="24"/>
                <w:highlight w:val="none"/>
                <w:lang w:val="en-US" w:eastAsia="zh-CN"/>
              </w:rPr>
              <w:t>渑池县中医院</w:t>
            </w:r>
            <w:r>
              <w:rPr>
                <w:rFonts w:hint="eastAsia" w:asciiTheme="minorEastAsia" w:hAnsiTheme="minorEastAsia" w:cstheme="minorEastAsia"/>
                <w:color w:val="auto"/>
                <w:sz w:val="24"/>
                <w:szCs w:val="24"/>
                <w:highlight w:val="none"/>
              </w:rPr>
              <w:t>DIP智能辅助系统采购，系统主要功能有病案首页医生端前置质控、DIP实时预分组及智能分组指导、实时预警分析、DIP绩效、数据分析统计等。详见文件参数要求。</w:t>
            </w:r>
            <w:r>
              <w:rPr>
                <w:rFonts w:hint="eastAsia" w:asciiTheme="minorEastAsia" w:hAnsiTheme="minorEastAsia" w:cstheme="minorEastAsia"/>
                <w:color w:val="auto"/>
                <w:sz w:val="24"/>
                <w:szCs w:val="24"/>
                <w:highlight w:val="none"/>
                <w:lang w:val="en-US" w:eastAsia="zh-CN"/>
              </w:rPr>
              <w:t>（购详见第五章服务要求）</w:t>
            </w:r>
          </w:p>
        </w:tc>
      </w:tr>
      <w:tr w14:paraId="04A17EB3">
        <w:tblPrEx>
          <w:tblCellMar>
            <w:top w:w="0" w:type="dxa"/>
            <w:left w:w="108" w:type="dxa"/>
            <w:bottom w:w="0" w:type="dxa"/>
            <w:right w:w="108" w:type="dxa"/>
          </w:tblCellMar>
        </w:tblPrEx>
        <w:trPr>
          <w:trHeight w:val="671" w:hRule="atLeast"/>
          <w:jc w:val="center"/>
        </w:trPr>
        <w:tc>
          <w:tcPr>
            <w:tcW w:w="697" w:type="dxa"/>
            <w:tcBorders>
              <w:top w:val="single" w:color="auto" w:sz="4" w:space="0"/>
              <w:left w:val="single" w:color="auto" w:sz="4" w:space="0"/>
              <w:bottom w:val="single" w:color="auto" w:sz="4" w:space="0"/>
              <w:right w:val="single" w:color="auto" w:sz="4" w:space="0"/>
            </w:tcBorders>
            <w:noWrap w:val="0"/>
            <w:vAlign w:val="center"/>
          </w:tcPr>
          <w:p w14:paraId="008FB3E2">
            <w:pPr>
              <w:widowControl/>
              <w:wordWrap w:val="0"/>
              <w:jc w:val="center"/>
              <w:rPr>
                <w:rFonts w:hint="eastAsia" w:ascii="宋体" w:hAnsi="宋体" w:cs="宋体"/>
                <w:color w:val="auto"/>
                <w:kern w:val="0"/>
                <w:highlight w:val="none"/>
              </w:rPr>
            </w:pPr>
            <w:r>
              <w:rPr>
                <w:rFonts w:hint="eastAsia" w:ascii="宋体" w:hAnsi="宋体" w:cs="宋体"/>
                <w:color w:val="auto"/>
                <w:kern w:val="0"/>
                <w:highlight w:val="none"/>
              </w:rPr>
              <w:t>5</w:t>
            </w:r>
          </w:p>
        </w:tc>
        <w:tc>
          <w:tcPr>
            <w:tcW w:w="2070" w:type="dxa"/>
            <w:tcBorders>
              <w:top w:val="single" w:color="auto" w:sz="4" w:space="0"/>
              <w:left w:val="nil"/>
              <w:bottom w:val="single" w:color="auto" w:sz="4" w:space="0"/>
              <w:right w:val="single" w:color="auto" w:sz="4" w:space="0"/>
            </w:tcBorders>
            <w:noWrap w:val="0"/>
            <w:vAlign w:val="center"/>
          </w:tcPr>
          <w:p w14:paraId="7C0E1289">
            <w:pPr>
              <w:widowControl/>
              <w:wordWrap w:val="0"/>
              <w:jc w:val="center"/>
              <w:rPr>
                <w:rFonts w:hint="eastAsia" w:ascii="宋体" w:hAnsi="宋体" w:cs="宋体"/>
                <w:color w:val="auto"/>
                <w:kern w:val="0"/>
                <w:highlight w:val="none"/>
              </w:rPr>
            </w:pPr>
            <w:r>
              <w:rPr>
                <w:rFonts w:hint="eastAsia" w:ascii="宋体" w:hAnsi="宋体" w:cs="宋体"/>
                <w:color w:val="auto"/>
                <w:kern w:val="0"/>
                <w:highlight w:val="none"/>
              </w:rPr>
              <w:t>资金来源</w:t>
            </w:r>
          </w:p>
        </w:tc>
        <w:tc>
          <w:tcPr>
            <w:tcW w:w="6353" w:type="dxa"/>
            <w:tcBorders>
              <w:top w:val="single" w:color="auto" w:sz="4" w:space="0"/>
              <w:left w:val="nil"/>
              <w:bottom w:val="single" w:color="auto" w:sz="4" w:space="0"/>
              <w:right w:val="single" w:color="auto" w:sz="4" w:space="0"/>
            </w:tcBorders>
            <w:noWrap w:val="0"/>
            <w:vAlign w:val="center"/>
          </w:tcPr>
          <w:p w14:paraId="3F51BC6B">
            <w:pPr>
              <w:widowControl/>
              <w:wordWrap w:val="0"/>
              <w:rPr>
                <w:rFonts w:hint="eastAsia" w:ascii="宋体" w:hAnsi="宋体" w:cs="宋体"/>
                <w:color w:val="auto"/>
                <w:kern w:val="0"/>
                <w:highlight w:val="none"/>
                <w:shd w:val="clear" w:color="auto" w:fill="FFFFFF"/>
              </w:rPr>
            </w:pPr>
            <w:r>
              <w:rPr>
                <w:rFonts w:hint="eastAsia" w:ascii="宋体" w:hAnsi="宋体" w:cs="宋体"/>
                <w:color w:val="auto"/>
                <w:kern w:val="0"/>
                <w:highlight w:val="none"/>
                <w:shd w:val="clear" w:color="auto" w:fill="FFFFFF"/>
                <w:lang w:eastAsia="zh-CN"/>
              </w:rPr>
              <w:t>财政资金</w:t>
            </w:r>
            <w:r>
              <w:rPr>
                <w:rFonts w:hint="eastAsia" w:ascii="宋体" w:hAnsi="宋体" w:cs="宋体"/>
                <w:color w:val="auto"/>
                <w:kern w:val="0"/>
                <w:highlight w:val="none"/>
                <w:shd w:val="clear" w:color="auto" w:fill="FFFFFF"/>
              </w:rPr>
              <w:t>，已落实</w:t>
            </w:r>
          </w:p>
        </w:tc>
      </w:tr>
      <w:tr w14:paraId="25407F0B">
        <w:tblPrEx>
          <w:tblCellMar>
            <w:top w:w="0" w:type="dxa"/>
            <w:left w:w="108" w:type="dxa"/>
            <w:bottom w:w="0" w:type="dxa"/>
            <w:right w:w="108" w:type="dxa"/>
          </w:tblCellMar>
        </w:tblPrEx>
        <w:trPr>
          <w:trHeight w:val="671" w:hRule="atLeast"/>
          <w:jc w:val="center"/>
        </w:trPr>
        <w:tc>
          <w:tcPr>
            <w:tcW w:w="697" w:type="dxa"/>
            <w:tcBorders>
              <w:top w:val="single" w:color="auto" w:sz="4" w:space="0"/>
              <w:left w:val="single" w:color="auto" w:sz="4" w:space="0"/>
              <w:bottom w:val="single" w:color="auto" w:sz="4" w:space="0"/>
              <w:right w:val="single" w:color="auto" w:sz="4" w:space="0"/>
            </w:tcBorders>
            <w:noWrap w:val="0"/>
            <w:vAlign w:val="center"/>
          </w:tcPr>
          <w:p w14:paraId="1227A4F3">
            <w:pPr>
              <w:widowControl/>
              <w:wordWrap w:val="0"/>
              <w:jc w:val="center"/>
              <w:rPr>
                <w:rFonts w:ascii="宋体" w:hAnsi="宋体" w:cs="宋体"/>
                <w:color w:val="auto"/>
                <w:kern w:val="0"/>
                <w:highlight w:val="none"/>
              </w:rPr>
            </w:pPr>
            <w:r>
              <w:rPr>
                <w:rFonts w:hint="eastAsia" w:ascii="宋体" w:hAnsi="宋体" w:cs="宋体"/>
                <w:color w:val="auto"/>
                <w:kern w:val="0"/>
                <w:highlight w:val="none"/>
              </w:rPr>
              <w:t>6</w:t>
            </w:r>
          </w:p>
        </w:tc>
        <w:tc>
          <w:tcPr>
            <w:tcW w:w="2070" w:type="dxa"/>
            <w:tcBorders>
              <w:top w:val="single" w:color="auto" w:sz="4" w:space="0"/>
              <w:left w:val="nil"/>
              <w:bottom w:val="single" w:color="auto" w:sz="4" w:space="0"/>
              <w:right w:val="single" w:color="auto" w:sz="4" w:space="0"/>
            </w:tcBorders>
            <w:noWrap w:val="0"/>
            <w:vAlign w:val="center"/>
          </w:tcPr>
          <w:p w14:paraId="1106E497">
            <w:pPr>
              <w:widowControl/>
              <w:wordWrap w:val="0"/>
              <w:jc w:val="center"/>
              <w:rPr>
                <w:rFonts w:hint="eastAsia" w:ascii="宋体" w:hAnsi="宋体" w:cs="宋体"/>
                <w:color w:val="auto"/>
                <w:kern w:val="0"/>
                <w:highlight w:val="none"/>
              </w:rPr>
            </w:pPr>
            <w:r>
              <w:rPr>
                <w:rFonts w:hint="eastAsia" w:ascii="宋体" w:hAnsi="宋体" w:cs="宋体"/>
                <w:color w:val="auto"/>
                <w:kern w:val="0"/>
                <w:highlight w:val="none"/>
              </w:rPr>
              <w:t>资金落实情况</w:t>
            </w:r>
          </w:p>
        </w:tc>
        <w:tc>
          <w:tcPr>
            <w:tcW w:w="6353" w:type="dxa"/>
            <w:tcBorders>
              <w:top w:val="single" w:color="auto" w:sz="4" w:space="0"/>
              <w:left w:val="nil"/>
              <w:bottom w:val="single" w:color="auto" w:sz="4" w:space="0"/>
              <w:right w:val="single" w:color="auto" w:sz="4" w:space="0"/>
            </w:tcBorders>
            <w:noWrap w:val="0"/>
            <w:vAlign w:val="center"/>
          </w:tcPr>
          <w:p w14:paraId="1762EE05">
            <w:pPr>
              <w:widowControl/>
              <w:wordWrap w:val="0"/>
              <w:rPr>
                <w:rFonts w:ascii="宋体" w:hAnsi="宋体" w:cs="宋体"/>
                <w:color w:val="auto"/>
                <w:kern w:val="0"/>
                <w:highlight w:val="none"/>
                <w:shd w:val="clear" w:color="auto" w:fill="FFFFFF"/>
              </w:rPr>
            </w:pPr>
            <w:r>
              <w:rPr>
                <w:rFonts w:hint="eastAsia" w:ascii="宋体" w:hAnsi="宋体" w:cs="宋体"/>
                <w:color w:val="auto"/>
                <w:kern w:val="0"/>
                <w:highlight w:val="none"/>
                <w:shd w:val="clear" w:color="auto" w:fill="FFFFFF"/>
              </w:rPr>
              <w:t>100%</w:t>
            </w:r>
          </w:p>
        </w:tc>
      </w:tr>
      <w:tr w14:paraId="76C99882">
        <w:tblPrEx>
          <w:tblCellMar>
            <w:top w:w="0" w:type="dxa"/>
            <w:left w:w="108" w:type="dxa"/>
            <w:bottom w:w="0" w:type="dxa"/>
            <w:right w:w="108" w:type="dxa"/>
          </w:tblCellMar>
        </w:tblPrEx>
        <w:trPr>
          <w:trHeight w:val="650" w:hRule="atLeast"/>
          <w:jc w:val="center"/>
        </w:trPr>
        <w:tc>
          <w:tcPr>
            <w:tcW w:w="697" w:type="dxa"/>
            <w:tcBorders>
              <w:top w:val="single" w:color="auto" w:sz="4" w:space="0"/>
              <w:left w:val="single" w:color="auto" w:sz="4" w:space="0"/>
              <w:bottom w:val="single" w:color="auto" w:sz="4" w:space="0"/>
              <w:right w:val="single" w:color="auto" w:sz="4" w:space="0"/>
            </w:tcBorders>
            <w:noWrap w:val="0"/>
            <w:vAlign w:val="center"/>
          </w:tcPr>
          <w:p w14:paraId="42B6A34F">
            <w:pPr>
              <w:widowControl/>
              <w:wordWrap w:val="0"/>
              <w:jc w:val="center"/>
              <w:rPr>
                <w:rFonts w:hint="eastAsia" w:ascii="宋体" w:hAnsi="宋体" w:cs="宋体"/>
                <w:color w:val="auto"/>
                <w:highlight w:val="none"/>
              </w:rPr>
            </w:pPr>
            <w:r>
              <w:rPr>
                <w:rFonts w:hint="eastAsia" w:ascii="宋体" w:hAnsi="宋体" w:cs="宋体"/>
                <w:color w:val="auto"/>
                <w:kern w:val="0"/>
                <w:highlight w:val="none"/>
              </w:rPr>
              <w:t>7</w:t>
            </w:r>
          </w:p>
        </w:tc>
        <w:tc>
          <w:tcPr>
            <w:tcW w:w="2070" w:type="dxa"/>
            <w:tcBorders>
              <w:top w:val="single" w:color="auto" w:sz="4" w:space="0"/>
              <w:left w:val="nil"/>
              <w:bottom w:val="single" w:color="auto" w:sz="4" w:space="0"/>
              <w:right w:val="single" w:color="auto" w:sz="4" w:space="0"/>
            </w:tcBorders>
            <w:noWrap w:val="0"/>
            <w:vAlign w:val="center"/>
          </w:tcPr>
          <w:p w14:paraId="77251569">
            <w:pPr>
              <w:widowControl/>
              <w:wordWrap w:val="0"/>
              <w:jc w:val="center"/>
              <w:rPr>
                <w:rFonts w:hint="eastAsia" w:ascii="宋体" w:hAnsi="宋体" w:cs="宋体"/>
                <w:color w:val="auto"/>
                <w:highlight w:val="none"/>
              </w:rPr>
            </w:pPr>
            <w:r>
              <w:rPr>
                <w:rFonts w:hint="eastAsia" w:ascii="宋体" w:hAnsi="宋体" w:cs="宋体"/>
                <w:color w:val="auto"/>
                <w:kern w:val="0"/>
                <w:highlight w:val="none"/>
                <w:lang w:val="en-US" w:eastAsia="zh-CN"/>
              </w:rPr>
              <w:t>采购</w:t>
            </w:r>
            <w:r>
              <w:rPr>
                <w:rFonts w:hint="eastAsia" w:ascii="宋体" w:hAnsi="宋体" w:cs="宋体"/>
                <w:color w:val="auto"/>
                <w:kern w:val="0"/>
                <w:highlight w:val="none"/>
              </w:rPr>
              <w:t>项目编号</w:t>
            </w:r>
          </w:p>
        </w:tc>
        <w:tc>
          <w:tcPr>
            <w:tcW w:w="6353" w:type="dxa"/>
            <w:tcBorders>
              <w:top w:val="single" w:color="auto" w:sz="4" w:space="0"/>
              <w:left w:val="nil"/>
              <w:bottom w:val="single" w:color="auto" w:sz="4" w:space="0"/>
              <w:right w:val="single" w:color="auto" w:sz="4" w:space="0"/>
            </w:tcBorders>
            <w:noWrap w:val="0"/>
            <w:vAlign w:val="center"/>
          </w:tcPr>
          <w:p w14:paraId="3BB8D466">
            <w:pPr>
              <w:widowControl/>
              <w:wordWrap w:val="0"/>
              <w:rPr>
                <w:rFonts w:hint="default" w:ascii="宋体" w:hAnsi="宋体" w:eastAsia="宋体" w:cs="宋体"/>
                <w:color w:val="auto"/>
                <w:highlight w:val="none"/>
                <w:shd w:val="clear" w:color="auto" w:fill="FFFFFF"/>
                <w:lang w:val="en-US" w:eastAsia="zh-CN"/>
              </w:rPr>
            </w:pPr>
            <w:r>
              <w:rPr>
                <w:rFonts w:hint="eastAsia" w:asciiTheme="minorEastAsia" w:hAnsiTheme="minorEastAsia" w:cstheme="minorEastAsia"/>
                <w:color w:val="auto"/>
                <w:sz w:val="24"/>
                <w:szCs w:val="24"/>
                <w:highlight w:val="none"/>
                <w:lang w:val="en-US" w:eastAsia="zh-CN"/>
              </w:rPr>
              <w:t>MCGZ[2025]031-ZC022</w:t>
            </w:r>
            <w:r>
              <w:rPr>
                <w:rFonts w:hint="eastAsia" w:asciiTheme="minorEastAsia" w:hAnsiTheme="minorEastAsia" w:cstheme="minorEastAsia"/>
                <w:color w:val="auto"/>
                <w:sz w:val="24"/>
                <w:szCs w:val="24"/>
                <w:highlight w:val="none"/>
              </w:rPr>
              <w:t>、</w:t>
            </w:r>
            <w:r>
              <w:rPr>
                <w:rFonts w:hint="eastAsia" w:asciiTheme="minorEastAsia" w:hAnsiTheme="minorEastAsia" w:cstheme="minorEastAsia"/>
                <w:color w:val="auto"/>
                <w:sz w:val="24"/>
                <w:szCs w:val="24"/>
                <w:highlight w:val="none"/>
                <w:lang w:val="en-US" w:eastAsia="zh-CN"/>
              </w:rPr>
              <w:t>渑池竞磋采购-2025-13</w:t>
            </w:r>
          </w:p>
        </w:tc>
      </w:tr>
      <w:tr w14:paraId="533FEF2B">
        <w:tblPrEx>
          <w:tblCellMar>
            <w:top w:w="0" w:type="dxa"/>
            <w:left w:w="108" w:type="dxa"/>
            <w:bottom w:w="0" w:type="dxa"/>
            <w:right w:w="108" w:type="dxa"/>
          </w:tblCellMar>
        </w:tblPrEx>
        <w:trPr>
          <w:trHeight w:val="628" w:hRule="atLeast"/>
          <w:jc w:val="center"/>
        </w:trPr>
        <w:tc>
          <w:tcPr>
            <w:tcW w:w="697" w:type="dxa"/>
            <w:tcBorders>
              <w:top w:val="single" w:color="auto" w:sz="4" w:space="0"/>
              <w:left w:val="single" w:color="auto" w:sz="4" w:space="0"/>
              <w:bottom w:val="single" w:color="auto" w:sz="4" w:space="0"/>
              <w:right w:val="single" w:color="auto" w:sz="4" w:space="0"/>
            </w:tcBorders>
            <w:noWrap w:val="0"/>
            <w:vAlign w:val="center"/>
          </w:tcPr>
          <w:p w14:paraId="7CA9A918">
            <w:pPr>
              <w:widowControl/>
              <w:wordWrap w:val="0"/>
              <w:jc w:val="center"/>
              <w:rPr>
                <w:rFonts w:hint="eastAsia" w:ascii="宋体" w:hAnsi="宋体" w:cs="宋体"/>
                <w:color w:val="auto"/>
                <w:highlight w:val="none"/>
              </w:rPr>
            </w:pPr>
            <w:r>
              <w:rPr>
                <w:rFonts w:hint="eastAsia" w:ascii="宋体" w:hAnsi="宋体" w:cs="宋体"/>
                <w:color w:val="auto"/>
                <w:kern w:val="0"/>
                <w:highlight w:val="none"/>
              </w:rPr>
              <w:t>8</w:t>
            </w:r>
          </w:p>
        </w:tc>
        <w:tc>
          <w:tcPr>
            <w:tcW w:w="2070" w:type="dxa"/>
            <w:tcBorders>
              <w:top w:val="single" w:color="auto" w:sz="4" w:space="0"/>
              <w:left w:val="nil"/>
              <w:bottom w:val="single" w:color="auto" w:sz="4" w:space="0"/>
              <w:right w:val="single" w:color="auto" w:sz="4" w:space="0"/>
            </w:tcBorders>
            <w:noWrap w:val="0"/>
            <w:vAlign w:val="center"/>
          </w:tcPr>
          <w:p w14:paraId="653B46B7">
            <w:pPr>
              <w:widowControl/>
              <w:wordWrap w:val="0"/>
              <w:jc w:val="center"/>
              <w:rPr>
                <w:rFonts w:hint="eastAsia" w:ascii="宋体" w:hAnsi="宋体" w:cs="宋体"/>
                <w:color w:val="auto"/>
                <w:kern w:val="0"/>
                <w:highlight w:val="none"/>
              </w:rPr>
            </w:pPr>
            <w:r>
              <w:rPr>
                <w:rFonts w:hint="eastAsia" w:ascii="宋体" w:hAnsi="宋体" w:eastAsia="宋体" w:cs="宋体"/>
                <w:color w:val="auto"/>
                <w:highlight w:val="none"/>
              </w:rPr>
              <w:t>质量要求</w:t>
            </w:r>
          </w:p>
        </w:tc>
        <w:tc>
          <w:tcPr>
            <w:tcW w:w="6353" w:type="dxa"/>
            <w:tcBorders>
              <w:top w:val="single" w:color="auto" w:sz="4" w:space="0"/>
              <w:left w:val="nil"/>
              <w:bottom w:val="single" w:color="auto" w:sz="4" w:space="0"/>
              <w:right w:val="single" w:color="auto" w:sz="4" w:space="0"/>
            </w:tcBorders>
            <w:noWrap w:val="0"/>
            <w:vAlign w:val="center"/>
          </w:tcPr>
          <w:p w14:paraId="43C3E0A4">
            <w:pPr>
              <w:widowControl/>
              <w:wordWrap w:val="0"/>
              <w:rPr>
                <w:rFonts w:ascii="宋体" w:hAnsi="宋体" w:cs="宋体"/>
                <w:color w:val="auto"/>
                <w:kern w:val="0"/>
                <w:highlight w:val="none"/>
              </w:rPr>
            </w:pPr>
            <w:r>
              <w:rPr>
                <w:rFonts w:hint="eastAsia" w:ascii="宋体" w:hAnsi="宋体" w:cs="宋体"/>
                <w:color w:val="auto"/>
                <w:kern w:val="0"/>
                <w:highlight w:val="none"/>
                <w:lang w:eastAsia="zh-CN"/>
              </w:rPr>
              <w:t>满足采购人要求</w:t>
            </w:r>
            <w:r>
              <w:rPr>
                <w:rFonts w:hint="eastAsia" w:ascii="宋体" w:hAnsi="宋体" w:cs="宋体"/>
                <w:color w:val="auto"/>
                <w:kern w:val="0"/>
                <w:highlight w:val="none"/>
              </w:rPr>
              <w:t>。</w:t>
            </w:r>
          </w:p>
        </w:tc>
      </w:tr>
      <w:tr w14:paraId="5BC2B2FC">
        <w:tblPrEx>
          <w:tblCellMar>
            <w:top w:w="0" w:type="dxa"/>
            <w:left w:w="108" w:type="dxa"/>
            <w:bottom w:w="0" w:type="dxa"/>
            <w:right w:w="108" w:type="dxa"/>
          </w:tblCellMar>
        </w:tblPrEx>
        <w:trPr>
          <w:trHeight w:val="628" w:hRule="atLeast"/>
          <w:jc w:val="center"/>
        </w:trPr>
        <w:tc>
          <w:tcPr>
            <w:tcW w:w="697" w:type="dxa"/>
            <w:tcBorders>
              <w:top w:val="single" w:color="auto" w:sz="4" w:space="0"/>
              <w:left w:val="single" w:color="auto" w:sz="4" w:space="0"/>
              <w:bottom w:val="single" w:color="auto" w:sz="4" w:space="0"/>
              <w:right w:val="single" w:color="auto" w:sz="4" w:space="0"/>
            </w:tcBorders>
            <w:noWrap w:val="0"/>
            <w:vAlign w:val="center"/>
          </w:tcPr>
          <w:p w14:paraId="7BFAD520">
            <w:pPr>
              <w:widowControl/>
              <w:wordWrap w:val="0"/>
              <w:jc w:val="center"/>
              <w:rPr>
                <w:rFonts w:ascii="宋体" w:hAnsi="宋体" w:cs="宋体"/>
                <w:color w:val="auto"/>
                <w:kern w:val="0"/>
                <w:highlight w:val="none"/>
              </w:rPr>
            </w:pPr>
            <w:r>
              <w:rPr>
                <w:rFonts w:hint="eastAsia" w:ascii="宋体" w:hAnsi="宋体" w:cs="宋体"/>
                <w:color w:val="auto"/>
                <w:kern w:val="0"/>
                <w:highlight w:val="none"/>
              </w:rPr>
              <w:t>9</w:t>
            </w:r>
          </w:p>
        </w:tc>
        <w:tc>
          <w:tcPr>
            <w:tcW w:w="2070" w:type="dxa"/>
            <w:tcBorders>
              <w:top w:val="single" w:color="auto" w:sz="4" w:space="0"/>
              <w:left w:val="nil"/>
              <w:bottom w:val="single" w:color="auto" w:sz="4" w:space="0"/>
              <w:right w:val="single" w:color="auto" w:sz="4" w:space="0"/>
            </w:tcBorders>
            <w:noWrap w:val="0"/>
            <w:vAlign w:val="center"/>
          </w:tcPr>
          <w:p w14:paraId="35486F55">
            <w:pPr>
              <w:widowControl/>
              <w:wordWrap w:val="0"/>
              <w:jc w:val="center"/>
              <w:rPr>
                <w:rFonts w:hint="eastAsia" w:ascii="宋体" w:hAnsi="宋体" w:eastAsia="宋体" w:cs="宋体"/>
                <w:color w:val="auto"/>
                <w:kern w:val="0"/>
                <w:highlight w:val="none"/>
                <w:lang w:eastAsia="zh-CN"/>
              </w:rPr>
            </w:pPr>
            <w:r>
              <w:rPr>
                <w:rFonts w:hint="eastAsia" w:ascii="宋体" w:hAnsi="宋体" w:cs="宋体"/>
                <w:color w:val="auto"/>
                <w:kern w:val="0"/>
                <w:highlight w:val="none"/>
                <w:lang w:eastAsia="zh-CN"/>
              </w:rPr>
              <w:t>服务时间</w:t>
            </w:r>
          </w:p>
        </w:tc>
        <w:tc>
          <w:tcPr>
            <w:tcW w:w="6353" w:type="dxa"/>
            <w:tcBorders>
              <w:top w:val="single" w:color="auto" w:sz="4" w:space="0"/>
              <w:left w:val="nil"/>
              <w:bottom w:val="single" w:color="auto" w:sz="4" w:space="0"/>
              <w:right w:val="single" w:color="auto" w:sz="4" w:space="0"/>
            </w:tcBorders>
            <w:noWrap w:val="0"/>
            <w:vAlign w:val="center"/>
          </w:tcPr>
          <w:p w14:paraId="00E2276B">
            <w:pPr>
              <w:widowControl/>
              <w:wordWrap w:val="0"/>
              <w:rPr>
                <w:rFonts w:hint="eastAsia" w:ascii="宋体" w:hAnsi="宋体" w:eastAsia="宋体" w:cs="宋体"/>
                <w:color w:val="auto"/>
                <w:kern w:val="0"/>
                <w:highlight w:val="none"/>
                <w:lang w:eastAsia="zh-CN"/>
              </w:rPr>
            </w:pPr>
            <w:r>
              <w:rPr>
                <w:rFonts w:hint="eastAsia" w:ascii="宋体" w:hAnsi="宋体" w:cs="宋体"/>
                <w:color w:val="auto"/>
                <w:kern w:val="0"/>
                <w:highlight w:val="none"/>
                <w:lang w:eastAsia="zh-CN"/>
              </w:rPr>
              <w:t>合同签订后30日历天，完成产品的安装、调试</w:t>
            </w:r>
          </w:p>
        </w:tc>
      </w:tr>
      <w:tr w14:paraId="4E67CEC9">
        <w:tblPrEx>
          <w:tblCellMar>
            <w:top w:w="0" w:type="dxa"/>
            <w:left w:w="108" w:type="dxa"/>
            <w:bottom w:w="0" w:type="dxa"/>
            <w:right w:w="108" w:type="dxa"/>
          </w:tblCellMar>
        </w:tblPrEx>
        <w:trPr>
          <w:trHeight w:val="520" w:hRule="atLeast"/>
          <w:jc w:val="center"/>
        </w:trPr>
        <w:tc>
          <w:tcPr>
            <w:tcW w:w="697" w:type="dxa"/>
            <w:tcBorders>
              <w:top w:val="single" w:color="auto" w:sz="4" w:space="0"/>
              <w:left w:val="single" w:color="auto" w:sz="4" w:space="0"/>
              <w:bottom w:val="single" w:color="auto" w:sz="4" w:space="0"/>
              <w:right w:val="single" w:color="auto" w:sz="4" w:space="0"/>
            </w:tcBorders>
            <w:noWrap w:val="0"/>
            <w:vAlign w:val="center"/>
          </w:tcPr>
          <w:p w14:paraId="6A371B15">
            <w:pPr>
              <w:widowControl/>
              <w:wordWrap w:val="0"/>
              <w:jc w:val="center"/>
              <w:rPr>
                <w:rFonts w:ascii="宋体" w:hAnsi="宋体" w:cs="宋体"/>
                <w:color w:val="auto"/>
                <w:highlight w:val="none"/>
              </w:rPr>
            </w:pPr>
            <w:r>
              <w:rPr>
                <w:rFonts w:hint="eastAsia" w:ascii="宋体" w:hAnsi="宋体" w:cs="宋体"/>
                <w:color w:val="auto"/>
                <w:kern w:val="0"/>
                <w:highlight w:val="none"/>
              </w:rPr>
              <w:t>10</w:t>
            </w:r>
          </w:p>
        </w:tc>
        <w:tc>
          <w:tcPr>
            <w:tcW w:w="2070" w:type="dxa"/>
            <w:tcBorders>
              <w:top w:val="single" w:color="auto" w:sz="4" w:space="0"/>
              <w:left w:val="nil"/>
              <w:bottom w:val="single" w:color="auto" w:sz="4" w:space="0"/>
              <w:right w:val="single" w:color="auto" w:sz="4" w:space="0"/>
            </w:tcBorders>
            <w:noWrap w:val="0"/>
            <w:vAlign w:val="center"/>
          </w:tcPr>
          <w:p w14:paraId="1DDCAA8B">
            <w:pPr>
              <w:widowControl/>
              <w:wordWrap w:val="0"/>
              <w:jc w:val="center"/>
              <w:rPr>
                <w:rFonts w:hint="eastAsia" w:ascii="宋体" w:hAnsi="宋体" w:cs="宋体"/>
                <w:color w:val="auto"/>
                <w:highlight w:val="none"/>
              </w:rPr>
            </w:pPr>
            <w:r>
              <w:rPr>
                <w:rFonts w:hint="eastAsia" w:ascii="宋体" w:hAnsi="宋体" w:cs="宋体"/>
                <w:color w:val="auto"/>
                <w:kern w:val="0"/>
                <w:highlight w:val="none"/>
              </w:rPr>
              <w:t>资格要求</w:t>
            </w:r>
          </w:p>
        </w:tc>
        <w:tc>
          <w:tcPr>
            <w:tcW w:w="6353" w:type="dxa"/>
            <w:tcBorders>
              <w:top w:val="single" w:color="auto" w:sz="4" w:space="0"/>
              <w:left w:val="nil"/>
              <w:bottom w:val="single" w:color="auto" w:sz="4" w:space="0"/>
              <w:right w:val="single" w:color="auto" w:sz="4" w:space="0"/>
            </w:tcBorders>
            <w:noWrap w:val="0"/>
            <w:vAlign w:val="center"/>
          </w:tcPr>
          <w:p w14:paraId="70D7C40E">
            <w:pPr>
              <w:spacing w:line="360" w:lineRule="auto"/>
              <w:ind w:firstLine="566" w:firstLineChars="236"/>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1.满足《中华人民共和国政府采购法》第二十二条规定：</w:t>
            </w:r>
          </w:p>
          <w:p w14:paraId="5174320F">
            <w:pPr>
              <w:spacing w:line="360" w:lineRule="auto"/>
              <w:ind w:firstLine="566" w:firstLineChars="236"/>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2.落实政府采购政策满足的资格要求：</w:t>
            </w:r>
            <w:r>
              <w:rPr>
                <w:rFonts w:hint="eastAsia" w:asciiTheme="minorEastAsia" w:hAnsiTheme="minorEastAsia" w:cstheme="minorEastAsia"/>
                <w:color w:val="auto"/>
                <w:sz w:val="24"/>
                <w:szCs w:val="24"/>
                <w:highlight w:val="none"/>
                <w:lang w:val="en-US" w:eastAsia="zh-CN"/>
              </w:rPr>
              <w:t>本项目执行促进中小型企业发展政策（监狱企业、残疾人福利性企业视同小微企业）、强制采购节能产品、优先采购节能环保产品等政府采购政策</w:t>
            </w:r>
            <w:r>
              <w:rPr>
                <w:rFonts w:hint="eastAsia" w:asciiTheme="minorEastAsia" w:hAnsiTheme="minorEastAsia" w:cstheme="minorEastAsia"/>
                <w:color w:val="auto"/>
                <w:sz w:val="24"/>
                <w:szCs w:val="24"/>
                <w:highlight w:val="none"/>
              </w:rPr>
              <w:t>。</w:t>
            </w:r>
          </w:p>
          <w:p w14:paraId="104BB31B">
            <w:pPr>
              <w:spacing w:line="360" w:lineRule="auto"/>
              <w:ind w:firstLine="566" w:firstLineChars="236"/>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3.本项目的特定资格要求：</w:t>
            </w:r>
          </w:p>
          <w:p w14:paraId="66C4A98C">
            <w:pPr>
              <w:spacing w:line="360" w:lineRule="auto"/>
              <w:ind w:firstLine="566" w:firstLineChars="236"/>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lang w:val="en-US" w:eastAsia="zh-CN"/>
              </w:rPr>
              <w:t>3.</w:t>
            </w:r>
            <w:r>
              <w:rPr>
                <w:rFonts w:hint="eastAsia" w:asciiTheme="minorEastAsia" w:hAnsiTheme="minorEastAsia" w:cstheme="minorEastAsia"/>
                <w:color w:val="auto"/>
                <w:sz w:val="24"/>
                <w:szCs w:val="24"/>
                <w:highlight w:val="none"/>
              </w:rPr>
              <w:t>1供应商具有有效的营业执照；</w:t>
            </w:r>
          </w:p>
          <w:p w14:paraId="7DE45583">
            <w:pPr>
              <w:spacing w:line="360" w:lineRule="auto"/>
              <w:ind w:firstLine="566" w:firstLineChars="236"/>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3</w:t>
            </w:r>
            <w:r>
              <w:rPr>
                <w:rFonts w:hint="eastAsia" w:asciiTheme="minorEastAsia" w:hAnsiTheme="minorEastAsia" w:cstheme="minorEastAsia"/>
                <w:color w:val="auto"/>
                <w:sz w:val="24"/>
                <w:szCs w:val="24"/>
                <w:highlight w:val="none"/>
                <w:lang w:val="en-US" w:eastAsia="zh-CN"/>
              </w:rPr>
              <w:t>.2</w:t>
            </w:r>
            <w:r>
              <w:rPr>
                <w:rFonts w:hint="eastAsia" w:asciiTheme="minorEastAsia" w:hAnsiTheme="minorEastAsia" w:cstheme="minorEastAsia"/>
                <w:color w:val="auto"/>
                <w:sz w:val="24"/>
                <w:szCs w:val="24"/>
                <w:highlight w:val="none"/>
              </w:rPr>
              <w:t>供应商出具无行贿犯罪记录，在中国裁判文书网自行查询或自行承诺（查询对象：企业、法定代表人）；</w:t>
            </w:r>
          </w:p>
          <w:p w14:paraId="47FDAF64">
            <w:pPr>
              <w:spacing w:line="360" w:lineRule="auto"/>
              <w:ind w:firstLine="566" w:firstLineChars="236"/>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lang w:val="en-US" w:eastAsia="zh-CN"/>
              </w:rPr>
              <w:t>3.3</w:t>
            </w:r>
            <w:r>
              <w:rPr>
                <w:rFonts w:hint="eastAsia" w:asciiTheme="minorEastAsia" w:hAnsiTheme="minorEastAsia" w:cstheme="minorEastAsia"/>
                <w:color w:val="auto"/>
                <w:sz w:val="24"/>
                <w:szCs w:val="24"/>
                <w:highlight w:val="none"/>
              </w:rPr>
              <w:t>供应商需提供无商业贿赂及无不正当竞争行为的承诺书；</w:t>
            </w:r>
          </w:p>
          <w:p w14:paraId="1E9EB623">
            <w:pPr>
              <w:spacing w:line="360" w:lineRule="auto"/>
              <w:ind w:firstLine="566" w:firstLineChars="236"/>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lang w:val="en-US" w:eastAsia="zh-CN"/>
              </w:rPr>
              <w:t>3.4</w:t>
            </w:r>
            <w:r>
              <w:rPr>
                <w:rFonts w:hint="eastAsia" w:asciiTheme="minorEastAsia" w:hAnsiTheme="minorEastAsia" w:cstheme="minorEastAsia"/>
                <w:color w:val="auto"/>
                <w:sz w:val="24"/>
                <w:szCs w:val="24"/>
                <w:highlight w:val="none"/>
              </w:rPr>
              <w:t>未列入“中国执行信息公开网”http://zxgk.court.gov.cn/shixin网站的“失信被执行人”名单、“信用中国”www.creditchina.gov.cn网站的“重大税收违法失信主体”及“中国政府采购网”www.ccgp.gov.cn网站的“政府采购严重违法失信行为记录名单”；（提供“中国执行信息公开网”、“信用中国”和“中国政府采购网”网站的查询信息截图，加盖单位公章，截图需显示查询时间，查询时间：自公告发布之日起至投标截止时间前）；</w:t>
            </w:r>
          </w:p>
          <w:p w14:paraId="503F750A">
            <w:pPr>
              <w:spacing w:line="360" w:lineRule="auto"/>
              <w:ind w:firstLine="566" w:firstLineChars="236"/>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lang w:val="en-US" w:eastAsia="zh-CN"/>
              </w:rPr>
              <w:t>3.5单位负责人为同一人或者存在直接控股、管理关系的不同投标人，不得参加同一合同项下的采购活动；（提供“国家企业信用信息公示系统”中查询打印的相关信息并加盖公章（查询信息需包含公司基本信息、股东信息及股权变更信息等相关信息，查询日期为本项目公告发布之后至开标截止时间止））</w:t>
            </w:r>
            <w:r>
              <w:rPr>
                <w:rFonts w:hint="eastAsia" w:asciiTheme="minorEastAsia" w:hAnsiTheme="minorEastAsia" w:cstheme="minorEastAsia"/>
                <w:color w:val="auto"/>
                <w:sz w:val="24"/>
                <w:szCs w:val="24"/>
                <w:highlight w:val="none"/>
              </w:rPr>
              <w:t>；</w:t>
            </w:r>
          </w:p>
          <w:p w14:paraId="34A09CD6">
            <w:pPr>
              <w:spacing w:line="360" w:lineRule="auto"/>
              <w:ind w:firstLine="566" w:firstLineChars="236"/>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lang w:val="en-US" w:eastAsia="zh-CN"/>
              </w:rPr>
              <w:t>3.6</w:t>
            </w:r>
            <w:r>
              <w:rPr>
                <w:rFonts w:hint="eastAsia" w:asciiTheme="minorEastAsia" w:hAnsiTheme="minorEastAsia" w:cstheme="minorEastAsia"/>
                <w:color w:val="auto"/>
                <w:sz w:val="24"/>
                <w:szCs w:val="24"/>
                <w:highlight w:val="none"/>
              </w:rPr>
              <w:t>本项目不接受联合体投标</w:t>
            </w:r>
            <w:r>
              <w:rPr>
                <w:rFonts w:hint="eastAsia" w:asciiTheme="minorEastAsia" w:hAnsiTheme="minorEastAsia" w:cstheme="minorEastAsia"/>
                <w:color w:val="auto"/>
                <w:sz w:val="24"/>
                <w:szCs w:val="24"/>
                <w:highlight w:val="none"/>
                <w:lang w:eastAsia="zh-CN"/>
              </w:rPr>
              <w:t>，</w:t>
            </w:r>
            <w:r>
              <w:rPr>
                <w:rFonts w:hint="eastAsia" w:asciiTheme="minorEastAsia" w:hAnsiTheme="minorEastAsia" w:cstheme="minorEastAsia"/>
                <w:color w:val="auto"/>
                <w:sz w:val="24"/>
                <w:szCs w:val="24"/>
                <w:highlight w:val="none"/>
              </w:rPr>
              <w:t>提供非联合体</w:t>
            </w:r>
            <w:r>
              <w:rPr>
                <w:rFonts w:hint="eastAsia" w:asciiTheme="minorEastAsia" w:hAnsiTheme="minorEastAsia" w:cstheme="minorEastAsia"/>
                <w:color w:val="auto"/>
                <w:sz w:val="24"/>
                <w:szCs w:val="24"/>
                <w:highlight w:val="none"/>
                <w:lang w:val="en-US" w:eastAsia="zh-CN"/>
              </w:rPr>
              <w:t>投标</w:t>
            </w:r>
            <w:r>
              <w:rPr>
                <w:rFonts w:hint="eastAsia" w:asciiTheme="minorEastAsia" w:hAnsiTheme="minorEastAsia" w:cstheme="minorEastAsia"/>
                <w:color w:val="auto"/>
                <w:sz w:val="24"/>
                <w:szCs w:val="24"/>
                <w:highlight w:val="none"/>
              </w:rPr>
              <w:t>承诺，格式自拟。</w:t>
            </w:r>
          </w:p>
          <w:p w14:paraId="59B89FD6">
            <w:pPr>
              <w:widowControl/>
              <w:spacing w:line="360" w:lineRule="auto"/>
              <w:ind w:firstLine="482" w:firstLineChars="200"/>
              <w:jc w:val="left"/>
              <w:rPr>
                <w:rFonts w:hint="eastAsia" w:ascii="宋体" w:hAnsi="宋体" w:cs="宋体"/>
                <w:color w:val="auto"/>
                <w:kern w:val="0"/>
                <w:highlight w:val="none"/>
              </w:rPr>
            </w:pPr>
            <w:r>
              <w:rPr>
                <w:rFonts w:hint="eastAsia" w:ascii="宋体" w:hAnsi="宋体" w:eastAsia="宋体" w:cs="宋体"/>
                <w:b/>
                <w:color w:val="auto"/>
                <w:kern w:val="0"/>
                <w:sz w:val="24"/>
                <w:highlight w:val="none"/>
                <w:lang w:bidi="ar"/>
              </w:rPr>
              <w:t>注：本次磋商实行资格后审，资格评审以投标文件为准，其上传资料真实性由供应商自行承担，同时供应商要完善主体库。</w:t>
            </w:r>
          </w:p>
        </w:tc>
      </w:tr>
      <w:tr w14:paraId="5BD4CEF1">
        <w:tblPrEx>
          <w:tblCellMar>
            <w:top w:w="0" w:type="dxa"/>
            <w:left w:w="108" w:type="dxa"/>
            <w:bottom w:w="0" w:type="dxa"/>
            <w:right w:w="108" w:type="dxa"/>
          </w:tblCellMar>
        </w:tblPrEx>
        <w:trPr>
          <w:trHeight w:val="570" w:hRule="atLeast"/>
          <w:jc w:val="center"/>
        </w:trPr>
        <w:tc>
          <w:tcPr>
            <w:tcW w:w="697" w:type="dxa"/>
            <w:tcBorders>
              <w:top w:val="single" w:color="auto" w:sz="4" w:space="0"/>
              <w:left w:val="single" w:color="auto" w:sz="4" w:space="0"/>
              <w:bottom w:val="single" w:color="auto" w:sz="4" w:space="0"/>
              <w:right w:val="single" w:color="auto" w:sz="4" w:space="0"/>
            </w:tcBorders>
            <w:noWrap w:val="0"/>
            <w:vAlign w:val="center"/>
          </w:tcPr>
          <w:p w14:paraId="5F6C538C">
            <w:pPr>
              <w:widowControl/>
              <w:wordWrap w:val="0"/>
              <w:jc w:val="center"/>
              <w:rPr>
                <w:rFonts w:ascii="宋体" w:hAnsi="宋体" w:cs="宋体"/>
                <w:color w:val="auto"/>
                <w:highlight w:val="none"/>
              </w:rPr>
            </w:pPr>
            <w:r>
              <w:rPr>
                <w:rFonts w:hint="eastAsia" w:ascii="宋体" w:hAnsi="宋体" w:cs="宋体"/>
                <w:color w:val="auto"/>
                <w:kern w:val="0"/>
                <w:highlight w:val="none"/>
              </w:rPr>
              <w:t>11</w:t>
            </w:r>
          </w:p>
        </w:tc>
        <w:tc>
          <w:tcPr>
            <w:tcW w:w="2070" w:type="dxa"/>
            <w:tcBorders>
              <w:top w:val="single" w:color="auto" w:sz="4" w:space="0"/>
              <w:left w:val="nil"/>
              <w:bottom w:val="single" w:color="auto" w:sz="4" w:space="0"/>
              <w:right w:val="single" w:color="auto" w:sz="4" w:space="0"/>
            </w:tcBorders>
            <w:noWrap w:val="0"/>
            <w:vAlign w:val="center"/>
          </w:tcPr>
          <w:p w14:paraId="2490D400">
            <w:pPr>
              <w:widowControl/>
              <w:wordWrap w:val="0"/>
              <w:jc w:val="center"/>
              <w:rPr>
                <w:rFonts w:hint="eastAsia" w:ascii="宋体" w:hAnsi="宋体" w:cs="宋体"/>
                <w:color w:val="auto"/>
                <w:highlight w:val="none"/>
              </w:rPr>
            </w:pPr>
            <w:r>
              <w:rPr>
                <w:rFonts w:hint="eastAsia" w:ascii="宋体" w:hAnsi="宋体" w:cs="宋体"/>
                <w:color w:val="auto"/>
                <w:kern w:val="0"/>
                <w:highlight w:val="none"/>
              </w:rPr>
              <w:t>投标保证金</w:t>
            </w:r>
          </w:p>
        </w:tc>
        <w:tc>
          <w:tcPr>
            <w:tcW w:w="6353" w:type="dxa"/>
            <w:tcBorders>
              <w:top w:val="single" w:color="auto" w:sz="4" w:space="0"/>
              <w:left w:val="nil"/>
              <w:bottom w:val="single" w:color="auto" w:sz="4" w:space="0"/>
              <w:right w:val="single" w:color="auto" w:sz="4" w:space="0"/>
            </w:tcBorders>
            <w:noWrap w:val="0"/>
            <w:vAlign w:val="center"/>
          </w:tcPr>
          <w:p w14:paraId="3F60ECA2">
            <w:pPr>
              <w:widowControl/>
              <w:wordWrap w:val="0"/>
              <w:rPr>
                <w:rFonts w:hint="eastAsia" w:ascii="宋体" w:hAnsi="宋体" w:cs="宋体"/>
                <w:color w:val="auto"/>
                <w:highlight w:val="none"/>
              </w:rPr>
            </w:pPr>
            <w:r>
              <w:rPr>
                <w:rFonts w:hint="eastAsia" w:ascii="宋体" w:hAnsi="宋体" w:cs="宋体"/>
                <w:color w:val="auto"/>
                <w:highlight w:val="none"/>
              </w:rPr>
              <w:t>根据《河南省财政厅关于优化政府采购营商环境有关问题的通知》（豫财购【2019】4号）第6条的规定，投标保证金不再收取。</w:t>
            </w:r>
          </w:p>
        </w:tc>
      </w:tr>
      <w:tr w14:paraId="06C3F704">
        <w:tblPrEx>
          <w:tblCellMar>
            <w:top w:w="0" w:type="dxa"/>
            <w:left w:w="108" w:type="dxa"/>
            <w:bottom w:w="0" w:type="dxa"/>
            <w:right w:w="108" w:type="dxa"/>
          </w:tblCellMar>
        </w:tblPrEx>
        <w:trPr>
          <w:trHeight w:val="954" w:hRule="atLeast"/>
          <w:jc w:val="center"/>
        </w:trPr>
        <w:tc>
          <w:tcPr>
            <w:tcW w:w="697" w:type="dxa"/>
            <w:tcBorders>
              <w:top w:val="single" w:color="auto" w:sz="4" w:space="0"/>
              <w:left w:val="single" w:color="auto" w:sz="4" w:space="0"/>
              <w:bottom w:val="single" w:color="auto" w:sz="4" w:space="0"/>
              <w:right w:val="single" w:color="auto" w:sz="4" w:space="0"/>
            </w:tcBorders>
            <w:noWrap w:val="0"/>
            <w:vAlign w:val="center"/>
          </w:tcPr>
          <w:p w14:paraId="326ED5CC">
            <w:pPr>
              <w:widowControl/>
              <w:wordWrap w:val="0"/>
              <w:jc w:val="center"/>
              <w:rPr>
                <w:rFonts w:hint="eastAsia" w:ascii="宋体" w:hAnsi="宋体" w:cs="宋体"/>
                <w:color w:val="auto"/>
                <w:highlight w:val="none"/>
              </w:rPr>
            </w:pPr>
            <w:r>
              <w:rPr>
                <w:rFonts w:hint="eastAsia" w:ascii="宋体" w:hAnsi="宋体" w:cs="宋体"/>
                <w:color w:val="auto"/>
                <w:kern w:val="0"/>
                <w:highlight w:val="none"/>
              </w:rPr>
              <w:t>12</w:t>
            </w:r>
          </w:p>
        </w:tc>
        <w:tc>
          <w:tcPr>
            <w:tcW w:w="2070" w:type="dxa"/>
            <w:tcBorders>
              <w:top w:val="single" w:color="auto" w:sz="4" w:space="0"/>
              <w:left w:val="nil"/>
              <w:bottom w:val="single" w:color="auto" w:sz="4" w:space="0"/>
              <w:right w:val="single" w:color="auto" w:sz="4" w:space="0"/>
            </w:tcBorders>
            <w:noWrap w:val="0"/>
            <w:vAlign w:val="center"/>
          </w:tcPr>
          <w:p w14:paraId="76112833">
            <w:pPr>
              <w:widowControl/>
              <w:wordWrap w:val="0"/>
              <w:jc w:val="center"/>
              <w:rPr>
                <w:rFonts w:hint="eastAsia" w:ascii="宋体" w:hAnsi="宋体" w:cs="宋体"/>
                <w:color w:val="auto"/>
                <w:highlight w:val="none"/>
              </w:rPr>
            </w:pPr>
            <w:r>
              <w:rPr>
                <w:rFonts w:hint="eastAsia" w:ascii="宋体" w:hAnsi="宋体" w:cs="宋体"/>
                <w:color w:val="auto"/>
                <w:kern w:val="0"/>
                <w:highlight w:val="none"/>
              </w:rPr>
              <w:t>响应性文件递交截止时间及地点</w:t>
            </w:r>
          </w:p>
        </w:tc>
        <w:tc>
          <w:tcPr>
            <w:tcW w:w="6353" w:type="dxa"/>
            <w:tcBorders>
              <w:top w:val="single" w:color="auto" w:sz="4" w:space="0"/>
              <w:left w:val="nil"/>
              <w:bottom w:val="single" w:color="auto" w:sz="4" w:space="0"/>
              <w:right w:val="single" w:color="auto" w:sz="4" w:space="0"/>
            </w:tcBorders>
            <w:noWrap w:val="0"/>
            <w:vAlign w:val="center"/>
          </w:tcPr>
          <w:p w14:paraId="5E2DE84D">
            <w:pPr>
              <w:widowControl/>
              <w:wordWrap w:val="0"/>
              <w:rPr>
                <w:rFonts w:hint="eastAsia" w:ascii="宋体" w:hAnsi="宋体" w:cs="宋体"/>
                <w:bCs/>
                <w:color w:val="auto"/>
                <w:kern w:val="0"/>
                <w:highlight w:val="none"/>
              </w:rPr>
            </w:pPr>
            <w:r>
              <w:rPr>
                <w:rFonts w:hint="eastAsia" w:ascii="宋体" w:hAnsi="宋体" w:cs="宋体"/>
                <w:bCs/>
                <w:color w:val="auto"/>
                <w:highlight w:val="none"/>
                <w:lang w:eastAsia="zh-CN"/>
              </w:rPr>
              <w:t>2025年</w:t>
            </w:r>
            <w:r>
              <w:rPr>
                <w:rFonts w:hint="eastAsia" w:ascii="宋体" w:hAnsi="宋体" w:cs="宋体"/>
                <w:bCs/>
                <w:color w:val="auto"/>
                <w:highlight w:val="none"/>
                <w:lang w:val="en-US" w:eastAsia="zh-CN"/>
              </w:rPr>
              <w:t>2</w:t>
            </w:r>
            <w:r>
              <w:rPr>
                <w:rFonts w:hint="eastAsia" w:ascii="宋体" w:hAnsi="宋体" w:cs="宋体"/>
                <w:bCs/>
                <w:color w:val="auto"/>
                <w:highlight w:val="none"/>
              </w:rPr>
              <w:t>月</w:t>
            </w:r>
            <w:r>
              <w:rPr>
                <w:rFonts w:hint="eastAsia" w:ascii="宋体" w:hAnsi="宋体" w:cs="宋体"/>
                <w:bCs/>
                <w:color w:val="auto"/>
                <w:highlight w:val="none"/>
                <w:lang w:val="en-US" w:eastAsia="zh-CN"/>
              </w:rPr>
              <w:t>28</w:t>
            </w:r>
            <w:r>
              <w:rPr>
                <w:rFonts w:hint="eastAsia" w:ascii="宋体" w:hAnsi="宋体" w:cs="宋体"/>
                <w:bCs/>
                <w:color w:val="auto"/>
                <w:highlight w:val="none"/>
              </w:rPr>
              <w:t>日8时20分</w:t>
            </w:r>
            <w:r>
              <w:rPr>
                <w:rFonts w:hint="eastAsia" w:ascii="宋体" w:hAnsi="宋体" w:cs="宋体"/>
                <w:bCs/>
                <w:color w:val="auto"/>
                <w:kern w:val="0"/>
                <w:highlight w:val="none"/>
              </w:rPr>
              <w:t>；（北京时间）</w:t>
            </w:r>
          </w:p>
          <w:p w14:paraId="1B4BFC44">
            <w:pPr>
              <w:widowControl/>
              <w:wordWrap w:val="0"/>
              <w:rPr>
                <w:rFonts w:hint="eastAsia" w:ascii="宋体" w:hAnsi="宋体" w:cs="宋体"/>
                <w:bCs/>
                <w:color w:val="auto"/>
                <w:kern w:val="0"/>
                <w:highlight w:val="none"/>
              </w:rPr>
            </w:pPr>
            <w:r>
              <w:rPr>
                <w:rFonts w:hint="eastAsia" w:ascii="宋体" w:hAnsi="宋体" w:cs="宋体"/>
                <w:color w:val="auto"/>
                <w:highlight w:val="none"/>
              </w:rPr>
              <w:t>上传至三门峡市公共资源交易中心系统</w:t>
            </w:r>
          </w:p>
        </w:tc>
      </w:tr>
      <w:tr w14:paraId="15106160">
        <w:tblPrEx>
          <w:tblCellMar>
            <w:top w:w="0" w:type="dxa"/>
            <w:left w:w="108" w:type="dxa"/>
            <w:bottom w:w="0" w:type="dxa"/>
            <w:right w:w="108" w:type="dxa"/>
          </w:tblCellMar>
        </w:tblPrEx>
        <w:trPr>
          <w:trHeight w:val="90" w:hRule="atLeast"/>
          <w:jc w:val="center"/>
        </w:trPr>
        <w:tc>
          <w:tcPr>
            <w:tcW w:w="697" w:type="dxa"/>
            <w:tcBorders>
              <w:top w:val="single" w:color="auto" w:sz="4" w:space="0"/>
              <w:left w:val="single" w:color="auto" w:sz="4" w:space="0"/>
              <w:bottom w:val="single" w:color="auto" w:sz="4" w:space="0"/>
              <w:right w:val="single" w:color="auto" w:sz="4" w:space="0"/>
            </w:tcBorders>
            <w:noWrap w:val="0"/>
            <w:vAlign w:val="center"/>
          </w:tcPr>
          <w:p w14:paraId="4D6952C5">
            <w:pPr>
              <w:widowControl/>
              <w:wordWrap w:val="0"/>
              <w:jc w:val="center"/>
              <w:rPr>
                <w:rFonts w:hint="eastAsia" w:ascii="宋体" w:hAnsi="宋体" w:cs="宋体"/>
                <w:color w:val="auto"/>
                <w:highlight w:val="none"/>
              </w:rPr>
            </w:pPr>
            <w:r>
              <w:rPr>
                <w:rFonts w:hint="eastAsia" w:ascii="宋体" w:hAnsi="宋体" w:cs="宋体"/>
                <w:color w:val="auto"/>
                <w:kern w:val="0"/>
                <w:highlight w:val="none"/>
              </w:rPr>
              <w:t>13</w:t>
            </w:r>
          </w:p>
        </w:tc>
        <w:tc>
          <w:tcPr>
            <w:tcW w:w="2070" w:type="dxa"/>
            <w:tcBorders>
              <w:top w:val="single" w:color="auto" w:sz="4" w:space="0"/>
              <w:left w:val="nil"/>
              <w:bottom w:val="single" w:color="auto" w:sz="4" w:space="0"/>
              <w:right w:val="single" w:color="auto" w:sz="4" w:space="0"/>
            </w:tcBorders>
            <w:noWrap w:val="0"/>
            <w:vAlign w:val="center"/>
          </w:tcPr>
          <w:p w14:paraId="381F6A5E">
            <w:pPr>
              <w:widowControl/>
              <w:wordWrap w:val="0"/>
              <w:jc w:val="center"/>
              <w:rPr>
                <w:rFonts w:hint="eastAsia" w:ascii="宋体" w:hAnsi="宋体" w:cs="宋体"/>
                <w:color w:val="auto"/>
                <w:highlight w:val="none"/>
              </w:rPr>
            </w:pPr>
            <w:r>
              <w:rPr>
                <w:rFonts w:hint="eastAsia" w:ascii="宋体" w:hAnsi="宋体" w:cs="宋体"/>
                <w:color w:val="auto"/>
                <w:kern w:val="0"/>
                <w:highlight w:val="none"/>
              </w:rPr>
              <w:t>开标时间及地点</w:t>
            </w:r>
          </w:p>
        </w:tc>
        <w:tc>
          <w:tcPr>
            <w:tcW w:w="6353" w:type="dxa"/>
            <w:tcBorders>
              <w:top w:val="single" w:color="auto" w:sz="4" w:space="0"/>
              <w:left w:val="nil"/>
              <w:bottom w:val="single" w:color="auto" w:sz="4" w:space="0"/>
              <w:right w:val="single" w:color="auto" w:sz="4" w:space="0"/>
            </w:tcBorders>
            <w:noWrap w:val="0"/>
            <w:vAlign w:val="center"/>
          </w:tcPr>
          <w:p w14:paraId="0B7874C4">
            <w:pPr>
              <w:widowControl/>
              <w:wordWrap w:val="0"/>
              <w:rPr>
                <w:rFonts w:hint="eastAsia" w:ascii="宋体" w:hAnsi="宋体" w:cs="宋体"/>
                <w:bCs/>
                <w:color w:val="auto"/>
                <w:kern w:val="0"/>
                <w:highlight w:val="none"/>
              </w:rPr>
            </w:pPr>
            <w:r>
              <w:rPr>
                <w:rFonts w:hint="eastAsia" w:ascii="宋体" w:hAnsi="宋体" w:cs="宋体"/>
                <w:bCs/>
                <w:color w:val="auto"/>
                <w:highlight w:val="none"/>
                <w:lang w:eastAsia="zh-CN"/>
              </w:rPr>
              <w:t>2025年</w:t>
            </w:r>
            <w:r>
              <w:rPr>
                <w:rFonts w:hint="eastAsia" w:ascii="宋体" w:hAnsi="宋体" w:cs="宋体"/>
                <w:bCs/>
                <w:color w:val="auto"/>
                <w:highlight w:val="none"/>
                <w:lang w:val="en-US" w:eastAsia="zh-CN"/>
              </w:rPr>
              <w:t>2</w:t>
            </w:r>
            <w:r>
              <w:rPr>
                <w:rFonts w:hint="eastAsia" w:ascii="宋体" w:hAnsi="宋体" w:cs="宋体"/>
                <w:bCs/>
                <w:color w:val="auto"/>
                <w:highlight w:val="none"/>
              </w:rPr>
              <w:t>月</w:t>
            </w:r>
            <w:r>
              <w:rPr>
                <w:rFonts w:hint="eastAsia" w:ascii="宋体" w:hAnsi="宋体" w:cs="宋体"/>
                <w:bCs/>
                <w:color w:val="auto"/>
                <w:highlight w:val="none"/>
                <w:lang w:val="en-US" w:eastAsia="zh-CN"/>
              </w:rPr>
              <w:t>28</w:t>
            </w:r>
            <w:r>
              <w:rPr>
                <w:rFonts w:hint="eastAsia" w:ascii="宋体" w:hAnsi="宋体" w:cs="宋体"/>
                <w:bCs/>
                <w:color w:val="auto"/>
                <w:highlight w:val="none"/>
              </w:rPr>
              <w:t>日8时20分</w:t>
            </w:r>
            <w:r>
              <w:rPr>
                <w:rFonts w:hint="eastAsia" w:ascii="宋体" w:hAnsi="宋体" w:cs="宋体"/>
                <w:bCs/>
                <w:color w:val="auto"/>
                <w:kern w:val="0"/>
                <w:highlight w:val="none"/>
              </w:rPr>
              <w:t>；（北京时间）</w:t>
            </w:r>
          </w:p>
          <w:p w14:paraId="4DC0FDAD">
            <w:pPr>
              <w:widowControl/>
              <w:wordWrap w:val="0"/>
              <w:rPr>
                <w:rFonts w:ascii="宋体" w:hAnsi="宋体" w:cs="宋体"/>
                <w:bCs/>
                <w:color w:val="auto"/>
                <w:kern w:val="0"/>
                <w:highlight w:val="none"/>
              </w:rPr>
            </w:pPr>
            <w:r>
              <w:rPr>
                <w:rFonts w:hint="eastAsia" w:ascii="宋体" w:hAnsi="宋体" w:eastAsia="宋体" w:cs="宋体"/>
                <w:color w:val="auto"/>
                <w:highlight w:val="none"/>
              </w:rPr>
              <w:t>渑池县公共资源交易中心六楼开标区</w:t>
            </w:r>
          </w:p>
        </w:tc>
      </w:tr>
      <w:tr w14:paraId="01FD0607">
        <w:tblPrEx>
          <w:tblCellMar>
            <w:top w:w="0" w:type="dxa"/>
            <w:left w:w="108" w:type="dxa"/>
            <w:bottom w:w="0" w:type="dxa"/>
            <w:right w:w="108" w:type="dxa"/>
          </w:tblCellMar>
        </w:tblPrEx>
        <w:trPr>
          <w:trHeight w:val="518" w:hRule="atLeast"/>
          <w:jc w:val="center"/>
        </w:trPr>
        <w:tc>
          <w:tcPr>
            <w:tcW w:w="697" w:type="dxa"/>
            <w:tcBorders>
              <w:top w:val="single" w:color="auto" w:sz="4" w:space="0"/>
              <w:left w:val="single" w:color="auto" w:sz="4" w:space="0"/>
              <w:bottom w:val="single" w:color="auto" w:sz="4" w:space="0"/>
              <w:right w:val="single" w:color="auto" w:sz="4" w:space="0"/>
            </w:tcBorders>
            <w:noWrap w:val="0"/>
            <w:vAlign w:val="center"/>
          </w:tcPr>
          <w:p w14:paraId="50F52E8D">
            <w:pPr>
              <w:widowControl/>
              <w:wordWrap w:val="0"/>
              <w:jc w:val="center"/>
              <w:rPr>
                <w:rFonts w:hint="eastAsia" w:ascii="宋体" w:hAnsi="宋体" w:cs="宋体"/>
                <w:color w:val="auto"/>
                <w:highlight w:val="none"/>
              </w:rPr>
            </w:pPr>
            <w:r>
              <w:rPr>
                <w:rFonts w:hint="eastAsia" w:ascii="宋体" w:hAnsi="宋体" w:cs="宋体"/>
                <w:color w:val="auto"/>
                <w:kern w:val="0"/>
                <w:highlight w:val="none"/>
              </w:rPr>
              <w:t>14</w:t>
            </w:r>
          </w:p>
        </w:tc>
        <w:tc>
          <w:tcPr>
            <w:tcW w:w="2070" w:type="dxa"/>
            <w:tcBorders>
              <w:top w:val="single" w:color="auto" w:sz="4" w:space="0"/>
              <w:left w:val="nil"/>
              <w:bottom w:val="single" w:color="auto" w:sz="4" w:space="0"/>
              <w:right w:val="single" w:color="auto" w:sz="4" w:space="0"/>
            </w:tcBorders>
            <w:noWrap w:val="0"/>
            <w:vAlign w:val="center"/>
          </w:tcPr>
          <w:p w14:paraId="645E32AD">
            <w:pPr>
              <w:widowControl/>
              <w:wordWrap w:val="0"/>
              <w:jc w:val="center"/>
              <w:rPr>
                <w:rFonts w:hint="eastAsia" w:ascii="宋体" w:hAnsi="宋体" w:cs="宋体"/>
                <w:b/>
                <w:bCs/>
                <w:color w:val="auto"/>
                <w:highlight w:val="none"/>
              </w:rPr>
            </w:pPr>
            <w:r>
              <w:rPr>
                <w:rFonts w:hint="eastAsia" w:ascii="宋体" w:hAnsi="宋体" w:cs="宋体"/>
                <w:color w:val="auto"/>
                <w:highlight w:val="none"/>
              </w:rPr>
              <w:t>招标控制价</w:t>
            </w:r>
          </w:p>
        </w:tc>
        <w:tc>
          <w:tcPr>
            <w:tcW w:w="6353" w:type="dxa"/>
            <w:tcBorders>
              <w:top w:val="single" w:color="auto" w:sz="4" w:space="0"/>
              <w:left w:val="nil"/>
              <w:bottom w:val="single" w:color="auto" w:sz="4" w:space="0"/>
              <w:right w:val="single" w:color="auto" w:sz="4" w:space="0"/>
            </w:tcBorders>
            <w:noWrap w:val="0"/>
            <w:vAlign w:val="center"/>
          </w:tcPr>
          <w:p w14:paraId="14BA28D2">
            <w:pPr>
              <w:widowControl/>
              <w:wordWrap w:val="0"/>
              <w:rPr>
                <w:rFonts w:hint="eastAsia" w:ascii="宋体" w:hAnsi="宋体" w:cs="宋体"/>
                <w:bCs/>
                <w:color w:val="auto"/>
                <w:highlight w:val="none"/>
              </w:rPr>
            </w:pPr>
            <w:r>
              <w:rPr>
                <w:rFonts w:hint="eastAsia" w:ascii="宋体" w:hAnsi="宋体" w:cs="宋体"/>
                <w:bCs/>
                <w:color w:val="auto"/>
                <w:highlight w:val="none"/>
                <w:lang w:val="en-US" w:eastAsia="zh-CN"/>
              </w:rPr>
              <w:t>980000.00</w:t>
            </w:r>
            <w:r>
              <w:rPr>
                <w:rFonts w:hint="eastAsia" w:ascii="宋体" w:hAnsi="宋体" w:cs="宋体"/>
                <w:bCs/>
                <w:color w:val="auto"/>
                <w:highlight w:val="none"/>
              </w:rPr>
              <w:t>元</w:t>
            </w:r>
            <w:r>
              <w:rPr>
                <w:rFonts w:hint="eastAsia" w:ascii="宋体" w:hAnsi="宋体" w:cs="宋体"/>
                <w:bCs/>
                <w:color w:val="auto"/>
                <w:highlight w:val="none"/>
                <w:lang w:eastAsia="zh-CN"/>
              </w:rPr>
              <w:t>，</w:t>
            </w:r>
            <w:r>
              <w:rPr>
                <w:rFonts w:hint="eastAsia" w:ascii="宋体" w:hAnsi="宋体" w:cs="宋体"/>
                <w:bCs/>
                <w:color w:val="auto"/>
                <w:highlight w:val="none"/>
              </w:rPr>
              <w:t>超过控制价的为无效标</w:t>
            </w:r>
          </w:p>
        </w:tc>
      </w:tr>
      <w:tr w14:paraId="139E7836">
        <w:tblPrEx>
          <w:tblCellMar>
            <w:top w:w="0" w:type="dxa"/>
            <w:left w:w="108" w:type="dxa"/>
            <w:bottom w:w="0" w:type="dxa"/>
            <w:right w:w="108" w:type="dxa"/>
          </w:tblCellMar>
        </w:tblPrEx>
        <w:trPr>
          <w:trHeight w:val="1880" w:hRule="atLeast"/>
          <w:jc w:val="center"/>
        </w:trPr>
        <w:tc>
          <w:tcPr>
            <w:tcW w:w="697" w:type="dxa"/>
            <w:tcBorders>
              <w:top w:val="single" w:color="auto" w:sz="4" w:space="0"/>
              <w:left w:val="single" w:color="auto" w:sz="4" w:space="0"/>
              <w:bottom w:val="single" w:color="auto" w:sz="4" w:space="0"/>
              <w:right w:val="single" w:color="auto" w:sz="4" w:space="0"/>
            </w:tcBorders>
            <w:noWrap w:val="0"/>
            <w:vAlign w:val="center"/>
          </w:tcPr>
          <w:p w14:paraId="45D8E50B">
            <w:pPr>
              <w:widowControl/>
              <w:wordWrap w:val="0"/>
              <w:jc w:val="center"/>
              <w:rPr>
                <w:rFonts w:hint="eastAsia" w:ascii="宋体" w:hAnsi="宋体" w:cs="宋体"/>
                <w:color w:val="auto"/>
                <w:highlight w:val="none"/>
              </w:rPr>
            </w:pPr>
            <w:r>
              <w:rPr>
                <w:rFonts w:hint="eastAsia" w:ascii="宋体" w:hAnsi="宋体" w:cs="宋体"/>
                <w:color w:val="auto"/>
                <w:kern w:val="0"/>
                <w:highlight w:val="none"/>
              </w:rPr>
              <w:t>15</w:t>
            </w:r>
          </w:p>
        </w:tc>
        <w:tc>
          <w:tcPr>
            <w:tcW w:w="2070" w:type="dxa"/>
            <w:tcBorders>
              <w:top w:val="single" w:color="auto" w:sz="4" w:space="0"/>
              <w:left w:val="nil"/>
              <w:bottom w:val="single" w:color="auto" w:sz="4" w:space="0"/>
              <w:right w:val="single" w:color="auto" w:sz="4" w:space="0"/>
            </w:tcBorders>
            <w:noWrap w:val="0"/>
            <w:vAlign w:val="center"/>
          </w:tcPr>
          <w:p w14:paraId="1A1B53D1">
            <w:pPr>
              <w:widowControl/>
              <w:wordWrap w:val="0"/>
              <w:jc w:val="center"/>
              <w:rPr>
                <w:rFonts w:hint="eastAsia" w:ascii="宋体" w:hAnsi="宋体" w:cs="宋体"/>
                <w:color w:val="auto"/>
                <w:kern w:val="0"/>
                <w:highlight w:val="none"/>
              </w:rPr>
            </w:pPr>
            <w:r>
              <w:rPr>
                <w:rFonts w:hint="eastAsia" w:ascii="宋体" w:hAnsi="宋体" w:cs="宋体"/>
                <w:color w:val="auto"/>
                <w:kern w:val="0"/>
                <w:highlight w:val="none"/>
              </w:rPr>
              <w:t>评标委员会的</w:t>
            </w:r>
          </w:p>
          <w:p w14:paraId="571C6556">
            <w:pPr>
              <w:widowControl/>
              <w:wordWrap w:val="0"/>
              <w:jc w:val="center"/>
              <w:rPr>
                <w:rFonts w:hint="eastAsia" w:ascii="宋体" w:hAnsi="宋体" w:cs="宋体"/>
                <w:color w:val="auto"/>
                <w:highlight w:val="none"/>
              </w:rPr>
            </w:pPr>
            <w:r>
              <w:rPr>
                <w:rFonts w:hint="eastAsia" w:ascii="宋体" w:hAnsi="宋体" w:cs="宋体"/>
                <w:color w:val="auto"/>
                <w:kern w:val="0"/>
                <w:highlight w:val="none"/>
              </w:rPr>
              <w:t>组建</w:t>
            </w:r>
          </w:p>
        </w:tc>
        <w:tc>
          <w:tcPr>
            <w:tcW w:w="6353" w:type="dxa"/>
            <w:tcBorders>
              <w:top w:val="single" w:color="auto" w:sz="4" w:space="0"/>
              <w:left w:val="nil"/>
              <w:bottom w:val="single" w:color="auto" w:sz="4" w:space="0"/>
              <w:right w:val="single" w:color="auto" w:sz="4" w:space="0"/>
            </w:tcBorders>
            <w:noWrap w:val="0"/>
            <w:vAlign w:val="center"/>
          </w:tcPr>
          <w:p w14:paraId="3016B0FF">
            <w:pPr>
              <w:widowControl/>
              <w:wordWrap w:val="0"/>
              <w:rPr>
                <w:rFonts w:hint="eastAsia" w:ascii="宋体" w:hAnsi="宋体" w:cs="宋体"/>
                <w:color w:val="auto"/>
                <w:highlight w:val="none"/>
              </w:rPr>
            </w:pPr>
            <w:r>
              <w:rPr>
                <w:rFonts w:hint="eastAsia" w:ascii="宋体" w:hAnsi="宋体" w:cs="宋体"/>
                <w:color w:val="auto"/>
                <w:highlight w:val="none"/>
              </w:rPr>
              <w:t>评标委员会构成：3人；</w:t>
            </w:r>
          </w:p>
          <w:p w14:paraId="5E1AE70F">
            <w:pPr>
              <w:widowControl/>
              <w:wordWrap w:val="0"/>
              <w:rPr>
                <w:rFonts w:hint="eastAsia" w:ascii="宋体" w:hAnsi="宋体" w:cs="宋体"/>
                <w:color w:val="auto"/>
                <w:highlight w:val="none"/>
              </w:rPr>
            </w:pPr>
            <w:r>
              <w:rPr>
                <w:rFonts w:hint="eastAsia" w:ascii="宋体" w:hAnsi="宋体" w:cs="宋体"/>
                <w:color w:val="auto"/>
                <w:highlight w:val="none"/>
              </w:rPr>
              <w:t>其中招标人代表1人，经济、技术类专家2人；</w:t>
            </w:r>
          </w:p>
          <w:p w14:paraId="1A87C9A2">
            <w:pPr>
              <w:widowControl/>
              <w:wordWrap w:val="0"/>
              <w:rPr>
                <w:rFonts w:hint="eastAsia" w:ascii="宋体" w:hAnsi="宋体" w:cs="宋体"/>
                <w:color w:val="auto"/>
                <w:highlight w:val="none"/>
              </w:rPr>
            </w:pPr>
            <w:r>
              <w:rPr>
                <w:rFonts w:hint="eastAsia" w:ascii="宋体" w:hAnsi="宋体" w:cs="宋体"/>
                <w:color w:val="auto"/>
                <w:highlight w:val="none"/>
              </w:rPr>
              <w:t>评标专家确定方式：经济、技术专家开标前从</w:t>
            </w:r>
            <w:r>
              <w:rPr>
                <w:rFonts w:hint="eastAsia" w:ascii="宋体" w:hAnsi="宋体" w:cs="宋体"/>
                <w:color w:val="auto"/>
                <w:highlight w:val="none"/>
                <w:lang w:val="en-US" w:eastAsia="zh-CN"/>
              </w:rPr>
              <w:t>河南省政府采购网</w:t>
            </w:r>
            <w:r>
              <w:rPr>
                <w:rFonts w:hint="eastAsia" w:ascii="宋体" w:hAnsi="宋体" w:cs="宋体"/>
                <w:color w:val="auto"/>
                <w:highlight w:val="none"/>
              </w:rPr>
              <w:t>随机抽取确定。</w:t>
            </w:r>
          </w:p>
        </w:tc>
      </w:tr>
      <w:tr w14:paraId="5E8C98CF">
        <w:tblPrEx>
          <w:tblCellMar>
            <w:top w:w="0" w:type="dxa"/>
            <w:left w:w="108" w:type="dxa"/>
            <w:bottom w:w="0" w:type="dxa"/>
            <w:right w:w="108" w:type="dxa"/>
          </w:tblCellMar>
        </w:tblPrEx>
        <w:trPr>
          <w:trHeight w:val="840" w:hRule="atLeast"/>
          <w:jc w:val="center"/>
        </w:trPr>
        <w:tc>
          <w:tcPr>
            <w:tcW w:w="697" w:type="dxa"/>
            <w:tcBorders>
              <w:top w:val="single" w:color="auto" w:sz="4" w:space="0"/>
              <w:left w:val="single" w:color="auto" w:sz="4" w:space="0"/>
              <w:bottom w:val="single" w:color="auto" w:sz="4" w:space="0"/>
              <w:right w:val="single" w:color="auto" w:sz="4" w:space="0"/>
            </w:tcBorders>
            <w:noWrap w:val="0"/>
            <w:vAlign w:val="center"/>
          </w:tcPr>
          <w:p w14:paraId="270C0091">
            <w:pPr>
              <w:widowControl/>
              <w:wordWrap w:val="0"/>
              <w:jc w:val="center"/>
              <w:rPr>
                <w:rFonts w:hint="eastAsia" w:ascii="宋体" w:hAnsi="宋体" w:cs="宋体"/>
                <w:color w:val="auto"/>
                <w:highlight w:val="none"/>
              </w:rPr>
            </w:pPr>
            <w:r>
              <w:rPr>
                <w:rFonts w:hint="eastAsia" w:ascii="宋体" w:hAnsi="宋体" w:cs="宋体"/>
                <w:color w:val="auto"/>
                <w:kern w:val="0"/>
                <w:highlight w:val="none"/>
              </w:rPr>
              <w:t>16</w:t>
            </w:r>
          </w:p>
        </w:tc>
        <w:tc>
          <w:tcPr>
            <w:tcW w:w="2070" w:type="dxa"/>
            <w:tcBorders>
              <w:top w:val="single" w:color="auto" w:sz="4" w:space="0"/>
              <w:left w:val="nil"/>
              <w:bottom w:val="single" w:color="auto" w:sz="4" w:space="0"/>
              <w:right w:val="single" w:color="auto" w:sz="4" w:space="0"/>
            </w:tcBorders>
            <w:noWrap w:val="0"/>
            <w:vAlign w:val="center"/>
          </w:tcPr>
          <w:p w14:paraId="7559B076">
            <w:pPr>
              <w:widowControl/>
              <w:wordWrap w:val="0"/>
              <w:jc w:val="center"/>
              <w:rPr>
                <w:rFonts w:hint="eastAsia" w:ascii="宋体" w:hAnsi="宋体" w:cs="宋体"/>
                <w:color w:val="auto"/>
                <w:kern w:val="0"/>
                <w:highlight w:val="none"/>
              </w:rPr>
            </w:pPr>
            <w:r>
              <w:rPr>
                <w:rFonts w:hint="eastAsia" w:ascii="宋体" w:hAnsi="宋体" w:cs="宋体"/>
                <w:color w:val="auto"/>
                <w:kern w:val="0"/>
                <w:highlight w:val="none"/>
              </w:rPr>
              <w:t>授权评委小组推荐中标候选人</w:t>
            </w:r>
          </w:p>
        </w:tc>
        <w:tc>
          <w:tcPr>
            <w:tcW w:w="6353" w:type="dxa"/>
            <w:tcBorders>
              <w:top w:val="single" w:color="auto" w:sz="4" w:space="0"/>
              <w:left w:val="nil"/>
              <w:bottom w:val="single" w:color="auto" w:sz="4" w:space="0"/>
              <w:right w:val="single" w:color="auto" w:sz="4" w:space="0"/>
            </w:tcBorders>
            <w:noWrap w:val="0"/>
            <w:vAlign w:val="center"/>
          </w:tcPr>
          <w:p w14:paraId="5BC70AB5">
            <w:pPr>
              <w:widowControl/>
              <w:wordWrap w:val="0"/>
              <w:rPr>
                <w:rFonts w:hint="eastAsia" w:ascii="宋体" w:hAnsi="宋体" w:cs="宋体"/>
                <w:color w:val="auto"/>
                <w:kern w:val="0"/>
                <w:highlight w:val="none"/>
              </w:rPr>
            </w:pPr>
            <w:r>
              <w:rPr>
                <w:rFonts w:hint="eastAsia" w:ascii="宋体" w:hAnsi="宋体" w:cs="宋体"/>
                <w:color w:val="auto"/>
                <w:kern w:val="0"/>
                <w:highlight w:val="none"/>
              </w:rPr>
              <w:t>是，推荐的中标候选人数：</w:t>
            </w:r>
            <w:r>
              <w:rPr>
                <w:rFonts w:hint="eastAsia" w:ascii="宋体" w:hAnsi="宋体" w:cs="宋体"/>
                <w:color w:val="auto"/>
                <w:kern w:val="0"/>
                <w:highlight w:val="none"/>
                <w:lang w:val="en-US" w:eastAsia="zh-CN"/>
              </w:rPr>
              <w:t>3</w:t>
            </w:r>
            <w:r>
              <w:rPr>
                <w:rFonts w:hint="eastAsia" w:ascii="宋体" w:hAnsi="宋体" w:cs="宋体"/>
                <w:color w:val="auto"/>
                <w:kern w:val="0"/>
                <w:highlight w:val="none"/>
              </w:rPr>
              <w:t>个</w:t>
            </w:r>
          </w:p>
        </w:tc>
      </w:tr>
      <w:tr w14:paraId="7B1F718F">
        <w:tblPrEx>
          <w:tblCellMar>
            <w:top w:w="0" w:type="dxa"/>
            <w:left w:w="108" w:type="dxa"/>
            <w:bottom w:w="0" w:type="dxa"/>
            <w:right w:w="108" w:type="dxa"/>
          </w:tblCellMar>
        </w:tblPrEx>
        <w:trPr>
          <w:trHeight w:val="851" w:hRule="atLeast"/>
          <w:jc w:val="center"/>
        </w:trPr>
        <w:tc>
          <w:tcPr>
            <w:tcW w:w="697" w:type="dxa"/>
            <w:tcBorders>
              <w:top w:val="single" w:color="auto" w:sz="4" w:space="0"/>
              <w:left w:val="single" w:color="auto" w:sz="4" w:space="0"/>
              <w:bottom w:val="single" w:color="auto" w:sz="4" w:space="0"/>
              <w:right w:val="single" w:color="auto" w:sz="4" w:space="0"/>
            </w:tcBorders>
            <w:noWrap w:val="0"/>
            <w:vAlign w:val="center"/>
          </w:tcPr>
          <w:p w14:paraId="1038E964">
            <w:pPr>
              <w:widowControl/>
              <w:wordWrap w:val="0"/>
              <w:jc w:val="center"/>
              <w:rPr>
                <w:rFonts w:hint="eastAsia" w:ascii="宋体" w:hAnsi="宋体" w:cs="宋体"/>
                <w:color w:val="auto"/>
                <w:kern w:val="0"/>
                <w:highlight w:val="none"/>
              </w:rPr>
            </w:pPr>
            <w:r>
              <w:rPr>
                <w:rFonts w:hint="eastAsia" w:ascii="宋体" w:hAnsi="宋体" w:cs="宋体"/>
                <w:color w:val="auto"/>
                <w:kern w:val="0"/>
                <w:highlight w:val="none"/>
              </w:rPr>
              <w:t>17</w:t>
            </w:r>
          </w:p>
        </w:tc>
        <w:tc>
          <w:tcPr>
            <w:tcW w:w="2070" w:type="dxa"/>
            <w:tcBorders>
              <w:top w:val="single" w:color="auto" w:sz="4" w:space="0"/>
              <w:left w:val="nil"/>
              <w:bottom w:val="single" w:color="auto" w:sz="4" w:space="0"/>
              <w:right w:val="single" w:color="auto" w:sz="4" w:space="0"/>
            </w:tcBorders>
            <w:noWrap w:val="0"/>
            <w:vAlign w:val="center"/>
          </w:tcPr>
          <w:p w14:paraId="113DD834">
            <w:pPr>
              <w:widowControl/>
              <w:wordWrap w:val="0"/>
              <w:jc w:val="center"/>
              <w:rPr>
                <w:rFonts w:hint="eastAsia" w:ascii="宋体" w:hAnsi="宋体" w:cs="宋体"/>
                <w:color w:val="auto"/>
                <w:kern w:val="0"/>
                <w:highlight w:val="none"/>
              </w:rPr>
            </w:pPr>
            <w:r>
              <w:rPr>
                <w:rFonts w:hint="eastAsia" w:ascii="宋体" w:hAnsi="宋体" w:cs="宋体"/>
                <w:color w:val="auto"/>
                <w:kern w:val="0"/>
                <w:highlight w:val="none"/>
              </w:rPr>
              <w:t>结果公示</w:t>
            </w:r>
          </w:p>
        </w:tc>
        <w:tc>
          <w:tcPr>
            <w:tcW w:w="6353" w:type="dxa"/>
            <w:tcBorders>
              <w:top w:val="single" w:color="auto" w:sz="4" w:space="0"/>
              <w:left w:val="nil"/>
              <w:bottom w:val="single" w:color="auto" w:sz="4" w:space="0"/>
              <w:right w:val="single" w:color="auto" w:sz="4" w:space="0"/>
            </w:tcBorders>
            <w:noWrap w:val="0"/>
            <w:vAlign w:val="center"/>
          </w:tcPr>
          <w:p w14:paraId="1BF957F1">
            <w:pPr>
              <w:widowControl/>
              <w:wordWrap w:val="0"/>
              <w:rPr>
                <w:rFonts w:hint="eastAsia" w:ascii="宋体" w:hAnsi="宋体" w:cs="宋体"/>
                <w:color w:val="auto"/>
                <w:kern w:val="0"/>
                <w:highlight w:val="none"/>
              </w:rPr>
            </w:pPr>
            <w:r>
              <w:rPr>
                <w:rFonts w:hint="eastAsia" w:ascii="宋体" w:hAnsi="宋体" w:cs="宋体"/>
                <w:color w:val="auto"/>
                <w:kern w:val="0"/>
                <w:highlight w:val="none"/>
              </w:rPr>
              <w:t>招标人以书面形式向中标人发出中标通知书，同时向未中标企业以书面或电子形式告知未中标原因。</w:t>
            </w:r>
          </w:p>
        </w:tc>
      </w:tr>
      <w:tr w14:paraId="4F0C97DC">
        <w:tblPrEx>
          <w:tblCellMar>
            <w:top w:w="0" w:type="dxa"/>
            <w:left w:w="108" w:type="dxa"/>
            <w:bottom w:w="0" w:type="dxa"/>
            <w:right w:w="108" w:type="dxa"/>
          </w:tblCellMar>
        </w:tblPrEx>
        <w:trPr>
          <w:trHeight w:val="481" w:hRule="atLeast"/>
          <w:jc w:val="center"/>
        </w:trPr>
        <w:tc>
          <w:tcPr>
            <w:tcW w:w="697" w:type="dxa"/>
            <w:tcBorders>
              <w:top w:val="single" w:color="auto" w:sz="4" w:space="0"/>
              <w:left w:val="single" w:color="auto" w:sz="4" w:space="0"/>
              <w:bottom w:val="single" w:color="auto" w:sz="4" w:space="0"/>
              <w:right w:val="single" w:color="auto" w:sz="4" w:space="0"/>
            </w:tcBorders>
            <w:noWrap w:val="0"/>
            <w:vAlign w:val="center"/>
          </w:tcPr>
          <w:p w14:paraId="61C1DFFD">
            <w:pPr>
              <w:widowControl/>
              <w:wordWrap w:val="0"/>
              <w:jc w:val="center"/>
              <w:rPr>
                <w:rFonts w:hint="eastAsia" w:ascii="宋体" w:hAnsi="宋体" w:cs="宋体"/>
                <w:color w:val="auto"/>
                <w:highlight w:val="none"/>
              </w:rPr>
            </w:pPr>
            <w:r>
              <w:rPr>
                <w:rFonts w:hint="eastAsia" w:ascii="宋体" w:hAnsi="宋体" w:cs="宋体"/>
                <w:color w:val="auto"/>
                <w:kern w:val="0"/>
                <w:highlight w:val="none"/>
              </w:rPr>
              <w:t>18</w:t>
            </w:r>
          </w:p>
        </w:tc>
        <w:tc>
          <w:tcPr>
            <w:tcW w:w="2070" w:type="dxa"/>
            <w:tcBorders>
              <w:top w:val="single" w:color="auto" w:sz="4" w:space="0"/>
              <w:left w:val="nil"/>
              <w:bottom w:val="single" w:color="auto" w:sz="4" w:space="0"/>
              <w:right w:val="single" w:color="auto" w:sz="4" w:space="0"/>
            </w:tcBorders>
            <w:noWrap w:val="0"/>
            <w:vAlign w:val="center"/>
          </w:tcPr>
          <w:p w14:paraId="4CA9E1ED">
            <w:pPr>
              <w:widowControl/>
              <w:wordWrap w:val="0"/>
              <w:jc w:val="center"/>
              <w:rPr>
                <w:rFonts w:hint="eastAsia" w:ascii="宋体" w:hAnsi="宋体" w:cs="宋体"/>
                <w:color w:val="auto"/>
                <w:kern w:val="0"/>
                <w:highlight w:val="none"/>
              </w:rPr>
            </w:pPr>
            <w:r>
              <w:rPr>
                <w:rFonts w:hint="eastAsia" w:ascii="宋体" w:hAnsi="宋体" w:cs="宋体"/>
                <w:color w:val="auto"/>
                <w:kern w:val="0"/>
                <w:highlight w:val="none"/>
              </w:rPr>
              <w:t>签订合同时间</w:t>
            </w:r>
          </w:p>
        </w:tc>
        <w:tc>
          <w:tcPr>
            <w:tcW w:w="6353" w:type="dxa"/>
            <w:tcBorders>
              <w:top w:val="single" w:color="auto" w:sz="4" w:space="0"/>
              <w:left w:val="nil"/>
              <w:bottom w:val="single" w:color="auto" w:sz="4" w:space="0"/>
              <w:right w:val="single" w:color="auto" w:sz="4" w:space="0"/>
            </w:tcBorders>
            <w:noWrap w:val="0"/>
            <w:vAlign w:val="center"/>
          </w:tcPr>
          <w:p w14:paraId="71AF841A">
            <w:pPr>
              <w:widowControl/>
              <w:wordWrap w:val="0"/>
              <w:rPr>
                <w:rFonts w:hint="eastAsia" w:ascii="宋体" w:hAnsi="宋体" w:cs="宋体"/>
                <w:color w:val="auto"/>
                <w:kern w:val="0"/>
                <w:highlight w:val="none"/>
              </w:rPr>
            </w:pPr>
            <w:r>
              <w:rPr>
                <w:rFonts w:hint="eastAsia" w:ascii="宋体" w:hAnsi="宋体" w:cs="宋体"/>
                <w:color w:val="auto"/>
                <w:kern w:val="0"/>
                <w:highlight w:val="none"/>
              </w:rPr>
              <w:t>中标通知书发出后30日内</w:t>
            </w:r>
          </w:p>
        </w:tc>
      </w:tr>
      <w:tr w14:paraId="034C0C85">
        <w:tblPrEx>
          <w:tblCellMar>
            <w:top w:w="0" w:type="dxa"/>
            <w:left w:w="108" w:type="dxa"/>
            <w:bottom w:w="0" w:type="dxa"/>
            <w:right w:w="108" w:type="dxa"/>
          </w:tblCellMar>
        </w:tblPrEx>
        <w:trPr>
          <w:trHeight w:val="415" w:hRule="atLeast"/>
          <w:jc w:val="center"/>
        </w:trPr>
        <w:tc>
          <w:tcPr>
            <w:tcW w:w="697" w:type="dxa"/>
            <w:tcBorders>
              <w:top w:val="single" w:color="auto" w:sz="4" w:space="0"/>
              <w:left w:val="single" w:color="auto" w:sz="4" w:space="0"/>
              <w:bottom w:val="single" w:color="auto" w:sz="4" w:space="0"/>
              <w:right w:val="single" w:color="auto" w:sz="4" w:space="0"/>
            </w:tcBorders>
            <w:noWrap w:val="0"/>
            <w:vAlign w:val="center"/>
          </w:tcPr>
          <w:p w14:paraId="1C29E2A8">
            <w:pPr>
              <w:widowControl/>
              <w:wordWrap w:val="0"/>
              <w:jc w:val="center"/>
              <w:rPr>
                <w:rFonts w:ascii="宋体" w:hAnsi="宋体" w:cs="宋体"/>
                <w:color w:val="auto"/>
                <w:highlight w:val="none"/>
              </w:rPr>
            </w:pPr>
            <w:r>
              <w:rPr>
                <w:rFonts w:hint="eastAsia" w:ascii="宋体" w:hAnsi="宋体" w:cs="宋体"/>
                <w:color w:val="auto"/>
                <w:kern w:val="0"/>
                <w:highlight w:val="none"/>
              </w:rPr>
              <w:t>19</w:t>
            </w:r>
          </w:p>
        </w:tc>
        <w:tc>
          <w:tcPr>
            <w:tcW w:w="2070" w:type="dxa"/>
            <w:tcBorders>
              <w:top w:val="single" w:color="auto" w:sz="4" w:space="0"/>
              <w:left w:val="nil"/>
              <w:bottom w:val="single" w:color="auto" w:sz="4" w:space="0"/>
              <w:right w:val="single" w:color="auto" w:sz="4" w:space="0"/>
            </w:tcBorders>
            <w:noWrap w:val="0"/>
            <w:vAlign w:val="center"/>
          </w:tcPr>
          <w:p w14:paraId="1B65D8E6">
            <w:pPr>
              <w:widowControl/>
              <w:wordWrap w:val="0"/>
              <w:jc w:val="center"/>
              <w:rPr>
                <w:rFonts w:hint="eastAsia" w:ascii="宋体" w:hAnsi="宋体" w:cs="宋体"/>
                <w:color w:val="auto"/>
                <w:kern w:val="0"/>
                <w:highlight w:val="none"/>
              </w:rPr>
            </w:pPr>
            <w:r>
              <w:rPr>
                <w:rFonts w:hint="eastAsia" w:ascii="宋体" w:hAnsi="宋体" w:cs="宋体"/>
                <w:color w:val="auto"/>
                <w:kern w:val="0"/>
                <w:highlight w:val="none"/>
              </w:rPr>
              <w:t>磋商有效期</w:t>
            </w:r>
          </w:p>
        </w:tc>
        <w:tc>
          <w:tcPr>
            <w:tcW w:w="6353" w:type="dxa"/>
            <w:tcBorders>
              <w:top w:val="single" w:color="auto" w:sz="4" w:space="0"/>
              <w:left w:val="nil"/>
              <w:bottom w:val="single" w:color="auto" w:sz="4" w:space="0"/>
              <w:right w:val="single" w:color="auto" w:sz="4" w:space="0"/>
            </w:tcBorders>
            <w:noWrap w:val="0"/>
            <w:vAlign w:val="center"/>
          </w:tcPr>
          <w:p w14:paraId="6C26C0D0">
            <w:pPr>
              <w:widowControl/>
              <w:wordWrap w:val="0"/>
              <w:rPr>
                <w:rFonts w:hint="eastAsia" w:ascii="宋体" w:hAnsi="宋体" w:cs="宋体"/>
                <w:color w:val="auto"/>
                <w:kern w:val="0"/>
                <w:highlight w:val="none"/>
              </w:rPr>
            </w:pPr>
            <w:r>
              <w:rPr>
                <w:rFonts w:hint="eastAsia" w:ascii="宋体" w:hAnsi="宋体" w:cs="宋体"/>
                <w:color w:val="auto"/>
                <w:kern w:val="0"/>
                <w:highlight w:val="none"/>
              </w:rPr>
              <w:t>60日历天</w:t>
            </w:r>
          </w:p>
        </w:tc>
      </w:tr>
      <w:tr w14:paraId="41FDFE2F">
        <w:tblPrEx>
          <w:tblCellMar>
            <w:top w:w="0" w:type="dxa"/>
            <w:left w:w="108" w:type="dxa"/>
            <w:bottom w:w="0" w:type="dxa"/>
            <w:right w:w="108" w:type="dxa"/>
          </w:tblCellMar>
        </w:tblPrEx>
        <w:trPr>
          <w:trHeight w:val="415" w:hRule="atLeast"/>
          <w:jc w:val="center"/>
        </w:trPr>
        <w:tc>
          <w:tcPr>
            <w:tcW w:w="697" w:type="dxa"/>
            <w:tcBorders>
              <w:top w:val="single" w:color="auto" w:sz="4" w:space="0"/>
              <w:left w:val="single" w:color="auto" w:sz="4" w:space="0"/>
              <w:bottom w:val="single" w:color="auto" w:sz="4" w:space="0"/>
              <w:right w:val="single" w:color="auto" w:sz="4" w:space="0"/>
            </w:tcBorders>
            <w:noWrap w:val="0"/>
            <w:vAlign w:val="center"/>
          </w:tcPr>
          <w:p w14:paraId="446D4245">
            <w:pPr>
              <w:widowControl/>
              <w:wordWrap w:val="0"/>
              <w:jc w:val="center"/>
              <w:rPr>
                <w:rFonts w:ascii="宋体" w:hAnsi="宋体" w:cs="宋体"/>
                <w:color w:val="auto"/>
                <w:kern w:val="0"/>
                <w:highlight w:val="none"/>
              </w:rPr>
            </w:pPr>
            <w:r>
              <w:rPr>
                <w:rFonts w:hint="eastAsia" w:ascii="宋体" w:hAnsi="宋体" w:cs="宋体"/>
                <w:color w:val="auto"/>
                <w:kern w:val="0"/>
                <w:highlight w:val="none"/>
              </w:rPr>
              <w:t>20</w:t>
            </w:r>
          </w:p>
        </w:tc>
        <w:tc>
          <w:tcPr>
            <w:tcW w:w="2070" w:type="dxa"/>
            <w:tcBorders>
              <w:top w:val="single" w:color="auto" w:sz="4" w:space="0"/>
              <w:left w:val="nil"/>
              <w:bottom w:val="single" w:color="auto" w:sz="4" w:space="0"/>
              <w:right w:val="single" w:color="auto" w:sz="4" w:space="0"/>
            </w:tcBorders>
            <w:noWrap w:val="0"/>
            <w:vAlign w:val="center"/>
          </w:tcPr>
          <w:p w14:paraId="7B984B02">
            <w:pPr>
              <w:widowControl/>
              <w:wordWrap w:val="0"/>
              <w:jc w:val="center"/>
              <w:rPr>
                <w:rFonts w:hint="eastAsia" w:ascii="宋体" w:hAnsi="宋体" w:cs="宋体"/>
                <w:color w:val="auto"/>
                <w:kern w:val="0"/>
                <w:highlight w:val="none"/>
              </w:rPr>
            </w:pPr>
            <w:r>
              <w:rPr>
                <w:rFonts w:hint="eastAsia" w:ascii="宋体" w:hAnsi="宋体" w:cs="宋体"/>
                <w:color w:val="auto"/>
                <w:kern w:val="0"/>
                <w:highlight w:val="none"/>
              </w:rPr>
              <w:t>履约保证金</w:t>
            </w:r>
          </w:p>
        </w:tc>
        <w:tc>
          <w:tcPr>
            <w:tcW w:w="6353" w:type="dxa"/>
            <w:tcBorders>
              <w:top w:val="single" w:color="auto" w:sz="4" w:space="0"/>
              <w:left w:val="nil"/>
              <w:bottom w:val="single" w:color="auto" w:sz="4" w:space="0"/>
              <w:right w:val="single" w:color="auto" w:sz="4" w:space="0"/>
            </w:tcBorders>
            <w:noWrap w:val="0"/>
            <w:vAlign w:val="center"/>
          </w:tcPr>
          <w:p w14:paraId="7C4B02FA">
            <w:pPr>
              <w:widowControl/>
              <w:wordWrap w:val="0"/>
              <w:rPr>
                <w:rFonts w:hint="eastAsia" w:ascii="宋体" w:hAnsi="宋体" w:cs="宋体"/>
                <w:color w:val="auto"/>
                <w:kern w:val="0"/>
                <w:highlight w:val="none"/>
              </w:rPr>
            </w:pPr>
            <w:r>
              <w:rPr>
                <w:rFonts w:hint="eastAsia" w:ascii="宋体" w:hAnsi="宋体" w:cs="宋体"/>
                <w:color w:val="auto"/>
                <w:kern w:val="0"/>
                <w:highlight w:val="none"/>
              </w:rPr>
              <w:t>本项目不收取履约保证金</w:t>
            </w:r>
          </w:p>
        </w:tc>
      </w:tr>
      <w:tr w14:paraId="2D8D7CFA">
        <w:tblPrEx>
          <w:tblCellMar>
            <w:top w:w="0" w:type="dxa"/>
            <w:left w:w="108" w:type="dxa"/>
            <w:bottom w:w="0" w:type="dxa"/>
            <w:right w:w="108" w:type="dxa"/>
          </w:tblCellMar>
        </w:tblPrEx>
        <w:trPr>
          <w:trHeight w:val="1281" w:hRule="atLeast"/>
          <w:jc w:val="center"/>
        </w:trPr>
        <w:tc>
          <w:tcPr>
            <w:tcW w:w="697" w:type="dxa"/>
            <w:tcBorders>
              <w:top w:val="single" w:color="auto" w:sz="4" w:space="0"/>
              <w:left w:val="single" w:color="auto" w:sz="4" w:space="0"/>
              <w:bottom w:val="single" w:color="auto" w:sz="4" w:space="0"/>
              <w:right w:val="single" w:color="auto" w:sz="4" w:space="0"/>
            </w:tcBorders>
            <w:noWrap w:val="0"/>
            <w:vAlign w:val="center"/>
          </w:tcPr>
          <w:p w14:paraId="54D34A5A">
            <w:pPr>
              <w:widowControl/>
              <w:wordWrap w:val="0"/>
              <w:jc w:val="center"/>
              <w:rPr>
                <w:rFonts w:hint="eastAsia" w:ascii="宋体" w:hAnsi="宋体" w:cs="宋体"/>
                <w:color w:val="auto"/>
                <w:kern w:val="0"/>
                <w:highlight w:val="none"/>
              </w:rPr>
            </w:pPr>
            <w:r>
              <w:rPr>
                <w:rFonts w:hint="eastAsia" w:ascii="宋体" w:hAnsi="宋体" w:cs="宋体"/>
                <w:color w:val="auto"/>
                <w:kern w:val="0"/>
                <w:highlight w:val="none"/>
              </w:rPr>
              <w:t>21</w:t>
            </w:r>
          </w:p>
        </w:tc>
        <w:tc>
          <w:tcPr>
            <w:tcW w:w="2070" w:type="dxa"/>
            <w:tcBorders>
              <w:top w:val="single" w:color="auto" w:sz="4" w:space="0"/>
              <w:left w:val="nil"/>
              <w:bottom w:val="single" w:color="auto" w:sz="4" w:space="0"/>
              <w:right w:val="single" w:color="auto" w:sz="4" w:space="0"/>
            </w:tcBorders>
            <w:noWrap w:val="0"/>
            <w:vAlign w:val="top"/>
          </w:tcPr>
          <w:p w14:paraId="4B99A408">
            <w:pPr>
              <w:wordWrap w:val="0"/>
              <w:jc w:val="center"/>
              <w:rPr>
                <w:rFonts w:hint="eastAsia"/>
                <w:color w:val="auto"/>
                <w:highlight w:val="none"/>
              </w:rPr>
            </w:pPr>
          </w:p>
          <w:p w14:paraId="0DF03C7A">
            <w:pPr>
              <w:wordWrap w:val="0"/>
              <w:jc w:val="center"/>
              <w:rPr>
                <w:rFonts w:hint="eastAsia"/>
                <w:color w:val="auto"/>
                <w:highlight w:val="none"/>
              </w:rPr>
            </w:pPr>
            <w:r>
              <w:rPr>
                <w:rFonts w:hint="eastAsia"/>
                <w:color w:val="auto"/>
                <w:highlight w:val="none"/>
              </w:rPr>
              <w:t>代理服务费</w:t>
            </w:r>
          </w:p>
        </w:tc>
        <w:tc>
          <w:tcPr>
            <w:tcW w:w="6353" w:type="dxa"/>
            <w:tcBorders>
              <w:top w:val="single" w:color="auto" w:sz="4" w:space="0"/>
              <w:left w:val="nil"/>
              <w:bottom w:val="single" w:color="auto" w:sz="4" w:space="0"/>
              <w:right w:val="single" w:color="auto" w:sz="4" w:space="0"/>
            </w:tcBorders>
            <w:noWrap w:val="0"/>
            <w:vAlign w:val="top"/>
          </w:tcPr>
          <w:p w14:paraId="3DEB1A4F">
            <w:pPr>
              <w:wordWrap w:val="0"/>
              <w:rPr>
                <w:color w:val="auto"/>
                <w:highlight w:val="none"/>
              </w:rPr>
            </w:pPr>
            <w:r>
              <w:rPr>
                <w:rFonts w:hint="eastAsia"/>
                <w:color w:val="auto"/>
                <w:highlight w:val="none"/>
              </w:rPr>
              <w:t>招标代理服务费参照《河南省招标代理服务收费指导意见》豫招协（2023）002号文件中，河南省招标代理服务收费计算标准计取。领取中标通知书前由中标人支付。</w:t>
            </w:r>
          </w:p>
        </w:tc>
      </w:tr>
      <w:tr w14:paraId="1D9F3C30">
        <w:tblPrEx>
          <w:tblCellMar>
            <w:top w:w="0" w:type="dxa"/>
            <w:left w:w="108" w:type="dxa"/>
            <w:bottom w:w="0" w:type="dxa"/>
            <w:right w:w="108" w:type="dxa"/>
          </w:tblCellMar>
        </w:tblPrEx>
        <w:trPr>
          <w:trHeight w:val="696" w:hRule="atLeast"/>
          <w:jc w:val="center"/>
        </w:trPr>
        <w:tc>
          <w:tcPr>
            <w:tcW w:w="697" w:type="dxa"/>
            <w:tcBorders>
              <w:top w:val="single" w:color="auto" w:sz="4" w:space="0"/>
              <w:left w:val="single" w:color="auto" w:sz="4" w:space="0"/>
              <w:bottom w:val="single" w:color="auto" w:sz="4" w:space="0"/>
              <w:right w:val="single" w:color="auto" w:sz="4" w:space="0"/>
            </w:tcBorders>
            <w:noWrap w:val="0"/>
            <w:vAlign w:val="center"/>
          </w:tcPr>
          <w:p w14:paraId="5A77BA37">
            <w:pPr>
              <w:widowControl/>
              <w:wordWrap w:val="0"/>
              <w:jc w:val="center"/>
              <w:rPr>
                <w:rFonts w:hint="default" w:ascii="宋体" w:hAnsi="宋体" w:eastAsia="宋体" w:cs="宋体"/>
                <w:color w:val="auto"/>
                <w:kern w:val="0"/>
                <w:highlight w:val="none"/>
                <w:lang w:val="en-US" w:eastAsia="zh-CN"/>
              </w:rPr>
            </w:pPr>
            <w:r>
              <w:rPr>
                <w:rFonts w:hint="eastAsia" w:ascii="宋体" w:hAnsi="宋体" w:cs="宋体"/>
                <w:color w:val="auto"/>
                <w:kern w:val="0"/>
                <w:highlight w:val="none"/>
                <w:lang w:val="en-US" w:eastAsia="zh-CN"/>
              </w:rPr>
              <w:t>22</w:t>
            </w:r>
          </w:p>
        </w:tc>
        <w:tc>
          <w:tcPr>
            <w:tcW w:w="2070" w:type="dxa"/>
            <w:tcBorders>
              <w:top w:val="single" w:color="auto" w:sz="4" w:space="0"/>
              <w:left w:val="nil"/>
              <w:bottom w:val="single" w:color="auto" w:sz="4" w:space="0"/>
              <w:right w:val="single" w:color="auto" w:sz="4" w:space="0"/>
            </w:tcBorders>
            <w:noWrap w:val="0"/>
            <w:vAlign w:val="center"/>
          </w:tcPr>
          <w:p w14:paraId="6ADAA47C">
            <w:pPr>
              <w:wordWrap w:val="0"/>
              <w:ind w:firstLine="480" w:firstLineChars="200"/>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lang w:val="en-US" w:eastAsia="zh-CN"/>
              </w:rPr>
              <w:t>所属行业</w:t>
            </w:r>
          </w:p>
        </w:tc>
        <w:tc>
          <w:tcPr>
            <w:tcW w:w="6353" w:type="dxa"/>
            <w:tcBorders>
              <w:top w:val="single" w:color="auto" w:sz="4" w:space="0"/>
              <w:left w:val="nil"/>
              <w:bottom w:val="single" w:color="auto" w:sz="4" w:space="0"/>
              <w:right w:val="single" w:color="auto" w:sz="4" w:space="0"/>
            </w:tcBorders>
            <w:noWrap w:val="0"/>
            <w:vAlign w:val="center"/>
          </w:tcPr>
          <w:p w14:paraId="488318FC">
            <w:pPr>
              <w:wordWrap w:val="0"/>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lang w:val="en-US" w:eastAsia="zh-CN"/>
              </w:rPr>
              <w:t>详见中小企业划型标准规定（工信部联企业[2011]300 号）</w:t>
            </w:r>
          </w:p>
        </w:tc>
      </w:tr>
      <w:tr w14:paraId="6EE2C390">
        <w:trPr>
          <w:trHeight w:val="501" w:hRule="atLeast"/>
          <w:jc w:val="center"/>
        </w:trPr>
        <w:tc>
          <w:tcPr>
            <w:tcW w:w="697" w:type="dxa"/>
            <w:tcBorders>
              <w:top w:val="single" w:color="auto" w:sz="4" w:space="0"/>
              <w:left w:val="single" w:color="auto" w:sz="4" w:space="0"/>
              <w:bottom w:val="single" w:color="auto" w:sz="4" w:space="0"/>
              <w:right w:val="single" w:color="auto" w:sz="4" w:space="0"/>
            </w:tcBorders>
            <w:noWrap w:val="0"/>
            <w:vAlign w:val="center"/>
          </w:tcPr>
          <w:p w14:paraId="12535FA8">
            <w:pPr>
              <w:widowControl/>
              <w:wordWrap w:val="0"/>
              <w:jc w:val="center"/>
              <w:rPr>
                <w:rFonts w:hint="default" w:ascii="宋体" w:hAnsi="宋体" w:eastAsia="宋体" w:cs="宋体"/>
                <w:color w:val="auto"/>
                <w:highlight w:val="none"/>
                <w:lang w:val="en-US" w:eastAsia="zh-CN"/>
              </w:rPr>
            </w:pPr>
            <w:r>
              <w:rPr>
                <w:rFonts w:hint="eastAsia" w:ascii="宋体" w:hAnsi="宋体" w:cs="宋体"/>
                <w:color w:val="auto"/>
                <w:kern w:val="0"/>
                <w:highlight w:val="none"/>
                <w:lang w:val="en-US" w:eastAsia="zh-CN"/>
              </w:rPr>
              <w:t>23</w:t>
            </w:r>
          </w:p>
        </w:tc>
        <w:tc>
          <w:tcPr>
            <w:tcW w:w="2070" w:type="dxa"/>
            <w:tcBorders>
              <w:top w:val="single" w:color="auto" w:sz="4" w:space="0"/>
              <w:left w:val="nil"/>
              <w:bottom w:val="single" w:color="auto" w:sz="4" w:space="0"/>
              <w:right w:val="single" w:color="auto" w:sz="4" w:space="0"/>
            </w:tcBorders>
            <w:noWrap w:val="0"/>
            <w:vAlign w:val="center"/>
          </w:tcPr>
          <w:p w14:paraId="3A2B05CF">
            <w:pPr>
              <w:widowControl/>
              <w:wordWrap w:val="0"/>
              <w:jc w:val="center"/>
              <w:rPr>
                <w:rFonts w:hint="eastAsia" w:ascii="宋体" w:hAnsi="宋体" w:cs="宋体"/>
                <w:color w:val="auto"/>
                <w:kern w:val="0"/>
                <w:highlight w:val="none"/>
              </w:rPr>
            </w:pPr>
            <w:r>
              <w:rPr>
                <w:rFonts w:hint="eastAsia" w:ascii="宋体" w:hAnsi="宋体" w:cs="宋体"/>
                <w:color w:val="auto"/>
                <w:kern w:val="0"/>
                <w:highlight w:val="none"/>
              </w:rPr>
              <w:t>解释</w:t>
            </w:r>
          </w:p>
        </w:tc>
        <w:tc>
          <w:tcPr>
            <w:tcW w:w="6353" w:type="dxa"/>
            <w:tcBorders>
              <w:top w:val="single" w:color="auto" w:sz="4" w:space="0"/>
              <w:left w:val="nil"/>
              <w:bottom w:val="single" w:color="auto" w:sz="4" w:space="0"/>
              <w:right w:val="single" w:color="auto" w:sz="4" w:space="0"/>
            </w:tcBorders>
            <w:noWrap w:val="0"/>
            <w:vAlign w:val="center"/>
          </w:tcPr>
          <w:p w14:paraId="25FFC0C4">
            <w:pPr>
              <w:widowControl/>
              <w:wordWrap w:val="0"/>
              <w:rPr>
                <w:rFonts w:hint="eastAsia" w:ascii="宋体" w:hAnsi="宋体" w:cs="宋体"/>
                <w:color w:val="auto"/>
                <w:kern w:val="0"/>
                <w:highlight w:val="none"/>
              </w:rPr>
            </w:pPr>
            <w:r>
              <w:rPr>
                <w:rFonts w:hint="eastAsia" w:ascii="宋体" w:hAnsi="宋体" w:cs="宋体"/>
                <w:color w:val="auto"/>
                <w:kern w:val="0"/>
                <w:highlight w:val="none"/>
              </w:rPr>
              <w:t>本竞争性磋商文件的解释权属于采购人。</w:t>
            </w:r>
          </w:p>
        </w:tc>
      </w:tr>
      <w:tr w14:paraId="255C3AC2">
        <w:tblPrEx>
          <w:tblCellMar>
            <w:top w:w="0" w:type="dxa"/>
            <w:left w:w="108" w:type="dxa"/>
            <w:bottom w:w="0" w:type="dxa"/>
            <w:right w:w="108" w:type="dxa"/>
          </w:tblCellMar>
        </w:tblPrEx>
        <w:trPr>
          <w:trHeight w:val="683" w:hRule="atLeast"/>
          <w:jc w:val="center"/>
        </w:trPr>
        <w:tc>
          <w:tcPr>
            <w:tcW w:w="697" w:type="dxa"/>
            <w:tcBorders>
              <w:top w:val="single" w:color="auto" w:sz="4" w:space="0"/>
              <w:left w:val="single" w:color="auto" w:sz="4" w:space="0"/>
              <w:bottom w:val="single" w:color="auto" w:sz="4" w:space="0"/>
              <w:right w:val="single" w:color="auto" w:sz="4" w:space="0"/>
            </w:tcBorders>
            <w:noWrap w:val="0"/>
            <w:vAlign w:val="center"/>
          </w:tcPr>
          <w:p w14:paraId="644519E2">
            <w:pPr>
              <w:widowControl/>
              <w:wordWrap w:val="0"/>
              <w:jc w:val="center"/>
              <w:rPr>
                <w:rFonts w:hint="default" w:ascii="宋体" w:hAnsi="宋体" w:eastAsia="宋体" w:cs="宋体"/>
                <w:color w:val="auto"/>
                <w:highlight w:val="none"/>
                <w:lang w:val="en-US" w:eastAsia="zh-CN"/>
              </w:rPr>
            </w:pPr>
            <w:r>
              <w:rPr>
                <w:rFonts w:hint="eastAsia" w:ascii="宋体" w:hAnsi="宋体" w:cs="宋体"/>
                <w:color w:val="auto"/>
                <w:kern w:val="0"/>
                <w:highlight w:val="none"/>
                <w:lang w:val="en-US" w:eastAsia="zh-CN"/>
              </w:rPr>
              <w:t>24</w:t>
            </w:r>
          </w:p>
        </w:tc>
        <w:tc>
          <w:tcPr>
            <w:tcW w:w="2070" w:type="dxa"/>
            <w:tcBorders>
              <w:top w:val="single" w:color="auto" w:sz="4" w:space="0"/>
              <w:left w:val="nil"/>
              <w:bottom w:val="single" w:color="auto" w:sz="4" w:space="0"/>
              <w:right w:val="single" w:color="auto" w:sz="4" w:space="0"/>
            </w:tcBorders>
            <w:noWrap w:val="0"/>
            <w:vAlign w:val="center"/>
          </w:tcPr>
          <w:p w14:paraId="1384D8C6">
            <w:pPr>
              <w:widowControl/>
              <w:wordWrap w:val="0"/>
              <w:jc w:val="center"/>
              <w:rPr>
                <w:rFonts w:hint="eastAsia" w:ascii="宋体" w:hAnsi="宋体" w:cs="宋体"/>
                <w:color w:val="auto"/>
                <w:highlight w:val="none"/>
              </w:rPr>
            </w:pPr>
            <w:r>
              <w:rPr>
                <w:rFonts w:hint="eastAsia" w:ascii="宋体" w:hAnsi="宋体" w:cs="宋体"/>
                <w:color w:val="auto"/>
                <w:kern w:val="0"/>
                <w:highlight w:val="none"/>
              </w:rPr>
              <w:t>电子化交易注意事项</w:t>
            </w:r>
          </w:p>
        </w:tc>
        <w:tc>
          <w:tcPr>
            <w:tcW w:w="6353" w:type="dxa"/>
            <w:tcBorders>
              <w:top w:val="single" w:color="auto" w:sz="4" w:space="0"/>
              <w:left w:val="nil"/>
              <w:bottom w:val="single" w:color="auto" w:sz="4" w:space="0"/>
              <w:right w:val="single" w:color="auto" w:sz="4" w:space="0"/>
            </w:tcBorders>
            <w:noWrap w:val="0"/>
            <w:vAlign w:val="center"/>
          </w:tcPr>
          <w:p w14:paraId="16A2A011">
            <w:pPr>
              <w:widowControl/>
              <w:wordWrap w:val="0"/>
              <w:snapToGrid w:val="0"/>
              <w:spacing w:line="460" w:lineRule="exact"/>
              <w:rPr>
                <w:rFonts w:hint="eastAsia" w:ascii="宋体" w:hAnsi="宋体" w:cs="宋体"/>
                <w:color w:val="auto"/>
                <w:highlight w:val="none"/>
              </w:rPr>
            </w:pPr>
            <w:r>
              <w:rPr>
                <w:rFonts w:hint="eastAsia" w:ascii="宋体" w:hAnsi="宋体" w:cs="宋体"/>
                <w:color w:val="auto"/>
                <w:highlight w:val="none"/>
              </w:rPr>
              <w:t>本项目为电子化交易项目，响应性文件是供应商、供应商（以下简称“供应商”）通过中心响应性文件制作系统制作，并经过电子签章和加密后生成的电子版响应性文件。供应商投标时，不须提交纸质文件资料。</w:t>
            </w:r>
          </w:p>
          <w:p w14:paraId="29DB5778">
            <w:pPr>
              <w:widowControl/>
              <w:wordWrap w:val="0"/>
              <w:snapToGrid w:val="0"/>
              <w:spacing w:line="460" w:lineRule="exact"/>
              <w:rPr>
                <w:rFonts w:hint="eastAsia" w:ascii="宋体" w:hAnsi="宋体" w:cs="宋体"/>
                <w:color w:val="auto"/>
                <w:highlight w:val="none"/>
              </w:rPr>
            </w:pPr>
            <w:r>
              <w:rPr>
                <w:rFonts w:hint="eastAsia" w:ascii="宋体" w:hAnsi="宋体" w:cs="宋体"/>
                <w:color w:val="auto"/>
                <w:highlight w:val="none"/>
              </w:rPr>
              <w:t>电子化响应性文件具体制作教材请供应商通过CA证书登录三门峡市公共资源电子化交易系统在 “交易智库”中下载操作流程温馨提示：本项目为电子化、无纸化交易项目，供应商时不接受任何纸质资料，为保证您能投标成功，请需仔细阅读以下条款。</w:t>
            </w:r>
          </w:p>
          <w:p w14:paraId="63E54937">
            <w:pPr>
              <w:widowControl/>
              <w:wordWrap w:val="0"/>
              <w:snapToGrid w:val="0"/>
              <w:spacing w:line="460" w:lineRule="exact"/>
              <w:rPr>
                <w:rFonts w:hint="eastAsia" w:ascii="宋体" w:hAnsi="宋体" w:cs="宋体"/>
                <w:color w:val="auto"/>
                <w:highlight w:val="none"/>
              </w:rPr>
            </w:pPr>
            <w:r>
              <w:rPr>
                <w:rFonts w:hint="eastAsia" w:ascii="宋体" w:hAnsi="宋体" w:cs="宋体"/>
                <w:color w:val="auto"/>
                <w:highlight w:val="none"/>
              </w:rPr>
              <w:t>一、电子化投标</w:t>
            </w:r>
          </w:p>
          <w:p w14:paraId="4EFD7184">
            <w:pPr>
              <w:widowControl/>
              <w:wordWrap w:val="0"/>
              <w:snapToGrid w:val="0"/>
              <w:spacing w:line="460" w:lineRule="exact"/>
              <w:rPr>
                <w:rFonts w:hint="eastAsia" w:ascii="宋体" w:hAnsi="宋体" w:cs="宋体"/>
                <w:color w:val="auto"/>
                <w:highlight w:val="none"/>
              </w:rPr>
            </w:pPr>
            <w:r>
              <w:rPr>
                <w:rFonts w:hint="eastAsia" w:ascii="宋体" w:hAnsi="宋体" w:cs="宋体"/>
                <w:color w:val="auto"/>
                <w:highlight w:val="none"/>
              </w:rPr>
              <w:t>（一）电子化响应性文件的签章</w:t>
            </w:r>
          </w:p>
          <w:p w14:paraId="310B038E">
            <w:pPr>
              <w:widowControl/>
              <w:wordWrap w:val="0"/>
              <w:snapToGrid w:val="0"/>
              <w:spacing w:line="460" w:lineRule="exact"/>
              <w:rPr>
                <w:rFonts w:hint="eastAsia" w:ascii="宋体" w:hAnsi="宋体" w:cs="宋体"/>
                <w:color w:val="auto"/>
                <w:highlight w:val="none"/>
              </w:rPr>
            </w:pPr>
            <w:r>
              <w:rPr>
                <w:rFonts w:hint="eastAsia" w:ascii="宋体" w:hAnsi="宋体" w:cs="宋体"/>
                <w:color w:val="auto"/>
                <w:highlight w:val="none"/>
              </w:rPr>
              <w:t>1、供应商在生成电子化响应性文件后，应对电子化响应性文件进行签章，未进行签章的视为无效投标。</w:t>
            </w:r>
          </w:p>
          <w:p w14:paraId="00E72383">
            <w:pPr>
              <w:widowControl/>
              <w:wordWrap w:val="0"/>
              <w:snapToGrid w:val="0"/>
              <w:spacing w:line="460" w:lineRule="exact"/>
              <w:rPr>
                <w:rFonts w:hint="eastAsia" w:ascii="宋体" w:hAnsi="宋体" w:cs="宋体"/>
                <w:color w:val="auto"/>
                <w:highlight w:val="none"/>
              </w:rPr>
            </w:pPr>
            <w:r>
              <w:rPr>
                <w:rFonts w:hint="eastAsia" w:ascii="宋体" w:hAnsi="宋体" w:cs="宋体"/>
                <w:color w:val="auto"/>
                <w:highlight w:val="none"/>
              </w:rPr>
              <w:t>2、响应性文件中要求法定代表人或授权委托人签字或盖章的，供应商在进行电子化响应性文件签章时，以签盖法定代表人签章为准。电子化响应性文件具体制作教材请供应商通过CA证书登录三门峡市公共资源电子化交易系统在右上角“交易智库”中查看。电子化响应性文件工具请点击</w:t>
            </w:r>
            <w:r>
              <w:rPr>
                <w:rFonts w:hint="eastAsia" w:ascii="宋体" w:hAnsi="宋体" w:cs="宋体"/>
                <w:color w:val="auto"/>
                <w:highlight w:val="none"/>
                <w:u w:val="single"/>
              </w:rPr>
              <w:t>https://download.bqpoint.com/download/downloaddetail.html?SourceFrom=Ztb&amp;ZtbSoftXiaQuCode=1506&amp;ZtbSoftType=tballinclusive</w:t>
            </w:r>
            <w:r>
              <w:rPr>
                <w:rFonts w:hint="eastAsia" w:ascii="宋体" w:hAnsi="宋体" w:cs="宋体"/>
                <w:color w:val="auto"/>
                <w:highlight w:val="none"/>
              </w:rPr>
              <w:t>进行下载。</w:t>
            </w:r>
          </w:p>
          <w:p w14:paraId="4655274E">
            <w:pPr>
              <w:widowControl/>
              <w:wordWrap w:val="0"/>
              <w:snapToGrid w:val="0"/>
              <w:spacing w:line="460" w:lineRule="exact"/>
              <w:rPr>
                <w:rFonts w:hint="eastAsia" w:ascii="宋体" w:hAnsi="宋体" w:cs="宋体"/>
                <w:color w:val="auto"/>
                <w:highlight w:val="none"/>
              </w:rPr>
            </w:pPr>
            <w:r>
              <w:rPr>
                <w:rFonts w:hint="eastAsia" w:ascii="宋体" w:hAnsi="宋体" w:cs="宋体"/>
                <w:color w:val="auto"/>
                <w:highlight w:val="none"/>
              </w:rPr>
              <w:t>（二）电子化响应性文件的格式及上传投标</w:t>
            </w:r>
          </w:p>
          <w:p w14:paraId="613ECBEA">
            <w:pPr>
              <w:widowControl/>
              <w:wordWrap w:val="0"/>
              <w:snapToGrid w:val="0"/>
              <w:spacing w:line="460" w:lineRule="exact"/>
              <w:rPr>
                <w:rFonts w:hint="eastAsia" w:ascii="宋体" w:hAnsi="宋体" w:cs="宋体"/>
                <w:color w:val="auto"/>
                <w:highlight w:val="none"/>
              </w:rPr>
            </w:pPr>
            <w:r>
              <w:rPr>
                <w:rFonts w:hint="eastAsia" w:ascii="宋体" w:hAnsi="宋体" w:cs="宋体"/>
                <w:color w:val="auto"/>
                <w:highlight w:val="none"/>
              </w:rPr>
              <w:t>1、供应商所上传的电子化响应性文件，应是通过中心响应性文件制作系统制作的（响应性文件制作工具下载地址：</w:t>
            </w:r>
            <w:r>
              <w:rPr>
                <w:rFonts w:hint="eastAsia" w:ascii="宋体" w:hAnsi="宋体" w:cs="宋体"/>
                <w:color w:val="auto"/>
                <w:highlight w:val="none"/>
                <w:u w:val="single"/>
              </w:rPr>
              <w:t>https://download.bqpoint.com/download/downloaddetail.html?SourceFrom=Ztb&amp;ZtbSoftXiaQuCode=1506&amp;ZtbSoftType=tballinclusive</w:t>
            </w:r>
            <w:r>
              <w:rPr>
                <w:rFonts w:hint="eastAsia" w:ascii="宋体" w:hAnsi="宋体" w:cs="宋体"/>
                <w:color w:val="auto"/>
                <w:highlight w:val="none"/>
              </w:rPr>
              <w:t>），经过签章和加密后生成的电子版响应性文件。其中包含用于响应性文件上传的主文件（后缀为.smxtf）和用于应急补救的响应性文件备份文件（后缀为.nsmxtf）。备份文件主要用于电子化开标出现技术问题后的补救，请供应商随身携带。</w:t>
            </w:r>
          </w:p>
          <w:p w14:paraId="440963C8">
            <w:pPr>
              <w:widowControl/>
              <w:wordWrap w:val="0"/>
              <w:snapToGrid w:val="0"/>
              <w:spacing w:line="460" w:lineRule="exact"/>
              <w:rPr>
                <w:rFonts w:hint="eastAsia" w:ascii="宋体" w:hAnsi="宋体" w:cs="宋体"/>
                <w:color w:val="auto"/>
                <w:highlight w:val="none"/>
              </w:rPr>
            </w:pPr>
            <w:r>
              <w:rPr>
                <w:rFonts w:hint="eastAsia" w:ascii="宋体" w:hAnsi="宋体" w:cs="宋体"/>
                <w:color w:val="auto"/>
                <w:highlight w:val="none"/>
              </w:rPr>
              <w:t>注：供应商投报多个标段的，需要每个标段单独制作电子响应性文件。</w:t>
            </w:r>
          </w:p>
          <w:p w14:paraId="0EBE725B">
            <w:pPr>
              <w:widowControl/>
              <w:wordWrap w:val="0"/>
              <w:snapToGrid w:val="0"/>
              <w:spacing w:line="460" w:lineRule="exact"/>
              <w:rPr>
                <w:rFonts w:hint="eastAsia" w:ascii="宋体" w:hAnsi="宋体" w:cs="宋体"/>
                <w:color w:val="auto"/>
                <w:highlight w:val="none"/>
              </w:rPr>
            </w:pPr>
            <w:r>
              <w:rPr>
                <w:rFonts w:hint="eastAsia" w:ascii="宋体" w:hAnsi="宋体" w:cs="宋体"/>
                <w:color w:val="auto"/>
                <w:highlight w:val="none"/>
              </w:rPr>
              <w:t>2、电子化响应性文件应在投标截止时间前成功上传至三门峡市公共资源电子化交易系统。至投标截止时间止，仍未上传成功的电子化响应性文件将不予接收。</w:t>
            </w:r>
          </w:p>
          <w:p w14:paraId="1FB3A33E">
            <w:pPr>
              <w:widowControl/>
              <w:wordWrap w:val="0"/>
              <w:snapToGrid w:val="0"/>
              <w:spacing w:line="460" w:lineRule="exact"/>
              <w:rPr>
                <w:rFonts w:hint="eastAsia" w:ascii="宋体" w:hAnsi="宋体" w:cs="宋体"/>
                <w:color w:val="auto"/>
                <w:highlight w:val="none"/>
              </w:rPr>
            </w:pPr>
            <w:r>
              <w:rPr>
                <w:rFonts w:hint="eastAsia" w:ascii="宋体" w:hAnsi="宋体" w:cs="宋体"/>
                <w:color w:val="auto"/>
                <w:highlight w:val="none"/>
              </w:rPr>
              <w:t>注：如按照电子化投标操作教材制作完成的电子化响应性文件无法上传的，供应商应在投标截止时间前尽早的联系中心技术人员，以便有充分的时间进行处理。供应商应充分考虑到处理技术问题和上传数据等工作所需的时间问题，响应性文件未在投标截止时间前成功上传的，其响应性文件不予接收。技术联系电话：400-998-0000</w:t>
            </w:r>
          </w:p>
          <w:p w14:paraId="11710E10">
            <w:pPr>
              <w:widowControl/>
              <w:wordWrap w:val="0"/>
              <w:snapToGrid w:val="0"/>
              <w:spacing w:line="460" w:lineRule="exact"/>
              <w:rPr>
                <w:rFonts w:hint="eastAsia" w:ascii="宋体" w:hAnsi="宋体" w:cs="宋体"/>
                <w:color w:val="auto"/>
                <w:highlight w:val="none"/>
              </w:rPr>
            </w:pPr>
            <w:r>
              <w:rPr>
                <w:rFonts w:hint="eastAsia" w:ascii="宋体" w:hAnsi="宋体" w:cs="宋体"/>
                <w:color w:val="auto"/>
                <w:highlight w:val="none"/>
              </w:rPr>
              <w:t>（三）电子化项目开标、解密、唱标、评标</w:t>
            </w:r>
          </w:p>
          <w:p w14:paraId="70B8197C">
            <w:pPr>
              <w:widowControl/>
              <w:wordWrap w:val="0"/>
              <w:snapToGrid w:val="0"/>
              <w:spacing w:line="460" w:lineRule="exact"/>
              <w:rPr>
                <w:rFonts w:hint="eastAsia" w:ascii="宋体" w:hAnsi="宋体" w:cs="宋体"/>
                <w:color w:val="auto"/>
                <w:highlight w:val="none"/>
              </w:rPr>
            </w:pPr>
            <w:r>
              <w:rPr>
                <w:rFonts w:hint="eastAsia" w:ascii="宋体" w:hAnsi="宋体" w:cs="宋体"/>
                <w:color w:val="auto"/>
                <w:highlight w:val="none"/>
              </w:rPr>
              <w:t>1、本项目采用电子化、无纸化进行招标，开标当日，供应商无需到开标现场参加开标会议，供应商应当在投标截止时间前，登陆不见面开标大厅选择登陆三门峡市公共资源电子招投标系统进行登陆（网址为</w:t>
            </w:r>
            <w:r>
              <w:rPr>
                <w:rFonts w:ascii="宋体" w:hAnsi="宋体" w:cs="宋体"/>
                <w:color w:val="auto"/>
                <w:highlight w:val="none"/>
              </w:rPr>
              <w:t>http://120.194.249.36:10094/BidOpening/bidopeninghallaction/hall/login</w:t>
            </w:r>
            <w:r>
              <w:rPr>
                <w:rFonts w:hint="eastAsia" w:ascii="宋体" w:hAnsi="宋体" w:cs="宋体"/>
                <w:color w:val="auto"/>
                <w:highlight w:val="none"/>
              </w:rPr>
              <w:t>）,在线准时参加开标活动并进行响应性文件解密等。</w:t>
            </w:r>
          </w:p>
          <w:p w14:paraId="428AC75F">
            <w:pPr>
              <w:widowControl/>
              <w:wordWrap w:val="0"/>
              <w:snapToGrid w:val="0"/>
              <w:spacing w:line="460" w:lineRule="exact"/>
              <w:rPr>
                <w:rFonts w:hint="eastAsia" w:ascii="宋体" w:hAnsi="宋体" w:cs="宋体"/>
                <w:color w:val="auto"/>
                <w:highlight w:val="none"/>
              </w:rPr>
            </w:pPr>
            <w:r>
              <w:rPr>
                <w:rFonts w:hint="eastAsia" w:ascii="宋体" w:hAnsi="宋体" w:cs="宋体"/>
                <w:color w:val="auto"/>
                <w:highlight w:val="none"/>
              </w:rPr>
              <w:t>2、电子化响应性文件采用一次加密方式。开标时，由供应商使用CA 证书，在规定时间内对其电子化响应性文件进行解密。每位供应商的解密时间为开标时间起30 分钟内，如在规定时间内未完成解密的，其响应性文件不予开标、唱标。</w:t>
            </w:r>
          </w:p>
          <w:p w14:paraId="3C9A63FA">
            <w:pPr>
              <w:widowControl/>
              <w:wordWrap w:val="0"/>
              <w:snapToGrid w:val="0"/>
              <w:spacing w:line="460" w:lineRule="exact"/>
              <w:rPr>
                <w:rFonts w:hint="eastAsia" w:ascii="宋体" w:hAnsi="宋体" w:cs="宋体"/>
                <w:color w:val="auto"/>
                <w:highlight w:val="none"/>
              </w:rPr>
            </w:pPr>
            <w:r>
              <w:rPr>
                <w:rFonts w:hint="eastAsia" w:ascii="宋体" w:hAnsi="宋体" w:cs="宋体"/>
                <w:color w:val="auto"/>
                <w:highlight w:val="none"/>
              </w:rPr>
              <w:t>3、电子化响应性文件解密异常的处理</w:t>
            </w:r>
          </w:p>
          <w:p w14:paraId="134C1503">
            <w:pPr>
              <w:widowControl/>
              <w:wordWrap w:val="0"/>
              <w:snapToGrid w:val="0"/>
              <w:spacing w:line="460" w:lineRule="exact"/>
              <w:rPr>
                <w:rFonts w:hint="eastAsia" w:ascii="宋体" w:hAnsi="宋体" w:cs="宋体"/>
                <w:color w:val="auto"/>
                <w:highlight w:val="none"/>
              </w:rPr>
            </w:pPr>
            <w:r>
              <w:rPr>
                <w:rFonts w:hint="eastAsia" w:ascii="宋体" w:hAnsi="宋体" w:cs="宋体"/>
                <w:color w:val="auto"/>
                <w:highlight w:val="none"/>
              </w:rPr>
              <w:t>如出现供应商的电子响应性文件无法解密等异常情况，供应商应及时致电中介服务机构说明。响应性文件异常，按以下步骤进行处理：</w:t>
            </w:r>
          </w:p>
          <w:p w14:paraId="6E5777AA">
            <w:pPr>
              <w:widowControl/>
              <w:wordWrap w:val="0"/>
              <w:snapToGrid w:val="0"/>
              <w:spacing w:line="460" w:lineRule="exact"/>
              <w:rPr>
                <w:rFonts w:hint="eastAsia" w:ascii="宋体" w:hAnsi="宋体" w:cs="宋体"/>
                <w:color w:val="auto"/>
                <w:highlight w:val="none"/>
              </w:rPr>
            </w:pPr>
            <w:r>
              <w:rPr>
                <w:rFonts w:hint="eastAsia" w:ascii="宋体" w:hAnsi="宋体" w:cs="宋体"/>
                <w:color w:val="auto"/>
                <w:highlight w:val="none"/>
              </w:rPr>
              <w:t>（1）首先由技术人员进行问题排查。</w:t>
            </w:r>
          </w:p>
          <w:p w14:paraId="67C7F998">
            <w:pPr>
              <w:widowControl/>
              <w:wordWrap w:val="0"/>
              <w:snapToGrid w:val="0"/>
              <w:spacing w:line="460" w:lineRule="exact"/>
              <w:rPr>
                <w:rFonts w:hint="eastAsia" w:ascii="宋体" w:hAnsi="宋体" w:cs="宋体"/>
                <w:color w:val="auto"/>
                <w:highlight w:val="none"/>
              </w:rPr>
            </w:pPr>
            <w:r>
              <w:rPr>
                <w:rFonts w:hint="eastAsia" w:ascii="宋体" w:hAnsi="宋体" w:cs="宋体"/>
                <w:color w:val="auto"/>
                <w:highlight w:val="none"/>
              </w:rPr>
              <w:t>（2）经技术人员排查后，是供应商文件自身问题导致响应性文件无法解密的，该响应性文件将不予接收、解密和唱标。开标会议继续进行。</w:t>
            </w:r>
          </w:p>
          <w:p w14:paraId="5C7E416F">
            <w:pPr>
              <w:widowControl/>
              <w:wordWrap w:val="0"/>
              <w:snapToGrid w:val="0"/>
              <w:spacing w:line="460" w:lineRule="exact"/>
              <w:rPr>
                <w:rFonts w:hint="eastAsia" w:ascii="宋体" w:hAnsi="宋体" w:cs="宋体"/>
                <w:color w:val="auto"/>
                <w:highlight w:val="none"/>
              </w:rPr>
            </w:pPr>
            <w:r>
              <w:rPr>
                <w:rFonts w:hint="eastAsia" w:ascii="宋体" w:hAnsi="宋体" w:cs="宋体"/>
                <w:color w:val="auto"/>
                <w:highlight w:val="none"/>
              </w:rPr>
              <w:t>（3）经技术人员排查后，如果是电子化交易系统问题造成响应性文件无法解密的，将由技术人员对问题进行处理。如短时间内问题无法解决的，将由中介服务机构向监督部门申请，经监督部门同意后，暂停开标会议，待问题解决后继续开标。</w:t>
            </w:r>
          </w:p>
          <w:p w14:paraId="5F38ACBA">
            <w:pPr>
              <w:widowControl/>
              <w:wordWrap w:val="0"/>
              <w:snapToGrid w:val="0"/>
              <w:spacing w:line="460" w:lineRule="exact"/>
              <w:rPr>
                <w:rFonts w:hint="eastAsia" w:ascii="宋体" w:hAnsi="宋体" w:cs="宋体"/>
                <w:color w:val="auto"/>
                <w:highlight w:val="none"/>
              </w:rPr>
            </w:pPr>
            <w:r>
              <w:rPr>
                <w:rFonts w:hint="eastAsia" w:ascii="宋体" w:hAnsi="宋体" w:cs="宋体"/>
                <w:color w:val="auto"/>
                <w:highlight w:val="none"/>
              </w:rPr>
              <w:t>4、待所有供应商响应性文件解密完成后，由中介服务机构操作，对所有已解密响应性文件进行唱标。</w:t>
            </w:r>
          </w:p>
          <w:p w14:paraId="35EBF0FC">
            <w:pPr>
              <w:widowControl/>
              <w:wordWrap w:val="0"/>
              <w:snapToGrid w:val="0"/>
              <w:spacing w:line="460" w:lineRule="exact"/>
              <w:rPr>
                <w:rFonts w:hint="eastAsia" w:ascii="宋体" w:hAnsi="宋体" w:cs="宋体"/>
                <w:color w:val="auto"/>
                <w:highlight w:val="none"/>
              </w:rPr>
            </w:pPr>
            <w:r>
              <w:rPr>
                <w:rFonts w:hint="eastAsia" w:ascii="宋体" w:hAnsi="宋体" w:cs="宋体"/>
                <w:color w:val="auto"/>
                <w:highlight w:val="none"/>
              </w:rPr>
              <w:t>供应商应保证在开标期间电话、电脑、网络能够正常工作，供应商因停电、电脑病毒、网络堵塞等原因，未在规定的解密时间内对响应性文件进行解密的，其响应性文件不予接收、唱标。</w:t>
            </w:r>
          </w:p>
          <w:p w14:paraId="5BA51D3A">
            <w:pPr>
              <w:widowControl/>
              <w:wordWrap w:val="0"/>
              <w:snapToGrid w:val="0"/>
              <w:spacing w:line="460" w:lineRule="exact"/>
              <w:rPr>
                <w:rFonts w:hint="eastAsia" w:ascii="宋体" w:hAnsi="宋体" w:cs="宋体"/>
                <w:color w:val="auto"/>
                <w:highlight w:val="none"/>
              </w:rPr>
            </w:pPr>
            <w:r>
              <w:rPr>
                <w:rFonts w:hint="eastAsia" w:ascii="宋体" w:hAnsi="宋体" w:cs="宋体"/>
                <w:color w:val="auto"/>
                <w:highlight w:val="none"/>
              </w:rPr>
              <w:t>5、开标时供应商可登录到交易系统中在开标解密栏中点击报价一览表查看自己的投标报价。如对自己的唱标内容有异议的，应在供应商解密成功后10分钟内向中介服务机构电话质疑。中介服务机构应在监督人员的监督下进行免提通话接受供应商的质疑并做好书面记录。供应商未在规定时间内提出质疑的，视为认可唱标内容。</w:t>
            </w:r>
          </w:p>
          <w:p w14:paraId="75BAEE48">
            <w:pPr>
              <w:widowControl/>
              <w:wordWrap w:val="0"/>
              <w:snapToGrid w:val="0"/>
              <w:spacing w:line="460" w:lineRule="exact"/>
              <w:rPr>
                <w:rFonts w:hint="eastAsia" w:ascii="宋体" w:hAnsi="宋体" w:cs="宋体"/>
                <w:color w:val="auto"/>
                <w:highlight w:val="none"/>
              </w:rPr>
            </w:pPr>
            <w:r>
              <w:rPr>
                <w:rFonts w:hint="eastAsia" w:ascii="宋体" w:hAnsi="宋体" w:cs="宋体"/>
                <w:color w:val="auto"/>
                <w:highlight w:val="none"/>
              </w:rPr>
              <w:t>6、评标时，评标委员会对电子化响应性文件有质疑的，将通过电子化交易系统对供应商发起质疑，并在监督人员的监督下，用免提模式致电需要答复的供应商对质疑进行回复。供应商的回复文件必须以经过供应商和其法定代表人签章的PDF格式文件为准，并通过电子化交易系统提交至评标委员会。</w:t>
            </w:r>
          </w:p>
          <w:p w14:paraId="03F9B18F">
            <w:pPr>
              <w:widowControl/>
              <w:wordWrap w:val="0"/>
              <w:snapToGrid w:val="0"/>
              <w:spacing w:line="460" w:lineRule="exact"/>
              <w:rPr>
                <w:rFonts w:hint="eastAsia" w:ascii="宋体" w:hAnsi="宋体" w:cs="宋体"/>
                <w:color w:val="auto"/>
                <w:highlight w:val="none"/>
              </w:rPr>
            </w:pPr>
            <w:r>
              <w:rPr>
                <w:rFonts w:hint="eastAsia" w:ascii="宋体" w:hAnsi="宋体" w:cs="宋体"/>
                <w:color w:val="auto"/>
                <w:highlight w:val="none"/>
              </w:rPr>
              <w:t>7、如评标委员会对需要回复的供应商连续三次致电未接通的，视为供应商放弃回复，评标委员会将自行对需要回复的内容进行认定。提示：本项目为电子化、无纸化交易项目，供应商时不再接受任何纸质资料，为保证您能投标成功，请需仔细阅读以上条款。</w:t>
            </w:r>
          </w:p>
          <w:p w14:paraId="73F0CBC0">
            <w:pPr>
              <w:widowControl/>
              <w:wordWrap w:val="0"/>
              <w:snapToGrid w:val="0"/>
              <w:spacing w:line="460" w:lineRule="exact"/>
              <w:rPr>
                <w:rFonts w:hint="eastAsia" w:ascii="宋体" w:hAnsi="宋体" w:cs="宋体"/>
                <w:color w:val="auto"/>
                <w:highlight w:val="none"/>
              </w:rPr>
            </w:pPr>
            <w:r>
              <w:rPr>
                <w:rFonts w:hint="eastAsia" w:ascii="宋体" w:hAnsi="宋体" w:cs="宋体"/>
                <w:color w:val="auto"/>
                <w:highlight w:val="none"/>
              </w:rPr>
              <w:t>二、相关证书原件的提交</w:t>
            </w:r>
          </w:p>
          <w:p w14:paraId="139219C0">
            <w:pPr>
              <w:widowControl/>
              <w:wordWrap w:val="0"/>
              <w:snapToGrid w:val="0"/>
              <w:spacing w:line="460" w:lineRule="exact"/>
              <w:rPr>
                <w:rFonts w:hint="eastAsia" w:ascii="宋体" w:hAnsi="宋体" w:cs="宋体"/>
                <w:color w:val="auto"/>
                <w:highlight w:val="none"/>
              </w:rPr>
            </w:pPr>
            <w:r>
              <w:rPr>
                <w:rFonts w:hint="eastAsia" w:ascii="宋体" w:hAnsi="宋体" w:cs="宋体"/>
                <w:color w:val="auto"/>
                <w:highlight w:val="none"/>
              </w:rPr>
              <w:t>本项目实行资格后审，评审中资格审查、评审打分以投标文件为准，其上传资料真实性由投标人自行承担，同时，投标人要完善主体库。</w:t>
            </w:r>
          </w:p>
          <w:p w14:paraId="51EF62AC">
            <w:pPr>
              <w:widowControl/>
              <w:wordWrap w:val="0"/>
              <w:snapToGrid w:val="0"/>
              <w:spacing w:line="460" w:lineRule="exact"/>
              <w:rPr>
                <w:rFonts w:hint="eastAsia" w:ascii="宋体" w:hAnsi="宋体" w:cs="宋体"/>
                <w:color w:val="auto"/>
                <w:highlight w:val="none"/>
              </w:rPr>
            </w:pPr>
            <w:r>
              <w:rPr>
                <w:rFonts w:hint="eastAsia" w:ascii="宋体" w:hAnsi="宋体" w:cs="宋体"/>
                <w:color w:val="auto"/>
                <w:highlight w:val="none"/>
              </w:rPr>
              <w:t>提示：本项目为电子化、无纸化交易项目，投标人时不再接受任何纸质资料，为保证您能投标成功，请需仔细阅读以上条款。</w:t>
            </w:r>
          </w:p>
        </w:tc>
      </w:tr>
    </w:tbl>
    <w:p w14:paraId="77A6F233">
      <w:pPr>
        <w:pStyle w:val="14"/>
        <w:widowControl w:val="0"/>
        <w:wordWrap w:val="0"/>
        <w:spacing w:before="0" w:beforeAutospacing="0" w:after="0" w:afterAutospacing="0" w:line="460" w:lineRule="exact"/>
        <w:jc w:val="both"/>
        <w:outlineLvl w:val="1"/>
        <w:rPr>
          <w:rFonts w:hint="eastAsia"/>
          <w:b/>
          <w:color w:val="auto"/>
          <w:highlight w:val="none"/>
        </w:rPr>
      </w:pPr>
      <w:bookmarkStart w:id="80" w:name="_Toc16938519"/>
      <w:bookmarkEnd w:id="80"/>
      <w:bookmarkStart w:id="81" w:name="_Toc513029203"/>
      <w:bookmarkEnd w:id="81"/>
      <w:bookmarkStart w:id="82" w:name="_Toc120614214"/>
      <w:bookmarkEnd w:id="82"/>
      <w:bookmarkStart w:id="83" w:name="_Toc517178993"/>
      <w:bookmarkEnd w:id="83"/>
      <w:bookmarkStart w:id="84" w:name="_Toc20823275"/>
      <w:bookmarkEnd w:id="84"/>
      <w:bookmarkStart w:id="85" w:name="_Toc528078008"/>
      <w:r>
        <w:rPr>
          <w:rFonts w:hint="eastAsia"/>
          <w:b/>
          <w:color w:val="auto"/>
          <w:kern w:val="2"/>
          <w:highlight w:val="none"/>
        </w:rPr>
        <w:t>1.总则</w:t>
      </w:r>
      <w:bookmarkEnd w:id="85"/>
    </w:p>
    <w:p w14:paraId="010D0D73">
      <w:pPr>
        <w:wordWrap w:val="0"/>
        <w:spacing w:line="460" w:lineRule="exact"/>
        <w:ind w:firstLine="480" w:firstLineChars="200"/>
        <w:outlineLvl w:val="2"/>
        <w:rPr>
          <w:rFonts w:hint="eastAsia" w:ascii="宋体" w:hAnsi="宋体" w:cs="宋体"/>
          <w:color w:val="auto"/>
          <w:highlight w:val="none"/>
        </w:rPr>
      </w:pPr>
      <w:bookmarkStart w:id="86" w:name="_Toc20823276"/>
      <w:bookmarkEnd w:id="86"/>
      <w:bookmarkStart w:id="87" w:name="_Toc513029204"/>
      <w:bookmarkEnd w:id="87"/>
      <w:bookmarkStart w:id="88" w:name="_Toc16938520"/>
      <w:bookmarkEnd w:id="88"/>
      <w:bookmarkStart w:id="89" w:name="_Toc528078009"/>
      <w:r>
        <w:rPr>
          <w:rFonts w:hint="eastAsia" w:ascii="宋体" w:hAnsi="宋体" w:cs="宋体"/>
          <w:color w:val="auto"/>
          <w:highlight w:val="none"/>
        </w:rPr>
        <w:t>1.1.1</w:t>
      </w:r>
      <w:bookmarkEnd w:id="89"/>
      <w:r>
        <w:rPr>
          <w:rFonts w:hint="eastAsia" w:ascii="宋体" w:hAnsi="宋体" w:cs="宋体"/>
          <w:color w:val="auto"/>
          <w:highlight w:val="none"/>
        </w:rPr>
        <w:t>采购方式及定义</w:t>
      </w:r>
    </w:p>
    <w:p w14:paraId="4DA4A34A">
      <w:pPr>
        <w:wordWrap w:val="0"/>
        <w:spacing w:line="460" w:lineRule="exact"/>
        <w:ind w:firstLine="480" w:firstLineChars="200"/>
        <w:rPr>
          <w:rFonts w:hint="eastAsia" w:ascii="宋体" w:hAnsi="宋体" w:cs="宋体"/>
          <w:color w:val="auto"/>
          <w:highlight w:val="none"/>
        </w:rPr>
      </w:pPr>
      <w:r>
        <w:rPr>
          <w:rFonts w:hint="eastAsia" w:ascii="宋体" w:hAnsi="宋体" w:cs="宋体"/>
          <w:color w:val="auto"/>
          <w:highlight w:val="none"/>
        </w:rPr>
        <w:t>本次采购采用竞争性磋商方式（以下简称磋商），本竞争性磋商文件仅适用于竞争性磋商公告中所述项目。</w:t>
      </w:r>
    </w:p>
    <w:p w14:paraId="429420A9">
      <w:pPr>
        <w:wordWrap w:val="0"/>
        <w:spacing w:line="460" w:lineRule="exact"/>
        <w:ind w:firstLine="480" w:firstLineChars="200"/>
        <w:rPr>
          <w:rFonts w:hint="eastAsia" w:ascii="宋体" w:hAnsi="宋体" w:eastAsia="宋体" w:cs="宋体"/>
          <w:color w:val="auto"/>
          <w:highlight w:val="none"/>
          <w:lang w:eastAsia="zh-CN"/>
        </w:rPr>
      </w:pPr>
      <w:r>
        <w:rPr>
          <w:rFonts w:hint="eastAsia" w:ascii="宋体" w:hAnsi="宋体" w:cs="宋体"/>
          <w:color w:val="auto"/>
          <w:highlight w:val="none"/>
        </w:rPr>
        <w:t>采购人指本项目的需求方为</w:t>
      </w:r>
      <w:r>
        <w:rPr>
          <w:rFonts w:hint="eastAsia" w:ascii="宋体" w:hAnsi="宋体" w:cs="宋体"/>
          <w:color w:val="auto"/>
          <w:highlight w:val="none"/>
          <w:lang w:eastAsia="zh-CN"/>
        </w:rPr>
        <w:t>渑池县中医院</w:t>
      </w:r>
    </w:p>
    <w:p w14:paraId="4A0AAD2E">
      <w:pPr>
        <w:wordWrap w:val="0"/>
        <w:spacing w:line="460" w:lineRule="exact"/>
        <w:ind w:firstLine="480" w:firstLineChars="200"/>
        <w:rPr>
          <w:rFonts w:hint="eastAsia" w:ascii="宋体" w:hAnsi="宋体" w:cs="宋体"/>
          <w:color w:val="auto"/>
          <w:highlight w:val="none"/>
        </w:rPr>
      </w:pPr>
      <w:r>
        <w:rPr>
          <w:rFonts w:hint="eastAsia" w:ascii="宋体" w:hAnsi="宋体" w:cs="宋体"/>
          <w:color w:val="auto"/>
          <w:highlight w:val="none"/>
        </w:rPr>
        <w:t>采购代理机构指负责组织本次竞争性磋商</w:t>
      </w:r>
      <w:bookmarkStart w:id="90" w:name="_Toc513029205"/>
      <w:bookmarkEnd w:id="90"/>
      <w:bookmarkStart w:id="91" w:name="_Toc20823277"/>
      <w:bookmarkEnd w:id="91"/>
      <w:bookmarkStart w:id="92" w:name="_Toc16938521"/>
      <w:bookmarkEnd w:id="92"/>
    </w:p>
    <w:p w14:paraId="0F8B72CB">
      <w:pPr>
        <w:wordWrap w:val="0"/>
        <w:spacing w:line="460" w:lineRule="exact"/>
        <w:ind w:firstLine="480" w:firstLineChars="200"/>
        <w:rPr>
          <w:rFonts w:hint="eastAsia" w:ascii="宋体" w:hAnsi="宋体" w:cs="宋体"/>
          <w:color w:val="auto"/>
          <w:highlight w:val="none"/>
        </w:rPr>
      </w:pPr>
      <w:r>
        <w:rPr>
          <w:rFonts w:hint="eastAsia" w:ascii="宋体" w:hAnsi="宋体" w:cs="宋体"/>
          <w:color w:val="auto"/>
          <w:highlight w:val="none"/>
        </w:rPr>
        <w:t>合格的供应商</w:t>
      </w:r>
    </w:p>
    <w:p w14:paraId="411EA721">
      <w:pPr>
        <w:wordWrap w:val="0"/>
        <w:spacing w:line="460" w:lineRule="exact"/>
        <w:ind w:firstLine="480" w:firstLineChars="200"/>
        <w:rPr>
          <w:rFonts w:hint="eastAsia" w:ascii="宋体" w:hAnsi="宋体" w:cs="宋体"/>
          <w:color w:val="auto"/>
          <w:highlight w:val="none"/>
        </w:rPr>
      </w:pPr>
      <w:r>
        <w:rPr>
          <w:rFonts w:hint="eastAsia" w:ascii="宋体" w:hAnsi="宋体" w:cs="宋体"/>
          <w:color w:val="auto"/>
          <w:highlight w:val="none"/>
        </w:rPr>
        <w:t>1.满足竞争性磋商公告中供应商的资格条件的规定。</w:t>
      </w:r>
    </w:p>
    <w:p w14:paraId="358E1A8B">
      <w:pPr>
        <w:wordWrap w:val="0"/>
        <w:spacing w:line="460" w:lineRule="exact"/>
        <w:ind w:firstLine="480" w:firstLineChars="200"/>
        <w:rPr>
          <w:rFonts w:hint="eastAsia" w:ascii="宋体" w:hAnsi="宋体" w:cs="宋体"/>
          <w:color w:val="auto"/>
          <w:highlight w:val="none"/>
        </w:rPr>
      </w:pPr>
      <w:r>
        <w:rPr>
          <w:rFonts w:hint="eastAsia" w:ascii="宋体" w:hAnsi="宋体" w:cs="宋体"/>
          <w:color w:val="auto"/>
          <w:highlight w:val="none"/>
        </w:rPr>
        <w:t>2.满足本文件实质性条款的规定。</w:t>
      </w:r>
    </w:p>
    <w:p w14:paraId="3B7BF075">
      <w:pPr>
        <w:wordWrap w:val="0"/>
        <w:spacing w:line="460" w:lineRule="exact"/>
        <w:ind w:firstLine="480" w:firstLineChars="200"/>
        <w:outlineLvl w:val="2"/>
        <w:rPr>
          <w:rFonts w:hint="eastAsia" w:ascii="宋体" w:hAnsi="宋体" w:cs="宋体"/>
          <w:color w:val="auto"/>
          <w:highlight w:val="none"/>
        </w:rPr>
      </w:pPr>
      <w:bookmarkStart w:id="93" w:name="_Toc513029206"/>
      <w:bookmarkEnd w:id="93"/>
      <w:bookmarkStart w:id="94" w:name="_Toc16938522"/>
      <w:bookmarkEnd w:id="94"/>
      <w:bookmarkStart w:id="95" w:name="_Toc20823278"/>
      <w:bookmarkEnd w:id="95"/>
      <w:bookmarkStart w:id="96" w:name="_Toc528078010"/>
      <w:r>
        <w:rPr>
          <w:rFonts w:hint="eastAsia" w:ascii="宋体" w:hAnsi="宋体" w:cs="宋体"/>
          <w:color w:val="auto"/>
          <w:highlight w:val="none"/>
        </w:rPr>
        <w:t>1.1.2</w:t>
      </w:r>
      <w:bookmarkEnd w:id="96"/>
      <w:r>
        <w:rPr>
          <w:rFonts w:hint="eastAsia" w:ascii="宋体" w:hAnsi="宋体" w:cs="宋体"/>
          <w:color w:val="auto"/>
          <w:highlight w:val="none"/>
        </w:rPr>
        <w:t>适用法律</w:t>
      </w:r>
    </w:p>
    <w:p w14:paraId="5DF5B5B0">
      <w:pPr>
        <w:wordWrap w:val="0"/>
        <w:spacing w:line="460" w:lineRule="exact"/>
        <w:ind w:firstLine="480" w:firstLineChars="200"/>
        <w:rPr>
          <w:rFonts w:hint="eastAsia" w:ascii="宋体" w:hAnsi="宋体" w:cs="宋体"/>
          <w:color w:val="auto"/>
          <w:highlight w:val="none"/>
        </w:rPr>
      </w:pPr>
      <w:r>
        <w:rPr>
          <w:rFonts w:hint="eastAsia" w:ascii="宋体" w:hAnsi="宋体" w:cs="宋体"/>
          <w:color w:val="auto"/>
          <w:highlight w:val="none"/>
        </w:rPr>
        <w:t>本次竞争性磋商及由此产生的合同受中华人民共和国有关的法律法规制约和保护。</w:t>
      </w:r>
    </w:p>
    <w:p w14:paraId="3B5DC60A">
      <w:pPr>
        <w:wordWrap w:val="0"/>
        <w:spacing w:line="460" w:lineRule="exact"/>
        <w:ind w:firstLine="480" w:firstLineChars="200"/>
        <w:outlineLvl w:val="2"/>
        <w:rPr>
          <w:rFonts w:hint="eastAsia" w:ascii="宋体" w:hAnsi="宋体" w:cs="宋体"/>
          <w:color w:val="auto"/>
          <w:highlight w:val="none"/>
        </w:rPr>
      </w:pPr>
      <w:bookmarkStart w:id="97" w:name="_Toc16938523"/>
      <w:bookmarkEnd w:id="97"/>
      <w:bookmarkStart w:id="98" w:name="_Toc513029207"/>
      <w:bookmarkEnd w:id="98"/>
      <w:bookmarkStart w:id="99" w:name="_Toc20823279"/>
      <w:bookmarkEnd w:id="99"/>
      <w:bookmarkStart w:id="100" w:name="_Toc462564067"/>
      <w:bookmarkEnd w:id="100"/>
      <w:bookmarkStart w:id="101" w:name="_Toc528078011"/>
      <w:r>
        <w:rPr>
          <w:rFonts w:hint="eastAsia" w:ascii="宋体" w:hAnsi="宋体" w:cs="宋体"/>
          <w:color w:val="auto"/>
          <w:highlight w:val="none"/>
        </w:rPr>
        <w:t>1.1.3</w:t>
      </w:r>
      <w:bookmarkEnd w:id="101"/>
      <w:r>
        <w:rPr>
          <w:rFonts w:hint="eastAsia" w:ascii="宋体" w:hAnsi="宋体" w:cs="宋体"/>
          <w:color w:val="auto"/>
          <w:highlight w:val="none"/>
        </w:rPr>
        <w:t>磋商费用</w:t>
      </w:r>
    </w:p>
    <w:p w14:paraId="78287A18">
      <w:pPr>
        <w:wordWrap w:val="0"/>
        <w:spacing w:line="460" w:lineRule="exact"/>
        <w:ind w:firstLine="480" w:firstLineChars="200"/>
        <w:rPr>
          <w:rFonts w:hint="eastAsia" w:ascii="宋体" w:hAnsi="宋体" w:cs="宋体"/>
          <w:color w:val="auto"/>
          <w:highlight w:val="none"/>
        </w:rPr>
      </w:pPr>
      <w:r>
        <w:rPr>
          <w:rFonts w:hint="eastAsia" w:ascii="宋体" w:hAnsi="宋体" w:cs="宋体"/>
          <w:color w:val="auto"/>
          <w:highlight w:val="none"/>
        </w:rPr>
        <w:t>本次竞争性磋商磋商服务费：招标代理服务费参照《河南省招标代理服务收费指导意见》豫招协（2023）002号文件中，河南省招标代理服务收费计算标准计取。领取中标通知书前由中标人支付。投标人（供应商）的投标报价应当包含该代理费用。</w:t>
      </w:r>
    </w:p>
    <w:p w14:paraId="7A74E105">
      <w:pPr>
        <w:pStyle w:val="14"/>
        <w:widowControl w:val="0"/>
        <w:wordWrap w:val="0"/>
        <w:spacing w:before="0" w:beforeAutospacing="0" w:after="0" w:afterAutospacing="0" w:line="460" w:lineRule="exact"/>
        <w:ind w:left="631" w:leftChars="218" w:hanging="108" w:hangingChars="45"/>
        <w:outlineLvl w:val="1"/>
        <w:rPr>
          <w:rFonts w:hint="eastAsia"/>
          <w:color w:val="auto"/>
          <w:highlight w:val="none"/>
        </w:rPr>
      </w:pPr>
      <w:bookmarkStart w:id="102" w:name="_Toc517178994"/>
      <w:bookmarkEnd w:id="102"/>
      <w:bookmarkStart w:id="103" w:name="_Toc505350554"/>
      <w:bookmarkEnd w:id="103"/>
      <w:bookmarkStart w:id="104" w:name="_Toc20823281"/>
      <w:bookmarkEnd w:id="104"/>
      <w:bookmarkStart w:id="105" w:name="_Toc504491968"/>
      <w:bookmarkEnd w:id="105"/>
      <w:bookmarkStart w:id="106" w:name="_Toc513029209"/>
      <w:bookmarkEnd w:id="106"/>
      <w:bookmarkStart w:id="107" w:name="_Toc403987206"/>
      <w:bookmarkEnd w:id="107"/>
      <w:bookmarkStart w:id="108" w:name="_Toc120614215"/>
      <w:bookmarkEnd w:id="108"/>
      <w:bookmarkStart w:id="109" w:name="_Toc16938525"/>
      <w:bookmarkEnd w:id="109"/>
      <w:bookmarkStart w:id="110" w:name="_Toc528078012"/>
      <w:r>
        <w:rPr>
          <w:rFonts w:hint="eastAsia"/>
          <w:color w:val="auto"/>
          <w:kern w:val="2"/>
          <w:highlight w:val="none"/>
        </w:rPr>
        <w:t>2.</w:t>
      </w:r>
      <w:bookmarkEnd w:id="110"/>
      <w:r>
        <w:rPr>
          <w:rFonts w:hint="eastAsia"/>
          <w:color w:val="auto"/>
          <w:kern w:val="2"/>
          <w:highlight w:val="none"/>
        </w:rPr>
        <w:t>竞争性磋商文件</w:t>
      </w:r>
    </w:p>
    <w:p w14:paraId="3A3AA74A">
      <w:pPr>
        <w:wordWrap w:val="0"/>
        <w:spacing w:line="460" w:lineRule="exact"/>
        <w:ind w:firstLine="480" w:firstLineChars="200"/>
        <w:outlineLvl w:val="2"/>
        <w:rPr>
          <w:rFonts w:hint="eastAsia" w:ascii="宋体" w:hAnsi="宋体" w:cs="宋体"/>
          <w:color w:val="auto"/>
          <w:highlight w:val="none"/>
        </w:rPr>
      </w:pPr>
      <w:bookmarkStart w:id="111" w:name="_Toc16938526"/>
      <w:bookmarkEnd w:id="111"/>
      <w:bookmarkStart w:id="112" w:name="_Toc20823282"/>
      <w:bookmarkEnd w:id="112"/>
      <w:bookmarkStart w:id="113" w:name="_Toc513029210"/>
      <w:bookmarkEnd w:id="113"/>
      <w:bookmarkStart w:id="114" w:name="_Toc528078013"/>
      <w:r>
        <w:rPr>
          <w:rFonts w:hint="eastAsia" w:ascii="宋体" w:hAnsi="宋体" w:cs="宋体"/>
          <w:color w:val="auto"/>
          <w:highlight w:val="none"/>
        </w:rPr>
        <w:t>2.1</w:t>
      </w:r>
      <w:bookmarkEnd w:id="114"/>
      <w:r>
        <w:rPr>
          <w:rFonts w:hint="eastAsia" w:ascii="宋体" w:hAnsi="宋体" w:cs="宋体"/>
          <w:color w:val="auto"/>
          <w:highlight w:val="none"/>
        </w:rPr>
        <w:t>竞争性磋商文件构成</w:t>
      </w:r>
    </w:p>
    <w:p w14:paraId="4EB54CE1">
      <w:pPr>
        <w:wordWrap w:val="0"/>
        <w:spacing w:line="460" w:lineRule="exact"/>
        <w:ind w:firstLine="480" w:firstLineChars="200"/>
        <w:rPr>
          <w:rFonts w:hint="eastAsia" w:ascii="宋体" w:hAnsi="宋体" w:cs="宋体"/>
          <w:color w:val="auto"/>
          <w:highlight w:val="none"/>
        </w:rPr>
      </w:pPr>
      <w:r>
        <w:rPr>
          <w:rFonts w:hint="eastAsia" w:ascii="宋体" w:hAnsi="宋体" w:cs="宋体"/>
          <w:color w:val="auto"/>
          <w:highlight w:val="none"/>
        </w:rPr>
        <w:t>2.1.1竞争性磋商公告</w:t>
      </w:r>
    </w:p>
    <w:p w14:paraId="57C123A3">
      <w:pPr>
        <w:wordWrap w:val="0"/>
        <w:spacing w:line="460" w:lineRule="exact"/>
        <w:ind w:firstLine="480" w:firstLineChars="200"/>
        <w:rPr>
          <w:rFonts w:hint="eastAsia" w:ascii="宋体" w:hAnsi="宋体" w:cs="宋体"/>
          <w:color w:val="auto"/>
          <w:highlight w:val="none"/>
        </w:rPr>
      </w:pPr>
      <w:r>
        <w:rPr>
          <w:rFonts w:hint="eastAsia" w:ascii="宋体" w:hAnsi="宋体" w:cs="宋体"/>
          <w:color w:val="auto"/>
          <w:highlight w:val="none"/>
        </w:rPr>
        <w:t>2.1.2供应商须知</w:t>
      </w:r>
    </w:p>
    <w:p w14:paraId="6CF8B3D2">
      <w:pPr>
        <w:wordWrap w:val="0"/>
        <w:spacing w:line="460" w:lineRule="exact"/>
        <w:ind w:firstLine="480" w:firstLineChars="200"/>
        <w:outlineLvl w:val="2"/>
        <w:rPr>
          <w:rFonts w:hint="eastAsia" w:ascii="宋体" w:hAnsi="宋体" w:cs="宋体"/>
          <w:color w:val="auto"/>
          <w:highlight w:val="none"/>
        </w:rPr>
      </w:pPr>
      <w:r>
        <w:rPr>
          <w:rFonts w:hint="eastAsia" w:ascii="宋体" w:hAnsi="宋体" w:cs="宋体"/>
          <w:color w:val="auto"/>
          <w:highlight w:val="none"/>
        </w:rPr>
        <w:t>2.1.3采购需求</w:t>
      </w:r>
    </w:p>
    <w:p w14:paraId="74743CE2">
      <w:pPr>
        <w:wordWrap w:val="0"/>
        <w:spacing w:line="460" w:lineRule="exact"/>
        <w:ind w:firstLine="480" w:firstLineChars="200"/>
        <w:outlineLvl w:val="2"/>
        <w:rPr>
          <w:rFonts w:hint="eastAsia" w:ascii="宋体" w:hAnsi="宋体" w:cs="宋体"/>
          <w:color w:val="auto"/>
          <w:highlight w:val="none"/>
        </w:rPr>
      </w:pPr>
      <w:r>
        <w:rPr>
          <w:rFonts w:hint="eastAsia" w:ascii="宋体" w:hAnsi="宋体" w:cs="宋体"/>
          <w:color w:val="auto"/>
          <w:highlight w:val="none"/>
        </w:rPr>
        <w:t>2.1.4评审标准合同条款及格式</w:t>
      </w:r>
    </w:p>
    <w:p w14:paraId="4C2DA75A">
      <w:pPr>
        <w:wordWrap w:val="0"/>
        <w:spacing w:line="460" w:lineRule="exact"/>
        <w:ind w:firstLine="480" w:firstLineChars="200"/>
        <w:outlineLvl w:val="2"/>
        <w:rPr>
          <w:rFonts w:ascii="宋体" w:hAnsi="宋体" w:cs="宋体"/>
          <w:color w:val="auto"/>
          <w:highlight w:val="none"/>
        </w:rPr>
      </w:pPr>
      <w:r>
        <w:rPr>
          <w:rFonts w:hint="eastAsia" w:ascii="宋体" w:hAnsi="宋体" w:cs="宋体"/>
          <w:color w:val="auto"/>
          <w:highlight w:val="none"/>
        </w:rPr>
        <w:t>2.1.5评审标准</w:t>
      </w:r>
    </w:p>
    <w:p w14:paraId="5A5EF9E8">
      <w:pPr>
        <w:wordWrap w:val="0"/>
        <w:spacing w:line="460" w:lineRule="exact"/>
        <w:ind w:firstLine="480" w:firstLineChars="200"/>
        <w:outlineLvl w:val="2"/>
        <w:rPr>
          <w:rFonts w:hint="eastAsia" w:ascii="宋体" w:hAnsi="宋体" w:cs="宋体"/>
          <w:color w:val="auto"/>
          <w:highlight w:val="none"/>
        </w:rPr>
      </w:pPr>
      <w:r>
        <w:rPr>
          <w:rFonts w:hint="eastAsia" w:ascii="宋体" w:hAnsi="宋体" w:cs="宋体"/>
          <w:color w:val="auto"/>
          <w:highlight w:val="none"/>
        </w:rPr>
        <w:t>2.1.6响应文件格式</w:t>
      </w:r>
    </w:p>
    <w:p w14:paraId="20436344">
      <w:pPr>
        <w:wordWrap w:val="0"/>
        <w:spacing w:line="460" w:lineRule="exact"/>
        <w:ind w:firstLine="480" w:firstLineChars="200"/>
        <w:outlineLvl w:val="2"/>
        <w:rPr>
          <w:rFonts w:hint="eastAsia" w:ascii="宋体" w:hAnsi="宋体" w:cs="宋体"/>
          <w:color w:val="auto"/>
          <w:highlight w:val="none"/>
        </w:rPr>
      </w:pPr>
      <w:bookmarkStart w:id="115" w:name="_Toc462564070"/>
      <w:bookmarkEnd w:id="115"/>
      <w:bookmarkStart w:id="116" w:name="_Toc513029211"/>
      <w:bookmarkEnd w:id="116"/>
      <w:bookmarkStart w:id="117" w:name="_Toc20823283"/>
      <w:bookmarkEnd w:id="117"/>
      <w:bookmarkStart w:id="118" w:name="_Toc16938527"/>
      <w:bookmarkEnd w:id="118"/>
      <w:bookmarkStart w:id="119" w:name="_Toc528078014"/>
      <w:r>
        <w:rPr>
          <w:rFonts w:hint="eastAsia" w:ascii="宋体" w:hAnsi="宋体" w:cs="宋体"/>
          <w:color w:val="auto"/>
          <w:highlight w:val="none"/>
        </w:rPr>
        <w:t>2.2</w:t>
      </w:r>
      <w:bookmarkEnd w:id="119"/>
      <w:r>
        <w:rPr>
          <w:rFonts w:hint="eastAsia" w:ascii="宋体" w:hAnsi="宋体" w:cs="宋体"/>
          <w:color w:val="auto"/>
          <w:highlight w:val="none"/>
        </w:rPr>
        <w:t>竞争性磋商文件的澄清及修改</w:t>
      </w:r>
    </w:p>
    <w:p w14:paraId="65078EF8">
      <w:pPr>
        <w:wordWrap w:val="0"/>
        <w:spacing w:line="460" w:lineRule="exact"/>
        <w:ind w:firstLine="480" w:firstLineChars="200"/>
        <w:rPr>
          <w:rFonts w:hint="eastAsia" w:ascii="宋体" w:hAnsi="宋体" w:cs="宋体"/>
          <w:color w:val="auto"/>
          <w:highlight w:val="none"/>
        </w:rPr>
      </w:pPr>
      <w:r>
        <w:rPr>
          <w:rFonts w:hint="eastAsia" w:ascii="宋体" w:hAnsi="宋体" w:cs="宋体"/>
          <w:color w:val="auto"/>
          <w:highlight w:val="none"/>
        </w:rPr>
        <w:t>2.2.1供应商应仔细阅读和检查磋商文件的全部内容。如发现电子文件缺页或附件不全，应及时向采购人提出，以便补齐。如有疑问，应在投标截止日期5日前在三门峡市公共资源交易系统中提出咨询并打电话至采购代理机构，要求采购人对磋商文件予以澄清。</w:t>
      </w:r>
      <w:r>
        <w:rPr>
          <w:rFonts w:hint="eastAsia" w:ascii="宋体" w:hAnsi="宋体" w:cs="宋体"/>
          <w:color w:val="auto"/>
          <w:highlight w:val="none"/>
        </w:rPr>
        <w:br w:type="textWrapping"/>
      </w:r>
      <w:r>
        <w:rPr>
          <w:rFonts w:hint="eastAsia" w:ascii="宋体" w:hAnsi="宋体" w:cs="宋体"/>
          <w:color w:val="auto"/>
          <w:highlight w:val="none"/>
        </w:rPr>
        <w:t xml:space="preserve">    2.2.2磋商文件的澄清以澄清回复的方式在三门峡市公共资源交易系统中回复所有报名完成供应商或发布澄清公告，但不指明澄清问题的来源。澄清磋商文件实质性内容且影响响应文件编制的，应当顺延提交首次响应文件截止时间。 </w:t>
      </w:r>
    </w:p>
    <w:p w14:paraId="0BDE25D5">
      <w:pPr>
        <w:wordWrap w:val="0"/>
        <w:spacing w:line="460" w:lineRule="exact"/>
        <w:ind w:firstLine="480" w:firstLineChars="200"/>
        <w:rPr>
          <w:rFonts w:hint="eastAsia" w:ascii="宋体" w:hAnsi="宋体" w:cs="宋体"/>
          <w:color w:val="auto"/>
          <w:highlight w:val="none"/>
        </w:rPr>
      </w:pPr>
      <w:r>
        <w:rPr>
          <w:rFonts w:hint="eastAsia" w:ascii="宋体" w:hAnsi="宋体" w:cs="宋体"/>
          <w:color w:val="auto"/>
          <w:highlight w:val="none"/>
        </w:rPr>
        <w:t>2.2.3提交首次响应文件截止之日前，采购人、采购代理公司可以对已发出的磋商文件进行必要的澄清或者修改，澄清或者修改的内容作为磋商文件的组成部分。澄清或者修改的内容可能影响响应文件编制的，采购人、采购代理公司将在提交首次响应文件截止时间至少5日前，在相关网上发布变更公告形式通知所有获取磋商文件的供应商。不足5日的，应当顺延提交首次响应文件截止时间。</w:t>
      </w:r>
    </w:p>
    <w:p w14:paraId="3B15AFEA">
      <w:pPr>
        <w:wordWrap w:val="0"/>
        <w:spacing w:line="460" w:lineRule="exact"/>
        <w:ind w:firstLine="480" w:firstLineChars="200"/>
        <w:rPr>
          <w:rFonts w:hint="eastAsia" w:ascii="宋体" w:hAnsi="宋体" w:cs="宋体"/>
          <w:color w:val="auto"/>
          <w:highlight w:val="none"/>
        </w:rPr>
      </w:pPr>
      <w:r>
        <w:rPr>
          <w:rFonts w:hint="eastAsia" w:ascii="宋体" w:hAnsi="宋体" w:cs="宋体"/>
          <w:color w:val="auto"/>
          <w:highlight w:val="none"/>
        </w:rPr>
        <w:t>2.2.4供应商应自行查看澄清或变更信息。</w:t>
      </w:r>
    </w:p>
    <w:p w14:paraId="4304BCD9">
      <w:pPr>
        <w:pStyle w:val="14"/>
        <w:widowControl w:val="0"/>
        <w:wordWrap w:val="0"/>
        <w:spacing w:before="0" w:beforeAutospacing="0" w:after="0" w:afterAutospacing="0" w:line="460" w:lineRule="exact"/>
        <w:ind w:firstLine="480" w:firstLineChars="200"/>
        <w:outlineLvl w:val="1"/>
        <w:rPr>
          <w:rFonts w:hint="eastAsia"/>
          <w:color w:val="auto"/>
          <w:highlight w:val="none"/>
        </w:rPr>
      </w:pPr>
      <w:bookmarkStart w:id="120" w:name="_Toc16938529"/>
      <w:bookmarkEnd w:id="120"/>
      <w:bookmarkStart w:id="121" w:name="_Toc462564072"/>
      <w:bookmarkEnd w:id="121"/>
      <w:bookmarkStart w:id="122" w:name="_Toc20823285"/>
      <w:bookmarkEnd w:id="122"/>
      <w:bookmarkStart w:id="123" w:name="_Toc403987207"/>
      <w:bookmarkEnd w:id="123"/>
      <w:bookmarkStart w:id="124" w:name="_Toc120614216"/>
      <w:bookmarkEnd w:id="124"/>
      <w:bookmarkStart w:id="125" w:name="_Toc513029213"/>
      <w:r>
        <w:rPr>
          <w:rFonts w:hint="eastAsia"/>
          <w:color w:val="auto"/>
          <w:kern w:val="2"/>
          <w:highlight w:val="none"/>
        </w:rPr>
        <w:t xml:space="preserve"> </w:t>
      </w:r>
      <w:bookmarkEnd w:id="125"/>
      <w:bookmarkStart w:id="126" w:name="_Toc517178995"/>
      <w:bookmarkEnd w:id="126"/>
      <w:bookmarkStart w:id="127" w:name="_Toc505350555"/>
      <w:bookmarkEnd w:id="127"/>
      <w:bookmarkStart w:id="128" w:name="_Toc528078015"/>
      <w:bookmarkEnd w:id="128"/>
      <w:bookmarkStart w:id="129" w:name="_Toc504491969"/>
      <w:bookmarkEnd w:id="129"/>
      <w:r>
        <w:rPr>
          <w:rFonts w:hint="eastAsia"/>
          <w:color w:val="auto"/>
          <w:kern w:val="2"/>
          <w:highlight w:val="none"/>
        </w:rPr>
        <w:t>3.磋商响应文件的编制及递交</w:t>
      </w:r>
    </w:p>
    <w:p w14:paraId="5C7F3E20">
      <w:pPr>
        <w:wordWrap w:val="0"/>
        <w:spacing w:line="460" w:lineRule="exact"/>
        <w:ind w:firstLine="480" w:firstLineChars="200"/>
        <w:rPr>
          <w:rFonts w:hint="eastAsia" w:ascii="宋体" w:hAnsi="宋体" w:cs="宋体"/>
          <w:color w:val="auto"/>
          <w:highlight w:val="none"/>
        </w:rPr>
      </w:pPr>
      <w:r>
        <w:rPr>
          <w:rFonts w:hint="eastAsia" w:ascii="宋体" w:hAnsi="宋体" w:cs="宋体"/>
          <w:color w:val="auto"/>
          <w:highlight w:val="none"/>
        </w:rPr>
        <w:t>电子化交易项目竞争性磋商响应文件（以下简称“响应文件”）是投标人、供应商（以下简称“投标人”）通过中心响应文件制作系统制作，并经过签章和加密后生成的电子版响应文件。投标人投标时，将不再接受任何纸质文件资料。</w:t>
      </w:r>
    </w:p>
    <w:p w14:paraId="00CEA2A7">
      <w:pPr>
        <w:wordWrap w:val="0"/>
        <w:spacing w:line="460" w:lineRule="exact"/>
        <w:ind w:firstLine="480" w:firstLineChars="200"/>
        <w:rPr>
          <w:rFonts w:hint="eastAsia" w:ascii="宋体" w:hAnsi="宋体" w:cs="宋体"/>
          <w:color w:val="auto"/>
          <w:highlight w:val="none"/>
        </w:rPr>
      </w:pPr>
      <w:r>
        <w:rPr>
          <w:rFonts w:hint="eastAsia" w:ascii="宋体" w:hAnsi="宋体" w:cs="宋体"/>
          <w:color w:val="auto"/>
          <w:highlight w:val="none"/>
        </w:rPr>
        <w:t>电子化响应文件具体制作教材请供应商通过CA证书登录三门峡市公共资源电子化交易系统在“组建下载”中查看。</w:t>
      </w:r>
    </w:p>
    <w:p w14:paraId="6D43EAC5">
      <w:pPr>
        <w:wordWrap w:val="0"/>
        <w:spacing w:line="460" w:lineRule="exact"/>
        <w:ind w:firstLine="480" w:firstLineChars="200"/>
        <w:rPr>
          <w:rFonts w:hint="eastAsia" w:ascii="宋体" w:hAnsi="宋体" w:cs="宋体"/>
          <w:color w:val="auto"/>
          <w:highlight w:val="none"/>
        </w:rPr>
      </w:pPr>
      <w:r>
        <w:rPr>
          <w:rFonts w:hint="eastAsia" w:ascii="宋体" w:hAnsi="宋体" w:cs="宋体"/>
          <w:color w:val="auto"/>
          <w:highlight w:val="none"/>
        </w:rPr>
        <w:t>温馨提示：本项目为电子化、无纸化交易项目，开标时不接受任何纸质资料，为保证您能投标成功，请需仔细阅读以下条款。</w:t>
      </w:r>
    </w:p>
    <w:p w14:paraId="527BFC38">
      <w:pPr>
        <w:wordWrap w:val="0"/>
        <w:spacing w:line="460" w:lineRule="exact"/>
        <w:ind w:firstLine="480" w:firstLineChars="200"/>
        <w:rPr>
          <w:rFonts w:hint="eastAsia" w:ascii="宋体" w:hAnsi="宋体" w:cs="宋体"/>
          <w:color w:val="auto"/>
          <w:highlight w:val="none"/>
        </w:rPr>
      </w:pPr>
      <w:r>
        <w:rPr>
          <w:rFonts w:hint="eastAsia" w:ascii="宋体" w:hAnsi="宋体" w:cs="宋体"/>
          <w:color w:val="auto"/>
          <w:highlight w:val="none"/>
        </w:rPr>
        <w:t>一、电子化投标</w:t>
      </w:r>
    </w:p>
    <w:p w14:paraId="1FD72A9B">
      <w:pPr>
        <w:pStyle w:val="14"/>
        <w:widowControl w:val="0"/>
        <w:wordWrap w:val="0"/>
        <w:spacing w:before="0" w:beforeAutospacing="0" w:after="0" w:afterAutospacing="0" w:line="460" w:lineRule="exact"/>
        <w:ind w:firstLine="480" w:firstLineChars="200"/>
        <w:rPr>
          <w:rFonts w:hint="eastAsia"/>
          <w:color w:val="auto"/>
          <w:highlight w:val="none"/>
        </w:rPr>
      </w:pPr>
      <w:r>
        <w:rPr>
          <w:rFonts w:hint="eastAsia"/>
          <w:color w:val="auto"/>
          <w:kern w:val="2"/>
          <w:highlight w:val="none"/>
        </w:rPr>
        <w:t>（一）电子化响应文件的签章</w:t>
      </w:r>
    </w:p>
    <w:p w14:paraId="05646B17">
      <w:pPr>
        <w:wordWrap w:val="0"/>
        <w:spacing w:line="460" w:lineRule="exact"/>
        <w:ind w:firstLine="480" w:firstLineChars="200"/>
        <w:rPr>
          <w:rFonts w:hint="eastAsia" w:ascii="宋体" w:hAnsi="宋体" w:cs="宋体"/>
          <w:color w:val="auto"/>
          <w:highlight w:val="none"/>
        </w:rPr>
      </w:pPr>
      <w:r>
        <w:rPr>
          <w:rFonts w:hint="eastAsia" w:ascii="宋体" w:hAnsi="宋体" w:cs="宋体"/>
          <w:color w:val="auto"/>
          <w:highlight w:val="none"/>
        </w:rPr>
        <w:t>1、供应商在生成电子化响应文件后，应对电子化响应文件进行签章，未进行签章的视为无效投标。</w:t>
      </w:r>
    </w:p>
    <w:p w14:paraId="6576BFC5">
      <w:pPr>
        <w:wordWrap w:val="0"/>
        <w:spacing w:line="460" w:lineRule="exact"/>
        <w:ind w:firstLine="480" w:firstLineChars="200"/>
        <w:rPr>
          <w:rFonts w:hint="eastAsia" w:ascii="宋体" w:hAnsi="宋体" w:cs="宋体"/>
          <w:color w:val="auto"/>
          <w:highlight w:val="none"/>
        </w:rPr>
      </w:pPr>
      <w:r>
        <w:rPr>
          <w:rFonts w:hint="eastAsia" w:ascii="宋体" w:hAnsi="宋体" w:cs="宋体"/>
          <w:color w:val="auto"/>
          <w:highlight w:val="none"/>
        </w:rPr>
        <w:t>2、磋商文件中要求法定代表人或授权委托人签字或盖章的，供应商在进行电子化响应文件签章时，以签盖法定代表人签章为准。电子化响应文件具体制作教材请供应商通过CA证书登录三门峡市公共资源电子化交易系统在右上角“组建下载”中查看。</w:t>
      </w:r>
    </w:p>
    <w:p w14:paraId="7C464026">
      <w:pPr>
        <w:wordWrap w:val="0"/>
        <w:spacing w:line="460" w:lineRule="exact"/>
        <w:ind w:firstLine="480" w:firstLineChars="200"/>
        <w:rPr>
          <w:rFonts w:hint="eastAsia" w:ascii="宋体" w:hAnsi="宋体" w:cs="宋体"/>
          <w:color w:val="auto"/>
          <w:highlight w:val="none"/>
        </w:rPr>
      </w:pPr>
      <w:r>
        <w:rPr>
          <w:rFonts w:hint="eastAsia" w:ascii="宋体" w:hAnsi="宋体" w:cs="宋体"/>
          <w:color w:val="auto"/>
          <w:highlight w:val="none"/>
        </w:rPr>
        <w:t>（二）电子化响应文件的格式及上传投标</w:t>
      </w:r>
    </w:p>
    <w:p w14:paraId="049C1CC4">
      <w:pPr>
        <w:wordWrap w:val="0"/>
        <w:spacing w:line="460" w:lineRule="exact"/>
        <w:ind w:firstLine="480" w:firstLineChars="200"/>
        <w:rPr>
          <w:rFonts w:hint="eastAsia" w:ascii="宋体" w:hAnsi="宋体" w:cs="宋体"/>
          <w:color w:val="auto"/>
          <w:highlight w:val="none"/>
        </w:rPr>
      </w:pPr>
      <w:r>
        <w:rPr>
          <w:rFonts w:hint="eastAsia" w:ascii="宋体" w:hAnsi="宋体" w:cs="宋体"/>
          <w:color w:val="auto"/>
          <w:highlight w:val="none"/>
        </w:rPr>
        <w:t>1、供应商所上传的电子化响应文件，应是通过中心响应文件制作系统制作的，经过签章和加密后生成的电子版响应文件。</w:t>
      </w:r>
    </w:p>
    <w:p w14:paraId="57CFF1CB">
      <w:pPr>
        <w:wordWrap w:val="0"/>
        <w:spacing w:line="460" w:lineRule="exact"/>
        <w:ind w:firstLine="480" w:firstLineChars="200"/>
        <w:rPr>
          <w:rFonts w:hint="eastAsia" w:ascii="宋体" w:hAnsi="宋体" w:cs="宋体"/>
          <w:color w:val="auto"/>
          <w:highlight w:val="none"/>
        </w:rPr>
      </w:pPr>
      <w:r>
        <w:rPr>
          <w:rFonts w:hint="eastAsia" w:ascii="宋体" w:hAnsi="宋体" w:cs="宋体"/>
          <w:color w:val="auto"/>
          <w:highlight w:val="none"/>
        </w:rPr>
        <w:t>2、电子化响应文件应在投标截止时间前成功上传至三门峡市公共资源电子化交易系统。至投标截止时间止，仍未上传成功的电子化响应文件将不予接收。</w:t>
      </w:r>
    </w:p>
    <w:p w14:paraId="60A5819E">
      <w:pPr>
        <w:wordWrap w:val="0"/>
        <w:spacing w:line="460" w:lineRule="exact"/>
        <w:ind w:firstLine="480" w:firstLineChars="200"/>
        <w:rPr>
          <w:rFonts w:hint="eastAsia" w:ascii="宋体" w:hAnsi="宋体" w:cs="宋体"/>
          <w:color w:val="auto"/>
          <w:highlight w:val="none"/>
        </w:rPr>
      </w:pPr>
      <w:r>
        <w:rPr>
          <w:rFonts w:hint="eastAsia" w:ascii="宋体" w:hAnsi="宋体" w:cs="宋体"/>
          <w:color w:val="auto"/>
          <w:highlight w:val="none"/>
        </w:rPr>
        <w:t>注：如按照电子化投标操作教材制作完成的电子化响应文件无法上传的，供应商应在投标截止时间前尽早的联系中心技术人员，以便有充分的时间进行处理。供应商应充分考虑到处理技术问题和上传数据等工作所需的时间问题，响应文件未在投标截止时间前成功上传的，其响应文件不予接收。</w:t>
      </w:r>
    </w:p>
    <w:p w14:paraId="5169CEF2">
      <w:pPr>
        <w:wordWrap w:val="0"/>
        <w:spacing w:line="460" w:lineRule="exact"/>
        <w:ind w:firstLine="480" w:firstLineChars="200"/>
        <w:rPr>
          <w:rFonts w:hint="eastAsia" w:ascii="宋体" w:hAnsi="宋体" w:cs="宋体"/>
          <w:color w:val="auto"/>
          <w:highlight w:val="none"/>
        </w:rPr>
      </w:pPr>
      <w:r>
        <w:rPr>
          <w:rFonts w:hint="eastAsia" w:ascii="宋体" w:hAnsi="宋体" w:cs="宋体"/>
          <w:color w:val="auto"/>
          <w:highlight w:val="none"/>
        </w:rPr>
        <w:t>（三）电子化项目开标、解密、唱标、磋商</w:t>
      </w:r>
    </w:p>
    <w:p w14:paraId="4701F870">
      <w:pPr>
        <w:wordWrap w:val="0"/>
        <w:spacing w:line="460" w:lineRule="exact"/>
        <w:ind w:firstLine="480" w:firstLineChars="200"/>
        <w:rPr>
          <w:rFonts w:hint="eastAsia" w:ascii="宋体" w:hAnsi="宋体" w:cs="宋体"/>
          <w:color w:val="auto"/>
          <w:highlight w:val="none"/>
        </w:rPr>
      </w:pPr>
      <w:r>
        <w:rPr>
          <w:rFonts w:hint="eastAsia" w:ascii="宋体" w:hAnsi="宋体" w:cs="宋体"/>
          <w:color w:val="auto"/>
          <w:highlight w:val="none"/>
        </w:rPr>
        <w:t>1、本项目采用电子化、无纸化进行招标，供应商可以通过网络登录交易平台进入项目开标大厅远程在线参加开标会议。</w:t>
      </w:r>
    </w:p>
    <w:p w14:paraId="301CD567">
      <w:pPr>
        <w:wordWrap w:val="0"/>
        <w:spacing w:line="460" w:lineRule="exact"/>
        <w:ind w:firstLine="480" w:firstLineChars="200"/>
        <w:rPr>
          <w:rFonts w:hint="eastAsia" w:ascii="宋体" w:hAnsi="宋体" w:cs="宋体"/>
          <w:color w:val="auto"/>
          <w:highlight w:val="none"/>
        </w:rPr>
      </w:pPr>
      <w:r>
        <w:rPr>
          <w:rFonts w:hint="eastAsia" w:ascii="宋体" w:hAnsi="宋体" w:cs="宋体"/>
          <w:color w:val="auto"/>
          <w:highlight w:val="none"/>
        </w:rPr>
        <w:t>2、电子化响应文件采用双重加密方式。开标时，请供应商使用CA证书登录交易平台，进入本项目开标大厅点击解密来完成响应文件的解密工作。每位供应商的解密时间为开标时间起30分钟内完成。待所有供应商全部解密完成后，再由中介服务机构使用CA证书对响应文件进行再次解密。</w:t>
      </w:r>
    </w:p>
    <w:p w14:paraId="193D738C">
      <w:pPr>
        <w:wordWrap w:val="0"/>
        <w:spacing w:line="460" w:lineRule="exact"/>
        <w:ind w:firstLine="480" w:firstLineChars="200"/>
        <w:rPr>
          <w:rFonts w:hint="eastAsia" w:ascii="宋体" w:hAnsi="宋体" w:cs="宋体"/>
          <w:color w:val="auto"/>
          <w:highlight w:val="none"/>
        </w:rPr>
      </w:pPr>
      <w:r>
        <w:rPr>
          <w:rFonts w:hint="eastAsia" w:ascii="宋体" w:hAnsi="宋体" w:cs="宋体"/>
          <w:color w:val="auto"/>
          <w:highlight w:val="none"/>
        </w:rPr>
        <w:t>3、电子化响应文件解密异常的处理</w:t>
      </w:r>
    </w:p>
    <w:p w14:paraId="0373CCDD">
      <w:pPr>
        <w:wordWrap w:val="0"/>
        <w:spacing w:line="460" w:lineRule="exact"/>
        <w:ind w:firstLine="480" w:firstLineChars="200"/>
        <w:rPr>
          <w:rFonts w:hint="eastAsia" w:ascii="宋体" w:hAnsi="宋体" w:cs="宋体"/>
          <w:color w:val="auto"/>
          <w:highlight w:val="none"/>
        </w:rPr>
      </w:pPr>
      <w:r>
        <w:rPr>
          <w:rFonts w:hint="eastAsia" w:ascii="宋体" w:hAnsi="宋体" w:cs="宋体"/>
          <w:color w:val="auto"/>
          <w:highlight w:val="none"/>
        </w:rPr>
        <w:t>如出现供应商的电子响应文件无法解密等异常情况，供应商应及时致电中介服务机构说明。响应文件异常，按以下步骤进行处理：</w:t>
      </w:r>
    </w:p>
    <w:p w14:paraId="38CAD6F5">
      <w:pPr>
        <w:wordWrap w:val="0"/>
        <w:spacing w:line="460" w:lineRule="exact"/>
        <w:ind w:firstLine="480" w:firstLineChars="200"/>
        <w:rPr>
          <w:rFonts w:hint="eastAsia" w:ascii="宋体" w:hAnsi="宋体" w:cs="宋体"/>
          <w:color w:val="auto"/>
          <w:highlight w:val="none"/>
        </w:rPr>
      </w:pPr>
      <w:r>
        <w:rPr>
          <w:rFonts w:hint="eastAsia" w:ascii="宋体" w:hAnsi="宋体" w:cs="宋体"/>
          <w:color w:val="auto"/>
          <w:highlight w:val="none"/>
        </w:rPr>
        <w:t>（1）首先由技术人员进行问题排查。</w:t>
      </w:r>
    </w:p>
    <w:p w14:paraId="2E53A88D">
      <w:pPr>
        <w:wordWrap w:val="0"/>
        <w:spacing w:line="460" w:lineRule="exact"/>
        <w:ind w:firstLine="480" w:firstLineChars="200"/>
        <w:rPr>
          <w:rFonts w:hint="eastAsia" w:ascii="宋体" w:hAnsi="宋体" w:cs="宋体"/>
          <w:color w:val="auto"/>
          <w:highlight w:val="none"/>
        </w:rPr>
      </w:pPr>
      <w:r>
        <w:rPr>
          <w:rFonts w:hint="eastAsia" w:ascii="宋体" w:hAnsi="宋体" w:cs="宋体"/>
          <w:color w:val="auto"/>
          <w:highlight w:val="none"/>
        </w:rPr>
        <w:t>（2）经技术人员排查后，是供应商文件自身问题导致响应文件无法解密的，该响应文件将不予接收、解密和唱标。开标会议继续进行。</w:t>
      </w:r>
    </w:p>
    <w:p w14:paraId="1F152599">
      <w:pPr>
        <w:wordWrap w:val="0"/>
        <w:spacing w:line="460" w:lineRule="exact"/>
        <w:ind w:firstLine="480" w:firstLineChars="200"/>
        <w:rPr>
          <w:rFonts w:hint="eastAsia" w:ascii="宋体" w:hAnsi="宋体" w:cs="宋体"/>
          <w:color w:val="auto"/>
          <w:highlight w:val="none"/>
        </w:rPr>
      </w:pPr>
      <w:r>
        <w:rPr>
          <w:rFonts w:hint="eastAsia" w:ascii="宋体" w:hAnsi="宋体" w:cs="宋体"/>
          <w:color w:val="auto"/>
          <w:highlight w:val="none"/>
        </w:rPr>
        <w:t>（3）经技术人员排查后，如果是电子化交易系统问题造成响应文件无法解密的，将由技术人员对问题进行处理。如短时间内问题无法解决的，将由中介服务机构向监督部门申请，经监督部门同意后，暂停开标会议，待问题解决后继续开标。</w:t>
      </w:r>
    </w:p>
    <w:p w14:paraId="4594FFA6">
      <w:pPr>
        <w:wordWrap w:val="0"/>
        <w:spacing w:line="460" w:lineRule="exact"/>
        <w:ind w:firstLine="480" w:firstLineChars="200"/>
        <w:rPr>
          <w:rFonts w:hint="eastAsia" w:ascii="宋体" w:hAnsi="宋体" w:cs="宋体"/>
          <w:color w:val="auto"/>
          <w:highlight w:val="none"/>
        </w:rPr>
      </w:pPr>
      <w:r>
        <w:rPr>
          <w:rFonts w:hint="eastAsia" w:ascii="宋体" w:hAnsi="宋体" w:cs="宋体"/>
          <w:color w:val="auto"/>
          <w:highlight w:val="none"/>
        </w:rPr>
        <w:t>4、供应商应保证在开标期间电话、电脑、网络能够正常工作，供应商因停电、电脑病毒、网络堵塞等原因，未在规定的解密时间内对响应文件进行解密的，其响应文件不予接收、唱标。</w:t>
      </w:r>
    </w:p>
    <w:p w14:paraId="0FD2B05C">
      <w:pPr>
        <w:wordWrap w:val="0"/>
        <w:spacing w:line="460" w:lineRule="exact"/>
        <w:ind w:firstLine="480" w:firstLineChars="200"/>
        <w:rPr>
          <w:rFonts w:hint="eastAsia" w:ascii="宋体" w:hAnsi="宋体" w:cs="宋体"/>
          <w:color w:val="auto"/>
          <w:highlight w:val="none"/>
        </w:rPr>
      </w:pPr>
      <w:r>
        <w:rPr>
          <w:rFonts w:hint="eastAsia" w:ascii="宋体" w:hAnsi="宋体" w:cs="宋体"/>
          <w:color w:val="auto"/>
          <w:highlight w:val="none"/>
        </w:rPr>
        <w:t>5、磋商小组对电子化响应文件有质疑的，将通过电子化交易系统对供应商发起质疑，并在监督人员的监督下，用免提模式致电需要答复的供应商对质疑进行回复。供应商的回复文件必须以经过供应商和其法定代表人签章的PDF格式文件为准，并通过电子化交易系统提交至磋商小组。</w:t>
      </w:r>
    </w:p>
    <w:p w14:paraId="4D47D863">
      <w:pPr>
        <w:wordWrap w:val="0"/>
        <w:spacing w:line="460" w:lineRule="exact"/>
        <w:ind w:firstLine="480" w:firstLineChars="200"/>
        <w:rPr>
          <w:rFonts w:hint="eastAsia" w:ascii="宋体" w:hAnsi="宋体" w:cs="宋体"/>
          <w:color w:val="auto"/>
          <w:highlight w:val="none"/>
        </w:rPr>
      </w:pPr>
      <w:r>
        <w:rPr>
          <w:rFonts w:hint="eastAsia" w:ascii="宋体" w:hAnsi="宋体" w:cs="宋体"/>
          <w:color w:val="auto"/>
          <w:highlight w:val="none"/>
        </w:rPr>
        <w:t>6、如磋商小组对需要回复的供应商连续三次致电未接通的，视为供应商放弃回复，磋商小组将自行对需要回复的内容进行认定。</w:t>
      </w:r>
    </w:p>
    <w:p w14:paraId="49533527">
      <w:pPr>
        <w:wordWrap w:val="0"/>
        <w:spacing w:line="460" w:lineRule="exact"/>
        <w:ind w:firstLine="480" w:firstLineChars="200"/>
        <w:rPr>
          <w:rFonts w:hint="eastAsia" w:ascii="宋体" w:hAnsi="宋体" w:cs="宋体"/>
          <w:color w:val="auto"/>
          <w:highlight w:val="none"/>
        </w:rPr>
      </w:pPr>
      <w:r>
        <w:rPr>
          <w:rFonts w:hint="eastAsia" w:ascii="宋体" w:hAnsi="宋体" w:cs="宋体"/>
          <w:color w:val="auto"/>
          <w:highlight w:val="none"/>
        </w:rPr>
        <w:t>二、相关证书原件的提交</w:t>
      </w:r>
    </w:p>
    <w:p w14:paraId="6E1C2D4A">
      <w:pPr>
        <w:wordWrap w:val="0"/>
        <w:spacing w:line="460" w:lineRule="exact"/>
        <w:ind w:firstLine="480" w:firstLineChars="200"/>
        <w:rPr>
          <w:rFonts w:hint="eastAsia" w:ascii="宋体" w:hAnsi="宋体" w:cs="宋体"/>
          <w:color w:val="auto"/>
          <w:highlight w:val="none"/>
        </w:rPr>
      </w:pPr>
      <w:r>
        <w:rPr>
          <w:rFonts w:hint="eastAsia" w:ascii="宋体" w:hAnsi="宋体" w:cs="宋体"/>
          <w:color w:val="auto"/>
          <w:highlight w:val="none"/>
        </w:rPr>
        <w:t>本项目实行资格后审，竞争性磋商文件中要求供应商提交营业执照、业绩、荣誉及单位人员等相关资料，供应商需将原件扫描件制作到电子响应文件中</w:t>
      </w:r>
    </w:p>
    <w:p w14:paraId="2090E234">
      <w:pPr>
        <w:wordWrap w:val="0"/>
        <w:spacing w:line="460" w:lineRule="exact"/>
        <w:ind w:firstLine="480" w:firstLineChars="200"/>
        <w:rPr>
          <w:rFonts w:hint="eastAsia" w:ascii="宋体" w:hAnsi="宋体" w:cs="宋体"/>
          <w:color w:val="auto"/>
          <w:highlight w:val="none"/>
        </w:rPr>
      </w:pPr>
      <w:r>
        <w:rPr>
          <w:rFonts w:hint="eastAsia" w:ascii="宋体" w:hAnsi="宋体" w:cs="宋体"/>
          <w:color w:val="auto"/>
          <w:highlight w:val="none"/>
        </w:rPr>
        <w:t>供应商需应仔细阅读操作手册，保证上传内容齐全，真实有效，原件扫描件清晰可辨。因供应商上传原因导致应得分项而未得分或资格审查不合格等情况的，由供应商自行承担责任。提示：本项目为电子化、无纸化交易项目，开标时不再接受任何纸质资料，为保证您能投标成功，请需仔细阅读以上条款。</w:t>
      </w:r>
    </w:p>
    <w:p w14:paraId="38A9CBE3">
      <w:pPr>
        <w:wordWrap w:val="0"/>
        <w:spacing w:line="460" w:lineRule="exact"/>
        <w:ind w:firstLine="480" w:firstLineChars="200"/>
        <w:outlineLvl w:val="2"/>
        <w:rPr>
          <w:rFonts w:hint="eastAsia" w:ascii="宋体" w:hAnsi="宋体" w:cs="宋体"/>
          <w:color w:val="auto"/>
          <w:highlight w:val="none"/>
        </w:rPr>
      </w:pPr>
      <w:bookmarkStart w:id="130" w:name="_Toc528078016"/>
      <w:bookmarkEnd w:id="130"/>
      <w:r>
        <w:rPr>
          <w:rFonts w:hint="eastAsia" w:ascii="宋体" w:hAnsi="宋体" w:cs="宋体"/>
          <w:color w:val="auto"/>
          <w:highlight w:val="none"/>
        </w:rPr>
        <w:t>3.初次报价表</w:t>
      </w:r>
    </w:p>
    <w:p w14:paraId="7F6D1FA7">
      <w:pPr>
        <w:wordWrap w:val="0"/>
        <w:spacing w:line="460" w:lineRule="exact"/>
        <w:ind w:firstLine="480" w:firstLineChars="200"/>
        <w:outlineLvl w:val="2"/>
        <w:rPr>
          <w:rFonts w:hint="eastAsia" w:ascii="宋体" w:hAnsi="宋体" w:cs="宋体"/>
          <w:color w:val="auto"/>
          <w:highlight w:val="none"/>
        </w:rPr>
      </w:pPr>
      <w:bookmarkStart w:id="131" w:name="_Toc528078017"/>
      <w:bookmarkEnd w:id="131"/>
      <w:r>
        <w:rPr>
          <w:rFonts w:hint="eastAsia" w:ascii="宋体" w:hAnsi="宋体" w:cs="宋体"/>
          <w:color w:val="auto"/>
          <w:highlight w:val="none"/>
        </w:rPr>
        <w:t>3.1供应商应按照竞争性磋商文件规定格式填报</w:t>
      </w:r>
      <w:bookmarkStart w:id="132" w:name="_Hlt26670399"/>
      <w:bookmarkEnd w:id="132"/>
      <w:r>
        <w:rPr>
          <w:rFonts w:hint="eastAsia" w:ascii="宋体" w:hAnsi="宋体" w:cs="宋体"/>
          <w:color w:val="auto"/>
          <w:highlight w:val="none"/>
        </w:rPr>
        <w:t>初次报价表。每项费用允许有一个报价，任何有选择的报价将不予接受。</w:t>
      </w:r>
    </w:p>
    <w:p w14:paraId="4AB97F66">
      <w:pPr>
        <w:wordWrap w:val="0"/>
        <w:spacing w:line="460" w:lineRule="exact"/>
        <w:ind w:firstLine="480" w:firstLineChars="200"/>
        <w:rPr>
          <w:rFonts w:hint="eastAsia" w:ascii="宋体" w:hAnsi="宋体" w:cs="宋体"/>
          <w:color w:val="auto"/>
          <w:highlight w:val="none"/>
        </w:rPr>
      </w:pPr>
      <w:r>
        <w:rPr>
          <w:rFonts w:hint="eastAsia" w:ascii="宋体" w:hAnsi="宋体" w:cs="宋体"/>
          <w:color w:val="auto"/>
          <w:highlight w:val="none"/>
        </w:rPr>
        <w:t>3.2有关费用处理</w:t>
      </w:r>
    </w:p>
    <w:p w14:paraId="0E2CC031">
      <w:pPr>
        <w:wordWrap w:val="0"/>
        <w:spacing w:line="460" w:lineRule="exact"/>
        <w:ind w:firstLine="480" w:firstLineChars="200"/>
        <w:rPr>
          <w:rFonts w:hint="eastAsia" w:ascii="宋体" w:hAnsi="宋体" w:cs="宋体"/>
          <w:color w:val="auto"/>
          <w:highlight w:val="none"/>
        </w:rPr>
      </w:pPr>
      <w:r>
        <w:rPr>
          <w:rFonts w:hint="eastAsia" w:ascii="宋体" w:hAnsi="宋体" w:cs="宋体"/>
          <w:color w:val="auto"/>
          <w:highlight w:val="none"/>
        </w:rPr>
        <w:t>本项目应以人民币报价，供应商应就该项目完整投标（报价、服务、税费、售后服务等综合费用），采购人不另外支付其他任何费用；</w:t>
      </w:r>
    </w:p>
    <w:p w14:paraId="118CA7C8">
      <w:pPr>
        <w:wordWrap w:val="0"/>
        <w:spacing w:line="460" w:lineRule="exact"/>
        <w:ind w:firstLine="480" w:firstLineChars="200"/>
        <w:outlineLvl w:val="2"/>
        <w:rPr>
          <w:rFonts w:hint="eastAsia" w:ascii="宋体" w:hAnsi="宋体" w:cs="宋体"/>
          <w:color w:val="auto"/>
          <w:highlight w:val="none"/>
        </w:rPr>
      </w:pPr>
      <w:bookmarkStart w:id="133" w:name="_Toc528078018"/>
      <w:bookmarkEnd w:id="133"/>
      <w:r>
        <w:rPr>
          <w:rFonts w:hint="eastAsia" w:ascii="宋体" w:hAnsi="宋体" w:cs="宋体"/>
          <w:color w:val="auto"/>
          <w:highlight w:val="none"/>
        </w:rPr>
        <w:t>3.3其它费用处理</w:t>
      </w:r>
    </w:p>
    <w:p w14:paraId="794996EF">
      <w:pPr>
        <w:wordWrap w:val="0"/>
        <w:spacing w:line="460" w:lineRule="exact"/>
        <w:ind w:firstLine="480" w:firstLineChars="200"/>
        <w:rPr>
          <w:rFonts w:hint="eastAsia" w:ascii="宋体" w:hAnsi="宋体" w:cs="宋体"/>
          <w:color w:val="auto"/>
          <w:highlight w:val="none"/>
        </w:rPr>
      </w:pPr>
      <w:r>
        <w:rPr>
          <w:rFonts w:hint="eastAsia" w:ascii="宋体" w:hAnsi="宋体" w:cs="宋体"/>
          <w:color w:val="auto"/>
          <w:highlight w:val="none"/>
        </w:rPr>
        <w:t>竞争性磋商文件未列明，而供应商认为必需的费用也需列入报价。</w:t>
      </w:r>
    </w:p>
    <w:p w14:paraId="46B8FA1A">
      <w:pPr>
        <w:wordWrap w:val="0"/>
        <w:spacing w:line="460" w:lineRule="exact"/>
        <w:ind w:firstLine="480" w:firstLineChars="200"/>
        <w:outlineLvl w:val="2"/>
        <w:rPr>
          <w:rFonts w:hint="eastAsia" w:ascii="宋体" w:hAnsi="宋体" w:cs="宋体"/>
          <w:color w:val="auto"/>
          <w:highlight w:val="none"/>
        </w:rPr>
      </w:pPr>
      <w:bookmarkStart w:id="134" w:name="_Toc528078019"/>
      <w:bookmarkEnd w:id="134"/>
      <w:r>
        <w:rPr>
          <w:rFonts w:hint="eastAsia" w:ascii="宋体" w:hAnsi="宋体" w:cs="宋体"/>
          <w:color w:val="auto"/>
          <w:highlight w:val="none"/>
        </w:rPr>
        <w:t>3.4响应文件货币</w:t>
      </w:r>
    </w:p>
    <w:p w14:paraId="160C7E0F">
      <w:pPr>
        <w:wordWrap w:val="0"/>
        <w:spacing w:line="460" w:lineRule="exact"/>
        <w:ind w:firstLine="480" w:firstLineChars="200"/>
        <w:rPr>
          <w:rFonts w:hint="eastAsia" w:ascii="宋体" w:hAnsi="宋体" w:cs="宋体"/>
          <w:color w:val="auto"/>
          <w:highlight w:val="none"/>
        </w:rPr>
      </w:pPr>
      <w:r>
        <w:rPr>
          <w:rFonts w:hint="eastAsia" w:ascii="宋体" w:hAnsi="宋体" w:cs="宋体"/>
          <w:color w:val="auto"/>
          <w:highlight w:val="none"/>
        </w:rPr>
        <w:t>响应文件中的货物单价和总价无特殊规定的采用人民币报价，以元为单位标注。竞争性磋商文件中另有规定的按规定执行。</w:t>
      </w:r>
    </w:p>
    <w:p w14:paraId="219B8FB1">
      <w:pPr>
        <w:wordWrap w:val="0"/>
        <w:spacing w:line="460" w:lineRule="exact"/>
        <w:ind w:firstLine="480" w:firstLineChars="200"/>
        <w:outlineLvl w:val="2"/>
        <w:rPr>
          <w:rFonts w:hint="eastAsia" w:ascii="宋体" w:hAnsi="宋体" w:cs="宋体"/>
          <w:color w:val="auto"/>
          <w:highlight w:val="none"/>
        </w:rPr>
      </w:pPr>
      <w:bookmarkStart w:id="135" w:name="_Toc528078020"/>
      <w:bookmarkEnd w:id="135"/>
      <w:r>
        <w:rPr>
          <w:rFonts w:hint="eastAsia" w:ascii="宋体" w:hAnsi="宋体" w:cs="宋体"/>
          <w:color w:val="auto"/>
          <w:highlight w:val="none"/>
        </w:rPr>
        <w:t>3.5初次报价表上的价格应按下列方式填写：</w:t>
      </w:r>
    </w:p>
    <w:p w14:paraId="02B7B147">
      <w:pPr>
        <w:wordWrap w:val="0"/>
        <w:spacing w:line="460" w:lineRule="exact"/>
        <w:ind w:firstLine="480" w:firstLineChars="200"/>
        <w:rPr>
          <w:rFonts w:hint="eastAsia" w:ascii="宋体" w:hAnsi="宋体" w:cs="宋体"/>
          <w:color w:val="auto"/>
          <w:highlight w:val="none"/>
        </w:rPr>
      </w:pPr>
      <w:bookmarkStart w:id="136" w:name="_Hlt26668983"/>
      <w:bookmarkEnd w:id="136"/>
      <w:bookmarkStart w:id="137" w:name="_Hlt26670403"/>
      <w:bookmarkEnd w:id="137"/>
      <w:bookmarkStart w:id="138" w:name="_Hlt26954842"/>
      <w:bookmarkEnd w:id="138"/>
      <w:bookmarkStart w:id="139" w:name="_Hlt26670425"/>
      <w:bookmarkEnd w:id="139"/>
      <w:bookmarkStart w:id="140" w:name="_Hlt26954844"/>
      <w:bookmarkEnd w:id="140"/>
      <w:r>
        <w:rPr>
          <w:rFonts w:hint="eastAsia" w:ascii="宋体" w:hAnsi="宋体" w:cs="宋体"/>
          <w:color w:val="auto"/>
          <w:highlight w:val="none"/>
        </w:rPr>
        <w:t>3.5.1项目总价：包括买方服务需求所涉及的所有费用。</w:t>
      </w:r>
    </w:p>
    <w:p w14:paraId="36CF121D">
      <w:pPr>
        <w:wordWrap w:val="0"/>
        <w:spacing w:line="460" w:lineRule="exact"/>
        <w:ind w:firstLine="480" w:firstLineChars="200"/>
        <w:rPr>
          <w:rFonts w:hint="eastAsia" w:ascii="宋体" w:hAnsi="宋体" w:cs="宋体"/>
          <w:color w:val="auto"/>
          <w:highlight w:val="none"/>
        </w:rPr>
      </w:pPr>
      <w:r>
        <w:rPr>
          <w:rFonts w:hint="eastAsia" w:ascii="宋体" w:hAnsi="宋体" w:cs="宋体"/>
          <w:color w:val="auto"/>
          <w:highlight w:val="none"/>
        </w:rPr>
        <w:t>3.5.2各项报价的总和等于总价</w:t>
      </w:r>
    </w:p>
    <w:p w14:paraId="7B10887C">
      <w:pPr>
        <w:pStyle w:val="14"/>
        <w:widowControl w:val="0"/>
        <w:wordWrap w:val="0"/>
        <w:spacing w:before="0" w:beforeAutospacing="0" w:after="0" w:afterAutospacing="0" w:line="460" w:lineRule="exact"/>
        <w:ind w:firstLine="480" w:firstLineChars="200"/>
        <w:outlineLvl w:val="1"/>
        <w:rPr>
          <w:rFonts w:hint="eastAsia"/>
          <w:color w:val="auto"/>
          <w:highlight w:val="none"/>
        </w:rPr>
      </w:pPr>
      <w:bookmarkStart w:id="141" w:name="_Toc505350556"/>
      <w:bookmarkEnd w:id="141"/>
      <w:bookmarkStart w:id="142" w:name="_Toc517178996"/>
      <w:bookmarkEnd w:id="142"/>
      <w:bookmarkStart w:id="143" w:name="_Hlt26954848"/>
      <w:bookmarkEnd w:id="143"/>
      <w:bookmarkStart w:id="144" w:name="_Hlt26954731"/>
      <w:bookmarkEnd w:id="144"/>
      <w:bookmarkStart w:id="145" w:name="_Hlt26670482"/>
      <w:bookmarkEnd w:id="145"/>
      <w:bookmarkStart w:id="146" w:name="_Hlt26670486"/>
      <w:bookmarkEnd w:id="146"/>
      <w:bookmarkStart w:id="147" w:name="_Hlt26954846"/>
      <w:bookmarkEnd w:id="147"/>
      <w:bookmarkStart w:id="148" w:name="_Toc528078025"/>
      <w:r>
        <w:rPr>
          <w:rFonts w:hint="eastAsia"/>
          <w:color w:val="auto"/>
          <w:kern w:val="2"/>
          <w:highlight w:val="none"/>
        </w:rPr>
        <w:t>4.磋商与评审</w:t>
      </w:r>
      <w:bookmarkEnd w:id="148"/>
      <w:bookmarkStart w:id="149" w:name="_Toc528078026"/>
      <w:bookmarkEnd w:id="149"/>
    </w:p>
    <w:p w14:paraId="1C4B325A">
      <w:pPr>
        <w:wordWrap w:val="0"/>
        <w:spacing w:line="460" w:lineRule="exact"/>
        <w:ind w:firstLine="480" w:firstLineChars="200"/>
        <w:rPr>
          <w:rFonts w:hint="eastAsia" w:ascii="宋体" w:hAnsi="宋体" w:cs="宋体"/>
          <w:color w:val="auto"/>
          <w:highlight w:val="none"/>
        </w:rPr>
      </w:pPr>
      <w:r>
        <w:rPr>
          <w:rFonts w:hint="eastAsia" w:ascii="宋体" w:hAnsi="宋体" w:cs="宋体"/>
          <w:color w:val="auto"/>
          <w:highlight w:val="none"/>
        </w:rPr>
        <w:t>采购代理机构根据采购项目的特点依法组建磋商小组。磋商小组由采购人代表和有关技术、经济等方面的专家组成，成员为3人。其中：技术、经济等方面的专家不能少于磋商小组成员的2/3。采购人代表不得担任磋商小组组长。2名磋商小组成员确定方式：从相关专家库中随机抽取。</w:t>
      </w:r>
      <w:bookmarkStart w:id="150" w:name="_Toc528078027"/>
      <w:bookmarkEnd w:id="150"/>
    </w:p>
    <w:p w14:paraId="3D233C52">
      <w:pPr>
        <w:wordWrap w:val="0"/>
        <w:spacing w:line="460" w:lineRule="exact"/>
        <w:ind w:firstLine="480" w:firstLineChars="200"/>
        <w:outlineLvl w:val="2"/>
        <w:rPr>
          <w:rFonts w:hint="eastAsia" w:ascii="宋体" w:hAnsi="宋体" w:cs="宋体"/>
          <w:color w:val="auto"/>
          <w:highlight w:val="none"/>
        </w:rPr>
      </w:pPr>
      <w:r>
        <w:rPr>
          <w:rFonts w:hint="eastAsia" w:ascii="宋体" w:hAnsi="宋体" w:cs="宋体"/>
          <w:color w:val="auto"/>
          <w:highlight w:val="none"/>
        </w:rPr>
        <w:t>5、磋商小组工作原则</w:t>
      </w:r>
    </w:p>
    <w:p w14:paraId="6F542B37">
      <w:pPr>
        <w:wordWrap w:val="0"/>
        <w:spacing w:line="460" w:lineRule="exact"/>
        <w:ind w:firstLine="480" w:firstLineChars="200"/>
        <w:outlineLvl w:val="2"/>
        <w:rPr>
          <w:rFonts w:hint="eastAsia" w:ascii="宋体" w:hAnsi="宋体" w:cs="宋体"/>
          <w:color w:val="auto"/>
          <w:highlight w:val="none"/>
        </w:rPr>
      </w:pPr>
      <w:bookmarkStart w:id="151" w:name="_Toc528078029"/>
      <w:bookmarkEnd w:id="151"/>
      <w:r>
        <w:rPr>
          <w:rFonts w:hint="eastAsia" w:ascii="宋体" w:hAnsi="宋体" w:cs="宋体"/>
          <w:color w:val="auto"/>
          <w:highlight w:val="none"/>
        </w:rPr>
        <w:t>磋商小组成员应当按照客观、公正、审慎的原则，根据磋商文件规定的评审程序、评审方法和评审标准进行独立评审。未实质性响应磋商文件的响应文件按无效响应处理，磋商小组应当告知提交响应文件的供应商。磋商文件内容违反国家有关强制性规定的，磋商小组应当停止评审并向采购人或者采购代理机构说明情况。</w:t>
      </w:r>
    </w:p>
    <w:p w14:paraId="6971FBFF">
      <w:pPr>
        <w:wordWrap w:val="0"/>
        <w:spacing w:line="460" w:lineRule="exact"/>
        <w:ind w:firstLine="480" w:firstLineChars="200"/>
        <w:outlineLvl w:val="2"/>
        <w:rPr>
          <w:rFonts w:hint="eastAsia" w:ascii="宋体" w:hAnsi="宋体" w:cs="宋体"/>
          <w:color w:val="auto"/>
          <w:highlight w:val="none"/>
        </w:rPr>
      </w:pPr>
      <w:bookmarkStart w:id="152" w:name="_Toc528078030"/>
      <w:bookmarkEnd w:id="152"/>
      <w:r>
        <w:rPr>
          <w:rFonts w:hint="eastAsia" w:ascii="宋体" w:hAnsi="宋体" w:cs="宋体"/>
          <w:color w:val="auto"/>
          <w:highlight w:val="none"/>
        </w:rPr>
        <w:t>6、响应文件审查</w:t>
      </w:r>
    </w:p>
    <w:p w14:paraId="5995E45B">
      <w:pPr>
        <w:wordWrap w:val="0"/>
        <w:spacing w:line="460" w:lineRule="exact"/>
        <w:ind w:firstLine="480" w:firstLineChars="200"/>
        <w:outlineLvl w:val="2"/>
        <w:rPr>
          <w:rFonts w:hint="eastAsia" w:ascii="宋体" w:hAnsi="宋体" w:cs="宋体"/>
          <w:color w:val="auto"/>
          <w:highlight w:val="none"/>
        </w:rPr>
      </w:pPr>
      <w:bookmarkStart w:id="153" w:name="_Toc528078031"/>
      <w:bookmarkEnd w:id="153"/>
      <w:r>
        <w:rPr>
          <w:rFonts w:hint="eastAsia" w:ascii="宋体" w:hAnsi="宋体" w:cs="宋体"/>
          <w:color w:val="auto"/>
          <w:highlight w:val="none"/>
        </w:rPr>
        <w:t>磋商小组在对响应文件的有效性、完整性和响应程度进行审查时，可以要求供应商对响应文件中含义不明确、同类问题表述不一致或者有明显文字和计算错误的内容等做出必要的澄清、说明或者更正。供应商的澄清、说明或者更正不得超出响应文件的范围或者改变响应文件的实质性内容。</w:t>
      </w:r>
    </w:p>
    <w:p w14:paraId="28DB6B1B">
      <w:pPr>
        <w:wordWrap w:val="0"/>
        <w:spacing w:line="460" w:lineRule="exact"/>
        <w:ind w:firstLine="480" w:firstLineChars="200"/>
        <w:outlineLvl w:val="2"/>
        <w:rPr>
          <w:rFonts w:hint="eastAsia" w:ascii="宋体" w:hAnsi="宋体" w:cs="宋体"/>
          <w:color w:val="auto"/>
          <w:highlight w:val="none"/>
        </w:rPr>
      </w:pPr>
      <w:bookmarkStart w:id="154" w:name="_Toc513029232"/>
      <w:bookmarkEnd w:id="154"/>
      <w:bookmarkStart w:id="155" w:name="_Toc20823304"/>
      <w:bookmarkEnd w:id="155"/>
      <w:bookmarkStart w:id="156" w:name="_Toc16938548"/>
      <w:bookmarkEnd w:id="156"/>
      <w:r>
        <w:rPr>
          <w:rFonts w:hint="eastAsia" w:ascii="宋体" w:hAnsi="宋体" w:cs="宋体"/>
          <w:color w:val="auto"/>
          <w:highlight w:val="none"/>
        </w:rPr>
        <w:t>7、磋商程序、最后报价、综合评分</w:t>
      </w:r>
    </w:p>
    <w:p w14:paraId="205161CB">
      <w:pPr>
        <w:wordWrap w:val="0"/>
        <w:spacing w:line="460" w:lineRule="exact"/>
        <w:ind w:firstLine="480" w:firstLineChars="200"/>
        <w:outlineLvl w:val="2"/>
        <w:rPr>
          <w:rFonts w:hint="eastAsia" w:ascii="宋体" w:hAnsi="宋体" w:cs="宋体"/>
          <w:color w:val="auto"/>
          <w:highlight w:val="none"/>
        </w:rPr>
      </w:pPr>
      <w:bookmarkStart w:id="157" w:name="_Toc528078034"/>
      <w:bookmarkEnd w:id="157"/>
      <w:r>
        <w:rPr>
          <w:rFonts w:hint="eastAsia" w:ascii="宋体" w:hAnsi="宋体" w:cs="宋体"/>
          <w:color w:val="auto"/>
          <w:highlight w:val="none"/>
        </w:rPr>
        <w:t>7.1磋商小组所有成员应当集中与供应商分别进行磋商，并给予所有参加磋商的供应商平等的磋商机会。</w:t>
      </w:r>
    </w:p>
    <w:p w14:paraId="4E8C61EE">
      <w:pPr>
        <w:wordWrap w:val="0"/>
        <w:spacing w:line="460" w:lineRule="exact"/>
        <w:ind w:firstLine="480" w:firstLineChars="200"/>
        <w:outlineLvl w:val="2"/>
        <w:rPr>
          <w:rFonts w:hint="eastAsia" w:ascii="宋体" w:hAnsi="宋体" w:cs="宋体"/>
          <w:color w:val="auto"/>
          <w:highlight w:val="none"/>
        </w:rPr>
      </w:pPr>
      <w:bookmarkStart w:id="158" w:name="_Toc528078035"/>
      <w:bookmarkEnd w:id="158"/>
      <w:r>
        <w:rPr>
          <w:rFonts w:hint="eastAsia" w:ascii="宋体" w:hAnsi="宋体" w:cs="宋体"/>
          <w:color w:val="auto"/>
          <w:highlight w:val="none"/>
        </w:rPr>
        <w:t>7.2在磋商过程中，磋商小组可以根据磋商文件和磋商情况实质性变动采购需求中的技术、服务要求以及合同草案条款，但不得变动磋商文件中的其他内容。对磋商文件做出的实质性变动是磋商文件的有效组成部分，磋商小组应当及时以书面形式同时通知所有参加磋商的供应商。供应商应当按照磋商文件的变动情况和磋商小组的要求重新提交响应文件，并由其法定代表人或授权代表签字或者加盖公章。</w:t>
      </w:r>
    </w:p>
    <w:p w14:paraId="36828A95">
      <w:pPr>
        <w:wordWrap w:val="0"/>
        <w:spacing w:line="460" w:lineRule="exact"/>
        <w:ind w:firstLine="480" w:firstLineChars="200"/>
        <w:outlineLvl w:val="2"/>
        <w:rPr>
          <w:rFonts w:hint="eastAsia" w:ascii="宋体" w:hAnsi="宋体" w:cs="宋体"/>
          <w:color w:val="auto"/>
          <w:highlight w:val="none"/>
        </w:rPr>
      </w:pPr>
      <w:bookmarkStart w:id="159" w:name="_Toc528078036"/>
      <w:bookmarkEnd w:id="159"/>
      <w:r>
        <w:rPr>
          <w:rFonts w:hint="eastAsia" w:ascii="宋体" w:hAnsi="宋体" w:cs="宋体"/>
          <w:color w:val="auto"/>
          <w:highlight w:val="none"/>
        </w:rPr>
        <w:t>7.3磋商文件能够详细列明采购标的的技术、服务要求的，磋商结束后，磋商小组将要求所有实质性响应的供应商在规定时间内提交最后报价。最后报价是供应商响应文件的有效组成部分。</w:t>
      </w:r>
    </w:p>
    <w:p w14:paraId="44175C79">
      <w:pPr>
        <w:wordWrap w:val="0"/>
        <w:spacing w:line="460" w:lineRule="exact"/>
        <w:ind w:firstLine="480" w:firstLineChars="200"/>
        <w:outlineLvl w:val="2"/>
        <w:rPr>
          <w:rFonts w:hint="eastAsia" w:ascii="宋体" w:hAnsi="宋体" w:cs="宋体"/>
          <w:color w:val="auto"/>
          <w:highlight w:val="none"/>
        </w:rPr>
      </w:pPr>
      <w:bookmarkStart w:id="160" w:name="_Toc528078037"/>
      <w:bookmarkEnd w:id="160"/>
      <w:r>
        <w:rPr>
          <w:rFonts w:hint="eastAsia" w:ascii="宋体" w:hAnsi="宋体" w:cs="宋体"/>
          <w:color w:val="auto"/>
          <w:highlight w:val="none"/>
        </w:rPr>
        <w:t>7.4已提交响应文件的供应商，在提交最后报价之前，可以根据磋商情况退出磋商。</w:t>
      </w:r>
    </w:p>
    <w:p w14:paraId="263EB3EA">
      <w:pPr>
        <w:wordWrap w:val="0"/>
        <w:spacing w:line="460" w:lineRule="exact"/>
        <w:ind w:firstLine="480" w:firstLineChars="200"/>
        <w:outlineLvl w:val="2"/>
        <w:rPr>
          <w:rFonts w:hint="eastAsia" w:ascii="宋体" w:hAnsi="宋体" w:cs="宋体"/>
          <w:color w:val="auto"/>
          <w:highlight w:val="none"/>
        </w:rPr>
      </w:pPr>
      <w:bookmarkStart w:id="161" w:name="_Toc528078038"/>
      <w:bookmarkEnd w:id="161"/>
      <w:r>
        <w:rPr>
          <w:rFonts w:hint="eastAsia" w:ascii="宋体" w:hAnsi="宋体" w:cs="宋体"/>
          <w:color w:val="auto"/>
          <w:highlight w:val="none"/>
        </w:rPr>
        <w:t>7.5经磋商确定最终采购需求和提交最后报价的供应商后，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w:t>
      </w:r>
    </w:p>
    <w:p w14:paraId="7B2C3D00">
      <w:pPr>
        <w:wordWrap w:val="0"/>
        <w:spacing w:line="460" w:lineRule="exact"/>
        <w:ind w:firstLine="480" w:firstLineChars="200"/>
        <w:outlineLvl w:val="2"/>
        <w:rPr>
          <w:rFonts w:hint="eastAsia" w:ascii="宋体" w:hAnsi="宋体" w:cs="宋体"/>
          <w:color w:val="auto"/>
          <w:highlight w:val="none"/>
        </w:rPr>
      </w:pPr>
      <w:bookmarkStart w:id="162" w:name="_Toc528078039"/>
      <w:bookmarkEnd w:id="162"/>
      <w:r>
        <w:rPr>
          <w:rFonts w:hint="eastAsia" w:ascii="宋体" w:hAnsi="宋体" w:cs="宋体"/>
          <w:color w:val="auto"/>
          <w:highlight w:val="none"/>
        </w:rPr>
        <w:t>7.6评审时，磋商小组各成员独立对每个有效响应的文件进行评价、打分，然后汇总每个供应商每项评分因素的得分。</w:t>
      </w:r>
    </w:p>
    <w:p w14:paraId="78A92010">
      <w:pPr>
        <w:wordWrap w:val="0"/>
        <w:ind w:firstLine="480" w:firstLineChars="200"/>
        <w:rPr>
          <w:rFonts w:hint="eastAsia" w:ascii="宋体" w:hAnsi="宋体" w:cs="宋体"/>
          <w:color w:val="auto"/>
          <w:highlight w:val="none"/>
        </w:rPr>
      </w:pPr>
      <w:bookmarkStart w:id="163" w:name="_Toc528078040"/>
      <w:bookmarkEnd w:id="163"/>
      <w:r>
        <w:rPr>
          <w:rFonts w:hint="eastAsia"/>
          <w:color w:val="auto"/>
          <w:highlight w:val="none"/>
        </w:rPr>
        <w:t>磋商小组应当根据综合评分情况，按照评审得分由高到低顺序推荐3名成交候选供应商，并编写评审报告。评审得分相同的，按照最后报价由低到高的顺序推荐。评审得分且最后报价相同的，按照技术指标优劣顺序推荐。</w:t>
      </w:r>
    </w:p>
    <w:p w14:paraId="48B1D4AF">
      <w:pPr>
        <w:wordWrap w:val="0"/>
        <w:spacing w:line="460" w:lineRule="exact"/>
        <w:ind w:firstLine="480" w:firstLineChars="200"/>
        <w:outlineLvl w:val="2"/>
        <w:rPr>
          <w:rFonts w:hint="eastAsia" w:ascii="宋体" w:hAnsi="宋体" w:cs="宋体"/>
          <w:color w:val="auto"/>
          <w:highlight w:val="none"/>
        </w:rPr>
      </w:pPr>
      <w:bookmarkStart w:id="164" w:name="_Toc528078041"/>
      <w:bookmarkEnd w:id="164"/>
      <w:r>
        <w:rPr>
          <w:rFonts w:hint="eastAsia" w:ascii="宋体" w:hAnsi="宋体" w:cs="宋体"/>
          <w:color w:val="auto"/>
          <w:highlight w:val="none"/>
        </w:rPr>
        <w:t>7.7响应无效和终止磋商活动条款</w:t>
      </w:r>
    </w:p>
    <w:p w14:paraId="676BE712">
      <w:pPr>
        <w:wordWrap w:val="0"/>
        <w:spacing w:line="460" w:lineRule="exact"/>
        <w:ind w:firstLine="480" w:firstLineChars="200"/>
        <w:rPr>
          <w:rFonts w:hint="eastAsia" w:ascii="宋体" w:hAnsi="宋体" w:cs="宋体"/>
          <w:color w:val="auto"/>
          <w:highlight w:val="none"/>
        </w:rPr>
      </w:pPr>
      <w:bookmarkStart w:id="165" w:name="_Toc513029235"/>
      <w:bookmarkEnd w:id="165"/>
      <w:bookmarkStart w:id="166" w:name="_Toc16938551"/>
      <w:bookmarkEnd w:id="166"/>
      <w:r>
        <w:rPr>
          <w:rFonts w:hint="eastAsia" w:ascii="宋体" w:hAnsi="宋体" w:cs="宋体"/>
          <w:color w:val="auto"/>
          <w:highlight w:val="none"/>
        </w:rPr>
        <w:t>1）未按照竞争性磋商文件规定要求签署、盖章的；</w:t>
      </w:r>
    </w:p>
    <w:p w14:paraId="589E6969">
      <w:pPr>
        <w:wordWrap w:val="0"/>
        <w:spacing w:line="460" w:lineRule="exact"/>
        <w:ind w:firstLine="480" w:firstLineChars="200"/>
        <w:rPr>
          <w:rFonts w:hint="eastAsia" w:ascii="宋体" w:hAnsi="宋体" w:cs="宋体"/>
          <w:color w:val="auto"/>
          <w:highlight w:val="none"/>
        </w:rPr>
      </w:pPr>
      <w:r>
        <w:rPr>
          <w:rFonts w:hint="eastAsia" w:ascii="宋体" w:hAnsi="宋体" w:cs="宋体"/>
          <w:color w:val="auto"/>
          <w:highlight w:val="none"/>
        </w:rPr>
        <w:t>2）供应商不具备竞争性磋商文件中规定资格条件的；</w:t>
      </w:r>
    </w:p>
    <w:p w14:paraId="29C6FE6D">
      <w:pPr>
        <w:wordWrap w:val="0"/>
        <w:spacing w:line="460" w:lineRule="exact"/>
        <w:ind w:firstLine="480" w:firstLineChars="200"/>
        <w:rPr>
          <w:rFonts w:hint="eastAsia" w:ascii="宋体" w:hAnsi="宋体" w:cs="宋体"/>
          <w:color w:val="auto"/>
          <w:highlight w:val="none"/>
        </w:rPr>
      </w:pPr>
      <w:r>
        <w:rPr>
          <w:rFonts w:hint="eastAsia" w:ascii="宋体" w:hAnsi="宋体" w:cs="宋体"/>
          <w:color w:val="auto"/>
          <w:highlight w:val="none"/>
        </w:rPr>
        <w:t>3）不符合法律、法规和竞争性磋商文件中规定的其他实质性要求的；</w:t>
      </w:r>
    </w:p>
    <w:p w14:paraId="3BD05CA9">
      <w:pPr>
        <w:wordWrap w:val="0"/>
        <w:spacing w:line="460" w:lineRule="exact"/>
        <w:ind w:firstLine="480" w:firstLineChars="200"/>
        <w:rPr>
          <w:rFonts w:hint="eastAsia" w:ascii="宋体" w:hAnsi="宋体" w:cs="宋体"/>
          <w:color w:val="auto"/>
          <w:highlight w:val="none"/>
        </w:rPr>
      </w:pPr>
      <w:r>
        <w:rPr>
          <w:rFonts w:hint="eastAsia" w:ascii="宋体" w:hAnsi="宋体" w:cs="宋体"/>
          <w:color w:val="auto"/>
          <w:highlight w:val="none"/>
        </w:rPr>
        <w:t>4）其他法律、法规及本竞争性磋商文件规定的属响应无效的情形。</w:t>
      </w:r>
    </w:p>
    <w:p w14:paraId="0A879A82">
      <w:pPr>
        <w:wordWrap w:val="0"/>
        <w:spacing w:line="460" w:lineRule="exact"/>
        <w:ind w:firstLine="480" w:firstLineChars="200"/>
        <w:rPr>
          <w:rFonts w:hint="eastAsia" w:ascii="宋体" w:hAnsi="宋体" w:cs="宋体"/>
          <w:color w:val="auto"/>
          <w:highlight w:val="none"/>
        </w:rPr>
      </w:pPr>
      <w:r>
        <w:rPr>
          <w:rFonts w:hint="eastAsia" w:ascii="宋体" w:hAnsi="宋体" w:cs="宋体"/>
          <w:color w:val="auto"/>
          <w:highlight w:val="none"/>
        </w:rPr>
        <w:t>7.8终止竞争性磋商采购活动的条款</w:t>
      </w:r>
    </w:p>
    <w:p w14:paraId="79BE46FB">
      <w:pPr>
        <w:wordWrap w:val="0"/>
        <w:spacing w:line="460" w:lineRule="exact"/>
        <w:ind w:firstLine="480" w:firstLineChars="200"/>
        <w:rPr>
          <w:rFonts w:hint="eastAsia" w:ascii="宋体" w:hAnsi="宋体" w:cs="宋体"/>
          <w:color w:val="auto"/>
          <w:highlight w:val="none"/>
        </w:rPr>
      </w:pPr>
      <w:r>
        <w:rPr>
          <w:rFonts w:hint="eastAsia" w:ascii="宋体" w:hAnsi="宋体" w:cs="宋体"/>
          <w:color w:val="auto"/>
          <w:highlight w:val="none"/>
        </w:rPr>
        <w:t>出现下列情形之一的，采购人将终止竞争性磋商采购活动，发布项目终止公告并说明原因，重新开展采购活动：</w:t>
      </w:r>
    </w:p>
    <w:p w14:paraId="004F913A">
      <w:pPr>
        <w:wordWrap w:val="0"/>
        <w:spacing w:line="460" w:lineRule="exact"/>
        <w:ind w:firstLine="480" w:firstLineChars="200"/>
        <w:rPr>
          <w:rFonts w:hint="eastAsia" w:ascii="宋体" w:hAnsi="宋体" w:cs="宋体"/>
          <w:color w:val="auto"/>
          <w:highlight w:val="none"/>
        </w:rPr>
      </w:pPr>
      <w:r>
        <w:rPr>
          <w:rFonts w:hint="eastAsia" w:ascii="宋体" w:hAnsi="宋体" w:cs="宋体"/>
          <w:color w:val="auto"/>
          <w:highlight w:val="none"/>
        </w:rPr>
        <w:t>1）因情况变化，不再符合规定的竞争性磋商采购方式适用情形的；</w:t>
      </w:r>
    </w:p>
    <w:p w14:paraId="663AEBA0">
      <w:pPr>
        <w:wordWrap w:val="0"/>
        <w:spacing w:line="460" w:lineRule="exact"/>
        <w:ind w:firstLine="480" w:firstLineChars="200"/>
        <w:rPr>
          <w:rFonts w:hint="eastAsia" w:ascii="宋体" w:hAnsi="宋体" w:cs="宋体"/>
          <w:color w:val="auto"/>
          <w:highlight w:val="none"/>
        </w:rPr>
      </w:pPr>
      <w:r>
        <w:rPr>
          <w:rFonts w:hint="eastAsia" w:ascii="宋体" w:hAnsi="宋体" w:cs="宋体"/>
          <w:color w:val="auto"/>
          <w:highlight w:val="none"/>
        </w:rPr>
        <w:t>2）出现影响采购公正的违法、违规行为的；</w:t>
      </w:r>
    </w:p>
    <w:p w14:paraId="4652516D">
      <w:pPr>
        <w:wordWrap w:val="0"/>
        <w:spacing w:line="460" w:lineRule="exact"/>
        <w:ind w:firstLine="480" w:firstLineChars="200"/>
        <w:rPr>
          <w:rFonts w:hint="eastAsia" w:ascii="宋体" w:hAnsi="宋体" w:cs="宋体"/>
          <w:color w:val="auto"/>
          <w:highlight w:val="none"/>
        </w:rPr>
      </w:pPr>
      <w:r>
        <w:rPr>
          <w:rFonts w:hint="eastAsia" w:ascii="宋体" w:hAnsi="宋体" w:cs="宋体"/>
          <w:color w:val="auto"/>
          <w:highlight w:val="none"/>
        </w:rPr>
        <w:t>3) 在采购过程中符合要求的供应商的供应商不足2家的。</w:t>
      </w:r>
    </w:p>
    <w:p w14:paraId="2023A936">
      <w:pPr>
        <w:wordWrap w:val="0"/>
        <w:spacing w:line="460" w:lineRule="exact"/>
        <w:ind w:firstLine="480" w:firstLineChars="200"/>
        <w:rPr>
          <w:rFonts w:hint="eastAsia" w:ascii="宋体" w:hAnsi="宋体" w:cs="宋体"/>
          <w:color w:val="auto"/>
          <w:highlight w:val="none"/>
        </w:rPr>
      </w:pPr>
      <w:r>
        <w:rPr>
          <w:rFonts w:hint="eastAsia" w:ascii="宋体" w:hAnsi="宋体" w:cs="宋体"/>
          <w:color w:val="auto"/>
          <w:highlight w:val="none"/>
        </w:rPr>
        <w:t>7.9根据财库（2015）124号文，竞争性磋商只有2家响应人仍可继续进行。</w:t>
      </w:r>
    </w:p>
    <w:p w14:paraId="03F9EE73">
      <w:pPr>
        <w:pStyle w:val="14"/>
        <w:widowControl w:val="0"/>
        <w:wordWrap w:val="0"/>
        <w:spacing w:before="0" w:beforeAutospacing="0" w:after="0" w:afterAutospacing="0" w:line="460" w:lineRule="exact"/>
        <w:ind w:firstLine="480" w:firstLineChars="200"/>
        <w:outlineLvl w:val="1"/>
        <w:rPr>
          <w:rFonts w:hint="eastAsia"/>
          <w:color w:val="auto"/>
          <w:highlight w:val="none"/>
        </w:rPr>
      </w:pPr>
      <w:bookmarkStart w:id="167" w:name="_Toc517178997"/>
      <w:bookmarkEnd w:id="167"/>
      <w:bookmarkStart w:id="168" w:name="_Toc504491971"/>
      <w:bookmarkEnd w:id="168"/>
      <w:bookmarkStart w:id="169" w:name="_Toc505350557"/>
      <w:bookmarkEnd w:id="169"/>
      <w:bookmarkStart w:id="170" w:name="_Toc528078042"/>
      <w:r>
        <w:rPr>
          <w:rFonts w:hint="eastAsia"/>
          <w:color w:val="auto"/>
          <w:kern w:val="2"/>
          <w:highlight w:val="none"/>
        </w:rPr>
        <w:t>8.确定成交、</w:t>
      </w:r>
      <w:bookmarkEnd w:id="170"/>
      <w:r>
        <w:rPr>
          <w:rFonts w:hint="eastAsia"/>
          <w:color w:val="auto"/>
          <w:kern w:val="2"/>
          <w:highlight w:val="none"/>
        </w:rPr>
        <w:t>询问和质疑</w:t>
      </w:r>
    </w:p>
    <w:p w14:paraId="72FEC14B">
      <w:pPr>
        <w:wordWrap w:val="0"/>
        <w:spacing w:line="460" w:lineRule="exact"/>
        <w:ind w:firstLine="480" w:firstLineChars="200"/>
        <w:outlineLvl w:val="2"/>
        <w:rPr>
          <w:rFonts w:hint="eastAsia" w:ascii="宋体" w:hAnsi="宋体" w:cs="宋体"/>
          <w:color w:val="auto"/>
          <w:highlight w:val="none"/>
        </w:rPr>
      </w:pPr>
      <w:bookmarkStart w:id="171" w:name="_Toc16938554"/>
      <w:bookmarkEnd w:id="171"/>
      <w:bookmarkStart w:id="172" w:name="_Toc20823310"/>
      <w:bookmarkEnd w:id="172"/>
      <w:bookmarkStart w:id="173" w:name="_Toc528078043"/>
      <w:r>
        <w:rPr>
          <w:rFonts w:hint="eastAsia" w:ascii="宋体" w:hAnsi="宋体" w:cs="宋体"/>
          <w:color w:val="auto"/>
          <w:highlight w:val="none"/>
        </w:rPr>
        <w:t>8.1</w:t>
      </w:r>
      <w:bookmarkEnd w:id="173"/>
      <w:r>
        <w:rPr>
          <w:rFonts w:hint="eastAsia" w:ascii="宋体" w:hAnsi="宋体" w:cs="宋体"/>
          <w:color w:val="auto"/>
          <w:highlight w:val="none"/>
        </w:rPr>
        <w:t>确定成交供应商</w:t>
      </w:r>
    </w:p>
    <w:p w14:paraId="2A7AFDA9">
      <w:pPr>
        <w:wordWrap w:val="0"/>
        <w:spacing w:line="460" w:lineRule="exact"/>
        <w:ind w:firstLine="480" w:firstLineChars="200"/>
        <w:jc w:val="both"/>
        <w:rPr>
          <w:rFonts w:hint="eastAsia" w:ascii="宋体" w:hAnsi="宋体" w:cs="宋体"/>
          <w:color w:val="auto"/>
          <w:highlight w:val="none"/>
        </w:rPr>
      </w:pPr>
      <w:r>
        <w:rPr>
          <w:rFonts w:hint="eastAsia" w:ascii="宋体" w:hAnsi="宋体" w:cs="宋体"/>
          <w:color w:val="auto"/>
          <w:highlight w:val="none"/>
        </w:rPr>
        <w:t>8.1.1采购代理机构应当在评标结束后2个工作日内将评标报告送采购人。</w:t>
      </w:r>
    </w:p>
    <w:p w14:paraId="2260C050">
      <w:pPr>
        <w:wordWrap w:val="0"/>
        <w:spacing w:line="460" w:lineRule="exact"/>
        <w:jc w:val="both"/>
        <w:rPr>
          <w:rFonts w:hint="eastAsia" w:ascii="宋体" w:hAnsi="宋体" w:cs="宋体"/>
          <w:color w:val="auto"/>
          <w:highlight w:val="none"/>
        </w:rPr>
      </w:pPr>
      <w:r>
        <w:rPr>
          <w:rFonts w:hint="eastAsia" w:ascii="宋体" w:hAnsi="宋体" w:cs="宋体"/>
          <w:color w:val="auto"/>
          <w:highlight w:val="none"/>
        </w:rPr>
        <w:t>采购人应当自收到评标报告之日起5个工作日内，在评标报告</w:t>
      </w:r>
      <w:r>
        <w:rPr>
          <w:rFonts w:hint="eastAsia" w:ascii="宋体" w:hAnsi="宋体" w:cs="宋体"/>
          <w:color w:val="auto"/>
          <w:highlight w:val="none"/>
          <w:lang w:val="en-US" w:eastAsia="zh-CN"/>
        </w:rPr>
        <w:t>推荐的</w:t>
      </w:r>
      <w:r>
        <w:rPr>
          <w:rFonts w:hint="eastAsia" w:ascii="宋体" w:hAnsi="宋体" w:cs="宋体"/>
          <w:color w:val="auto"/>
          <w:highlight w:val="none"/>
        </w:rPr>
        <w:t>中标候选人名单中确定</w:t>
      </w:r>
      <w:r>
        <w:rPr>
          <w:rFonts w:hint="eastAsia" w:ascii="宋体" w:hAnsi="宋体" w:cs="宋体"/>
          <w:color w:val="auto"/>
          <w:highlight w:val="none"/>
          <w:lang w:val="en-US" w:eastAsia="zh-CN"/>
        </w:rPr>
        <w:t>前一名为</w:t>
      </w:r>
      <w:r>
        <w:rPr>
          <w:rFonts w:hint="eastAsia" w:ascii="宋体" w:hAnsi="宋体" w:cs="宋体"/>
          <w:color w:val="auto"/>
          <w:highlight w:val="none"/>
        </w:rPr>
        <w:t>中标人。中标候选人并列的，由采购人或者采购人委托磋商小组按照竞争性磋商文件规定的方式确定中标人；竞争性磋商文件未规定的，采取随机抽取的方式确定。。</w:t>
      </w:r>
    </w:p>
    <w:p w14:paraId="70394811">
      <w:pPr>
        <w:wordWrap w:val="0"/>
        <w:spacing w:line="460" w:lineRule="exact"/>
        <w:ind w:firstLine="480" w:firstLineChars="200"/>
        <w:rPr>
          <w:rFonts w:hint="eastAsia" w:ascii="宋体" w:hAnsi="宋体" w:cs="宋体"/>
          <w:color w:val="auto"/>
          <w:highlight w:val="none"/>
        </w:rPr>
      </w:pPr>
      <w:r>
        <w:rPr>
          <w:rFonts w:hint="eastAsia" w:ascii="宋体" w:hAnsi="宋体" w:cs="宋体"/>
          <w:color w:val="auto"/>
          <w:highlight w:val="none"/>
        </w:rPr>
        <w:t>8.1.2成交供应商确定后2个工作日内在“</w:t>
      </w:r>
      <w:r>
        <w:rPr>
          <w:rFonts w:hint="eastAsia" w:ascii="宋体" w:hAnsi="宋体" w:eastAsia="宋体" w:cs="宋体"/>
          <w:color w:val="auto"/>
          <w:highlight w:val="none"/>
        </w:rPr>
        <w:t>《</w:t>
      </w:r>
      <w:r>
        <w:rPr>
          <w:rFonts w:hint="eastAsia" w:ascii="宋体" w:hAnsi="宋体" w:cs="宋体"/>
          <w:color w:val="auto"/>
          <w:highlight w:val="none"/>
        </w:rPr>
        <w:t>中国</w:t>
      </w:r>
      <w:r>
        <w:rPr>
          <w:rFonts w:hint="eastAsia" w:ascii="宋体" w:hAnsi="宋体" w:cs="宋体"/>
          <w:color w:val="auto"/>
          <w:highlight w:val="none"/>
          <w:lang w:val="en-US" w:eastAsia="zh-CN"/>
        </w:rPr>
        <w:t>采购与招标网</w:t>
      </w:r>
      <w:r>
        <w:rPr>
          <w:rFonts w:hint="eastAsia" w:ascii="宋体" w:hAnsi="宋体" w:cs="宋体"/>
          <w:color w:val="auto"/>
          <w:highlight w:val="none"/>
        </w:rPr>
        <w:t>》、《河南省政府采购网》和《三门峡市公共资源交易中心网》”公告成交结果。</w:t>
      </w:r>
    </w:p>
    <w:p w14:paraId="34AC8477">
      <w:pPr>
        <w:wordWrap w:val="0"/>
        <w:spacing w:line="460" w:lineRule="exact"/>
        <w:ind w:firstLine="480" w:firstLineChars="200"/>
        <w:outlineLvl w:val="2"/>
        <w:rPr>
          <w:rFonts w:hint="eastAsia" w:ascii="宋体" w:hAnsi="宋体" w:cs="宋体"/>
          <w:color w:val="auto"/>
          <w:highlight w:val="none"/>
        </w:rPr>
      </w:pPr>
      <w:bookmarkStart w:id="174" w:name="_Toc200451960"/>
      <w:bookmarkEnd w:id="174"/>
      <w:r>
        <w:rPr>
          <w:rFonts w:hint="eastAsia" w:ascii="宋体" w:hAnsi="宋体" w:cs="宋体"/>
          <w:color w:val="auto"/>
          <w:highlight w:val="none"/>
        </w:rPr>
        <w:t>8.2询问和质疑</w:t>
      </w:r>
    </w:p>
    <w:p w14:paraId="19456D76">
      <w:pPr>
        <w:wordWrap w:val="0"/>
        <w:spacing w:line="460" w:lineRule="exact"/>
        <w:ind w:firstLine="480" w:firstLineChars="200"/>
        <w:outlineLvl w:val="2"/>
        <w:rPr>
          <w:rFonts w:hint="eastAsia" w:ascii="宋体" w:hAnsi="宋体" w:cs="宋体"/>
          <w:color w:val="auto"/>
          <w:highlight w:val="none"/>
        </w:rPr>
      </w:pPr>
      <w:bookmarkStart w:id="175" w:name="_Toc528078045"/>
      <w:r>
        <w:rPr>
          <w:rFonts w:hint="eastAsia" w:ascii="宋体" w:hAnsi="宋体" w:cs="宋体"/>
          <w:color w:val="auto"/>
          <w:highlight w:val="none"/>
        </w:rPr>
        <w:t>投标供应商对采购事项有疑问，可以按照《政府采购法》的相关规定向采购人机构提出询问。提出质疑的供应商应当是参与所质疑项目采购活动的供应商。</w:t>
      </w:r>
    </w:p>
    <w:p w14:paraId="3C891C4C">
      <w:pPr>
        <w:wordWrap w:val="0"/>
        <w:spacing w:line="460" w:lineRule="exact"/>
        <w:ind w:firstLine="480" w:firstLineChars="200"/>
        <w:outlineLvl w:val="2"/>
        <w:rPr>
          <w:rFonts w:hint="eastAsia" w:ascii="宋体" w:hAnsi="宋体" w:cs="宋体"/>
          <w:color w:val="auto"/>
          <w:highlight w:val="none"/>
        </w:rPr>
      </w:pPr>
      <w:r>
        <w:rPr>
          <w:rFonts w:hint="eastAsia" w:ascii="宋体" w:hAnsi="宋体" w:cs="宋体"/>
          <w:color w:val="auto"/>
          <w:highlight w:val="none"/>
        </w:rPr>
        <w:t>若投标供应商认为其投标未获公平评审或采购文件、采购过程和中标或者成交结果使自己的合法权益受到损害，可以在知道或者应知其权益受到损害之日起7个工作日内，以书面形式向采购人、采购代理机构提出质疑。应知其权益受到损害之日是指：</w:t>
      </w:r>
    </w:p>
    <w:p w14:paraId="29A3CF17">
      <w:pPr>
        <w:wordWrap w:val="0"/>
        <w:spacing w:line="460" w:lineRule="exact"/>
        <w:ind w:firstLine="480" w:firstLineChars="200"/>
        <w:outlineLvl w:val="2"/>
        <w:rPr>
          <w:rFonts w:hint="eastAsia" w:ascii="宋体" w:hAnsi="宋体" w:cs="宋体"/>
          <w:color w:val="auto"/>
          <w:highlight w:val="none"/>
        </w:rPr>
      </w:pPr>
      <w:r>
        <w:rPr>
          <w:rFonts w:hint="eastAsia" w:ascii="宋体" w:hAnsi="宋体" w:cs="宋体"/>
          <w:color w:val="auto"/>
          <w:highlight w:val="none"/>
        </w:rPr>
        <w:t>（1）对磋商文件提出质疑的，为获取磋商文件之日或磋商文件公告期限届满之日。</w:t>
      </w:r>
    </w:p>
    <w:p w14:paraId="0F524080">
      <w:pPr>
        <w:wordWrap w:val="0"/>
        <w:spacing w:line="460" w:lineRule="exact"/>
        <w:ind w:firstLine="480" w:firstLineChars="200"/>
        <w:outlineLvl w:val="2"/>
        <w:rPr>
          <w:rFonts w:hint="eastAsia" w:ascii="宋体" w:hAnsi="宋体" w:cs="宋体"/>
          <w:color w:val="auto"/>
          <w:highlight w:val="none"/>
        </w:rPr>
      </w:pPr>
      <w:r>
        <w:rPr>
          <w:rFonts w:hint="eastAsia" w:ascii="宋体" w:hAnsi="宋体" w:cs="宋体"/>
          <w:color w:val="auto"/>
          <w:highlight w:val="none"/>
        </w:rPr>
        <w:t>（2）对采购过程提出质疑的，为各采购程序环节结束之日。</w:t>
      </w:r>
    </w:p>
    <w:p w14:paraId="6EA98355">
      <w:pPr>
        <w:wordWrap w:val="0"/>
        <w:spacing w:line="460" w:lineRule="exact"/>
        <w:ind w:firstLine="480" w:firstLineChars="200"/>
        <w:outlineLvl w:val="2"/>
        <w:rPr>
          <w:rFonts w:hint="eastAsia" w:ascii="宋体" w:hAnsi="宋体" w:cs="宋体"/>
          <w:color w:val="auto"/>
          <w:highlight w:val="none"/>
        </w:rPr>
      </w:pPr>
      <w:r>
        <w:rPr>
          <w:rFonts w:hint="eastAsia" w:ascii="宋体" w:hAnsi="宋体" w:cs="宋体"/>
          <w:color w:val="auto"/>
          <w:highlight w:val="none"/>
        </w:rPr>
        <w:t>（3）对中标、成交结果提出质疑的，为中标或者成交结果公告期限届满之日。</w:t>
      </w:r>
    </w:p>
    <w:p w14:paraId="681CBC4C">
      <w:pPr>
        <w:wordWrap w:val="0"/>
        <w:spacing w:line="460" w:lineRule="exact"/>
        <w:ind w:firstLine="480" w:firstLineChars="200"/>
        <w:outlineLvl w:val="2"/>
        <w:rPr>
          <w:rFonts w:hint="eastAsia" w:ascii="宋体" w:hAnsi="宋体" w:cs="宋体"/>
          <w:color w:val="auto"/>
          <w:highlight w:val="none"/>
        </w:rPr>
      </w:pPr>
      <w:r>
        <w:rPr>
          <w:rFonts w:hint="eastAsia" w:ascii="宋体" w:hAnsi="宋体" w:cs="宋体"/>
          <w:color w:val="auto"/>
          <w:highlight w:val="none"/>
        </w:rPr>
        <w:t>供应商提出质疑应当提交质疑函和必要的证明材料。质疑函应当包括下列内容：</w:t>
      </w:r>
    </w:p>
    <w:p w14:paraId="0692EA29">
      <w:pPr>
        <w:wordWrap w:val="0"/>
        <w:spacing w:line="460" w:lineRule="exact"/>
        <w:ind w:firstLine="480" w:firstLineChars="200"/>
        <w:outlineLvl w:val="2"/>
        <w:rPr>
          <w:rFonts w:hint="eastAsia" w:ascii="宋体" w:hAnsi="宋体" w:cs="宋体"/>
          <w:color w:val="auto"/>
          <w:highlight w:val="none"/>
        </w:rPr>
      </w:pPr>
      <w:r>
        <w:rPr>
          <w:rFonts w:hint="eastAsia" w:ascii="宋体" w:hAnsi="宋体" w:cs="宋体"/>
          <w:color w:val="auto"/>
          <w:highlight w:val="none"/>
        </w:rPr>
        <w:t>（1）供应商的姓名或者名称、地址、邮编、联系人及联系电话；</w:t>
      </w:r>
    </w:p>
    <w:p w14:paraId="3ECFD07B">
      <w:pPr>
        <w:wordWrap w:val="0"/>
        <w:spacing w:line="460" w:lineRule="exact"/>
        <w:ind w:firstLine="480" w:firstLineChars="200"/>
        <w:outlineLvl w:val="2"/>
        <w:rPr>
          <w:rFonts w:hint="eastAsia" w:ascii="宋体" w:hAnsi="宋体" w:cs="宋体"/>
          <w:color w:val="auto"/>
          <w:highlight w:val="none"/>
        </w:rPr>
      </w:pPr>
      <w:r>
        <w:rPr>
          <w:rFonts w:hint="eastAsia" w:ascii="宋体" w:hAnsi="宋体" w:cs="宋体"/>
          <w:color w:val="auto"/>
          <w:highlight w:val="none"/>
        </w:rPr>
        <w:t>（2）质疑项目的名称、编号；</w:t>
      </w:r>
    </w:p>
    <w:p w14:paraId="0DC7E5D4">
      <w:pPr>
        <w:wordWrap w:val="0"/>
        <w:spacing w:line="460" w:lineRule="exact"/>
        <w:ind w:firstLine="480" w:firstLineChars="200"/>
        <w:outlineLvl w:val="2"/>
        <w:rPr>
          <w:rFonts w:hint="eastAsia" w:ascii="宋体" w:hAnsi="宋体" w:cs="宋体"/>
          <w:color w:val="auto"/>
          <w:highlight w:val="none"/>
        </w:rPr>
      </w:pPr>
      <w:r>
        <w:rPr>
          <w:rFonts w:hint="eastAsia" w:ascii="宋体" w:hAnsi="宋体" w:cs="宋体"/>
          <w:color w:val="auto"/>
          <w:highlight w:val="none"/>
        </w:rPr>
        <w:t>（3）具体、明确的质疑事项和与质疑事项相关的请求；</w:t>
      </w:r>
    </w:p>
    <w:p w14:paraId="63E99CEA">
      <w:pPr>
        <w:wordWrap w:val="0"/>
        <w:spacing w:line="460" w:lineRule="exact"/>
        <w:ind w:firstLine="480" w:firstLineChars="200"/>
        <w:outlineLvl w:val="2"/>
        <w:rPr>
          <w:rFonts w:hint="eastAsia" w:ascii="宋体" w:hAnsi="宋体" w:cs="宋体"/>
          <w:color w:val="auto"/>
          <w:highlight w:val="none"/>
        </w:rPr>
      </w:pPr>
      <w:r>
        <w:rPr>
          <w:rFonts w:hint="eastAsia" w:ascii="宋体" w:hAnsi="宋体" w:cs="宋体"/>
          <w:color w:val="auto"/>
          <w:highlight w:val="none"/>
        </w:rPr>
        <w:t>（4）事实依据；</w:t>
      </w:r>
    </w:p>
    <w:p w14:paraId="034F2713">
      <w:pPr>
        <w:wordWrap w:val="0"/>
        <w:spacing w:line="460" w:lineRule="exact"/>
        <w:ind w:firstLine="480" w:firstLineChars="200"/>
        <w:outlineLvl w:val="2"/>
        <w:rPr>
          <w:rFonts w:hint="eastAsia" w:ascii="宋体" w:hAnsi="宋体" w:cs="宋体"/>
          <w:color w:val="auto"/>
          <w:highlight w:val="none"/>
        </w:rPr>
      </w:pPr>
      <w:r>
        <w:rPr>
          <w:rFonts w:hint="eastAsia" w:ascii="宋体" w:hAnsi="宋体" w:cs="宋体"/>
          <w:color w:val="auto"/>
          <w:highlight w:val="none"/>
        </w:rPr>
        <w:t>（5）必要的法律依据；</w:t>
      </w:r>
    </w:p>
    <w:p w14:paraId="2868A1C4">
      <w:pPr>
        <w:wordWrap w:val="0"/>
        <w:spacing w:line="460" w:lineRule="exact"/>
        <w:ind w:firstLine="480" w:firstLineChars="200"/>
        <w:outlineLvl w:val="2"/>
        <w:rPr>
          <w:rFonts w:hint="eastAsia" w:ascii="宋体" w:hAnsi="宋体" w:cs="宋体"/>
          <w:color w:val="auto"/>
          <w:highlight w:val="none"/>
        </w:rPr>
      </w:pPr>
      <w:r>
        <w:rPr>
          <w:rFonts w:hint="eastAsia" w:ascii="宋体" w:hAnsi="宋体" w:cs="宋体"/>
          <w:color w:val="auto"/>
          <w:highlight w:val="none"/>
        </w:rPr>
        <w:t>（6）质疑材料中有外文资料的，应一并附上中文译文，并以中文译文为准；</w:t>
      </w:r>
    </w:p>
    <w:p w14:paraId="15016601">
      <w:pPr>
        <w:wordWrap w:val="0"/>
        <w:spacing w:line="460" w:lineRule="exact"/>
        <w:ind w:firstLine="480" w:firstLineChars="200"/>
        <w:outlineLvl w:val="2"/>
        <w:rPr>
          <w:rFonts w:hint="eastAsia" w:ascii="宋体" w:hAnsi="宋体" w:cs="宋体"/>
          <w:color w:val="auto"/>
          <w:highlight w:val="none"/>
        </w:rPr>
      </w:pPr>
      <w:r>
        <w:rPr>
          <w:rFonts w:hint="eastAsia" w:ascii="宋体" w:hAnsi="宋体" w:cs="宋体"/>
          <w:color w:val="auto"/>
          <w:highlight w:val="none"/>
        </w:rPr>
        <w:t>（7）提起质疑的日期。</w:t>
      </w:r>
    </w:p>
    <w:p w14:paraId="3B12FB98">
      <w:pPr>
        <w:wordWrap w:val="0"/>
        <w:spacing w:line="460" w:lineRule="exact"/>
        <w:ind w:firstLine="480" w:firstLineChars="200"/>
        <w:outlineLvl w:val="2"/>
        <w:rPr>
          <w:rFonts w:hint="eastAsia" w:ascii="宋体" w:hAnsi="宋体" w:cs="宋体"/>
          <w:color w:val="auto"/>
          <w:highlight w:val="none"/>
        </w:rPr>
      </w:pPr>
      <w:r>
        <w:rPr>
          <w:rFonts w:hint="eastAsia" w:ascii="宋体" w:hAnsi="宋体" w:cs="宋体"/>
          <w:color w:val="auto"/>
          <w:highlight w:val="none"/>
        </w:rPr>
        <w:t>质疑事项按照有关法律、法规和规章规定及磋商文件要求属于保密或者处于保密阶段的事项，投标供应商必须提供正常的信息来源或有效证据，投标供应商不能提供或者拒绝提供合法的信息来源或有效证据的，其质疑将被拒绝；</w:t>
      </w:r>
    </w:p>
    <w:p w14:paraId="410BE0AB">
      <w:pPr>
        <w:wordWrap w:val="0"/>
        <w:spacing w:line="460" w:lineRule="exact"/>
        <w:ind w:firstLine="480" w:firstLineChars="200"/>
        <w:outlineLvl w:val="2"/>
        <w:rPr>
          <w:rFonts w:hint="eastAsia" w:ascii="宋体" w:hAnsi="宋体" w:cs="宋体"/>
          <w:color w:val="auto"/>
          <w:highlight w:val="none"/>
        </w:rPr>
      </w:pPr>
      <w:r>
        <w:rPr>
          <w:rFonts w:hint="eastAsia" w:ascii="宋体" w:hAnsi="宋体" w:cs="宋体"/>
          <w:color w:val="auto"/>
          <w:highlight w:val="none"/>
        </w:rPr>
        <w:t>质疑函应提供充足有效的相关证明材料；如果涉及到产品功能或技术指标的，应出具相关制造商的证明文件；</w:t>
      </w:r>
    </w:p>
    <w:p w14:paraId="74351930">
      <w:pPr>
        <w:wordWrap w:val="0"/>
        <w:spacing w:line="460" w:lineRule="exact"/>
        <w:ind w:firstLine="480" w:firstLineChars="200"/>
        <w:outlineLvl w:val="2"/>
        <w:rPr>
          <w:rFonts w:hint="eastAsia" w:ascii="宋体" w:hAnsi="宋体" w:cs="宋体"/>
          <w:color w:val="auto"/>
          <w:highlight w:val="none"/>
        </w:rPr>
      </w:pPr>
      <w:r>
        <w:rPr>
          <w:rFonts w:hint="eastAsia" w:ascii="宋体" w:hAnsi="宋体" w:cs="宋体"/>
          <w:color w:val="auto"/>
          <w:highlight w:val="none"/>
        </w:rPr>
        <w:t>质疑材料中有外文资料的，应一并附上中文译本，并以中文译本为准。</w:t>
      </w:r>
    </w:p>
    <w:p w14:paraId="190A2D89">
      <w:pPr>
        <w:wordWrap w:val="0"/>
        <w:spacing w:line="460" w:lineRule="exact"/>
        <w:ind w:firstLine="480" w:firstLineChars="200"/>
        <w:outlineLvl w:val="2"/>
        <w:rPr>
          <w:rFonts w:hint="eastAsia" w:ascii="宋体" w:hAnsi="宋体" w:cs="宋体"/>
          <w:color w:val="auto"/>
          <w:highlight w:val="none"/>
        </w:rPr>
      </w:pPr>
      <w:r>
        <w:rPr>
          <w:rFonts w:hint="eastAsia" w:ascii="宋体" w:hAnsi="宋体" w:cs="宋体"/>
          <w:color w:val="auto"/>
          <w:highlight w:val="none"/>
        </w:rPr>
        <w:t>投标供应商质疑实行实名制并须在质疑书上署名。投标供应商不得进行虚假、恶意质疑，不得以质疑为手段获取不当得利、实现非法目的。</w:t>
      </w:r>
    </w:p>
    <w:p w14:paraId="3638A23F">
      <w:pPr>
        <w:wordWrap w:val="0"/>
        <w:spacing w:line="460" w:lineRule="exact"/>
        <w:ind w:firstLine="480" w:firstLineChars="200"/>
        <w:outlineLvl w:val="2"/>
        <w:rPr>
          <w:rFonts w:hint="eastAsia" w:ascii="宋体" w:hAnsi="宋体" w:cs="宋体"/>
          <w:color w:val="auto"/>
          <w:highlight w:val="none"/>
        </w:rPr>
      </w:pPr>
      <w:r>
        <w:rPr>
          <w:rFonts w:hint="eastAsia" w:ascii="宋体" w:hAnsi="宋体" w:cs="宋体"/>
          <w:color w:val="auto"/>
          <w:highlight w:val="none"/>
        </w:rPr>
        <w:t>供应商可以委托代理人进行质疑和投诉。其授权委托书应当载明代理人的姓名或者名称、代理事项、具体权限、期限和相关事项。供应商为自然人的，应当由本人签字；供应商为法人或者其他组织的，应当由法定代表人、主要负责人签字或者盖章，并加盖公章。代理人提出质疑和投诉，应当提交供应商签署的授权委托书。授权委托书应载明委托代理的具体权限和事项。授权委托书应当由委托人签字并加盖单位公章。</w:t>
      </w:r>
    </w:p>
    <w:p w14:paraId="52AF13BA">
      <w:pPr>
        <w:wordWrap w:val="0"/>
        <w:spacing w:line="460" w:lineRule="exact"/>
        <w:ind w:firstLine="480" w:firstLineChars="200"/>
        <w:outlineLvl w:val="2"/>
        <w:rPr>
          <w:rFonts w:hint="eastAsia" w:ascii="宋体" w:hAnsi="宋体" w:cs="宋体"/>
          <w:color w:val="auto"/>
          <w:highlight w:val="none"/>
        </w:rPr>
      </w:pPr>
      <w:r>
        <w:rPr>
          <w:rFonts w:hint="eastAsia" w:ascii="宋体" w:hAnsi="宋体" w:cs="宋体"/>
          <w:color w:val="auto"/>
          <w:highlight w:val="none"/>
        </w:rPr>
        <w:t>质疑书提交方式。投标供应商或者其委托代理人应当当面提交质疑书及相关证明料。提交质疑书时，投标供应商应同时提交本人身份证，委托他人代理质疑事宜的，还应提交被委托人的身份证。</w:t>
      </w:r>
    </w:p>
    <w:p w14:paraId="0D1B2E09">
      <w:pPr>
        <w:wordWrap w:val="0"/>
        <w:spacing w:line="460" w:lineRule="exact"/>
        <w:ind w:firstLine="480" w:firstLineChars="200"/>
        <w:outlineLvl w:val="2"/>
        <w:rPr>
          <w:rFonts w:hint="eastAsia" w:ascii="宋体" w:hAnsi="宋体" w:cs="宋体"/>
          <w:color w:val="auto"/>
          <w:highlight w:val="none"/>
        </w:rPr>
      </w:pPr>
      <w:r>
        <w:rPr>
          <w:rFonts w:hint="eastAsia" w:ascii="宋体" w:hAnsi="宋体" w:cs="宋体"/>
          <w:color w:val="auto"/>
          <w:highlight w:val="none"/>
        </w:rPr>
        <w:t>投标供应商不得虚假质疑和恶意质疑，并对质疑内容的真实性承担责任。投标供应商或者其他利害关系人通过捏造事实、伪造证明材料等方式提出异议或投诉，阻碍招投标活动正常进行的，属于严重不良行为，财政部门将其列入不良行为记录名单，并依法予以处罚。</w:t>
      </w:r>
    </w:p>
    <w:p w14:paraId="420D690C">
      <w:pPr>
        <w:wordWrap w:val="0"/>
        <w:spacing w:line="460" w:lineRule="exact"/>
        <w:ind w:firstLine="480" w:firstLineChars="200"/>
        <w:outlineLvl w:val="2"/>
        <w:rPr>
          <w:rFonts w:hint="eastAsia" w:ascii="宋体" w:hAnsi="宋体" w:cs="宋体"/>
          <w:color w:val="auto"/>
          <w:highlight w:val="none"/>
        </w:rPr>
      </w:pPr>
      <w:r>
        <w:rPr>
          <w:rFonts w:hint="eastAsia" w:ascii="宋体" w:hAnsi="宋体" w:cs="宋体"/>
          <w:color w:val="auto"/>
          <w:highlight w:val="none"/>
        </w:rPr>
        <w:t>采购人或采购代理机构将在收到符合上述条件的书面质疑后7个工作日内审查质疑事项，采购人做出答复或相关处理决定，并以书面形式通知质疑投标供应商和其他有关供应商。</w:t>
      </w:r>
    </w:p>
    <w:p w14:paraId="0E7751BD">
      <w:pPr>
        <w:wordWrap w:val="0"/>
        <w:spacing w:line="460" w:lineRule="exact"/>
        <w:ind w:firstLine="480" w:firstLineChars="200"/>
        <w:outlineLvl w:val="2"/>
        <w:rPr>
          <w:rFonts w:hint="eastAsia" w:ascii="宋体" w:hAnsi="宋体" w:cs="宋体"/>
          <w:color w:val="auto"/>
          <w:highlight w:val="none"/>
        </w:rPr>
      </w:pPr>
      <w:r>
        <w:rPr>
          <w:rFonts w:hint="eastAsia" w:ascii="宋体" w:hAnsi="宋体" w:cs="宋体"/>
          <w:color w:val="auto"/>
          <w:highlight w:val="none"/>
        </w:rPr>
        <w:t>依法提出质疑的投标供应商对采购人或采购代理机构的答复不满意、以及采购人或采购代理机构未在规定的时间内做出答复的，可以在答复期满后15个工作日内向财政部门投诉。</w:t>
      </w:r>
    </w:p>
    <w:p w14:paraId="7E6E932D">
      <w:pPr>
        <w:wordWrap w:val="0"/>
        <w:spacing w:line="460" w:lineRule="exact"/>
        <w:ind w:firstLine="480" w:firstLineChars="200"/>
        <w:outlineLvl w:val="2"/>
        <w:rPr>
          <w:rFonts w:hint="eastAsia" w:ascii="宋体" w:hAnsi="宋体" w:cs="宋体"/>
          <w:color w:val="auto"/>
          <w:highlight w:val="none"/>
        </w:rPr>
      </w:pPr>
      <w:r>
        <w:rPr>
          <w:rFonts w:hint="eastAsia" w:ascii="宋体" w:hAnsi="宋体" w:cs="宋体"/>
          <w:color w:val="auto"/>
          <w:highlight w:val="none"/>
        </w:rPr>
        <w:t>9.</w:t>
      </w:r>
      <w:bookmarkEnd w:id="175"/>
      <w:r>
        <w:rPr>
          <w:rFonts w:hint="eastAsia" w:ascii="宋体" w:hAnsi="宋体" w:cs="宋体"/>
          <w:color w:val="auto"/>
          <w:highlight w:val="none"/>
        </w:rPr>
        <w:t>授予合同</w:t>
      </w:r>
    </w:p>
    <w:p w14:paraId="2C33E6FF">
      <w:pPr>
        <w:wordWrap w:val="0"/>
        <w:spacing w:line="460" w:lineRule="exact"/>
        <w:ind w:firstLine="480" w:firstLineChars="200"/>
        <w:outlineLvl w:val="2"/>
        <w:rPr>
          <w:rFonts w:hint="eastAsia" w:ascii="宋体" w:hAnsi="宋体" w:cs="宋体"/>
          <w:color w:val="auto"/>
          <w:highlight w:val="none"/>
        </w:rPr>
      </w:pPr>
      <w:bookmarkStart w:id="176" w:name="_Toc20823309"/>
      <w:bookmarkEnd w:id="176"/>
      <w:bookmarkStart w:id="177" w:name="_Toc513029237"/>
      <w:bookmarkEnd w:id="177"/>
      <w:bookmarkStart w:id="178" w:name="_Toc16938553"/>
      <w:bookmarkEnd w:id="178"/>
      <w:bookmarkStart w:id="179" w:name="_Toc528078046"/>
      <w:r>
        <w:rPr>
          <w:rFonts w:hint="eastAsia" w:ascii="宋体" w:hAnsi="宋体" w:cs="宋体"/>
          <w:color w:val="auto"/>
          <w:highlight w:val="none"/>
        </w:rPr>
        <w:t>9.1签订合同</w:t>
      </w:r>
      <w:bookmarkEnd w:id="179"/>
    </w:p>
    <w:p w14:paraId="2D5A56AA">
      <w:pPr>
        <w:wordWrap w:val="0"/>
        <w:spacing w:line="460" w:lineRule="exact"/>
        <w:ind w:firstLine="480" w:firstLineChars="200"/>
        <w:rPr>
          <w:rFonts w:hint="eastAsia" w:ascii="宋体" w:hAnsi="宋体" w:cs="宋体"/>
          <w:color w:val="auto"/>
          <w:highlight w:val="none"/>
        </w:rPr>
      </w:pPr>
      <w:r>
        <w:rPr>
          <w:rFonts w:hint="eastAsia" w:ascii="宋体" w:hAnsi="宋体" w:cs="宋体"/>
          <w:color w:val="auto"/>
          <w:highlight w:val="none"/>
        </w:rPr>
        <w:t>9.1.1采购人、成交供应商在成交通知书发出之日起30日内（不超过30日），根据竞争性磋商文件确定的事项和成交供应商响应性文件签订合同。双方所签订的合同不得对竞争性磋商文件和成交供应商响应性文件作实质性修改。成交供应商逾期未签订合同，视为成交后无正当理由不与采购人签订合同，按照有关法律规定承担相应的法律责任。采购人逾期不与成交供应商签订合同的，按政府采购的有关规定处理。</w:t>
      </w:r>
    </w:p>
    <w:p w14:paraId="336140A5">
      <w:pPr>
        <w:wordWrap w:val="0"/>
        <w:spacing w:line="460" w:lineRule="exact"/>
        <w:ind w:firstLine="480" w:firstLineChars="200"/>
        <w:rPr>
          <w:rFonts w:hint="eastAsia" w:ascii="宋体" w:hAnsi="宋体" w:cs="宋体"/>
          <w:color w:val="auto"/>
          <w:highlight w:val="none"/>
        </w:rPr>
      </w:pPr>
      <w:r>
        <w:rPr>
          <w:rFonts w:hint="eastAsia" w:ascii="宋体" w:hAnsi="宋体" w:cs="宋体"/>
          <w:color w:val="auto"/>
          <w:highlight w:val="none"/>
        </w:rPr>
        <w:t>9.1.2竞争性磋商文件、竞争性磋商文件的修改文件、成交供应商的响应性文件、补充或修改的文件及澄清或承诺文件等，均为双方签订合同的组成部分，并与合同一并作为本竞争性磋商文件所列采购项目的互补性法律文件，与合同具有同等法律效力。</w:t>
      </w:r>
    </w:p>
    <w:p w14:paraId="33324433">
      <w:pPr>
        <w:wordWrap w:val="0"/>
        <w:spacing w:line="460" w:lineRule="exact"/>
        <w:ind w:firstLine="480" w:firstLineChars="200"/>
        <w:rPr>
          <w:rFonts w:hint="eastAsia" w:ascii="宋体" w:hAnsi="宋体" w:cs="宋体"/>
          <w:color w:val="auto"/>
          <w:highlight w:val="none"/>
        </w:rPr>
      </w:pPr>
      <w:r>
        <w:rPr>
          <w:rFonts w:hint="eastAsia" w:ascii="宋体" w:hAnsi="宋体" w:cs="宋体"/>
          <w:color w:val="auto"/>
          <w:highlight w:val="none"/>
        </w:rPr>
        <w:t>9.1.3成交供应商放弃成交、因不可抗力不能履行合同、或者被查实存在影响成交结果的违法行为等情形，不符合成交条件的，采购人可以按照磋商小组提出的成交候选供应商名单排序依次确定其他成交候选供应商为成交供应商，也可以重新组织采购</w:t>
      </w:r>
      <w:bookmarkStart w:id="180" w:name="_Toc479757207"/>
      <w:bookmarkEnd w:id="180"/>
      <w:bookmarkStart w:id="181" w:name="_Toc513029242"/>
      <w:bookmarkEnd w:id="181"/>
      <w:bookmarkStart w:id="182" w:name="_Toc528078047"/>
      <w:bookmarkEnd w:id="182"/>
      <w:bookmarkStart w:id="183" w:name="_Toc120614221"/>
      <w:bookmarkEnd w:id="183"/>
      <w:bookmarkStart w:id="184" w:name="_Hlt16619475"/>
      <w:bookmarkEnd w:id="184"/>
      <w:bookmarkStart w:id="185" w:name="_Toc479757211"/>
      <w:bookmarkEnd w:id="185"/>
      <w:bookmarkStart w:id="186" w:name="_Toc16938558"/>
      <w:bookmarkEnd w:id="186"/>
      <w:bookmarkStart w:id="187" w:name="_Toc20823314"/>
      <w:bookmarkEnd w:id="187"/>
      <w:bookmarkStart w:id="188" w:name="_Toc517178999"/>
      <w:bookmarkEnd w:id="188"/>
      <w:bookmarkStart w:id="189" w:name="_Toc528078062"/>
      <w:r>
        <w:rPr>
          <w:rFonts w:hint="eastAsia" w:ascii="宋体" w:hAnsi="宋体" w:cs="宋体"/>
          <w:color w:val="auto"/>
          <w:highlight w:val="none"/>
        </w:rPr>
        <w:t>。</w:t>
      </w:r>
      <w:bookmarkEnd w:id="189"/>
    </w:p>
    <w:p w14:paraId="4057A608">
      <w:pPr>
        <w:widowControl/>
        <w:wordWrap w:val="0"/>
        <w:spacing w:line="240" w:lineRule="auto"/>
        <w:rPr>
          <w:rFonts w:hint="eastAsia" w:ascii="宋体" w:hAnsi="宋体" w:cs="宋体"/>
          <w:b/>
          <w:bCs/>
          <w:color w:val="auto"/>
          <w:highlight w:val="none"/>
        </w:rPr>
        <w:sectPr>
          <w:footerReference r:id="rId6" w:type="default"/>
          <w:pgSz w:w="11906" w:h="16838"/>
          <w:pgMar w:top="1440" w:right="1480" w:bottom="1440" w:left="1080" w:header="720" w:footer="720" w:gutter="0"/>
          <w:pgNumType w:fmt="decimal" w:start="1"/>
          <w:cols w:space="720" w:num="1"/>
          <w:docGrid w:type="lines" w:linePitch="319" w:charSpace="0"/>
        </w:sectPr>
      </w:pPr>
    </w:p>
    <w:p w14:paraId="3F6B56B1">
      <w:pPr>
        <w:pStyle w:val="3"/>
        <w:wordWrap w:val="0"/>
        <w:rPr>
          <w:rFonts w:hint="eastAsia"/>
          <w:color w:val="auto"/>
          <w:sz w:val="40"/>
          <w:highlight w:val="none"/>
        </w:rPr>
      </w:pPr>
      <w:bookmarkStart w:id="190" w:name="_Toc19097"/>
      <w:bookmarkEnd w:id="190"/>
      <w:bookmarkStart w:id="191" w:name="_Toc28013"/>
      <w:bookmarkEnd w:id="191"/>
      <w:bookmarkStart w:id="192" w:name="_Toc1341"/>
      <w:r>
        <w:rPr>
          <w:rFonts w:hint="eastAsia"/>
          <w:color w:val="auto"/>
          <w:sz w:val="40"/>
          <w:highlight w:val="none"/>
        </w:rPr>
        <w:t>第三章 评标办法（综合评估法）</w:t>
      </w:r>
      <w:bookmarkEnd w:id="192"/>
    </w:p>
    <w:p w14:paraId="5B7B1C41">
      <w:pPr>
        <w:wordWrap w:val="0"/>
        <w:spacing w:line="400" w:lineRule="exact"/>
        <w:jc w:val="center"/>
        <w:rPr>
          <w:rFonts w:hint="eastAsia" w:ascii="宋体" w:hAnsi="宋体" w:cs="宋体"/>
          <w:b/>
          <w:bCs/>
          <w:color w:val="auto"/>
          <w:highlight w:val="none"/>
        </w:rPr>
      </w:pPr>
      <w:bookmarkStart w:id="193" w:name="OLE_LINK2"/>
      <w:bookmarkEnd w:id="193"/>
      <w:r>
        <w:rPr>
          <w:rFonts w:hint="eastAsia" w:ascii="宋体" w:hAnsi="宋体" w:cs="宋体"/>
          <w:b/>
          <w:bCs/>
          <w:color w:val="auto"/>
          <w:highlight w:val="none"/>
        </w:rPr>
        <w:t>初步审查详见下表</w:t>
      </w:r>
    </w:p>
    <w:tbl>
      <w:tblPr>
        <w:tblStyle w:val="17"/>
        <w:tblW w:w="9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6"/>
        <w:gridCol w:w="851"/>
        <w:gridCol w:w="2268"/>
        <w:gridCol w:w="5553"/>
      </w:tblGrid>
      <w:tr w14:paraId="71954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217" w:type="dxa"/>
            <w:gridSpan w:val="2"/>
            <w:tcBorders>
              <w:top w:val="single" w:color="auto" w:sz="4" w:space="0"/>
              <w:left w:val="single" w:color="auto" w:sz="4" w:space="0"/>
              <w:bottom w:val="single" w:color="auto" w:sz="4" w:space="0"/>
              <w:right w:val="single" w:color="auto" w:sz="4" w:space="0"/>
            </w:tcBorders>
            <w:noWrap w:val="0"/>
            <w:vAlign w:val="center"/>
          </w:tcPr>
          <w:p w14:paraId="6EF434F0">
            <w:pPr>
              <w:wordWrap w:val="0"/>
              <w:autoSpaceDE w:val="0"/>
              <w:autoSpaceDN w:val="0"/>
              <w:adjustRightInd w:val="0"/>
              <w:spacing w:line="400" w:lineRule="exact"/>
              <w:jc w:val="center"/>
              <w:rPr>
                <w:rFonts w:hint="eastAsia" w:ascii="宋体" w:hAnsi="宋体" w:cs="宋体"/>
                <w:b/>
                <w:bCs/>
                <w:color w:val="auto"/>
                <w:highlight w:val="none"/>
              </w:rPr>
            </w:pPr>
            <w:r>
              <w:rPr>
                <w:rFonts w:hint="eastAsia" w:ascii="宋体" w:hAnsi="宋体" w:cs="宋体"/>
                <w:b/>
                <w:bCs/>
                <w:color w:val="auto"/>
                <w:highlight w:val="none"/>
              </w:rPr>
              <w:t>条款号</w:t>
            </w:r>
          </w:p>
        </w:tc>
        <w:tc>
          <w:tcPr>
            <w:tcW w:w="2268" w:type="dxa"/>
            <w:tcBorders>
              <w:top w:val="single" w:color="auto" w:sz="4" w:space="0"/>
              <w:left w:val="nil"/>
              <w:bottom w:val="single" w:color="auto" w:sz="4" w:space="0"/>
              <w:right w:val="single" w:color="auto" w:sz="4" w:space="0"/>
            </w:tcBorders>
            <w:noWrap w:val="0"/>
            <w:vAlign w:val="center"/>
          </w:tcPr>
          <w:p w14:paraId="3EC4490C">
            <w:pPr>
              <w:wordWrap w:val="0"/>
              <w:autoSpaceDE w:val="0"/>
              <w:autoSpaceDN w:val="0"/>
              <w:adjustRightInd w:val="0"/>
              <w:spacing w:line="400" w:lineRule="exact"/>
              <w:jc w:val="center"/>
              <w:rPr>
                <w:rFonts w:hint="eastAsia" w:ascii="宋体" w:hAnsi="宋体" w:cs="宋体"/>
                <w:b/>
                <w:bCs/>
                <w:color w:val="auto"/>
                <w:highlight w:val="none"/>
              </w:rPr>
            </w:pPr>
            <w:r>
              <w:rPr>
                <w:rFonts w:hint="eastAsia" w:ascii="宋体" w:hAnsi="宋体" w:cs="宋体"/>
                <w:b/>
                <w:bCs/>
                <w:color w:val="auto"/>
                <w:highlight w:val="none"/>
              </w:rPr>
              <w:t>评审因素</w:t>
            </w:r>
          </w:p>
        </w:tc>
        <w:tc>
          <w:tcPr>
            <w:tcW w:w="5553" w:type="dxa"/>
            <w:tcBorders>
              <w:top w:val="single" w:color="auto" w:sz="4" w:space="0"/>
              <w:left w:val="nil"/>
              <w:bottom w:val="single" w:color="auto" w:sz="4" w:space="0"/>
              <w:right w:val="single" w:color="auto" w:sz="4" w:space="0"/>
            </w:tcBorders>
            <w:noWrap w:val="0"/>
            <w:vAlign w:val="center"/>
          </w:tcPr>
          <w:p w14:paraId="1A23CEC9">
            <w:pPr>
              <w:wordWrap w:val="0"/>
              <w:autoSpaceDE w:val="0"/>
              <w:autoSpaceDN w:val="0"/>
              <w:adjustRightInd w:val="0"/>
              <w:spacing w:line="400" w:lineRule="exact"/>
              <w:jc w:val="center"/>
              <w:rPr>
                <w:rFonts w:hint="eastAsia" w:ascii="宋体" w:hAnsi="宋体" w:cs="宋体"/>
                <w:b/>
                <w:bCs/>
                <w:color w:val="auto"/>
                <w:highlight w:val="none"/>
              </w:rPr>
            </w:pPr>
            <w:r>
              <w:rPr>
                <w:rFonts w:hint="eastAsia" w:ascii="宋体" w:hAnsi="宋体" w:cs="宋体"/>
                <w:b/>
                <w:bCs/>
                <w:color w:val="auto"/>
                <w:highlight w:val="none"/>
              </w:rPr>
              <w:t>评审标准</w:t>
            </w:r>
          </w:p>
        </w:tc>
      </w:tr>
      <w:tr w14:paraId="580F5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366" w:type="dxa"/>
            <w:vMerge w:val="restart"/>
            <w:tcBorders>
              <w:top w:val="nil"/>
              <w:left w:val="single" w:color="auto" w:sz="4" w:space="0"/>
              <w:bottom w:val="single" w:color="auto" w:sz="4" w:space="0"/>
              <w:right w:val="single" w:color="auto" w:sz="4" w:space="0"/>
            </w:tcBorders>
            <w:noWrap w:val="0"/>
            <w:vAlign w:val="center"/>
          </w:tcPr>
          <w:p w14:paraId="034AE08E">
            <w:pPr>
              <w:wordWrap w:val="0"/>
              <w:autoSpaceDE w:val="0"/>
              <w:autoSpaceDN w:val="0"/>
              <w:adjustRightInd w:val="0"/>
              <w:spacing w:line="400" w:lineRule="exact"/>
              <w:jc w:val="center"/>
              <w:rPr>
                <w:rFonts w:hint="eastAsia" w:ascii="宋体" w:hAnsi="宋体" w:cs="宋体"/>
                <w:color w:val="auto"/>
                <w:highlight w:val="none"/>
              </w:rPr>
            </w:pPr>
            <w:r>
              <w:rPr>
                <w:rFonts w:hint="eastAsia" w:ascii="宋体" w:hAnsi="宋体" w:cs="宋体"/>
                <w:color w:val="auto"/>
                <w:highlight w:val="none"/>
              </w:rPr>
              <w:t>1.1.1</w:t>
            </w:r>
          </w:p>
        </w:tc>
        <w:tc>
          <w:tcPr>
            <w:tcW w:w="851" w:type="dxa"/>
            <w:vMerge w:val="restart"/>
            <w:tcBorders>
              <w:top w:val="nil"/>
              <w:left w:val="nil"/>
              <w:bottom w:val="single" w:color="auto" w:sz="4" w:space="0"/>
              <w:right w:val="single" w:color="auto" w:sz="4" w:space="0"/>
            </w:tcBorders>
            <w:noWrap w:val="0"/>
            <w:vAlign w:val="center"/>
          </w:tcPr>
          <w:p w14:paraId="3F3CD3D3">
            <w:pPr>
              <w:wordWrap w:val="0"/>
              <w:autoSpaceDE w:val="0"/>
              <w:autoSpaceDN w:val="0"/>
              <w:adjustRightInd w:val="0"/>
              <w:spacing w:line="400" w:lineRule="exact"/>
              <w:jc w:val="center"/>
              <w:rPr>
                <w:rFonts w:hint="eastAsia" w:ascii="宋体" w:hAnsi="宋体" w:cs="宋体"/>
                <w:color w:val="auto"/>
                <w:highlight w:val="none"/>
              </w:rPr>
            </w:pPr>
            <w:r>
              <w:rPr>
                <w:rFonts w:hint="eastAsia" w:ascii="宋体" w:hAnsi="宋体" w:cs="宋体"/>
                <w:color w:val="auto"/>
                <w:highlight w:val="none"/>
                <w:lang w:val="en-US" w:eastAsia="zh-CN"/>
              </w:rPr>
              <w:t>符合性评</w:t>
            </w:r>
            <w:r>
              <w:rPr>
                <w:rFonts w:hint="eastAsia" w:ascii="宋体" w:hAnsi="宋体" w:cs="宋体"/>
                <w:color w:val="auto"/>
                <w:highlight w:val="none"/>
              </w:rPr>
              <w:t>审标准</w:t>
            </w:r>
          </w:p>
        </w:tc>
        <w:tc>
          <w:tcPr>
            <w:tcW w:w="2268" w:type="dxa"/>
            <w:tcBorders>
              <w:top w:val="single" w:color="auto" w:sz="4" w:space="0"/>
              <w:left w:val="nil"/>
              <w:bottom w:val="single" w:color="auto" w:sz="4" w:space="0"/>
              <w:right w:val="single" w:color="auto" w:sz="4" w:space="0"/>
            </w:tcBorders>
            <w:noWrap w:val="0"/>
            <w:vAlign w:val="center"/>
          </w:tcPr>
          <w:p w14:paraId="7B89BE5F">
            <w:pPr>
              <w:wordWrap w:val="0"/>
              <w:autoSpaceDE w:val="0"/>
              <w:autoSpaceDN w:val="0"/>
              <w:adjustRightInd w:val="0"/>
              <w:spacing w:line="400" w:lineRule="exact"/>
              <w:rPr>
                <w:rFonts w:hint="eastAsia" w:ascii="宋体" w:hAnsi="宋体" w:cs="宋体"/>
                <w:color w:val="auto"/>
                <w:highlight w:val="none"/>
              </w:rPr>
            </w:pPr>
            <w:r>
              <w:rPr>
                <w:rFonts w:hint="eastAsia" w:ascii="宋体" w:hAnsi="宋体" w:cs="宋体"/>
                <w:color w:val="auto"/>
                <w:highlight w:val="none"/>
              </w:rPr>
              <w:t>供应商名称</w:t>
            </w:r>
          </w:p>
        </w:tc>
        <w:tc>
          <w:tcPr>
            <w:tcW w:w="5553" w:type="dxa"/>
            <w:tcBorders>
              <w:top w:val="single" w:color="auto" w:sz="4" w:space="0"/>
              <w:left w:val="nil"/>
              <w:bottom w:val="single" w:color="auto" w:sz="4" w:space="0"/>
              <w:right w:val="single" w:color="auto" w:sz="4" w:space="0"/>
            </w:tcBorders>
            <w:noWrap w:val="0"/>
            <w:vAlign w:val="center"/>
          </w:tcPr>
          <w:p w14:paraId="2ACE9BA6">
            <w:pPr>
              <w:wordWrap w:val="0"/>
              <w:autoSpaceDE w:val="0"/>
              <w:autoSpaceDN w:val="0"/>
              <w:adjustRightInd w:val="0"/>
              <w:spacing w:line="400" w:lineRule="exact"/>
              <w:rPr>
                <w:rFonts w:hint="eastAsia" w:ascii="宋体" w:hAnsi="宋体" w:cs="宋体"/>
                <w:color w:val="auto"/>
                <w:highlight w:val="none"/>
              </w:rPr>
            </w:pPr>
            <w:r>
              <w:rPr>
                <w:rFonts w:hint="eastAsia" w:ascii="宋体" w:hAnsi="宋体" w:cs="宋体"/>
                <w:color w:val="auto"/>
                <w:highlight w:val="none"/>
              </w:rPr>
              <w:t>与营业执照一致</w:t>
            </w:r>
          </w:p>
        </w:tc>
      </w:tr>
      <w:tr w14:paraId="3C348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366" w:type="dxa"/>
            <w:vMerge w:val="continue"/>
            <w:tcBorders>
              <w:top w:val="nil"/>
              <w:left w:val="single" w:color="auto" w:sz="4" w:space="0"/>
              <w:bottom w:val="single" w:color="auto" w:sz="4" w:space="0"/>
              <w:right w:val="single" w:color="auto" w:sz="4" w:space="0"/>
            </w:tcBorders>
            <w:noWrap w:val="0"/>
            <w:vAlign w:val="center"/>
          </w:tcPr>
          <w:p w14:paraId="0FB3702C">
            <w:pPr>
              <w:widowControl/>
              <w:wordWrap w:val="0"/>
              <w:spacing w:line="240" w:lineRule="auto"/>
              <w:rPr>
                <w:rFonts w:hint="eastAsia" w:ascii="宋体" w:hAnsi="宋体" w:cs="宋体"/>
                <w:color w:val="auto"/>
                <w:highlight w:val="none"/>
              </w:rPr>
            </w:pPr>
          </w:p>
        </w:tc>
        <w:tc>
          <w:tcPr>
            <w:tcW w:w="851" w:type="dxa"/>
            <w:vMerge w:val="continue"/>
            <w:tcBorders>
              <w:top w:val="nil"/>
              <w:left w:val="nil"/>
              <w:bottom w:val="single" w:color="auto" w:sz="4" w:space="0"/>
              <w:right w:val="single" w:color="auto" w:sz="4" w:space="0"/>
            </w:tcBorders>
            <w:noWrap w:val="0"/>
            <w:vAlign w:val="center"/>
          </w:tcPr>
          <w:p w14:paraId="5C9B783F">
            <w:pPr>
              <w:widowControl/>
              <w:wordWrap w:val="0"/>
              <w:spacing w:line="240" w:lineRule="auto"/>
              <w:rPr>
                <w:rFonts w:hint="eastAsia" w:ascii="宋体" w:hAnsi="宋体" w:cs="宋体"/>
                <w:color w:val="auto"/>
                <w:highlight w:val="none"/>
              </w:rPr>
            </w:pPr>
          </w:p>
        </w:tc>
        <w:tc>
          <w:tcPr>
            <w:tcW w:w="2268" w:type="dxa"/>
            <w:tcBorders>
              <w:top w:val="single" w:color="auto" w:sz="4" w:space="0"/>
              <w:left w:val="nil"/>
              <w:bottom w:val="single" w:color="auto" w:sz="4" w:space="0"/>
              <w:right w:val="single" w:color="auto" w:sz="4" w:space="0"/>
            </w:tcBorders>
            <w:noWrap w:val="0"/>
            <w:vAlign w:val="center"/>
          </w:tcPr>
          <w:p w14:paraId="77F58089">
            <w:pPr>
              <w:wordWrap w:val="0"/>
              <w:autoSpaceDE w:val="0"/>
              <w:autoSpaceDN w:val="0"/>
              <w:adjustRightInd w:val="0"/>
              <w:spacing w:line="400" w:lineRule="exact"/>
              <w:rPr>
                <w:rFonts w:hint="eastAsia" w:ascii="宋体" w:hAnsi="宋体" w:cs="宋体"/>
                <w:color w:val="auto"/>
                <w:highlight w:val="none"/>
              </w:rPr>
            </w:pPr>
            <w:r>
              <w:rPr>
                <w:rFonts w:hint="eastAsia" w:ascii="宋体" w:hAnsi="宋体" w:cs="宋体"/>
                <w:color w:val="auto"/>
                <w:highlight w:val="none"/>
              </w:rPr>
              <w:t>投标函签字盖章</w:t>
            </w:r>
          </w:p>
        </w:tc>
        <w:tc>
          <w:tcPr>
            <w:tcW w:w="5553" w:type="dxa"/>
            <w:tcBorders>
              <w:top w:val="single" w:color="auto" w:sz="4" w:space="0"/>
              <w:left w:val="nil"/>
              <w:bottom w:val="single" w:color="auto" w:sz="4" w:space="0"/>
              <w:right w:val="single" w:color="auto" w:sz="4" w:space="0"/>
            </w:tcBorders>
            <w:noWrap w:val="0"/>
            <w:vAlign w:val="center"/>
          </w:tcPr>
          <w:p w14:paraId="6D0953A3">
            <w:pPr>
              <w:wordWrap w:val="0"/>
              <w:autoSpaceDE w:val="0"/>
              <w:autoSpaceDN w:val="0"/>
              <w:adjustRightInd w:val="0"/>
              <w:spacing w:line="400" w:lineRule="exact"/>
              <w:rPr>
                <w:rFonts w:hint="eastAsia" w:ascii="宋体" w:hAnsi="宋体" w:cs="宋体"/>
                <w:color w:val="auto"/>
                <w:highlight w:val="none"/>
              </w:rPr>
            </w:pPr>
            <w:r>
              <w:rPr>
                <w:rFonts w:hint="eastAsia" w:ascii="宋体" w:hAnsi="宋体" w:cs="宋体"/>
                <w:color w:val="auto"/>
                <w:highlight w:val="none"/>
              </w:rPr>
              <w:t>有法定代表人或其委托代理人的签字或盖章并加盖单位章</w:t>
            </w:r>
          </w:p>
        </w:tc>
      </w:tr>
      <w:tr w14:paraId="65624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366" w:type="dxa"/>
            <w:vMerge w:val="continue"/>
            <w:tcBorders>
              <w:top w:val="nil"/>
              <w:left w:val="single" w:color="auto" w:sz="4" w:space="0"/>
              <w:bottom w:val="single" w:color="auto" w:sz="4" w:space="0"/>
              <w:right w:val="single" w:color="auto" w:sz="4" w:space="0"/>
            </w:tcBorders>
            <w:noWrap w:val="0"/>
            <w:vAlign w:val="center"/>
          </w:tcPr>
          <w:p w14:paraId="0898E337">
            <w:pPr>
              <w:widowControl/>
              <w:wordWrap w:val="0"/>
              <w:spacing w:line="240" w:lineRule="auto"/>
              <w:rPr>
                <w:rFonts w:hint="eastAsia" w:ascii="宋体" w:hAnsi="宋体" w:cs="宋体"/>
                <w:color w:val="auto"/>
                <w:highlight w:val="none"/>
              </w:rPr>
            </w:pPr>
          </w:p>
        </w:tc>
        <w:tc>
          <w:tcPr>
            <w:tcW w:w="851" w:type="dxa"/>
            <w:vMerge w:val="continue"/>
            <w:tcBorders>
              <w:top w:val="nil"/>
              <w:left w:val="nil"/>
              <w:bottom w:val="single" w:color="auto" w:sz="4" w:space="0"/>
              <w:right w:val="single" w:color="auto" w:sz="4" w:space="0"/>
            </w:tcBorders>
            <w:noWrap w:val="0"/>
            <w:vAlign w:val="center"/>
          </w:tcPr>
          <w:p w14:paraId="45CE42C4">
            <w:pPr>
              <w:widowControl/>
              <w:wordWrap w:val="0"/>
              <w:spacing w:line="240" w:lineRule="auto"/>
              <w:rPr>
                <w:rFonts w:hint="eastAsia" w:ascii="宋体" w:hAnsi="宋体" w:cs="宋体"/>
                <w:color w:val="auto"/>
                <w:highlight w:val="none"/>
              </w:rPr>
            </w:pPr>
          </w:p>
        </w:tc>
        <w:tc>
          <w:tcPr>
            <w:tcW w:w="2268" w:type="dxa"/>
            <w:tcBorders>
              <w:top w:val="single" w:color="auto" w:sz="4" w:space="0"/>
              <w:left w:val="nil"/>
              <w:bottom w:val="single" w:color="auto" w:sz="4" w:space="0"/>
              <w:right w:val="single" w:color="auto" w:sz="4" w:space="0"/>
            </w:tcBorders>
            <w:noWrap w:val="0"/>
            <w:vAlign w:val="center"/>
          </w:tcPr>
          <w:p w14:paraId="3F00311F">
            <w:pPr>
              <w:wordWrap w:val="0"/>
              <w:autoSpaceDE w:val="0"/>
              <w:autoSpaceDN w:val="0"/>
              <w:adjustRightInd w:val="0"/>
              <w:spacing w:line="400" w:lineRule="exact"/>
              <w:rPr>
                <w:rFonts w:hint="eastAsia" w:ascii="宋体" w:hAnsi="宋体" w:cs="宋体"/>
                <w:color w:val="auto"/>
                <w:highlight w:val="none"/>
              </w:rPr>
            </w:pPr>
            <w:r>
              <w:rPr>
                <w:rFonts w:hint="eastAsia" w:ascii="宋体" w:hAnsi="宋体" w:cs="宋体"/>
                <w:color w:val="auto"/>
                <w:highlight w:val="none"/>
              </w:rPr>
              <w:t>响应文件格式</w:t>
            </w:r>
          </w:p>
        </w:tc>
        <w:tc>
          <w:tcPr>
            <w:tcW w:w="5553" w:type="dxa"/>
            <w:tcBorders>
              <w:top w:val="single" w:color="auto" w:sz="4" w:space="0"/>
              <w:left w:val="nil"/>
              <w:bottom w:val="single" w:color="auto" w:sz="4" w:space="0"/>
              <w:right w:val="single" w:color="auto" w:sz="4" w:space="0"/>
            </w:tcBorders>
            <w:noWrap w:val="0"/>
            <w:vAlign w:val="center"/>
          </w:tcPr>
          <w:p w14:paraId="64281907">
            <w:pPr>
              <w:wordWrap w:val="0"/>
              <w:autoSpaceDE w:val="0"/>
              <w:autoSpaceDN w:val="0"/>
              <w:adjustRightInd w:val="0"/>
              <w:spacing w:line="400" w:lineRule="exact"/>
              <w:rPr>
                <w:rFonts w:hint="eastAsia" w:ascii="宋体" w:hAnsi="宋体" w:cs="宋体"/>
                <w:color w:val="auto"/>
                <w:highlight w:val="none"/>
              </w:rPr>
            </w:pPr>
            <w:r>
              <w:rPr>
                <w:rFonts w:hint="eastAsia" w:ascii="宋体" w:hAnsi="宋体" w:cs="宋体"/>
                <w:color w:val="auto"/>
                <w:highlight w:val="none"/>
              </w:rPr>
              <w:t>符合“响应性文件格式”的要求</w:t>
            </w:r>
          </w:p>
        </w:tc>
      </w:tr>
      <w:tr w14:paraId="62D57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66" w:type="dxa"/>
            <w:vMerge w:val="continue"/>
            <w:tcBorders>
              <w:top w:val="nil"/>
              <w:left w:val="single" w:color="auto" w:sz="4" w:space="0"/>
              <w:bottom w:val="single" w:color="auto" w:sz="4" w:space="0"/>
              <w:right w:val="single" w:color="auto" w:sz="4" w:space="0"/>
            </w:tcBorders>
            <w:noWrap w:val="0"/>
            <w:vAlign w:val="center"/>
          </w:tcPr>
          <w:p w14:paraId="64635534">
            <w:pPr>
              <w:widowControl/>
              <w:wordWrap w:val="0"/>
              <w:spacing w:line="240" w:lineRule="auto"/>
              <w:rPr>
                <w:rFonts w:hint="eastAsia" w:ascii="宋体" w:hAnsi="宋体" w:cs="宋体"/>
                <w:color w:val="auto"/>
                <w:highlight w:val="none"/>
              </w:rPr>
            </w:pPr>
          </w:p>
        </w:tc>
        <w:tc>
          <w:tcPr>
            <w:tcW w:w="851" w:type="dxa"/>
            <w:vMerge w:val="continue"/>
            <w:tcBorders>
              <w:top w:val="nil"/>
              <w:left w:val="nil"/>
              <w:bottom w:val="single" w:color="auto" w:sz="4" w:space="0"/>
              <w:right w:val="single" w:color="auto" w:sz="4" w:space="0"/>
            </w:tcBorders>
            <w:noWrap w:val="0"/>
            <w:vAlign w:val="center"/>
          </w:tcPr>
          <w:p w14:paraId="7A2A1591">
            <w:pPr>
              <w:widowControl/>
              <w:wordWrap w:val="0"/>
              <w:spacing w:line="240" w:lineRule="auto"/>
              <w:rPr>
                <w:rFonts w:hint="eastAsia" w:ascii="宋体" w:hAnsi="宋体" w:cs="宋体"/>
                <w:color w:val="auto"/>
                <w:highlight w:val="none"/>
              </w:rPr>
            </w:pPr>
          </w:p>
        </w:tc>
        <w:tc>
          <w:tcPr>
            <w:tcW w:w="2268" w:type="dxa"/>
            <w:tcBorders>
              <w:top w:val="single" w:color="auto" w:sz="4" w:space="0"/>
              <w:left w:val="nil"/>
              <w:bottom w:val="single" w:color="auto" w:sz="4" w:space="0"/>
              <w:right w:val="single" w:color="auto" w:sz="4" w:space="0"/>
            </w:tcBorders>
            <w:noWrap w:val="0"/>
            <w:vAlign w:val="center"/>
          </w:tcPr>
          <w:p w14:paraId="607A356F">
            <w:pPr>
              <w:wordWrap w:val="0"/>
              <w:autoSpaceDE w:val="0"/>
              <w:autoSpaceDN w:val="0"/>
              <w:adjustRightInd w:val="0"/>
              <w:spacing w:line="400" w:lineRule="exact"/>
              <w:rPr>
                <w:rFonts w:hint="eastAsia" w:ascii="宋体" w:hAnsi="宋体" w:cs="宋体"/>
                <w:color w:val="auto"/>
                <w:highlight w:val="none"/>
              </w:rPr>
            </w:pPr>
            <w:r>
              <w:rPr>
                <w:rFonts w:hint="eastAsia" w:ascii="宋体" w:hAnsi="宋体" w:cs="宋体"/>
                <w:color w:val="auto"/>
                <w:highlight w:val="none"/>
              </w:rPr>
              <w:t>报价唯一</w:t>
            </w:r>
          </w:p>
        </w:tc>
        <w:tc>
          <w:tcPr>
            <w:tcW w:w="5553" w:type="dxa"/>
            <w:tcBorders>
              <w:top w:val="single" w:color="auto" w:sz="4" w:space="0"/>
              <w:left w:val="nil"/>
              <w:bottom w:val="single" w:color="auto" w:sz="4" w:space="0"/>
              <w:right w:val="single" w:color="auto" w:sz="4" w:space="0"/>
            </w:tcBorders>
            <w:noWrap w:val="0"/>
            <w:vAlign w:val="center"/>
          </w:tcPr>
          <w:p w14:paraId="320ED331">
            <w:pPr>
              <w:wordWrap w:val="0"/>
              <w:autoSpaceDE w:val="0"/>
              <w:autoSpaceDN w:val="0"/>
              <w:adjustRightInd w:val="0"/>
              <w:spacing w:line="400" w:lineRule="exact"/>
              <w:rPr>
                <w:rFonts w:hint="eastAsia" w:ascii="宋体" w:hAnsi="宋体" w:cs="宋体"/>
                <w:color w:val="auto"/>
                <w:highlight w:val="none"/>
              </w:rPr>
            </w:pPr>
            <w:r>
              <w:rPr>
                <w:rFonts w:hint="eastAsia" w:ascii="宋体" w:hAnsi="宋体" w:cs="宋体"/>
                <w:color w:val="auto"/>
                <w:highlight w:val="none"/>
              </w:rPr>
              <w:t>只能有一个有效报价</w:t>
            </w:r>
          </w:p>
        </w:tc>
      </w:tr>
      <w:tr w14:paraId="29A73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366" w:type="dxa"/>
            <w:vMerge w:val="restart"/>
            <w:tcBorders>
              <w:top w:val="nil"/>
              <w:left w:val="single" w:color="auto" w:sz="4" w:space="0"/>
              <w:right w:val="single" w:color="auto" w:sz="4" w:space="0"/>
            </w:tcBorders>
            <w:noWrap w:val="0"/>
            <w:vAlign w:val="center"/>
          </w:tcPr>
          <w:p w14:paraId="6C4ABDAB">
            <w:pPr>
              <w:widowControl/>
              <w:wordWrap w:val="0"/>
              <w:spacing w:line="240" w:lineRule="auto"/>
              <w:rPr>
                <w:rFonts w:ascii="宋体" w:hAnsi="宋体" w:cs="宋体"/>
                <w:color w:val="auto"/>
                <w:highlight w:val="none"/>
              </w:rPr>
            </w:pPr>
            <w:r>
              <w:rPr>
                <w:rFonts w:hint="eastAsia" w:ascii="宋体" w:hAnsi="宋体" w:cs="宋体"/>
                <w:color w:val="auto"/>
                <w:highlight w:val="none"/>
              </w:rPr>
              <w:t>1.1.2</w:t>
            </w:r>
          </w:p>
        </w:tc>
        <w:tc>
          <w:tcPr>
            <w:tcW w:w="851" w:type="dxa"/>
            <w:vMerge w:val="restart"/>
            <w:tcBorders>
              <w:top w:val="nil"/>
              <w:left w:val="nil"/>
              <w:right w:val="single" w:color="auto" w:sz="4" w:space="0"/>
            </w:tcBorders>
            <w:noWrap w:val="0"/>
            <w:vAlign w:val="center"/>
          </w:tcPr>
          <w:p w14:paraId="5C0AA328">
            <w:pPr>
              <w:widowControl/>
              <w:wordWrap w:val="0"/>
              <w:spacing w:line="240" w:lineRule="auto"/>
              <w:rPr>
                <w:rFonts w:hint="eastAsia" w:ascii="宋体" w:hAnsi="宋体" w:cs="宋体"/>
                <w:color w:val="auto"/>
                <w:highlight w:val="none"/>
              </w:rPr>
            </w:pPr>
            <w:r>
              <w:rPr>
                <w:rFonts w:hint="eastAsia" w:ascii="宋体" w:hAnsi="宋体" w:cs="宋体"/>
                <w:color w:val="auto"/>
                <w:highlight w:val="none"/>
              </w:rPr>
              <w:t>资格评审</w:t>
            </w:r>
          </w:p>
          <w:p w14:paraId="694F30AD">
            <w:pPr>
              <w:widowControl/>
              <w:wordWrap w:val="0"/>
              <w:spacing w:line="240" w:lineRule="auto"/>
              <w:rPr>
                <w:rFonts w:hint="eastAsia" w:ascii="宋体" w:hAnsi="宋体" w:cs="宋体"/>
                <w:color w:val="auto"/>
                <w:highlight w:val="none"/>
              </w:rPr>
            </w:pPr>
            <w:r>
              <w:rPr>
                <w:rFonts w:hint="eastAsia" w:ascii="宋体" w:hAnsi="宋体" w:cs="宋体"/>
                <w:color w:val="auto"/>
                <w:highlight w:val="none"/>
              </w:rPr>
              <w:t>标准</w:t>
            </w:r>
          </w:p>
        </w:tc>
        <w:tc>
          <w:tcPr>
            <w:tcW w:w="2268" w:type="dxa"/>
            <w:tcBorders>
              <w:top w:val="single" w:color="auto" w:sz="4" w:space="0"/>
              <w:left w:val="nil"/>
              <w:bottom w:val="single" w:color="auto" w:sz="4" w:space="0"/>
              <w:right w:val="single" w:color="auto" w:sz="4" w:space="0"/>
            </w:tcBorders>
            <w:noWrap w:val="0"/>
            <w:vAlign w:val="center"/>
          </w:tcPr>
          <w:p w14:paraId="19571609">
            <w:pPr>
              <w:widowControl/>
              <w:spacing w:line="360" w:lineRule="auto"/>
              <w:jc w:val="center"/>
              <w:rPr>
                <w:rFonts w:hint="eastAsia" w:ascii="宋体" w:hAnsi="宋体" w:cs="宋体"/>
                <w:color w:val="auto"/>
                <w:highlight w:val="none"/>
              </w:rPr>
            </w:pPr>
            <w:r>
              <w:rPr>
                <w:rFonts w:hint="eastAsia"/>
                <w:color w:val="auto"/>
                <w:kern w:val="0"/>
                <w:highlight w:val="none"/>
              </w:rPr>
              <w:t>营业执照</w:t>
            </w:r>
          </w:p>
        </w:tc>
        <w:tc>
          <w:tcPr>
            <w:tcW w:w="5553" w:type="dxa"/>
            <w:tcBorders>
              <w:top w:val="single" w:color="auto" w:sz="4" w:space="0"/>
              <w:left w:val="nil"/>
              <w:bottom w:val="single" w:color="auto" w:sz="4" w:space="0"/>
              <w:right w:val="single" w:color="auto" w:sz="4" w:space="0"/>
            </w:tcBorders>
            <w:noWrap w:val="0"/>
            <w:vAlign w:val="center"/>
          </w:tcPr>
          <w:p w14:paraId="32CD6F8F">
            <w:pPr>
              <w:jc w:val="both"/>
              <w:rPr>
                <w:rFonts w:hint="eastAsia"/>
                <w:color w:val="auto"/>
                <w:highlight w:val="none"/>
              </w:rPr>
            </w:pPr>
            <w:r>
              <w:rPr>
                <w:rFonts w:hint="eastAsia"/>
                <w:color w:val="auto"/>
                <w:highlight w:val="none"/>
              </w:rPr>
              <w:t>符合供应商须知前附表的规定</w:t>
            </w:r>
          </w:p>
        </w:tc>
      </w:tr>
      <w:tr w14:paraId="29232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366" w:type="dxa"/>
            <w:vMerge w:val="continue"/>
            <w:tcBorders>
              <w:left w:val="single" w:color="auto" w:sz="4" w:space="0"/>
              <w:right w:val="single" w:color="auto" w:sz="4" w:space="0"/>
            </w:tcBorders>
            <w:noWrap w:val="0"/>
            <w:vAlign w:val="center"/>
          </w:tcPr>
          <w:p w14:paraId="32195B89">
            <w:pPr>
              <w:widowControl/>
              <w:wordWrap w:val="0"/>
              <w:spacing w:line="240" w:lineRule="auto"/>
              <w:rPr>
                <w:rFonts w:hint="eastAsia" w:ascii="宋体" w:hAnsi="宋体" w:cs="宋体"/>
                <w:color w:val="auto"/>
                <w:highlight w:val="none"/>
              </w:rPr>
            </w:pPr>
          </w:p>
        </w:tc>
        <w:tc>
          <w:tcPr>
            <w:tcW w:w="851" w:type="dxa"/>
            <w:vMerge w:val="continue"/>
            <w:tcBorders>
              <w:left w:val="nil"/>
              <w:right w:val="single" w:color="auto" w:sz="4" w:space="0"/>
            </w:tcBorders>
            <w:noWrap w:val="0"/>
            <w:vAlign w:val="center"/>
          </w:tcPr>
          <w:p w14:paraId="17E53C71">
            <w:pPr>
              <w:widowControl/>
              <w:wordWrap w:val="0"/>
              <w:spacing w:line="240" w:lineRule="auto"/>
              <w:rPr>
                <w:rFonts w:hint="eastAsia" w:ascii="宋体" w:hAnsi="宋体" w:cs="宋体"/>
                <w:color w:val="auto"/>
                <w:highlight w:val="none"/>
              </w:rPr>
            </w:pPr>
          </w:p>
        </w:tc>
        <w:tc>
          <w:tcPr>
            <w:tcW w:w="2268" w:type="dxa"/>
            <w:tcBorders>
              <w:top w:val="single" w:color="auto" w:sz="4" w:space="0"/>
              <w:left w:val="nil"/>
              <w:bottom w:val="single" w:color="auto" w:sz="4" w:space="0"/>
              <w:right w:val="single" w:color="auto" w:sz="4" w:space="0"/>
            </w:tcBorders>
            <w:noWrap w:val="0"/>
            <w:vAlign w:val="center"/>
          </w:tcPr>
          <w:p w14:paraId="0491950E">
            <w:pPr>
              <w:widowControl/>
              <w:spacing w:line="360" w:lineRule="auto"/>
              <w:jc w:val="center"/>
              <w:rPr>
                <w:rFonts w:hint="eastAsia" w:ascii="Times New Roman" w:hAnsi="Times New Roman" w:eastAsia="宋体" w:cs="Times New Roman"/>
                <w:color w:val="auto"/>
                <w:kern w:val="0"/>
                <w:highlight w:val="none"/>
              </w:rPr>
            </w:pPr>
            <w:r>
              <w:rPr>
                <w:rFonts w:hint="eastAsia" w:ascii="Times New Roman" w:hAnsi="Times New Roman" w:eastAsia="宋体" w:cs="Times New Roman"/>
                <w:color w:val="auto"/>
                <w:kern w:val="0"/>
                <w:highlight w:val="none"/>
              </w:rPr>
              <w:t>无商业贿赂和不正当竞争行为承诺书</w:t>
            </w:r>
          </w:p>
        </w:tc>
        <w:tc>
          <w:tcPr>
            <w:tcW w:w="5553" w:type="dxa"/>
            <w:tcBorders>
              <w:top w:val="single" w:color="auto" w:sz="4" w:space="0"/>
              <w:left w:val="nil"/>
              <w:bottom w:val="single" w:color="auto" w:sz="4" w:space="0"/>
              <w:right w:val="single" w:color="auto" w:sz="4" w:space="0"/>
            </w:tcBorders>
            <w:noWrap w:val="0"/>
            <w:vAlign w:val="center"/>
          </w:tcPr>
          <w:p w14:paraId="7E99CE70">
            <w:pPr>
              <w:jc w:val="both"/>
              <w:rPr>
                <w:rFonts w:hint="eastAsia"/>
                <w:color w:val="auto"/>
                <w:highlight w:val="none"/>
              </w:rPr>
            </w:pPr>
            <w:r>
              <w:rPr>
                <w:rFonts w:hint="eastAsia"/>
                <w:color w:val="auto"/>
                <w:highlight w:val="none"/>
              </w:rPr>
              <w:t>符合供应商须知前附表的规定</w:t>
            </w:r>
          </w:p>
        </w:tc>
      </w:tr>
      <w:tr w14:paraId="5F4F4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366" w:type="dxa"/>
            <w:vMerge w:val="continue"/>
            <w:tcBorders>
              <w:left w:val="single" w:color="auto" w:sz="4" w:space="0"/>
              <w:right w:val="single" w:color="auto" w:sz="4" w:space="0"/>
            </w:tcBorders>
            <w:noWrap w:val="0"/>
            <w:vAlign w:val="center"/>
          </w:tcPr>
          <w:p w14:paraId="569309A4">
            <w:pPr>
              <w:widowControl/>
              <w:wordWrap w:val="0"/>
              <w:spacing w:line="240" w:lineRule="auto"/>
              <w:rPr>
                <w:rFonts w:hint="eastAsia" w:ascii="宋体" w:hAnsi="宋体" w:cs="宋体"/>
                <w:color w:val="auto"/>
                <w:highlight w:val="none"/>
              </w:rPr>
            </w:pPr>
          </w:p>
        </w:tc>
        <w:tc>
          <w:tcPr>
            <w:tcW w:w="851" w:type="dxa"/>
            <w:vMerge w:val="continue"/>
            <w:tcBorders>
              <w:left w:val="nil"/>
              <w:right w:val="single" w:color="auto" w:sz="4" w:space="0"/>
            </w:tcBorders>
            <w:noWrap w:val="0"/>
            <w:vAlign w:val="center"/>
          </w:tcPr>
          <w:p w14:paraId="239644AA">
            <w:pPr>
              <w:widowControl/>
              <w:wordWrap w:val="0"/>
              <w:spacing w:line="240" w:lineRule="auto"/>
              <w:rPr>
                <w:rFonts w:hint="eastAsia" w:ascii="宋体" w:hAnsi="宋体" w:cs="宋体"/>
                <w:color w:val="auto"/>
                <w:highlight w:val="none"/>
              </w:rPr>
            </w:pPr>
          </w:p>
        </w:tc>
        <w:tc>
          <w:tcPr>
            <w:tcW w:w="2268" w:type="dxa"/>
            <w:tcBorders>
              <w:top w:val="single" w:color="auto" w:sz="4" w:space="0"/>
              <w:left w:val="nil"/>
              <w:bottom w:val="single" w:color="auto" w:sz="4" w:space="0"/>
              <w:right w:val="single" w:color="auto" w:sz="4" w:space="0"/>
            </w:tcBorders>
            <w:noWrap w:val="0"/>
            <w:vAlign w:val="center"/>
          </w:tcPr>
          <w:p w14:paraId="58FE0D64">
            <w:pPr>
              <w:widowControl/>
              <w:spacing w:line="360" w:lineRule="auto"/>
              <w:jc w:val="center"/>
              <w:rPr>
                <w:rFonts w:hint="eastAsia" w:ascii="Times New Roman" w:hAnsi="Times New Roman" w:eastAsia="宋体" w:cs="Times New Roman"/>
                <w:color w:val="auto"/>
                <w:kern w:val="0"/>
                <w:highlight w:val="none"/>
              </w:rPr>
            </w:pPr>
            <w:r>
              <w:rPr>
                <w:rFonts w:hint="eastAsia" w:ascii="Times New Roman" w:hAnsi="Times New Roman" w:eastAsia="宋体" w:cs="Times New Roman"/>
                <w:color w:val="auto"/>
                <w:kern w:val="0"/>
                <w:highlight w:val="none"/>
              </w:rPr>
              <w:t>信用查询</w:t>
            </w:r>
          </w:p>
        </w:tc>
        <w:tc>
          <w:tcPr>
            <w:tcW w:w="5553" w:type="dxa"/>
            <w:tcBorders>
              <w:top w:val="single" w:color="auto" w:sz="4" w:space="0"/>
              <w:left w:val="nil"/>
              <w:bottom w:val="single" w:color="auto" w:sz="4" w:space="0"/>
              <w:right w:val="single" w:color="auto" w:sz="4" w:space="0"/>
            </w:tcBorders>
            <w:noWrap w:val="0"/>
            <w:vAlign w:val="center"/>
          </w:tcPr>
          <w:p w14:paraId="7D6A00C8">
            <w:pPr>
              <w:jc w:val="both"/>
              <w:rPr>
                <w:color w:val="auto"/>
                <w:highlight w:val="none"/>
              </w:rPr>
            </w:pPr>
            <w:r>
              <w:rPr>
                <w:rFonts w:hint="eastAsia"/>
                <w:color w:val="auto"/>
                <w:highlight w:val="none"/>
              </w:rPr>
              <w:t>符合供应商须知前附表的规定</w:t>
            </w:r>
          </w:p>
        </w:tc>
      </w:tr>
      <w:tr w14:paraId="3A3B4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366" w:type="dxa"/>
            <w:vMerge w:val="continue"/>
            <w:tcBorders>
              <w:left w:val="single" w:color="auto" w:sz="4" w:space="0"/>
              <w:right w:val="single" w:color="auto" w:sz="4" w:space="0"/>
            </w:tcBorders>
            <w:noWrap w:val="0"/>
            <w:vAlign w:val="center"/>
          </w:tcPr>
          <w:p w14:paraId="2E78CD48">
            <w:pPr>
              <w:widowControl/>
              <w:wordWrap w:val="0"/>
              <w:spacing w:line="240" w:lineRule="auto"/>
              <w:rPr>
                <w:rFonts w:hint="eastAsia" w:ascii="宋体" w:hAnsi="宋体" w:cs="宋体"/>
                <w:color w:val="auto"/>
                <w:highlight w:val="none"/>
              </w:rPr>
            </w:pPr>
          </w:p>
        </w:tc>
        <w:tc>
          <w:tcPr>
            <w:tcW w:w="851" w:type="dxa"/>
            <w:vMerge w:val="continue"/>
            <w:tcBorders>
              <w:left w:val="nil"/>
              <w:right w:val="single" w:color="auto" w:sz="4" w:space="0"/>
            </w:tcBorders>
            <w:noWrap w:val="0"/>
            <w:vAlign w:val="center"/>
          </w:tcPr>
          <w:p w14:paraId="71149B9A">
            <w:pPr>
              <w:widowControl/>
              <w:wordWrap w:val="0"/>
              <w:spacing w:line="240" w:lineRule="auto"/>
              <w:rPr>
                <w:rFonts w:hint="eastAsia" w:ascii="宋体" w:hAnsi="宋体" w:cs="宋体"/>
                <w:color w:val="auto"/>
                <w:highlight w:val="none"/>
              </w:rPr>
            </w:pPr>
          </w:p>
        </w:tc>
        <w:tc>
          <w:tcPr>
            <w:tcW w:w="2268" w:type="dxa"/>
            <w:tcBorders>
              <w:top w:val="single" w:color="auto" w:sz="4" w:space="0"/>
              <w:left w:val="nil"/>
              <w:bottom w:val="single" w:color="auto" w:sz="4" w:space="0"/>
              <w:right w:val="single" w:color="auto" w:sz="4" w:space="0"/>
            </w:tcBorders>
            <w:noWrap w:val="0"/>
            <w:vAlign w:val="center"/>
          </w:tcPr>
          <w:p w14:paraId="6F4E732E">
            <w:pPr>
              <w:widowControl/>
              <w:spacing w:line="360" w:lineRule="auto"/>
              <w:jc w:val="center"/>
              <w:rPr>
                <w:rFonts w:hint="default" w:ascii="Times New Roman" w:hAnsi="Times New Roman" w:eastAsia="宋体" w:cs="Times New Roman"/>
                <w:color w:val="auto"/>
                <w:kern w:val="0"/>
                <w:highlight w:val="none"/>
                <w:lang w:val="en-US" w:eastAsia="zh-CN"/>
              </w:rPr>
            </w:pPr>
            <w:r>
              <w:rPr>
                <w:rFonts w:hint="eastAsia" w:ascii="Times New Roman" w:hAnsi="Times New Roman" w:eastAsia="宋体" w:cs="Times New Roman"/>
                <w:color w:val="auto"/>
                <w:kern w:val="0"/>
                <w:highlight w:val="none"/>
              </w:rPr>
              <w:t>国家企业信用信息公示系统信息查询</w:t>
            </w:r>
          </w:p>
        </w:tc>
        <w:tc>
          <w:tcPr>
            <w:tcW w:w="5553" w:type="dxa"/>
            <w:tcBorders>
              <w:top w:val="single" w:color="auto" w:sz="4" w:space="0"/>
              <w:left w:val="nil"/>
              <w:bottom w:val="single" w:color="auto" w:sz="4" w:space="0"/>
              <w:right w:val="single" w:color="auto" w:sz="4" w:space="0"/>
            </w:tcBorders>
            <w:noWrap w:val="0"/>
            <w:vAlign w:val="center"/>
          </w:tcPr>
          <w:p w14:paraId="62570A86">
            <w:pPr>
              <w:jc w:val="both"/>
              <w:rPr>
                <w:rFonts w:hint="eastAsia"/>
                <w:color w:val="auto"/>
                <w:highlight w:val="none"/>
              </w:rPr>
            </w:pPr>
            <w:r>
              <w:rPr>
                <w:rFonts w:hint="eastAsia"/>
                <w:color w:val="auto"/>
                <w:highlight w:val="none"/>
              </w:rPr>
              <w:t>符合供应商须知前附表的规定</w:t>
            </w:r>
          </w:p>
        </w:tc>
      </w:tr>
      <w:tr w14:paraId="66989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366" w:type="dxa"/>
            <w:vMerge w:val="continue"/>
            <w:tcBorders>
              <w:left w:val="single" w:color="auto" w:sz="4" w:space="0"/>
              <w:right w:val="single" w:color="auto" w:sz="4" w:space="0"/>
            </w:tcBorders>
            <w:noWrap w:val="0"/>
            <w:vAlign w:val="center"/>
          </w:tcPr>
          <w:p w14:paraId="1AC9883E">
            <w:pPr>
              <w:widowControl/>
              <w:wordWrap w:val="0"/>
              <w:spacing w:line="240" w:lineRule="auto"/>
              <w:rPr>
                <w:rFonts w:hint="eastAsia" w:ascii="宋体" w:hAnsi="宋体" w:cs="宋体"/>
                <w:color w:val="auto"/>
                <w:highlight w:val="none"/>
              </w:rPr>
            </w:pPr>
          </w:p>
        </w:tc>
        <w:tc>
          <w:tcPr>
            <w:tcW w:w="851" w:type="dxa"/>
            <w:vMerge w:val="continue"/>
            <w:tcBorders>
              <w:left w:val="nil"/>
              <w:right w:val="single" w:color="auto" w:sz="4" w:space="0"/>
            </w:tcBorders>
            <w:noWrap w:val="0"/>
            <w:vAlign w:val="center"/>
          </w:tcPr>
          <w:p w14:paraId="350C0CFB">
            <w:pPr>
              <w:widowControl/>
              <w:wordWrap w:val="0"/>
              <w:spacing w:line="240" w:lineRule="auto"/>
              <w:rPr>
                <w:rFonts w:hint="eastAsia" w:ascii="宋体" w:hAnsi="宋体" w:cs="宋体"/>
                <w:color w:val="auto"/>
                <w:highlight w:val="none"/>
              </w:rPr>
            </w:pPr>
          </w:p>
        </w:tc>
        <w:tc>
          <w:tcPr>
            <w:tcW w:w="2268" w:type="dxa"/>
            <w:tcBorders>
              <w:top w:val="single" w:color="auto" w:sz="4" w:space="0"/>
              <w:left w:val="nil"/>
              <w:bottom w:val="single" w:color="auto" w:sz="4" w:space="0"/>
              <w:right w:val="single" w:color="auto" w:sz="4" w:space="0"/>
            </w:tcBorders>
            <w:noWrap w:val="0"/>
            <w:vAlign w:val="center"/>
          </w:tcPr>
          <w:p w14:paraId="5E89085F">
            <w:pPr>
              <w:widowControl/>
              <w:spacing w:line="360" w:lineRule="auto"/>
              <w:jc w:val="center"/>
              <w:rPr>
                <w:rFonts w:hint="eastAsia" w:ascii="Times New Roman" w:hAnsi="Times New Roman" w:eastAsia="宋体" w:cs="Times New Roman"/>
                <w:color w:val="auto"/>
                <w:kern w:val="0"/>
                <w:highlight w:val="none"/>
              </w:rPr>
            </w:pPr>
            <w:r>
              <w:rPr>
                <w:rFonts w:hint="eastAsia" w:ascii="Times New Roman" w:hAnsi="Times New Roman" w:eastAsia="宋体" w:cs="Times New Roman"/>
                <w:color w:val="auto"/>
                <w:kern w:val="0"/>
                <w:highlight w:val="none"/>
                <w:lang w:val="en-US" w:eastAsia="zh-CN"/>
              </w:rPr>
              <w:t>中国裁判文书网查询或自行承诺（承诺书格式自拟）</w:t>
            </w:r>
          </w:p>
        </w:tc>
        <w:tc>
          <w:tcPr>
            <w:tcW w:w="5553" w:type="dxa"/>
            <w:tcBorders>
              <w:top w:val="single" w:color="auto" w:sz="4" w:space="0"/>
              <w:left w:val="nil"/>
              <w:bottom w:val="single" w:color="auto" w:sz="4" w:space="0"/>
              <w:right w:val="single" w:color="auto" w:sz="4" w:space="0"/>
            </w:tcBorders>
            <w:noWrap w:val="0"/>
            <w:vAlign w:val="center"/>
          </w:tcPr>
          <w:p w14:paraId="7EA67406">
            <w:pPr>
              <w:jc w:val="both"/>
              <w:rPr>
                <w:rFonts w:hint="eastAsia"/>
                <w:color w:val="auto"/>
                <w:highlight w:val="none"/>
              </w:rPr>
            </w:pPr>
            <w:r>
              <w:rPr>
                <w:rFonts w:hint="eastAsia"/>
                <w:color w:val="auto"/>
                <w:highlight w:val="none"/>
              </w:rPr>
              <w:t>符合供应商须知前附表的规定</w:t>
            </w:r>
          </w:p>
        </w:tc>
      </w:tr>
      <w:tr w14:paraId="3A38B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366" w:type="dxa"/>
            <w:vMerge w:val="continue"/>
            <w:tcBorders>
              <w:left w:val="single" w:color="auto" w:sz="4" w:space="0"/>
              <w:bottom w:val="single" w:color="auto" w:sz="4" w:space="0"/>
              <w:right w:val="single" w:color="auto" w:sz="4" w:space="0"/>
            </w:tcBorders>
            <w:noWrap w:val="0"/>
            <w:vAlign w:val="center"/>
          </w:tcPr>
          <w:p w14:paraId="2ED09051">
            <w:pPr>
              <w:widowControl/>
              <w:wordWrap w:val="0"/>
              <w:spacing w:line="240" w:lineRule="auto"/>
              <w:rPr>
                <w:rFonts w:hint="eastAsia" w:ascii="宋体" w:hAnsi="宋体" w:cs="宋体"/>
                <w:color w:val="auto"/>
                <w:highlight w:val="none"/>
              </w:rPr>
            </w:pPr>
          </w:p>
        </w:tc>
        <w:tc>
          <w:tcPr>
            <w:tcW w:w="851" w:type="dxa"/>
            <w:vMerge w:val="continue"/>
            <w:tcBorders>
              <w:left w:val="nil"/>
              <w:bottom w:val="single" w:color="auto" w:sz="4" w:space="0"/>
              <w:right w:val="single" w:color="auto" w:sz="4" w:space="0"/>
            </w:tcBorders>
            <w:noWrap w:val="0"/>
            <w:vAlign w:val="center"/>
          </w:tcPr>
          <w:p w14:paraId="7D7C2685">
            <w:pPr>
              <w:widowControl/>
              <w:wordWrap w:val="0"/>
              <w:spacing w:line="240" w:lineRule="auto"/>
              <w:rPr>
                <w:rFonts w:hint="eastAsia" w:ascii="宋体" w:hAnsi="宋体" w:cs="宋体"/>
                <w:color w:val="auto"/>
                <w:highlight w:val="none"/>
              </w:rPr>
            </w:pPr>
          </w:p>
        </w:tc>
        <w:tc>
          <w:tcPr>
            <w:tcW w:w="2268" w:type="dxa"/>
            <w:tcBorders>
              <w:top w:val="single" w:color="auto" w:sz="4" w:space="0"/>
              <w:left w:val="nil"/>
              <w:bottom w:val="single" w:color="auto" w:sz="4" w:space="0"/>
              <w:right w:val="single" w:color="auto" w:sz="4" w:space="0"/>
            </w:tcBorders>
            <w:noWrap w:val="0"/>
            <w:vAlign w:val="center"/>
          </w:tcPr>
          <w:p w14:paraId="1D20AAF1">
            <w:pPr>
              <w:widowControl/>
              <w:spacing w:line="360" w:lineRule="auto"/>
              <w:jc w:val="center"/>
              <w:rPr>
                <w:rFonts w:hint="eastAsia" w:ascii="Times New Roman" w:hAnsi="Times New Roman" w:eastAsia="宋体" w:cs="Times New Roman"/>
                <w:color w:val="auto"/>
                <w:kern w:val="0"/>
                <w:highlight w:val="none"/>
              </w:rPr>
            </w:pPr>
            <w:r>
              <w:rPr>
                <w:rFonts w:hint="eastAsia" w:ascii="Times New Roman" w:hAnsi="Times New Roman" w:eastAsia="宋体" w:cs="Times New Roman"/>
                <w:color w:val="auto"/>
                <w:kern w:val="0"/>
                <w:highlight w:val="none"/>
              </w:rPr>
              <w:t>联合体投标</w:t>
            </w:r>
          </w:p>
        </w:tc>
        <w:tc>
          <w:tcPr>
            <w:tcW w:w="5553" w:type="dxa"/>
            <w:tcBorders>
              <w:top w:val="single" w:color="auto" w:sz="4" w:space="0"/>
              <w:left w:val="nil"/>
              <w:bottom w:val="single" w:color="auto" w:sz="4" w:space="0"/>
              <w:right w:val="single" w:color="auto" w:sz="4" w:space="0"/>
            </w:tcBorders>
            <w:noWrap w:val="0"/>
            <w:vAlign w:val="center"/>
          </w:tcPr>
          <w:p w14:paraId="31E876DD">
            <w:pPr>
              <w:jc w:val="both"/>
              <w:rPr>
                <w:rFonts w:hint="eastAsia"/>
                <w:color w:val="auto"/>
                <w:highlight w:val="none"/>
              </w:rPr>
            </w:pPr>
            <w:r>
              <w:rPr>
                <w:rFonts w:hint="eastAsia" w:ascii="Times New Roman" w:hAnsi="Times New Roman" w:eastAsia="宋体" w:cs="Times New Roman"/>
                <w:color w:val="auto"/>
                <w:highlight w:val="none"/>
                <w:lang w:val="en-US" w:eastAsia="zh-CN"/>
              </w:rPr>
              <w:t>不接受联合体投标</w:t>
            </w:r>
          </w:p>
        </w:tc>
      </w:tr>
      <w:tr w14:paraId="7A4C8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66" w:type="dxa"/>
            <w:vMerge w:val="restart"/>
            <w:tcBorders>
              <w:top w:val="nil"/>
              <w:left w:val="single" w:color="auto" w:sz="4" w:space="0"/>
              <w:bottom w:val="single" w:color="auto" w:sz="4" w:space="0"/>
              <w:right w:val="single" w:color="auto" w:sz="4" w:space="0"/>
            </w:tcBorders>
            <w:noWrap w:val="0"/>
            <w:vAlign w:val="center"/>
          </w:tcPr>
          <w:p w14:paraId="02ADABF9">
            <w:pPr>
              <w:wordWrap w:val="0"/>
              <w:spacing w:line="400" w:lineRule="exact"/>
              <w:rPr>
                <w:rFonts w:hint="eastAsia" w:ascii="宋体" w:hAnsi="宋体" w:cs="宋体"/>
                <w:color w:val="auto"/>
                <w:highlight w:val="none"/>
              </w:rPr>
            </w:pPr>
            <w:r>
              <w:rPr>
                <w:rFonts w:hint="eastAsia" w:ascii="宋体" w:hAnsi="宋体" w:cs="宋体"/>
                <w:color w:val="auto"/>
                <w:highlight w:val="none"/>
              </w:rPr>
              <w:t>1.1.3</w:t>
            </w:r>
          </w:p>
        </w:tc>
        <w:tc>
          <w:tcPr>
            <w:tcW w:w="851" w:type="dxa"/>
            <w:vMerge w:val="restart"/>
            <w:tcBorders>
              <w:top w:val="nil"/>
              <w:left w:val="nil"/>
              <w:bottom w:val="single" w:color="auto" w:sz="4" w:space="0"/>
              <w:right w:val="single" w:color="auto" w:sz="4" w:space="0"/>
            </w:tcBorders>
            <w:noWrap w:val="0"/>
            <w:vAlign w:val="center"/>
          </w:tcPr>
          <w:p w14:paraId="0B4DEB1B">
            <w:pPr>
              <w:wordWrap w:val="0"/>
              <w:spacing w:line="400" w:lineRule="exact"/>
              <w:rPr>
                <w:rFonts w:hint="eastAsia" w:ascii="宋体" w:hAnsi="宋体" w:cs="宋体"/>
                <w:color w:val="auto"/>
                <w:highlight w:val="none"/>
              </w:rPr>
            </w:pPr>
            <w:r>
              <w:rPr>
                <w:rFonts w:hint="eastAsia" w:ascii="宋体" w:hAnsi="宋体" w:cs="宋体"/>
                <w:color w:val="auto"/>
                <w:highlight w:val="none"/>
              </w:rPr>
              <w:t>响应性评审标准</w:t>
            </w:r>
          </w:p>
        </w:tc>
        <w:tc>
          <w:tcPr>
            <w:tcW w:w="2268" w:type="dxa"/>
            <w:tcBorders>
              <w:top w:val="single" w:color="auto" w:sz="4" w:space="0"/>
              <w:left w:val="nil"/>
              <w:bottom w:val="single" w:color="auto" w:sz="4" w:space="0"/>
              <w:right w:val="single" w:color="auto" w:sz="4" w:space="0"/>
            </w:tcBorders>
            <w:noWrap w:val="0"/>
            <w:vAlign w:val="center"/>
          </w:tcPr>
          <w:p w14:paraId="5FE39741">
            <w:pPr>
              <w:wordWrap w:val="0"/>
              <w:autoSpaceDE w:val="0"/>
              <w:autoSpaceDN w:val="0"/>
              <w:adjustRightInd w:val="0"/>
              <w:spacing w:line="480" w:lineRule="exact"/>
              <w:rPr>
                <w:rFonts w:hint="eastAsia" w:ascii="宋体" w:hAnsi="宋体" w:eastAsia="宋体" w:cs="宋体"/>
                <w:color w:val="auto"/>
                <w:highlight w:val="none"/>
                <w:lang w:eastAsia="zh-CN"/>
              </w:rPr>
            </w:pPr>
            <w:r>
              <w:rPr>
                <w:rFonts w:hint="eastAsia" w:ascii="宋体" w:hAnsi="宋体" w:cs="宋体"/>
                <w:color w:val="auto"/>
                <w:highlight w:val="none"/>
                <w:lang w:eastAsia="zh-CN"/>
              </w:rPr>
              <w:t>服务时间</w:t>
            </w:r>
          </w:p>
        </w:tc>
        <w:tc>
          <w:tcPr>
            <w:tcW w:w="5553" w:type="dxa"/>
            <w:tcBorders>
              <w:top w:val="single" w:color="auto" w:sz="4" w:space="0"/>
              <w:left w:val="nil"/>
              <w:bottom w:val="single" w:color="auto" w:sz="4" w:space="0"/>
              <w:right w:val="single" w:color="auto" w:sz="4" w:space="0"/>
            </w:tcBorders>
            <w:noWrap w:val="0"/>
            <w:vAlign w:val="center"/>
          </w:tcPr>
          <w:p w14:paraId="03D3688A">
            <w:pPr>
              <w:wordWrap w:val="0"/>
              <w:spacing w:line="480" w:lineRule="exact"/>
              <w:jc w:val="both"/>
              <w:rPr>
                <w:rFonts w:hint="eastAsia" w:ascii="宋体" w:hAnsi="宋体" w:eastAsia="宋体" w:cs="宋体"/>
                <w:color w:val="auto"/>
                <w:highlight w:val="none"/>
                <w:lang w:eastAsia="zh-CN"/>
              </w:rPr>
            </w:pPr>
            <w:r>
              <w:rPr>
                <w:rFonts w:hint="eastAsia" w:ascii="宋体" w:hAnsi="宋体" w:cs="宋体"/>
                <w:color w:val="auto"/>
                <w:highlight w:val="none"/>
                <w:lang w:eastAsia="zh-CN"/>
              </w:rPr>
              <w:t>合同签订后30日历天，完成产品的安装、调试</w:t>
            </w:r>
          </w:p>
        </w:tc>
      </w:tr>
      <w:tr w14:paraId="2F515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366" w:type="dxa"/>
            <w:vMerge w:val="continue"/>
            <w:tcBorders>
              <w:top w:val="nil"/>
              <w:left w:val="single" w:color="auto" w:sz="4" w:space="0"/>
              <w:bottom w:val="single" w:color="auto" w:sz="4" w:space="0"/>
              <w:right w:val="single" w:color="auto" w:sz="4" w:space="0"/>
            </w:tcBorders>
            <w:noWrap w:val="0"/>
            <w:vAlign w:val="center"/>
          </w:tcPr>
          <w:p w14:paraId="4654EAA5">
            <w:pPr>
              <w:widowControl/>
              <w:wordWrap w:val="0"/>
              <w:spacing w:line="240" w:lineRule="auto"/>
              <w:rPr>
                <w:rFonts w:hint="eastAsia" w:ascii="宋体" w:hAnsi="宋体" w:cs="宋体"/>
                <w:color w:val="auto"/>
                <w:highlight w:val="none"/>
              </w:rPr>
            </w:pPr>
          </w:p>
        </w:tc>
        <w:tc>
          <w:tcPr>
            <w:tcW w:w="851" w:type="dxa"/>
            <w:vMerge w:val="continue"/>
            <w:tcBorders>
              <w:top w:val="nil"/>
              <w:left w:val="nil"/>
              <w:bottom w:val="single" w:color="auto" w:sz="4" w:space="0"/>
              <w:right w:val="single" w:color="auto" w:sz="4" w:space="0"/>
            </w:tcBorders>
            <w:noWrap w:val="0"/>
            <w:vAlign w:val="center"/>
          </w:tcPr>
          <w:p w14:paraId="57897B4D">
            <w:pPr>
              <w:widowControl/>
              <w:wordWrap w:val="0"/>
              <w:spacing w:line="240" w:lineRule="auto"/>
              <w:rPr>
                <w:rFonts w:hint="eastAsia" w:ascii="宋体" w:hAnsi="宋体" w:cs="宋体"/>
                <w:color w:val="auto"/>
                <w:highlight w:val="none"/>
              </w:rPr>
            </w:pPr>
          </w:p>
        </w:tc>
        <w:tc>
          <w:tcPr>
            <w:tcW w:w="2268" w:type="dxa"/>
            <w:tcBorders>
              <w:top w:val="single" w:color="auto" w:sz="4" w:space="0"/>
              <w:left w:val="nil"/>
              <w:bottom w:val="single" w:color="auto" w:sz="4" w:space="0"/>
              <w:right w:val="single" w:color="auto" w:sz="4" w:space="0"/>
            </w:tcBorders>
            <w:noWrap w:val="0"/>
            <w:vAlign w:val="center"/>
          </w:tcPr>
          <w:p w14:paraId="793F3EFB">
            <w:pPr>
              <w:wordWrap w:val="0"/>
              <w:autoSpaceDE w:val="0"/>
              <w:autoSpaceDN w:val="0"/>
              <w:adjustRightInd w:val="0"/>
              <w:spacing w:line="400" w:lineRule="exact"/>
              <w:rPr>
                <w:rFonts w:hint="eastAsia" w:ascii="宋体" w:hAnsi="宋体" w:eastAsia="宋体" w:cs="宋体"/>
                <w:color w:val="auto"/>
                <w:highlight w:val="none"/>
                <w:lang w:val="en-US" w:eastAsia="zh-CN"/>
              </w:rPr>
            </w:pPr>
            <w:r>
              <w:rPr>
                <w:rFonts w:hint="eastAsia" w:ascii="宋体" w:hAnsi="宋体" w:cs="宋体"/>
                <w:color w:val="auto"/>
                <w:highlight w:val="none"/>
              </w:rPr>
              <w:t>质量</w:t>
            </w:r>
            <w:r>
              <w:rPr>
                <w:rFonts w:hint="eastAsia" w:ascii="宋体" w:hAnsi="宋体" w:cs="宋体"/>
                <w:color w:val="auto"/>
                <w:highlight w:val="none"/>
                <w:lang w:val="en-US" w:eastAsia="zh-CN"/>
              </w:rPr>
              <w:t>要求</w:t>
            </w:r>
          </w:p>
        </w:tc>
        <w:tc>
          <w:tcPr>
            <w:tcW w:w="5553" w:type="dxa"/>
            <w:tcBorders>
              <w:top w:val="single" w:color="auto" w:sz="4" w:space="0"/>
              <w:left w:val="nil"/>
              <w:bottom w:val="single" w:color="auto" w:sz="4" w:space="0"/>
              <w:right w:val="single" w:color="auto" w:sz="4" w:space="0"/>
            </w:tcBorders>
            <w:noWrap w:val="0"/>
            <w:vAlign w:val="center"/>
          </w:tcPr>
          <w:p w14:paraId="48A4C8B2">
            <w:pPr>
              <w:wordWrap w:val="0"/>
              <w:spacing w:line="400" w:lineRule="exact"/>
              <w:rPr>
                <w:rFonts w:hint="eastAsia" w:ascii="宋体" w:hAnsi="宋体" w:cs="宋体"/>
                <w:color w:val="auto"/>
                <w:highlight w:val="none"/>
              </w:rPr>
            </w:pPr>
            <w:r>
              <w:rPr>
                <w:rFonts w:hint="eastAsia" w:ascii="宋体" w:hAnsi="宋体" w:cs="宋体"/>
                <w:color w:val="auto"/>
                <w:highlight w:val="none"/>
                <w:lang w:eastAsia="zh-CN"/>
              </w:rPr>
              <w:t>满足采购人要求</w:t>
            </w:r>
            <w:r>
              <w:rPr>
                <w:rFonts w:hint="eastAsia" w:ascii="宋体" w:hAnsi="宋体" w:cs="宋体"/>
                <w:color w:val="auto"/>
                <w:highlight w:val="none"/>
              </w:rPr>
              <w:t>。</w:t>
            </w:r>
          </w:p>
        </w:tc>
      </w:tr>
      <w:tr w14:paraId="7D029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366" w:type="dxa"/>
            <w:vMerge w:val="continue"/>
            <w:tcBorders>
              <w:top w:val="nil"/>
              <w:left w:val="single" w:color="auto" w:sz="4" w:space="0"/>
              <w:bottom w:val="single" w:color="auto" w:sz="4" w:space="0"/>
              <w:right w:val="single" w:color="auto" w:sz="4" w:space="0"/>
            </w:tcBorders>
            <w:noWrap w:val="0"/>
            <w:vAlign w:val="center"/>
          </w:tcPr>
          <w:p w14:paraId="723EF916">
            <w:pPr>
              <w:widowControl/>
              <w:wordWrap w:val="0"/>
              <w:spacing w:line="240" w:lineRule="auto"/>
              <w:rPr>
                <w:rFonts w:hint="eastAsia" w:ascii="宋体" w:hAnsi="宋体" w:cs="宋体"/>
                <w:color w:val="auto"/>
                <w:highlight w:val="none"/>
              </w:rPr>
            </w:pPr>
          </w:p>
        </w:tc>
        <w:tc>
          <w:tcPr>
            <w:tcW w:w="851" w:type="dxa"/>
            <w:vMerge w:val="continue"/>
            <w:tcBorders>
              <w:top w:val="nil"/>
              <w:left w:val="nil"/>
              <w:bottom w:val="single" w:color="auto" w:sz="4" w:space="0"/>
              <w:right w:val="single" w:color="auto" w:sz="4" w:space="0"/>
            </w:tcBorders>
            <w:noWrap w:val="0"/>
            <w:vAlign w:val="center"/>
          </w:tcPr>
          <w:p w14:paraId="04E2EAB6">
            <w:pPr>
              <w:widowControl/>
              <w:wordWrap w:val="0"/>
              <w:spacing w:line="240" w:lineRule="auto"/>
              <w:rPr>
                <w:rFonts w:hint="eastAsia" w:ascii="宋体" w:hAnsi="宋体" w:cs="宋体"/>
                <w:color w:val="auto"/>
                <w:highlight w:val="none"/>
              </w:rPr>
            </w:pPr>
          </w:p>
        </w:tc>
        <w:tc>
          <w:tcPr>
            <w:tcW w:w="2268" w:type="dxa"/>
            <w:tcBorders>
              <w:top w:val="single" w:color="auto" w:sz="4" w:space="0"/>
              <w:left w:val="nil"/>
              <w:bottom w:val="single" w:color="auto" w:sz="4" w:space="0"/>
              <w:right w:val="single" w:color="auto" w:sz="4" w:space="0"/>
            </w:tcBorders>
            <w:noWrap w:val="0"/>
            <w:vAlign w:val="center"/>
          </w:tcPr>
          <w:p w14:paraId="2D34B0B9">
            <w:pPr>
              <w:wordWrap w:val="0"/>
              <w:autoSpaceDE w:val="0"/>
              <w:autoSpaceDN w:val="0"/>
              <w:adjustRightInd w:val="0"/>
              <w:spacing w:line="400" w:lineRule="exact"/>
              <w:rPr>
                <w:rFonts w:hint="eastAsia" w:ascii="宋体" w:hAnsi="宋体" w:cs="宋体"/>
                <w:color w:val="auto"/>
                <w:highlight w:val="none"/>
              </w:rPr>
            </w:pPr>
            <w:r>
              <w:rPr>
                <w:rFonts w:hint="eastAsia" w:ascii="宋体" w:hAnsi="宋体" w:cs="宋体"/>
                <w:color w:val="auto"/>
                <w:highlight w:val="none"/>
              </w:rPr>
              <w:t>响应文件格式</w:t>
            </w:r>
          </w:p>
        </w:tc>
        <w:tc>
          <w:tcPr>
            <w:tcW w:w="5553" w:type="dxa"/>
            <w:tcBorders>
              <w:top w:val="single" w:color="auto" w:sz="4" w:space="0"/>
              <w:left w:val="nil"/>
              <w:bottom w:val="single" w:color="auto" w:sz="4" w:space="0"/>
              <w:right w:val="single" w:color="auto" w:sz="4" w:space="0"/>
            </w:tcBorders>
            <w:noWrap w:val="0"/>
            <w:vAlign w:val="center"/>
          </w:tcPr>
          <w:p w14:paraId="340B3FDE">
            <w:pPr>
              <w:wordWrap w:val="0"/>
              <w:autoSpaceDE w:val="0"/>
              <w:autoSpaceDN w:val="0"/>
              <w:adjustRightInd w:val="0"/>
              <w:spacing w:line="400" w:lineRule="exact"/>
              <w:rPr>
                <w:rFonts w:hint="eastAsia" w:ascii="宋体" w:hAnsi="宋体" w:cs="宋体"/>
                <w:color w:val="auto"/>
                <w:highlight w:val="none"/>
              </w:rPr>
            </w:pPr>
            <w:r>
              <w:rPr>
                <w:rFonts w:hint="eastAsia" w:ascii="宋体" w:hAnsi="宋体" w:cs="宋体"/>
                <w:color w:val="auto"/>
                <w:highlight w:val="none"/>
              </w:rPr>
              <w:t>符合“响应性文件格式”的要求</w:t>
            </w:r>
          </w:p>
        </w:tc>
      </w:tr>
      <w:tr w14:paraId="17571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366" w:type="dxa"/>
            <w:vMerge w:val="continue"/>
            <w:tcBorders>
              <w:top w:val="nil"/>
              <w:left w:val="single" w:color="auto" w:sz="4" w:space="0"/>
              <w:bottom w:val="single" w:color="auto" w:sz="4" w:space="0"/>
              <w:right w:val="single" w:color="auto" w:sz="4" w:space="0"/>
            </w:tcBorders>
            <w:noWrap w:val="0"/>
            <w:vAlign w:val="center"/>
          </w:tcPr>
          <w:p w14:paraId="0ADB0B09">
            <w:pPr>
              <w:widowControl/>
              <w:wordWrap w:val="0"/>
              <w:spacing w:line="240" w:lineRule="auto"/>
              <w:rPr>
                <w:rFonts w:hint="eastAsia" w:ascii="宋体" w:hAnsi="宋体" w:cs="宋体"/>
                <w:color w:val="auto"/>
                <w:highlight w:val="none"/>
              </w:rPr>
            </w:pPr>
          </w:p>
        </w:tc>
        <w:tc>
          <w:tcPr>
            <w:tcW w:w="851" w:type="dxa"/>
            <w:vMerge w:val="continue"/>
            <w:tcBorders>
              <w:top w:val="nil"/>
              <w:left w:val="nil"/>
              <w:bottom w:val="single" w:color="auto" w:sz="4" w:space="0"/>
              <w:right w:val="single" w:color="auto" w:sz="4" w:space="0"/>
            </w:tcBorders>
            <w:noWrap w:val="0"/>
            <w:vAlign w:val="center"/>
          </w:tcPr>
          <w:p w14:paraId="48D2732E">
            <w:pPr>
              <w:widowControl/>
              <w:wordWrap w:val="0"/>
              <w:spacing w:line="240" w:lineRule="auto"/>
              <w:rPr>
                <w:rFonts w:hint="eastAsia" w:ascii="宋体" w:hAnsi="宋体" w:cs="宋体"/>
                <w:color w:val="auto"/>
                <w:highlight w:val="none"/>
              </w:rPr>
            </w:pPr>
          </w:p>
        </w:tc>
        <w:tc>
          <w:tcPr>
            <w:tcW w:w="2268" w:type="dxa"/>
            <w:tcBorders>
              <w:top w:val="single" w:color="auto" w:sz="4" w:space="0"/>
              <w:left w:val="nil"/>
              <w:bottom w:val="single" w:color="auto" w:sz="4" w:space="0"/>
              <w:right w:val="single" w:color="auto" w:sz="4" w:space="0"/>
            </w:tcBorders>
            <w:noWrap w:val="0"/>
            <w:vAlign w:val="center"/>
          </w:tcPr>
          <w:p w14:paraId="10D52EB4">
            <w:pPr>
              <w:wordWrap w:val="0"/>
              <w:autoSpaceDE w:val="0"/>
              <w:autoSpaceDN w:val="0"/>
              <w:adjustRightInd w:val="0"/>
              <w:spacing w:line="400" w:lineRule="exact"/>
              <w:rPr>
                <w:rFonts w:hint="eastAsia" w:ascii="宋体" w:hAnsi="宋体" w:cs="宋体"/>
                <w:color w:val="auto"/>
                <w:highlight w:val="none"/>
              </w:rPr>
            </w:pPr>
            <w:r>
              <w:rPr>
                <w:rFonts w:hint="eastAsia" w:ascii="宋体" w:hAnsi="宋体" w:cs="宋体"/>
                <w:color w:val="auto"/>
                <w:highlight w:val="none"/>
              </w:rPr>
              <w:t>磋商有效期</w:t>
            </w:r>
          </w:p>
        </w:tc>
        <w:tc>
          <w:tcPr>
            <w:tcW w:w="5553" w:type="dxa"/>
            <w:tcBorders>
              <w:top w:val="single" w:color="auto" w:sz="4" w:space="0"/>
              <w:left w:val="nil"/>
              <w:bottom w:val="single" w:color="auto" w:sz="4" w:space="0"/>
              <w:right w:val="single" w:color="auto" w:sz="4" w:space="0"/>
            </w:tcBorders>
            <w:noWrap w:val="0"/>
            <w:vAlign w:val="center"/>
          </w:tcPr>
          <w:p w14:paraId="2495AEE6">
            <w:pPr>
              <w:wordWrap w:val="0"/>
              <w:spacing w:line="400" w:lineRule="exact"/>
              <w:rPr>
                <w:rFonts w:hint="eastAsia" w:ascii="宋体" w:hAnsi="宋体" w:cs="宋体"/>
                <w:color w:val="auto"/>
                <w:highlight w:val="none"/>
              </w:rPr>
            </w:pPr>
            <w:r>
              <w:rPr>
                <w:rFonts w:hint="eastAsia" w:ascii="宋体" w:hAnsi="宋体" w:cs="宋体"/>
                <w:color w:val="auto"/>
                <w:highlight w:val="none"/>
              </w:rPr>
              <w:t xml:space="preserve">60日历天 </w:t>
            </w:r>
          </w:p>
        </w:tc>
      </w:tr>
    </w:tbl>
    <w:p w14:paraId="30731252">
      <w:pPr>
        <w:pStyle w:val="14"/>
        <w:widowControl w:val="0"/>
        <w:wordWrap w:val="0"/>
        <w:spacing w:before="0" w:beforeAutospacing="0" w:after="120" w:afterAutospacing="0" w:line="480" w:lineRule="auto"/>
        <w:jc w:val="center"/>
        <w:rPr>
          <w:rFonts w:hint="eastAsia"/>
          <w:b/>
          <w:bCs/>
          <w:color w:val="auto"/>
          <w:highlight w:val="none"/>
        </w:rPr>
      </w:pPr>
      <w:r>
        <w:rPr>
          <w:rFonts w:hint="eastAsia"/>
          <w:b/>
          <w:bCs/>
          <w:color w:val="auto"/>
          <w:kern w:val="2"/>
          <w:highlight w:val="none"/>
        </w:rPr>
        <w:t>详细评审标准</w:t>
      </w:r>
    </w:p>
    <w:tbl>
      <w:tblPr>
        <w:tblStyle w:val="17"/>
        <w:tblW w:w="9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3"/>
        <w:gridCol w:w="1134"/>
        <w:gridCol w:w="1134"/>
        <w:gridCol w:w="6219"/>
      </w:tblGrid>
      <w:tr w14:paraId="1F47D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2" w:hRule="atLeast"/>
          <w:jc w:val="center"/>
        </w:trPr>
        <w:tc>
          <w:tcPr>
            <w:tcW w:w="1033" w:type="dxa"/>
            <w:tcBorders>
              <w:top w:val="single" w:color="auto" w:sz="4" w:space="0"/>
              <w:left w:val="single" w:color="auto" w:sz="4" w:space="0"/>
              <w:bottom w:val="single" w:color="auto" w:sz="4" w:space="0"/>
              <w:right w:val="single" w:color="auto" w:sz="4" w:space="0"/>
            </w:tcBorders>
            <w:noWrap w:val="0"/>
            <w:vAlign w:val="center"/>
          </w:tcPr>
          <w:p w14:paraId="6E7A0F94">
            <w:pPr>
              <w:wordWrap w:val="0"/>
              <w:autoSpaceDE w:val="0"/>
              <w:autoSpaceDN w:val="0"/>
              <w:adjustRightInd w:val="0"/>
              <w:rPr>
                <w:rFonts w:hint="eastAsia" w:ascii="宋体" w:hAnsi="宋体" w:cs="宋体"/>
                <w:color w:val="auto"/>
                <w:highlight w:val="none"/>
              </w:rPr>
            </w:pPr>
            <w:r>
              <w:rPr>
                <w:rFonts w:hint="eastAsia" w:ascii="宋体" w:hAnsi="宋体" w:cs="宋体"/>
                <w:b/>
                <w:bCs/>
                <w:color w:val="auto"/>
                <w:highlight w:val="none"/>
              </w:rPr>
              <w:t>条款号</w:t>
            </w:r>
          </w:p>
        </w:tc>
        <w:tc>
          <w:tcPr>
            <w:tcW w:w="2268" w:type="dxa"/>
            <w:gridSpan w:val="2"/>
            <w:tcBorders>
              <w:top w:val="single" w:color="auto" w:sz="4" w:space="0"/>
              <w:left w:val="nil"/>
              <w:bottom w:val="single" w:color="auto" w:sz="4" w:space="0"/>
              <w:right w:val="single" w:color="auto" w:sz="4" w:space="0"/>
            </w:tcBorders>
            <w:noWrap w:val="0"/>
            <w:vAlign w:val="center"/>
          </w:tcPr>
          <w:p w14:paraId="3860D610">
            <w:pPr>
              <w:wordWrap w:val="0"/>
              <w:autoSpaceDE w:val="0"/>
              <w:autoSpaceDN w:val="0"/>
              <w:adjustRightInd w:val="0"/>
              <w:jc w:val="center"/>
              <w:rPr>
                <w:rFonts w:hint="eastAsia" w:ascii="宋体" w:hAnsi="宋体" w:cs="宋体"/>
                <w:color w:val="auto"/>
                <w:highlight w:val="none"/>
              </w:rPr>
            </w:pPr>
            <w:r>
              <w:rPr>
                <w:rFonts w:hint="eastAsia" w:ascii="宋体" w:hAnsi="宋体" w:cs="宋体"/>
                <w:b/>
                <w:bCs/>
                <w:color w:val="auto"/>
                <w:highlight w:val="none"/>
              </w:rPr>
              <w:t>条款内容</w:t>
            </w:r>
          </w:p>
        </w:tc>
        <w:tc>
          <w:tcPr>
            <w:tcW w:w="6219" w:type="dxa"/>
            <w:tcBorders>
              <w:top w:val="single" w:color="auto" w:sz="4" w:space="0"/>
              <w:left w:val="nil"/>
              <w:bottom w:val="single" w:color="auto" w:sz="4" w:space="0"/>
              <w:right w:val="single" w:color="auto" w:sz="4" w:space="0"/>
            </w:tcBorders>
            <w:noWrap w:val="0"/>
            <w:vAlign w:val="center"/>
          </w:tcPr>
          <w:p w14:paraId="5FC1171C">
            <w:pPr>
              <w:wordWrap w:val="0"/>
              <w:autoSpaceDE w:val="0"/>
              <w:autoSpaceDN w:val="0"/>
              <w:adjustRightInd w:val="0"/>
              <w:rPr>
                <w:rFonts w:hint="eastAsia" w:ascii="宋体" w:hAnsi="宋体" w:cs="宋体"/>
                <w:color w:val="auto"/>
                <w:highlight w:val="none"/>
              </w:rPr>
            </w:pPr>
            <w:r>
              <w:rPr>
                <w:rFonts w:hint="eastAsia" w:ascii="宋体" w:hAnsi="宋体" w:cs="宋体"/>
                <w:b/>
                <w:bCs/>
                <w:color w:val="auto"/>
                <w:highlight w:val="none"/>
              </w:rPr>
              <w:t>编列内容</w:t>
            </w:r>
          </w:p>
        </w:tc>
      </w:tr>
      <w:tr w14:paraId="6553B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1033" w:type="dxa"/>
            <w:tcBorders>
              <w:top w:val="single" w:color="auto" w:sz="4" w:space="0"/>
              <w:left w:val="single" w:color="auto" w:sz="4" w:space="0"/>
              <w:bottom w:val="single" w:color="auto" w:sz="4" w:space="0"/>
              <w:right w:val="single" w:color="auto" w:sz="4" w:space="0"/>
            </w:tcBorders>
            <w:noWrap w:val="0"/>
            <w:vAlign w:val="center"/>
          </w:tcPr>
          <w:p w14:paraId="7280B8D4">
            <w:pPr>
              <w:wordWrap w:val="0"/>
              <w:autoSpaceDE w:val="0"/>
              <w:autoSpaceDN w:val="0"/>
              <w:adjustRightInd w:val="0"/>
              <w:rPr>
                <w:rFonts w:hint="eastAsia" w:ascii="宋体" w:hAnsi="宋体" w:cs="宋体"/>
                <w:color w:val="auto"/>
                <w:highlight w:val="none"/>
              </w:rPr>
            </w:pPr>
            <w:r>
              <w:rPr>
                <w:rFonts w:hint="eastAsia" w:ascii="宋体" w:hAnsi="宋体" w:cs="宋体"/>
                <w:color w:val="auto"/>
                <w:highlight w:val="none"/>
              </w:rPr>
              <w:t>2.2.1</w:t>
            </w:r>
          </w:p>
          <w:p w14:paraId="60C1CDB3">
            <w:pPr>
              <w:wordWrap w:val="0"/>
              <w:autoSpaceDE w:val="0"/>
              <w:autoSpaceDN w:val="0"/>
              <w:adjustRightInd w:val="0"/>
              <w:jc w:val="center"/>
              <w:rPr>
                <w:rFonts w:hint="eastAsia" w:ascii="宋体" w:hAnsi="宋体" w:cs="宋体"/>
                <w:color w:val="auto"/>
                <w:highlight w:val="none"/>
              </w:rPr>
            </w:pPr>
          </w:p>
        </w:tc>
        <w:tc>
          <w:tcPr>
            <w:tcW w:w="2268" w:type="dxa"/>
            <w:gridSpan w:val="2"/>
            <w:tcBorders>
              <w:top w:val="single" w:color="auto" w:sz="4" w:space="0"/>
              <w:left w:val="nil"/>
              <w:bottom w:val="single" w:color="auto" w:sz="4" w:space="0"/>
              <w:right w:val="single" w:color="auto" w:sz="4" w:space="0"/>
            </w:tcBorders>
            <w:noWrap w:val="0"/>
            <w:vAlign w:val="center"/>
          </w:tcPr>
          <w:p w14:paraId="7642A013">
            <w:pPr>
              <w:wordWrap w:val="0"/>
              <w:autoSpaceDE w:val="0"/>
              <w:autoSpaceDN w:val="0"/>
              <w:adjustRightInd w:val="0"/>
              <w:jc w:val="center"/>
              <w:rPr>
                <w:rFonts w:hint="eastAsia" w:ascii="宋体" w:hAnsi="宋体" w:cs="宋体"/>
                <w:color w:val="auto"/>
                <w:highlight w:val="none"/>
              </w:rPr>
            </w:pPr>
          </w:p>
          <w:p w14:paraId="6A69A37E">
            <w:pPr>
              <w:wordWrap w:val="0"/>
              <w:autoSpaceDE w:val="0"/>
              <w:autoSpaceDN w:val="0"/>
              <w:adjustRightInd w:val="0"/>
              <w:jc w:val="center"/>
              <w:rPr>
                <w:rFonts w:hint="eastAsia" w:ascii="宋体" w:hAnsi="宋体" w:cs="宋体"/>
                <w:color w:val="auto"/>
                <w:highlight w:val="none"/>
              </w:rPr>
            </w:pPr>
            <w:r>
              <w:rPr>
                <w:rFonts w:hint="eastAsia" w:ascii="宋体" w:hAnsi="宋体" w:cs="宋体"/>
                <w:color w:val="auto"/>
                <w:highlight w:val="none"/>
              </w:rPr>
              <w:t>投标报价</w:t>
            </w:r>
          </w:p>
          <w:p w14:paraId="48692C56">
            <w:pPr>
              <w:wordWrap w:val="0"/>
              <w:autoSpaceDE w:val="0"/>
              <w:autoSpaceDN w:val="0"/>
              <w:adjustRightInd w:val="0"/>
              <w:jc w:val="center"/>
              <w:rPr>
                <w:rFonts w:hint="eastAsia" w:ascii="宋体" w:hAnsi="宋体" w:cs="宋体"/>
                <w:color w:val="auto"/>
                <w:highlight w:val="none"/>
              </w:rPr>
            </w:pPr>
            <w:r>
              <w:rPr>
                <w:rFonts w:hint="eastAsia" w:ascii="宋体" w:hAnsi="宋体" w:cs="宋体"/>
                <w:color w:val="auto"/>
                <w:highlight w:val="none"/>
              </w:rPr>
              <w:t>（30分）</w:t>
            </w:r>
          </w:p>
          <w:p w14:paraId="5044CAA2">
            <w:pPr>
              <w:wordWrap w:val="0"/>
              <w:jc w:val="center"/>
              <w:rPr>
                <w:rFonts w:hint="eastAsia" w:ascii="宋体" w:hAnsi="宋体" w:cs="宋体"/>
                <w:color w:val="auto"/>
                <w:highlight w:val="none"/>
              </w:rPr>
            </w:pPr>
          </w:p>
        </w:tc>
        <w:tc>
          <w:tcPr>
            <w:tcW w:w="6219" w:type="dxa"/>
            <w:tcBorders>
              <w:top w:val="single" w:color="auto" w:sz="4" w:space="0"/>
              <w:left w:val="nil"/>
              <w:bottom w:val="single" w:color="auto" w:sz="4" w:space="0"/>
              <w:right w:val="single" w:color="auto" w:sz="4" w:space="0"/>
            </w:tcBorders>
            <w:noWrap w:val="0"/>
            <w:vAlign w:val="center"/>
          </w:tcPr>
          <w:p w14:paraId="7D0513A5">
            <w:pPr>
              <w:wordWrap w:val="0"/>
              <w:autoSpaceDE w:val="0"/>
              <w:autoSpaceDN w:val="0"/>
              <w:adjustRightInd w:val="0"/>
              <w:rPr>
                <w:rFonts w:hint="eastAsia" w:ascii="宋体" w:hAnsi="宋体" w:cs="宋体"/>
                <w:color w:val="auto"/>
                <w:highlight w:val="none"/>
              </w:rPr>
            </w:pPr>
            <w:r>
              <w:rPr>
                <w:rFonts w:hint="eastAsia" w:ascii="宋体" w:hAnsi="宋体" w:cs="宋体"/>
                <w:color w:val="auto"/>
                <w:highlight w:val="none"/>
              </w:rPr>
              <w:t>（1）本项目报价价超出预算控制金额的，采购人不予接受，且报价无效；</w:t>
            </w:r>
          </w:p>
          <w:p w14:paraId="26B45F4B">
            <w:pPr>
              <w:wordWrap w:val="0"/>
              <w:autoSpaceDE w:val="0"/>
              <w:autoSpaceDN w:val="0"/>
              <w:adjustRightInd w:val="0"/>
              <w:rPr>
                <w:rFonts w:hint="eastAsia" w:ascii="宋体" w:hAnsi="宋体" w:cs="宋体"/>
                <w:color w:val="auto"/>
                <w:highlight w:val="none"/>
              </w:rPr>
            </w:pPr>
            <w:r>
              <w:rPr>
                <w:rFonts w:hint="eastAsia" w:ascii="宋体" w:hAnsi="宋体" w:cs="宋体"/>
                <w:color w:val="auto"/>
                <w:highlight w:val="none"/>
              </w:rPr>
              <w:t>（2）有效报价计算得分：在有效报价范围内，满足磋商文件初步评审要求且报价最低的报价为报价基准价，其价格分为满分30分，其他供应商的报价分统一按照下列公式计算：</w:t>
            </w:r>
          </w:p>
          <w:p w14:paraId="45CB3734">
            <w:pPr>
              <w:wordWrap w:val="0"/>
              <w:autoSpaceDE w:val="0"/>
              <w:autoSpaceDN w:val="0"/>
              <w:adjustRightInd w:val="0"/>
              <w:rPr>
                <w:rFonts w:hint="eastAsia" w:ascii="宋体" w:hAnsi="宋体" w:cs="宋体"/>
                <w:color w:val="auto"/>
                <w:highlight w:val="none"/>
              </w:rPr>
            </w:pPr>
            <w:r>
              <w:rPr>
                <w:rFonts w:hint="eastAsia" w:ascii="宋体" w:hAnsi="宋体" w:cs="宋体"/>
                <w:color w:val="auto"/>
                <w:highlight w:val="none"/>
              </w:rPr>
              <w:t>报价得分=(评标基准价/投标报价)×30</w:t>
            </w:r>
          </w:p>
          <w:p w14:paraId="610DD9C2">
            <w:pPr>
              <w:keepNext w:val="0"/>
              <w:keepLines w:val="0"/>
              <w:pageBreakBefore w:val="0"/>
              <w:wordWrap/>
              <w:overflowPunct/>
              <w:topLinePunct w:val="0"/>
              <w:bidi w:val="0"/>
              <w:adjustRightInd w:val="0"/>
              <w:snapToGrid w:val="0"/>
              <w:spacing w:line="360" w:lineRule="auto"/>
              <w:ind w:firstLine="0" w:firstLineChars="0"/>
              <w:jc w:val="left"/>
              <w:rPr>
                <w:rFonts w:hint="eastAsia"/>
                <w:color w:val="auto"/>
                <w:sz w:val="24"/>
                <w:szCs w:val="24"/>
                <w:highlight w:val="none"/>
              </w:rPr>
            </w:pPr>
            <w:r>
              <w:rPr>
                <w:rFonts w:hint="eastAsia"/>
                <w:color w:val="auto"/>
                <w:sz w:val="24"/>
                <w:szCs w:val="24"/>
                <w:highlight w:val="none"/>
              </w:rPr>
              <w:t>（1）本项目专门面向中小企业采购，不再进行价格扣除。</w:t>
            </w:r>
          </w:p>
          <w:p w14:paraId="2207C614">
            <w:pPr>
              <w:keepNext w:val="0"/>
              <w:keepLines w:val="0"/>
              <w:pageBreakBefore w:val="0"/>
              <w:wordWrap/>
              <w:overflowPunct/>
              <w:topLinePunct w:val="0"/>
              <w:bidi w:val="0"/>
              <w:adjustRightInd w:val="0"/>
              <w:snapToGrid w:val="0"/>
              <w:spacing w:line="360" w:lineRule="auto"/>
              <w:ind w:firstLine="0" w:firstLineChars="0"/>
              <w:jc w:val="left"/>
              <w:rPr>
                <w:rFonts w:hint="eastAsia"/>
                <w:color w:val="auto"/>
                <w:sz w:val="24"/>
                <w:szCs w:val="24"/>
                <w:highlight w:val="none"/>
              </w:rPr>
            </w:pPr>
            <w:r>
              <w:rPr>
                <w:rFonts w:hint="eastAsia"/>
                <w:color w:val="auto"/>
                <w:sz w:val="24"/>
                <w:szCs w:val="24"/>
                <w:highlight w:val="none"/>
              </w:rPr>
              <w:t>（2）关于监狱企业：视同小微企业。须提供由省级以上监狱管理局、戒毒管理局（含新疆生产建设兵团）出具的属于监狱企业的证明文件。</w:t>
            </w:r>
          </w:p>
          <w:p w14:paraId="05586244">
            <w:pPr>
              <w:keepNext w:val="0"/>
              <w:keepLines w:val="0"/>
              <w:pageBreakBefore w:val="0"/>
              <w:wordWrap/>
              <w:overflowPunct/>
              <w:topLinePunct w:val="0"/>
              <w:bidi w:val="0"/>
              <w:adjustRightInd w:val="0"/>
              <w:snapToGrid w:val="0"/>
              <w:spacing w:line="360" w:lineRule="auto"/>
              <w:ind w:firstLine="0" w:firstLineChars="0"/>
              <w:jc w:val="left"/>
              <w:rPr>
                <w:rFonts w:hint="eastAsia"/>
                <w:color w:val="auto"/>
                <w:sz w:val="24"/>
                <w:szCs w:val="24"/>
                <w:highlight w:val="none"/>
              </w:rPr>
            </w:pPr>
            <w:r>
              <w:rPr>
                <w:rFonts w:hint="eastAsia"/>
                <w:color w:val="auto"/>
                <w:sz w:val="24"/>
                <w:szCs w:val="24"/>
                <w:highlight w:val="none"/>
              </w:rPr>
              <w:t>（3）关于残疾人福利性单位：视同小微企业。须提供完整的“残疾人福利性单位声明函”。</w:t>
            </w:r>
          </w:p>
          <w:p w14:paraId="4DC6A083">
            <w:pPr>
              <w:wordWrap w:val="0"/>
              <w:autoSpaceDE w:val="0"/>
              <w:autoSpaceDN w:val="0"/>
              <w:adjustRightInd w:val="0"/>
              <w:rPr>
                <w:rFonts w:hint="eastAsia" w:ascii="宋体" w:hAnsi="宋体" w:cs="宋体"/>
                <w:color w:val="auto"/>
                <w:highlight w:val="none"/>
              </w:rPr>
            </w:pPr>
            <w:r>
              <w:rPr>
                <w:rFonts w:hint="eastAsia"/>
                <w:color w:val="auto"/>
                <w:sz w:val="24"/>
                <w:szCs w:val="24"/>
                <w:highlight w:val="none"/>
              </w:rPr>
              <w:t>2、磋商小组认为供应商的报价明显低于其他通过符合性审查供应商的报价</w:t>
            </w:r>
            <w:r>
              <w:rPr>
                <w:rFonts w:hint="eastAsia"/>
                <w:color w:val="auto"/>
                <w:sz w:val="24"/>
                <w:szCs w:val="24"/>
                <w:highlight w:val="none"/>
                <w:lang w:val="en-US" w:eastAsia="zh-CN"/>
              </w:rPr>
              <w:t xml:space="preserve"> </w:t>
            </w:r>
            <w:r>
              <w:rPr>
                <w:rFonts w:hint="eastAsia"/>
                <w:color w:val="auto"/>
                <w:sz w:val="24"/>
                <w:szCs w:val="24"/>
                <w:highlight w:val="none"/>
              </w:rPr>
              <w:t>，有可能影响产品质量或者不能诚信履约的，应当要求其在评标现场合理的时间内提供书面说明，必要时提交相关证明材料；供应商不能证明其报价合理性的，磋商小组应当将其作为无效报价处理。</w:t>
            </w:r>
          </w:p>
        </w:tc>
      </w:tr>
      <w:tr w14:paraId="03CCA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2" w:hRule="atLeast"/>
          <w:jc w:val="center"/>
        </w:trPr>
        <w:tc>
          <w:tcPr>
            <w:tcW w:w="1033" w:type="dxa"/>
            <w:vMerge w:val="restart"/>
            <w:tcBorders>
              <w:top w:val="nil"/>
              <w:left w:val="single" w:color="auto" w:sz="4" w:space="0"/>
              <w:right w:val="single" w:color="auto" w:sz="4" w:space="0"/>
            </w:tcBorders>
            <w:noWrap w:val="0"/>
            <w:vAlign w:val="center"/>
          </w:tcPr>
          <w:p w14:paraId="7824E864">
            <w:pPr>
              <w:wordWrap w:val="0"/>
              <w:adjustRightInd w:val="0"/>
              <w:textAlignment w:val="baseline"/>
              <w:rPr>
                <w:rFonts w:ascii="宋体" w:hAnsi="宋体" w:cs="宋体"/>
                <w:color w:val="auto"/>
                <w:highlight w:val="none"/>
              </w:rPr>
            </w:pPr>
            <w:r>
              <w:rPr>
                <w:rFonts w:hint="eastAsia" w:ascii="宋体" w:hAnsi="宋体" w:cs="宋体"/>
                <w:color w:val="auto"/>
                <w:highlight w:val="none"/>
              </w:rPr>
              <w:t>2.2.2</w:t>
            </w:r>
          </w:p>
        </w:tc>
        <w:tc>
          <w:tcPr>
            <w:tcW w:w="1134" w:type="dxa"/>
            <w:vMerge w:val="restart"/>
            <w:tcBorders>
              <w:top w:val="nil"/>
              <w:left w:val="nil"/>
              <w:right w:val="single" w:color="auto" w:sz="4" w:space="0"/>
            </w:tcBorders>
            <w:noWrap w:val="0"/>
            <w:vAlign w:val="center"/>
          </w:tcPr>
          <w:p w14:paraId="51E7B6B4">
            <w:pPr>
              <w:wordWrap w:val="0"/>
              <w:adjustRightInd w:val="0"/>
              <w:jc w:val="center"/>
              <w:textAlignment w:val="baseline"/>
              <w:rPr>
                <w:rFonts w:hint="eastAsia" w:ascii="宋体" w:hAnsi="宋体" w:cs="宋体"/>
                <w:color w:val="auto"/>
                <w:highlight w:val="none"/>
              </w:rPr>
            </w:pPr>
            <w:r>
              <w:rPr>
                <w:rFonts w:hint="eastAsia" w:ascii="宋体" w:hAnsi="宋体" w:cs="宋体"/>
                <w:color w:val="auto"/>
                <w:highlight w:val="none"/>
              </w:rPr>
              <w:t>技术标</w:t>
            </w:r>
          </w:p>
          <w:p w14:paraId="40E55D14">
            <w:pPr>
              <w:wordWrap w:val="0"/>
              <w:adjustRightInd w:val="0"/>
              <w:textAlignment w:val="baseline"/>
              <w:rPr>
                <w:rFonts w:hint="eastAsia" w:ascii="宋体" w:hAnsi="宋体" w:cs="宋体"/>
                <w:color w:val="auto"/>
                <w:highlight w:val="none"/>
              </w:rPr>
            </w:pPr>
            <w:r>
              <w:rPr>
                <w:rFonts w:hint="eastAsia" w:ascii="宋体" w:hAnsi="宋体" w:cs="宋体"/>
                <w:color w:val="auto"/>
                <w:highlight w:val="none"/>
              </w:rPr>
              <w:t>（</w:t>
            </w:r>
            <w:r>
              <w:rPr>
                <w:rFonts w:hint="eastAsia" w:ascii="宋体" w:hAnsi="宋体" w:cs="宋体"/>
                <w:color w:val="auto"/>
                <w:highlight w:val="none"/>
                <w:lang w:val="en-US" w:eastAsia="zh-CN"/>
              </w:rPr>
              <w:t>48</w:t>
            </w:r>
            <w:r>
              <w:rPr>
                <w:rFonts w:hint="eastAsia" w:ascii="宋体" w:hAnsi="宋体" w:cs="宋体"/>
                <w:color w:val="auto"/>
                <w:highlight w:val="none"/>
              </w:rPr>
              <w:t>分）</w:t>
            </w:r>
          </w:p>
        </w:tc>
        <w:tc>
          <w:tcPr>
            <w:tcW w:w="1134" w:type="dxa"/>
            <w:tcBorders>
              <w:top w:val="single" w:color="auto" w:sz="4" w:space="0"/>
              <w:left w:val="nil"/>
              <w:bottom w:val="single" w:color="auto" w:sz="4" w:space="0"/>
              <w:right w:val="single" w:color="auto" w:sz="4" w:space="0"/>
            </w:tcBorders>
            <w:noWrap w:val="0"/>
            <w:vAlign w:val="center"/>
          </w:tcPr>
          <w:p w14:paraId="263953C4">
            <w:pPr>
              <w:wordWrap w:val="0"/>
              <w:autoSpaceDE w:val="0"/>
              <w:autoSpaceDN w:val="0"/>
              <w:adjustRightInd w:val="0"/>
              <w:rPr>
                <w:rFonts w:hint="eastAsia" w:ascii="宋体" w:hAnsi="宋体" w:cs="宋体"/>
                <w:color w:val="auto"/>
                <w:highlight w:val="none"/>
              </w:rPr>
            </w:pPr>
            <w:r>
              <w:rPr>
                <w:rFonts w:hint="eastAsia" w:ascii="宋体" w:hAnsi="宋体" w:cs="宋体"/>
                <w:color w:val="auto"/>
                <w:highlight w:val="none"/>
              </w:rPr>
              <w:t>产品功能和技术指标（</w:t>
            </w:r>
            <w:r>
              <w:rPr>
                <w:rFonts w:hint="eastAsia" w:ascii="宋体" w:hAnsi="宋体" w:cs="宋体"/>
                <w:color w:val="auto"/>
                <w:highlight w:val="none"/>
                <w:lang w:val="en-US" w:eastAsia="zh-CN"/>
              </w:rPr>
              <w:t>20</w:t>
            </w:r>
            <w:r>
              <w:rPr>
                <w:rFonts w:hint="eastAsia" w:ascii="宋体" w:hAnsi="宋体" w:cs="宋体"/>
                <w:color w:val="auto"/>
                <w:highlight w:val="none"/>
              </w:rPr>
              <w:t>分）</w:t>
            </w:r>
          </w:p>
        </w:tc>
        <w:tc>
          <w:tcPr>
            <w:tcW w:w="6219" w:type="dxa"/>
            <w:tcBorders>
              <w:top w:val="single" w:color="auto" w:sz="4" w:space="0"/>
              <w:left w:val="nil"/>
              <w:bottom w:val="single" w:color="auto" w:sz="4" w:space="0"/>
              <w:right w:val="single" w:color="auto" w:sz="4" w:space="0"/>
            </w:tcBorders>
            <w:noWrap w:val="0"/>
            <w:vAlign w:val="center"/>
          </w:tcPr>
          <w:p w14:paraId="4107FD88">
            <w:pPr>
              <w:wordWrap w:val="0"/>
              <w:autoSpaceDE w:val="0"/>
              <w:autoSpaceDN w:val="0"/>
              <w:adjustRightInd w:val="0"/>
              <w:rPr>
                <w:rFonts w:hint="eastAsia" w:ascii="宋体" w:hAnsi="宋体" w:cs="宋体"/>
                <w:color w:val="auto"/>
                <w:highlight w:val="none"/>
              </w:rPr>
            </w:pPr>
            <w:r>
              <w:rPr>
                <w:rFonts w:hint="eastAsia" w:ascii="宋体" w:hAnsi="宋体" w:cs="宋体"/>
                <w:color w:val="auto"/>
                <w:highlight w:val="none"/>
                <w:lang w:val="en-US" w:eastAsia="zh-CN"/>
              </w:rPr>
              <w:t xml:space="preserve">根据响应文件和相关证明材料对磋商文件的响应情况，对照判断是否满足磋商文件的要求； </w:t>
            </w:r>
          </w:p>
          <w:p w14:paraId="22DD83FB">
            <w:pPr>
              <w:wordWrap w:val="0"/>
              <w:autoSpaceDE w:val="0"/>
              <w:autoSpaceDN w:val="0"/>
              <w:adjustRightInd w:val="0"/>
              <w:rPr>
                <w:rFonts w:hint="eastAsia" w:ascii="宋体" w:hAnsi="宋体" w:cs="宋体"/>
                <w:color w:val="auto"/>
                <w:highlight w:val="none"/>
              </w:rPr>
            </w:pPr>
            <w:r>
              <w:rPr>
                <w:rFonts w:hint="eastAsia" w:ascii="宋体" w:hAnsi="宋体" w:cs="宋体"/>
                <w:color w:val="auto"/>
                <w:highlight w:val="none"/>
                <w:lang w:val="en-US" w:eastAsia="zh-CN"/>
              </w:rPr>
              <w:t xml:space="preserve">1）全部满足磋商文件技术参数与要求的得 20 分。 </w:t>
            </w:r>
          </w:p>
          <w:p w14:paraId="1DE9A05C">
            <w:pPr>
              <w:wordWrap w:val="0"/>
              <w:autoSpaceDE w:val="0"/>
              <w:autoSpaceDN w:val="0"/>
              <w:adjustRightInd w:val="0"/>
              <w:rPr>
                <w:rFonts w:hint="eastAsia" w:ascii="宋体" w:hAnsi="宋体" w:cs="宋体"/>
                <w:color w:val="auto"/>
                <w:highlight w:val="none"/>
              </w:rPr>
            </w:pPr>
            <w:r>
              <w:rPr>
                <w:rFonts w:hint="eastAsia" w:ascii="宋体" w:hAnsi="宋体" w:cs="宋体"/>
                <w:color w:val="auto"/>
                <w:highlight w:val="none"/>
                <w:lang w:val="en-US" w:eastAsia="zh-CN"/>
              </w:rPr>
              <w:t xml:space="preserve">2)不带★项为普通技术参数，有一项负偏离在 20 分基础上扣1分，扣完为止。 </w:t>
            </w:r>
          </w:p>
          <w:p w14:paraId="3420DC52">
            <w:pPr>
              <w:wordWrap w:val="0"/>
              <w:autoSpaceDE w:val="0"/>
              <w:autoSpaceDN w:val="0"/>
              <w:adjustRightInd w:val="0"/>
              <w:rPr>
                <w:rFonts w:hint="eastAsia" w:ascii="宋体" w:hAnsi="宋体" w:cs="宋体"/>
                <w:color w:val="auto"/>
                <w:highlight w:val="none"/>
              </w:rPr>
            </w:pPr>
            <w:r>
              <w:rPr>
                <w:rFonts w:hint="eastAsia" w:ascii="宋体" w:hAnsi="宋体" w:cs="宋体"/>
                <w:color w:val="auto"/>
                <w:highlight w:val="none"/>
                <w:lang w:val="en-US" w:eastAsia="zh-CN"/>
              </w:rPr>
              <w:t xml:space="preserve">3)带★项为主要技术参数，有一项负偏离在 20 分基础上扣2分，扣完为止。 </w:t>
            </w:r>
          </w:p>
          <w:p w14:paraId="50D0252D">
            <w:pPr>
              <w:wordWrap w:val="0"/>
              <w:autoSpaceDE w:val="0"/>
              <w:autoSpaceDN w:val="0"/>
              <w:adjustRightInd w:val="0"/>
              <w:rPr>
                <w:rFonts w:hint="eastAsia" w:ascii="宋体" w:hAnsi="宋体" w:cs="宋体"/>
                <w:color w:val="auto"/>
                <w:highlight w:val="none"/>
              </w:rPr>
            </w:pPr>
            <w:r>
              <w:rPr>
                <w:rFonts w:hint="eastAsia" w:ascii="宋体" w:hAnsi="宋体" w:cs="宋体"/>
                <w:color w:val="auto"/>
                <w:highlight w:val="none"/>
                <w:lang w:val="en-US" w:eastAsia="zh-CN"/>
              </w:rPr>
              <w:t>注：加“★”项功能需提供软件使用界面截图加盖公章或相关证明材料原件扫描件加盖公章。</w:t>
            </w:r>
          </w:p>
        </w:tc>
      </w:tr>
      <w:tr w14:paraId="3A3CF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33" w:type="dxa"/>
            <w:vMerge w:val="continue"/>
            <w:tcBorders>
              <w:left w:val="single" w:color="auto" w:sz="4" w:space="0"/>
              <w:right w:val="single" w:color="auto" w:sz="4" w:space="0"/>
            </w:tcBorders>
            <w:noWrap w:val="0"/>
            <w:vAlign w:val="center"/>
          </w:tcPr>
          <w:p w14:paraId="79499283">
            <w:pPr>
              <w:wordWrap w:val="0"/>
              <w:adjustRightInd w:val="0"/>
              <w:textAlignment w:val="baseline"/>
              <w:rPr>
                <w:rFonts w:hint="eastAsia" w:ascii="宋体" w:hAnsi="宋体" w:cs="宋体"/>
                <w:color w:val="auto"/>
                <w:highlight w:val="none"/>
              </w:rPr>
            </w:pPr>
          </w:p>
        </w:tc>
        <w:tc>
          <w:tcPr>
            <w:tcW w:w="1134" w:type="dxa"/>
            <w:vMerge w:val="continue"/>
            <w:tcBorders>
              <w:left w:val="nil"/>
              <w:right w:val="single" w:color="auto" w:sz="4" w:space="0"/>
            </w:tcBorders>
            <w:noWrap w:val="0"/>
            <w:vAlign w:val="center"/>
          </w:tcPr>
          <w:p w14:paraId="296EF27F">
            <w:pPr>
              <w:wordWrap w:val="0"/>
              <w:adjustRightInd w:val="0"/>
              <w:textAlignment w:val="baseline"/>
              <w:rPr>
                <w:rFonts w:hint="eastAsia" w:ascii="宋体" w:hAnsi="宋体" w:cs="宋体"/>
                <w:color w:val="auto"/>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40105238">
            <w:pPr>
              <w:spacing w:line="360" w:lineRule="auto"/>
              <w:jc w:val="center"/>
              <w:rPr>
                <w:rFonts w:hint="eastAsia" w:ascii="宋体" w:hAnsi="宋体" w:cs="宋体"/>
                <w:color w:val="auto"/>
                <w:highlight w:val="none"/>
              </w:rPr>
            </w:pPr>
            <w:r>
              <w:rPr>
                <w:rFonts w:hint="eastAsia" w:ascii="宋体" w:hAnsi="宋体" w:cs="宋体"/>
                <w:color w:val="auto"/>
                <w:highlight w:val="none"/>
                <w:lang w:val="en-US" w:eastAsia="zh-CN"/>
              </w:rPr>
              <w:t xml:space="preserve">技术方案 </w:t>
            </w:r>
          </w:p>
          <w:p w14:paraId="56ED13E6">
            <w:pPr>
              <w:spacing w:line="360" w:lineRule="auto"/>
              <w:jc w:val="center"/>
              <w:rPr>
                <w:rFonts w:hint="eastAsia" w:ascii="宋体" w:hAnsi="宋体" w:cs="宋体"/>
                <w:color w:val="auto"/>
                <w:highlight w:val="none"/>
              </w:rPr>
            </w:pPr>
            <w:r>
              <w:rPr>
                <w:rFonts w:hint="eastAsia" w:ascii="宋体" w:hAnsi="宋体" w:cs="宋体"/>
                <w:color w:val="auto"/>
                <w:highlight w:val="none"/>
                <w:lang w:val="en-US" w:eastAsia="zh-CN"/>
              </w:rPr>
              <w:t>（7分）</w:t>
            </w:r>
          </w:p>
          <w:p w14:paraId="62AE859B">
            <w:pPr>
              <w:spacing w:line="360" w:lineRule="auto"/>
              <w:jc w:val="center"/>
              <w:rPr>
                <w:rFonts w:hint="eastAsia" w:ascii="宋体" w:hAnsi="宋体" w:cs="宋体"/>
                <w:color w:val="auto"/>
                <w:highlight w:val="none"/>
              </w:rPr>
            </w:pPr>
          </w:p>
        </w:tc>
        <w:tc>
          <w:tcPr>
            <w:tcW w:w="6219" w:type="dxa"/>
            <w:tcBorders>
              <w:top w:val="single" w:color="auto" w:sz="4" w:space="0"/>
              <w:left w:val="nil"/>
              <w:bottom w:val="single" w:color="auto" w:sz="4" w:space="0"/>
              <w:right w:val="single" w:color="auto" w:sz="4" w:space="0"/>
            </w:tcBorders>
            <w:noWrap w:val="0"/>
            <w:vAlign w:val="center"/>
          </w:tcPr>
          <w:p w14:paraId="586EA828">
            <w:pPr>
              <w:wordWrap w:val="0"/>
              <w:autoSpaceDE w:val="0"/>
              <w:autoSpaceDN w:val="0"/>
              <w:adjustRightInd w:val="0"/>
              <w:rPr>
                <w:rFonts w:hint="eastAsia" w:ascii="宋体" w:hAnsi="宋体" w:cs="宋体"/>
                <w:color w:val="auto"/>
                <w:highlight w:val="none"/>
                <w:lang w:val="en-US" w:eastAsia="zh-CN"/>
              </w:rPr>
            </w:pPr>
            <w:r>
              <w:rPr>
                <w:rFonts w:hint="eastAsia" w:ascii="宋体" w:hAnsi="宋体" w:cs="宋体"/>
                <w:color w:val="auto"/>
                <w:highlight w:val="none"/>
                <w:lang w:val="en-US" w:eastAsia="zh-CN"/>
              </w:rPr>
              <w:t>技术方案完整涵盖招标技术指标全部功能、并具有创新性、技术先进性、具有技术亮点等。</w:t>
            </w:r>
          </w:p>
          <w:p w14:paraId="58CC7309">
            <w:pPr>
              <w:spacing w:line="360" w:lineRule="auto"/>
              <w:jc w:val="left"/>
              <w:rPr>
                <w:rFonts w:hint="eastAsia" w:ascii="宋体" w:hAnsi="宋体" w:cs="宋体"/>
                <w:color w:val="auto"/>
                <w:highlight w:val="none"/>
                <w:lang w:val="en-US" w:eastAsia="zh-CN"/>
              </w:rPr>
            </w:pPr>
            <w:r>
              <w:rPr>
                <w:rFonts w:hint="eastAsia" w:ascii="宋体" w:hAnsi="宋体" w:cs="宋体"/>
                <w:color w:val="auto"/>
                <w:highlight w:val="none"/>
                <w:lang w:val="en-US" w:eastAsia="zh-CN"/>
              </w:rPr>
              <w:t>1、供应商提供方案合理完善、需求理解全面、分析透彻，综合评定科学、完善，优秀得7分，良好得5分，一般得3分，含糊、内容缺少得1分。</w:t>
            </w:r>
          </w:p>
        </w:tc>
      </w:tr>
      <w:tr w14:paraId="4FD72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33" w:type="dxa"/>
            <w:vMerge w:val="continue"/>
            <w:tcBorders>
              <w:left w:val="single" w:color="auto" w:sz="4" w:space="0"/>
              <w:right w:val="single" w:color="auto" w:sz="4" w:space="0"/>
            </w:tcBorders>
            <w:noWrap w:val="0"/>
            <w:vAlign w:val="center"/>
          </w:tcPr>
          <w:p w14:paraId="48C44490">
            <w:pPr>
              <w:wordWrap w:val="0"/>
              <w:adjustRightInd w:val="0"/>
              <w:textAlignment w:val="baseline"/>
              <w:rPr>
                <w:rFonts w:hint="eastAsia" w:ascii="宋体" w:hAnsi="宋体" w:cs="宋体"/>
                <w:color w:val="auto"/>
                <w:highlight w:val="none"/>
              </w:rPr>
            </w:pPr>
          </w:p>
        </w:tc>
        <w:tc>
          <w:tcPr>
            <w:tcW w:w="1134" w:type="dxa"/>
            <w:vMerge w:val="continue"/>
            <w:tcBorders>
              <w:left w:val="nil"/>
              <w:right w:val="single" w:color="auto" w:sz="4" w:space="0"/>
            </w:tcBorders>
            <w:noWrap w:val="0"/>
            <w:vAlign w:val="center"/>
          </w:tcPr>
          <w:p w14:paraId="1B580E07">
            <w:pPr>
              <w:wordWrap w:val="0"/>
              <w:adjustRightInd w:val="0"/>
              <w:textAlignment w:val="baseline"/>
              <w:rPr>
                <w:rFonts w:hint="eastAsia" w:ascii="宋体" w:hAnsi="宋体" w:cs="宋体"/>
                <w:color w:val="auto"/>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29B091DE">
            <w:pPr>
              <w:wordWrap w:val="0"/>
              <w:autoSpaceDE w:val="0"/>
              <w:autoSpaceDN w:val="0"/>
              <w:adjustRightInd w:val="0"/>
              <w:rPr>
                <w:rFonts w:hint="eastAsia" w:ascii="宋体" w:hAnsi="宋体" w:cs="宋体"/>
                <w:color w:val="auto"/>
                <w:highlight w:val="none"/>
                <w:lang w:val="en-US" w:eastAsia="zh-CN"/>
              </w:rPr>
            </w:pPr>
            <w:r>
              <w:rPr>
                <w:rFonts w:hint="eastAsia" w:ascii="宋体" w:hAnsi="宋体" w:cs="宋体"/>
                <w:color w:val="auto"/>
                <w:highlight w:val="none"/>
                <w:lang w:val="en-US" w:eastAsia="zh-CN"/>
              </w:rPr>
              <w:t>项目背景及需求分析</w:t>
            </w:r>
          </w:p>
          <w:p w14:paraId="7447C26B">
            <w:pPr>
              <w:wordWrap w:val="0"/>
              <w:autoSpaceDE w:val="0"/>
              <w:autoSpaceDN w:val="0"/>
              <w:adjustRightInd w:val="0"/>
              <w:rPr>
                <w:rFonts w:hint="eastAsia" w:ascii="宋体" w:hAnsi="宋体" w:cs="宋体"/>
                <w:color w:val="auto"/>
                <w:highlight w:val="none"/>
              </w:rPr>
            </w:pPr>
            <w:r>
              <w:rPr>
                <w:rFonts w:hint="eastAsia" w:ascii="宋体" w:hAnsi="宋体" w:cs="宋体"/>
                <w:color w:val="auto"/>
                <w:highlight w:val="none"/>
                <w:lang w:val="en-US" w:eastAsia="zh-CN"/>
              </w:rPr>
              <w:t>（7分）</w:t>
            </w:r>
          </w:p>
        </w:tc>
        <w:tc>
          <w:tcPr>
            <w:tcW w:w="6219" w:type="dxa"/>
            <w:tcBorders>
              <w:top w:val="single" w:color="auto" w:sz="4" w:space="0"/>
              <w:left w:val="nil"/>
              <w:bottom w:val="single" w:color="auto" w:sz="4" w:space="0"/>
              <w:right w:val="single" w:color="auto" w:sz="4" w:space="0"/>
            </w:tcBorders>
            <w:noWrap w:val="0"/>
            <w:vAlign w:val="center"/>
          </w:tcPr>
          <w:p w14:paraId="5E5981CE">
            <w:pPr>
              <w:wordWrap w:val="0"/>
              <w:autoSpaceDE w:val="0"/>
              <w:autoSpaceDN w:val="0"/>
              <w:adjustRightInd w:val="0"/>
              <w:rPr>
                <w:rFonts w:hint="eastAsia" w:ascii="宋体" w:hAnsi="宋体" w:cs="宋体"/>
                <w:color w:val="auto"/>
                <w:highlight w:val="none"/>
                <w:lang w:val="en-US" w:eastAsia="zh-CN"/>
              </w:rPr>
            </w:pPr>
            <w:r>
              <w:rPr>
                <w:rFonts w:hint="eastAsia" w:ascii="宋体" w:hAnsi="宋体" w:cs="宋体"/>
                <w:color w:val="auto"/>
                <w:highlight w:val="none"/>
                <w:lang w:val="en-US" w:eastAsia="zh-CN"/>
              </w:rPr>
              <w:t>供应商能准确理解本次项目需求，选择满足需求的产品，制定总体建设方案，建设思路清晰，内容包括产品功能先进性、应用的方便性、对需求的满足程度、兼容性、可靠性、安全性、实用性等。</w:t>
            </w:r>
          </w:p>
          <w:p w14:paraId="7E110F12">
            <w:pPr>
              <w:wordWrap w:val="0"/>
              <w:autoSpaceDE w:val="0"/>
              <w:autoSpaceDN w:val="0"/>
              <w:adjustRightInd w:val="0"/>
              <w:rPr>
                <w:rFonts w:hint="eastAsia" w:ascii="宋体" w:hAnsi="宋体" w:cs="宋体"/>
                <w:color w:val="auto"/>
                <w:highlight w:val="none"/>
                <w:lang w:val="en-US" w:eastAsia="zh-CN"/>
              </w:rPr>
            </w:pPr>
            <w:r>
              <w:rPr>
                <w:rFonts w:hint="eastAsia" w:ascii="宋体" w:hAnsi="宋体" w:cs="宋体"/>
                <w:color w:val="auto"/>
                <w:highlight w:val="none"/>
                <w:lang w:val="en-US" w:eastAsia="zh-CN"/>
              </w:rPr>
              <w:t>1、供应商提供方案合理完善、需求理解全面、分析透彻，综合评定科学、完善，优秀得7分，良好得5分，一般得3分，含糊、内容缺少得1分。</w:t>
            </w:r>
          </w:p>
        </w:tc>
      </w:tr>
      <w:tr w14:paraId="69E26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33" w:type="dxa"/>
            <w:vMerge w:val="continue"/>
            <w:tcBorders>
              <w:left w:val="single" w:color="auto" w:sz="4" w:space="0"/>
              <w:right w:val="single" w:color="auto" w:sz="4" w:space="0"/>
            </w:tcBorders>
            <w:noWrap w:val="0"/>
            <w:vAlign w:val="center"/>
          </w:tcPr>
          <w:p w14:paraId="462CF624">
            <w:pPr>
              <w:wordWrap w:val="0"/>
              <w:adjustRightInd w:val="0"/>
              <w:textAlignment w:val="baseline"/>
              <w:rPr>
                <w:rFonts w:hint="eastAsia" w:ascii="宋体" w:hAnsi="宋体" w:cs="宋体"/>
                <w:color w:val="auto"/>
                <w:highlight w:val="none"/>
              </w:rPr>
            </w:pPr>
          </w:p>
        </w:tc>
        <w:tc>
          <w:tcPr>
            <w:tcW w:w="1134" w:type="dxa"/>
            <w:vMerge w:val="continue"/>
            <w:tcBorders>
              <w:left w:val="nil"/>
              <w:right w:val="single" w:color="auto" w:sz="4" w:space="0"/>
            </w:tcBorders>
            <w:noWrap w:val="0"/>
            <w:vAlign w:val="center"/>
          </w:tcPr>
          <w:p w14:paraId="28600AE0">
            <w:pPr>
              <w:wordWrap w:val="0"/>
              <w:adjustRightInd w:val="0"/>
              <w:textAlignment w:val="baseline"/>
              <w:rPr>
                <w:rFonts w:hint="eastAsia" w:ascii="宋体" w:hAnsi="宋体" w:cs="宋体"/>
                <w:color w:val="auto"/>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0097B281">
            <w:pPr>
              <w:wordWrap w:val="0"/>
              <w:adjustRightInd w:val="0"/>
              <w:jc w:val="center"/>
              <w:textAlignment w:val="baseline"/>
              <w:rPr>
                <w:rFonts w:hint="eastAsia" w:ascii="宋体" w:hAnsi="宋体" w:cs="宋体"/>
                <w:color w:val="auto"/>
                <w:highlight w:val="none"/>
              </w:rPr>
            </w:pPr>
            <w:r>
              <w:rPr>
                <w:rFonts w:hint="eastAsia" w:ascii="宋体" w:hAnsi="宋体" w:cs="宋体"/>
                <w:color w:val="auto"/>
                <w:kern w:val="0"/>
                <w:sz w:val="24"/>
                <w:highlight w:val="none"/>
              </w:rPr>
              <w:t>培训方案和计划</w:t>
            </w:r>
            <w:r>
              <w:rPr>
                <w:rFonts w:hint="eastAsia" w:ascii="宋体" w:hAnsi="宋体" w:cs="宋体"/>
                <w:color w:val="auto"/>
                <w:highlight w:val="none"/>
                <w:lang w:val="en-US" w:eastAsia="zh-CN"/>
              </w:rPr>
              <w:t>（7分）</w:t>
            </w:r>
          </w:p>
        </w:tc>
        <w:tc>
          <w:tcPr>
            <w:tcW w:w="6219" w:type="dxa"/>
            <w:tcBorders>
              <w:top w:val="single" w:color="auto" w:sz="4" w:space="0"/>
              <w:left w:val="nil"/>
              <w:bottom w:val="single" w:color="auto" w:sz="4" w:space="0"/>
              <w:right w:val="single" w:color="auto" w:sz="4" w:space="0"/>
            </w:tcBorders>
            <w:noWrap w:val="0"/>
            <w:vAlign w:val="center"/>
          </w:tcPr>
          <w:p w14:paraId="5526005C">
            <w:pPr>
              <w:wordWrap w:val="0"/>
              <w:autoSpaceDE w:val="0"/>
              <w:autoSpaceDN w:val="0"/>
              <w:adjustRightInd w:val="0"/>
              <w:rPr>
                <w:rFonts w:hint="eastAsia" w:ascii="宋体" w:hAnsi="宋体" w:cs="宋体"/>
                <w:color w:val="auto"/>
                <w:highlight w:val="none"/>
                <w:lang w:val="en-US" w:eastAsia="zh-CN"/>
              </w:rPr>
            </w:pPr>
            <w:r>
              <w:rPr>
                <w:rFonts w:hint="eastAsia" w:ascii="宋体" w:hAnsi="宋体" w:cs="宋体"/>
                <w:color w:val="auto"/>
                <w:highlight w:val="none"/>
                <w:lang w:val="en-US" w:eastAsia="zh-CN"/>
              </w:rPr>
              <w:t>供应商提供详细而完整的系统培训方案，方案有计划性、可行性高、安排合理。</w:t>
            </w:r>
          </w:p>
          <w:p w14:paraId="40C353E2">
            <w:pPr>
              <w:wordWrap w:val="0"/>
              <w:autoSpaceDE w:val="0"/>
              <w:autoSpaceDN w:val="0"/>
              <w:adjustRightInd w:val="0"/>
              <w:rPr>
                <w:rFonts w:hint="eastAsia" w:ascii="宋体" w:hAnsi="宋体" w:cs="宋体"/>
                <w:color w:val="auto"/>
                <w:szCs w:val="21"/>
                <w:highlight w:val="none"/>
              </w:rPr>
            </w:pPr>
            <w:r>
              <w:rPr>
                <w:rFonts w:hint="eastAsia" w:ascii="宋体" w:hAnsi="宋体" w:cs="宋体"/>
                <w:color w:val="auto"/>
                <w:highlight w:val="none"/>
                <w:lang w:val="en-US" w:eastAsia="zh-CN"/>
              </w:rPr>
              <w:t>1、供应商提供方案合理完善、需求理解全面、分析透彻，综合评定科学、完善，优秀得7分，良好得5分，一般得3分，含糊、内容缺少得1分。</w:t>
            </w:r>
          </w:p>
        </w:tc>
      </w:tr>
      <w:tr w14:paraId="39BBA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2" w:hRule="atLeast"/>
          <w:jc w:val="center"/>
        </w:trPr>
        <w:tc>
          <w:tcPr>
            <w:tcW w:w="1033" w:type="dxa"/>
            <w:vMerge w:val="continue"/>
            <w:tcBorders>
              <w:left w:val="single" w:color="auto" w:sz="4" w:space="0"/>
              <w:right w:val="single" w:color="auto" w:sz="4" w:space="0"/>
            </w:tcBorders>
            <w:noWrap w:val="0"/>
            <w:vAlign w:val="center"/>
          </w:tcPr>
          <w:p w14:paraId="282CDE43">
            <w:pPr>
              <w:wordWrap w:val="0"/>
              <w:adjustRightInd w:val="0"/>
              <w:textAlignment w:val="baseline"/>
              <w:rPr>
                <w:rFonts w:hint="eastAsia" w:ascii="宋体" w:hAnsi="宋体" w:cs="宋体"/>
                <w:color w:val="auto"/>
                <w:highlight w:val="none"/>
              </w:rPr>
            </w:pPr>
          </w:p>
        </w:tc>
        <w:tc>
          <w:tcPr>
            <w:tcW w:w="1134" w:type="dxa"/>
            <w:vMerge w:val="continue"/>
            <w:tcBorders>
              <w:left w:val="nil"/>
              <w:right w:val="single" w:color="auto" w:sz="4" w:space="0"/>
            </w:tcBorders>
            <w:noWrap w:val="0"/>
            <w:vAlign w:val="center"/>
          </w:tcPr>
          <w:p w14:paraId="509D7692">
            <w:pPr>
              <w:wordWrap w:val="0"/>
              <w:adjustRightInd w:val="0"/>
              <w:jc w:val="center"/>
              <w:textAlignment w:val="baseline"/>
              <w:rPr>
                <w:rFonts w:hint="eastAsia" w:ascii="宋体" w:hAnsi="宋体" w:cs="宋体"/>
                <w:color w:val="auto"/>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4FF602C0">
            <w:pPr>
              <w:wordWrap w:val="0"/>
              <w:adjustRightInd w:val="0"/>
              <w:textAlignment w:val="baseline"/>
              <w:rPr>
                <w:rFonts w:hint="eastAsia" w:ascii="宋体" w:hAnsi="宋体" w:cs="宋体"/>
                <w:color w:val="auto"/>
                <w:highlight w:val="none"/>
              </w:rPr>
            </w:pPr>
            <w:r>
              <w:rPr>
                <w:rFonts w:hint="eastAsia" w:ascii="宋体" w:hAnsi="宋体" w:cs="宋体"/>
                <w:color w:val="auto"/>
                <w:kern w:val="0"/>
                <w:sz w:val="24"/>
                <w:highlight w:val="none"/>
              </w:rPr>
              <w:t>项目管理及实施方案</w:t>
            </w:r>
            <w:r>
              <w:rPr>
                <w:rFonts w:hint="eastAsia" w:ascii="宋体" w:hAnsi="宋体" w:cs="宋体"/>
                <w:color w:val="auto"/>
                <w:highlight w:val="none"/>
                <w:lang w:val="en-US" w:eastAsia="zh-CN"/>
              </w:rPr>
              <w:t>（7分）</w:t>
            </w:r>
          </w:p>
        </w:tc>
        <w:tc>
          <w:tcPr>
            <w:tcW w:w="6219" w:type="dxa"/>
            <w:tcBorders>
              <w:top w:val="single" w:color="auto" w:sz="4" w:space="0"/>
              <w:left w:val="nil"/>
              <w:bottom w:val="single" w:color="auto" w:sz="4" w:space="0"/>
              <w:right w:val="single" w:color="auto" w:sz="4" w:space="0"/>
            </w:tcBorders>
            <w:noWrap w:val="0"/>
            <w:vAlign w:val="center"/>
          </w:tcPr>
          <w:p w14:paraId="07D61D26">
            <w:pPr>
              <w:wordWrap w:val="0"/>
              <w:autoSpaceDE w:val="0"/>
              <w:autoSpaceDN w:val="0"/>
              <w:adjustRightInd w:val="0"/>
              <w:rPr>
                <w:rFonts w:hint="eastAsia" w:ascii="宋体" w:hAnsi="宋体" w:cs="宋体"/>
                <w:color w:val="auto"/>
                <w:highlight w:val="none"/>
                <w:lang w:val="en-US" w:eastAsia="zh-CN"/>
              </w:rPr>
            </w:pPr>
            <w:r>
              <w:rPr>
                <w:rFonts w:hint="eastAsia" w:ascii="宋体" w:hAnsi="宋体" w:cs="宋体"/>
                <w:color w:val="auto"/>
                <w:highlight w:val="none"/>
                <w:lang w:val="en-US" w:eastAsia="zh-CN"/>
              </w:rPr>
              <w:t>供应商提供完善的项目实施方案，根据项目竞争性磋商文件对内部项目管理软件、计划与进度管理、质量管理控制方案的科学性、完整性。</w:t>
            </w:r>
          </w:p>
          <w:p w14:paraId="6FB6A280">
            <w:pPr>
              <w:wordWrap w:val="0"/>
              <w:adjustRightInd w:val="0"/>
              <w:textAlignment w:val="baseline"/>
              <w:rPr>
                <w:rFonts w:hint="eastAsia" w:ascii="宋体" w:hAnsi="宋体" w:cs="宋体"/>
                <w:color w:val="auto"/>
                <w:szCs w:val="21"/>
                <w:highlight w:val="none"/>
              </w:rPr>
            </w:pPr>
            <w:r>
              <w:rPr>
                <w:rFonts w:hint="eastAsia" w:ascii="宋体" w:hAnsi="宋体" w:cs="宋体"/>
                <w:color w:val="auto"/>
                <w:highlight w:val="none"/>
                <w:lang w:val="en-US" w:eastAsia="zh-CN"/>
              </w:rPr>
              <w:t>供应商提供方案合理完善、需求理解全面、分析透彻，综合评定科学、完善，优秀得7分，良好得5分，一般得3分，含糊、内容缺少得1分。</w:t>
            </w:r>
          </w:p>
        </w:tc>
      </w:tr>
      <w:tr w14:paraId="6AF4A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033" w:type="dxa"/>
            <w:vMerge w:val="restart"/>
            <w:tcBorders>
              <w:left w:val="single" w:color="auto" w:sz="4" w:space="0"/>
              <w:right w:val="single" w:color="auto" w:sz="4" w:space="0"/>
            </w:tcBorders>
            <w:noWrap w:val="0"/>
            <w:vAlign w:val="center"/>
          </w:tcPr>
          <w:p w14:paraId="1BAC6681">
            <w:pPr>
              <w:wordWrap w:val="0"/>
              <w:jc w:val="center"/>
              <w:rPr>
                <w:rFonts w:ascii="宋体" w:hAnsi="宋体" w:cs="宋体"/>
                <w:color w:val="auto"/>
                <w:highlight w:val="none"/>
              </w:rPr>
            </w:pPr>
            <w:r>
              <w:rPr>
                <w:rFonts w:hint="eastAsia" w:ascii="宋体" w:hAnsi="宋体" w:cs="宋体"/>
                <w:color w:val="auto"/>
                <w:highlight w:val="none"/>
                <w:lang w:bidi="ar"/>
              </w:rPr>
              <w:t>2.2.3</w:t>
            </w:r>
          </w:p>
        </w:tc>
        <w:tc>
          <w:tcPr>
            <w:tcW w:w="1134" w:type="dxa"/>
            <w:vMerge w:val="restart"/>
            <w:tcBorders>
              <w:left w:val="nil"/>
              <w:right w:val="single" w:color="auto" w:sz="4" w:space="0"/>
            </w:tcBorders>
            <w:noWrap w:val="0"/>
            <w:vAlign w:val="center"/>
          </w:tcPr>
          <w:p w14:paraId="74985A1A">
            <w:pPr>
              <w:wordWrap w:val="0"/>
              <w:jc w:val="center"/>
              <w:rPr>
                <w:rFonts w:hint="eastAsia" w:ascii="宋体" w:hAnsi="宋体" w:cs="宋体"/>
                <w:color w:val="auto"/>
                <w:highlight w:val="none"/>
              </w:rPr>
            </w:pPr>
            <w:r>
              <w:rPr>
                <w:rFonts w:hint="eastAsia" w:ascii="宋体" w:hAnsi="宋体" w:cs="宋体"/>
                <w:color w:val="auto"/>
                <w:highlight w:val="none"/>
              </w:rPr>
              <w:t>综合标</w:t>
            </w:r>
          </w:p>
          <w:p w14:paraId="6E9FD771">
            <w:pPr>
              <w:wordWrap w:val="0"/>
              <w:jc w:val="center"/>
              <w:rPr>
                <w:rFonts w:hint="eastAsia" w:ascii="宋体" w:hAnsi="宋体" w:cs="宋体"/>
                <w:color w:val="auto"/>
                <w:highlight w:val="none"/>
              </w:rPr>
            </w:pPr>
            <w:r>
              <w:rPr>
                <w:rFonts w:hint="eastAsia" w:ascii="宋体" w:hAnsi="宋体" w:cs="宋体"/>
                <w:color w:val="auto"/>
                <w:highlight w:val="none"/>
              </w:rPr>
              <w:t>（</w:t>
            </w:r>
            <w:r>
              <w:rPr>
                <w:rFonts w:hint="eastAsia" w:ascii="宋体" w:hAnsi="宋体" w:cs="宋体"/>
                <w:color w:val="auto"/>
                <w:highlight w:val="none"/>
                <w:lang w:val="en-US" w:eastAsia="zh-CN"/>
              </w:rPr>
              <w:t>22</w:t>
            </w:r>
            <w:r>
              <w:rPr>
                <w:rFonts w:hint="eastAsia" w:ascii="宋体" w:hAnsi="宋体" w:cs="宋体"/>
                <w:color w:val="auto"/>
                <w:highlight w:val="none"/>
              </w:rPr>
              <w:t>分）</w:t>
            </w:r>
          </w:p>
        </w:tc>
        <w:tc>
          <w:tcPr>
            <w:tcW w:w="1134" w:type="dxa"/>
            <w:tcBorders>
              <w:top w:val="single" w:color="auto" w:sz="4" w:space="0"/>
              <w:left w:val="nil"/>
              <w:right w:val="single" w:color="auto" w:sz="4" w:space="0"/>
            </w:tcBorders>
            <w:noWrap w:val="0"/>
            <w:vAlign w:val="center"/>
          </w:tcPr>
          <w:p w14:paraId="32FBC71D">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企业业绩</w:t>
            </w:r>
          </w:p>
          <w:p w14:paraId="0AD5E725">
            <w:pPr>
              <w:spacing w:line="360" w:lineRule="auto"/>
              <w:jc w:val="center"/>
              <w:rPr>
                <w:rFonts w:hint="eastAsia" w:ascii="宋体" w:hAnsi="宋体" w:cs="宋体"/>
                <w:color w:val="auto"/>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分）</w:t>
            </w:r>
          </w:p>
        </w:tc>
        <w:tc>
          <w:tcPr>
            <w:tcW w:w="6219" w:type="dxa"/>
            <w:tcBorders>
              <w:top w:val="single" w:color="auto" w:sz="4" w:space="0"/>
              <w:left w:val="nil"/>
              <w:bottom w:val="single" w:color="auto" w:sz="4" w:space="0"/>
              <w:right w:val="single" w:color="auto" w:sz="4" w:space="0"/>
            </w:tcBorders>
            <w:noWrap w:val="0"/>
            <w:vAlign w:val="center"/>
          </w:tcPr>
          <w:p w14:paraId="56BE4151">
            <w:pPr>
              <w:spacing w:line="360" w:lineRule="auto"/>
              <w:jc w:val="left"/>
              <w:rPr>
                <w:rFonts w:hint="eastAsia" w:ascii="宋体" w:hAnsi="宋体" w:cs="宋体"/>
                <w:color w:val="auto"/>
                <w:highlight w:val="none"/>
              </w:rPr>
            </w:pPr>
            <w:r>
              <w:rPr>
                <w:rFonts w:hint="eastAsia" w:ascii="宋体" w:hAnsi="宋体" w:eastAsia="宋体" w:cs="宋体"/>
                <w:color w:val="auto"/>
                <w:sz w:val="24"/>
                <w:highlight w:val="none"/>
              </w:rPr>
              <w:t>投标</w:t>
            </w:r>
            <w:r>
              <w:rPr>
                <w:rFonts w:hint="eastAsia" w:ascii="宋体" w:hAnsi="宋体" w:eastAsia="宋体" w:cs="宋体"/>
                <w:color w:val="auto"/>
                <w:sz w:val="24"/>
                <w:highlight w:val="none"/>
                <w:lang w:val="en-US" w:eastAsia="zh-CN"/>
              </w:rPr>
              <w:t>供应商</w:t>
            </w:r>
            <w:r>
              <w:rPr>
                <w:rFonts w:hint="eastAsia" w:ascii="宋体" w:hAnsi="宋体" w:eastAsia="宋体" w:cs="宋体"/>
                <w:color w:val="auto"/>
                <w:sz w:val="24"/>
                <w:highlight w:val="none"/>
              </w:rPr>
              <w:t>或所投产品</w:t>
            </w:r>
            <w:r>
              <w:rPr>
                <w:rFonts w:hint="eastAsia" w:ascii="宋体" w:hAnsi="宋体" w:eastAsia="宋体" w:cs="宋体"/>
                <w:color w:val="auto"/>
                <w:sz w:val="24"/>
                <w:highlight w:val="none"/>
                <w:lang w:val="en-US" w:eastAsia="zh-CN"/>
              </w:rPr>
              <w:t>软件服务厂家</w:t>
            </w:r>
            <w:r>
              <w:rPr>
                <w:rFonts w:hint="eastAsia" w:ascii="宋体" w:hAnsi="宋体" w:cs="宋体"/>
                <w:color w:val="auto"/>
                <w:sz w:val="24"/>
                <w:highlight w:val="none"/>
              </w:rPr>
              <w:t>2020年1月1日以来具有DIP医保管理和病案首页质控管理系统等同类型业绩每提供一份得</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分，最多得</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分。（提供中标通知书或合同扫描件），否则将不予认可。</w:t>
            </w:r>
          </w:p>
        </w:tc>
      </w:tr>
      <w:tr w14:paraId="7CF11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033" w:type="dxa"/>
            <w:vMerge w:val="continue"/>
            <w:tcBorders>
              <w:left w:val="single" w:color="auto" w:sz="4" w:space="0"/>
              <w:right w:val="single" w:color="auto" w:sz="4" w:space="0"/>
            </w:tcBorders>
            <w:noWrap w:val="0"/>
            <w:vAlign w:val="center"/>
          </w:tcPr>
          <w:p w14:paraId="6299D620">
            <w:pPr>
              <w:widowControl/>
              <w:wordWrap w:val="0"/>
              <w:rPr>
                <w:rFonts w:hint="eastAsia" w:ascii="宋体" w:hAnsi="宋体" w:cs="宋体"/>
                <w:color w:val="auto"/>
                <w:highlight w:val="none"/>
              </w:rPr>
            </w:pPr>
          </w:p>
        </w:tc>
        <w:tc>
          <w:tcPr>
            <w:tcW w:w="1134" w:type="dxa"/>
            <w:vMerge w:val="continue"/>
            <w:tcBorders>
              <w:left w:val="nil"/>
              <w:right w:val="single" w:color="auto" w:sz="4" w:space="0"/>
            </w:tcBorders>
            <w:noWrap w:val="0"/>
            <w:vAlign w:val="center"/>
          </w:tcPr>
          <w:p w14:paraId="069EE2ED">
            <w:pPr>
              <w:widowControl/>
              <w:wordWrap w:val="0"/>
              <w:rPr>
                <w:rFonts w:hint="eastAsia" w:ascii="宋体" w:hAnsi="宋体" w:cs="宋体"/>
                <w:color w:val="auto"/>
                <w:highlight w:val="none"/>
              </w:rPr>
            </w:pPr>
          </w:p>
        </w:tc>
        <w:tc>
          <w:tcPr>
            <w:tcW w:w="1134" w:type="dxa"/>
            <w:tcBorders>
              <w:top w:val="single" w:color="auto" w:sz="4" w:space="0"/>
              <w:left w:val="nil"/>
              <w:right w:val="single" w:color="auto" w:sz="4" w:space="0"/>
            </w:tcBorders>
            <w:noWrap w:val="0"/>
            <w:vAlign w:val="center"/>
          </w:tcPr>
          <w:p w14:paraId="2FBAA8A0">
            <w:pPr>
              <w:wordWrap w:val="0"/>
              <w:spacing w:line="360" w:lineRule="exact"/>
              <w:jc w:val="both"/>
              <w:rPr>
                <w:rFonts w:hint="eastAsia" w:ascii="宋体" w:hAnsi="宋体" w:cs="宋体"/>
                <w:color w:val="auto"/>
                <w:highlight w:val="none"/>
              </w:rPr>
            </w:pPr>
            <w:r>
              <w:rPr>
                <w:rFonts w:hint="eastAsia" w:ascii="宋体" w:hAnsi="宋体"/>
                <w:color w:val="auto"/>
                <w:kern w:val="0"/>
                <w:highlight w:val="none"/>
                <w:lang w:val="en-US" w:eastAsia="zh-CN"/>
              </w:rPr>
              <w:t>售后服务</w:t>
            </w:r>
            <w:r>
              <w:rPr>
                <w:rFonts w:hint="eastAsia" w:ascii="宋体" w:hAnsi="宋体"/>
                <w:color w:val="auto"/>
                <w:kern w:val="0"/>
                <w:highlight w:val="none"/>
              </w:rPr>
              <w:t>（</w:t>
            </w:r>
            <w:r>
              <w:rPr>
                <w:rFonts w:hint="eastAsia" w:ascii="宋体" w:hAnsi="宋体"/>
                <w:color w:val="auto"/>
                <w:kern w:val="0"/>
                <w:highlight w:val="none"/>
                <w:lang w:val="en-US" w:eastAsia="zh-CN"/>
              </w:rPr>
              <w:t>4</w:t>
            </w:r>
            <w:r>
              <w:rPr>
                <w:rFonts w:hint="eastAsia" w:ascii="宋体" w:hAnsi="宋体"/>
                <w:color w:val="auto"/>
                <w:kern w:val="0"/>
                <w:highlight w:val="none"/>
              </w:rPr>
              <w:t>分）</w:t>
            </w:r>
          </w:p>
        </w:tc>
        <w:tc>
          <w:tcPr>
            <w:tcW w:w="6219" w:type="dxa"/>
            <w:tcBorders>
              <w:top w:val="single" w:color="auto" w:sz="4" w:space="0"/>
              <w:left w:val="nil"/>
              <w:bottom w:val="single" w:color="auto" w:sz="4" w:space="0"/>
              <w:right w:val="single" w:color="auto" w:sz="4" w:space="0"/>
            </w:tcBorders>
            <w:noWrap w:val="0"/>
            <w:vAlign w:val="center"/>
          </w:tcPr>
          <w:p w14:paraId="3DCD0811">
            <w:pPr>
              <w:wordWrap w:val="0"/>
              <w:snapToGrid w:val="0"/>
              <w:rPr>
                <w:rFonts w:hint="eastAsia" w:ascii="宋体" w:hAnsi="宋体" w:cs="宋体"/>
                <w:color w:val="auto"/>
                <w:highlight w:val="none"/>
              </w:rPr>
            </w:pPr>
            <w:r>
              <w:rPr>
                <w:rFonts w:hint="eastAsia" w:ascii="宋体" w:hAnsi="宋体" w:cs="宋体"/>
                <w:color w:val="auto"/>
                <w:highlight w:val="none"/>
                <w:lang w:val="en-US" w:eastAsia="zh-CN"/>
              </w:rPr>
              <w:t xml:space="preserve">评标委员会根据供应商提供的售后服务方案进行综合评价，最高得 4分。（方案要求：①质保期内及质保期满后的售后服务内容； ②服务响应时间；③服务人员安排；④服务保障措施⑤产品保障方案等） </w:t>
            </w:r>
          </w:p>
          <w:p w14:paraId="56D3F447">
            <w:pPr>
              <w:wordWrap w:val="0"/>
              <w:snapToGrid w:val="0"/>
              <w:rPr>
                <w:rFonts w:hint="eastAsia" w:ascii="宋体" w:hAnsi="宋体" w:cs="宋体"/>
                <w:color w:val="auto"/>
                <w:highlight w:val="none"/>
              </w:rPr>
            </w:pPr>
            <w:r>
              <w:rPr>
                <w:rFonts w:hint="eastAsia" w:ascii="宋体" w:hAnsi="宋体" w:cs="宋体"/>
                <w:color w:val="auto"/>
                <w:highlight w:val="none"/>
                <w:lang w:val="en-US" w:eastAsia="zh-CN"/>
              </w:rPr>
              <w:t xml:space="preserve">①售后服务方案内容齐全，对每项的描述具体详细，针对性较 强，整体思路科学合理，可操作性较强的得4分； </w:t>
            </w:r>
          </w:p>
          <w:p w14:paraId="69063838">
            <w:pPr>
              <w:wordWrap w:val="0"/>
              <w:snapToGrid w:val="0"/>
              <w:rPr>
                <w:rFonts w:hint="eastAsia" w:ascii="宋体" w:hAnsi="宋体" w:cs="宋体"/>
                <w:color w:val="auto"/>
                <w:highlight w:val="none"/>
              </w:rPr>
            </w:pPr>
            <w:r>
              <w:rPr>
                <w:rFonts w:hint="eastAsia" w:ascii="宋体" w:hAnsi="宋体" w:cs="宋体"/>
                <w:color w:val="auto"/>
                <w:highlight w:val="none"/>
                <w:lang w:val="en-US" w:eastAsia="zh-CN"/>
              </w:rPr>
              <w:t xml:space="preserve">②售后服务方案内容齐全，对每项进行概括性描述，针对性一 般，整体思路合理，可操作性一般的得3分； </w:t>
            </w:r>
          </w:p>
          <w:p w14:paraId="7020DD5B">
            <w:pPr>
              <w:wordWrap w:val="0"/>
              <w:snapToGrid w:val="0"/>
              <w:rPr>
                <w:rFonts w:hint="eastAsia" w:ascii="宋体" w:hAnsi="宋体" w:cs="宋体"/>
                <w:color w:val="auto"/>
                <w:highlight w:val="none"/>
              </w:rPr>
            </w:pPr>
            <w:r>
              <w:rPr>
                <w:rFonts w:hint="eastAsia" w:ascii="宋体" w:hAnsi="宋体" w:cs="宋体"/>
                <w:color w:val="auto"/>
                <w:highlight w:val="none"/>
                <w:lang w:val="en-US" w:eastAsia="zh-CN"/>
              </w:rPr>
              <w:t xml:space="preserve">③售后服务方案内容符合招标文件要求涉及的方面，相关内容描述不详细，无法具体到工作实际，针对性差，整体思路混乱，可操作性差的得2分； </w:t>
            </w:r>
          </w:p>
          <w:p w14:paraId="387641A8">
            <w:pPr>
              <w:wordWrap w:val="0"/>
              <w:snapToGrid w:val="0"/>
              <w:rPr>
                <w:rFonts w:hint="eastAsia" w:ascii="宋体" w:hAnsi="宋体" w:cs="宋体"/>
                <w:color w:val="auto"/>
                <w:highlight w:val="none"/>
              </w:rPr>
            </w:pPr>
            <w:r>
              <w:rPr>
                <w:rFonts w:hint="eastAsia" w:ascii="宋体" w:hAnsi="宋体" w:cs="宋体"/>
                <w:color w:val="auto"/>
                <w:highlight w:val="none"/>
                <w:lang w:val="en-US" w:eastAsia="zh-CN"/>
              </w:rPr>
              <w:t xml:space="preserve">④售后服务方案内容不全，针对性差，整体思路混乱，可操作性差的得1分； </w:t>
            </w:r>
          </w:p>
          <w:p w14:paraId="51C26DE0">
            <w:pPr>
              <w:wordWrap w:val="0"/>
              <w:snapToGrid w:val="0"/>
              <w:rPr>
                <w:rFonts w:hint="eastAsia" w:ascii="宋体" w:hAnsi="宋体" w:cs="宋体"/>
                <w:color w:val="auto"/>
                <w:highlight w:val="none"/>
              </w:rPr>
            </w:pPr>
            <w:r>
              <w:rPr>
                <w:rFonts w:hint="eastAsia" w:ascii="宋体" w:hAnsi="宋体" w:cs="宋体"/>
                <w:color w:val="auto"/>
                <w:highlight w:val="none"/>
                <w:lang w:val="en-US" w:eastAsia="zh-CN"/>
              </w:rPr>
              <w:t>⑤不提供售后服务方案的不得分。</w:t>
            </w:r>
          </w:p>
        </w:tc>
      </w:tr>
      <w:tr w14:paraId="65B73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033" w:type="dxa"/>
            <w:vMerge w:val="continue"/>
            <w:tcBorders>
              <w:left w:val="single" w:color="auto" w:sz="4" w:space="0"/>
              <w:right w:val="single" w:color="auto" w:sz="4" w:space="0"/>
            </w:tcBorders>
            <w:noWrap w:val="0"/>
            <w:vAlign w:val="center"/>
          </w:tcPr>
          <w:p w14:paraId="785CE9F3">
            <w:pPr>
              <w:widowControl/>
              <w:wordWrap w:val="0"/>
              <w:rPr>
                <w:rFonts w:hint="eastAsia" w:ascii="宋体" w:hAnsi="宋体" w:cs="宋体"/>
                <w:color w:val="auto"/>
                <w:highlight w:val="none"/>
              </w:rPr>
            </w:pPr>
          </w:p>
        </w:tc>
        <w:tc>
          <w:tcPr>
            <w:tcW w:w="1134" w:type="dxa"/>
            <w:vMerge w:val="continue"/>
            <w:tcBorders>
              <w:left w:val="nil"/>
              <w:right w:val="single" w:color="auto" w:sz="4" w:space="0"/>
            </w:tcBorders>
            <w:noWrap w:val="0"/>
            <w:vAlign w:val="center"/>
          </w:tcPr>
          <w:p w14:paraId="7D9A6445">
            <w:pPr>
              <w:widowControl/>
              <w:wordWrap w:val="0"/>
              <w:rPr>
                <w:rFonts w:hint="eastAsia" w:ascii="宋体" w:hAnsi="宋体" w:cs="宋体"/>
                <w:color w:val="auto"/>
                <w:highlight w:val="none"/>
              </w:rPr>
            </w:pPr>
          </w:p>
        </w:tc>
        <w:tc>
          <w:tcPr>
            <w:tcW w:w="1134" w:type="dxa"/>
            <w:tcBorders>
              <w:top w:val="single" w:color="auto" w:sz="4" w:space="0"/>
              <w:left w:val="nil"/>
              <w:right w:val="single" w:color="auto" w:sz="4" w:space="0"/>
            </w:tcBorders>
            <w:noWrap w:val="0"/>
            <w:vAlign w:val="center"/>
          </w:tcPr>
          <w:p w14:paraId="648635D3">
            <w:pPr>
              <w:wordWrap w:val="0"/>
              <w:spacing w:line="360" w:lineRule="exact"/>
              <w:jc w:val="both"/>
              <w:rPr>
                <w:rFonts w:hint="eastAsia" w:ascii="宋体" w:hAnsi="宋体"/>
                <w:color w:val="auto"/>
                <w:kern w:val="0"/>
                <w:highlight w:val="none"/>
                <w:lang w:val="en-US" w:eastAsia="zh-CN"/>
              </w:rPr>
            </w:pPr>
            <w:r>
              <w:rPr>
                <w:rFonts w:hint="eastAsia" w:ascii="宋体" w:hAnsi="宋体"/>
                <w:color w:val="auto"/>
                <w:kern w:val="0"/>
                <w:highlight w:val="none"/>
                <w:lang w:val="en-US" w:eastAsia="zh-CN"/>
              </w:rPr>
              <w:t>企业集成能力（14分）</w:t>
            </w:r>
          </w:p>
        </w:tc>
        <w:tc>
          <w:tcPr>
            <w:tcW w:w="6219" w:type="dxa"/>
            <w:tcBorders>
              <w:top w:val="single" w:color="auto" w:sz="4" w:space="0"/>
              <w:left w:val="nil"/>
              <w:bottom w:val="single" w:color="auto" w:sz="4" w:space="0"/>
              <w:right w:val="single" w:color="auto" w:sz="4" w:space="0"/>
            </w:tcBorders>
            <w:noWrap w:val="0"/>
            <w:vAlign w:val="center"/>
          </w:tcPr>
          <w:p w14:paraId="3291FEA4">
            <w:pPr>
              <w:wordWrap w:val="0"/>
              <w:snapToGrid w:val="0"/>
              <w:rPr>
                <w:rFonts w:hint="eastAsia" w:ascii="宋体" w:hAnsi="宋体" w:cs="宋体"/>
                <w:color w:val="auto"/>
                <w:highlight w:val="none"/>
                <w:lang w:val="en-US" w:eastAsia="zh-CN"/>
              </w:rPr>
            </w:pPr>
            <w:r>
              <w:rPr>
                <w:rFonts w:hint="eastAsia" w:ascii="宋体" w:hAnsi="宋体" w:cs="宋体"/>
                <w:color w:val="auto"/>
                <w:highlight w:val="none"/>
                <w:lang w:val="en-US" w:eastAsia="zh-CN"/>
              </w:rPr>
              <w:t>1、为体现企业与医院现有系统的集成能力，供应商或所投产品厂商具有软件著作权证书：《DIP分组器智能管理系统》、《医保DIP支付改革资金结余分析系统》、《病案首页前置质控系统》、《医院绩效管理系统》、《智慧病案系统》、《临床知识库系统》、《医院CDR临床数据中心平台》、《数据集成ETL管理系统》、《智慧医院系统》、《医院信息集成平台》、《电子病历系统》、《医院信息管理系统》、《DIP主目录系统》、《医院通用接口集平台》；每提供一项得1分，最高得14分。</w:t>
            </w:r>
          </w:p>
        </w:tc>
      </w:tr>
      <w:tr w14:paraId="50BEB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9520" w:type="dxa"/>
            <w:gridSpan w:val="4"/>
            <w:tcBorders>
              <w:top w:val="single" w:color="auto" w:sz="4" w:space="0"/>
              <w:left w:val="single" w:color="auto" w:sz="4" w:space="0"/>
              <w:bottom w:val="single" w:color="auto" w:sz="4" w:space="0"/>
              <w:right w:val="single" w:color="auto" w:sz="4" w:space="0"/>
            </w:tcBorders>
            <w:noWrap w:val="0"/>
            <w:vAlign w:val="center"/>
          </w:tcPr>
          <w:p w14:paraId="2B3DB6AC">
            <w:pPr>
              <w:wordWrap w:val="0"/>
              <w:rPr>
                <w:rFonts w:hint="eastAsia" w:ascii="宋体" w:hAnsi="宋体" w:cs="宋体"/>
                <w:color w:val="auto"/>
                <w:highlight w:val="none"/>
              </w:rPr>
            </w:pPr>
            <w:r>
              <w:rPr>
                <w:rFonts w:hint="eastAsia" w:ascii="宋体" w:hAnsi="宋体" w:cs="宋体"/>
                <w:color w:val="auto"/>
                <w:highlight w:val="none"/>
              </w:rPr>
              <w:t>备注：</w:t>
            </w:r>
          </w:p>
          <w:p w14:paraId="73C695F7">
            <w:pPr>
              <w:wordWrap w:val="0"/>
              <w:rPr>
                <w:rFonts w:hint="eastAsia" w:ascii="宋体" w:hAnsi="宋体" w:cs="宋体"/>
                <w:color w:val="auto"/>
                <w:highlight w:val="none"/>
              </w:rPr>
            </w:pPr>
            <w:r>
              <w:rPr>
                <w:rFonts w:hint="eastAsia" w:ascii="宋体" w:hAnsi="宋体" w:cs="宋体"/>
                <w:color w:val="auto"/>
                <w:highlight w:val="none"/>
              </w:rPr>
              <w:t>供应商综合得分等于技术部分、综合部分、投标报价的汇总得分。</w:t>
            </w:r>
          </w:p>
          <w:p w14:paraId="1488FA2A">
            <w:pPr>
              <w:wordWrap w:val="0"/>
              <w:rPr>
                <w:rFonts w:hint="eastAsia" w:ascii="宋体" w:hAnsi="宋体" w:cs="宋体"/>
                <w:color w:val="auto"/>
                <w:highlight w:val="none"/>
              </w:rPr>
            </w:pPr>
            <w:r>
              <w:rPr>
                <w:rFonts w:hint="eastAsia" w:ascii="宋体" w:hAnsi="宋体" w:cs="宋体"/>
                <w:color w:val="auto"/>
                <w:highlight w:val="none"/>
              </w:rPr>
              <w:t>磋商小组对各供应商的得分进行汇总，计算过程中评委个人分值按四舍五入保留三位小数，最终结果按四舍五入保留两位小数。以各磋商小组打分的算术平均值作为该供应商的最终得分</w:t>
            </w:r>
          </w:p>
        </w:tc>
      </w:tr>
    </w:tbl>
    <w:p w14:paraId="344C762A">
      <w:pPr>
        <w:widowControl/>
        <w:wordWrap w:val="0"/>
        <w:rPr>
          <w:rFonts w:hint="eastAsia" w:ascii="宋体" w:hAnsi="宋体" w:cs="宋体"/>
          <w:b/>
          <w:bCs/>
          <w:color w:val="auto"/>
          <w:highlight w:val="none"/>
        </w:rPr>
      </w:pPr>
      <w:r>
        <w:rPr>
          <w:rFonts w:hint="eastAsia" w:ascii="宋体" w:hAnsi="宋体" w:cs="宋体"/>
          <w:b/>
          <w:bCs/>
          <w:color w:val="auto"/>
          <w:highlight w:val="none"/>
        </w:rPr>
        <w:t>注：</w:t>
      </w:r>
      <w:r>
        <w:rPr>
          <w:rFonts w:hint="eastAsia" w:ascii="宋体" w:hAnsi="宋体" w:cs="宋体"/>
          <w:b/>
          <w:bCs/>
          <w:color w:val="auto"/>
          <w:kern w:val="0"/>
          <w:highlight w:val="none"/>
        </w:rPr>
        <w:t>评分办法中要求材料均以原件扫描件为准，保证清晰可见。</w:t>
      </w:r>
    </w:p>
    <w:p w14:paraId="384FFAB8">
      <w:pPr>
        <w:wordWrap w:val="0"/>
        <w:ind w:firstLine="480" w:firstLineChars="200"/>
        <w:rPr>
          <w:rFonts w:ascii="宋体" w:hAnsi="宋体" w:cs="宋体"/>
          <w:color w:val="auto"/>
          <w:highlight w:val="none"/>
        </w:rPr>
      </w:pPr>
      <w:r>
        <w:rPr>
          <w:rFonts w:hint="eastAsia" w:ascii="宋体" w:hAnsi="宋体" w:cs="宋体"/>
          <w:b/>
          <w:color w:val="auto"/>
          <w:highlight w:val="none"/>
        </w:rPr>
        <w:t>1.评标方法</w:t>
      </w:r>
    </w:p>
    <w:p w14:paraId="3A40C6EC">
      <w:pPr>
        <w:wordWrap w:val="0"/>
        <w:ind w:firstLine="480" w:firstLineChars="200"/>
        <w:rPr>
          <w:rFonts w:ascii="宋体" w:hAnsi="宋体" w:cs="宋体"/>
          <w:color w:val="auto"/>
          <w:highlight w:val="none"/>
        </w:rPr>
      </w:pPr>
      <w:r>
        <w:rPr>
          <w:rFonts w:hint="eastAsia" w:ascii="宋体" w:hAnsi="宋体" w:cs="宋体"/>
          <w:color w:val="auto"/>
          <w:highlight w:val="none"/>
        </w:rPr>
        <w:t>（1）本次评标采用综合评分法。</w:t>
      </w:r>
    </w:p>
    <w:p w14:paraId="67E1E231">
      <w:pPr>
        <w:wordWrap w:val="0"/>
        <w:ind w:firstLine="480" w:firstLineChars="200"/>
        <w:rPr>
          <w:rFonts w:ascii="宋体" w:hAnsi="宋体" w:cs="宋体"/>
          <w:color w:val="auto"/>
          <w:highlight w:val="none"/>
        </w:rPr>
      </w:pPr>
      <w:r>
        <w:rPr>
          <w:rFonts w:hint="eastAsia" w:ascii="宋体" w:hAnsi="宋体" w:cs="宋体"/>
          <w:color w:val="auto"/>
          <w:highlight w:val="none"/>
        </w:rPr>
        <w:t>（2）评标委员会对满足竞争性磋商文件实质性要求的投标文件，按照本章规定的评分标准进行打分并按得分由高到低顺序推荐中标候选人，但投标报价低于其成本的除外。评标结果按评审后得分由高到低顺序排列。得分相同的，按投标报价由低到高顺序排列；得分且响应报价相同的，按技术指标优劣顺序排列。</w:t>
      </w:r>
    </w:p>
    <w:p w14:paraId="3B6BE0BF">
      <w:pPr>
        <w:wordWrap w:val="0"/>
        <w:ind w:firstLine="480" w:firstLineChars="200"/>
        <w:rPr>
          <w:rFonts w:ascii="宋体" w:hAnsi="宋体" w:cs="宋体"/>
          <w:color w:val="auto"/>
          <w:highlight w:val="none"/>
        </w:rPr>
      </w:pPr>
      <w:r>
        <w:rPr>
          <w:rFonts w:hint="eastAsia" w:ascii="宋体" w:hAnsi="宋体" w:cs="宋体"/>
          <w:color w:val="auto"/>
          <w:highlight w:val="none"/>
        </w:rPr>
        <w:t>投标文件满足竞争性磋商文件全部实质性要求，且按照评审因素的量化指标在评标报告</w:t>
      </w:r>
      <w:r>
        <w:rPr>
          <w:rFonts w:hint="eastAsia" w:ascii="宋体" w:hAnsi="宋体" w:cs="宋体"/>
          <w:color w:val="auto"/>
          <w:highlight w:val="none"/>
          <w:lang w:val="en-US" w:eastAsia="zh-CN"/>
        </w:rPr>
        <w:t>推荐的</w:t>
      </w:r>
      <w:r>
        <w:rPr>
          <w:rFonts w:hint="eastAsia" w:ascii="宋体" w:hAnsi="宋体" w:cs="宋体"/>
          <w:color w:val="auto"/>
          <w:highlight w:val="none"/>
        </w:rPr>
        <w:t>中标候选人名单中确定</w:t>
      </w:r>
      <w:r>
        <w:rPr>
          <w:rFonts w:hint="eastAsia" w:ascii="宋体" w:hAnsi="宋体" w:cs="宋体"/>
          <w:color w:val="auto"/>
          <w:highlight w:val="none"/>
          <w:lang w:val="en-US" w:eastAsia="zh-CN"/>
        </w:rPr>
        <w:t>前一名为</w:t>
      </w:r>
      <w:r>
        <w:rPr>
          <w:rFonts w:hint="eastAsia" w:ascii="宋体" w:hAnsi="宋体" w:cs="宋体"/>
          <w:color w:val="auto"/>
          <w:highlight w:val="none"/>
        </w:rPr>
        <w:t>中标人。</w:t>
      </w:r>
    </w:p>
    <w:p w14:paraId="7A9CA246">
      <w:pPr>
        <w:wordWrap w:val="0"/>
        <w:spacing w:line="500" w:lineRule="exact"/>
        <w:ind w:firstLine="480" w:firstLineChars="200"/>
        <w:rPr>
          <w:rFonts w:ascii="宋体" w:hAnsi="宋体" w:cs="宋体"/>
          <w:b/>
          <w:color w:val="auto"/>
          <w:highlight w:val="none"/>
        </w:rPr>
      </w:pPr>
      <w:r>
        <w:rPr>
          <w:rFonts w:hint="eastAsia" w:ascii="宋体" w:hAnsi="宋体" w:cs="宋体"/>
          <w:b/>
          <w:color w:val="auto"/>
          <w:highlight w:val="none"/>
        </w:rPr>
        <w:t>2. 评审标准</w:t>
      </w:r>
    </w:p>
    <w:p w14:paraId="4709B412">
      <w:pPr>
        <w:wordWrap w:val="0"/>
        <w:spacing w:line="500" w:lineRule="exact"/>
        <w:ind w:firstLine="480" w:firstLineChars="200"/>
        <w:rPr>
          <w:rFonts w:ascii="宋体" w:hAnsi="宋体" w:cs="宋体"/>
          <w:color w:val="auto"/>
          <w:highlight w:val="none"/>
        </w:rPr>
      </w:pPr>
      <w:r>
        <w:rPr>
          <w:rFonts w:hint="eastAsia" w:ascii="宋体" w:hAnsi="宋体" w:cs="宋体"/>
          <w:color w:val="auto"/>
          <w:highlight w:val="none"/>
        </w:rPr>
        <w:t>2.1 初步评审标准</w:t>
      </w:r>
    </w:p>
    <w:p w14:paraId="731028CE">
      <w:pPr>
        <w:wordWrap w:val="0"/>
        <w:spacing w:line="500" w:lineRule="exact"/>
        <w:ind w:firstLine="480" w:firstLineChars="200"/>
        <w:rPr>
          <w:rFonts w:ascii="宋体" w:hAnsi="宋体" w:cs="宋体"/>
          <w:color w:val="auto"/>
          <w:highlight w:val="none"/>
        </w:rPr>
      </w:pPr>
      <w:r>
        <w:rPr>
          <w:rFonts w:hint="eastAsia" w:ascii="宋体" w:hAnsi="宋体" w:cs="宋体"/>
          <w:color w:val="auto"/>
          <w:highlight w:val="none"/>
        </w:rPr>
        <w:t>2.1.1 符合性评审标准：见评标办法前附表。</w:t>
      </w:r>
    </w:p>
    <w:p w14:paraId="7C82C8B1">
      <w:pPr>
        <w:wordWrap w:val="0"/>
        <w:spacing w:line="500" w:lineRule="exact"/>
        <w:ind w:firstLine="480" w:firstLineChars="200"/>
        <w:rPr>
          <w:rFonts w:ascii="宋体" w:hAnsi="宋体" w:cs="宋体"/>
          <w:color w:val="auto"/>
          <w:highlight w:val="none"/>
        </w:rPr>
      </w:pPr>
      <w:r>
        <w:rPr>
          <w:rFonts w:hint="eastAsia" w:ascii="宋体" w:hAnsi="宋体" w:cs="宋体"/>
          <w:color w:val="auto"/>
          <w:highlight w:val="none"/>
        </w:rPr>
        <w:t>2.1.2 响应性评审标准：见评标办法前附表。</w:t>
      </w:r>
    </w:p>
    <w:p w14:paraId="72C98A57">
      <w:pPr>
        <w:wordWrap w:val="0"/>
        <w:spacing w:line="500" w:lineRule="exact"/>
        <w:ind w:firstLine="480" w:firstLineChars="200"/>
        <w:rPr>
          <w:rFonts w:ascii="宋体" w:hAnsi="宋体" w:cs="宋体"/>
          <w:color w:val="auto"/>
          <w:highlight w:val="none"/>
        </w:rPr>
      </w:pPr>
      <w:r>
        <w:rPr>
          <w:rFonts w:hint="eastAsia" w:ascii="宋体" w:hAnsi="宋体" w:cs="宋体"/>
          <w:color w:val="auto"/>
          <w:highlight w:val="none"/>
        </w:rPr>
        <w:t>2.2 分值构成与评分标准</w:t>
      </w:r>
    </w:p>
    <w:p w14:paraId="04C00030">
      <w:pPr>
        <w:wordWrap w:val="0"/>
        <w:spacing w:line="500" w:lineRule="exact"/>
        <w:ind w:firstLine="480" w:firstLineChars="200"/>
        <w:rPr>
          <w:rFonts w:ascii="宋体" w:hAnsi="宋体" w:cs="宋体"/>
          <w:color w:val="auto"/>
          <w:highlight w:val="none"/>
        </w:rPr>
      </w:pPr>
      <w:r>
        <w:rPr>
          <w:rFonts w:hint="eastAsia" w:ascii="宋体" w:hAnsi="宋体" w:cs="宋体"/>
          <w:color w:val="auto"/>
          <w:highlight w:val="none"/>
        </w:rPr>
        <w:t>2.2.1 分值构成</w:t>
      </w:r>
    </w:p>
    <w:p w14:paraId="3C91BD2A">
      <w:pPr>
        <w:wordWrap w:val="0"/>
        <w:spacing w:line="500" w:lineRule="exact"/>
        <w:ind w:firstLine="480" w:firstLineChars="200"/>
        <w:rPr>
          <w:rFonts w:ascii="宋体" w:hAnsi="宋体" w:cs="宋体"/>
          <w:color w:val="auto"/>
          <w:highlight w:val="none"/>
        </w:rPr>
      </w:pPr>
      <w:r>
        <w:rPr>
          <w:rFonts w:hint="eastAsia" w:ascii="宋体" w:hAnsi="宋体" w:cs="宋体"/>
          <w:color w:val="auto"/>
          <w:highlight w:val="none"/>
        </w:rPr>
        <w:t>（1）投标报价的权重占30%</w:t>
      </w:r>
    </w:p>
    <w:p w14:paraId="77F2CC25">
      <w:pPr>
        <w:wordWrap w:val="0"/>
        <w:spacing w:line="500" w:lineRule="exact"/>
        <w:ind w:firstLine="480" w:firstLineChars="200"/>
        <w:rPr>
          <w:rFonts w:ascii="宋体" w:hAnsi="宋体" w:cs="宋体"/>
          <w:color w:val="auto"/>
          <w:highlight w:val="none"/>
        </w:rPr>
      </w:pPr>
      <w:r>
        <w:rPr>
          <w:rFonts w:hint="eastAsia" w:ascii="宋体" w:hAnsi="宋体" w:cs="宋体"/>
          <w:color w:val="auto"/>
          <w:highlight w:val="none"/>
        </w:rPr>
        <w:t>（2）技术部分的权重占</w:t>
      </w:r>
      <w:r>
        <w:rPr>
          <w:rFonts w:hint="eastAsia" w:ascii="宋体" w:hAnsi="宋体" w:cs="宋体"/>
          <w:color w:val="auto"/>
          <w:highlight w:val="none"/>
          <w:lang w:val="en-US" w:eastAsia="zh-CN"/>
        </w:rPr>
        <w:t>48</w:t>
      </w:r>
      <w:r>
        <w:rPr>
          <w:rFonts w:hint="eastAsia" w:ascii="宋体" w:hAnsi="宋体" w:cs="宋体"/>
          <w:color w:val="auto"/>
          <w:highlight w:val="none"/>
        </w:rPr>
        <w:t>%</w:t>
      </w:r>
    </w:p>
    <w:p w14:paraId="11E540CE">
      <w:pPr>
        <w:wordWrap w:val="0"/>
        <w:spacing w:line="500" w:lineRule="exact"/>
        <w:ind w:firstLine="480" w:firstLineChars="200"/>
        <w:rPr>
          <w:rFonts w:ascii="宋体" w:hAnsi="宋体" w:cs="宋体"/>
          <w:color w:val="auto"/>
          <w:highlight w:val="none"/>
        </w:rPr>
      </w:pPr>
      <w:r>
        <w:rPr>
          <w:rFonts w:hint="eastAsia" w:ascii="宋体" w:hAnsi="宋体" w:cs="宋体"/>
          <w:color w:val="auto"/>
          <w:highlight w:val="none"/>
        </w:rPr>
        <w:t>（3）商务部分的权重占</w:t>
      </w:r>
      <w:r>
        <w:rPr>
          <w:rFonts w:hint="eastAsia" w:ascii="宋体" w:hAnsi="宋体" w:cs="宋体"/>
          <w:color w:val="auto"/>
          <w:highlight w:val="none"/>
          <w:lang w:val="en-US" w:eastAsia="zh-CN"/>
        </w:rPr>
        <w:t>22</w:t>
      </w:r>
      <w:r>
        <w:rPr>
          <w:rFonts w:hint="eastAsia" w:ascii="宋体" w:hAnsi="宋体" w:cs="宋体"/>
          <w:color w:val="auto"/>
          <w:highlight w:val="none"/>
        </w:rPr>
        <w:t>%</w:t>
      </w:r>
    </w:p>
    <w:p w14:paraId="61640FDC">
      <w:pPr>
        <w:wordWrap w:val="0"/>
        <w:spacing w:line="500" w:lineRule="exact"/>
        <w:ind w:firstLine="480" w:firstLineChars="200"/>
        <w:rPr>
          <w:rFonts w:ascii="宋体" w:hAnsi="宋体" w:cs="宋体"/>
          <w:color w:val="auto"/>
          <w:highlight w:val="none"/>
        </w:rPr>
      </w:pPr>
      <w:r>
        <w:rPr>
          <w:rFonts w:hint="eastAsia" w:ascii="宋体" w:hAnsi="宋体" w:cs="宋体"/>
          <w:color w:val="auto"/>
          <w:highlight w:val="none"/>
        </w:rPr>
        <w:t>2.2.2 评标基准价计算</w:t>
      </w:r>
    </w:p>
    <w:p w14:paraId="4825E6D2">
      <w:pPr>
        <w:wordWrap w:val="0"/>
        <w:spacing w:line="500" w:lineRule="exact"/>
        <w:ind w:firstLine="480" w:firstLineChars="200"/>
        <w:rPr>
          <w:rFonts w:ascii="宋体" w:hAnsi="宋体" w:cs="宋体"/>
          <w:color w:val="auto"/>
          <w:highlight w:val="none"/>
        </w:rPr>
      </w:pPr>
      <w:r>
        <w:rPr>
          <w:rFonts w:hint="eastAsia" w:ascii="宋体" w:hAnsi="宋体" w:cs="宋体"/>
          <w:color w:val="auto"/>
          <w:highlight w:val="none"/>
        </w:rPr>
        <w:t>评标基准价计算方法：见评标办法前附表。</w:t>
      </w:r>
    </w:p>
    <w:p w14:paraId="244BAC53">
      <w:pPr>
        <w:wordWrap w:val="0"/>
        <w:spacing w:line="500" w:lineRule="exact"/>
        <w:ind w:firstLine="480" w:firstLineChars="200"/>
        <w:rPr>
          <w:rFonts w:ascii="宋体" w:hAnsi="宋体" w:cs="宋体"/>
          <w:color w:val="auto"/>
          <w:highlight w:val="none"/>
        </w:rPr>
      </w:pPr>
      <w:r>
        <w:rPr>
          <w:rFonts w:hint="eastAsia" w:ascii="宋体" w:hAnsi="宋体" w:cs="宋体"/>
          <w:color w:val="auto"/>
          <w:highlight w:val="none"/>
        </w:rPr>
        <w:t>2.2.3 评分标准</w:t>
      </w:r>
    </w:p>
    <w:p w14:paraId="60B4D0F1">
      <w:pPr>
        <w:wordWrap w:val="0"/>
        <w:spacing w:line="500" w:lineRule="exact"/>
        <w:ind w:firstLine="480" w:firstLineChars="200"/>
        <w:rPr>
          <w:rFonts w:ascii="宋体" w:hAnsi="宋体" w:cs="宋体"/>
          <w:color w:val="auto"/>
          <w:highlight w:val="none"/>
        </w:rPr>
      </w:pPr>
      <w:r>
        <w:rPr>
          <w:rFonts w:hint="eastAsia" w:ascii="宋体" w:hAnsi="宋体" w:cs="宋体"/>
          <w:color w:val="auto"/>
          <w:highlight w:val="none"/>
        </w:rPr>
        <w:t>见评标办法前附表。</w:t>
      </w:r>
    </w:p>
    <w:p w14:paraId="3BAF92CA">
      <w:pPr>
        <w:wordWrap w:val="0"/>
        <w:spacing w:line="500" w:lineRule="exact"/>
        <w:ind w:firstLine="480" w:firstLineChars="200"/>
        <w:rPr>
          <w:rFonts w:ascii="宋体" w:hAnsi="宋体" w:cs="宋体"/>
          <w:b/>
          <w:color w:val="auto"/>
          <w:highlight w:val="none"/>
        </w:rPr>
      </w:pPr>
      <w:r>
        <w:rPr>
          <w:rFonts w:hint="eastAsia" w:ascii="宋体" w:hAnsi="宋体" w:cs="宋体"/>
          <w:b/>
          <w:color w:val="auto"/>
          <w:highlight w:val="none"/>
        </w:rPr>
        <w:t>3. 评标程序</w:t>
      </w:r>
    </w:p>
    <w:p w14:paraId="5592CE36">
      <w:pPr>
        <w:wordWrap w:val="0"/>
        <w:spacing w:line="500" w:lineRule="exact"/>
        <w:ind w:firstLine="480" w:firstLineChars="200"/>
        <w:rPr>
          <w:rFonts w:ascii="宋体" w:hAnsi="宋体"/>
          <w:color w:val="auto"/>
          <w:highlight w:val="none"/>
        </w:rPr>
      </w:pPr>
      <w:r>
        <w:rPr>
          <w:rFonts w:hint="eastAsia" w:ascii="宋体" w:hAnsi="宋体"/>
          <w:color w:val="auto"/>
          <w:highlight w:val="none"/>
        </w:rPr>
        <w:t>3.1 初步评审</w:t>
      </w:r>
    </w:p>
    <w:p w14:paraId="2C63FDEA">
      <w:pPr>
        <w:wordWrap w:val="0"/>
        <w:spacing w:line="500" w:lineRule="exact"/>
        <w:ind w:firstLine="480" w:firstLineChars="200"/>
        <w:rPr>
          <w:rFonts w:ascii="宋体" w:hAnsi="宋体"/>
          <w:color w:val="auto"/>
          <w:highlight w:val="none"/>
        </w:rPr>
      </w:pPr>
      <w:r>
        <w:rPr>
          <w:rFonts w:hint="eastAsia" w:ascii="宋体" w:hAnsi="宋体"/>
          <w:color w:val="auto"/>
          <w:highlight w:val="none"/>
        </w:rPr>
        <w:t>3.1.1招标人根据本章规定得资格评审办法对供应商进行资格审查，通过资格审查得供应商由评标委员会依据本章规定的评审标准对投标文件进行符合性评审、响应性评审。有一项不符合评审标准的，将被否决投标。</w:t>
      </w:r>
    </w:p>
    <w:p w14:paraId="55755AE8">
      <w:pPr>
        <w:wordWrap w:val="0"/>
        <w:spacing w:line="500" w:lineRule="exact"/>
        <w:ind w:firstLine="480" w:firstLineChars="200"/>
        <w:rPr>
          <w:rFonts w:ascii="宋体" w:hAnsi="宋体"/>
          <w:color w:val="auto"/>
          <w:highlight w:val="none"/>
        </w:rPr>
      </w:pPr>
      <w:r>
        <w:rPr>
          <w:rFonts w:hint="eastAsia" w:ascii="宋体" w:hAnsi="宋体"/>
          <w:color w:val="auto"/>
          <w:highlight w:val="none"/>
        </w:rPr>
        <w:t>3.1.2 投标供应商有以下情形之一的，其投标将予以否决投标：</w:t>
      </w:r>
    </w:p>
    <w:p w14:paraId="75069112">
      <w:pPr>
        <w:wordWrap w:val="0"/>
        <w:spacing w:line="500" w:lineRule="exact"/>
        <w:ind w:firstLine="480" w:firstLineChars="200"/>
        <w:rPr>
          <w:rFonts w:ascii="宋体" w:hAnsi="宋体"/>
          <w:color w:val="auto"/>
          <w:highlight w:val="none"/>
        </w:rPr>
      </w:pPr>
      <w:r>
        <w:rPr>
          <w:rFonts w:hint="eastAsia" w:ascii="宋体" w:hAnsi="宋体"/>
          <w:color w:val="auto"/>
          <w:highlight w:val="none"/>
        </w:rPr>
        <w:t>（1）串通投标或弄虚作假或有其他违法行为的；</w:t>
      </w:r>
    </w:p>
    <w:p w14:paraId="4F642983">
      <w:pPr>
        <w:wordWrap w:val="0"/>
        <w:spacing w:line="500" w:lineRule="exact"/>
        <w:ind w:firstLine="480" w:firstLineChars="200"/>
        <w:rPr>
          <w:rFonts w:ascii="宋体" w:hAnsi="宋体"/>
          <w:color w:val="auto"/>
          <w:highlight w:val="none"/>
        </w:rPr>
      </w:pPr>
      <w:r>
        <w:rPr>
          <w:rFonts w:hint="eastAsia" w:ascii="宋体" w:hAnsi="宋体"/>
          <w:color w:val="auto"/>
          <w:highlight w:val="none"/>
        </w:rPr>
        <w:t>（2）不按评标委员会要求澄清、说明或补正的。</w:t>
      </w:r>
    </w:p>
    <w:p w14:paraId="3E3E85E5">
      <w:pPr>
        <w:wordWrap w:val="0"/>
        <w:spacing w:line="500" w:lineRule="exact"/>
        <w:ind w:firstLine="480" w:firstLineChars="200"/>
        <w:rPr>
          <w:rFonts w:ascii="宋体" w:hAnsi="宋体"/>
          <w:color w:val="auto"/>
          <w:highlight w:val="none"/>
        </w:rPr>
      </w:pPr>
      <w:r>
        <w:rPr>
          <w:rFonts w:hint="eastAsia" w:ascii="宋体" w:hAnsi="宋体"/>
          <w:color w:val="auto"/>
          <w:highlight w:val="none"/>
        </w:rPr>
        <w:t>3.1.3投标报价有算术错误的，评标委员会按以下原则对投标报价进行修正，修正的价格经投标供应商书面确认后具有约束力。投标供应商不接受修正价格的，其投标不予评审。</w:t>
      </w:r>
    </w:p>
    <w:p w14:paraId="209E4F83">
      <w:pPr>
        <w:wordWrap w:val="0"/>
        <w:spacing w:line="500" w:lineRule="exact"/>
        <w:ind w:firstLine="480" w:firstLineChars="200"/>
        <w:rPr>
          <w:rFonts w:ascii="宋体" w:hAnsi="宋体"/>
          <w:color w:val="auto"/>
          <w:highlight w:val="none"/>
        </w:rPr>
      </w:pPr>
      <w:r>
        <w:rPr>
          <w:rFonts w:hint="eastAsia" w:ascii="宋体" w:hAnsi="宋体"/>
          <w:color w:val="auto"/>
          <w:highlight w:val="none"/>
        </w:rPr>
        <w:t>投标文件中的大写金额与小写金额不一致的，以大写金额为准；</w:t>
      </w:r>
    </w:p>
    <w:p w14:paraId="411068FE">
      <w:pPr>
        <w:wordWrap w:val="0"/>
        <w:spacing w:line="500" w:lineRule="exact"/>
        <w:ind w:firstLine="480" w:firstLineChars="200"/>
        <w:rPr>
          <w:rFonts w:ascii="宋体" w:hAnsi="宋体"/>
          <w:color w:val="auto"/>
          <w:highlight w:val="none"/>
        </w:rPr>
      </w:pPr>
      <w:r>
        <w:rPr>
          <w:rFonts w:hint="eastAsia" w:ascii="宋体" w:hAnsi="宋体"/>
          <w:color w:val="auto"/>
          <w:highlight w:val="none"/>
        </w:rPr>
        <w:t>总价金额与依据单价计算出的结果不一致的，以单价金额为准修正总价，但单价金额小数点有明显错误的除外。</w:t>
      </w:r>
    </w:p>
    <w:p w14:paraId="34AD0C37">
      <w:pPr>
        <w:wordWrap w:val="0"/>
        <w:spacing w:line="500" w:lineRule="exact"/>
        <w:ind w:firstLine="480" w:firstLineChars="200"/>
        <w:rPr>
          <w:rFonts w:ascii="宋体" w:hAnsi="宋体"/>
          <w:b/>
          <w:color w:val="auto"/>
          <w:highlight w:val="none"/>
        </w:rPr>
      </w:pPr>
      <w:r>
        <w:rPr>
          <w:rFonts w:hint="eastAsia" w:ascii="宋体" w:hAnsi="宋体"/>
          <w:b/>
          <w:color w:val="auto"/>
          <w:highlight w:val="none"/>
        </w:rPr>
        <w:t>3.2 详细评审</w:t>
      </w:r>
    </w:p>
    <w:p w14:paraId="66D55B24">
      <w:pPr>
        <w:wordWrap w:val="0"/>
        <w:spacing w:line="500" w:lineRule="exact"/>
        <w:ind w:firstLine="480" w:firstLineChars="200"/>
        <w:rPr>
          <w:rFonts w:ascii="宋体" w:hAnsi="宋体"/>
          <w:color w:val="auto"/>
          <w:highlight w:val="none"/>
        </w:rPr>
      </w:pPr>
      <w:r>
        <w:rPr>
          <w:rFonts w:hint="eastAsia" w:ascii="宋体" w:hAnsi="宋体"/>
          <w:color w:val="auto"/>
          <w:highlight w:val="none"/>
        </w:rPr>
        <w:t>3.2.1 评标委员会按本章第2.2款规定的量化因素和分值进行打分，并计算出综合评分。</w:t>
      </w:r>
    </w:p>
    <w:p w14:paraId="76AAB13C">
      <w:pPr>
        <w:wordWrap w:val="0"/>
        <w:spacing w:line="500" w:lineRule="exact"/>
        <w:ind w:firstLine="480" w:firstLineChars="200"/>
        <w:rPr>
          <w:rFonts w:ascii="宋体" w:hAnsi="宋体"/>
          <w:color w:val="auto"/>
          <w:highlight w:val="none"/>
        </w:rPr>
      </w:pPr>
      <w:r>
        <w:rPr>
          <w:rFonts w:hint="eastAsia" w:ascii="宋体" w:hAnsi="宋体"/>
          <w:color w:val="auto"/>
          <w:highlight w:val="none"/>
        </w:rPr>
        <w:t>3.2.2 评分分值计算保留小数点后两位，小数点后第三位“四舍五入”。</w:t>
      </w:r>
    </w:p>
    <w:p w14:paraId="4FBC2B99">
      <w:pPr>
        <w:wordWrap w:val="0"/>
        <w:spacing w:line="500" w:lineRule="exact"/>
        <w:ind w:firstLine="480" w:firstLineChars="200"/>
        <w:rPr>
          <w:rFonts w:ascii="宋体" w:hAnsi="宋体"/>
          <w:color w:val="auto"/>
          <w:highlight w:val="none"/>
        </w:rPr>
      </w:pPr>
      <w:r>
        <w:rPr>
          <w:rFonts w:hint="eastAsia" w:ascii="宋体" w:hAnsi="宋体"/>
          <w:color w:val="auto"/>
          <w:highlight w:val="none"/>
        </w:rPr>
        <w:t>3.2.3投标供应商的报价明显低于其他投标报价，或者在设有最高限价时明显低于最高限价，使得其投标报价可能低于其个别成本的，应当要求该投标供应商作出书面说明并提供相应的证明材料。投标供应商不能合理说明或者不能提供相应证明材料的，由评标委员会认定该投标供应商以低于成本报价竞标，其投标将予以否决处理。</w:t>
      </w:r>
    </w:p>
    <w:p w14:paraId="6855EF85">
      <w:pPr>
        <w:wordWrap w:val="0"/>
        <w:spacing w:line="500" w:lineRule="exact"/>
        <w:ind w:firstLine="480" w:firstLineChars="200"/>
        <w:rPr>
          <w:rFonts w:ascii="宋体" w:hAnsi="宋体"/>
          <w:b/>
          <w:color w:val="auto"/>
          <w:highlight w:val="none"/>
        </w:rPr>
      </w:pPr>
      <w:r>
        <w:rPr>
          <w:rFonts w:hint="eastAsia" w:ascii="宋体" w:hAnsi="宋体"/>
          <w:b/>
          <w:color w:val="auto"/>
          <w:highlight w:val="none"/>
        </w:rPr>
        <w:t>3.3 投标文件的澄清和补正</w:t>
      </w:r>
    </w:p>
    <w:p w14:paraId="7ADCBDA0">
      <w:pPr>
        <w:wordWrap w:val="0"/>
        <w:spacing w:line="500" w:lineRule="exact"/>
        <w:ind w:firstLine="480" w:firstLineChars="200"/>
        <w:rPr>
          <w:rFonts w:ascii="宋体" w:hAnsi="宋体"/>
          <w:color w:val="auto"/>
          <w:highlight w:val="none"/>
        </w:rPr>
      </w:pPr>
      <w:r>
        <w:rPr>
          <w:rFonts w:hint="eastAsia" w:ascii="宋体" w:hAnsi="宋体"/>
          <w:color w:val="auto"/>
          <w:highlight w:val="none"/>
        </w:rPr>
        <w:t>3.3.1在评标过程中，评标委员会可以书面形式要求投标供应商对所提交投标文件中不明确的内容进行书面澄清或说明，或者对细微偏差进行补正。评标委员会不接受投标供应商主动提出的澄清、说明或补正。</w:t>
      </w:r>
    </w:p>
    <w:p w14:paraId="109F787D">
      <w:pPr>
        <w:wordWrap w:val="0"/>
        <w:spacing w:line="500" w:lineRule="exact"/>
        <w:ind w:firstLine="480" w:firstLineChars="200"/>
        <w:rPr>
          <w:rFonts w:ascii="宋体" w:hAnsi="宋体"/>
          <w:color w:val="auto"/>
          <w:highlight w:val="none"/>
        </w:rPr>
      </w:pPr>
      <w:r>
        <w:rPr>
          <w:rFonts w:hint="eastAsia" w:ascii="宋体" w:hAnsi="宋体"/>
          <w:color w:val="auto"/>
          <w:highlight w:val="none"/>
        </w:rPr>
        <w:t>3.3.2 澄清、说明和补正不得改变投标文件的实质性内容（算术性错误修正的除外）。投标供应商的书面澄清、说明和补正属于投标文件的组成部分。</w:t>
      </w:r>
    </w:p>
    <w:p w14:paraId="2575EE39">
      <w:pPr>
        <w:wordWrap w:val="0"/>
        <w:spacing w:line="500" w:lineRule="exact"/>
        <w:ind w:firstLine="480" w:firstLineChars="200"/>
        <w:rPr>
          <w:rFonts w:ascii="宋体" w:hAnsi="宋体"/>
          <w:color w:val="auto"/>
          <w:highlight w:val="none"/>
        </w:rPr>
      </w:pPr>
      <w:r>
        <w:rPr>
          <w:rFonts w:hint="eastAsia" w:ascii="宋体" w:hAnsi="宋体"/>
          <w:color w:val="auto"/>
          <w:highlight w:val="none"/>
        </w:rPr>
        <w:t>3.3.3 评标委员会对投标供应商提交的澄清、说明或补正有疑问的，可以要求投标供应商进一步澄清、说明或补正，直至满足评标委员会的要求。</w:t>
      </w:r>
    </w:p>
    <w:p w14:paraId="13DFA4CF">
      <w:pPr>
        <w:wordWrap w:val="0"/>
        <w:spacing w:line="500" w:lineRule="exact"/>
        <w:ind w:firstLine="480" w:firstLineChars="200"/>
        <w:rPr>
          <w:rFonts w:ascii="宋体" w:hAnsi="宋体"/>
          <w:b/>
          <w:color w:val="auto"/>
          <w:highlight w:val="none"/>
        </w:rPr>
      </w:pPr>
      <w:r>
        <w:rPr>
          <w:rFonts w:hint="eastAsia" w:ascii="宋体" w:hAnsi="宋体"/>
          <w:b/>
          <w:color w:val="auto"/>
          <w:highlight w:val="none"/>
        </w:rPr>
        <w:t>3.4</w:t>
      </w:r>
      <w:r>
        <w:rPr>
          <w:rFonts w:hint="eastAsia" w:ascii="宋体" w:hAnsi="宋体" w:cs="宋体"/>
          <w:b/>
          <w:bCs/>
          <w:color w:val="auto"/>
          <w:highlight w:val="none"/>
        </w:rPr>
        <w:t>评标结果</w:t>
      </w:r>
    </w:p>
    <w:p w14:paraId="04BC32AD">
      <w:pPr>
        <w:wordWrap w:val="0"/>
        <w:spacing w:line="500" w:lineRule="exact"/>
        <w:ind w:firstLine="480" w:firstLineChars="200"/>
        <w:rPr>
          <w:rFonts w:hint="eastAsia" w:ascii="宋体" w:hAnsi="宋体"/>
          <w:color w:val="auto"/>
          <w:highlight w:val="none"/>
        </w:rPr>
      </w:pPr>
      <w:r>
        <w:rPr>
          <w:rFonts w:hint="eastAsia" w:ascii="宋体" w:hAnsi="宋体"/>
          <w:color w:val="auto"/>
          <w:highlight w:val="none"/>
        </w:rPr>
        <w:t>3.4.1 除第二章“投标人须知”前附表授权直接确定中标人外，评标委员会按照得分由高到低的顺序推荐中标候选人。</w:t>
      </w:r>
    </w:p>
    <w:p w14:paraId="3E99A778">
      <w:pPr>
        <w:wordWrap w:val="0"/>
        <w:spacing w:line="500" w:lineRule="exact"/>
        <w:ind w:firstLine="480" w:firstLineChars="200"/>
        <w:rPr>
          <w:rFonts w:hint="eastAsia" w:ascii="宋体" w:hAnsi="宋体"/>
          <w:color w:val="auto"/>
          <w:highlight w:val="none"/>
        </w:rPr>
      </w:pPr>
      <w:r>
        <w:rPr>
          <w:rFonts w:hint="eastAsia" w:ascii="宋体" w:hAnsi="宋体"/>
          <w:color w:val="auto"/>
          <w:highlight w:val="none"/>
        </w:rPr>
        <w:t>3.4.2 采购代理机构应当在评标结束后2个工作日内将评标报告送采购人；</w:t>
      </w:r>
    </w:p>
    <w:p w14:paraId="19D5C00A">
      <w:pPr>
        <w:wordWrap w:val="0"/>
        <w:spacing w:line="500" w:lineRule="exact"/>
        <w:ind w:firstLine="480" w:firstLineChars="200"/>
        <w:rPr>
          <w:rFonts w:hint="eastAsia" w:ascii="宋体" w:hAnsi="宋体"/>
          <w:color w:val="auto"/>
          <w:highlight w:val="none"/>
        </w:rPr>
      </w:pPr>
      <w:r>
        <w:rPr>
          <w:rFonts w:hint="eastAsia" w:ascii="宋体" w:hAnsi="宋体"/>
          <w:color w:val="auto"/>
          <w:highlight w:val="none"/>
        </w:rPr>
        <w:t>3.4.3 采购人应当自收到评标报告之日起5个工作日内，在评标报告</w:t>
      </w:r>
      <w:r>
        <w:rPr>
          <w:rFonts w:hint="eastAsia" w:ascii="宋体" w:hAnsi="宋体"/>
          <w:color w:val="auto"/>
          <w:highlight w:val="none"/>
          <w:lang w:val="en-US" w:eastAsia="zh-CN"/>
        </w:rPr>
        <w:t>推荐的</w:t>
      </w:r>
      <w:r>
        <w:rPr>
          <w:rFonts w:hint="eastAsia" w:ascii="宋体" w:hAnsi="宋体"/>
          <w:color w:val="auto"/>
          <w:highlight w:val="none"/>
        </w:rPr>
        <w:t>中标候选人名单中确定</w:t>
      </w:r>
      <w:r>
        <w:rPr>
          <w:rFonts w:hint="eastAsia" w:ascii="宋体" w:hAnsi="宋体"/>
          <w:color w:val="auto"/>
          <w:highlight w:val="none"/>
          <w:lang w:val="en-US" w:eastAsia="zh-CN"/>
        </w:rPr>
        <w:t>前一名为</w:t>
      </w:r>
      <w:r>
        <w:rPr>
          <w:rFonts w:hint="eastAsia" w:ascii="宋体" w:hAnsi="宋体"/>
          <w:color w:val="auto"/>
          <w:highlight w:val="none"/>
        </w:rPr>
        <w:t>中标人。中标候选人并列的，由采购人或者采购人委托磋商小组按照竞争性磋商文件规定的方式确定中标人；竞争性磋商文件未规定的，采取随机抽取的方式确定。</w:t>
      </w:r>
    </w:p>
    <w:p w14:paraId="62FA3E51">
      <w:pPr>
        <w:pStyle w:val="14"/>
        <w:wordWrap w:val="0"/>
        <w:spacing w:before="0" w:beforeAutospacing="0" w:after="0" w:afterAutospacing="0" w:line="480" w:lineRule="exact"/>
        <w:ind w:firstLine="480" w:firstLineChars="200"/>
        <w:rPr>
          <w:rFonts w:hint="eastAsia"/>
          <w:color w:val="auto"/>
          <w:highlight w:val="none"/>
        </w:rPr>
      </w:pPr>
      <w:r>
        <w:rPr>
          <w:rFonts w:hint="eastAsia"/>
          <w:color w:val="auto"/>
          <w:highlight w:val="none"/>
        </w:rPr>
        <w:t>3.4.4 采购人应当自收到评标报告之日起5个工作日内，在评标报告</w:t>
      </w:r>
      <w:r>
        <w:rPr>
          <w:rFonts w:hint="eastAsia"/>
          <w:color w:val="auto"/>
          <w:highlight w:val="none"/>
          <w:lang w:val="en-US" w:eastAsia="zh-CN"/>
        </w:rPr>
        <w:t>推荐的</w:t>
      </w:r>
      <w:r>
        <w:rPr>
          <w:rFonts w:hint="eastAsia"/>
          <w:color w:val="auto"/>
          <w:highlight w:val="none"/>
        </w:rPr>
        <w:t>中标候选人名单中确定</w:t>
      </w:r>
      <w:r>
        <w:rPr>
          <w:rFonts w:hint="eastAsia"/>
          <w:color w:val="auto"/>
          <w:highlight w:val="none"/>
          <w:lang w:val="en-US" w:eastAsia="zh-CN"/>
        </w:rPr>
        <w:t>前一名为</w:t>
      </w:r>
      <w:r>
        <w:rPr>
          <w:rFonts w:hint="eastAsia"/>
          <w:color w:val="auto"/>
          <w:highlight w:val="none"/>
        </w:rPr>
        <w:t>中标人。中标候选人并列的，由采购人或者采购人委托磋商小组按照竞争性磋商文件规定的方式确定中标人；竞争性磋商文件未规定的，采取随机抽取的方式确定。</w:t>
      </w:r>
    </w:p>
    <w:p w14:paraId="4405641E">
      <w:pPr>
        <w:pStyle w:val="3"/>
        <w:wordWrap w:val="0"/>
        <w:rPr>
          <w:rFonts w:hint="eastAsia"/>
          <w:color w:val="auto"/>
          <w:sz w:val="40"/>
          <w:highlight w:val="none"/>
        </w:rPr>
      </w:pPr>
      <w:bookmarkStart w:id="194" w:name="_Toc517179005"/>
      <w:bookmarkEnd w:id="194"/>
      <w:bookmarkStart w:id="195" w:name="_Toc23845"/>
      <w:bookmarkStart w:id="196" w:name="_Toc528078064"/>
    </w:p>
    <w:p w14:paraId="02E4BEF9">
      <w:pPr>
        <w:rPr>
          <w:rFonts w:hint="eastAsia"/>
          <w:color w:val="auto"/>
          <w:sz w:val="40"/>
          <w:highlight w:val="none"/>
        </w:rPr>
      </w:pPr>
    </w:p>
    <w:p w14:paraId="1205DBBA">
      <w:pPr>
        <w:rPr>
          <w:rFonts w:hint="eastAsia"/>
          <w:color w:val="auto"/>
          <w:sz w:val="40"/>
          <w:highlight w:val="none"/>
        </w:rPr>
      </w:pPr>
    </w:p>
    <w:p w14:paraId="3F38E9D8">
      <w:pPr>
        <w:pStyle w:val="3"/>
        <w:wordWrap w:val="0"/>
        <w:jc w:val="both"/>
        <w:rPr>
          <w:rFonts w:hint="eastAsia"/>
          <w:color w:val="auto"/>
          <w:sz w:val="40"/>
          <w:highlight w:val="none"/>
        </w:rPr>
      </w:pPr>
    </w:p>
    <w:p w14:paraId="09000BA0">
      <w:pPr>
        <w:rPr>
          <w:rFonts w:hint="eastAsia"/>
          <w:color w:val="auto"/>
          <w:highlight w:val="none"/>
        </w:rPr>
      </w:pPr>
    </w:p>
    <w:p w14:paraId="154BE1EE">
      <w:pPr>
        <w:rPr>
          <w:rFonts w:hint="eastAsia"/>
          <w:color w:val="auto"/>
          <w:sz w:val="40"/>
          <w:highlight w:val="none"/>
        </w:rPr>
      </w:pPr>
      <w:r>
        <w:rPr>
          <w:rFonts w:hint="eastAsia"/>
          <w:color w:val="auto"/>
          <w:sz w:val="40"/>
          <w:highlight w:val="none"/>
        </w:rPr>
        <w:br w:type="page"/>
      </w:r>
    </w:p>
    <w:p w14:paraId="49B59458">
      <w:pPr>
        <w:pStyle w:val="3"/>
        <w:wordWrap w:val="0"/>
        <w:rPr>
          <w:rFonts w:hint="eastAsia"/>
          <w:color w:val="auto"/>
          <w:sz w:val="40"/>
          <w:highlight w:val="none"/>
        </w:rPr>
      </w:pPr>
      <w:r>
        <w:rPr>
          <w:rFonts w:hint="eastAsia"/>
          <w:color w:val="auto"/>
          <w:sz w:val="40"/>
          <w:highlight w:val="none"/>
        </w:rPr>
        <w:t>第四章 合同条款及格式</w:t>
      </w:r>
      <w:bookmarkEnd w:id="195"/>
    </w:p>
    <w:p w14:paraId="46A15C15">
      <w:pPr>
        <w:pStyle w:val="14"/>
        <w:wordWrap w:val="0"/>
        <w:spacing w:line="480" w:lineRule="exact"/>
        <w:jc w:val="center"/>
        <w:rPr>
          <w:rFonts w:hint="eastAsia"/>
          <w:color w:val="auto"/>
          <w:highlight w:val="none"/>
        </w:rPr>
      </w:pPr>
      <w:r>
        <w:rPr>
          <w:rFonts w:hint="eastAsia"/>
          <w:color w:val="auto"/>
          <w:highlight w:val="none"/>
        </w:rPr>
        <w:t>（主要条款）</w:t>
      </w:r>
    </w:p>
    <w:p w14:paraId="17A6C3BA">
      <w:pPr>
        <w:pStyle w:val="14"/>
        <w:wordWrap w:val="0"/>
        <w:spacing w:before="0" w:beforeAutospacing="0" w:after="0" w:afterAutospacing="0" w:line="480" w:lineRule="exact"/>
        <w:jc w:val="center"/>
        <w:rPr>
          <w:rFonts w:hint="eastAsia"/>
          <w:color w:val="auto"/>
          <w:highlight w:val="none"/>
        </w:rPr>
      </w:pPr>
      <w:r>
        <w:rPr>
          <w:rFonts w:hint="eastAsia"/>
          <w:color w:val="auto"/>
          <w:highlight w:val="none"/>
        </w:rPr>
        <w:t>（采购人可根据采购项目的实际情况增减条款和内容）</w:t>
      </w:r>
    </w:p>
    <w:p w14:paraId="7E919966">
      <w:pPr>
        <w:pStyle w:val="14"/>
        <w:wordWrap w:val="0"/>
        <w:spacing w:before="0" w:beforeAutospacing="0" w:after="0" w:afterAutospacing="0" w:line="480" w:lineRule="exact"/>
        <w:jc w:val="center"/>
        <w:rPr>
          <w:rFonts w:hint="eastAsia"/>
          <w:color w:val="auto"/>
          <w:highlight w:val="none"/>
        </w:rPr>
      </w:pPr>
      <w:r>
        <w:rPr>
          <w:rFonts w:hint="eastAsia"/>
          <w:color w:val="auto"/>
          <w:highlight w:val="none"/>
        </w:rPr>
        <w:t>（合同格式仅供参考）</w:t>
      </w:r>
    </w:p>
    <w:p w14:paraId="68DC8015">
      <w:pPr>
        <w:pStyle w:val="14"/>
        <w:wordWrap w:val="0"/>
        <w:spacing w:before="0" w:beforeAutospacing="0" w:after="0" w:afterAutospacing="0" w:line="460" w:lineRule="exact"/>
        <w:rPr>
          <w:rFonts w:hint="eastAsia"/>
          <w:color w:val="auto"/>
          <w:highlight w:val="none"/>
        </w:rPr>
      </w:pPr>
      <w:r>
        <w:rPr>
          <w:rFonts w:hint="eastAsia"/>
          <w:color w:val="auto"/>
          <w:highlight w:val="none"/>
        </w:rPr>
        <w:t>甲  方：</w:t>
      </w:r>
    </w:p>
    <w:p w14:paraId="78047436">
      <w:pPr>
        <w:pStyle w:val="14"/>
        <w:wordWrap w:val="0"/>
        <w:spacing w:before="0" w:beforeAutospacing="0" w:after="0" w:afterAutospacing="0" w:line="460" w:lineRule="exact"/>
        <w:rPr>
          <w:rFonts w:hint="eastAsia"/>
          <w:color w:val="auto"/>
          <w:highlight w:val="none"/>
        </w:rPr>
      </w:pPr>
      <w:r>
        <w:rPr>
          <w:rFonts w:hint="eastAsia"/>
          <w:color w:val="auto"/>
          <w:highlight w:val="none"/>
        </w:rPr>
        <w:t xml:space="preserve">乙  方： </w:t>
      </w:r>
    </w:p>
    <w:p w14:paraId="2D66AA7B">
      <w:pPr>
        <w:pStyle w:val="14"/>
        <w:wordWrap w:val="0"/>
        <w:spacing w:before="0" w:beforeAutospacing="0" w:after="0" w:afterAutospacing="0" w:line="460" w:lineRule="exact"/>
        <w:ind w:firstLine="480" w:firstLineChars="200"/>
        <w:rPr>
          <w:rFonts w:hint="eastAsia"/>
          <w:color w:val="auto"/>
          <w:highlight w:val="none"/>
        </w:rPr>
      </w:pPr>
      <w:r>
        <w:rPr>
          <w:rFonts w:hint="eastAsia"/>
          <w:color w:val="auto"/>
          <w:highlight w:val="none"/>
        </w:rPr>
        <w:t xml:space="preserve">甲方名称根据的批复，组织对***项目进行竞争性磋商，招标编号（），于年月日通过竞争性磋商，确定乙方为***项目中标人。为了保护供需各方合法权益,根据《中华人民共和国政府采购法》、《中华人民共和国合同法》等相关法律、法规的规定，并严格遵循政府采购项目采购文件的相关规定，经甲乙双方协商一致，订立本合同。 </w:t>
      </w:r>
    </w:p>
    <w:p w14:paraId="1C8440DB">
      <w:pPr>
        <w:pStyle w:val="14"/>
        <w:wordWrap w:val="0"/>
        <w:spacing w:before="0" w:beforeAutospacing="0" w:after="0" w:afterAutospacing="0" w:line="460" w:lineRule="exact"/>
        <w:ind w:firstLine="480" w:firstLineChars="200"/>
        <w:rPr>
          <w:rFonts w:hint="eastAsia"/>
          <w:color w:val="auto"/>
          <w:highlight w:val="none"/>
        </w:rPr>
      </w:pPr>
      <w:r>
        <w:rPr>
          <w:rFonts w:hint="eastAsia"/>
          <w:color w:val="auto"/>
          <w:highlight w:val="none"/>
        </w:rPr>
        <w:t>一、项目概况、合同金额（详见报价表，附后）</w:t>
      </w:r>
    </w:p>
    <w:p w14:paraId="2773AEF0">
      <w:pPr>
        <w:pStyle w:val="14"/>
        <w:wordWrap w:val="0"/>
        <w:spacing w:before="0" w:beforeAutospacing="0" w:after="0" w:afterAutospacing="0" w:line="460" w:lineRule="exact"/>
        <w:ind w:firstLine="480" w:firstLineChars="200"/>
        <w:rPr>
          <w:rFonts w:hint="eastAsia"/>
          <w:color w:val="auto"/>
          <w:highlight w:val="none"/>
        </w:rPr>
      </w:pPr>
      <w:r>
        <w:rPr>
          <w:rFonts w:hint="eastAsia"/>
          <w:color w:val="auto"/>
          <w:highlight w:val="none"/>
        </w:rPr>
        <w:t>1.项目编号：。</w:t>
      </w:r>
    </w:p>
    <w:p w14:paraId="17EAA350">
      <w:pPr>
        <w:pStyle w:val="14"/>
        <w:wordWrap w:val="0"/>
        <w:spacing w:before="0" w:beforeAutospacing="0" w:after="0" w:afterAutospacing="0" w:line="460" w:lineRule="exact"/>
        <w:ind w:firstLine="480" w:firstLineChars="200"/>
        <w:rPr>
          <w:rFonts w:hint="eastAsia"/>
          <w:color w:val="auto"/>
          <w:highlight w:val="none"/>
        </w:rPr>
      </w:pPr>
      <w:r>
        <w:rPr>
          <w:rFonts w:hint="eastAsia"/>
          <w:color w:val="auto"/>
          <w:highlight w:val="none"/>
        </w:rPr>
        <w:t>2.项目名称：。</w:t>
      </w:r>
    </w:p>
    <w:p w14:paraId="0A911166">
      <w:pPr>
        <w:pStyle w:val="14"/>
        <w:wordWrap w:val="0"/>
        <w:spacing w:before="0" w:beforeAutospacing="0" w:after="0" w:afterAutospacing="0" w:line="460" w:lineRule="exact"/>
        <w:ind w:firstLine="480" w:firstLineChars="200"/>
        <w:rPr>
          <w:rFonts w:hint="eastAsia"/>
          <w:color w:val="auto"/>
          <w:highlight w:val="none"/>
        </w:rPr>
      </w:pPr>
      <w:r>
        <w:rPr>
          <w:rFonts w:hint="eastAsia"/>
          <w:color w:val="auto"/>
          <w:highlight w:val="none"/>
        </w:rPr>
        <w:t>3.具体内容：（详见乙方报价表）</w:t>
      </w:r>
    </w:p>
    <w:p w14:paraId="753E669F">
      <w:pPr>
        <w:pStyle w:val="14"/>
        <w:wordWrap w:val="0"/>
        <w:spacing w:before="0" w:beforeAutospacing="0" w:after="0" w:afterAutospacing="0" w:line="460" w:lineRule="exact"/>
        <w:ind w:firstLine="480" w:firstLineChars="200"/>
        <w:rPr>
          <w:rFonts w:hint="eastAsia"/>
          <w:color w:val="auto"/>
          <w:highlight w:val="none"/>
        </w:rPr>
      </w:pPr>
      <w:r>
        <w:rPr>
          <w:rFonts w:hint="eastAsia"/>
          <w:color w:val="auto"/>
          <w:highlight w:val="none"/>
        </w:rPr>
        <w:t>4.合同金额：人民币元（大写：），以上价格以人民币结算。</w:t>
      </w:r>
    </w:p>
    <w:p w14:paraId="352497AF">
      <w:pPr>
        <w:pStyle w:val="14"/>
        <w:wordWrap w:val="0"/>
        <w:spacing w:before="0" w:beforeAutospacing="0" w:after="0" w:afterAutospacing="0" w:line="460" w:lineRule="exact"/>
        <w:ind w:firstLine="480" w:firstLineChars="200"/>
        <w:rPr>
          <w:rFonts w:hint="eastAsia"/>
          <w:color w:val="auto"/>
          <w:highlight w:val="none"/>
        </w:rPr>
      </w:pPr>
      <w:r>
        <w:rPr>
          <w:rFonts w:hint="eastAsia"/>
          <w:color w:val="auto"/>
          <w:highlight w:val="none"/>
        </w:rPr>
        <w:t>二、付款方式</w:t>
      </w:r>
    </w:p>
    <w:p w14:paraId="63E0996E">
      <w:pPr>
        <w:pStyle w:val="14"/>
        <w:wordWrap w:val="0"/>
        <w:spacing w:before="0" w:beforeAutospacing="0" w:after="0" w:afterAutospacing="0" w:line="460" w:lineRule="exact"/>
        <w:ind w:firstLine="480" w:firstLineChars="200"/>
        <w:rPr>
          <w:rFonts w:hint="eastAsia"/>
          <w:color w:val="auto"/>
          <w:highlight w:val="none"/>
        </w:rPr>
      </w:pPr>
      <w:r>
        <w:rPr>
          <w:rFonts w:hint="eastAsia"/>
          <w:color w:val="auto"/>
          <w:highlight w:val="none"/>
        </w:rPr>
        <w:t>三、交货时间、交货地点</w:t>
      </w:r>
    </w:p>
    <w:p w14:paraId="07696063">
      <w:pPr>
        <w:pStyle w:val="14"/>
        <w:wordWrap w:val="0"/>
        <w:spacing w:before="0" w:beforeAutospacing="0" w:after="0" w:afterAutospacing="0" w:line="460" w:lineRule="exact"/>
        <w:ind w:firstLine="480" w:firstLineChars="200"/>
        <w:rPr>
          <w:rFonts w:hint="eastAsia"/>
          <w:color w:val="auto"/>
          <w:highlight w:val="none"/>
        </w:rPr>
      </w:pPr>
      <w:r>
        <w:rPr>
          <w:rFonts w:hint="eastAsia"/>
          <w:color w:val="auto"/>
          <w:highlight w:val="none"/>
        </w:rPr>
        <w:t>1.交货时间：     年   月   日。</w:t>
      </w:r>
    </w:p>
    <w:p w14:paraId="39B7979F">
      <w:pPr>
        <w:pStyle w:val="14"/>
        <w:wordWrap w:val="0"/>
        <w:spacing w:before="0" w:beforeAutospacing="0" w:after="0" w:afterAutospacing="0" w:line="460" w:lineRule="exact"/>
        <w:ind w:firstLine="480" w:firstLineChars="200"/>
        <w:rPr>
          <w:rFonts w:hint="eastAsia"/>
          <w:color w:val="auto"/>
          <w:highlight w:val="none"/>
        </w:rPr>
      </w:pPr>
      <w:r>
        <w:rPr>
          <w:rFonts w:hint="eastAsia"/>
          <w:color w:val="auto"/>
          <w:highlight w:val="none"/>
        </w:rPr>
        <w:t>2.交货地点：采购人指定地点</w:t>
      </w:r>
    </w:p>
    <w:p w14:paraId="55E0457F">
      <w:pPr>
        <w:pStyle w:val="14"/>
        <w:wordWrap w:val="0"/>
        <w:spacing w:before="0" w:beforeAutospacing="0" w:after="0" w:afterAutospacing="0" w:line="460" w:lineRule="exact"/>
        <w:ind w:firstLine="480" w:firstLineChars="200"/>
        <w:rPr>
          <w:rFonts w:hint="eastAsia"/>
          <w:color w:val="auto"/>
          <w:highlight w:val="none"/>
        </w:rPr>
      </w:pPr>
      <w:r>
        <w:rPr>
          <w:rFonts w:hint="eastAsia"/>
          <w:color w:val="auto"/>
          <w:highlight w:val="none"/>
        </w:rPr>
        <w:t>四、履约验收</w:t>
      </w:r>
    </w:p>
    <w:p w14:paraId="2C25CEAA">
      <w:pPr>
        <w:pStyle w:val="14"/>
        <w:wordWrap w:val="0"/>
        <w:spacing w:before="0" w:beforeAutospacing="0" w:after="0" w:afterAutospacing="0" w:line="460" w:lineRule="exact"/>
        <w:ind w:firstLine="480" w:firstLineChars="200"/>
        <w:rPr>
          <w:rFonts w:hint="eastAsia"/>
          <w:color w:val="auto"/>
          <w:highlight w:val="none"/>
        </w:rPr>
      </w:pPr>
      <w:r>
        <w:rPr>
          <w:rFonts w:hint="eastAsia"/>
          <w:color w:val="auto"/>
          <w:highlight w:val="none"/>
        </w:rPr>
        <w:t>1.乙方提供的产品为原装正品，各项指标符合出产国检测标准和出厂标准，各项技术参数符合竞争性磋商文件要求和乙方响应文件承诺。</w:t>
      </w:r>
    </w:p>
    <w:p w14:paraId="1E806FE9">
      <w:pPr>
        <w:pStyle w:val="14"/>
        <w:wordWrap w:val="0"/>
        <w:spacing w:before="0" w:beforeAutospacing="0" w:after="0" w:afterAutospacing="0" w:line="460" w:lineRule="exact"/>
        <w:ind w:firstLine="480" w:firstLineChars="200"/>
        <w:rPr>
          <w:rFonts w:hint="eastAsia"/>
          <w:color w:val="auto"/>
          <w:highlight w:val="none"/>
        </w:rPr>
      </w:pPr>
      <w:r>
        <w:rPr>
          <w:rFonts w:hint="eastAsia"/>
          <w:color w:val="auto"/>
          <w:highlight w:val="none"/>
        </w:rPr>
        <w:t>2.乙方所交产品不符合规定或质量不合格的，由乙方负责包换，并承担换货而支付的一切费用。乙方不能调换的，按不能交货处理。</w:t>
      </w:r>
    </w:p>
    <w:p w14:paraId="655C04BE">
      <w:pPr>
        <w:pStyle w:val="14"/>
        <w:wordWrap w:val="0"/>
        <w:spacing w:before="0" w:beforeAutospacing="0" w:after="0" w:afterAutospacing="0" w:line="460" w:lineRule="exact"/>
        <w:ind w:firstLine="480" w:firstLineChars="200"/>
        <w:rPr>
          <w:rFonts w:hint="eastAsia"/>
          <w:color w:val="auto"/>
          <w:highlight w:val="none"/>
        </w:rPr>
      </w:pPr>
      <w:r>
        <w:rPr>
          <w:rFonts w:hint="eastAsia"/>
          <w:color w:val="auto"/>
          <w:highlight w:val="none"/>
        </w:rPr>
        <w:t>3.乙方应保证所提供的设备不侵犯第三方的专利权、商标权、著作权或其他知识产权。若乙方的行为侵犯了第三方的前述权利，并造成了第三方追究甲方的责任，甲方为此所受到的损失，应由乙方承担。</w:t>
      </w:r>
    </w:p>
    <w:p w14:paraId="4AA85525">
      <w:pPr>
        <w:pStyle w:val="14"/>
        <w:wordWrap w:val="0"/>
        <w:spacing w:before="0" w:beforeAutospacing="0" w:after="0" w:afterAutospacing="0" w:line="460" w:lineRule="exact"/>
        <w:ind w:firstLine="480" w:firstLineChars="200"/>
        <w:rPr>
          <w:rFonts w:hint="eastAsia"/>
          <w:color w:val="auto"/>
          <w:highlight w:val="none"/>
        </w:rPr>
      </w:pPr>
      <w:r>
        <w:rPr>
          <w:rFonts w:hint="eastAsia"/>
          <w:color w:val="auto"/>
          <w:highlight w:val="none"/>
        </w:rPr>
        <w:t>4.甲方按国家相关标准和本竞争性磋商文件的相关要求自行组织有关专业人员验收。</w:t>
      </w:r>
    </w:p>
    <w:p w14:paraId="5A77EE97">
      <w:pPr>
        <w:pStyle w:val="14"/>
        <w:wordWrap w:val="0"/>
        <w:spacing w:before="0" w:beforeAutospacing="0" w:after="0" w:afterAutospacing="0" w:line="460" w:lineRule="exact"/>
        <w:ind w:firstLine="480" w:firstLineChars="200"/>
        <w:rPr>
          <w:rFonts w:hint="eastAsia"/>
          <w:color w:val="auto"/>
          <w:highlight w:val="none"/>
        </w:rPr>
      </w:pPr>
      <w:r>
        <w:rPr>
          <w:rFonts w:hint="eastAsia"/>
          <w:color w:val="auto"/>
          <w:highlight w:val="none"/>
        </w:rPr>
        <w:t>5.验收内容：所采购的数量、参数标准、规格和质量。</w:t>
      </w:r>
    </w:p>
    <w:p w14:paraId="2DBBB178">
      <w:pPr>
        <w:pStyle w:val="14"/>
        <w:wordWrap w:val="0"/>
        <w:spacing w:before="0" w:beforeAutospacing="0" w:after="0" w:afterAutospacing="0" w:line="460" w:lineRule="exact"/>
        <w:ind w:firstLine="480" w:firstLineChars="200"/>
        <w:rPr>
          <w:rFonts w:hint="eastAsia"/>
          <w:color w:val="auto"/>
          <w:highlight w:val="none"/>
        </w:rPr>
      </w:pPr>
      <w:r>
        <w:rPr>
          <w:rFonts w:hint="eastAsia"/>
          <w:color w:val="auto"/>
          <w:highlight w:val="none"/>
        </w:rPr>
        <w:t>五、保修条款、售后服务</w:t>
      </w:r>
    </w:p>
    <w:p w14:paraId="019620DA">
      <w:pPr>
        <w:pStyle w:val="14"/>
        <w:wordWrap w:val="0"/>
        <w:spacing w:before="0" w:beforeAutospacing="0" w:after="0" w:afterAutospacing="0" w:line="460" w:lineRule="exact"/>
        <w:ind w:firstLine="480" w:firstLineChars="200"/>
        <w:rPr>
          <w:rFonts w:hint="eastAsia"/>
          <w:color w:val="auto"/>
          <w:highlight w:val="none"/>
        </w:rPr>
      </w:pPr>
      <w:r>
        <w:rPr>
          <w:rFonts w:hint="eastAsia"/>
          <w:color w:val="auto"/>
          <w:highlight w:val="none"/>
        </w:rPr>
        <w:t>严格遵守售后服务承诺，质保期为年（若乙方响应文件中承诺的质保期超过年的，以乙方响应文件中承诺的质保期为准）。凡在质保期内，产品出现质量问题，须免费维修，并对产品质量实行“国家规定的三包”服务。</w:t>
      </w:r>
    </w:p>
    <w:p w14:paraId="0BB6454A">
      <w:pPr>
        <w:pStyle w:val="14"/>
        <w:wordWrap w:val="0"/>
        <w:spacing w:before="0" w:beforeAutospacing="0" w:after="0" w:afterAutospacing="0" w:line="460" w:lineRule="exact"/>
        <w:ind w:firstLine="480" w:firstLineChars="200"/>
        <w:rPr>
          <w:rFonts w:hint="eastAsia"/>
          <w:color w:val="auto"/>
          <w:highlight w:val="none"/>
        </w:rPr>
      </w:pPr>
      <w:r>
        <w:rPr>
          <w:rFonts w:hint="eastAsia"/>
          <w:color w:val="auto"/>
          <w:highlight w:val="none"/>
        </w:rPr>
        <w:t>六、相关权利及义务</w:t>
      </w:r>
    </w:p>
    <w:p w14:paraId="06C4FF8C">
      <w:pPr>
        <w:pStyle w:val="14"/>
        <w:wordWrap w:val="0"/>
        <w:spacing w:before="0" w:beforeAutospacing="0" w:after="0" w:afterAutospacing="0" w:line="460" w:lineRule="exact"/>
        <w:ind w:firstLine="480" w:firstLineChars="200"/>
        <w:rPr>
          <w:rFonts w:hint="eastAsia"/>
          <w:color w:val="auto"/>
          <w:highlight w:val="none"/>
        </w:rPr>
      </w:pPr>
      <w:r>
        <w:rPr>
          <w:rFonts w:hint="eastAsia"/>
          <w:color w:val="auto"/>
          <w:highlight w:val="none"/>
        </w:rPr>
        <w:t>1.甲方在验收时对不符合竞争性磋商文件要求的产品有权拒绝接收和追究违约责任。</w:t>
      </w:r>
    </w:p>
    <w:p w14:paraId="698A4CBD">
      <w:pPr>
        <w:pStyle w:val="14"/>
        <w:wordWrap w:val="0"/>
        <w:spacing w:before="0" w:beforeAutospacing="0" w:after="0" w:afterAutospacing="0" w:line="460" w:lineRule="exact"/>
        <w:ind w:firstLine="480" w:firstLineChars="200"/>
        <w:rPr>
          <w:rFonts w:hint="eastAsia"/>
          <w:color w:val="auto"/>
          <w:highlight w:val="none"/>
        </w:rPr>
      </w:pPr>
      <w:r>
        <w:rPr>
          <w:rFonts w:hint="eastAsia"/>
          <w:color w:val="auto"/>
          <w:highlight w:val="none"/>
        </w:rPr>
        <w:t>2.甲方有权监督乙方的售后服务，并对乙方的售后服务不符合响应文件承诺内容时加以指出乃至追究合同责任。</w:t>
      </w:r>
    </w:p>
    <w:p w14:paraId="16364FB2">
      <w:pPr>
        <w:pStyle w:val="14"/>
        <w:wordWrap w:val="0"/>
        <w:spacing w:before="0" w:beforeAutospacing="0" w:after="0" w:afterAutospacing="0" w:line="460" w:lineRule="exact"/>
        <w:ind w:firstLine="480" w:firstLineChars="200"/>
        <w:rPr>
          <w:rFonts w:hint="eastAsia"/>
          <w:color w:val="auto"/>
          <w:highlight w:val="none"/>
        </w:rPr>
      </w:pPr>
      <w:r>
        <w:rPr>
          <w:rFonts w:hint="eastAsia"/>
          <w:color w:val="auto"/>
          <w:highlight w:val="none"/>
        </w:rPr>
        <w:t>3.甲方在合同规定期限内协助履行付款责任。</w:t>
      </w:r>
    </w:p>
    <w:p w14:paraId="763AF928">
      <w:pPr>
        <w:pStyle w:val="14"/>
        <w:wordWrap w:val="0"/>
        <w:spacing w:before="0" w:beforeAutospacing="0" w:after="0" w:afterAutospacing="0" w:line="460" w:lineRule="exact"/>
        <w:ind w:firstLine="480" w:firstLineChars="200"/>
        <w:rPr>
          <w:rFonts w:hint="eastAsia"/>
          <w:color w:val="auto"/>
          <w:highlight w:val="none"/>
        </w:rPr>
      </w:pPr>
      <w:r>
        <w:rPr>
          <w:rFonts w:hint="eastAsia"/>
          <w:color w:val="auto"/>
          <w:highlight w:val="none"/>
        </w:rPr>
        <w:t>4.甲方对乙方的技术及商业机密予以保密。</w:t>
      </w:r>
    </w:p>
    <w:p w14:paraId="06E9F4CD">
      <w:pPr>
        <w:pStyle w:val="14"/>
        <w:wordWrap w:val="0"/>
        <w:spacing w:before="0" w:beforeAutospacing="0" w:after="0" w:afterAutospacing="0" w:line="460" w:lineRule="exact"/>
        <w:ind w:firstLine="480" w:firstLineChars="200"/>
        <w:rPr>
          <w:rFonts w:hint="eastAsia"/>
          <w:color w:val="auto"/>
          <w:highlight w:val="none"/>
        </w:rPr>
      </w:pPr>
      <w:r>
        <w:rPr>
          <w:rFonts w:hint="eastAsia"/>
          <w:color w:val="auto"/>
          <w:highlight w:val="none"/>
        </w:rPr>
        <w:t>5.乙方有权按照合同要求及时支付相应合同款项。</w:t>
      </w:r>
    </w:p>
    <w:p w14:paraId="68784A3C">
      <w:pPr>
        <w:pStyle w:val="14"/>
        <w:wordWrap w:val="0"/>
        <w:spacing w:before="0" w:beforeAutospacing="0" w:after="0" w:afterAutospacing="0" w:line="460" w:lineRule="exact"/>
        <w:ind w:firstLine="480" w:firstLineChars="200"/>
        <w:rPr>
          <w:rFonts w:hint="eastAsia"/>
          <w:color w:val="auto"/>
          <w:highlight w:val="none"/>
        </w:rPr>
      </w:pPr>
      <w:r>
        <w:rPr>
          <w:rFonts w:hint="eastAsia"/>
          <w:color w:val="auto"/>
          <w:highlight w:val="none"/>
        </w:rPr>
        <w:t>6.乙方有义务按响应文件中的售后服务承诺提供良好的服务。</w:t>
      </w:r>
    </w:p>
    <w:p w14:paraId="3C94ACF1">
      <w:pPr>
        <w:pStyle w:val="14"/>
        <w:wordWrap w:val="0"/>
        <w:spacing w:before="0" w:beforeAutospacing="0" w:after="0" w:afterAutospacing="0" w:line="460" w:lineRule="exact"/>
        <w:ind w:firstLine="480" w:firstLineChars="200"/>
        <w:rPr>
          <w:rFonts w:hint="eastAsia"/>
          <w:color w:val="auto"/>
          <w:highlight w:val="none"/>
        </w:rPr>
      </w:pPr>
      <w:r>
        <w:rPr>
          <w:rFonts w:hint="eastAsia"/>
          <w:color w:val="auto"/>
          <w:highlight w:val="none"/>
        </w:rPr>
        <w:t>七、违约责任</w:t>
      </w:r>
    </w:p>
    <w:p w14:paraId="672D7723">
      <w:pPr>
        <w:pStyle w:val="14"/>
        <w:wordWrap w:val="0"/>
        <w:spacing w:before="0" w:beforeAutospacing="0" w:after="0" w:afterAutospacing="0" w:line="460" w:lineRule="exact"/>
        <w:ind w:firstLine="480" w:firstLineChars="200"/>
        <w:rPr>
          <w:rFonts w:hint="eastAsia"/>
          <w:color w:val="auto"/>
          <w:highlight w:val="none"/>
        </w:rPr>
      </w:pPr>
      <w:r>
        <w:rPr>
          <w:rFonts w:hint="eastAsia"/>
          <w:color w:val="auto"/>
          <w:highlight w:val="none"/>
        </w:rPr>
        <w:t>甲乙双方均应遵守本合同，如有违约，将赔偿因违约给对方造成的经济损失，并向对方支付本合同总额5%的违约金。若因乙方原因在合同规定期限内无法交货，甲方有权终止合同。甲方将视情况在延迟交货期内每天按合同总额3‰的标准收取违约金，并提请政府采购监管部门将其列入不良行为记录。因不可抗力所导致的交货及付款延迟等按照《中华人民共和国合同法》有关条文及本合同第八条处理。</w:t>
      </w:r>
    </w:p>
    <w:p w14:paraId="3C04027D">
      <w:pPr>
        <w:pStyle w:val="14"/>
        <w:wordWrap w:val="0"/>
        <w:spacing w:before="0" w:beforeAutospacing="0" w:after="0" w:afterAutospacing="0" w:line="460" w:lineRule="exact"/>
        <w:ind w:firstLine="480" w:firstLineChars="200"/>
        <w:rPr>
          <w:rFonts w:hint="eastAsia"/>
          <w:color w:val="auto"/>
          <w:highlight w:val="none"/>
        </w:rPr>
      </w:pPr>
      <w:r>
        <w:rPr>
          <w:rFonts w:hint="eastAsia"/>
          <w:color w:val="auto"/>
          <w:highlight w:val="none"/>
        </w:rPr>
        <w:t>八、不可抗力</w:t>
      </w:r>
    </w:p>
    <w:p w14:paraId="23247831">
      <w:pPr>
        <w:pStyle w:val="14"/>
        <w:wordWrap w:val="0"/>
        <w:spacing w:before="0" w:beforeAutospacing="0" w:after="0" w:afterAutospacing="0" w:line="460" w:lineRule="exact"/>
        <w:ind w:firstLine="480" w:firstLineChars="200"/>
        <w:rPr>
          <w:rFonts w:hint="eastAsia"/>
          <w:color w:val="auto"/>
          <w:highlight w:val="none"/>
        </w:rPr>
      </w:pPr>
      <w:r>
        <w:rPr>
          <w:rFonts w:hint="eastAsia"/>
          <w:color w:val="auto"/>
          <w:highlight w:val="none"/>
        </w:rPr>
        <w:t>甲方由于不可抗力的原因不能履行合同时，应及时向乙方通报不能履行或不能完全履行的理由；乙方由于不可抗力的原因不能履行合同时，应在交货时间到期以前及时向甲方通报不能履行或不能完全履行的理由；在取得有关主管机关证明以后，可以签订延期履行、部分履行补充合同或者不履行合同，并根据情况可部分或全部免予承担违约责任。</w:t>
      </w:r>
    </w:p>
    <w:p w14:paraId="6E7964A4">
      <w:pPr>
        <w:pStyle w:val="14"/>
        <w:wordWrap w:val="0"/>
        <w:spacing w:before="0" w:beforeAutospacing="0" w:after="0" w:afterAutospacing="0" w:line="460" w:lineRule="exact"/>
        <w:ind w:firstLine="480" w:firstLineChars="200"/>
        <w:rPr>
          <w:rFonts w:hint="eastAsia"/>
          <w:color w:val="auto"/>
          <w:highlight w:val="none"/>
        </w:rPr>
      </w:pPr>
      <w:r>
        <w:rPr>
          <w:rFonts w:hint="eastAsia"/>
          <w:color w:val="auto"/>
          <w:highlight w:val="none"/>
        </w:rPr>
        <w:t>九、争议</w:t>
      </w:r>
    </w:p>
    <w:p w14:paraId="1C7F0FCE">
      <w:pPr>
        <w:pStyle w:val="14"/>
        <w:wordWrap w:val="0"/>
        <w:spacing w:before="0" w:beforeAutospacing="0" w:after="0" w:afterAutospacing="0" w:line="460" w:lineRule="exact"/>
        <w:ind w:firstLine="480" w:firstLineChars="200"/>
        <w:rPr>
          <w:rFonts w:hint="eastAsia"/>
          <w:color w:val="auto"/>
          <w:highlight w:val="none"/>
        </w:rPr>
      </w:pPr>
      <w:r>
        <w:rPr>
          <w:rFonts w:hint="eastAsia"/>
          <w:color w:val="auto"/>
          <w:highlight w:val="none"/>
        </w:rPr>
        <w:t>双方本着友好合作的态度，对合同履行过程中发生的违约行为进行及时的协商解决，如不能协商解决可向甲方所在地人民法院提起诉讼。</w:t>
      </w:r>
    </w:p>
    <w:p w14:paraId="6F431D89">
      <w:pPr>
        <w:pStyle w:val="14"/>
        <w:wordWrap w:val="0"/>
        <w:spacing w:before="0" w:beforeAutospacing="0" w:after="0" w:afterAutospacing="0" w:line="460" w:lineRule="exact"/>
        <w:ind w:firstLine="480" w:firstLineChars="200"/>
        <w:rPr>
          <w:rFonts w:hint="eastAsia"/>
          <w:color w:val="auto"/>
          <w:highlight w:val="none"/>
        </w:rPr>
      </w:pPr>
      <w:r>
        <w:rPr>
          <w:rFonts w:hint="eastAsia"/>
          <w:color w:val="auto"/>
          <w:highlight w:val="none"/>
        </w:rPr>
        <w:t>十、其它</w:t>
      </w:r>
    </w:p>
    <w:p w14:paraId="4D7FAD32">
      <w:pPr>
        <w:pStyle w:val="14"/>
        <w:wordWrap w:val="0"/>
        <w:spacing w:before="0" w:beforeAutospacing="0" w:after="0" w:afterAutospacing="0" w:line="460" w:lineRule="exact"/>
        <w:ind w:firstLine="480" w:firstLineChars="200"/>
        <w:rPr>
          <w:rFonts w:hint="eastAsia"/>
          <w:color w:val="auto"/>
          <w:highlight w:val="none"/>
        </w:rPr>
      </w:pPr>
      <w:r>
        <w:rPr>
          <w:rFonts w:hint="eastAsia"/>
          <w:color w:val="auto"/>
          <w:highlight w:val="none"/>
        </w:rPr>
        <w:t>1.本合同一式陆份，甲方叁份，乙方叁份。</w:t>
      </w:r>
    </w:p>
    <w:p w14:paraId="7D2D205D">
      <w:pPr>
        <w:pStyle w:val="14"/>
        <w:wordWrap w:val="0"/>
        <w:spacing w:before="0" w:beforeAutospacing="0" w:after="0" w:afterAutospacing="0" w:line="460" w:lineRule="exact"/>
        <w:ind w:firstLine="480" w:firstLineChars="200"/>
        <w:rPr>
          <w:rFonts w:hint="eastAsia"/>
          <w:color w:val="auto"/>
          <w:highlight w:val="none"/>
        </w:rPr>
      </w:pPr>
      <w:r>
        <w:rPr>
          <w:rFonts w:hint="eastAsia"/>
          <w:color w:val="auto"/>
          <w:highlight w:val="none"/>
        </w:rPr>
        <w:t>2.本合同自双方签订之日起生效。</w:t>
      </w:r>
    </w:p>
    <w:p w14:paraId="07AF89FD">
      <w:pPr>
        <w:pStyle w:val="14"/>
        <w:wordWrap w:val="0"/>
        <w:spacing w:before="0" w:beforeAutospacing="0" w:after="0" w:afterAutospacing="0" w:line="460" w:lineRule="exact"/>
        <w:ind w:firstLine="480" w:firstLineChars="200"/>
        <w:rPr>
          <w:rFonts w:hint="eastAsia"/>
          <w:color w:val="auto"/>
          <w:highlight w:val="none"/>
        </w:rPr>
      </w:pPr>
      <w:r>
        <w:rPr>
          <w:rFonts w:hint="eastAsia"/>
          <w:color w:val="auto"/>
          <w:highlight w:val="none"/>
        </w:rPr>
        <w:t>3.本项目竞争性磋商文件、响应文件等是本合同的附件，与合同具有同等的法律效力。</w:t>
      </w:r>
    </w:p>
    <w:p w14:paraId="7642AFCA">
      <w:pPr>
        <w:pStyle w:val="14"/>
        <w:wordWrap w:val="0"/>
        <w:spacing w:before="0" w:beforeAutospacing="0" w:after="0" w:afterAutospacing="0" w:line="460" w:lineRule="exact"/>
        <w:ind w:firstLine="480" w:firstLineChars="200"/>
        <w:rPr>
          <w:rFonts w:hint="eastAsia"/>
          <w:color w:val="auto"/>
          <w:highlight w:val="none"/>
        </w:rPr>
      </w:pPr>
      <w:r>
        <w:rPr>
          <w:rFonts w:hint="eastAsia"/>
          <w:color w:val="auto"/>
          <w:highlight w:val="none"/>
        </w:rPr>
        <w:t>4.其它未尽事宜，由甲乙双方友好协商解决，并参照《中华人民共和国合同法》有关条款执行。</w:t>
      </w:r>
    </w:p>
    <w:p w14:paraId="7367C114">
      <w:pPr>
        <w:pStyle w:val="14"/>
        <w:wordWrap w:val="0"/>
        <w:spacing w:before="0" w:beforeAutospacing="0" w:after="0" w:afterAutospacing="0" w:line="460" w:lineRule="exact"/>
        <w:ind w:firstLine="480" w:firstLineChars="200"/>
        <w:rPr>
          <w:rFonts w:hint="eastAsia"/>
          <w:color w:val="auto"/>
          <w:highlight w:val="none"/>
        </w:rPr>
      </w:pPr>
      <w:r>
        <w:rPr>
          <w:rFonts w:hint="eastAsia"/>
          <w:color w:val="auto"/>
          <w:highlight w:val="none"/>
        </w:rPr>
        <w:t>委托人（盖章）：                     受托人（盖章）：</w:t>
      </w:r>
    </w:p>
    <w:p w14:paraId="4EF2D98F">
      <w:pPr>
        <w:pStyle w:val="14"/>
        <w:wordWrap w:val="0"/>
        <w:spacing w:before="0" w:beforeAutospacing="0" w:after="0" w:afterAutospacing="0" w:line="460" w:lineRule="exact"/>
        <w:ind w:firstLine="480" w:firstLineChars="200"/>
        <w:rPr>
          <w:rFonts w:hint="eastAsia"/>
          <w:color w:val="auto"/>
          <w:highlight w:val="none"/>
        </w:rPr>
      </w:pPr>
      <w:r>
        <w:rPr>
          <w:rFonts w:hint="eastAsia"/>
          <w:color w:val="auto"/>
          <w:highlight w:val="none"/>
        </w:rPr>
        <w:t>法定代表人（签字或盖章）：           法定代表人（签字或盖章）：</w:t>
      </w:r>
    </w:p>
    <w:p w14:paraId="35C4903A">
      <w:pPr>
        <w:pStyle w:val="14"/>
        <w:wordWrap w:val="0"/>
        <w:spacing w:before="0" w:beforeAutospacing="0" w:after="0" w:afterAutospacing="0" w:line="460" w:lineRule="exact"/>
        <w:ind w:firstLine="480" w:firstLineChars="200"/>
        <w:rPr>
          <w:rFonts w:hint="eastAsia"/>
          <w:color w:val="auto"/>
          <w:highlight w:val="none"/>
        </w:rPr>
      </w:pPr>
      <w:r>
        <w:rPr>
          <w:rFonts w:hint="eastAsia"/>
          <w:color w:val="auto"/>
          <w:highlight w:val="none"/>
        </w:rPr>
        <w:t>或授权委托人（签字或盖章）：         或授权委托人（签字或盖章）：</w:t>
      </w:r>
    </w:p>
    <w:p w14:paraId="688CED8E">
      <w:pPr>
        <w:pStyle w:val="14"/>
        <w:wordWrap w:val="0"/>
        <w:spacing w:before="0" w:beforeAutospacing="0" w:after="0" w:afterAutospacing="0" w:line="460" w:lineRule="exact"/>
        <w:ind w:firstLine="480" w:firstLineChars="200"/>
        <w:rPr>
          <w:rFonts w:hint="eastAsia"/>
          <w:color w:val="auto"/>
          <w:highlight w:val="none"/>
        </w:rPr>
      </w:pPr>
      <w:r>
        <w:rPr>
          <w:rFonts w:hint="eastAsia"/>
          <w:color w:val="auto"/>
          <w:highlight w:val="none"/>
        </w:rPr>
        <w:t>单位地址：                          单位地址：</w:t>
      </w:r>
    </w:p>
    <w:p w14:paraId="668568A6">
      <w:pPr>
        <w:pStyle w:val="14"/>
        <w:wordWrap w:val="0"/>
        <w:spacing w:before="0" w:beforeAutospacing="0" w:after="0" w:afterAutospacing="0" w:line="460" w:lineRule="exact"/>
        <w:ind w:firstLine="480" w:firstLineChars="200"/>
        <w:rPr>
          <w:rFonts w:hint="eastAsia"/>
          <w:color w:val="auto"/>
          <w:highlight w:val="none"/>
        </w:rPr>
      </w:pPr>
      <w:r>
        <w:rPr>
          <w:rFonts w:hint="eastAsia"/>
          <w:color w:val="auto"/>
          <w:highlight w:val="none"/>
        </w:rPr>
        <w:t>邮政编码：                          邮政编码：</w:t>
      </w:r>
    </w:p>
    <w:p w14:paraId="48D9C37D">
      <w:pPr>
        <w:pStyle w:val="14"/>
        <w:wordWrap w:val="0"/>
        <w:spacing w:before="0" w:beforeAutospacing="0" w:after="0" w:afterAutospacing="0" w:line="460" w:lineRule="exact"/>
        <w:ind w:firstLine="480" w:firstLineChars="200"/>
        <w:rPr>
          <w:rFonts w:hint="eastAsia"/>
          <w:color w:val="auto"/>
          <w:highlight w:val="none"/>
        </w:rPr>
      </w:pPr>
      <w:r>
        <w:rPr>
          <w:rFonts w:hint="eastAsia"/>
          <w:color w:val="auto"/>
          <w:highlight w:val="none"/>
        </w:rPr>
        <w:t>联系电话：                          联系电话：</w:t>
      </w:r>
    </w:p>
    <w:p w14:paraId="6584EAD7">
      <w:pPr>
        <w:pStyle w:val="14"/>
        <w:wordWrap w:val="0"/>
        <w:spacing w:before="0" w:beforeAutospacing="0" w:after="0" w:afterAutospacing="0" w:line="460" w:lineRule="exact"/>
        <w:ind w:firstLine="480" w:firstLineChars="200"/>
        <w:rPr>
          <w:rFonts w:hint="eastAsia"/>
          <w:color w:val="auto"/>
          <w:highlight w:val="none"/>
        </w:rPr>
      </w:pPr>
      <w:r>
        <w:rPr>
          <w:rFonts w:hint="eastAsia"/>
          <w:color w:val="auto"/>
          <w:highlight w:val="none"/>
        </w:rPr>
        <w:t>传    真：                          传    真：</w:t>
      </w:r>
    </w:p>
    <w:p w14:paraId="4EAF65A2">
      <w:pPr>
        <w:pStyle w:val="14"/>
        <w:wordWrap w:val="0"/>
        <w:spacing w:before="0" w:beforeAutospacing="0" w:after="0" w:afterAutospacing="0" w:line="460" w:lineRule="exact"/>
        <w:ind w:firstLine="480" w:firstLineChars="200"/>
        <w:rPr>
          <w:rFonts w:hint="eastAsia"/>
          <w:color w:val="auto"/>
          <w:highlight w:val="none"/>
        </w:rPr>
      </w:pPr>
      <w:r>
        <w:rPr>
          <w:rFonts w:hint="eastAsia"/>
          <w:color w:val="auto"/>
          <w:highlight w:val="none"/>
        </w:rPr>
        <w:t>电子信箱：                          电子信箱：</w:t>
      </w:r>
    </w:p>
    <w:p w14:paraId="0FCE9296">
      <w:pPr>
        <w:pStyle w:val="14"/>
        <w:wordWrap w:val="0"/>
        <w:spacing w:before="0" w:beforeAutospacing="0" w:after="0" w:afterAutospacing="0" w:line="460" w:lineRule="exact"/>
        <w:ind w:firstLine="480" w:firstLineChars="200"/>
        <w:rPr>
          <w:rFonts w:hint="eastAsia"/>
          <w:color w:val="auto"/>
          <w:highlight w:val="none"/>
        </w:rPr>
      </w:pPr>
      <w:r>
        <w:rPr>
          <w:rFonts w:hint="eastAsia"/>
          <w:color w:val="auto"/>
          <w:highlight w:val="none"/>
        </w:rPr>
        <w:t>开户银行：                          开户银行：</w:t>
      </w:r>
    </w:p>
    <w:p w14:paraId="44F68DEE">
      <w:pPr>
        <w:pStyle w:val="14"/>
        <w:wordWrap w:val="0"/>
        <w:spacing w:before="0" w:beforeAutospacing="0" w:after="0" w:afterAutospacing="0" w:line="460" w:lineRule="exact"/>
        <w:ind w:firstLine="480" w:firstLineChars="200"/>
        <w:rPr>
          <w:rFonts w:hint="eastAsia"/>
          <w:color w:val="auto"/>
          <w:highlight w:val="none"/>
        </w:rPr>
      </w:pPr>
      <w:r>
        <w:rPr>
          <w:rFonts w:hint="eastAsia"/>
          <w:color w:val="auto"/>
          <w:highlight w:val="none"/>
        </w:rPr>
        <w:t>账    号：                          账    号：</w:t>
      </w:r>
    </w:p>
    <w:p w14:paraId="360625B4">
      <w:pPr>
        <w:pStyle w:val="8"/>
        <w:wordWrap w:val="0"/>
        <w:ind w:left="0" w:leftChars="0"/>
        <w:jc w:val="center"/>
        <w:rPr>
          <w:rFonts w:hint="default" w:eastAsia="宋体"/>
          <w:color w:val="auto"/>
          <w:highlight w:val="none"/>
          <w:lang w:val="en-US" w:eastAsia="zh-CN"/>
        </w:rPr>
      </w:pPr>
      <w:bookmarkStart w:id="197" w:name="_Toc27145"/>
      <w:r>
        <w:rPr>
          <w:rFonts w:hint="eastAsia"/>
          <w:color w:val="auto"/>
          <w:highlight w:val="none"/>
        </w:rPr>
        <w:br w:type="page"/>
      </w:r>
      <w:r>
        <w:rPr>
          <w:rFonts w:hint="eastAsia" w:ascii="宋体" w:hAnsi="宋体" w:cs="宋体"/>
          <w:b/>
          <w:color w:val="auto"/>
          <w:kern w:val="44"/>
          <w:sz w:val="40"/>
          <w:szCs w:val="44"/>
          <w:highlight w:val="none"/>
        </w:rPr>
        <w:t xml:space="preserve">第五章 </w:t>
      </w:r>
      <w:bookmarkEnd w:id="197"/>
      <w:r>
        <w:rPr>
          <w:rFonts w:hint="eastAsia" w:ascii="宋体" w:hAnsi="宋体" w:cs="宋体"/>
          <w:b/>
          <w:color w:val="auto"/>
          <w:kern w:val="44"/>
          <w:sz w:val="40"/>
          <w:szCs w:val="44"/>
          <w:highlight w:val="none"/>
          <w:lang w:val="en-US" w:eastAsia="zh-CN"/>
        </w:rPr>
        <w:t>服务要求</w:t>
      </w:r>
    </w:p>
    <w:bookmarkEnd w:id="196"/>
    <w:p w14:paraId="3B96A968">
      <w:pPr>
        <w:numPr>
          <w:ilvl w:val="0"/>
          <w:numId w:val="1"/>
        </w:numP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概述</w:t>
      </w:r>
    </w:p>
    <w:p w14:paraId="5CBCECE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共中央国务院关于深化医疗保障制度改革的意见》明确医疗保障是减轻群众就医负担、维护社会和谐稳定的重大制度安排。要求以习近平新时代中国特色社会主义思想为指导，全面贯彻党的十九大和十九届二中、三中、四中、五中全会精神，坚持以人民健康为中心，加快建成覆盖全民、城乡统筹、权责清晰、保障适度、可持续的多层次医疗保障体系，通过统一制度、完善政策、健全机制、提升服务，增强医疗保障的公平性、协调性，发挥医保基金战略性购买作用，推进医疗保障和医药服务高质量协同发展，促进健康中国战略实施，使人民群众有更多获得感、幸福感、安全感。</w:t>
      </w:r>
    </w:p>
    <w:p w14:paraId="2C448C5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DIP 在理念和操作方法上，符合国情、客观反映临床现实，适用于医保治理、卫生改革、公立医院管理等诸多领域，具有公开、透明的现代管理特性，可借此推动医药卫生治理体系和治理能力的现代化，推动医保基金使用与区域卫生、医院发展间的平衡。为此，国家医保局委托医保研究院组织专家制定了医保 DIP 技术规范。</w:t>
      </w:r>
    </w:p>
    <w:p w14:paraId="0F965E8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按病种分值付费（Diagnosis-Intervention Packet，DIP）是利用大数据优势所建立的完整管理体系，发掘“疾病诊断+治疗方式”的共性特征对病案数据进行客观分类，在一定区域范围的全样本病例数据中形成每一个疾病与治疗方式组合的标化定位，客观反映疾病严重程度、治疗复杂状态、资源消耗水平与临床行为规范，可应用于医保支付、基金监管、医院管理等领域。</w:t>
      </w:r>
    </w:p>
    <w:p w14:paraId="6376AB3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DIP 通过组别定位及付费标准建立了统一的标准体系及资源配置模式，增进了管理的透明度与公平性，使政府、医保、医院各方在统一标准框架下建立沟通渠道，以有效合作取代相互博弈。基于资源消耗及结构合理的支付标准，能促进医保、医疗、医药协同联动，激发医疗服务供给侧治理动能，促使医疗机构以适宜的方法、合理的成本满足社会需求。提升医保基金使用效率，实现医保基金监管规范化、精细化和科学化。</w:t>
      </w:r>
      <w:r>
        <w:rPr>
          <w:rFonts w:hint="eastAsia" w:ascii="宋体" w:hAnsi="宋体" w:eastAsia="宋体" w:cs="宋体"/>
          <w:color w:val="auto"/>
          <w:sz w:val="24"/>
          <w:szCs w:val="24"/>
          <w:highlight w:val="none"/>
          <w:lang w:val="en-US" w:eastAsia="zh-CN"/>
        </w:rPr>
        <w:t>同时</w:t>
      </w:r>
      <w:r>
        <w:rPr>
          <w:rFonts w:hint="eastAsia" w:ascii="宋体" w:hAnsi="宋体" w:eastAsia="宋体" w:cs="宋体"/>
          <w:color w:val="auto"/>
          <w:sz w:val="24"/>
          <w:szCs w:val="24"/>
          <w:highlight w:val="none"/>
        </w:rPr>
        <w:t>医保按</w:t>
      </w:r>
      <w:r>
        <w:rPr>
          <w:rFonts w:hint="eastAsia" w:ascii="宋体" w:hAnsi="宋体" w:eastAsia="宋体" w:cs="宋体"/>
          <w:color w:val="auto"/>
          <w:sz w:val="24"/>
          <w:szCs w:val="24"/>
          <w:highlight w:val="none"/>
          <w:lang w:val="en-US" w:eastAsia="zh-CN"/>
        </w:rPr>
        <w:t>DIP</w:t>
      </w:r>
      <w:r>
        <w:rPr>
          <w:rFonts w:hint="eastAsia" w:ascii="宋体" w:hAnsi="宋体" w:eastAsia="宋体" w:cs="宋体"/>
          <w:color w:val="auto"/>
          <w:sz w:val="24"/>
          <w:szCs w:val="24"/>
          <w:highlight w:val="none"/>
        </w:rPr>
        <w:t>付费对医院将是一个</w:t>
      </w:r>
      <w:r>
        <w:rPr>
          <w:rFonts w:hint="eastAsia" w:ascii="宋体" w:hAnsi="宋体" w:eastAsia="宋体" w:cs="宋体"/>
          <w:color w:val="auto"/>
          <w:sz w:val="24"/>
          <w:szCs w:val="24"/>
          <w:highlight w:val="none"/>
          <w:lang w:val="en-US" w:eastAsia="zh-CN"/>
        </w:rPr>
        <w:t>严峻</w:t>
      </w:r>
      <w:r>
        <w:rPr>
          <w:rFonts w:hint="eastAsia" w:ascii="宋体" w:hAnsi="宋体" w:eastAsia="宋体" w:cs="宋体"/>
          <w:color w:val="auto"/>
          <w:sz w:val="24"/>
          <w:szCs w:val="24"/>
          <w:highlight w:val="none"/>
        </w:rPr>
        <w:t>的挑战。</w:t>
      </w:r>
    </w:p>
    <w:p w14:paraId="504C2B2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因此医院急需建设一套医院端</w:t>
      </w:r>
      <w:r>
        <w:rPr>
          <w:rFonts w:hint="eastAsia" w:ascii="宋体" w:hAnsi="宋体" w:eastAsia="宋体" w:cs="宋体"/>
          <w:color w:val="auto"/>
          <w:sz w:val="24"/>
          <w:szCs w:val="24"/>
          <w:highlight w:val="none"/>
          <w:lang w:val="en-US" w:eastAsia="zh-CN"/>
        </w:rPr>
        <w:t>DIP</w:t>
      </w:r>
      <w:r>
        <w:rPr>
          <w:rFonts w:hint="eastAsia" w:ascii="宋体" w:hAnsi="宋体" w:eastAsia="宋体" w:cs="宋体"/>
          <w:color w:val="auto"/>
          <w:sz w:val="24"/>
          <w:szCs w:val="24"/>
          <w:highlight w:val="none"/>
        </w:rPr>
        <w:t>辅助系统（以下统一简称为该系统），通过该系统实现患者住院过程的院前、院中、院后全流程的辅助管理，分别给以不同的提醒、指导和预警，让管理者、医生、财务都能清楚明白的了解整个医疗活动</w:t>
      </w:r>
      <w:r>
        <w:rPr>
          <w:rFonts w:hint="eastAsia" w:ascii="宋体" w:hAnsi="宋体" w:eastAsia="宋体" w:cs="宋体"/>
          <w:color w:val="auto"/>
          <w:sz w:val="24"/>
          <w:szCs w:val="24"/>
          <w:highlight w:val="none"/>
          <w:lang w:val="en-US" w:eastAsia="zh-CN"/>
        </w:rPr>
        <w:t>中DIP的运行情况</w:t>
      </w:r>
      <w:r>
        <w:rPr>
          <w:rFonts w:hint="eastAsia" w:ascii="宋体" w:hAnsi="宋体" w:eastAsia="宋体" w:cs="宋体"/>
          <w:color w:val="auto"/>
          <w:sz w:val="24"/>
          <w:szCs w:val="24"/>
          <w:highlight w:val="none"/>
        </w:rPr>
        <w:t>。</w:t>
      </w:r>
    </w:p>
    <w:p w14:paraId="0C18C15D">
      <w:pPr>
        <w:numPr>
          <w:ilvl w:val="0"/>
          <w:numId w:val="1"/>
        </w:numP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总体需求</w:t>
      </w:r>
    </w:p>
    <w:p w14:paraId="728F817C">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系统主要功能有病案首页医生端前置质控、DIP实时预分组及智能分组指导、实时预警分析、DIP绩效、数据分析统计等。功能涵盖病例治疗过程的整个时间线，在不同的时间点给予医院不同的帮助及提醒，使医院DIP工作更加清晰方便。数据分析统计从管理、医生、绩效核算等不同的维度对分组数据进行分析，协助医院、医生在DIP模式下更加清楚的了解到医疗过程中的盈亏情况。</w:t>
      </w:r>
    </w:p>
    <w:p w14:paraId="3B7FCA4A">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系统DIP分组器须根据医保中心政策的调整，及时调整更新程序，保证医院的正常使用。同时支持根据医院实际运行情况对软件进行功能进行调整，以达到医院的使用效果。</w:t>
      </w:r>
    </w:p>
    <w:p w14:paraId="0CE185F8">
      <w:pPr>
        <w:numPr>
          <w:ilvl w:val="0"/>
          <w:numId w:val="0"/>
        </w:numP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三、</w:t>
      </w:r>
      <w:r>
        <w:rPr>
          <w:rFonts w:hint="eastAsia" w:ascii="宋体" w:hAnsi="宋体" w:eastAsia="宋体" w:cs="宋体"/>
          <w:b/>
          <w:bCs/>
          <w:color w:val="auto"/>
          <w:sz w:val="24"/>
          <w:szCs w:val="24"/>
          <w:highlight w:val="none"/>
        </w:rPr>
        <w:t>技术参数</w:t>
      </w:r>
    </w:p>
    <w:p w14:paraId="45670E97">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1、项目名称：渑池县中医院DIP智能辅助系统采购项目；</w:t>
      </w:r>
    </w:p>
    <w:p w14:paraId="5883C6D5">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2、预算资金：98万元，</w:t>
      </w:r>
      <w:r>
        <w:rPr>
          <w:rFonts w:hint="eastAsia" w:ascii="宋体" w:hAnsi="宋体" w:cs="宋体"/>
          <w:color w:val="auto"/>
          <w:sz w:val="24"/>
          <w:szCs w:val="24"/>
          <w:highlight w:val="none"/>
          <w:lang w:val="en-US" w:eastAsia="zh-CN"/>
        </w:rPr>
        <w:t>财政</w:t>
      </w:r>
      <w:r>
        <w:rPr>
          <w:rFonts w:hint="eastAsia" w:ascii="宋体" w:hAnsi="宋体" w:eastAsia="宋体" w:cs="宋体"/>
          <w:color w:val="auto"/>
          <w:sz w:val="24"/>
          <w:szCs w:val="24"/>
          <w:highlight w:val="none"/>
          <w:lang w:val="en-US" w:eastAsia="zh-CN"/>
        </w:rPr>
        <w:t>资金，已落实。</w:t>
      </w:r>
    </w:p>
    <w:tbl>
      <w:tblPr>
        <w:tblStyle w:val="17"/>
        <w:tblW w:w="90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8"/>
        <w:gridCol w:w="1528"/>
        <w:gridCol w:w="5863"/>
      </w:tblGrid>
      <w:tr w14:paraId="79CF3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9" w:hRule="atLeast"/>
        </w:trPr>
        <w:tc>
          <w:tcPr>
            <w:tcW w:w="1708" w:type="dxa"/>
            <w:shd w:val="clear" w:color="auto" w:fill="FFFFFF" w:themeFill="background1"/>
            <w:vAlign w:val="center"/>
          </w:tcPr>
          <w:p w14:paraId="41983217">
            <w:pPr>
              <w:spacing w:line="360" w:lineRule="auto"/>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业务类别</w:t>
            </w:r>
          </w:p>
        </w:tc>
        <w:tc>
          <w:tcPr>
            <w:tcW w:w="1528" w:type="dxa"/>
            <w:shd w:val="clear" w:color="auto" w:fill="FFFFFF" w:themeFill="background1"/>
            <w:vAlign w:val="center"/>
          </w:tcPr>
          <w:p w14:paraId="703680C3">
            <w:pPr>
              <w:spacing w:line="360" w:lineRule="auto"/>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子系统</w:t>
            </w:r>
          </w:p>
        </w:tc>
        <w:tc>
          <w:tcPr>
            <w:tcW w:w="5863" w:type="dxa"/>
            <w:shd w:val="clear" w:color="auto" w:fill="FFFFFF" w:themeFill="background1"/>
            <w:vAlign w:val="center"/>
          </w:tcPr>
          <w:p w14:paraId="68DE82E8">
            <w:pPr>
              <w:pStyle w:val="45"/>
              <w:spacing w:line="360" w:lineRule="auto"/>
              <w:ind w:firstLine="0" w:firstLineChars="0"/>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功能要求</w:t>
            </w:r>
          </w:p>
        </w:tc>
      </w:tr>
      <w:tr w14:paraId="030C4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1" w:hRule="atLeast"/>
        </w:trPr>
        <w:tc>
          <w:tcPr>
            <w:tcW w:w="1708" w:type="dxa"/>
            <w:vMerge w:val="restart"/>
            <w:vAlign w:val="center"/>
          </w:tcPr>
          <w:p w14:paraId="2BA56875">
            <w:pPr>
              <w:spacing w:line="360" w:lineRule="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病案首页及医保结算清单质控</w:t>
            </w:r>
          </w:p>
        </w:tc>
        <w:tc>
          <w:tcPr>
            <w:tcW w:w="1528" w:type="dxa"/>
            <w:vAlign w:val="center"/>
          </w:tcPr>
          <w:p w14:paraId="420027F0">
            <w:pPr>
              <w:spacing w:line="360" w:lineRule="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医生端前置质控</w:t>
            </w:r>
          </w:p>
        </w:tc>
        <w:tc>
          <w:tcPr>
            <w:tcW w:w="5863" w:type="dxa"/>
            <w:vAlign w:val="center"/>
          </w:tcPr>
          <w:p w14:paraId="3534B1BC">
            <w:pPr>
              <w:pStyle w:val="45"/>
              <w:numPr>
                <w:ilvl w:val="0"/>
                <w:numId w:val="2"/>
              </w:numPr>
              <w:spacing w:line="360" w:lineRule="auto"/>
              <w:ind w:firstLineChars="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同时支持病案首页和医保结算清单的质控</w:t>
            </w:r>
          </w:p>
          <w:p w14:paraId="051B30E9">
            <w:pPr>
              <w:pStyle w:val="45"/>
              <w:numPr>
                <w:ilvl w:val="0"/>
                <w:numId w:val="2"/>
              </w:numPr>
              <w:spacing w:line="360" w:lineRule="auto"/>
              <w:ind w:firstLineChars="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支持嵌入到医生电子病历系统中运行，医生填写病案首页的过程中进行质控</w:t>
            </w:r>
          </w:p>
          <w:p w14:paraId="20BDC68B">
            <w:pPr>
              <w:pStyle w:val="45"/>
              <w:numPr>
                <w:ilvl w:val="0"/>
                <w:numId w:val="2"/>
              </w:numPr>
              <w:spacing w:line="360" w:lineRule="auto"/>
              <w:ind w:firstLineChars="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基础项质控，质控基础项目是否完整，值域合法；</w:t>
            </w:r>
          </w:p>
          <w:p w14:paraId="2B63DFE7">
            <w:pPr>
              <w:pStyle w:val="45"/>
              <w:numPr>
                <w:ilvl w:val="0"/>
                <w:numId w:val="2"/>
              </w:numPr>
              <w:spacing w:line="360" w:lineRule="auto"/>
              <w:ind w:firstLineChars="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诊断质控，诊断诊断是否冲突、主诊断是否合法、诊断与性别年龄等是否一致；</w:t>
            </w:r>
          </w:p>
          <w:p w14:paraId="12E679E9">
            <w:pPr>
              <w:pStyle w:val="45"/>
              <w:numPr>
                <w:ilvl w:val="0"/>
                <w:numId w:val="2"/>
              </w:numPr>
              <w:spacing w:line="360" w:lineRule="auto"/>
              <w:ind w:firstLineChars="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手术操作质控，诊断手术操作是否合法，重复，医保映射关系是否一致，手术操作是否与性别年龄等冲突；</w:t>
            </w:r>
          </w:p>
          <w:p w14:paraId="3F57A2B5">
            <w:pPr>
              <w:pStyle w:val="45"/>
              <w:numPr>
                <w:ilvl w:val="0"/>
                <w:numId w:val="2"/>
              </w:numPr>
              <w:spacing w:line="360" w:lineRule="auto"/>
              <w:ind w:firstLineChars="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其他逻辑质控规则</w:t>
            </w:r>
          </w:p>
          <w:p w14:paraId="523A28A8">
            <w:pPr>
              <w:pStyle w:val="45"/>
              <w:numPr>
                <w:ilvl w:val="0"/>
                <w:numId w:val="2"/>
              </w:numPr>
              <w:spacing w:line="360" w:lineRule="auto"/>
              <w:ind w:firstLineChars="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★支持自定义规则质控</w:t>
            </w:r>
          </w:p>
          <w:p w14:paraId="40537393">
            <w:pPr>
              <w:pStyle w:val="45"/>
              <w:numPr>
                <w:ilvl w:val="0"/>
                <w:numId w:val="2"/>
              </w:numPr>
              <w:spacing w:line="360" w:lineRule="auto"/>
              <w:ind w:firstLineChars="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★支持规则区分优先级</w:t>
            </w:r>
          </w:p>
          <w:p w14:paraId="6E304003">
            <w:pPr>
              <w:pStyle w:val="45"/>
              <w:numPr>
                <w:ilvl w:val="0"/>
                <w:numId w:val="2"/>
              </w:numPr>
              <w:spacing w:line="360" w:lineRule="auto"/>
              <w:ind w:firstLineChars="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基于DIP分组器的其他质控规则</w:t>
            </w:r>
          </w:p>
        </w:tc>
      </w:tr>
      <w:tr w14:paraId="1E06A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6" w:hRule="atLeast"/>
        </w:trPr>
        <w:tc>
          <w:tcPr>
            <w:tcW w:w="1708" w:type="dxa"/>
            <w:vMerge w:val="continue"/>
            <w:vAlign w:val="center"/>
          </w:tcPr>
          <w:p w14:paraId="41678759">
            <w:pPr>
              <w:spacing w:line="360" w:lineRule="auto"/>
              <w:rPr>
                <w:rFonts w:asciiTheme="minorEastAsia" w:hAnsiTheme="minorEastAsia" w:eastAsiaTheme="minorEastAsia" w:cstheme="minorEastAsia"/>
                <w:color w:val="auto"/>
                <w:sz w:val="24"/>
                <w:szCs w:val="24"/>
                <w:highlight w:val="none"/>
              </w:rPr>
            </w:pPr>
          </w:p>
        </w:tc>
        <w:tc>
          <w:tcPr>
            <w:tcW w:w="1528" w:type="dxa"/>
            <w:vAlign w:val="center"/>
          </w:tcPr>
          <w:p w14:paraId="7940E8E2">
            <w:pPr>
              <w:spacing w:line="360" w:lineRule="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编码员终末质控</w:t>
            </w:r>
          </w:p>
        </w:tc>
        <w:tc>
          <w:tcPr>
            <w:tcW w:w="5863" w:type="dxa"/>
            <w:vAlign w:val="center"/>
          </w:tcPr>
          <w:p w14:paraId="4EFD49E8">
            <w:pPr>
              <w:pStyle w:val="45"/>
              <w:numPr>
                <w:ilvl w:val="0"/>
                <w:numId w:val="3"/>
              </w:numPr>
              <w:spacing w:line="360" w:lineRule="auto"/>
              <w:ind w:firstLineChars="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同时支持病案首页和医保结算清单的质控</w:t>
            </w:r>
          </w:p>
          <w:p w14:paraId="6B41268E">
            <w:pPr>
              <w:pStyle w:val="45"/>
              <w:numPr>
                <w:ilvl w:val="0"/>
                <w:numId w:val="3"/>
              </w:numPr>
              <w:spacing w:line="360" w:lineRule="auto"/>
              <w:ind w:firstLineChars="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基础项质控，质控基础项目是否完整，合法；</w:t>
            </w:r>
          </w:p>
          <w:p w14:paraId="25C80C42">
            <w:pPr>
              <w:pStyle w:val="45"/>
              <w:numPr>
                <w:ilvl w:val="0"/>
                <w:numId w:val="3"/>
              </w:numPr>
              <w:spacing w:line="360" w:lineRule="auto"/>
              <w:ind w:firstLineChars="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诊断质控，诊断诊断是否冲突、主诊断是否合法、诊断与性别年龄等是否一致；</w:t>
            </w:r>
          </w:p>
          <w:p w14:paraId="40C85E29">
            <w:pPr>
              <w:pStyle w:val="45"/>
              <w:numPr>
                <w:ilvl w:val="0"/>
                <w:numId w:val="3"/>
              </w:numPr>
              <w:spacing w:line="360" w:lineRule="auto"/>
              <w:ind w:firstLineChars="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手术操作质控，诊断手术操作是否合法，重复，医保映射关系是否一致，手术操作是否与性别年龄等冲突；</w:t>
            </w:r>
          </w:p>
          <w:p w14:paraId="51E5FB6A">
            <w:pPr>
              <w:pStyle w:val="45"/>
              <w:numPr>
                <w:ilvl w:val="0"/>
                <w:numId w:val="3"/>
              </w:numPr>
              <w:spacing w:line="360" w:lineRule="auto"/>
              <w:ind w:firstLineChars="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其他逻辑质控规则</w:t>
            </w:r>
          </w:p>
          <w:p w14:paraId="21D04A9A">
            <w:pPr>
              <w:pStyle w:val="45"/>
              <w:numPr>
                <w:ilvl w:val="0"/>
                <w:numId w:val="3"/>
              </w:numPr>
              <w:spacing w:line="360" w:lineRule="auto"/>
              <w:ind w:firstLineChars="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医保结算清单质控</w:t>
            </w:r>
          </w:p>
          <w:p w14:paraId="4E972040">
            <w:pPr>
              <w:pStyle w:val="45"/>
              <w:numPr>
                <w:ilvl w:val="0"/>
                <w:numId w:val="3"/>
              </w:numPr>
              <w:spacing w:line="360" w:lineRule="auto"/>
              <w:ind w:firstLineChars="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DIP主诊断与手术匹配操作校验</w:t>
            </w:r>
          </w:p>
        </w:tc>
      </w:tr>
      <w:tr w14:paraId="25AD0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7" w:hRule="atLeast"/>
        </w:trPr>
        <w:tc>
          <w:tcPr>
            <w:tcW w:w="1708" w:type="dxa"/>
            <w:vMerge w:val="continue"/>
            <w:vAlign w:val="center"/>
          </w:tcPr>
          <w:p w14:paraId="62BCE74E">
            <w:pPr>
              <w:spacing w:line="360" w:lineRule="auto"/>
              <w:rPr>
                <w:rFonts w:asciiTheme="minorEastAsia" w:hAnsiTheme="minorEastAsia" w:eastAsiaTheme="minorEastAsia" w:cstheme="minorEastAsia"/>
                <w:color w:val="auto"/>
                <w:sz w:val="24"/>
                <w:szCs w:val="24"/>
                <w:highlight w:val="none"/>
              </w:rPr>
            </w:pPr>
          </w:p>
        </w:tc>
        <w:tc>
          <w:tcPr>
            <w:tcW w:w="1528" w:type="dxa"/>
            <w:vAlign w:val="center"/>
          </w:tcPr>
          <w:p w14:paraId="0025A26F">
            <w:pPr>
              <w:spacing w:line="360" w:lineRule="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质控分析</w:t>
            </w:r>
          </w:p>
        </w:tc>
        <w:tc>
          <w:tcPr>
            <w:tcW w:w="5863" w:type="dxa"/>
            <w:vAlign w:val="center"/>
          </w:tcPr>
          <w:p w14:paraId="36C6FD5F">
            <w:pPr>
              <w:pStyle w:val="45"/>
              <w:numPr>
                <w:ilvl w:val="0"/>
                <w:numId w:val="4"/>
              </w:numPr>
              <w:spacing w:line="360" w:lineRule="auto"/>
              <w:ind w:firstLine="0" w:firstLineChars="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支持按科室统计病案得分</w:t>
            </w:r>
          </w:p>
          <w:p w14:paraId="10017A2C">
            <w:pPr>
              <w:pStyle w:val="45"/>
              <w:numPr>
                <w:ilvl w:val="0"/>
                <w:numId w:val="4"/>
              </w:numPr>
              <w:spacing w:line="360" w:lineRule="auto"/>
              <w:ind w:firstLine="0" w:firstLineChars="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支持查看全院或者科室病案得分趋势</w:t>
            </w:r>
          </w:p>
          <w:p w14:paraId="40B2D7A7">
            <w:pPr>
              <w:pStyle w:val="45"/>
              <w:numPr>
                <w:ilvl w:val="0"/>
                <w:numId w:val="4"/>
              </w:numPr>
              <w:spacing w:line="360" w:lineRule="auto"/>
              <w:ind w:firstLine="0" w:firstLineChars="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支持按质控为题汇总分析</w:t>
            </w:r>
          </w:p>
          <w:p w14:paraId="4506BBAD">
            <w:pPr>
              <w:pStyle w:val="45"/>
              <w:numPr>
                <w:ilvl w:val="0"/>
                <w:numId w:val="4"/>
              </w:numPr>
              <w:spacing w:line="360" w:lineRule="auto"/>
              <w:ind w:firstLine="0" w:firstLineChars="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其他病案质控的分析</w:t>
            </w:r>
          </w:p>
        </w:tc>
      </w:tr>
      <w:tr w14:paraId="304C6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2" w:hRule="atLeast"/>
        </w:trPr>
        <w:tc>
          <w:tcPr>
            <w:tcW w:w="1708" w:type="dxa"/>
            <w:vMerge w:val="restart"/>
            <w:vAlign w:val="center"/>
          </w:tcPr>
          <w:p w14:paraId="35DE50F6">
            <w:pPr>
              <w:spacing w:line="360" w:lineRule="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医生端助手</w:t>
            </w:r>
          </w:p>
        </w:tc>
        <w:tc>
          <w:tcPr>
            <w:tcW w:w="1528" w:type="dxa"/>
            <w:vAlign w:val="center"/>
          </w:tcPr>
          <w:p w14:paraId="24C407C8">
            <w:pPr>
              <w:spacing w:line="360" w:lineRule="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医生端预分组</w:t>
            </w:r>
          </w:p>
        </w:tc>
        <w:tc>
          <w:tcPr>
            <w:tcW w:w="5863" w:type="dxa"/>
            <w:vAlign w:val="center"/>
          </w:tcPr>
          <w:p w14:paraId="415C45B2">
            <w:pPr>
              <w:pStyle w:val="45"/>
              <w:numPr>
                <w:ilvl w:val="0"/>
                <w:numId w:val="5"/>
              </w:numPr>
              <w:spacing w:line="360" w:lineRule="auto"/>
              <w:ind w:firstLineChars="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系统支持嵌入医院HIS系统或者电子病历系统运行</w:t>
            </w:r>
          </w:p>
          <w:p w14:paraId="4AED2945">
            <w:pPr>
              <w:pStyle w:val="45"/>
              <w:numPr>
                <w:ilvl w:val="0"/>
                <w:numId w:val="5"/>
              </w:numPr>
              <w:spacing w:line="360" w:lineRule="auto"/>
              <w:ind w:firstLineChars="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★系统嵌入接口提供Dll或者H5 javascript 两种接口，支持嵌入C/S  HIS系统或者B/S HIS系统（附上接口方式证明）</w:t>
            </w:r>
          </w:p>
          <w:p w14:paraId="3074C49F">
            <w:pPr>
              <w:pStyle w:val="45"/>
              <w:numPr>
                <w:ilvl w:val="0"/>
                <w:numId w:val="5"/>
              </w:numPr>
              <w:spacing w:line="360" w:lineRule="auto"/>
              <w:ind w:firstLineChars="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★支持根据医生端所填写的入院诊断和拟手术操作进行预分组</w:t>
            </w:r>
          </w:p>
          <w:p w14:paraId="0BE59EEC">
            <w:pPr>
              <w:pStyle w:val="45"/>
              <w:numPr>
                <w:ilvl w:val="0"/>
                <w:numId w:val="5"/>
              </w:numPr>
              <w:spacing w:line="360" w:lineRule="auto"/>
              <w:ind w:firstLineChars="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支持对病案首页中的所有诊断和手术操作进行模拟分组，并按点数进行倒序排列</w:t>
            </w:r>
          </w:p>
          <w:p w14:paraId="60B9AECD">
            <w:pPr>
              <w:pStyle w:val="45"/>
              <w:numPr>
                <w:ilvl w:val="0"/>
                <w:numId w:val="5"/>
              </w:numPr>
              <w:spacing w:line="360" w:lineRule="auto"/>
              <w:ind w:firstLineChars="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★医生端分组支持显示病组类型、是否基层病种、当前点值、级别调整费用、例均费用、病种分值、核拨分值、预计盈亏金额</w:t>
            </w:r>
          </w:p>
        </w:tc>
      </w:tr>
      <w:tr w14:paraId="4530F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1" w:hRule="atLeast"/>
        </w:trPr>
        <w:tc>
          <w:tcPr>
            <w:tcW w:w="1708" w:type="dxa"/>
            <w:vMerge w:val="continue"/>
            <w:vAlign w:val="center"/>
          </w:tcPr>
          <w:p w14:paraId="3D437E9A">
            <w:pPr>
              <w:spacing w:line="360" w:lineRule="auto"/>
              <w:rPr>
                <w:rFonts w:asciiTheme="minorEastAsia" w:hAnsiTheme="minorEastAsia" w:eastAsiaTheme="minorEastAsia" w:cstheme="minorEastAsia"/>
                <w:color w:val="auto"/>
                <w:sz w:val="24"/>
                <w:szCs w:val="24"/>
                <w:highlight w:val="none"/>
              </w:rPr>
            </w:pPr>
          </w:p>
        </w:tc>
        <w:tc>
          <w:tcPr>
            <w:tcW w:w="1528" w:type="dxa"/>
            <w:vAlign w:val="center"/>
          </w:tcPr>
          <w:p w14:paraId="57A9F64D">
            <w:pPr>
              <w:spacing w:line="360" w:lineRule="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分组试验台</w:t>
            </w:r>
          </w:p>
        </w:tc>
        <w:tc>
          <w:tcPr>
            <w:tcW w:w="5863" w:type="dxa"/>
            <w:vAlign w:val="center"/>
          </w:tcPr>
          <w:p w14:paraId="354C9498">
            <w:pPr>
              <w:pStyle w:val="45"/>
              <w:numPr>
                <w:ilvl w:val="0"/>
                <w:numId w:val="6"/>
              </w:numPr>
              <w:spacing w:line="360" w:lineRule="auto"/>
              <w:ind w:firstLineChars="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可以自己录入诊断和手术操作，实时显示预分组，显示组编码和组名称。</w:t>
            </w:r>
          </w:p>
          <w:p w14:paraId="33EE4FA3">
            <w:pPr>
              <w:pStyle w:val="45"/>
              <w:numPr>
                <w:ilvl w:val="0"/>
                <w:numId w:val="6"/>
              </w:numPr>
              <w:spacing w:line="360" w:lineRule="auto"/>
              <w:ind w:firstLineChars="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★支持拖动诊断调整诊断顺序，拖动调整顺序后实时显示分组情况</w:t>
            </w:r>
          </w:p>
          <w:p w14:paraId="40922E54">
            <w:pPr>
              <w:pStyle w:val="45"/>
              <w:numPr>
                <w:ilvl w:val="0"/>
                <w:numId w:val="6"/>
              </w:numPr>
              <w:spacing w:line="360" w:lineRule="auto"/>
              <w:ind w:firstLineChars="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★支持拖动手术操作调整手术操作顺序，调整收实时动态显示分组情况。</w:t>
            </w:r>
          </w:p>
          <w:p w14:paraId="50FCF82C">
            <w:pPr>
              <w:pStyle w:val="45"/>
              <w:numPr>
                <w:ilvl w:val="0"/>
                <w:numId w:val="6"/>
              </w:numPr>
              <w:spacing w:line="360" w:lineRule="auto"/>
              <w:ind w:firstLineChars="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★分组试验台实时预分组支持</w:t>
            </w:r>
            <w:r>
              <w:rPr>
                <w:rFonts w:hint="eastAsia" w:ascii="宋体" w:hAnsi="宋体" w:cs="宋体"/>
                <w:color w:val="auto"/>
                <w:sz w:val="24"/>
                <w:szCs w:val="24"/>
                <w:highlight w:val="none"/>
              </w:rPr>
              <w:t>显示当前入组类型、是否基层病种、当前设置点值、当前设置级别调整系数、区域例均费用、应拨总额费用、病种分值、核拨分值、病例类型、当前倍率、预计盈亏信息，并支持保存到医保结算清单，同时可以刷新重置到原先填写状态</w:t>
            </w:r>
            <w:r>
              <w:rPr>
                <w:rFonts w:hint="eastAsia" w:asciiTheme="minorEastAsia" w:hAnsiTheme="minorEastAsia" w:eastAsiaTheme="minorEastAsia" w:cstheme="minorEastAsia"/>
                <w:color w:val="auto"/>
                <w:sz w:val="24"/>
                <w:szCs w:val="24"/>
                <w:highlight w:val="none"/>
              </w:rPr>
              <w:t>。</w:t>
            </w:r>
          </w:p>
          <w:p w14:paraId="7C46D922">
            <w:pPr>
              <w:pStyle w:val="45"/>
              <w:numPr>
                <w:ilvl w:val="0"/>
                <w:numId w:val="6"/>
              </w:numPr>
              <w:spacing w:line="360" w:lineRule="auto"/>
              <w:ind w:firstLineChars="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★支持录入预期治疗费用，预期费用与当前入组盈亏金额。</w:t>
            </w:r>
          </w:p>
        </w:tc>
      </w:tr>
      <w:tr w14:paraId="02835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6" w:hRule="atLeast"/>
        </w:trPr>
        <w:tc>
          <w:tcPr>
            <w:tcW w:w="1708" w:type="dxa"/>
            <w:vMerge w:val="continue"/>
            <w:vAlign w:val="center"/>
          </w:tcPr>
          <w:p w14:paraId="61107E0F">
            <w:pPr>
              <w:spacing w:line="360" w:lineRule="auto"/>
              <w:rPr>
                <w:rFonts w:asciiTheme="minorEastAsia" w:hAnsiTheme="minorEastAsia" w:eastAsiaTheme="minorEastAsia" w:cstheme="minorEastAsia"/>
                <w:color w:val="auto"/>
                <w:sz w:val="24"/>
                <w:szCs w:val="24"/>
                <w:highlight w:val="none"/>
              </w:rPr>
            </w:pPr>
          </w:p>
        </w:tc>
        <w:tc>
          <w:tcPr>
            <w:tcW w:w="1528" w:type="dxa"/>
            <w:vAlign w:val="center"/>
          </w:tcPr>
          <w:p w14:paraId="359212AE">
            <w:pPr>
              <w:spacing w:line="360" w:lineRule="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医生工作台</w:t>
            </w:r>
          </w:p>
        </w:tc>
        <w:tc>
          <w:tcPr>
            <w:tcW w:w="5863" w:type="dxa"/>
            <w:vAlign w:val="center"/>
          </w:tcPr>
          <w:p w14:paraId="0579FF0F">
            <w:pPr>
              <w:pStyle w:val="45"/>
              <w:numPr>
                <w:ilvl w:val="0"/>
                <w:numId w:val="7"/>
              </w:numPr>
              <w:spacing w:line="360" w:lineRule="auto"/>
              <w:ind w:firstLineChars="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★在医生工作台同一个界面显示当前预分组信息、质控信息、费用预警信息、医保费用审核信息、当前病例药耗占比信息，方便医生了解病例的详细情况。</w:t>
            </w:r>
          </w:p>
          <w:p w14:paraId="4F3D785C">
            <w:pPr>
              <w:pStyle w:val="45"/>
              <w:numPr>
                <w:ilvl w:val="0"/>
                <w:numId w:val="7"/>
              </w:numPr>
              <w:spacing w:line="360" w:lineRule="auto"/>
              <w:ind w:firstLineChars="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支持医生统计本科室或者本人所有在院患者的预分组情况，并可以按住院号、姓名、DIP组进行检索。</w:t>
            </w:r>
          </w:p>
          <w:p w14:paraId="030F27B2">
            <w:pPr>
              <w:pStyle w:val="45"/>
              <w:numPr>
                <w:ilvl w:val="0"/>
                <w:numId w:val="7"/>
              </w:numPr>
              <w:spacing w:line="360" w:lineRule="auto"/>
              <w:ind w:firstLineChars="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支持医生统计本科室或者本人所有出院患者的预分组情况，可以分别按照出院时间进行检索，并可以按住院号、姓名、DIP组进行检索，检索结果支持以数据或者图表方式显示。</w:t>
            </w:r>
          </w:p>
          <w:p w14:paraId="0AF22DCE">
            <w:pPr>
              <w:pStyle w:val="45"/>
              <w:numPr>
                <w:ilvl w:val="0"/>
                <w:numId w:val="7"/>
              </w:numPr>
              <w:spacing w:line="360" w:lineRule="auto"/>
              <w:ind w:firstLineChars="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医生</w:t>
            </w:r>
            <w:r>
              <w:rPr>
                <w:rFonts w:hint="eastAsia" w:asciiTheme="minorEastAsia" w:hAnsiTheme="minorEastAsia" w:eastAsiaTheme="minorEastAsia" w:cstheme="minorEastAsia"/>
                <w:color w:val="auto"/>
                <w:sz w:val="24"/>
                <w:szCs w:val="24"/>
                <w:highlight w:val="none"/>
                <w:lang w:val="zh-TW"/>
              </w:rPr>
              <w:t>学科发展波士顿矩阵图</w:t>
            </w:r>
            <w:r>
              <w:rPr>
                <w:rFonts w:hint="eastAsia" w:asciiTheme="minorEastAsia" w:hAnsiTheme="minorEastAsia" w:eastAsiaTheme="minorEastAsia" w:cstheme="minorEastAsia"/>
                <w:color w:val="auto"/>
                <w:sz w:val="24"/>
                <w:szCs w:val="24"/>
                <w:highlight w:val="none"/>
              </w:rPr>
              <w:t>分析</w:t>
            </w:r>
            <w:r>
              <w:rPr>
                <w:rFonts w:hint="eastAsia" w:asciiTheme="minorEastAsia" w:hAnsiTheme="minorEastAsia" w:eastAsiaTheme="minorEastAsia" w:cstheme="minorEastAsia"/>
                <w:color w:val="auto"/>
                <w:sz w:val="24"/>
                <w:szCs w:val="24"/>
                <w:highlight w:val="none"/>
                <w:lang w:val="zh-TW"/>
              </w:rPr>
              <w:t>（包含科室</w:t>
            </w:r>
            <w:r>
              <w:rPr>
                <w:rFonts w:hint="eastAsia" w:asciiTheme="minorEastAsia" w:hAnsiTheme="minorEastAsia" w:eastAsiaTheme="minorEastAsia" w:cstheme="minorEastAsia"/>
                <w:color w:val="auto"/>
                <w:sz w:val="24"/>
                <w:szCs w:val="24"/>
                <w:highlight w:val="none"/>
              </w:rPr>
              <w:t>内各医生</w:t>
            </w:r>
            <w:r>
              <w:rPr>
                <w:rFonts w:hint="eastAsia" w:asciiTheme="minorEastAsia" w:hAnsiTheme="minorEastAsia" w:eastAsiaTheme="minorEastAsia" w:cstheme="minorEastAsia"/>
                <w:color w:val="auto"/>
                <w:sz w:val="24"/>
                <w:szCs w:val="24"/>
                <w:highlight w:val="none"/>
                <w:lang w:val="zh-TW"/>
              </w:rPr>
              <w:t>盈亏指数及</w:t>
            </w:r>
            <w:r>
              <w:rPr>
                <w:rFonts w:hint="eastAsia" w:asciiTheme="minorEastAsia" w:hAnsiTheme="minorEastAsia" w:eastAsiaTheme="minorEastAsia" w:cstheme="minorEastAsia"/>
                <w:color w:val="auto"/>
                <w:sz w:val="24"/>
                <w:szCs w:val="24"/>
                <w:highlight w:val="none"/>
              </w:rPr>
              <w:t>点数</w:t>
            </w:r>
            <w:r>
              <w:rPr>
                <w:rFonts w:hint="eastAsia" w:asciiTheme="minorEastAsia" w:hAnsiTheme="minorEastAsia" w:eastAsiaTheme="minorEastAsia" w:cstheme="minorEastAsia"/>
                <w:color w:val="auto"/>
                <w:sz w:val="24"/>
                <w:szCs w:val="24"/>
                <w:highlight w:val="none"/>
                <w:lang w:val="zh-TW"/>
              </w:rPr>
              <w:t>）。检索条件：</w:t>
            </w:r>
            <w:r>
              <w:rPr>
                <w:rFonts w:hint="eastAsia" w:asciiTheme="minorEastAsia" w:hAnsiTheme="minorEastAsia" w:eastAsiaTheme="minorEastAsia" w:cstheme="minorEastAsia"/>
                <w:color w:val="auto"/>
                <w:sz w:val="24"/>
                <w:szCs w:val="24"/>
                <w:highlight w:val="none"/>
                <w:lang w:val="zh-TW" w:eastAsia="zh-TW"/>
              </w:rPr>
              <w:t>出院时间、结算时间、支付类型（</w:t>
            </w:r>
            <w:r>
              <w:rPr>
                <w:rFonts w:hint="eastAsia" w:asciiTheme="minorEastAsia" w:hAnsiTheme="minorEastAsia" w:eastAsiaTheme="minorEastAsia" w:cstheme="minorEastAsia"/>
                <w:color w:val="auto"/>
                <w:sz w:val="24"/>
                <w:szCs w:val="24"/>
                <w:highlight w:val="none"/>
                <w:lang w:val="zh-TW"/>
              </w:rPr>
              <w:t>DIP</w:t>
            </w:r>
            <w:r>
              <w:rPr>
                <w:rFonts w:hint="eastAsia" w:asciiTheme="minorEastAsia" w:hAnsiTheme="minorEastAsia" w:eastAsiaTheme="minorEastAsia" w:cstheme="minorEastAsia"/>
                <w:color w:val="auto"/>
                <w:sz w:val="24"/>
                <w:szCs w:val="24"/>
                <w:highlight w:val="none"/>
                <w:lang w:val="zh-TW" w:eastAsia="zh-TW"/>
              </w:rPr>
              <w:t>支付、项目支付）、医保类型（职工、居民）、医保机构。散点图上鼠标悬浮显示</w:t>
            </w:r>
            <w:r>
              <w:rPr>
                <w:rFonts w:hint="eastAsia" w:asciiTheme="minorEastAsia" w:hAnsiTheme="minorEastAsia" w:eastAsiaTheme="minorEastAsia" w:cstheme="minorEastAsia"/>
                <w:color w:val="auto"/>
                <w:sz w:val="24"/>
                <w:szCs w:val="24"/>
                <w:highlight w:val="none"/>
              </w:rPr>
              <w:t>医生</w:t>
            </w:r>
            <w:r>
              <w:rPr>
                <w:rFonts w:hint="eastAsia" w:asciiTheme="minorEastAsia" w:hAnsiTheme="minorEastAsia" w:eastAsiaTheme="minorEastAsia" w:cstheme="minorEastAsia"/>
                <w:color w:val="auto"/>
                <w:sz w:val="24"/>
                <w:szCs w:val="24"/>
                <w:highlight w:val="none"/>
                <w:lang w:val="zh-TW" w:eastAsia="zh-TW"/>
              </w:rPr>
              <w:t>：</w:t>
            </w:r>
            <w:r>
              <w:rPr>
                <w:rFonts w:hint="eastAsia" w:asciiTheme="minorEastAsia" w:hAnsiTheme="minorEastAsia" w:eastAsiaTheme="minorEastAsia" w:cstheme="minorEastAsia"/>
                <w:color w:val="auto"/>
                <w:sz w:val="24"/>
                <w:szCs w:val="24"/>
                <w:highlight w:val="none"/>
              </w:rPr>
              <w:t>病例</w:t>
            </w:r>
            <w:r>
              <w:rPr>
                <w:rFonts w:hint="eastAsia" w:asciiTheme="minorEastAsia" w:hAnsiTheme="minorEastAsia" w:eastAsiaTheme="minorEastAsia" w:cstheme="minorEastAsia"/>
                <w:color w:val="auto"/>
                <w:sz w:val="24"/>
                <w:szCs w:val="24"/>
                <w:highlight w:val="none"/>
                <w:lang w:val="zh-TW" w:eastAsia="zh-TW"/>
              </w:rPr>
              <w:t>数、</w:t>
            </w:r>
            <w:r>
              <w:rPr>
                <w:rFonts w:hint="eastAsia" w:asciiTheme="minorEastAsia" w:hAnsiTheme="minorEastAsia" w:eastAsiaTheme="minorEastAsia" w:cstheme="minorEastAsia"/>
                <w:color w:val="auto"/>
                <w:sz w:val="24"/>
                <w:szCs w:val="24"/>
                <w:highlight w:val="none"/>
              </w:rPr>
              <w:t>分值</w:t>
            </w:r>
            <w:r>
              <w:rPr>
                <w:rFonts w:hint="eastAsia" w:asciiTheme="minorEastAsia" w:hAnsiTheme="minorEastAsia" w:eastAsiaTheme="minorEastAsia" w:cstheme="minorEastAsia"/>
                <w:color w:val="auto"/>
                <w:sz w:val="24"/>
                <w:szCs w:val="24"/>
                <w:highlight w:val="none"/>
                <w:lang w:val="zh-TW" w:eastAsia="zh-TW"/>
              </w:rPr>
              <w:t>及盈亏指数。</w:t>
            </w:r>
          </w:p>
          <w:p w14:paraId="01AE0F28">
            <w:pPr>
              <w:pStyle w:val="45"/>
              <w:numPr>
                <w:ilvl w:val="0"/>
                <w:numId w:val="7"/>
              </w:numPr>
              <w:spacing w:line="360" w:lineRule="auto"/>
              <w:ind w:firstLineChars="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DIP组</w:t>
            </w:r>
            <w:r>
              <w:rPr>
                <w:rFonts w:hint="eastAsia" w:asciiTheme="minorEastAsia" w:hAnsiTheme="minorEastAsia" w:eastAsiaTheme="minorEastAsia" w:cstheme="minorEastAsia"/>
                <w:color w:val="auto"/>
                <w:sz w:val="24"/>
                <w:szCs w:val="24"/>
                <w:highlight w:val="none"/>
                <w:lang w:val="zh-TW"/>
              </w:rPr>
              <w:t>波士顿矩阵图分析图（包含科室</w:t>
            </w:r>
            <w:r>
              <w:rPr>
                <w:rFonts w:hint="eastAsia" w:asciiTheme="minorEastAsia" w:hAnsiTheme="minorEastAsia" w:eastAsiaTheme="minorEastAsia" w:cstheme="minorEastAsia"/>
                <w:color w:val="auto"/>
                <w:sz w:val="24"/>
                <w:szCs w:val="24"/>
                <w:highlight w:val="none"/>
              </w:rPr>
              <w:t>内各DIP组</w:t>
            </w:r>
            <w:r>
              <w:rPr>
                <w:rFonts w:hint="eastAsia" w:asciiTheme="minorEastAsia" w:hAnsiTheme="minorEastAsia" w:eastAsiaTheme="minorEastAsia" w:cstheme="minorEastAsia"/>
                <w:color w:val="auto"/>
                <w:sz w:val="24"/>
                <w:szCs w:val="24"/>
                <w:highlight w:val="none"/>
                <w:lang w:val="zh-TW"/>
              </w:rPr>
              <w:t>盈亏指数及</w:t>
            </w:r>
            <w:r>
              <w:rPr>
                <w:rFonts w:hint="eastAsia" w:asciiTheme="minorEastAsia" w:hAnsiTheme="minorEastAsia" w:eastAsiaTheme="minorEastAsia" w:cstheme="minorEastAsia"/>
                <w:color w:val="auto"/>
                <w:sz w:val="24"/>
                <w:szCs w:val="24"/>
                <w:highlight w:val="none"/>
              </w:rPr>
              <w:t>分值</w:t>
            </w:r>
            <w:r>
              <w:rPr>
                <w:rFonts w:hint="eastAsia" w:asciiTheme="minorEastAsia" w:hAnsiTheme="minorEastAsia" w:eastAsiaTheme="minorEastAsia" w:cstheme="minorEastAsia"/>
                <w:color w:val="auto"/>
                <w:sz w:val="24"/>
                <w:szCs w:val="24"/>
                <w:highlight w:val="none"/>
                <w:lang w:val="zh-TW"/>
              </w:rPr>
              <w:t>）。检索条件：</w:t>
            </w:r>
            <w:r>
              <w:rPr>
                <w:rFonts w:hint="eastAsia" w:asciiTheme="minorEastAsia" w:hAnsiTheme="minorEastAsia" w:eastAsiaTheme="minorEastAsia" w:cstheme="minorEastAsia"/>
                <w:color w:val="auto"/>
                <w:sz w:val="24"/>
                <w:szCs w:val="24"/>
                <w:highlight w:val="none"/>
                <w:lang w:val="zh-TW" w:eastAsia="zh-TW"/>
              </w:rPr>
              <w:t>出院时间、结算时间、支付类型（</w:t>
            </w:r>
            <w:r>
              <w:rPr>
                <w:rFonts w:hint="eastAsia" w:asciiTheme="minorEastAsia" w:hAnsiTheme="minorEastAsia" w:eastAsiaTheme="minorEastAsia" w:cstheme="minorEastAsia"/>
                <w:color w:val="auto"/>
                <w:sz w:val="24"/>
                <w:szCs w:val="24"/>
                <w:highlight w:val="none"/>
                <w:lang w:val="zh-TW"/>
              </w:rPr>
              <w:t>DIP</w:t>
            </w:r>
            <w:r>
              <w:rPr>
                <w:rFonts w:hint="eastAsia" w:asciiTheme="minorEastAsia" w:hAnsiTheme="minorEastAsia" w:eastAsiaTheme="minorEastAsia" w:cstheme="minorEastAsia"/>
                <w:color w:val="auto"/>
                <w:sz w:val="24"/>
                <w:szCs w:val="24"/>
                <w:highlight w:val="none"/>
                <w:lang w:val="zh-TW" w:eastAsia="zh-TW"/>
              </w:rPr>
              <w:t>支付、项目支付）、医保类型（职工、居民）、医保机构。散点图上鼠标悬浮显示</w:t>
            </w:r>
            <w:r>
              <w:rPr>
                <w:rFonts w:hint="eastAsia" w:asciiTheme="minorEastAsia" w:hAnsiTheme="minorEastAsia" w:eastAsiaTheme="minorEastAsia" w:cstheme="minorEastAsia"/>
                <w:color w:val="auto"/>
                <w:sz w:val="24"/>
                <w:szCs w:val="24"/>
                <w:highlight w:val="none"/>
              </w:rPr>
              <w:t>DIP组</w:t>
            </w:r>
            <w:r>
              <w:rPr>
                <w:rFonts w:hint="eastAsia" w:asciiTheme="minorEastAsia" w:hAnsiTheme="minorEastAsia" w:eastAsiaTheme="minorEastAsia" w:cstheme="minorEastAsia"/>
                <w:color w:val="auto"/>
                <w:sz w:val="24"/>
                <w:szCs w:val="24"/>
                <w:highlight w:val="none"/>
                <w:lang w:val="zh-TW" w:eastAsia="zh-TW"/>
              </w:rPr>
              <w:t>：</w:t>
            </w:r>
            <w:r>
              <w:rPr>
                <w:rFonts w:hint="eastAsia" w:asciiTheme="minorEastAsia" w:hAnsiTheme="minorEastAsia" w:eastAsiaTheme="minorEastAsia" w:cstheme="minorEastAsia"/>
                <w:color w:val="auto"/>
                <w:sz w:val="24"/>
                <w:szCs w:val="24"/>
                <w:highlight w:val="none"/>
              </w:rPr>
              <w:t>病例</w:t>
            </w:r>
            <w:r>
              <w:rPr>
                <w:rFonts w:hint="eastAsia" w:asciiTheme="minorEastAsia" w:hAnsiTheme="minorEastAsia" w:eastAsiaTheme="minorEastAsia" w:cstheme="minorEastAsia"/>
                <w:color w:val="auto"/>
                <w:sz w:val="24"/>
                <w:szCs w:val="24"/>
                <w:highlight w:val="none"/>
                <w:lang w:val="zh-TW" w:eastAsia="zh-TW"/>
              </w:rPr>
              <w:t>数、</w:t>
            </w:r>
            <w:r>
              <w:rPr>
                <w:rFonts w:hint="eastAsia" w:asciiTheme="minorEastAsia" w:hAnsiTheme="minorEastAsia" w:eastAsiaTheme="minorEastAsia" w:cstheme="minorEastAsia"/>
                <w:color w:val="auto"/>
                <w:sz w:val="24"/>
                <w:szCs w:val="24"/>
                <w:highlight w:val="none"/>
              </w:rPr>
              <w:t>分值</w:t>
            </w:r>
            <w:r>
              <w:rPr>
                <w:rFonts w:hint="eastAsia" w:asciiTheme="minorEastAsia" w:hAnsiTheme="minorEastAsia" w:eastAsiaTheme="minorEastAsia" w:cstheme="minorEastAsia"/>
                <w:color w:val="auto"/>
                <w:sz w:val="24"/>
                <w:szCs w:val="24"/>
                <w:highlight w:val="none"/>
                <w:lang w:val="zh-TW" w:eastAsia="zh-TW"/>
              </w:rPr>
              <w:t>及盈亏指数。</w:t>
            </w:r>
          </w:p>
        </w:tc>
      </w:tr>
      <w:tr w14:paraId="3DBD8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1708" w:type="dxa"/>
            <w:vMerge w:val="restart"/>
            <w:vAlign w:val="center"/>
          </w:tcPr>
          <w:p w14:paraId="136840CD">
            <w:pPr>
              <w:pStyle w:val="36"/>
              <w:ind w:firstLine="0" w:firstLineChars="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DIP综合管理</w:t>
            </w:r>
          </w:p>
          <w:p w14:paraId="26831D44">
            <w:pPr>
              <w:spacing w:line="360" w:lineRule="auto"/>
              <w:rPr>
                <w:rFonts w:asciiTheme="minorEastAsia" w:hAnsiTheme="minorEastAsia" w:eastAsiaTheme="minorEastAsia" w:cstheme="minorEastAsia"/>
                <w:color w:val="auto"/>
                <w:sz w:val="24"/>
                <w:szCs w:val="24"/>
                <w:highlight w:val="none"/>
              </w:rPr>
            </w:pPr>
          </w:p>
        </w:tc>
        <w:tc>
          <w:tcPr>
            <w:tcW w:w="1528" w:type="dxa"/>
            <w:vAlign w:val="center"/>
          </w:tcPr>
          <w:p w14:paraId="150F03C2">
            <w:pPr>
              <w:spacing w:line="360" w:lineRule="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实时预分组</w:t>
            </w:r>
          </w:p>
        </w:tc>
        <w:tc>
          <w:tcPr>
            <w:tcW w:w="5863" w:type="dxa"/>
            <w:vAlign w:val="center"/>
          </w:tcPr>
          <w:p w14:paraId="49CCC41E">
            <w:pPr>
              <w:pStyle w:val="45"/>
              <w:numPr>
                <w:ilvl w:val="0"/>
                <w:numId w:val="8"/>
              </w:numPr>
              <w:spacing w:line="360" w:lineRule="auto"/>
              <w:ind w:firstLineChars="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★管理端支持根据医生端所填写的入院诊断和拟手术操作进行预分组</w:t>
            </w:r>
          </w:p>
          <w:p w14:paraId="5EB07DA1">
            <w:pPr>
              <w:pStyle w:val="45"/>
              <w:numPr>
                <w:ilvl w:val="0"/>
                <w:numId w:val="8"/>
              </w:numPr>
              <w:spacing w:line="360" w:lineRule="auto"/>
              <w:ind w:firstLineChars="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支持诊断和手术操作仅调整医保结算清单，不修改医生病案首页。</w:t>
            </w:r>
          </w:p>
          <w:p w14:paraId="51C11EB8">
            <w:pPr>
              <w:pStyle w:val="45"/>
              <w:numPr>
                <w:ilvl w:val="0"/>
                <w:numId w:val="8"/>
              </w:numPr>
              <w:spacing w:line="360" w:lineRule="auto"/>
              <w:ind w:firstLineChars="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支持对医保结算清单中的所有诊断和手术操作进行模拟分组，并按点数进行倒序排列，协助管理人员修改主诊断</w:t>
            </w:r>
          </w:p>
          <w:p w14:paraId="1B392CEA">
            <w:pPr>
              <w:pStyle w:val="45"/>
              <w:numPr>
                <w:ilvl w:val="0"/>
                <w:numId w:val="8"/>
              </w:numPr>
              <w:spacing w:line="360" w:lineRule="auto"/>
              <w:ind w:firstLineChars="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★管理端分组支持显示病组类型、是否基层病种、当前点值、级别调整费用、例均费用、病种分值、核拨分值、预计盈亏金额</w:t>
            </w:r>
          </w:p>
        </w:tc>
      </w:tr>
      <w:tr w14:paraId="451B4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9" w:hRule="atLeast"/>
        </w:trPr>
        <w:tc>
          <w:tcPr>
            <w:tcW w:w="1708" w:type="dxa"/>
            <w:vMerge w:val="continue"/>
            <w:vAlign w:val="center"/>
          </w:tcPr>
          <w:p w14:paraId="2F9F98F8">
            <w:pPr>
              <w:spacing w:line="360" w:lineRule="auto"/>
              <w:rPr>
                <w:rFonts w:asciiTheme="minorEastAsia" w:hAnsiTheme="minorEastAsia" w:eastAsiaTheme="minorEastAsia" w:cstheme="minorEastAsia"/>
                <w:color w:val="auto"/>
                <w:sz w:val="24"/>
                <w:szCs w:val="24"/>
                <w:highlight w:val="none"/>
              </w:rPr>
            </w:pPr>
          </w:p>
        </w:tc>
        <w:tc>
          <w:tcPr>
            <w:tcW w:w="1528" w:type="dxa"/>
            <w:vAlign w:val="center"/>
          </w:tcPr>
          <w:p w14:paraId="27EF3CEB">
            <w:pPr>
              <w:spacing w:line="360" w:lineRule="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分组试验台</w:t>
            </w:r>
          </w:p>
        </w:tc>
        <w:tc>
          <w:tcPr>
            <w:tcW w:w="5863" w:type="dxa"/>
            <w:vAlign w:val="center"/>
          </w:tcPr>
          <w:p w14:paraId="21690276">
            <w:pPr>
              <w:pStyle w:val="45"/>
              <w:numPr>
                <w:ilvl w:val="0"/>
                <w:numId w:val="9"/>
              </w:numPr>
              <w:spacing w:line="360" w:lineRule="auto"/>
              <w:ind w:firstLineChars="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可以自己录入诊断和手术操作，实时显示预分组，显示组编码和组名称。</w:t>
            </w:r>
          </w:p>
          <w:p w14:paraId="605D2CF6">
            <w:pPr>
              <w:pStyle w:val="45"/>
              <w:numPr>
                <w:ilvl w:val="0"/>
                <w:numId w:val="9"/>
              </w:numPr>
              <w:spacing w:line="360" w:lineRule="auto"/>
              <w:ind w:firstLineChars="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★支持拖动诊断调整诊断顺序，拖动调整顺序后实时显示分组情况</w:t>
            </w:r>
          </w:p>
          <w:p w14:paraId="3A003895">
            <w:pPr>
              <w:pStyle w:val="45"/>
              <w:numPr>
                <w:ilvl w:val="0"/>
                <w:numId w:val="9"/>
              </w:numPr>
              <w:spacing w:line="360" w:lineRule="auto"/>
              <w:ind w:firstLineChars="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★支持拖动手术操作调整手术操作顺序，调整收实时动态显示分组情况。</w:t>
            </w:r>
          </w:p>
          <w:p w14:paraId="34BBDE7C">
            <w:pPr>
              <w:pStyle w:val="45"/>
              <w:numPr>
                <w:ilvl w:val="0"/>
                <w:numId w:val="9"/>
              </w:numPr>
              <w:spacing w:line="360" w:lineRule="auto"/>
              <w:ind w:firstLineChars="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★分组试验台实时预分组支持</w:t>
            </w:r>
            <w:r>
              <w:rPr>
                <w:rFonts w:hint="eastAsia" w:ascii="宋体" w:hAnsi="宋体" w:cs="宋体"/>
                <w:color w:val="auto"/>
                <w:sz w:val="24"/>
                <w:szCs w:val="24"/>
                <w:highlight w:val="none"/>
              </w:rPr>
              <w:t>显示当前入组类型、是否基层病种、当前设置点值、当前设置级别调整系数、区域例均费用、应拨总额费用、病种分值、核拨分值、病例类型、当前倍率、预计盈亏信息，并支持保存到医保结算清单，同时可以刷新重置到原先填写状态</w:t>
            </w:r>
            <w:r>
              <w:rPr>
                <w:rFonts w:hint="eastAsia" w:asciiTheme="minorEastAsia" w:hAnsiTheme="minorEastAsia" w:eastAsiaTheme="minorEastAsia" w:cstheme="minorEastAsia"/>
                <w:color w:val="auto"/>
                <w:sz w:val="24"/>
                <w:szCs w:val="24"/>
                <w:highlight w:val="none"/>
              </w:rPr>
              <w:t>。</w:t>
            </w:r>
          </w:p>
          <w:p w14:paraId="02ABB86A">
            <w:pPr>
              <w:pStyle w:val="45"/>
              <w:numPr>
                <w:ilvl w:val="0"/>
                <w:numId w:val="9"/>
              </w:numPr>
              <w:spacing w:line="360" w:lineRule="auto"/>
              <w:ind w:firstLineChars="0"/>
              <w:rPr>
                <w:rFonts w:ascii="宋体" w:hAnsi="宋体" w:cs="宋体"/>
                <w:color w:val="auto"/>
                <w:sz w:val="24"/>
                <w:szCs w:val="24"/>
                <w:highlight w:val="none"/>
              </w:rPr>
            </w:pPr>
            <w:r>
              <w:rPr>
                <w:rFonts w:hint="eastAsia" w:asciiTheme="minorEastAsia" w:hAnsiTheme="minorEastAsia" w:eastAsiaTheme="minorEastAsia" w:cstheme="minorEastAsia"/>
                <w:color w:val="auto"/>
                <w:sz w:val="24"/>
                <w:szCs w:val="24"/>
                <w:highlight w:val="none"/>
              </w:rPr>
              <w:t>★支持录入预期治疗费用，预期费用与当前入组盈亏金额。</w:t>
            </w:r>
          </w:p>
          <w:p w14:paraId="487EACE0">
            <w:pPr>
              <w:pStyle w:val="45"/>
              <w:numPr>
                <w:ilvl w:val="0"/>
                <w:numId w:val="9"/>
              </w:numPr>
              <w:spacing w:line="360" w:lineRule="auto"/>
              <w:ind w:firstLineChars="0"/>
              <w:rPr>
                <w:rFonts w:asciiTheme="minorEastAsia" w:hAnsiTheme="minorEastAsia" w:eastAsiaTheme="minorEastAsia" w:cstheme="minorEastAsia"/>
                <w:color w:val="auto"/>
                <w:sz w:val="24"/>
                <w:szCs w:val="24"/>
                <w:highlight w:val="none"/>
              </w:rPr>
            </w:pPr>
            <w:r>
              <w:rPr>
                <w:rStyle w:val="46"/>
                <w:rFonts w:hint="eastAsia" w:ascii="宋体" w:hAnsi="宋体" w:cs="宋体"/>
                <w:color w:val="auto"/>
                <w:sz w:val="24"/>
                <w:szCs w:val="24"/>
                <w:highlight w:val="none"/>
              </w:rPr>
              <w:t>★</w:t>
            </w:r>
            <w:r>
              <w:rPr>
                <w:rFonts w:hint="eastAsia" w:ascii="宋体" w:hAnsi="宋体" w:cs="宋体"/>
                <w:color w:val="auto"/>
                <w:sz w:val="24"/>
                <w:szCs w:val="24"/>
                <w:highlight w:val="none"/>
              </w:rPr>
              <w:t>DIP分组试验台与DIP分组指导等支持显示到一个页面，减轻医生或编码员繁琐操作。</w:t>
            </w:r>
          </w:p>
        </w:tc>
      </w:tr>
      <w:tr w14:paraId="67F5A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6" w:hRule="atLeast"/>
        </w:trPr>
        <w:tc>
          <w:tcPr>
            <w:tcW w:w="1708" w:type="dxa"/>
            <w:vMerge w:val="continue"/>
            <w:vAlign w:val="center"/>
          </w:tcPr>
          <w:p w14:paraId="44986438">
            <w:pPr>
              <w:spacing w:line="360" w:lineRule="auto"/>
              <w:rPr>
                <w:rFonts w:asciiTheme="minorEastAsia" w:hAnsiTheme="minorEastAsia" w:eastAsiaTheme="minorEastAsia" w:cstheme="minorEastAsia"/>
                <w:color w:val="auto"/>
                <w:sz w:val="24"/>
                <w:szCs w:val="24"/>
                <w:highlight w:val="none"/>
              </w:rPr>
            </w:pPr>
          </w:p>
        </w:tc>
        <w:tc>
          <w:tcPr>
            <w:tcW w:w="1528" w:type="dxa"/>
            <w:vAlign w:val="center"/>
          </w:tcPr>
          <w:p w14:paraId="029635E4">
            <w:pPr>
              <w:spacing w:line="360" w:lineRule="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结算清单管理</w:t>
            </w:r>
          </w:p>
        </w:tc>
        <w:tc>
          <w:tcPr>
            <w:tcW w:w="5863" w:type="dxa"/>
            <w:vAlign w:val="center"/>
          </w:tcPr>
          <w:p w14:paraId="1C6BBAE0">
            <w:pPr>
              <w:pStyle w:val="45"/>
              <w:numPr>
                <w:ilvl w:val="0"/>
                <w:numId w:val="10"/>
              </w:numPr>
              <w:spacing w:line="360" w:lineRule="auto"/>
              <w:ind w:firstLine="0" w:firstLineChars="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支持根据病案首页信息生成医保结算清单。</w:t>
            </w:r>
          </w:p>
          <w:p w14:paraId="433FB416">
            <w:pPr>
              <w:pStyle w:val="45"/>
              <w:numPr>
                <w:ilvl w:val="0"/>
                <w:numId w:val="10"/>
              </w:numPr>
              <w:spacing w:line="360" w:lineRule="auto"/>
              <w:ind w:firstLine="0" w:firstLineChars="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支持医保结算清单的审核和反审核，方便管理人员进行医保结算清单的审核上传。</w:t>
            </w:r>
          </w:p>
          <w:p w14:paraId="2FFB4209">
            <w:pPr>
              <w:pStyle w:val="45"/>
              <w:numPr>
                <w:ilvl w:val="0"/>
                <w:numId w:val="10"/>
              </w:numPr>
              <w:spacing w:line="360" w:lineRule="auto"/>
              <w:ind w:firstLine="0" w:firstLineChars="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支持在不修改医生病案首页的情况下调整和修改医保结算清单。</w:t>
            </w:r>
          </w:p>
          <w:p w14:paraId="3BD43C17">
            <w:pPr>
              <w:pStyle w:val="45"/>
              <w:numPr>
                <w:ilvl w:val="0"/>
                <w:numId w:val="10"/>
              </w:numPr>
              <w:spacing w:line="360" w:lineRule="auto"/>
              <w:ind w:firstLine="0" w:firstLineChars="0"/>
              <w:rPr>
                <w:rFonts w:ascii="宋体" w:hAnsi="宋体" w:cs="宋体"/>
                <w:color w:val="auto"/>
                <w:sz w:val="24"/>
                <w:szCs w:val="24"/>
                <w:highlight w:val="none"/>
              </w:rPr>
            </w:pPr>
            <w:r>
              <w:rPr>
                <w:rFonts w:hint="eastAsia" w:asciiTheme="minorEastAsia" w:hAnsiTheme="minorEastAsia" w:eastAsiaTheme="minorEastAsia" w:cstheme="minorEastAsia"/>
                <w:color w:val="auto"/>
                <w:sz w:val="24"/>
                <w:szCs w:val="24"/>
                <w:highlight w:val="none"/>
              </w:rPr>
              <w:t>医保结算清单列表展示，支持多种形式进行检索，并显示预分组编码、组名称、盈亏情况等信息</w:t>
            </w:r>
            <w:r>
              <w:rPr>
                <w:rFonts w:asciiTheme="minorEastAsia" w:hAnsiTheme="minorEastAsia" w:eastAsiaTheme="minorEastAsia" w:cstheme="minorEastAsia"/>
                <w:color w:val="auto"/>
                <w:sz w:val="24"/>
                <w:szCs w:val="24"/>
                <w:highlight w:val="none"/>
              </w:rPr>
              <w:t>。</w:t>
            </w:r>
          </w:p>
          <w:p w14:paraId="6BAACB47">
            <w:pPr>
              <w:pStyle w:val="45"/>
              <w:numPr>
                <w:ilvl w:val="0"/>
                <w:numId w:val="10"/>
              </w:numPr>
              <w:spacing w:line="360" w:lineRule="auto"/>
              <w:ind w:firstLine="0" w:firstLineChars="0"/>
              <w:rPr>
                <w:rFonts w:ascii="宋体" w:hAnsi="宋体" w:cs="宋体"/>
                <w:color w:val="auto"/>
                <w:sz w:val="24"/>
                <w:szCs w:val="24"/>
                <w:highlight w:val="none"/>
              </w:rPr>
            </w:pPr>
            <w:r>
              <w:rPr>
                <w:rFonts w:ascii="宋体" w:hAnsi="宋体" w:cs="宋体"/>
                <w:color w:val="auto"/>
                <w:sz w:val="24"/>
                <w:szCs w:val="24"/>
                <w:highlight w:val="none"/>
              </w:rPr>
              <w:t>清单</w:t>
            </w:r>
            <w:r>
              <w:rPr>
                <w:rFonts w:hint="eastAsia" w:ascii="宋体" w:hAnsi="宋体" w:cs="宋体"/>
                <w:color w:val="auto"/>
                <w:sz w:val="24"/>
                <w:szCs w:val="24"/>
                <w:highlight w:val="none"/>
              </w:rPr>
              <w:t>明细查询支持，按照科室、管床医生、住院号、DIP组、盈亏情况、医保结算清单审核状态、审核人、医保类型、医保机构、时间范围等进行统计。</w:t>
            </w:r>
          </w:p>
          <w:p w14:paraId="744C1150">
            <w:pPr>
              <w:pStyle w:val="45"/>
              <w:numPr>
                <w:ilvl w:val="0"/>
                <w:numId w:val="10"/>
              </w:numPr>
              <w:spacing w:line="360" w:lineRule="auto"/>
              <w:ind w:firstLine="0" w:firstLineChars="0"/>
              <w:rPr>
                <w:rFonts w:ascii="宋体" w:hAnsi="宋体" w:cs="宋体"/>
                <w:color w:val="auto"/>
                <w:sz w:val="24"/>
                <w:szCs w:val="24"/>
                <w:highlight w:val="none"/>
              </w:rPr>
            </w:pPr>
            <w:r>
              <w:rPr>
                <w:rStyle w:val="46"/>
                <w:rFonts w:hint="eastAsia" w:ascii="宋体" w:hAnsi="宋体" w:cs="宋体"/>
                <w:color w:val="auto"/>
                <w:sz w:val="24"/>
                <w:szCs w:val="24"/>
                <w:highlight w:val="none"/>
              </w:rPr>
              <w:t>★</w:t>
            </w:r>
            <w:r>
              <w:rPr>
                <w:rFonts w:ascii="宋体" w:hAnsi="宋体" w:cs="宋体"/>
                <w:color w:val="auto"/>
                <w:sz w:val="24"/>
                <w:szCs w:val="24"/>
                <w:highlight w:val="none"/>
              </w:rPr>
              <w:t>清单</w:t>
            </w:r>
            <w:r>
              <w:rPr>
                <w:rFonts w:hint="eastAsia" w:ascii="宋体" w:hAnsi="宋体" w:cs="宋体"/>
                <w:color w:val="auto"/>
                <w:sz w:val="24"/>
                <w:szCs w:val="24"/>
                <w:highlight w:val="none"/>
              </w:rPr>
              <w:t>明细统计需要对核心病组、综合病组、空白病组、质控问题进行汇总，并且支持按照汇总类型进行明细筛选。同时显示统计结果中的质控问题。</w:t>
            </w:r>
          </w:p>
          <w:p w14:paraId="7E478126">
            <w:pPr>
              <w:pStyle w:val="45"/>
              <w:numPr>
                <w:ilvl w:val="0"/>
                <w:numId w:val="10"/>
              </w:numPr>
              <w:spacing w:line="360" w:lineRule="auto"/>
              <w:ind w:firstLine="0" w:firstLineChars="0"/>
              <w:rPr>
                <w:rFonts w:ascii="宋体" w:hAnsi="宋体" w:cs="宋体"/>
                <w:color w:val="auto"/>
                <w:sz w:val="24"/>
                <w:szCs w:val="24"/>
                <w:highlight w:val="none"/>
              </w:rPr>
            </w:pPr>
            <w:r>
              <w:rPr>
                <w:rFonts w:ascii="宋体" w:hAnsi="宋体" w:cs="宋体"/>
                <w:color w:val="auto"/>
                <w:sz w:val="24"/>
                <w:szCs w:val="24"/>
                <w:highlight w:val="none"/>
              </w:rPr>
              <w:t>清单</w:t>
            </w:r>
            <w:r>
              <w:rPr>
                <w:rFonts w:hint="eastAsia" w:ascii="宋体" w:hAnsi="宋体" w:cs="宋体"/>
                <w:color w:val="auto"/>
                <w:sz w:val="24"/>
                <w:szCs w:val="24"/>
                <w:highlight w:val="none"/>
              </w:rPr>
              <w:t>明细查询支持按照查询结果汇总费用结构指数占比情况、质控问题占比情况、药品、耗材、医疗服务费用占比情况的图表分析。</w:t>
            </w:r>
          </w:p>
          <w:p w14:paraId="147D0C82">
            <w:pPr>
              <w:pStyle w:val="45"/>
              <w:numPr>
                <w:ilvl w:val="0"/>
                <w:numId w:val="10"/>
              </w:numPr>
              <w:spacing w:line="360" w:lineRule="auto"/>
              <w:ind w:firstLine="0" w:firstLineChars="0"/>
              <w:rPr>
                <w:rFonts w:asciiTheme="minorEastAsia" w:hAnsiTheme="minorEastAsia" w:eastAsiaTheme="minorEastAsia" w:cstheme="minorEastAsia"/>
                <w:color w:val="auto"/>
                <w:sz w:val="24"/>
                <w:szCs w:val="24"/>
                <w:highlight w:val="none"/>
              </w:rPr>
            </w:pPr>
            <w:r>
              <w:rPr>
                <w:rFonts w:ascii="宋体" w:hAnsi="宋体" w:cs="宋体"/>
                <w:color w:val="auto"/>
                <w:sz w:val="24"/>
                <w:szCs w:val="24"/>
                <w:highlight w:val="none"/>
              </w:rPr>
              <w:t>清单</w:t>
            </w:r>
            <w:r>
              <w:rPr>
                <w:rFonts w:hint="eastAsia" w:ascii="宋体" w:hAnsi="宋体" w:cs="宋体"/>
                <w:color w:val="auto"/>
                <w:sz w:val="24"/>
                <w:szCs w:val="24"/>
                <w:highlight w:val="none"/>
              </w:rPr>
              <w:t>明细</w:t>
            </w:r>
            <w:r>
              <w:rPr>
                <w:rFonts w:ascii="宋体" w:hAnsi="宋体" w:cs="宋体"/>
                <w:color w:val="auto"/>
                <w:sz w:val="24"/>
                <w:szCs w:val="24"/>
                <w:highlight w:val="none"/>
              </w:rPr>
              <w:t>列表</w:t>
            </w:r>
            <w:r>
              <w:rPr>
                <w:rFonts w:hint="eastAsia" w:ascii="宋体" w:hAnsi="宋体" w:cs="宋体"/>
                <w:color w:val="auto"/>
                <w:sz w:val="24"/>
                <w:szCs w:val="24"/>
                <w:highlight w:val="none"/>
              </w:rPr>
              <w:t>中支持对病历进行质控、查看病案首页信息、查看医保结算清单信息。</w:t>
            </w:r>
          </w:p>
        </w:tc>
      </w:tr>
      <w:tr w14:paraId="05296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trPr>
        <w:tc>
          <w:tcPr>
            <w:tcW w:w="1708" w:type="dxa"/>
            <w:vMerge w:val="continue"/>
            <w:vAlign w:val="center"/>
          </w:tcPr>
          <w:p w14:paraId="74EF3C91">
            <w:pPr>
              <w:spacing w:line="360" w:lineRule="auto"/>
              <w:rPr>
                <w:rFonts w:asciiTheme="minorEastAsia" w:hAnsiTheme="minorEastAsia" w:eastAsiaTheme="minorEastAsia" w:cstheme="minorEastAsia"/>
                <w:color w:val="auto"/>
                <w:sz w:val="24"/>
                <w:szCs w:val="24"/>
                <w:highlight w:val="none"/>
              </w:rPr>
            </w:pPr>
          </w:p>
        </w:tc>
        <w:tc>
          <w:tcPr>
            <w:tcW w:w="1528" w:type="dxa"/>
            <w:vAlign w:val="center"/>
          </w:tcPr>
          <w:p w14:paraId="589558BA">
            <w:pPr>
              <w:spacing w:line="360" w:lineRule="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统计分析</w:t>
            </w:r>
          </w:p>
        </w:tc>
        <w:tc>
          <w:tcPr>
            <w:tcW w:w="5863" w:type="dxa"/>
            <w:vAlign w:val="center"/>
          </w:tcPr>
          <w:p w14:paraId="292DCC41">
            <w:pPr>
              <w:pStyle w:val="45"/>
              <w:numPr>
                <w:ilvl w:val="0"/>
                <w:numId w:val="11"/>
              </w:numPr>
              <w:spacing w:line="360" w:lineRule="auto"/>
              <w:ind w:left="420" w:hanging="420" w:firstLineChars="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指数分析，支持分析CMI指数、科室费用消耗指数、医生费用消耗指数、科室病组费用消耗指数、医生病组费用消耗指数。</w:t>
            </w:r>
          </w:p>
          <w:p w14:paraId="3F17468B">
            <w:pPr>
              <w:pStyle w:val="45"/>
              <w:numPr>
                <w:ilvl w:val="0"/>
                <w:numId w:val="11"/>
              </w:numPr>
              <w:spacing w:line="360" w:lineRule="auto"/>
              <w:ind w:left="420" w:hanging="420" w:firstLineChars="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预警查询，超支病例预警查询、高倍率病例预警查询、低倍率病例预警查询。</w:t>
            </w:r>
          </w:p>
          <w:p w14:paraId="0D0339A0">
            <w:pPr>
              <w:pStyle w:val="45"/>
              <w:numPr>
                <w:ilvl w:val="0"/>
                <w:numId w:val="11"/>
              </w:numPr>
              <w:spacing w:line="360" w:lineRule="auto"/>
              <w:ind w:left="420" w:hanging="420" w:firstLineChars="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费用结构分析、全院费用结构指数分析、科室费用结构指数分析、医生费用结构指数分析等</w:t>
            </w:r>
          </w:p>
          <w:p w14:paraId="33BA671B">
            <w:pPr>
              <w:pStyle w:val="45"/>
              <w:numPr>
                <w:ilvl w:val="0"/>
                <w:numId w:val="11"/>
              </w:numPr>
              <w:spacing w:line="360" w:lineRule="auto"/>
              <w:ind w:left="420" w:hanging="420" w:firstLineChars="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分组明细统计，显示患者基本信息，DIP入组编码、DIP入组名称、DIP支付标准、总费用、DIP次均费用、DIP次均住院日、当前盈亏、费用占比、DIP点数、药品费用、耗材费用、药占比、耗占比、主要诊断、手术操作、住院日。</w:t>
            </w:r>
          </w:p>
          <w:p w14:paraId="3F4B07A5">
            <w:pPr>
              <w:pStyle w:val="45"/>
              <w:numPr>
                <w:ilvl w:val="0"/>
                <w:numId w:val="11"/>
              </w:numPr>
              <w:spacing w:line="360" w:lineRule="auto"/>
              <w:ind w:left="420" w:hanging="420" w:firstLineChars="0"/>
              <w:rPr>
                <w:rFonts w:ascii="宋体" w:hAnsi="宋体"/>
                <w:color w:val="auto"/>
                <w:sz w:val="24"/>
                <w:szCs w:val="24"/>
                <w:highlight w:val="none"/>
              </w:rPr>
            </w:pPr>
            <w:r>
              <w:rPr>
                <w:rFonts w:hint="eastAsia" w:asciiTheme="minorEastAsia" w:hAnsiTheme="minorEastAsia" w:eastAsiaTheme="minorEastAsia" w:cstheme="minorEastAsia"/>
                <w:color w:val="auto"/>
                <w:sz w:val="24"/>
                <w:szCs w:val="24"/>
                <w:highlight w:val="none"/>
              </w:rPr>
              <w:t>★学科发展象限分析图（包含各科室盈亏指数及分值）。检索条件：出院时间、结算时间、支付类型（DIP支付、项目支付）、医保类型（职工、居民）、医保机构。散点图上鼠标悬浮显示科室：病历数、分值及盈亏指数。</w:t>
            </w:r>
          </w:p>
          <w:p w14:paraId="6A294465">
            <w:pPr>
              <w:pStyle w:val="45"/>
              <w:numPr>
                <w:ilvl w:val="0"/>
                <w:numId w:val="11"/>
              </w:numPr>
              <w:spacing w:line="360" w:lineRule="auto"/>
              <w:ind w:left="420" w:hanging="420" w:firstLineChars="0"/>
              <w:rPr>
                <w:rFonts w:asciiTheme="minorEastAsia" w:hAnsiTheme="minorEastAsia" w:eastAsiaTheme="minorEastAsia" w:cstheme="minorEastAsia"/>
                <w:color w:val="auto"/>
                <w:sz w:val="24"/>
                <w:szCs w:val="24"/>
                <w:highlight w:val="none"/>
              </w:rPr>
            </w:pPr>
            <w:r>
              <w:rPr>
                <w:rFonts w:hint="eastAsia" w:ascii="宋体" w:hAnsi="宋体"/>
                <w:color w:val="auto"/>
                <w:sz w:val="24"/>
                <w:szCs w:val="24"/>
                <w:highlight w:val="none"/>
              </w:rPr>
              <w:t>支持医保结算反馈导入系统，并依据导入进行数据统计和分析。</w:t>
            </w:r>
          </w:p>
          <w:p w14:paraId="51C84B80">
            <w:pPr>
              <w:pStyle w:val="45"/>
              <w:numPr>
                <w:ilvl w:val="0"/>
                <w:numId w:val="11"/>
              </w:numPr>
              <w:spacing w:line="360" w:lineRule="auto"/>
              <w:ind w:left="420" w:hanging="420" w:firstLineChars="0"/>
              <w:rPr>
                <w:rFonts w:asciiTheme="minorEastAsia" w:hAnsiTheme="minorEastAsia" w:eastAsiaTheme="minorEastAsia" w:cstheme="minorEastAsia"/>
                <w:color w:val="auto"/>
                <w:sz w:val="24"/>
                <w:szCs w:val="24"/>
                <w:highlight w:val="none"/>
              </w:rPr>
            </w:pPr>
            <w:r>
              <w:rPr>
                <w:rFonts w:hint="eastAsia" w:ascii="宋体" w:hAnsi="宋体"/>
                <w:color w:val="auto"/>
                <w:sz w:val="24"/>
                <w:szCs w:val="24"/>
                <w:highlight w:val="none"/>
              </w:rPr>
              <w:t>国家医保接口正式环境开通后支持国家医保接口3606接口，查询</w:t>
            </w:r>
            <w:r>
              <w:rPr>
                <w:rFonts w:hint="eastAsia"/>
                <w:color w:val="auto"/>
                <w:sz w:val="24"/>
                <w:szCs w:val="24"/>
                <w:highlight w:val="none"/>
              </w:rPr>
              <w:t>获取机构结算清单DIP分组信息。</w:t>
            </w:r>
          </w:p>
          <w:p w14:paraId="336335E4">
            <w:pPr>
              <w:pStyle w:val="45"/>
              <w:numPr>
                <w:ilvl w:val="0"/>
                <w:numId w:val="11"/>
              </w:numPr>
              <w:spacing w:line="360" w:lineRule="auto"/>
              <w:ind w:left="420" w:hanging="420" w:firstLineChars="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国家医保接口正式环境开通后支持接口4</w:t>
            </w:r>
            <w:r>
              <w:rPr>
                <w:rFonts w:asciiTheme="minorEastAsia" w:hAnsiTheme="minorEastAsia" w:eastAsiaTheme="minorEastAsia" w:cstheme="minorEastAsia"/>
                <w:color w:val="auto"/>
                <w:sz w:val="24"/>
                <w:szCs w:val="24"/>
                <w:highlight w:val="none"/>
              </w:rPr>
              <w:t>104</w:t>
            </w:r>
            <w:r>
              <w:rPr>
                <w:rFonts w:hint="eastAsia"/>
                <w:color w:val="auto"/>
                <w:sz w:val="24"/>
                <w:szCs w:val="24"/>
                <w:highlight w:val="none"/>
              </w:rPr>
              <w:t>医疗保障基金结算清单质控结果查询和接口4</w:t>
            </w:r>
            <w:r>
              <w:rPr>
                <w:color w:val="auto"/>
                <w:sz w:val="24"/>
                <w:szCs w:val="24"/>
                <w:highlight w:val="none"/>
              </w:rPr>
              <w:t>105</w:t>
            </w:r>
            <w:r>
              <w:rPr>
                <w:rFonts w:hint="eastAsia"/>
                <w:color w:val="auto"/>
                <w:sz w:val="24"/>
                <w:szCs w:val="24"/>
                <w:highlight w:val="none"/>
              </w:rPr>
              <w:t>医疗保障基金结算</w:t>
            </w:r>
            <w:r>
              <w:rPr>
                <w:color w:val="auto"/>
                <w:sz w:val="24"/>
                <w:szCs w:val="24"/>
                <w:highlight w:val="none"/>
              </w:rPr>
              <w:t>清单数量统计查询</w:t>
            </w:r>
            <w:r>
              <w:rPr>
                <w:rFonts w:hint="eastAsia"/>
                <w:color w:val="auto"/>
                <w:sz w:val="24"/>
                <w:szCs w:val="24"/>
                <w:highlight w:val="none"/>
              </w:rPr>
              <w:t>。</w:t>
            </w:r>
          </w:p>
        </w:tc>
      </w:tr>
      <w:tr w14:paraId="0316D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6" w:hRule="atLeast"/>
        </w:trPr>
        <w:tc>
          <w:tcPr>
            <w:tcW w:w="1708" w:type="dxa"/>
            <w:vMerge w:val="continue"/>
            <w:vAlign w:val="center"/>
          </w:tcPr>
          <w:p w14:paraId="2203355E">
            <w:pPr>
              <w:spacing w:line="360" w:lineRule="auto"/>
              <w:rPr>
                <w:rFonts w:asciiTheme="minorEastAsia" w:hAnsiTheme="minorEastAsia" w:eastAsiaTheme="minorEastAsia" w:cstheme="minorEastAsia"/>
                <w:color w:val="auto"/>
                <w:sz w:val="24"/>
                <w:szCs w:val="24"/>
                <w:highlight w:val="none"/>
              </w:rPr>
            </w:pPr>
          </w:p>
        </w:tc>
        <w:tc>
          <w:tcPr>
            <w:tcW w:w="1528" w:type="dxa"/>
            <w:vAlign w:val="center"/>
          </w:tcPr>
          <w:p w14:paraId="7866FAC1">
            <w:pPr>
              <w:spacing w:line="360" w:lineRule="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绩效分析</w:t>
            </w:r>
          </w:p>
        </w:tc>
        <w:tc>
          <w:tcPr>
            <w:tcW w:w="5863" w:type="dxa"/>
            <w:vAlign w:val="center"/>
          </w:tcPr>
          <w:p w14:paraId="5C097639">
            <w:pPr>
              <w:pStyle w:val="45"/>
              <w:numPr>
                <w:ilvl w:val="0"/>
                <w:numId w:val="12"/>
              </w:numPr>
              <w:spacing w:line="360" w:lineRule="auto"/>
              <w:ind w:firstLine="0" w:firstLineChars="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科室绩效分析。</w:t>
            </w:r>
          </w:p>
          <w:p w14:paraId="54834FDD">
            <w:pPr>
              <w:pStyle w:val="45"/>
              <w:numPr>
                <w:ilvl w:val="0"/>
                <w:numId w:val="12"/>
              </w:numPr>
              <w:spacing w:line="360" w:lineRule="auto"/>
              <w:ind w:firstLine="0" w:firstLineChars="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医生绩效分析。</w:t>
            </w:r>
          </w:p>
          <w:p w14:paraId="1710E5D8">
            <w:pPr>
              <w:pStyle w:val="45"/>
              <w:numPr>
                <w:ilvl w:val="0"/>
                <w:numId w:val="12"/>
              </w:numPr>
              <w:spacing w:line="360" w:lineRule="auto"/>
              <w:ind w:firstLine="0" w:firstLineChars="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全院费用结构指数分析统计。</w:t>
            </w:r>
          </w:p>
          <w:p w14:paraId="6115A0CF">
            <w:pPr>
              <w:pStyle w:val="45"/>
              <w:numPr>
                <w:ilvl w:val="0"/>
                <w:numId w:val="12"/>
              </w:numPr>
              <w:spacing w:line="360" w:lineRule="auto"/>
              <w:ind w:firstLine="0" w:firstLineChars="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科室费用结构指数分析。</w:t>
            </w:r>
          </w:p>
          <w:p w14:paraId="6550F3A1">
            <w:pPr>
              <w:pStyle w:val="45"/>
              <w:numPr>
                <w:ilvl w:val="0"/>
                <w:numId w:val="12"/>
              </w:numPr>
              <w:spacing w:line="360" w:lineRule="auto"/>
              <w:ind w:firstLine="0" w:firstLineChars="0"/>
              <w:rPr>
                <w:rFonts w:asciiTheme="minorEastAsia" w:hAnsiTheme="minorEastAsia" w:eastAsiaTheme="minorEastAsia" w:cstheme="minorEastAsia"/>
                <w:color w:val="auto"/>
                <w:sz w:val="24"/>
                <w:szCs w:val="24"/>
                <w:highlight w:val="none"/>
              </w:rPr>
            </w:pPr>
            <w:r>
              <w:rPr>
                <w:rFonts w:ascii="宋体" w:hAnsi="宋体" w:cs="宋体"/>
                <w:color w:val="auto"/>
                <w:sz w:val="24"/>
                <w:szCs w:val="24"/>
                <w:highlight w:val="none"/>
              </w:rPr>
              <w:t>医院需要的其他绩效分析</w:t>
            </w:r>
            <w:r>
              <w:rPr>
                <w:rFonts w:hint="eastAsia" w:ascii="宋体" w:hAnsi="宋体" w:cs="宋体"/>
                <w:color w:val="auto"/>
                <w:sz w:val="24"/>
                <w:szCs w:val="24"/>
                <w:highlight w:val="none"/>
              </w:rPr>
              <w:t>报表</w:t>
            </w:r>
            <w:r>
              <w:rPr>
                <w:rFonts w:ascii="宋体" w:hAnsi="宋体" w:cs="宋体"/>
                <w:color w:val="auto"/>
                <w:sz w:val="24"/>
                <w:szCs w:val="24"/>
                <w:highlight w:val="none"/>
              </w:rPr>
              <w:t>。</w:t>
            </w:r>
          </w:p>
        </w:tc>
      </w:tr>
      <w:tr w14:paraId="18FDB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4" w:hRule="atLeast"/>
        </w:trPr>
        <w:tc>
          <w:tcPr>
            <w:tcW w:w="1708" w:type="dxa"/>
            <w:vMerge w:val="continue"/>
            <w:vAlign w:val="center"/>
          </w:tcPr>
          <w:p w14:paraId="418EB864">
            <w:pPr>
              <w:spacing w:line="360" w:lineRule="auto"/>
              <w:rPr>
                <w:rFonts w:asciiTheme="minorEastAsia" w:hAnsiTheme="minorEastAsia" w:eastAsiaTheme="minorEastAsia" w:cstheme="minorEastAsia"/>
                <w:color w:val="auto"/>
                <w:sz w:val="24"/>
                <w:szCs w:val="24"/>
                <w:highlight w:val="none"/>
              </w:rPr>
            </w:pPr>
          </w:p>
        </w:tc>
        <w:tc>
          <w:tcPr>
            <w:tcW w:w="1528" w:type="dxa"/>
            <w:vAlign w:val="center"/>
          </w:tcPr>
          <w:p w14:paraId="3D0C6EC0">
            <w:pPr>
              <w:spacing w:line="360" w:lineRule="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异常病例分析</w:t>
            </w:r>
          </w:p>
        </w:tc>
        <w:tc>
          <w:tcPr>
            <w:tcW w:w="5863" w:type="dxa"/>
            <w:vAlign w:val="center"/>
          </w:tcPr>
          <w:p w14:paraId="0940CFB5">
            <w:pPr>
              <w:pStyle w:val="45"/>
              <w:numPr>
                <w:ilvl w:val="0"/>
                <w:numId w:val="13"/>
              </w:numPr>
              <w:spacing w:line="360" w:lineRule="auto"/>
              <w:ind w:firstLine="0" w:firstLineChars="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★非放化疗病人异常人出院患者分析，支持病例按科室分布柱状图显示和月度数量对比柱状图显示。</w:t>
            </w:r>
          </w:p>
          <w:p w14:paraId="17B66162">
            <w:pPr>
              <w:pStyle w:val="45"/>
              <w:numPr>
                <w:ilvl w:val="0"/>
                <w:numId w:val="13"/>
              </w:numPr>
              <w:spacing w:line="360" w:lineRule="auto"/>
              <w:ind w:firstLine="0" w:firstLineChars="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★三级手术、四级手术、微创手术、介入手术患者分析。支持病例按科室分布柱状图显示和月度数量对比柱状图显示。</w:t>
            </w:r>
          </w:p>
          <w:p w14:paraId="7C21A8C9">
            <w:pPr>
              <w:pStyle w:val="45"/>
              <w:numPr>
                <w:ilvl w:val="0"/>
                <w:numId w:val="13"/>
              </w:numPr>
              <w:spacing w:line="360" w:lineRule="auto"/>
              <w:ind w:firstLine="0" w:firstLineChars="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★疑难病例分析，支持病例按科室分布柱状图显示和月度数量对比柱状图显示。</w:t>
            </w:r>
          </w:p>
          <w:p w14:paraId="690F140E">
            <w:pPr>
              <w:pStyle w:val="45"/>
              <w:numPr>
                <w:ilvl w:val="0"/>
                <w:numId w:val="13"/>
              </w:numPr>
              <w:spacing w:line="360" w:lineRule="auto"/>
              <w:ind w:firstLine="0" w:firstLineChars="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★死亡病例分析，支持病例按科室分布柱状图显示和月度数量对比柱状图显示。</w:t>
            </w:r>
          </w:p>
        </w:tc>
      </w:tr>
      <w:tr w14:paraId="34369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4" w:hRule="atLeast"/>
        </w:trPr>
        <w:tc>
          <w:tcPr>
            <w:tcW w:w="1708" w:type="dxa"/>
            <w:vMerge w:val="continue"/>
            <w:vAlign w:val="center"/>
          </w:tcPr>
          <w:p w14:paraId="2EE89630">
            <w:pPr>
              <w:spacing w:line="360" w:lineRule="auto"/>
              <w:rPr>
                <w:rFonts w:asciiTheme="minorEastAsia" w:hAnsiTheme="minorEastAsia" w:eastAsiaTheme="minorEastAsia" w:cstheme="minorEastAsia"/>
                <w:color w:val="auto"/>
                <w:sz w:val="24"/>
                <w:szCs w:val="24"/>
                <w:highlight w:val="none"/>
              </w:rPr>
            </w:pPr>
          </w:p>
        </w:tc>
        <w:tc>
          <w:tcPr>
            <w:tcW w:w="1528" w:type="dxa"/>
            <w:vAlign w:val="center"/>
          </w:tcPr>
          <w:p w14:paraId="62BB0838">
            <w:pPr>
              <w:spacing w:line="360" w:lineRule="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医保申诉管理</w:t>
            </w:r>
          </w:p>
        </w:tc>
        <w:tc>
          <w:tcPr>
            <w:tcW w:w="5863" w:type="dxa"/>
            <w:vAlign w:val="center"/>
          </w:tcPr>
          <w:p w14:paraId="2545100A">
            <w:pPr>
              <w:pStyle w:val="45"/>
              <w:numPr>
                <w:ilvl w:val="0"/>
                <w:numId w:val="14"/>
              </w:numPr>
              <w:spacing w:line="360" w:lineRule="auto"/>
              <w:ind w:firstLine="0" w:firstLineChars="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候选申诉病历查询，检索条件出院时间、结算时间、科室、管床医生、支付类型（DIP支付、项目支付）、医保类型（职工、居民）、医保机构、 病历类型(急诊、转科、超时住院及死亡)、最小费用指数、最大费用指数。显示患者基本信息，DIP入组编码、DIP入组名称、DIP支付标准、总费用、DIP次均费用、DIP次均住院日、结算时间。双击可查看详细医保结算清单数据。</w:t>
            </w:r>
          </w:p>
          <w:p w14:paraId="136092EB">
            <w:pPr>
              <w:pStyle w:val="45"/>
              <w:numPr>
                <w:ilvl w:val="0"/>
                <w:numId w:val="14"/>
              </w:numPr>
              <w:spacing w:line="360" w:lineRule="auto"/>
              <w:ind w:firstLine="0" w:firstLineChars="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申诉成功病例录入查询。</w:t>
            </w:r>
          </w:p>
        </w:tc>
      </w:tr>
      <w:tr w14:paraId="76358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4" w:hRule="atLeast"/>
        </w:trPr>
        <w:tc>
          <w:tcPr>
            <w:tcW w:w="1708" w:type="dxa"/>
            <w:vMerge w:val="continue"/>
            <w:vAlign w:val="center"/>
          </w:tcPr>
          <w:p w14:paraId="4572FA77">
            <w:pPr>
              <w:spacing w:line="360" w:lineRule="auto"/>
              <w:rPr>
                <w:rFonts w:asciiTheme="minorEastAsia" w:hAnsiTheme="minorEastAsia" w:eastAsiaTheme="minorEastAsia" w:cstheme="minorEastAsia"/>
                <w:color w:val="auto"/>
                <w:sz w:val="24"/>
                <w:szCs w:val="24"/>
                <w:highlight w:val="none"/>
              </w:rPr>
            </w:pPr>
          </w:p>
        </w:tc>
        <w:tc>
          <w:tcPr>
            <w:tcW w:w="1528" w:type="dxa"/>
            <w:vAlign w:val="center"/>
          </w:tcPr>
          <w:p w14:paraId="4708E993">
            <w:pPr>
              <w:spacing w:line="360" w:lineRule="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院长座舱</w:t>
            </w:r>
          </w:p>
        </w:tc>
        <w:tc>
          <w:tcPr>
            <w:tcW w:w="5863" w:type="dxa"/>
            <w:vAlign w:val="center"/>
          </w:tcPr>
          <w:p w14:paraId="5FDC6AA1">
            <w:pPr>
              <w:pStyle w:val="45"/>
              <w:numPr>
                <w:ilvl w:val="0"/>
                <w:numId w:val="15"/>
              </w:numPr>
              <w:spacing w:line="360" w:lineRule="auto"/>
              <w:ind w:firstLineChars="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根据出院时间范围查询DIP组覆盖情况；</w:t>
            </w:r>
          </w:p>
          <w:p w14:paraId="6FCF1770">
            <w:pPr>
              <w:pStyle w:val="45"/>
              <w:numPr>
                <w:ilvl w:val="0"/>
                <w:numId w:val="15"/>
              </w:numPr>
              <w:spacing w:line="360" w:lineRule="auto"/>
              <w:ind w:firstLineChars="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根据出院时间范围查询DIP组数；</w:t>
            </w:r>
          </w:p>
          <w:p w14:paraId="1AD58495">
            <w:pPr>
              <w:pStyle w:val="45"/>
              <w:numPr>
                <w:ilvl w:val="0"/>
                <w:numId w:val="15"/>
              </w:numPr>
              <w:spacing w:line="360" w:lineRule="auto"/>
              <w:ind w:firstLineChars="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根据出院时间范围查询DIP总点数；</w:t>
            </w:r>
          </w:p>
          <w:p w14:paraId="43D0269E">
            <w:pPr>
              <w:pStyle w:val="45"/>
              <w:numPr>
                <w:ilvl w:val="0"/>
                <w:numId w:val="15"/>
              </w:numPr>
              <w:spacing w:line="360" w:lineRule="auto"/>
              <w:ind w:firstLineChars="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根据出院时间范围查询DIP分值指数；</w:t>
            </w:r>
          </w:p>
          <w:p w14:paraId="35A05C24">
            <w:pPr>
              <w:pStyle w:val="45"/>
              <w:numPr>
                <w:ilvl w:val="0"/>
                <w:numId w:val="15"/>
              </w:numPr>
              <w:spacing w:line="360" w:lineRule="auto"/>
              <w:ind w:firstLineChars="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根据出院时间范围查询DIP费用消耗指数；</w:t>
            </w:r>
          </w:p>
          <w:p w14:paraId="28C4BDE0">
            <w:pPr>
              <w:pStyle w:val="45"/>
              <w:spacing w:line="360" w:lineRule="auto"/>
              <w:ind w:firstLine="0" w:firstLineChars="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根据出院时间范围查询DIP 时间指数；</w:t>
            </w:r>
          </w:p>
          <w:p w14:paraId="0AD0E8AC">
            <w:pPr>
              <w:pStyle w:val="45"/>
              <w:numPr>
                <w:ilvl w:val="0"/>
                <w:numId w:val="15"/>
              </w:numPr>
              <w:spacing w:line="360" w:lineRule="auto"/>
              <w:ind w:left="0" w:firstLineChars="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6.根据出院时间范围查询显示全院CMI趋势分析；</w:t>
            </w:r>
          </w:p>
          <w:p w14:paraId="63BAB757">
            <w:pPr>
              <w:pStyle w:val="45"/>
              <w:spacing w:line="360" w:lineRule="auto"/>
              <w:ind w:firstLine="0" w:firstLineChars="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7.根据出院时间范围查询显示全院费用消耗指数趋势分析</w:t>
            </w:r>
          </w:p>
        </w:tc>
      </w:tr>
      <w:tr w14:paraId="5C31B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6" w:hRule="atLeast"/>
        </w:trPr>
        <w:tc>
          <w:tcPr>
            <w:tcW w:w="1708" w:type="dxa"/>
            <w:vMerge w:val="restart"/>
            <w:vAlign w:val="center"/>
          </w:tcPr>
          <w:p w14:paraId="2308A5FF">
            <w:pPr>
              <w:spacing w:line="360" w:lineRule="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医保智能审核</w:t>
            </w:r>
          </w:p>
        </w:tc>
        <w:tc>
          <w:tcPr>
            <w:tcW w:w="1528" w:type="dxa"/>
            <w:vAlign w:val="center"/>
          </w:tcPr>
          <w:p w14:paraId="688DB477">
            <w:pPr>
              <w:spacing w:line="360" w:lineRule="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审核规则</w:t>
            </w:r>
          </w:p>
        </w:tc>
        <w:tc>
          <w:tcPr>
            <w:tcW w:w="5863" w:type="dxa"/>
            <w:vAlign w:val="center"/>
          </w:tcPr>
          <w:p w14:paraId="1D1FB0E6">
            <w:pPr>
              <w:pStyle w:val="45"/>
              <w:numPr>
                <w:ilvl w:val="0"/>
                <w:numId w:val="16"/>
              </w:numPr>
              <w:spacing w:line="360" w:lineRule="auto"/>
              <w:ind w:firstLine="0" w:firstLineChars="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支持灵活维护医保审核规则，支持维护医院自定义规则。</w:t>
            </w:r>
          </w:p>
          <w:p w14:paraId="4502DA24">
            <w:pPr>
              <w:pStyle w:val="45"/>
              <w:numPr>
                <w:ilvl w:val="0"/>
                <w:numId w:val="16"/>
              </w:numPr>
              <w:spacing w:line="360" w:lineRule="auto"/>
              <w:ind w:firstLine="0" w:firstLineChars="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规则涵盖医保三目录规则。</w:t>
            </w:r>
          </w:p>
          <w:p w14:paraId="58953A2F">
            <w:pPr>
              <w:pStyle w:val="45"/>
              <w:numPr>
                <w:ilvl w:val="0"/>
                <w:numId w:val="16"/>
              </w:numPr>
              <w:spacing w:line="360" w:lineRule="auto"/>
              <w:ind w:firstLine="0" w:firstLineChars="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包含医保经验类和飞检审核规则，如分解住院、门诊转移费用等。</w:t>
            </w:r>
          </w:p>
        </w:tc>
      </w:tr>
      <w:tr w14:paraId="19ED7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2" w:hRule="atLeast"/>
        </w:trPr>
        <w:tc>
          <w:tcPr>
            <w:tcW w:w="1708" w:type="dxa"/>
            <w:vMerge w:val="continue"/>
            <w:vAlign w:val="center"/>
          </w:tcPr>
          <w:p w14:paraId="63D420B5">
            <w:pPr>
              <w:spacing w:line="360" w:lineRule="auto"/>
              <w:rPr>
                <w:rFonts w:asciiTheme="minorEastAsia" w:hAnsiTheme="minorEastAsia" w:eastAsiaTheme="minorEastAsia" w:cstheme="minorEastAsia"/>
                <w:color w:val="auto"/>
                <w:sz w:val="24"/>
                <w:szCs w:val="24"/>
                <w:highlight w:val="none"/>
              </w:rPr>
            </w:pPr>
          </w:p>
        </w:tc>
        <w:tc>
          <w:tcPr>
            <w:tcW w:w="1528" w:type="dxa"/>
            <w:vAlign w:val="center"/>
          </w:tcPr>
          <w:p w14:paraId="40A658A4">
            <w:pPr>
              <w:spacing w:line="360" w:lineRule="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事前事中审核</w:t>
            </w:r>
          </w:p>
        </w:tc>
        <w:tc>
          <w:tcPr>
            <w:tcW w:w="5863" w:type="dxa"/>
            <w:vAlign w:val="center"/>
          </w:tcPr>
          <w:p w14:paraId="7B46DDF3">
            <w:pPr>
              <w:pStyle w:val="45"/>
              <w:numPr>
                <w:ilvl w:val="0"/>
                <w:numId w:val="17"/>
              </w:numPr>
              <w:spacing w:line="360" w:lineRule="auto"/>
              <w:ind w:firstLine="0" w:firstLineChars="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支持his通过接口实时进行医嘱审核。</w:t>
            </w:r>
          </w:p>
          <w:p w14:paraId="6E46D904">
            <w:pPr>
              <w:pStyle w:val="45"/>
              <w:numPr>
                <w:ilvl w:val="0"/>
                <w:numId w:val="17"/>
              </w:numPr>
              <w:spacing w:line="360" w:lineRule="auto"/>
              <w:ind w:firstLine="0" w:firstLineChars="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支持住院医嘱和门诊处方审核。</w:t>
            </w:r>
          </w:p>
          <w:p w14:paraId="5794695A">
            <w:pPr>
              <w:pStyle w:val="45"/>
              <w:numPr>
                <w:ilvl w:val="0"/>
                <w:numId w:val="17"/>
              </w:numPr>
              <w:spacing w:line="360" w:lineRule="auto"/>
              <w:ind w:firstLine="0" w:firstLineChars="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门诊处方自费药品提示，医保限用提示，慢性病处方用药范围提示，特药门诊目录限用提示，处方总量控制提示等。</w:t>
            </w:r>
          </w:p>
          <w:p w14:paraId="30DE8BD2">
            <w:pPr>
              <w:pStyle w:val="45"/>
              <w:numPr>
                <w:ilvl w:val="0"/>
                <w:numId w:val="17"/>
              </w:numPr>
              <w:spacing w:line="360" w:lineRule="auto"/>
              <w:ind w:firstLine="0" w:firstLineChars="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支持定时进行事中审核。</w:t>
            </w:r>
          </w:p>
          <w:p w14:paraId="42120EC7">
            <w:pPr>
              <w:pStyle w:val="45"/>
              <w:numPr>
                <w:ilvl w:val="0"/>
                <w:numId w:val="17"/>
              </w:numPr>
              <w:spacing w:line="360" w:lineRule="auto"/>
              <w:ind w:firstLine="0" w:firstLineChars="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审核问题支持进行处理标识，方便管理人员操作。</w:t>
            </w:r>
          </w:p>
          <w:p w14:paraId="6DBAF493">
            <w:pPr>
              <w:pStyle w:val="45"/>
              <w:numPr>
                <w:ilvl w:val="0"/>
                <w:numId w:val="17"/>
              </w:numPr>
              <w:spacing w:line="360" w:lineRule="auto"/>
              <w:ind w:firstLine="0" w:firstLineChars="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支持管理人员随时进行事后和事中审核。</w:t>
            </w:r>
          </w:p>
          <w:p w14:paraId="71DF4E83">
            <w:pPr>
              <w:pStyle w:val="45"/>
              <w:numPr>
                <w:ilvl w:val="0"/>
                <w:numId w:val="17"/>
              </w:numPr>
              <w:spacing w:line="360" w:lineRule="auto"/>
              <w:ind w:firstLine="0" w:firstLineChars="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审核问题支持管理人员与医生发消息进行通知医生进行处理。</w:t>
            </w:r>
          </w:p>
          <w:p w14:paraId="354E2051">
            <w:pPr>
              <w:pStyle w:val="45"/>
              <w:numPr>
                <w:ilvl w:val="0"/>
                <w:numId w:val="17"/>
              </w:numPr>
              <w:spacing w:line="360" w:lineRule="auto"/>
              <w:ind w:firstLine="0" w:firstLineChars="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审核问题支持分级管理，按轻度可疑、高度可疑、明确违规进行分级管理。</w:t>
            </w:r>
          </w:p>
        </w:tc>
      </w:tr>
      <w:tr w14:paraId="03131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2" w:hRule="atLeast"/>
        </w:trPr>
        <w:tc>
          <w:tcPr>
            <w:tcW w:w="1708" w:type="dxa"/>
            <w:vMerge w:val="continue"/>
            <w:vAlign w:val="center"/>
          </w:tcPr>
          <w:p w14:paraId="075D5C3E">
            <w:pPr>
              <w:spacing w:line="360" w:lineRule="auto"/>
              <w:rPr>
                <w:rFonts w:asciiTheme="minorEastAsia" w:hAnsiTheme="minorEastAsia" w:eastAsiaTheme="minorEastAsia" w:cstheme="minorEastAsia"/>
                <w:color w:val="auto"/>
                <w:sz w:val="24"/>
                <w:szCs w:val="24"/>
                <w:highlight w:val="none"/>
              </w:rPr>
            </w:pPr>
          </w:p>
        </w:tc>
        <w:tc>
          <w:tcPr>
            <w:tcW w:w="1528" w:type="dxa"/>
            <w:vAlign w:val="center"/>
          </w:tcPr>
          <w:p w14:paraId="3C0625DB">
            <w:pPr>
              <w:spacing w:line="360" w:lineRule="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申诉管理</w:t>
            </w:r>
          </w:p>
        </w:tc>
        <w:tc>
          <w:tcPr>
            <w:tcW w:w="5863" w:type="dxa"/>
            <w:vAlign w:val="center"/>
          </w:tcPr>
          <w:p w14:paraId="00203FF1">
            <w:pPr>
              <w:spacing w:line="360" w:lineRule="auto"/>
              <w:rPr>
                <w:rFonts w:ascii="宋体" w:hAnsi="宋体"/>
                <w:color w:val="auto"/>
                <w:sz w:val="24"/>
                <w:szCs w:val="24"/>
                <w:highlight w:val="none"/>
              </w:rPr>
            </w:pPr>
            <w:r>
              <w:rPr>
                <w:rFonts w:hint="eastAsia" w:ascii="宋体" w:hAnsi="宋体"/>
                <w:color w:val="auto"/>
                <w:sz w:val="24"/>
                <w:szCs w:val="24"/>
                <w:highlight w:val="none"/>
              </w:rPr>
              <w:t>1.</w:t>
            </w:r>
            <w:r>
              <w:rPr>
                <w:rFonts w:hint="eastAsia" w:asciiTheme="minorEastAsia" w:hAnsiTheme="minorEastAsia" w:eastAsiaTheme="minorEastAsia" w:cstheme="minorEastAsia"/>
                <w:color w:val="auto"/>
                <w:sz w:val="24"/>
                <w:szCs w:val="24"/>
                <w:highlight w:val="none"/>
              </w:rPr>
              <w:t xml:space="preserve"> </w:t>
            </w:r>
            <w:r>
              <w:rPr>
                <w:rFonts w:hint="eastAsia" w:ascii="宋体" w:hAnsi="宋体"/>
                <w:color w:val="auto"/>
                <w:sz w:val="24"/>
                <w:szCs w:val="24"/>
                <w:highlight w:val="none"/>
              </w:rPr>
              <w:t>违规单导入，支持按月份导入医保局下发的违规单，自动推送下发到对应的医生，支持设置申诉截止时间；支持重新导入违规单。</w:t>
            </w:r>
          </w:p>
          <w:p w14:paraId="37E11274">
            <w:pPr>
              <w:spacing w:line="360" w:lineRule="auto"/>
              <w:rPr>
                <w:rFonts w:ascii="宋体" w:hAnsi="宋体"/>
                <w:color w:val="auto"/>
                <w:sz w:val="24"/>
                <w:szCs w:val="24"/>
                <w:highlight w:val="none"/>
              </w:rPr>
            </w:pPr>
            <w:r>
              <w:rPr>
                <w:rFonts w:hint="eastAsia" w:ascii="宋体" w:hAnsi="宋体"/>
                <w:color w:val="auto"/>
                <w:sz w:val="24"/>
                <w:szCs w:val="24"/>
                <w:highlight w:val="none"/>
              </w:rPr>
              <w:t>2.</w:t>
            </w:r>
            <w:r>
              <w:rPr>
                <w:rFonts w:hint="eastAsia" w:asciiTheme="minorEastAsia" w:hAnsiTheme="minorEastAsia" w:eastAsiaTheme="minorEastAsia" w:cstheme="minorEastAsia"/>
                <w:color w:val="auto"/>
                <w:sz w:val="24"/>
                <w:szCs w:val="24"/>
                <w:highlight w:val="none"/>
              </w:rPr>
              <w:t xml:space="preserve"> </w:t>
            </w:r>
            <w:r>
              <w:rPr>
                <w:rFonts w:hint="eastAsia" w:ascii="宋体" w:hAnsi="宋体"/>
                <w:color w:val="auto"/>
                <w:sz w:val="24"/>
                <w:szCs w:val="24"/>
                <w:highlight w:val="none"/>
              </w:rPr>
              <w:t>违规结果查询，支持根据登录用户权限范围查看对应的违规单详情列表，支持多维度快速筛选违规条目。支持对违规项目进行申诉，填写申诉理由，支持添加上传申诉支撑材料，支持转交项目违规申诉，支持下载导出全机构申诉材料。</w:t>
            </w:r>
          </w:p>
          <w:p w14:paraId="680F46EB">
            <w:pPr>
              <w:pStyle w:val="45"/>
              <w:tabs>
                <w:tab w:val="left" w:pos="312"/>
              </w:tabs>
              <w:spacing w:line="360" w:lineRule="auto"/>
              <w:ind w:firstLine="0" w:firstLineChars="0"/>
              <w:rPr>
                <w:rFonts w:asciiTheme="minorEastAsia" w:hAnsiTheme="minorEastAsia" w:eastAsiaTheme="minorEastAsia" w:cstheme="minorEastAsia"/>
                <w:color w:val="auto"/>
                <w:sz w:val="24"/>
                <w:szCs w:val="24"/>
                <w:highlight w:val="none"/>
              </w:rPr>
            </w:pPr>
            <w:r>
              <w:rPr>
                <w:rFonts w:hint="eastAsia" w:ascii="宋体" w:hAnsi="宋体"/>
                <w:color w:val="auto"/>
                <w:sz w:val="24"/>
                <w:szCs w:val="24"/>
                <w:highlight w:val="none"/>
              </w:rPr>
              <w:t>3.</w:t>
            </w:r>
            <w:r>
              <w:rPr>
                <w:rFonts w:hint="eastAsia" w:asciiTheme="minorEastAsia" w:hAnsiTheme="minorEastAsia" w:eastAsiaTheme="minorEastAsia" w:cstheme="minorEastAsia"/>
                <w:color w:val="auto"/>
                <w:sz w:val="24"/>
                <w:szCs w:val="24"/>
                <w:highlight w:val="none"/>
              </w:rPr>
              <w:t xml:space="preserve"> </w:t>
            </w:r>
            <w:r>
              <w:rPr>
                <w:rFonts w:hint="eastAsia" w:ascii="宋体" w:hAnsi="宋体"/>
                <w:color w:val="auto"/>
                <w:sz w:val="24"/>
                <w:szCs w:val="24"/>
                <w:highlight w:val="none"/>
              </w:rPr>
              <w:t>扣款结果查询,支持根据登录用户权限范围查看对应的违规单扣款详情列表，支持多维度筛选查看。支持按月份录入违规项目的最终扣款金额，查看操作日志，支持补充申诉，支持下载导出扣款明细。</w:t>
            </w:r>
          </w:p>
        </w:tc>
      </w:tr>
      <w:tr w14:paraId="219DE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9" w:hRule="atLeast"/>
        </w:trPr>
        <w:tc>
          <w:tcPr>
            <w:tcW w:w="1708" w:type="dxa"/>
            <w:vMerge w:val="continue"/>
            <w:vAlign w:val="center"/>
          </w:tcPr>
          <w:p w14:paraId="09FECC3D">
            <w:pPr>
              <w:spacing w:line="360" w:lineRule="auto"/>
              <w:rPr>
                <w:rFonts w:asciiTheme="minorEastAsia" w:hAnsiTheme="minorEastAsia" w:eastAsiaTheme="minorEastAsia" w:cstheme="minorEastAsia"/>
                <w:color w:val="auto"/>
                <w:sz w:val="24"/>
                <w:szCs w:val="24"/>
                <w:highlight w:val="none"/>
              </w:rPr>
            </w:pPr>
          </w:p>
        </w:tc>
        <w:tc>
          <w:tcPr>
            <w:tcW w:w="1528" w:type="dxa"/>
            <w:vAlign w:val="center"/>
          </w:tcPr>
          <w:p w14:paraId="7C5888E9">
            <w:pPr>
              <w:spacing w:line="360" w:lineRule="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统计分析</w:t>
            </w:r>
          </w:p>
        </w:tc>
        <w:tc>
          <w:tcPr>
            <w:tcW w:w="5863" w:type="dxa"/>
            <w:vAlign w:val="center"/>
          </w:tcPr>
          <w:p w14:paraId="79D11AAB">
            <w:pPr>
              <w:pStyle w:val="45"/>
              <w:spacing w:line="360" w:lineRule="auto"/>
              <w:ind w:firstLine="0" w:firstLineChars="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从违规规则、违规级别、科室、医生等多个维度对院内在院、离院患者的违规质控结果进行分析，帮助医院用户更好的追溯违规问题根源，减少医保违规。</w:t>
            </w:r>
          </w:p>
        </w:tc>
      </w:tr>
      <w:tr w14:paraId="60247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1708" w:type="dxa"/>
            <w:vMerge w:val="restart"/>
            <w:vAlign w:val="center"/>
          </w:tcPr>
          <w:p w14:paraId="6EFA521A">
            <w:pPr>
              <w:spacing w:line="360" w:lineRule="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系统管理</w:t>
            </w:r>
          </w:p>
        </w:tc>
        <w:tc>
          <w:tcPr>
            <w:tcW w:w="1528" w:type="dxa"/>
            <w:vAlign w:val="center"/>
          </w:tcPr>
          <w:p w14:paraId="3336CCD1">
            <w:pPr>
              <w:spacing w:line="360" w:lineRule="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科室人员管理</w:t>
            </w:r>
          </w:p>
        </w:tc>
        <w:tc>
          <w:tcPr>
            <w:tcW w:w="5863" w:type="dxa"/>
            <w:vAlign w:val="center"/>
          </w:tcPr>
          <w:p w14:paraId="25A5AC8D">
            <w:pPr>
              <w:pStyle w:val="45"/>
              <w:spacing w:line="360" w:lineRule="auto"/>
              <w:ind w:firstLine="0" w:firstLineChars="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rPr>
              <w:t>科室维护、用户账号的管理，提供系统角色，权限分配管理。</w:t>
            </w:r>
          </w:p>
        </w:tc>
      </w:tr>
      <w:tr w14:paraId="31AF7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8" w:hRule="atLeast"/>
        </w:trPr>
        <w:tc>
          <w:tcPr>
            <w:tcW w:w="1708" w:type="dxa"/>
            <w:vMerge w:val="continue"/>
            <w:vAlign w:val="center"/>
          </w:tcPr>
          <w:p w14:paraId="2F284DA5">
            <w:pPr>
              <w:spacing w:line="360" w:lineRule="auto"/>
              <w:rPr>
                <w:rFonts w:asciiTheme="minorEastAsia" w:hAnsiTheme="minorEastAsia" w:eastAsiaTheme="minorEastAsia" w:cstheme="minorEastAsia"/>
                <w:color w:val="auto"/>
                <w:sz w:val="24"/>
                <w:szCs w:val="24"/>
                <w:highlight w:val="none"/>
              </w:rPr>
            </w:pPr>
          </w:p>
        </w:tc>
        <w:tc>
          <w:tcPr>
            <w:tcW w:w="1528" w:type="dxa"/>
            <w:vAlign w:val="center"/>
          </w:tcPr>
          <w:p w14:paraId="5C748EBA">
            <w:pPr>
              <w:spacing w:line="360" w:lineRule="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系统参数管理</w:t>
            </w:r>
          </w:p>
        </w:tc>
        <w:tc>
          <w:tcPr>
            <w:tcW w:w="5863" w:type="dxa"/>
            <w:vAlign w:val="center"/>
          </w:tcPr>
          <w:p w14:paraId="6D54F184">
            <w:pPr>
              <w:pStyle w:val="45"/>
              <w:spacing w:line="360" w:lineRule="auto"/>
              <w:ind w:firstLine="0" w:firstLineChars="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rPr>
              <w:t>系统相关运行参数的维护，医院基本信息、结算等级系数、医院管理流程配置、医生端信息显示、分组器版本信息管理</w:t>
            </w:r>
          </w:p>
        </w:tc>
      </w:tr>
      <w:tr w14:paraId="35B65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1708" w:type="dxa"/>
            <w:vMerge w:val="continue"/>
            <w:vAlign w:val="center"/>
          </w:tcPr>
          <w:p w14:paraId="0C6FB1A5">
            <w:pPr>
              <w:spacing w:line="360" w:lineRule="auto"/>
              <w:rPr>
                <w:rFonts w:asciiTheme="minorEastAsia" w:hAnsiTheme="minorEastAsia" w:eastAsiaTheme="minorEastAsia" w:cstheme="minorEastAsia"/>
                <w:color w:val="auto"/>
                <w:sz w:val="24"/>
                <w:szCs w:val="24"/>
                <w:highlight w:val="none"/>
              </w:rPr>
            </w:pPr>
          </w:p>
        </w:tc>
        <w:tc>
          <w:tcPr>
            <w:tcW w:w="1528" w:type="dxa"/>
            <w:vAlign w:val="center"/>
          </w:tcPr>
          <w:p w14:paraId="24E0C10E">
            <w:pPr>
              <w:spacing w:line="360" w:lineRule="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数据源管理</w:t>
            </w:r>
          </w:p>
        </w:tc>
        <w:tc>
          <w:tcPr>
            <w:tcW w:w="5863" w:type="dxa"/>
            <w:vAlign w:val="center"/>
          </w:tcPr>
          <w:p w14:paraId="05ED9093">
            <w:pPr>
              <w:pStyle w:val="45"/>
              <w:spacing w:line="360" w:lineRule="auto"/>
              <w:ind w:firstLine="0" w:firstLineChars="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支持HIS、EMR、病案管理等多系统多数据源管理，方便数据整合</w:t>
            </w:r>
          </w:p>
        </w:tc>
      </w:tr>
      <w:tr w14:paraId="69B72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1708" w:type="dxa"/>
            <w:vMerge w:val="continue"/>
            <w:vAlign w:val="center"/>
          </w:tcPr>
          <w:p w14:paraId="47FD92CE">
            <w:pPr>
              <w:spacing w:line="360" w:lineRule="auto"/>
              <w:rPr>
                <w:rFonts w:asciiTheme="minorEastAsia" w:hAnsiTheme="minorEastAsia" w:eastAsiaTheme="minorEastAsia" w:cstheme="minorEastAsia"/>
                <w:color w:val="auto"/>
                <w:sz w:val="24"/>
                <w:szCs w:val="24"/>
                <w:highlight w:val="none"/>
              </w:rPr>
            </w:pPr>
          </w:p>
        </w:tc>
        <w:tc>
          <w:tcPr>
            <w:tcW w:w="1528" w:type="dxa"/>
            <w:vAlign w:val="center"/>
          </w:tcPr>
          <w:p w14:paraId="33B6A543">
            <w:pPr>
              <w:spacing w:line="360" w:lineRule="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系统字典管理</w:t>
            </w:r>
          </w:p>
        </w:tc>
        <w:tc>
          <w:tcPr>
            <w:tcW w:w="5863" w:type="dxa"/>
            <w:vAlign w:val="center"/>
          </w:tcPr>
          <w:p w14:paraId="7DBC8D4C">
            <w:pPr>
              <w:pStyle w:val="45"/>
              <w:spacing w:line="360" w:lineRule="auto"/>
              <w:ind w:firstLine="0" w:firstLineChars="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常见字典管理、DIP相关字典管理</w:t>
            </w:r>
          </w:p>
        </w:tc>
      </w:tr>
      <w:tr w14:paraId="664E5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708" w:type="dxa"/>
            <w:vMerge w:val="continue"/>
            <w:vAlign w:val="center"/>
          </w:tcPr>
          <w:p w14:paraId="043DCE78">
            <w:pPr>
              <w:spacing w:line="360" w:lineRule="auto"/>
              <w:rPr>
                <w:rFonts w:asciiTheme="minorEastAsia" w:hAnsiTheme="minorEastAsia" w:eastAsiaTheme="minorEastAsia" w:cstheme="minorEastAsia"/>
                <w:color w:val="auto"/>
                <w:sz w:val="24"/>
                <w:szCs w:val="24"/>
                <w:highlight w:val="none"/>
              </w:rPr>
            </w:pPr>
          </w:p>
        </w:tc>
        <w:tc>
          <w:tcPr>
            <w:tcW w:w="1528" w:type="dxa"/>
            <w:vAlign w:val="center"/>
          </w:tcPr>
          <w:p w14:paraId="7131A9CD">
            <w:pPr>
              <w:spacing w:line="360" w:lineRule="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规则管理</w:t>
            </w:r>
          </w:p>
        </w:tc>
        <w:tc>
          <w:tcPr>
            <w:tcW w:w="5863" w:type="dxa"/>
            <w:vAlign w:val="center"/>
          </w:tcPr>
          <w:p w14:paraId="41CD1A7E">
            <w:pPr>
              <w:pStyle w:val="45"/>
              <w:spacing w:line="360" w:lineRule="auto"/>
              <w:ind w:firstLine="0" w:firstLineChars="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质控规则库管理、医保审核规则库管理</w:t>
            </w:r>
          </w:p>
        </w:tc>
      </w:tr>
      <w:tr w14:paraId="2FA40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708" w:type="dxa"/>
            <w:tcBorders>
              <w:top w:val="single" w:color="auto" w:sz="4" w:space="0"/>
              <w:left w:val="single" w:color="auto" w:sz="4" w:space="0"/>
              <w:right w:val="single" w:color="auto" w:sz="4" w:space="0"/>
            </w:tcBorders>
            <w:vAlign w:val="center"/>
          </w:tcPr>
          <w:p w14:paraId="44C98288">
            <w:pPr>
              <w:spacing w:line="360" w:lineRule="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接口要求</w:t>
            </w:r>
          </w:p>
        </w:tc>
        <w:tc>
          <w:tcPr>
            <w:tcW w:w="1528" w:type="dxa"/>
            <w:tcBorders>
              <w:top w:val="single" w:color="auto" w:sz="4" w:space="0"/>
              <w:left w:val="single" w:color="auto" w:sz="4" w:space="0"/>
              <w:bottom w:val="single" w:color="auto" w:sz="4" w:space="0"/>
              <w:right w:val="single" w:color="auto" w:sz="4" w:space="0"/>
            </w:tcBorders>
            <w:vAlign w:val="center"/>
          </w:tcPr>
          <w:p w14:paraId="085DA4AA">
            <w:pPr>
              <w:spacing w:line="360" w:lineRule="auto"/>
              <w:rPr>
                <w:rFonts w:asciiTheme="minorEastAsia" w:hAnsiTheme="minorEastAsia" w:eastAsiaTheme="minorEastAsia" w:cstheme="minorEastAsia"/>
                <w:color w:val="auto"/>
                <w:sz w:val="24"/>
                <w:szCs w:val="24"/>
                <w:highlight w:val="none"/>
              </w:rPr>
            </w:pPr>
          </w:p>
        </w:tc>
        <w:tc>
          <w:tcPr>
            <w:tcW w:w="5863" w:type="dxa"/>
            <w:tcBorders>
              <w:top w:val="single" w:color="auto" w:sz="4" w:space="0"/>
              <w:left w:val="single" w:color="auto" w:sz="4" w:space="0"/>
              <w:bottom w:val="single" w:color="auto" w:sz="4" w:space="0"/>
              <w:right w:val="single" w:color="auto" w:sz="4" w:space="0"/>
            </w:tcBorders>
            <w:vAlign w:val="center"/>
          </w:tcPr>
          <w:p w14:paraId="31696AF8">
            <w:pPr>
              <w:pStyle w:val="45"/>
              <w:spacing w:line="360" w:lineRule="auto"/>
              <w:ind w:firstLine="0" w:firstLineChars="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能够与医院HIS、</w:t>
            </w:r>
            <w:r>
              <w:rPr>
                <w:rFonts w:hint="eastAsia" w:asciiTheme="minorEastAsia" w:hAnsiTheme="minorEastAsia" w:eastAsiaTheme="minorEastAsia" w:cstheme="minorEastAsia"/>
                <w:color w:val="auto"/>
                <w:sz w:val="24"/>
                <w:szCs w:val="24"/>
                <w:highlight w:val="none"/>
                <w:lang w:val="en-US" w:eastAsia="zh-CN"/>
              </w:rPr>
              <w:t>ERM、</w:t>
            </w:r>
            <w:r>
              <w:rPr>
                <w:rFonts w:hint="eastAsia" w:asciiTheme="minorEastAsia" w:hAnsiTheme="minorEastAsia" w:eastAsiaTheme="minorEastAsia" w:cstheme="minorEastAsia"/>
                <w:color w:val="auto"/>
                <w:sz w:val="24"/>
                <w:szCs w:val="24"/>
                <w:highlight w:val="none"/>
              </w:rPr>
              <w:t>LIS、PACS等系统对接；</w:t>
            </w:r>
          </w:p>
        </w:tc>
      </w:tr>
      <w:tr w14:paraId="2776E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1708" w:type="dxa"/>
            <w:tcBorders>
              <w:top w:val="single" w:color="auto" w:sz="4" w:space="0"/>
              <w:left w:val="single" w:color="auto" w:sz="4" w:space="0"/>
              <w:bottom w:val="single" w:color="auto" w:sz="4" w:space="0"/>
              <w:right w:val="single" w:color="auto" w:sz="4" w:space="0"/>
            </w:tcBorders>
            <w:vAlign w:val="center"/>
          </w:tcPr>
          <w:p w14:paraId="2B1D1CA4">
            <w:pPr>
              <w:spacing w:line="360" w:lineRule="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其他要求</w:t>
            </w:r>
          </w:p>
        </w:tc>
        <w:tc>
          <w:tcPr>
            <w:tcW w:w="1528" w:type="dxa"/>
            <w:tcBorders>
              <w:top w:val="single" w:color="auto" w:sz="4" w:space="0"/>
              <w:left w:val="single" w:color="auto" w:sz="4" w:space="0"/>
              <w:bottom w:val="single" w:color="auto" w:sz="4" w:space="0"/>
              <w:right w:val="single" w:color="auto" w:sz="4" w:space="0"/>
            </w:tcBorders>
            <w:vAlign w:val="center"/>
          </w:tcPr>
          <w:p w14:paraId="58F46DDB">
            <w:pPr>
              <w:spacing w:line="360" w:lineRule="auto"/>
              <w:rPr>
                <w:rFonts w:asciiTheme="minorEastAsia" w:hAnsiTheme="minorEastAsia" w:eastAsiaTheme="minorEastAsia" w:cstheme="minorEastAsia"/>
                <w:color w:val="auto"/>
                <w:sz w:val="24"/>
                <w:szCs w:val="24"/>
                <w:highlight w:val="none"/>
              </w:rPr>
            </w:pPr>
          </w:p>
        </w:tc>
        <w:tc>
          <w:tcPr>
            <w:tcW w:w="5863" w:type="dxa"/>
            <w:tcBorders>
              <w:top w:val="single" w:color="auto" w:sz="4" w:space="0"/>
              <w:left w:val="single" w:color="auto" w:sz="4" w:space="0"/>
              <w:bottom w:val="single" w:color="auto" w:sz="4" w:space="0"/>
              <w:right w:val="single" w:color="auto" w:sz="4" w:space="0"/>
            </w:tcBorders>
            <w:vAlign w:val="center"/>
          </w:tcPr>
          <w:p w14:paraId="4F112720">
            <w:pPr>
              <w:pStyle w:val="45"/>
              <w:spacing w:line="360" w:lineRule="auto"/>
              <w:ind w:firstLine="0" w:firstLineChars="0"/>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支持多院区管理及支持</w:t>
            </w:r>
          </w:p>
          <w:p w14:paraId="79D1D7A6">
            <w:pPr>
              <w:pStyle w:val="45"/>
              <w:spacing w:line="360" w:lineRule="auto"/>
              <w:ind w:firstLine="0" w:firstLineChars="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支持根据医院实际情况增加</w:t>
            </w:r>
            <w:r>
              <w:rPr>
                <w:rFonts w:hint="eastAsia" w:asciiTheme="minorEastAsia" w:hAnsiTheme="minorEastAsia" w:eastAsiaTheme="minorEastAsia" w:cstheme="minorEastAsia"/>
                <w:color w:val="auto"/>
                <w:sz w:val="24"/>
                <w:szCs w:val="24"/>
                <w:highlight w:val="none"/>
                <w:lang w:val="en-US" w:eastAsia="zh-CN"/>
              </w:rPr>
              <w:t>或调整</w:t>
            </w:r>
            <w:r>
              <w:rPr>
                <w:rFonts w:hint="eastAsia" w:asciiTheme="minorEastAsia" w:hAnsiTheme="minorEastAsia" w:eastAsiaTheme="minorEastAsia" w:cstheme="minorEastAsia"/>
                <w:color w:val="auto"/>
                <w:sz w:val="24"/>
                <w:szCs w:val="24"/>
                <w:highlight w:val="none"/>
              </w:rPr>
              <w:t>相应的功能。</w:t>
            </w:r>
          </w:p>
        </w:tc>
      </w:tr>
    </w:tbl>
    <w:p w14:paraId="48530D8D">
      <w:pPr>
        <w:rPr>
          <w:color w:val="auto"/>
          <w:sz w:val="24"/>
          <w:szCs w:val="24"/>
          <w:highlight w:val="none"/>
        </w:rPr>
      </w:pPr>
    </w:p>
    <w:p w14:paraId="1CC981E7">
      <w:pPr>
        <w:rPr>
          <w:rFonts w:hint="eastAsia" w:eastAsia="宋体"/>
          <w:b/>
          <w:color w:val="auto"/>
          <w:sz w:val="36"/>
          <w:szCs w:val="36"/>
          <w:highlight w:val="none"/>
          <w:u w:val="none"/>
          <w:lang w:eastAsia="zh-CN"/>
        </w:rPr>
      </w:pPr>
    </w:p>
    <w:p w14:paraId="2327A309">
      <w:pPr>
        <w:pStyle w:val="2"/>
        <w:spacing w:before="312" w:beforeLines="100" w:after="312" w:afterLines="100" w:line="360" w:lineRule="auto"/>
        <w:jc w:val="center"/>
        <w:rPr>
          <w:rFonts w:hint="eastAsia" w:eastAsia="宋体"/>
          <w:b/>
          <w:color w:val="auto"/>
          <w:sz w:val="36"/>
          <w:szCs w:val="36"/>
          <w:highlight w:val="none"/>
          <w:u w:val="none"/>
          <w:lang w:eastAsia="zh-CN"/>
        </w:rPr>
      </w:pPr>
      <w:r>
        <w:rPr>
          <w:rFonts w:hint="eastAsia" w:eastAsia="宋体"/>
          <w:b/>
          <w:color w:val="auto"/>
          <w:sz w:val="36"/>
          <w:szCs w:val="36"/>
          <w:highlight w:val="none"/>
          <w:u w:val="none"/>
          <w:lang w:eastAsia="zh-CN"/>
        </w:rPr>
        <w:t>第六章</w:t>
      </w:r>
      <w:r>
        <w:rPr>
          <w:rFonts w:hint="eastAsia"/>
          <w:b/>
          <w:color w:val="auto"/>
          <w:sz w:val="36"/>
          <w:szCs w:val="36"/>
          <w:highlight w:val="none"/>
          <w:u w:val="none"/>
          <w:lang w:val="en-US" w:eastAsia="zh-CN"/>
        </w:rPr>
        <w:t xml:space="preserve"> </w:t>
      </w:r>
      <w:r>
        <w:rPr>
          <w:rFonts w:hint="eastAsia" w:eastAsia="宋体"/>
          <w:b/>
          <w:color w:val="auto"/>
          <w:sz w:val="36"/>
          <w:szCs w:val="36"/>
          <w:highlight w:val="none"/>
          <w:u w:val="none"/>
          <w:lang w:eastAsia="zh-CN"/>
        </w:rPr>
        <w:t xml:space="preserve">响应文件格式 </w:t>
      </w:r>
    </w:p>
    <w:p w14:paraId="5A1A03D6">
      <w:pPr>
        <w:pStyle w:val="2"/>
        <w:spacing w:before="312" w:beforeLines="100" w:after="312" w:afterLines="100" w:line="360" w:lineRule="auto"/>
        <w:jc w:val="center"/>
        <w:rPr>
          <w:rFonts w:hint="eastAsia"/>
          <w:b/>
          <w:color w:val="auto"/>
          <w:sz w:val="36"/>
          <w:szCs w:val="36"/>
          <w:highlight w:val="none"/>
          <w:u w:val="single"/>
          <w:lang w:val="en-US" w:eastAsia="zh-CN"/>
        </w:rPr>
      </w:pPr>
    </w:p>
    <w:p w14:paraId="51FC0CA4">
      <w:pPr>
        <w:pStyle w:val="2"/>
        <w:spacing w:before="312" w:beforeLines="100" w:after="312" w:afterLines="100" w:line="360" w:lineRule="auto"/>
        <w:jc w:val="center"/>
        <w:rPr>
          <w:rFonts w:hint="default" w:eastAsia="宋体"/>
          <w:b/>
          <w:bCs/>
          <w:color w:val="auto"/>
          <w:sz w:val="32"/>
          <w:highlight w:val="none"/>
          <w:u w:val="single"/>
          <w:lang w:val="en-US"/>
        </w:rPr>
      </w:pPr>
      <w:r>
        <w:rPr>
          <w:rFonts w:hint="eastAsia"/>
          <w:b/>
          <w:color w:val="auto"/>
          <w:sz w:val="36"/>
          <w:szCs w:val="36"/>
          <w:highlight w:val="none"/>
          <w:u w:val="single"/>
          <w:lang w:val="en-US" w:eastAsia="zh-CN"/>
        </w:rPr>
        <w:t xml:space="preserve">                 （项目名称）</w:t>
      </w:r>
    </w:p>
    <w:p w14:paraId="5886F531">
      <w:pPr>
        <w:pStyle w:val="2"/>
        <w:spacing w:before="312" w:beforeLines="100" w:after="312" w:afterLines="100" w:line="360" w:lineRule="auto"/>
        <w:jc w:val="center"/>
        <w:rPr>
          <w:rFonts w:hint="eastAsia" w:eastAsia="宋体"/>
          <w:b/>
          <w:bCs/>
          <w:color w:val="auto"/>
          <w:sz w:val="84"/>
          <w:szCs w:val="84"/>
          <w:highlight w:val="none"/>
        </w:rPr>
      </w:pPr>
    </w:p>
    <w:p w14:paraId="5B010992">
      <w:pPr>
        <w:pStyle w:val="2"/>
        <w:spacing w:before="312" w:beforeLines="100" w:after="312" w:afterLines="100" w:line="360" w:lineRule="auto"/>
        <w:jc w:val="center"/>
        <w:rPr>
          <w:rFonts w:hint="eastAsia" w:eastAsia="宋体"/>
          <w:b/>
          <w:bCs/>
          <w:color w:val="auto"/>
          <w:sz w:val="84"/>
          <w:szCs w:val="84"/>
          <w:highlight w:val="none"/>
        </w:rPr>
      </w:pPr>
      <w:r>
        <w:rPr>
          <w:rFonts w:hint="eastAsia" w:eastAsia="宋体"/>
          <w:b/>
          <w:bCs/>
          <w:color w:val="auto"/>
          <w:sz w:val="84"/>
          <w:szCs w:val="84"/>
          <w:highlight w:val="none"/>
        </w:rPr>
        <w:t>响应文件</w:t>
      </w:r>
    </w:p>
    <w:p w14:paraId="4A18DD9F">
      <w:pPr>
        <w:pStyle w:val="2"/>
        <w:spacing w:before="312" w:beforeLines="100" w:after="312" w:afterLines="100" w:line="360" w:lineRule="auto"/>
        <w:jc w:val="center"/>
        <w:rPr>
          <w:rFonts w:hint="eastAsia" w:eastAsia="宋体"/>
          <w:b/>
          <w:bCs/>
          <w:color w:val="auto"/>
          <w:sz w:val="30"/>
          <w:szCs w:val="30"/>
          <w:highlight w:val="none"/>
        </w:rPr>
      </w:pPr>
      <w:r>
        <w:rPr>
          <w:rFonts w:hint="eastAsia" w:eastAsia="宋体"/>
          <w:b/>
          <w:bCs/>
          <w:color w:val="auto"/>
          <w:sz w:val="30"/>
          <w:szCs w:val="30"/>
          <w:highlight w:val="none"/>
          <w:lang w:val="en-US" w:eastAsia="zh-CN"/>
        </w:rPr>
        <w:t>采购项目</w:t>
      </w:r>
      <w:r>
        <w:rPr>
          <w:rFonts w:hint="eastAsia" w:eastAsia="宋体"/>
          <w:b/>
          <w:bCs/>
          <w:color w:val="auto"/>
          <w:sz w:val="30"/>
          <w:szCs w:val="30"/>
          <w:highlight w:val="none"/>
        </w:rPr>
        <w:t>编号：</w:t>
      </w:r>
    </w:p>
    <w:p w14:paraId="23912584">
      <w:pPr>
        <w:pStyle w:val="2"/>
        <w:spacing w:before="312" w:beforeLines="100" w:after="312" w:afterLines="100" w:line="360" w:lineRule="auto"/>
        <w:jc w:val="center"/>
        <w:rPr>
          <w:rFonts w:hint="eastAsia" w:eastAsia="宋体"/>
          <w:bCs/>
          <w:color w:val="auto"/>
          <w:sz w:val="32"/>
          <w:highlight w:val="none"/>
        </w:rPr>
      </w:pPr>
      <w:r>
        <w:rPr>
          <w:rFonts w:hint="eastAsia" w:eastAsia="宋体"/>
          <w:bCs/>
          <w:color w:val="auto"/>
          <w:sz w:val="32"/>
          <w:highlight w:val="none"/>
        </w:rPr>
        <w:t>（封面）</w:t>
      </w:r>
    </w:p>
    <w:p w14:paraId="2A92A517">
      <w:pPr>
        <w:pStyle w:val="2"/>
        <w:spacing w:before="312" w:beforeLines="100" w:after="312" w:afterLines="100" w:line="360" w:lineRule="auto"/>
        <w:jc w:val="both"/>
        <w:rPr>
          <w:rFonts w:hint="eastAsia" w:eastAsia="宋体"/>
          <w:b/>
          <w:bCs/>
          <w:color w:val="auto"/>
          <w:sz w:val="32"/>
          <w:highlight w:val="none"/>
          <w:u w:val="single"/>
        </w:rPr>
      </w:pPr>
    </w:p>
    <w:p w14:paraId="3A9FB3A0">
      <w:pPr>
        <w:pStyle w:val="2"/>
        <w:spacing w:before="312" w:beforeLines="100" w:after="312" w:afterLines="100" w:line="360" w:lineRule="auto"/>
        <w:rPr>
          <w:rFonts w:hint="eastAsia" w:eastAsia="宋体"/>
          <w:b/>
          <w:bCs/>
          <w:color w:val="auto"/>
          <w:sz w:val="32"/>
          <w:highlight w:val="none"/>
          <w:u w:val="single"/>
        </w:rPr>
      </w:pPr>
    </w:p>
    <w:p w14:paraId="2E783C75">
      <w:pPr>
        <w:pStyle w:val="2"/>
        <w:spacing w:before="312" w:beforeLines="100" w:after="312" w:afterLines="100" w:line="360" w:lineRule="auto"/>
        <w:jc w:val="center"/>
        <w:rPr>
          <w:rFonts w:hint="eastAsia" w:eastAsia="宋体"/>
          <w:b/>
          <w:bCs/>
          <w:color w:val="auto"/>
          <w:sz w:val="32"/>
          <w:highlight w:val="none"/>
          <w:u w:val="single"/>
        </w:rPr>
      </w:pPr>
      <w:r>
        <w:rPr>
          <w:rFonts w:hint="eastAsia" w:eastAsia="宋体"/>
          <w:b/>
          <w:bCs/>
          <w:color w:val="auto"/>
          <w:sz w:val="32"/>
          <w:highlight w:val="none"/>
        </w:rPr>
        <w:t xml:space="preserve"> 供  应  商：</w:t>
      </w:r>
      <w:r>
        <w:rPr>
          <w:rFonts w:hint="eastAsia" w:eastAsia="宋体"/>
          <w:b/>
          <w:bCs/>
          <w:color w:val="auto"/>
          <w:sz w:val="32"/>
          <w:highlight w:val="none"/>
          <w:u w:val="single"/>
        </w:rPr>
        <w:t xml:space="preserve">                     </w:t>
      </w:r>
      <w:r>
        <w:rPr>
          <w:rFonts w:hint="eastAsia" w:eastAsia="宋体"/>
          <w:b/>
          <w:bCs/>
          <w:color w:val="auto"/>
          <w:sz w:val="32"/>
          <w:highlight w:val="none"/>
        </w:rPr>
        <w:t>（盖单位章）</w:t>
      </w:r>
    </w:p>
    <w:p w14:paraId="371E81EF">
      <w:pPr>
        <w:pStyle w:val="2"/>
        <w:spacing w:before="312" w:beforeLines="100" w:after="312" w:afterLines="100" w:line="360" w:lineRule="auto"/>
        <w:ind w:firstLine="594" w:firstLineChars="198"/>
        <w:rPr>
          <w:rFonts w:hint="eastAsia" w:eastAsia="宋体"/>
          <w:b/>
          <w:bCs/>
          <w:color w:val="auto"/>
          <w:sz w:val="30"/>
          <w:szCs w:val="30"/>
          <w:highlight w:val="none"/>
        </w:rPr>
      </w:pPr>
      <w:r>
        <w:rPr>
          <w:rFonts w:hint="eastAsia" w:eastAsia="宋体"/>
          <w:b/>
          <w:bCs/>
          <w:color w:val="auto"/>
          <w:sz w:val="30"/>
          <w:szCs w:val="30"/>
          <w:highlight w:val="none"/>
        </w:rPr>
        <w:t>法定代表人或其委托代理人：</w:t>
      </w:r>
      <w:r>
        <w:rPr>
          <w:rFonts w:hint="eastAsia" w:eastAsia="宋体"/>
          <w:b/>
          <w:bCs/>
          <w:color w:val="auto"/>
          <w:sz w:val="30"/>
          <w:szCs w:val="30"/>
          <w:highlight w:val="none"/>
          <w:u w:val="single"/>
        </w:rPr>
        <w:t xml:space="preserve">              </w:t>
      </w:r>
      <w:r>
        <w:rPr>
          <w:rFonts w:hint="eastAsia" w:eastAsia="宋体"/>
          <w:b/>
          <w:bCs/>
          <w:color w:val="auto"/>
          <w:sz w:val="30"/>
          <w:szCs w:val="30"/>
          <w:highlight w:val="none"/>
        </w:rPr>
        <w:t>（电子签章）</w:t>
      </w:r>
    </w:p>
    <w:p w14:paraId="63A6FFDF">
      <w:pPr>
        <w:pStyle w:val="7"/>
        <w:spacing w:line="360" w:lineRule="auto"/>
        <w:ind w:left="0" w:leftChars="0" w:firstLine="2121" w:firstLineChars="707"/>
        <w:rPr>
          <w:rFonts w:hint="default" w:eastAsia="宋体"/>
          <w:b/>
          <w:color w:val="auto"/>
          <w:sz w:val="28"/>
          <w:szCs w:val="28"/>
          <w:highlight w:val="none"/>
          <w:lang w:val="en-US" w:eastAsia="zh-CN"/>
        </w:rPr>
        <w:sectPr>
          <w:footerReference r:id="rId7" w:type="default"/>
          <w:pgSz w:w="11907" w:h="16840"/>
          <w:pgMar w:top="1400" w:right="1418" w:bottom="1089" w:left="1418" w:header="624" w:footer="748" w:gutter="0"/>
          <w:pgNumType w:fmt="decimal"/>
          <w:cols w:space="720" w:num="1"/>
          <w:docGrid w:type="linesAndChars" w:linePitch="312" w:charSpace="0"/>
        </w:sectPr>
      </w:pPr>
      <w:r>
        <w:rPr>
          <w:rFonts w:hint="eastAsia" w:eastAsia="宋体"/>
          <w:b/>
          <w:bCs/>
          <w:color w:val="auto"/>
          <w:sz w:val="30"/>
          <w:szCs w:val="30"/>
          <w:highlight w:val="none"/>
        </w:rPr>
        <w:t xml:space="preserve">日      期：  </w:t>
      </w:r>
      <w:r>
        <w:rPr>
          <w:rFonts w:hint="eastAsia"/>
          <w:b/>
          <w:bCs/>
          <w:color w:val="auto"/>
          <w:sz w:val="30"/>
          <w:szCs w:val="30"/>
          <w:highlight w:val="none"/>
          <w:lang w:val="en-US" w:eastAsia="zh-CN"/>
        </w:rPr>
        <w:t xml:space="preserve"> </w:t>
      </w:r>
      <w:r>
        <w:rPr>
          <w:rFonts w:hint="eastAsia" w:eastAsia="宋体"/>
          <w:b/>
          <w:bCs/>
          <w:color w:val="auto"/>
          <w:sz w:val="30"/>
          <w:szCs w:val="30"/>
          <w:highlight w:val="none"/>
        </w:rPr>
        <w:t>年    月</w:t>
      </w:r>
      <w:r>
        <w:rPr>
          <w:rFonts w:hint="eastAsia"/>
          <w:b/>
          <w:bCs/>
          <w:color w:val="auto"/>
          <w:sz w:val="30"/>
          <w:szCs w:val="30"/>
          <w:highlight w:val="none"/>
          <w:lang w:val="en-US" w:eastAsia="zh-CN"/>
        </w:rPr>
        <w:t xml:space="preserve">  </w:t>
      </w:r>
      <w:r>
        <w:rPr>
          <w:rFonts w:hint="eastAsia" w:eastAsia="宋体"/>
          <w:b/>
          <w:bCs/>
          <w:color w:val="auto"/>
          <w:sz w:val="30"/>
          <w:szCs w:val="30"/>
          <w:highlight w:val="none"/>
        </w:rPr>
        <w:t xml:space="preserve"> </w:t>
      </w:r>
      <w:r>
        <w:rPr>
          <w:rFonts w:hint="eastAsia"/>
          <w:b/>
          <w:bCs/>
          <w:color w:val="auto"/>
          <w:sz w:val="30"/>
          <w:szCs w:val="30"/>
          <w:highlight w:val="none"/>
          <w:lang w:val="en-US" w:eastAsia="zh-CN"/>
        </w:rPr>
        <w:t>日</w:t>
      </w:r>
      <w:r>
        <w:rPr>
          <w:rFonts w:hint="eastAsia" w:eastAsia="宋体"/>
          <w:b/>
          <w:bCs/>
          <w:color w:val="auto"/>
          <w:sz w:val="30"/>
          <w:szCs w:val="30"/>
          <w:highlight w:val="none"/>
        </w:rPr>
        <w:t xml:space="preserve"> </w:t>
      </w:r>
      <w:r>
        <w:rPr>
          <w:rFonts w:hint="eastAsia"/>
          <w:b/>
          <w:bCs/>
          <w:color w:val="auto"/>
          <w:sz w:val="30"/>
          <w:szCs w:val="30"/>
          <w:highlight w:val="none"/>
          <w:lang w:val="en-US" w:eastAsia="zh-CN"/>
        </w:rPr>
        <w:t xml:space="preserve">  </w:t>
      </w:r>
    </w:p>
    <w:p w14:paraId="7564EF20">
      <w:pPr>
        <w:wordWrap w:val="0"/>
        <w:spacing w:line="600" w:lineRule="auto"/>
        <w:ind w:firstLine="3534" w:firstLineChars="1100"/>
        <w:jc w:val="both"/>
        <w:rPr>
          <w:rFonts w:hint="eastAsia"/>
          <w:b/>
          <w:bCs/>
          <w:color w:val="auto"/>
          <w:sz w:val="32"/>
          <w:szCs w:val="32"/>
          <w:highlight w:val="none"/>
        </w:rPr>
      </w:pPr>
      <w:bookmarkStart w:id="198" w:name="_Toc394651920"/>
      <w:bookmarkEnd w:id="198"/>
      <w:bookmarkStart w:id="199" w:name="_Toc246997098"/>
      <w:bookmarkEnd w:id="199"/>
      <w:bookmarkStart w:id="200" w:name="_Toc528078065"/>
      <w:bookmarkEnd w:id="200"/>
      <w:bookmarkStart w:id="201" w:name="_Toc246996355"/>
      <w:bookmarkEnd w:id="201"/>
      <w:bookmarkStart w:id="202" w:name="_Toc247085873"/>
      <w:bookmarkEnd w:id="202"/>
      <w:bookmarkStart w:id="203" w:name="_Toc152042576"/>
      <w:bookmarkEnd w:id="203"/>
      <w:bookmarkStart w:id="204" w:name="_Toc6470"/>
      <w:bookmarkEnd w:id="204"/>
      <w:bookmarkStart w:id="205" w:name="_Toc144974856"/>
      <w:bookmarkEnd w:id="205"/>
      <w:bookmarkStart w:id="206" w:name="_Toc179632807"/>
      <w:bookmarkEnd w:id="206"/>
      <w:bookmarkStart w:id="207" w:name="_Toc152045787"/>
      <w:bookmarkEnd w:id="207"/>
      <w:bookmarkStart w:id="208" w:name="_Toc6979"/>
      <w:bookmarkStart w:id="209" w:name="_Toc29758"/>
      <w:bookmarkStart w:id="210" w:name="_Toc4218"/>
      <w:r>
        <w:rPr>
          <w:rFonts w:hint="eastAsia"/>
          <w:b/>
          <w:bCs/>
          <w:color w:val="auto"/>
          <w:sz w:val="32"/>
          <w:szCs w:val="32"/>
          <w:highlight w:val="none"/>
        </w:rPr>
        <w:t>目   录</w:t>
      </w:r>
      <w:bookmarkEnd w:id="208"/>
      <w:bookmarkEnd w:id="209"/>
      <w:bookmarkEnd w:id="210"/>
    </w:p>
    <w:p w14:paraId="62A57BD6">
      <w:pPr>
        <w:wordWrap w:val="0"/>
        <w:spacing w:line="600" w:lineRule="auto"/>
        <w:jc w:val="center"/>
        <w:rPr>
          <w:rFonts w:hint="eastAsia"/>
          <w:b/>
          <w:bCs/>
          <w:color w:val="auto"/>
          <w:sz w:val="32"/>
          <w:szCs w:val="32"/>
          <w:highlight w:val="none"/>
        </w:rPr>
      </w:pPr>
      <w:bookmarkStart w:id="211" w:name="_Toc13637"/>
      <w:bookmarkEnd w:id="211"/>
      <w:bookmarkStart w:id="212" w:name="_Toc5270"/>
      <w:bookmarkStart w:id="213" w:name="_Toc19635"/>
      <w:r>
        <w:rPr>
          <w:rFonts w:hint="eastAsia"/>
          <w:b/>
          <w:bCs/>
          <w:color w:val="auto"/>
          <w:sz w:val="32"/>
          <w:szCs w:val="32"/>
          <w:highlight w:val="none"/>
        </w:rPr>
        <w:t>（自拟）</w:t>
      </w:r>
      <w:bookmarkEnd w:id="212"/>
      <w:bookmarkEnd w:id="213"/>
    </w:p>
    <w:p w14:paraId="668032CA">
      <w:pPr>
        <w:wordWrap w:val="0"/>
        <w:spacing w:line="540" w:lineRule="exact"/>
        <w:ind w:firstLine="822" w:firstLineChars="341"/>
        <w:rPr>
          <w:rFonts w:hint="eastAsia" w:ascii="宋体" w:hAnsi="宋体" w:cs="宋体"/>
          <w:b/>
          <w:bCs/>
          <w:color w:val="auto"/>
          <w:highlight w:val="none"/>
        </w:rPr>
      </w:pPr>
      <w:r>
        <w:rPr>
          <w:rFonts w:hint="eastAsia" w:ascii="宋体" w:hAnsi="宋体" w:cs="宋体"/>
          <w:b/>
          <w:bCs/>
          <w:color w:val="auto"/>
          <w:highlight w:val="none"/>
        </w:rPr>
        <w:t xml:space="preserve"> </w:t>
      </w:r>
    </w:p>
    <w:p w14:paraId="72B9F162">
      <w:pPr>
        <w:wordWrap w:val="0"/>
        <w:spacing w:line="540" w:lineRule="exact"/>
        <w:rPr>
          <w:rFonts w:hint="eastAsia" w:ascii="宋体" w:hAnsi="宋体" w:cs="宋体"/>
          <w:b/>
          <w:bCs/>
          <w:color w:val="auto"/>
          <w:highlight w:val="none"/>
        </w:rPr>
      </w:pPr>
      <w:r>
        <w:rPr>
          <w:rFonts w:hint="eastAsia" w:ascii="宋体" w:hAnsi="宋体" w:cs="宋体"/>
          <w:b/>
          <w:bCs/>
          <w:color w:val="auto"/>
          <w:highlight w:val="none"/>
        </w:rPr>
        <w:t xml:space="preserve"> </w:t>
      </w:r>
    </w:p>
    <w:p w14:paraId="7BBFB08C">
      <w:pPr>
        <w:wordWrap w:val="0"/>
        <w:spacing w:line="540" w:lineRule="exact"/>
        <w:rPr>
          <w:rFonts w:hint="eastAsia" w:ascii="宋体" w:hAnsi="宋体" w:cs="宋体"/>
          <w:b/>
          <w:bCs/>
          <w:color w:val="auto"/>
          <w:highlight w:val="none"/>
        </w:rPr>
      </w:pPr>
      <w:r>
        <w:rPr>
          <w:rFonts w:hint="eastAsia" w:ascii="宋体" w:hAnsi="宋体" w:cs="宋体"/>
          <w:b/>
          <w:bCs/>
          <w:color w:val="auto"/>
          <w:highlight w:val="none"/>
        </w:rPr>
        <w:t xml:space="preserve"> </w:t>
      </w:r>
    </w:p>
    <w:p w14:paraId="001AFE12">
      <w:pPr>
        <w:wordWrap w:val="0"/>
        <w:spacing w:line="540" w:lineRule="exact"/>
        <w:rPr>
          <w:rFonts w:hint="eastAsia" w:ascii="宋体" w:hAnsi="宋体" w:cs="宋体"/>
          <w:b/>
          <w:bCs/>
          <w:color w:val="auto"/>
          <w:highlight w:val="none"/>
        </w:rPr>
      </w:pPr>
      <w:r>
        <w:rPr>
          <w:rFonts w:hint="eastAsia" w:ascii="宋体" w:hAnsi="宋体" w:cs="宋体"/>
          <w:b/>
          <w:bCs/>
          <w:color w:val="auto"/>
          <w:highlight w:val="none"/>
        </w:rPr>
        <w:t xml:space="preserve"> </w:t>
      </w:r>
    </w:p>
    <w:p w14:paraId="36862627">
      <w:pPr>
        <w:wordWrap w:val="0"/>
        <w:spacing w:line="540" w:lineRule="exact"/>
        <w:rPr>
          <w:rFonts w:hint="eastAsia" w:ascii="宋体" w:hAnsi="宋体" w:cs="宋体"/>
          <w:b/>
          <w:bCs/>
          <w:color w:val="auto"/>
          <w:highlight w:val="none"/>
        </w:rPr>
      </w:pPr>
      <w:r>
        <w:rPr>
          <w:rFonts w:hint="eastAsia" w:ascii="宋体" w:hAnsi="宋体" w:cs="宋体"/>
          <w:b/>
          <w:bCs/>
          <w:color w:val="auto"/>
          <w:highlight w:val="none"/>
        </w:rPr>
        <w:t xml:space="preserve"> </w:t>
      </w:r>
    </w:p>
    <w:p w14:paraId="0EB1E97C">
      <w:pPr>
        <w:wordWrap w:val="0"/>
        <w:spacing w:line="540" w:lineRule="exact"/>
        <w:rPr>
          <w:rFonts w:hint="eastAsia" w:ascii="宋体" w:hAnsi="宋体" w:cs="宋体"/>
          <w:b/>
          <w:bCs/>
          <w:color w:val="auto"/>
          <w:highlight w:val="none"/>
        </w:rPr>
      </w:pPr>
      <w:r>
        <w:rPr>
          <w:rFonts w:hint="eastAsia" w:ascii="宋体" w:hAnsi="宋体" w:cs="宋体"/>
          <w:b/>
          <w:bCs/>
          <w:color w:val="auto"/>
          <w:highlight w:val="none"/>
        </w:rPr>
        <w:t xml:space="preserve"> </w:t>
      </w:r>
    </w:p>
    <w:p w14:paraId="7F61C188">
      <w:pPr>
        <w:pStyle w:val="4"/>
        <w:wordWrap w:val="0"/>
        <w:jc w:val="center"/>
        <w:rPr>
          <w:rFonts w:hint="eastAsia" w:ascii="宋体" w:hAnsi="宋体" w:eastAsia="宋体" w:cs="宋体"/>
          <w:b w:val="0"/>
          <w:bCs w:val="0"/>
          <w:color w:val="auto"/>
          <w:sz w:val="24"/>
          <w:szCs w:val="24"/>
          <w:highlight w:val="none"/>
        </w:rPr>
      </w:pPr>
      <w:r>
        <w:rPr>
          <w:rFonts w:hint="eastAsia" w:ascii="宋体" w:hAnsi="宋体" w:eastAsia="宋体" w:cs="宋体"/>
          <w:color w:val="auto"/>
          <w:sz w:val="24"/>
          <w:szCs w:val="24"/>
          <w:highlight w:val="none"/>
        </w:rPr>
        <w:br w:type="page"/>
      </w:r>
      <w:bookmarkStart w:id="214" w:name="_Toc528078066"/>
      <w:bookmarkEnd w:id="214"/>
      <w:bookmarkStart w:id="215" w:name="_Toc394651921"/>
      <w:bookmarkEnd w:id="215"/>
      <w:bookmarkStart w:id="216" w:name="_Toc27687"/>
      <w:bookmarkEnd w:id="216"/>
      <w:bookmarkStart w:id="217" w:name="_Toc19996"/>
      <w:r>
        <w:rPr>
          <w:rFonts w:hint="eastAsia" w:ascii="宋体" w:hAnsi="宋体" w:eastAsia="宋体" w:cs="宋体"/>
          <w:color w:val="auto"/>
          <w:sz w:val="24"/>
          <w:szCs w:val="24"/>
          <w:highlight w:val="none"/>
        </w:rPr>
        <w:t>一、磋商响应书及第一轮报价表</w:t>
      </w:r>
      <w:bookmarkEnd w:id="217"/>
    </w:p>
    <w:p w14:paraId="08ADC4F4">
      <w:pPr>
        <w:wordWrap w:val="0"/>
        <w:jc w:val="center"/>
        <w:rPr>
          <w:rFonts w:hint="eastAsia"/>
          <w:color w:val="auto"/>
          <w:highlight w:val="none"/>
        </w:rPr>
      </w:pPr>
      <w:bookmarkStart w:id="218" w:name="_Toc246997100"/>
      <w:bookmarkEnd w:id="218"/>
      <w:bookmarkStart w:id="219" w:name="_Toc144974858"/>
      <w:bookmarkEnd w:id="219"/>
      <w:bookmarkStart w:id="220" w:name="_Toc247085875"/>
      <w:bookmarkEnd w:id="220"/>
      <w:bookmarkStart w:id="221" w:name="_Toc152042578"/>
      <w:bookmarkEnd w:id="221"/>
      <w:bookmarkStart w:id="222" w:name="_Toc152045789"/>
      <w:bookmarkEnd w:id="222"/>
      <w:bookmarkStart w:id="223" w:name="_Toc246996357"/>
      <w:bookmarkEnd w:id="223"/>
      <w:bookmarkStart w:id="224" w:name="_Toc394651922"/>
      <w:bookmarkEnd w:id="224"/>
      <w:bookmarkStart w:id="225" w:name="_Toc179632809"/>
      <w:bookmarkEnd w:id="225"/>
      <w:bookmarkStart w:id="226" w:name="_Toc19389"/>
      <w:bookmarkEnd w:id="226"/>
      <w:bookmarkStart w:id="227" w:name="_Toc528078067"/>
      <w:r>
        <w:rPr>
          <w:rFonts w:hint="eastAsia"/>
          <w:color w:val="auto"/>
          <w:highlight w:val="none"/>
        </w:rPr>
        <w:t>（一）</w:t>
      </w:r>
      <w:bookmarkEnd w:id="227"/>
      <w:r>
        <w:rPr>
          <w:rFonts w:hint="eastAsia"/>
          <w:color w:val="auto"/>
          <w:highlight w:val="none"/>
        </w:rPr>
        <w:t>磋商响应书</w:t>
      </w:r>
    </w:p>
    <w:p w14:paraId="1A4792A3">
      <w:pPr>
        <w:pStyle w:val="14"/>
        <w:widowControl w:val="0"/>
        <w:wordWrap w:val="0"/>
        <w:spacing w:before="0" w:beforeAutospacing="0" w:after="0" w:afterAutospacing="0" w:line="480" w:lineRule="auto"/>
        <w:ind w:left="480" w:leftChars="200"/>
        <w:rPr>
          <w:rFonts w:hint="eastAsia"/>
          <w:color w:val="auto"/>
          <w:highlight w:val="none"/>
        </w:rPr>
      </w:pPr>
      <w:r>
        <w:rPr>
          <w:rFonts w:hint="eastAsia"/>
          <w:color w:val="auto"/>
          <w:highlight w:val="none"/>
        </w:rPr>
        <w:t xml:space="preserve"> </w:t>
      </w:r>
    </w:p>
    <w:p w14:paraId="6DC7F892">
      <w:pPr>
        <w:wordWrap w:val="0"/>
        <w:spacing w:line="480" w:lineRule="exact"/>
        <w:rPr>
          <w:rFonts w:hint="eastAsia" w:ascii="宋体" w:hAnsi="宋体" w:cs="宋体"/>
          <w:color w:val="auto"/>
          <w:highlight w:val="none"/>
        </w:rPr>
      </w:pPr>
      <w:r>
        <w:rPr>
          <w:rFonts w:hint="eastAsia" w:ascii="宋体" w:hAnsi="宋体" w:cs="宋体"/>
          <w:color w:val="auto"/>
          <w:highlight w:val="none"/>
          <w:u w:val="single"/>
        </w:rPr>
        <w:t xml:space="preserve">                   </w:t>
      </w:r>
      <w:r>
        <w:rPr>
          <w:rFonts w:hint="eastAsia" w:ascii="宋体" w:hAnsi="宋体" w:cs="宋体"/>
          <w:color w:val="auto"/>
          <w:highlight w:val="none"/>
        </w:rPr>
        <w:t xml:space="preserve">（采购人名称） ： </w:t>
      </w:r>
    </w:p>
    <w:p w14:paraId="654BE7E2">
      <w:pPr>
        <w:wordWrap w:val="0"/>
        <w:spacing w:line="480" w:lineRule="exact"/>
        <w:ind w:firstLine="480" w:firstLineChars="200"/>
        <w:rPr>
          <w:rFonts w:hint="eastAsia" w:ascii="宋体" w:hAnsi="宋体" w:cs="宋体"/>
          <w:color w:val="auto"/>
          <w:highlight w:val="none"/>
        </w:rPr>
      </w:pPr>
      <w:r>
        <w:rPr>
          <w:rFonts w:hint="eastAsia" w:ascii="宋体" w:hAnsi="宋体" w:cs="宋体"/>
          <w:color w:val="auto"/>
          <w:highlight w:val="none"/>
        </w:rPr>
        <w:t>1．我方已仔细研究了</w:t>
      </w:r>
      <w:r>
        <w:rPr>
          <w:rFonts w:hint="eastAsia" w:ascii="宋体" w:hAnsi="宋体" w:cs="宋体"/>
          <w:color w:val="auto"/>
          <w:highlight w:val="none"/>
          <w:u w:val="single"/>
        </w:rPr>
        <w:t xml:space="preserve">              </w:t>
      </w:r>
      <w:r>
        <w:rPr>
          <w:rFonts w:hint="eastAsia" w:ascii="宋体" w:hAnsi="宋体" w:cs="宋体"/>
          <w:color w:val="auto"/>
          <w:highlight w:val="none"/>
        </w:rPr>
        <w:t>（项目名称 ）</w:t>
      </w:r>
      <w:r>
        <w:rPr>
          <w:rFonts w:hint="eastAsia" w:ascii="宋体" w:hAnsi="宋体" w:cs="宋体"/>
          <w:color w:val="auto"/>
          <w:spacing w:val="-2"/>
          <w:highlight w:val="none"/>
        </w:rPr>
        <w:t>竞争性</w:t>
      </w:r>
      <w:r>
        <w:rPr>
          <w:rFonts w:hint="eastAsia" w:ascii="宋体" w:hAnsi="宋体" w:cs="宋体"/>
          <w:color w:val="auto"/>
          <w:highlight w:val="none"/>
        </w:rPr>
        <w:t>磋商文件的全部内容</w:t>
      </w:r>
      <w:r>
        <w:rPr>
          <w:rFonts w:hint="eastAsia" w:ascii="宋体" w:hAnsi="宋体" w:cs="宋体"/>
          <w:color w:val="auto"/>
          <w:spacing w:val="-2"/>
          <w:highlight w:val="none"/>
        </w:rPr>
        <w:t>，按照竞争性磋商文件要求提供和交付本次采购项目货物和服务的磋商报价为(大写)</w:t>
      </w:r>
      <w:r>
        <w:rPr>
          <w:rFonts w:hint="eastAsia" w:ascii="宋体" w:hAnsi="宋体" w:cs="宋体"/>
          <w:color w:val="auto"/>
          <w:spacing w:val="-2"/>
          <w:highlight w:val="none"/>
          <w:u w:val="single"/>
        </w:rPr>
        <w:t xml:space="preserve">               </w:t>
      </w:r>
      <w:r>
        <w:rPr>
          <w:rFonts w:hint="eastAsia" w:ascii="宋体" w:hAnsi="宋体" w:cs="宋体"/>
          <w:color w:val="auto"/>
          <w:spacing w:val="-2"/>
          <w:highlight w:val="none"/>
        </w:rPr>
        <w:t>元，(小写)</w:t>
      </w:r>
      <w:r>
        <w:rPr>
          <w:rFonts w:hint="eastAsia" w:ascii="宋体" w:hAnsi="宋体" w:cs="宋体"/>
          <w:color w:val="auto"/>
          <w:spacing w:val="-2"/>
          <w:highlight w:val="none"/>
          <w:u w:val="single"/>
        </w:rPr>
        <w:t xml:space="preserve">               </w:t>
      </w:r>
      <w:r>
        <w:rPr>
          <w:rFonts w:hint="eastAsia" w:ascii="宋体" w:hAnsi="宋体" w:cs="宋体"/>
          <w:color w:val="auto"/>
          <w:spacing w:val="-2"/>
          <w:highlight w:val="none"/>
        </w:rPr>
        <w:t>元（所磋商报价与投标函附表及磋商报价磋商明细表一致）</w:t>
      </w:r>
      <w:r>
        <w:rPr>
          <w:rFonts w:hint="eastAsia" w:ascii="宋体" w:hAnsi="宋体" w:cs="宋体"/>
          <w:color w:val="auto"/>
          <w:highlight w:val="none"/>
        </w:rPr>
        <w:t>。</w:t>
      </w:r>
      <w:r>
        <w:rPr>
          <w:rFonts w:hint="eastAsia" w:cs="宋体"/>
          <w:color w:val="auto"/>
          <w:highlight w:val="none"/>
          <w:lang w:eastAsia="zh-CN"/>
        </w:rPr>
        <w:t>服务时间：</w:t>
      </w:r>
      <w:r>
        <w:rPr>
          <w:rFonts w:hint="eastAsia" w:ascii="宋体" w:hAnsi="宋体" w:cs="宋体"/>
          <w:color w:val="auto"/>
          <w:highlight w:val="none"/>
          <w:u w:val="single"/>
        </w:rPr>
        <w:t xml:space="preserve">      </w:t>
      </w:r>
      <w:r>
        <w:rPr>
          <w:rFonts w:hint="eastAsia" w:ascii="宋体" w:hAnsi="宋体" w:cs="宋体"/>
          <w:color w:val="auto"/>
          <w:highlight w:val="none"/>
        </w:rPr>
        <w:t>，质量要求</w:t>
      </w:r>
      <w:r>
        <w:rPr>
          <w:rFonts w:hint="eastAsia" w:ascii="宋体" w:hAnsi="宋体" w:cs="宋体"/>
          <w:color w:val="auto"/>
          <w:highlight w:val="none"/>
          <w:lang w:eastAsia="zh-CN"/>
        </w:rPr>
        <w:t>：</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3B50A531">
      <w:pPr>
        <w:pStyle w:val="14"/>
        <w:wordWrap w:val="0"/>
        <w:spacing w:before="0" w:beforeAutospacing="0" w:after="0" w:afterAutospacing="0" w:line="480" w:lineRule="exact"/>
        <w:ind w:firstLine="480" w:firstLineChars="200"/>
        <w:rPr>
          <w:rFonts w:hint="eastAsia"/>
          <w:color w:val="auto"/>
          <w:highlight w:val="none"/>
        </w:rPr>
      </w:pPr>
      <w:r>
        <w:rPr>
          <w:rFonts w:hint="eastAsia"/>
          <w:color w:val="auto"/>
          <w:highlight w:val="none"/>
        </w:rPr>
        <w:t>2．我方承诺在竞争性磋商文件规定的磋商有效期内不修改、撤销响应文件。</w:t>
      </w:r>
    </w:p>
    <w:p w14:paraId="629C12FC">
      <w:pPr>
        <w:pStyle w:val="14"/>
        <w:wordWrap w:val="0"/>
        <w:spacing w:before="0" w:beforeAutospacing="0" w:after="0" w:afterAutospacing="0" w:line="480" w:lineRule="exact"/>
        <w:ind w:firstLine="480" w:firstLineChars="200"/>
        <w:rPr>
          <w:rFonts w:hint="eastAsia"/>
          <w:color w:val="auto"/>
          <w:highlight w:val="none"/>
        </w:rPr>
      </w:pPr>
      <w:r>
        <w:rPr>
          <w:rFonts w:hint="eastAsia"/>
          <w:color w:val="auto"/>
          <w:highlight w:val="none"/>
        </w:rPr>
        <w:t>3．如我方成交：</w:t>
      </w:r>
    </w:p>
    <w:p w14:paraId="19595655">
      <w:pPr>
        <w:pStyle w:val="14"/>
        <w:wordWrap w:val="0"/>
        <w:spacing w:before="0" w:beforeAutospacing="0" w:after="0" w:afterAutospacing="0" w:line="480" w:lineRule="exact"/>
        <w:ind w:firstLine="480" w:firstLineChars="200"/>
        <w:rPr>
          <w:rFonts w:hint="eastAsia"/>
          <w:color w:val="auto"/>
          <w:highlight w:val="none"/>
        </w:rPr>
      </w:pPr>
      <w:r>
        <w:rPr>
          <w:rFonts w:hint="eastAsia"/>
          <w:color w:val="auto"/>
          <w:highlight w:val="none"/>
        </w:rPr>
        <w:t>（1）我方承诺在收到成交通知书后，在成交通知书规定的期限内与你方签订合同。</w:t>
      </w:r>
    </w:p>
    <w:p w14:paraId="7C11E0F6">
      <w:pPr>
        <w:pStyle w:val="14"/>
        <w:wordWrap w:val="0"/>
        <w:spacing w:before="0" w:beforeAutospacing="0" w:after="0" w:afterAutospacing="0" w:line="480" w:lineRule="exact"/>
        <w:ind w:firstLine="480" w:firstLineChars="200"/>
        <w:rPr>
          <w:rFonts w:hint="eastAsia"/>
          <w:color w:val="auto"/>
          <w:highlight w:val="none"/>
        </w:rPr>
      </w:pPr>
      <w:r>
        <w:rPr>
          <w:rFonts w:hint="eastAsia"/>
          <w:color w:val="auto"/>
          <w:highlight w:val="none"/>
        </w:rPr>
        <w:t>（2）随同本投标函递交的投标函附录属于合同文件的组成部分。</w:t>
      </w:r>
    </w:p>
    <w:p w14:paraId="14D4B07E">
      <w:pPr>
        <w:pStyle w:val="14"/>
        <w:wordWrap w:val="0"/>
        <w:spacing w:before="0" w:beforeAutospacing="0" w:after="0" w:afterAutospacing="0" w:line="480" w:lineRule="exact"/>
        <w:ind w:firstLine="480" w:firstLineChars="200"/>
        <w:rPr>
          <w:rFonts w:hint="eastAsia"/>
          <w:color w:val="auto"/>
          <w:highlight w:val="none"/>
        </w:rPr>
      </w:pPr>
      <w:r>
        <w:rPr>
          <w:rFonts w:hint="eastAsia"/>
          <w:color w:val="auto"/>
          <w:highlight w:val="none"/>
        </w:rPr>
        <w:t>（3）我方承诺按照竞争性磋商文件规定向你方递交履约担保。</w:t>
      </w:r>
    </w:p>
    <w:p w14:paraId="317BB66E">
      <w:pPr>
        <w:pStyle w:val="14"/>
        <w:wordWrap w:val="0"/>
        <w:spacing w:before="0" w:beforeAutospacing="0" w:after="0" w:afterAutospacing="0" w:line="480" w:lineRule="exact"/>
        <w:ind w:firstLine="480" w:firstLineChars="200"/>
        <w:rPr>
          <w:rFonts w:hint="eastAsia"/>
          <w:color w:val="auto"/>
          <w:highlight w:val="none"/>
        </w:rPr>
      </w:pPr>
      <w:r>
        <w:rPr>
          <w:rFonts w:hint="eastAsia"/>
          <w:color w:val="auto"/>
          <w:highlight w:val="none"/>
        </w:rPr>
        <w:t>（4）我方承诺在合同约定的期限内完成并移交全部合同工程。</w:t>
      </w:r>
    </w:p>
    <w:p w14:paraId="333F287B">
      <w:pPr>
        <w:pStyle w:val="14"/>
        <w:wordWrap w:val="0"/>
        <w:spacing w:before="0" w:beforeAutospacing="0" w:after="0" w:afterAutospacing="0" w:line="480" w:lineRule="exact"/>
        <w:rPr>
          <w:rFonts w:hint="eastAsia"/>
          <w:color w:val="auto"/>
          <w:highlight w:val="none"/>
        </w:rPr>
      </w:pPr>
      <w:r>
        <w:rPr>
          <w:rFonts w:hint="eastAsia"/>
          <w:color w:val="auto"/>
          <w:highlight w:val="none"/>
        </w:rPr>
        <w:t xml:space="preserve">   4．我方在此声明，所递交的响应文件及有关资料内容完整、真实和准确。</w:t>
      </w:r>
    </w:p>
    <w:p w14:paraId="3D18EBB8">
      <w:pPr>
        <w:pStyle w:val="14"/>
        <w:wordWrap w:val="0"/>
        <w:spacing w:before="0" w:beforeAutospacing="0" w:after="0" w:afterAutospacing="0" w:line="480" w:lineRule="exact"/>
        <w:ind w:firstLine="480" w:firstLineChars="200"/>
        <w:rPr>
          <w:rFonts w:hint="eastAsia"/>
          <w:color w:val="auto"/>
          <w:highlight w:val="none"/>
        </w:rPr>
      </w:pPr>
      <w:r>
        <w:rPr>
          <w:rFonts w:hint="eastAsia"/>
          <w:color w:val="auto"/>
          <w:highlight w:val="none"/>
        </w:rPr>
        <w:t>5．（其他补充说明）。</w:t>
      </w:r>
    </w:p>
    <w:p w14:paraId="5F537C96">
      <w:pPr>
        <w:wordWrap w:val="0"/>
        <w:spacing w:line="480" w:lineRule="exact"/>
        <w:ind w:firstLine="4200" w:firstLineChars="1750"/>
        <w:rPr>
          <w:rFonts w:hint="eastAsia" w:ascii="宋体" w:hAnsi="宋体" w:cs="宋体"/>
          <w:color w:val="auto"/>
          <w:highlight w:val="none"/>
        </w:rPr>
      </w:pPr>
      <w:r>
        <w:rPr>
          <w:rFonts w:hint="eastAsia" w:ascii="宋体" w:hAnsi="宋体" w:cs="宋体"/>
          <w:color w:val="auto"/>
          <w:highlight w:val="none"/>
        </w:rPr>
        <w:t>供应商：（盖单位章）</w:t>
      </w:r>
    </w:p>
    <w:p w14:paraId="2D00359E">
      <w:pPr>
        <w:wordWrap w:val="0"/>
        <w:spacing w:line="480" w:lineRule="exact"/>
        <w:ind w:firstLine="4200" w:firstLineChars="1750"/>
        <w:rPr>
          <w:rFonts w:hint="eastAsia" w:ascii="宋体" w:hAnsi="宋体" w:cs="宋体"/>
          <w:color w:val="auto"/>
          <w:highlight w:val="none"/>
        </w:rPr>
      </w:pPr>
      <w:r>
        <w:rPr>
          <w:rFonts w:hint="eastAsia" w:ascii="宋体" w:hAnsi="宋体" w:cs="宋体"/>
          <w:color w:val="auto"/>
          <w:highlight w:val="none"/>
        </w:rPr>
        <w:t>法定代表人：（盖章）</w:t>
      </w:r>
    </w:p>
    <w:p w14:paraId="0461DA85">
      <w:pPr>
        <w:wordWrap w:val="0"/>
        <w:spacing w:line="480" w:lineRule="exact"/>
        <w:ind w:firstLine="4200" w:firstLineChars="1750"/>
        <w:rPr>
          <w:rFonts w:hint="eastAsia" w:ascii="宋体" w:hAnsi="宋体" w:cs="宋体"/>
          <w:color w:val="auto"/>
          <w:highlight w:val="none"/>
        </w:rPr>
      </w:pPr>
      <w:r>
        <w:rPr>
          <w:rFonts w:hint="eastAsia" w:ascii="宋体" w:hAnsi="宋体" w:cs="宋体"/>
          <w:color w:val="auto"/>
          <w:highlight w:val="none"/>
        </w:rPr>
        <w:t>地址：</w:t>
      </w:r>
    </w:p>
    <w:p w14:paraId="3B5003C2">
      <w:pPr>
        <w:wordWrap w:val="0"/>
        <w:spacing w:line="480" w:lineRule="exact"/>
        <w:ind w:firstLine="4200" w:firstLineChars="1750"/>
        <w:rPr>
          <w:rFonts w:hint="eastAsia" w:ascii="宋体" w:hAnsi="宋体" w:cs="宋体"/>
          <w:color w:val="auto"/>
          <w:highlight w:val="none"/>
        </w:rPr>
      </w:pPr>
      <w:r>
        <w:rPr>
          <w:rFonts w:hint="eastAsia" w:ascii="宋体" w:hAnsi="宋体" w:cs="宋体"/>
          <w:color w:val="auto"/>
          <w:highlight w:val="none"/>
        </w:rPr>
        <w:t>电话：</w:t>
      </w:r>
    </w:p>
    <w:p w14:paraId="38574238">
      <w:pPr>
        <w:wordWrap w:val="0"/>
        <w:spacing w:line="480" w:lineRule="exact"/>
        <w:ind w:firstLine="4200" w:firstLineChars="1750"/>
        <w:rPr>
          <w:rFonts w:hint="eastAsia" w:ascii="宋体" w:hAnsi="宋体" w:cs="宋体"/>
          <w:color w:val="auto"/>
          <w:highlight w:val="none"/>
        </w:rPr>
      </w:pPr>
      <w:r>
        <w:rPr>
          <w:rFonts w:hint="eastAsia" w:ascii="宋体" w:hAnsi="宋体" w:cs="宋体"/>
          <w:color w:val="auto"/>
          <w:highlight w:val="none"/>
        </w:rPr>
        <w:t>年  月  日</w:t>
      </w:r>
      <w:bookmarkStart w:id="228" w:name="_Toc394651923"/>
      <w:bookmarkEnd w:id="228"/>
      <w:bookmarkStart w:id="229" w:name="_Toc179632810"/>
      <w:bookmarkEnd w:id="229"/>
      <w:bookmarkStart w:id="230" w:name="_Toc27200"/>
      <w:bookmarkEnd w:id="230"/>
      <w:bookmarkStart w:id="231" w:name="_Toc152042579"/>
      <w:bookmarkEnd w:id="231"/>
      <w:bookmarkStart w:id="232" w:name="_Toc144974859"/>
      <w:bookmarkEnd w:id="232"/>
      <w:bookmarkStart w:id="233" w:name="_Toc246996358"/>
      <w:bookmarkEnd w:id="233"/>
      <w:bookmarkStart w:id="234" w:name="_Toc246997101"/>
      <w:bookmarkEnd w:id="234"/>
      <w:bookmarkStart w:id="235" w:name="_Toc152045790"/>
      <w:bookmarkEnd w:id="235"/>
    </w:p>
    <w:p w14:paraId="0CCA765A">
      <w:pPr>
        <w:wordWrap w:val="0"/>
        <w:jc w:val="center"/>
        <w:rPr>
          <w:rFonts w:hint="eastAsia" w:ascii="宋体" w:hAnsi="宋体" w:cs="宋体"/>
          <w:b/>
          <w:bCs/>
          <w:color w:val="auto"/>
          <w:highlight w:val="none"/>
        </w:rPr>
      </w:pPr>
      <w:r>
        <w:rPr>
          <w:rFonts w:hint="eastAsia" w:ascii="宋体" w:hAnsi="宋体" w:cs="宋体"/>
          <w:b/>
          <w:bCs/>
          <w:color w:val="auto"/>
          <w:highlight w:val="none"/>
        </w:rPr>
        <w:br w:type="page"/>
      </w:r>
      <w:bookmarkStart w:id="236" w:name="_Toc528078068"/>
      <w:bookmarkEnd w:id="236"/>
      <w:r>
        <w:rPr>
          <w:rFonts w:hint="eastAsia" w:ascii="宋体" w:hAnsi="宋体" w:cs="宋体"/>
          <w:b/>
          <w:bCs/>
          <w:color w:val="auto"/>
          <w:highlight w:val="none"/>
        </w:rPr>
        <w:t>（二）第一轮报价表</w:t>
      </w:r>
    </w:p>
    <w:tbl>
      <w:tblPr>
        <w:tblStyle w:val="17"/>
        <w:tblW w:w="8999"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2115"/>
        <w:gridCol w:w="6884"/>
      </w:tblGrid>
      <w:tr w14:paraId="67E4A19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53" w:hRule="atLeast"/>
        </w:trPr>
        <w:tc>
          <w:tcPr>
            <w:tcW w:w="2115" w:type="dxa"/>
            <w:tcBorders>
              <w:top w:val="single" w:color="auto" w:sz="4" w:space="0"/>
              <w:left w:val="single" w:color="auto" w:sz="4" w:space="0"/>
              <w:bottom w:val="single" w:color="auto" w:sz="4" w:space="0"/>
              <w:right w:val="single" w:color="auto" w:sz="4" w:space="0"/>
            </w:tcBorders>
            <w:noWrap w:val="0"/>
            <w:vAlign w:val="center"/>
          </w:tcPr>
          <w:p w14:paraId="5236D863">
            <w:pPr>
              <w:pStyle w:val="14"/>
              <w:wordWrap w:val="0"/>
              <w:spacing w:line="480" w:lineRule="exact"/>
              <w:rPr>
                <w:rFonts w:hint="eastAsia"/>
                <w:color w:val="auto"/>
                <w:kern w:val="2"/>
                <w:highlight w:val="none"/>
              </w:rPr>
            </w:pPr>
            <w:r>
              <w:rPr>
                <w:rFonts w:hint="eastAsia"/>
                <w:color w:val="auto"/>
                <w:kern w:val="2"/>
                <w:highlight w:val="none"/>
              </w:rPr>
              <w:t>项目名称</w:t>
            </w:r>
          </w:p>
        </w:tc>
        <w:tc>
          <w:tcPr>
            <w:tcW w:w="6884" w:type="dxa"/>
            <w:tcBorders>
              <w:top w:val="single" w:color="auto" w:sz="4" w:space="0"/>
              <w:left w:val="nil"/>
              <w:bottom w:val="single" w:color="auto" w:sz="4" w:space="0"/>
              <w:right w:val="single" w:color="auto" w:sz="4" w:space="0"/>
            </w:tcBorders>
            <w:noWrap w:val="0"/>
            <w:vAlign w:val="center"/>
          </w:tcPr>
          <w:p w14:paraId="1371A5FD">
            <w:pPr>
              <w:pStyle w:val="14"/>
              <w:wordWrap w:val="0"/>
              <w:spacing w:line="480" w:lineRule="exact"/>
              <w:ind w:firstLine="818" w:firstLineChars="341"/>
              <w:rPr>
                <w:rFonts w:hint="eastAsia"/>
                <w:color w:val="auto"/>
                <w:kern w:val="2"/>
                <w:highlight w:val="none"/>
              </w:rPr>
            </w:pPr>
          </w:p>
        </w:tc>
      </w:tr>
      <w:tr w14:paraId="5D8D212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88" w:hRule="atLeast"/>
        </w:trPr>
        <w:tc>
          <w:tcPr>
            <w:tcW w:w="2115" w:type="dxa"/>
            <w:tcBorders>
              <w:top w:val="single" w:color="auto" w:sz="4" w:space="0"/>
              <w:left w:val="single" w:color="auto" w:sz="4" w:space="0"/>
              <w:bottom w:val="single" w:color="auto" w:sz="4" w:space="0"/>
              <w:right w:val="single" w:color="auto" w:sz="4" w:space="0"/>
            </w:tcBorders>
            <w:noWrap w:val="0"/>
            <w:vAlign w:val="center"/>
          </w:tcPr>
          <w:p w14:paraId="2890E1FF">
            <w:pPr>
              <w:pStyle w:val="14"/>
              <w:wordWrap w:val="0"/>
              <w:spacing w:line="480" w:lineRule="exact"/>
              <w:rPr>
                <w:rFonts w:hint="eastAsia"/>
                <w:color w:val="auto"/>
                <w:kern w:val="2"/>
                <w:highlight w:val="none"/>
              </w:rPr>
            </w:pPr>
            <w:r>
              <w:rPr>
                <w:rFonts w:hint="eastAsia"/>
                <w:color w:val="auto"/>
                <w:kern w:val="2"/>
                <w:highlight w:val="none"/>
              </w:rPr>
              <w:t>供应商名称</w:t>
            </w:r>
          </w:p>
        </w:tc>
        <w:tc>
          <w:tcPr>
            <w:tcW w:w="6884" w:type="dxa"/>
            <w:tcBorders>
              <w:top w:val="single" w:color="auto" w:sz="4" w:space="0"/>
              <w:left w:val="nil"/>
              <w:bottom w:val="single" w:color="auto" w:sz="4" w:space="0"/>
              <w:right w:val="single" w:color="auto" w:sz="4" w:space="0"/>
            </w:tcBorders>
            <w:noWrap w:val="0"/>
            <w:vAlign w:val="center"/>
          </w:tcPr>
          <w:p w14:paraId="46889467">
            <w:pPr>
              <w:pStyle w:val="14"/>
              <w:wordWrap w:val="0"/>
              <w:spacing w:line="480" w:lineRule="exact"/>
              <w:ind w:firstLine="818" w:firstLineChars="341"/>
              <w:rPr>
                <w:rFonts w:hint="eastAsia"/>
                <w:color w:val="auto"/>
                <w:kern w:val="2"/>
                <w:highlight w:val="none"/>
              </w:rPr>
            </w:pPr>
          </w:p>
        </w:tc>
      </w:tr>
      <w:tr w14:paraId="44AB64B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88" w:hRule="atLeast"/>
        </w:trPr>
        <w:tc>
          <w:tcPr>
            <w:tcW w:w="2115" w:type="dxa"/>
            <w:tcBorders>
              <w:top w:val="single" w:color="auto" w:sz="4" w:space="0"/>
              <w:left w:val="single" w:color="auto" w:sz="4" w:space="0"/>
              <w:bottom w:val="single" w:color="auto" w:sz="4" w:space="0"/>
              <w:right w:val="single" w:color="auto" w:sz="4" w:space="0"/>
            </w:tcBorders>
            <w:noWrap w:val="0"/>
            <w:vAlign w:val="center"/>
          </w:tcPr>
          <w:p w14:paraId="336B106B">
            <w:pPr>
              <w:widowControl w:val="0"/>
              <w:numPr>
                <w:ilvl w:val="0"/>
                <w:numId w:val="0"/>
              </w:numPr>
              <w:spacing w:line="480" w:lineRule="atLeast"/>
              <w:ind w:left="0" w:leftChars="0" w:firstLine="0" w:firstLineChars="0"/>
              <w:jc w:val="center"/>
              <w:textAlignment w:val="baseline"/>
              <w:rPr>
                <w:rFonts w:hint="eastAsia"/>
                <w:color w:val="auto"/>
                <w:kern w:val="2"/>
                <w:highlight w:val="none"/>
              </w:rPr>
            </w:pPr>
            <w:r>
              <w:rPr>
                <w:rFonts w:hint="eastAsia" w:ascii="宋体" w:hAnsi="宋体" w:cs="宋体"/>
                <w:b w:val="0"/>
                <w:bCs w:val="0"/>
                <w:color w:val="auto"/>
                <w:sz w:val="24"/>
                <w:szCs w:val="24"/>
                <w:highlight w:val="none"/>
                <w:lang w:val="en-US" w:eastAsia="zh-CN"/>
              </w:rPr>
              <w:t>供应商地址</w:t>
            </w:r>
          </w:p>
        </w:tc>
        <w:tc>
          <w:tcPr>
            <w:tcW w:w="6884" w:type="dxa"/>
            <w:tcBorders>
              <w:top w:val="single" w:color="auto" w:sz="4" w:space="0"/>
              <w:left w:val="nil"/>
              <w:bottom w:val="single" w:color="auto" w:sz="4" w:space="0"/>
              <w:right w:val="single" w:color="auto" w:sz="4" w:space="0"/>
            </w:tcBorders>
            <w:noWrap w:val="0"/>
            <w:vAlign w:val="center"/>
          </w:tcPr>
          <w:p w14:paraId="6F552016">
            <w:pPr>
              <w:pStyle w:val="14"/>
              <w:wordWrap w:val="0"/>
              <w:spacing w:line="480" w:lineRule="exact"/>
              <w:ind w:firstLine="818" w:firstLineChars="341"/>
              <w:rPr>
                <w:rFonts w:hint="eastAsia"/>
                <w:color w:val="auto"/>
                <w:kern w:val="2"/>
                <w:highlight w:val="none"/>
              </w:rPr>
            </w:pPr>
          </w:p>
        </w:tc>
      </w:tr>
      <w:tr w14:paraId="4D9EE3A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92" w:hRule="atLeast"/>
        </w:trPr>
        <w:tc>
          <w:tcPr>
            <w:tcW w:w="2115" w:type="dxa"/>
            <w:tcBorders>
              <w:top w:val="single" w:color="auto" w:sz="4" w:space="0"/>
              <w:left w:val="single" w:color="auto" w:sz="4" w:space="0"/>
              <w:bottom w:val="single" w:color="auto" w:sz="4" w:space="0"/>
              <w:right w:val="single" w:color="auto" w:sz="4" w:space="0"/>
            </w:tcBorders>
            <w:noWrap w:val="0"/>
            <w:vAlign w:val="center"/>
          </w:tcPr>
          <w:p w14:paraId="33CE5D2D">
            <w:pPr>
              <w:widowControl w:val="0"/>
              <w:numPr>
                <w:ilvl w:val="0"/>
                <w:numId w:val="0"/>
              </w:numPr>
              <w:spacing w:line="480" w:lineRule="atLeast"/>
              <w:ind w:left="0" w:leftChars="0" w:firstLine="0" w:firstLineChars="0"/>
              <w:jc w:val="center"/>
              <w:textAlignment w:val="baseline"/>
              <w:rPr>
                <w:rFonts w:hint="eastAsia"/>
                <w:color w:val="auto"/>
                <w:kern w:val="2"/>
                <w:highlight w:val="none"/>
              </w:rPr>
            </w:pPr>
            <w:r>
              <w:rPr>
                <w:rFonts w:hint="eastAsia" w:ascii="宋体" w:hAnsi="宋体" w:cs="宋体"/>
                <w:b w:val="0"/>
                <w:bCs w:val="0"/>
                <w:color w:val="auto"/>
                <w:sz w:val="24"/>
                <w:szCs w:val="24"/>
                <w:highlight w:val="none"/>
                <w:lang w:val="en-US" w:eastAsia="zh-CN"/>
              </w:rPr>
              <w:t>供应商统一社会信用代码</w:t>
            </w:r>
          </w:p>
        </w:tc>
        <w:tc>
          <w:tcPr>
            <w:tcW w:w="6884" w:type="dxa"/>
            <w:tcBorders>
              <w:top w:val="single" w:color="auto" w:sz="4" w:space="0"/>
              <w:left w:val="nil"/>
              <w:bottom w:val="single" w:color="auto" w:sz="4" w:space="0"/>
              <w:right w:val="single" w:color="auto" w:sz="4" w:space="0"/>
            </w:tcBorders>
            <w:noWrap w:val="0"/>
            <w:vAlign w:val="center"/>
          </w:tcPr>
          <w:p w14:paraId="10141CDD">
            <w:pPr>
              <w:pStyle w:val="14"/>
              <w:wordWrap w:val="0"/>
              <w:spacing w:line="480" w:lineRule="exact"/>
              <w:ind w:firstLine="818" w:firstLineChars="341"/>
              <w:rPr>
                <w:rFonts w:hint="eastAsia"/>
                <w:color w:val="auto"/>
                <w:kern w:val="2"/>
                <w:highlight w:val="none"/>
              </w:rPr>
            </w:pPr>
          </w:p>
        </w:tc>
      </w:tr>
      <w:tr w14:paraId="154C793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99" w:hRule="atLeast"/>
        </w:trPr>
        <w:tc>
          <w:tcPr>
            <w:tcW w:w="2115" w:type="dxa"/>
            <w:tcBorders>
              <w:top w:val="single" w:color="auto" w:sz="4" w:space="0"/>
              <w:left w:val="single" w:color="auto" w:sz="4" w:space="0"/>
              <w:bottom w:val="nil"/>
              <w:right w:val="single" w:color="auto" w:sz="4" w:space="0"/>
            </w:tcBorders>
            <w:noWrap w:val="0"/>
            <w:vAlign w:val="center"/>
          </w:tcPr>
          <w:p w14:paraId="23C63A8E">
            <w:pPr>
              <w:pStyle w:val="14"/>
              <w:wordWrap w:val="0"/>
              <w:spacing w:line="480" w:lineRule="exact"/>
              <w:rPr>
                <w:rFonts w:hint="eastAsia"/>
                <w:color w:val="auto"/>
                <w:kern w:val="2"/>
                <w:highlight w:val="none"/>
              </w:rPr>
            </w:pPr>
            <w:r>
              <w:rPr>
                <w:rFonts w:hint="eastAsia"/>
                <w:color w:val="auto"/>
                <w:kern w:val="2"/>
                <w:highlight w:val="none"/>
              </w:rPr>
              <w:t>磋商报价</w:t>
            </w:r>
          </w:p>
        </w:tc>
        <w:tc>
          <w:tcPr>
            <w:tcW w:w="6884" w:type="dxa"/>
            <w:tcBorders>
              <w:top w:val="single" w:color="auto" w:sz="4" w:space="0"/>
              <w:left w:val="nil"/>
              <w:bottom w:val="single" w:color="auto" w:sz="4" w:space="0"/>
              <w:right w:val="single" w:color="auto" w:sz="4" w:space="0"/>
            </w:tcBorders>
            <w:noWrap w:val="0"/>
            <w:vAlign w:val="center"/>
          </w:tcPr>
          <w:p w14:paraId="748B0B65">
            <w:pPr>
              <w:pStyle w:val="14"/>
              <w:wordWrap w:val="0"/>
              <w:spacing w:line="480" w:lineRule="exact"/>
              <w:ind w:firstLine="818" w:firstLineChars="341"/>
              <w:rPr>
                <w:rFonts w:hint="eastAsia"/>
                <w:color w:val="auto"/>
                <w:kern w:val="2"/>
                <w:highlight w:val="none"/>
              </w:rPr>
            </w:pPr>
            <w:r>
              <w:rPr>
                <w:rFonts w:hint="eastAsia"/>
                <w:color w:val="auto"/>
                <w:kern w:val="2"/>
                <w:highlight w:val="none"/>
              </w:rPr>
              <w:t>（大写）     ，（小写）    元</w:t>
            </w:r>
          </w:p>
        </w:tc>
      </w:tr>
      <w:tr w14:paraId="3B1FB8B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99" w:hRule="atLeast"/>
        </w:trPr>
        <w:tc>
          <w:tcPr>
            <w:tcW w:w="2115" w:type="dxa"/>
            <w:tcBorders>
              <w:top w:val="single" w:color="auto" w:sz="4" w:space="0"/>
              <w:left w:val="single" w:color="auto" w:sz="4" w:space="0"/>
              <w:bottom w:val="nil"/>
              <w:right w:val="single" w:color="auto" w:sz="4" w:space="0"/>
            </w:tcBorders>
            <w:noWrap w:val="0"/>
            <w:vAlign w:val="center"/>
          </w:tcPr>
          <w:p w14:paraId="3D5DAA0E">
            <w:pPr>
              <w:pStyle w:val="14"/>
              <w:wordWrap w:val="0"/>
              <w:spacing w:line="480" w:lineRule="exact"/>
              <w:rPr>
                <w:rFonts w:hint="eastAsia"/>
                <w:color w:val="auto"/>
                <w:kern w:val="2"/>
                <w:highlight w:val="none"/>
              </w:rPr>
            </w:pPr>
            <w:r>
              <w:rPr>
                <w:rFonts w:hint="eastAsia" w:cs="宋体"/>
                <w:color w:val="auto"/>
                <w:highlight w:val="none"/>
                <w:lang w:val="en-US" w:eastAsia="zh-CN"/>
              </w:rPr>
              <w:t>服务时间</w:t>
            </w:r>
          </w:p>
        </w:tc>
        <w:tc>
          <w:tcPr>
            <w:tcW w:w="6884" w:type="dxa"/>
            <w:tcBorders>
              <w:top w:val="single" w:color="auto" w:sz="4" w:space="0"/>
              <w:left w:val="nil"/>
              <w:bottom w:val="single" w:color="auto" w:sz="4" w:space="0"/>
              <w:right w:val="single" w:color="auto" w:sz="4" w:space="0"/>
            </w:tcBorders>
            <w:noWrap w:val="0"/>
            <w:vAlign w:val="center"/>
          </w:tcPr>
          <w:p w14:paraId="19F0F091">
            <w:pPr>
              <w:pStyle w:val="14"/>
              <w:wordWrap w:val="0"/>
              <w:spacing w:line="480" w:lineRule="exact"/>
              <w:rPr>
                <w:rFonts w:hint="eastAsia"/>
                <w:color w:val="auto"/>
                <w:kern w:val="2"/>
                <w:highlight w:val="none"/>
              </w:rPr>
            </w:pPr>
          </w:p>
        </w:tc>
      </w:tr>
      <w:tr w14:paraId="7BE03A5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930" w:hRule="atLeast"/>
        </w:trPr>
        <w:tc>
          <w:tcPr>
            <w:tcW w:w="2115" w:type="dxa"/>
            <w:tcBorders>
              <w:top w:val="single" w:color="auto" w:sz="4" w:space="0"/>
              <w:left w:val="single" w:color="auto" w:sz="4" w:space="0"/>
              <w:bottom w:val="single" w:color="auto" w:sz="4" w:space="0"/>
              <w:right w:val="single" w:color="auto" w:sz="4" w:space="0"/>
            </w:tcBorders>
            <w:noWrap w:val="0"/>
            <w:vAlign w:val="center"/>
          </w:tcPr>
          <w:p w14:paraId="4762DD06">
            <w:pPr>
              <w:pStyle w:val="14"/>
              <w:wordWrap w:val="0"/>
              <w:spacing w:line="480" w:lineRule="exact"/>
              <w:rPr>
                <w:rFonts w:hint="eastAsia"/>
                <w:color w:val="auto"/>
                <w:kern w:val="2"/>
                <w:highlight w:val="none"/>
              </w:rPr>
            </w:pPr>
            <w:r>
              <w:rPr>
                <w:rFonts w:hint="eastAsia"/>
                <w:color w:val="auto"/>
                <w:kern w:val="2"/>
                <w:highlight w:val="none"/>
              </w:rPr>
              <w:t>质量</w:t>
            </w:r>
            <w:r>
              <w:rPr>
                <w:rFonts w:hint="eastAsia" w:ascii="宋体" w:hAnsi="宋体" w:eastAsia="宋体" w:cs="宋体"/>
                <w:color w:val="auto"/>
                <w:highlight w:val="none"/>
              </w:rPr>
              <w:t>要求</w:t>
            </w:r>
          </w:p>
        </w:tc>
        <w:tc>
          <w:tcPr>
            <w:tcW w:w="6884" w:type="dxa"/>
            <w:tcBorders>
              <w:top w:val="single" w:color="auto" w:sz="4" w:space="0"/>
              <w:left w:val="nil"/>
              <w:bottom w:val="single" w:color="auto" w:sz="4" w:space="0"/>
              <w:right w:val="single" w:color="auto" w:sz="4" w:space="0"/>
            </w:tcBorders>
            <w:noWrap w:val="0"/>
            <w:vAlign w:val="center"/>
          </w:tcPr>
          <w:p w14:paraId="44770D0B">
            <w:pPr>
              <w:pStyle w:val="14"/>
              <w:wordWrap w:val="0"/>
              <w:spacing w:line="480" w:lineRule="exact"/>
              <w:ind w:firstLine="818" w:firstLineChars="341"/>
              <w:rPr>
                <w:rFonts w:hint="eastAsia"/>
                <w:color w:val="auto"/>
                <w:kern w:val="2"/>
                <w:highlight w:val="none"/>
              </w:rPr>
            </w:pPr>
          </w:p>
        </w:tc>
      </w:tr>
      <w:tr w14:paraId="1C85BA6E">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645" w:hRule="atLeast"/>
        </w:trPr>
        <w:tc>
          <w:tcPr>
            <w:tcW w:w="2115" w:type="dxa"/>
            <w:tcBorders>
              <w:top w:val="single" w:color="auto" w:sz="4" w:space="0"/>
              <w:left w:val="single" w:color="auto" w:sz="4" w:space="0"/>
              <w:bottom w:val="single" w:color="auto" w:sz="4" w:space="0"/>
              <w:right w:val="single" w:color="auto" w:sz="4" w:space="0"/>
            </w:tcBorders>
            <w:noWrap w:val="0"/>
            <w:vAlign w:val="center"/>
          </w:tcPr>
          <w:p w14:paraId="7C347391">
            <w:pPr>
              <w:wordWrap w:val="0"/>
              <w:spacing w:line="480" w:lineRule="exact"/>
              <w:rPr>
                <w:rFonts w:hint="eastAsia"/>
                <w:color w:val="auto"/>
                <w:kern w:val="2"/>
                <w:highlight w:val="none"/>
              </w:rPr>
            </w:pPr>
            <w:r>
              <w:rPr>
                <w:rFonts w:hint="eastAsia" w:ascii="宋体" w:hAnsi="宋体" w:eastAsia="宋体" w:cs="宋体"/>
                <w:color w:val="auto"/>
                <w:highlight w:val="none"/>
              </w:rPr>
              <w:t>质保期</w:t>
            </w:r>
          </w:p>
        </w:tc>
        <w:tc>
          <w:tcPr>
            <w:tcW w:w="6884" w:type="dxa"/>
            <w:tcBorders>
              <w:top w:val="single" w:color="auto" w:sz="4" w:space="0"/>
              <w:left w:val="nil"/>
              <w:bottom w:val="single" w:color="auto" w:sz="4" w:space="0"/>
              <w:right w:val="single" w:color="auto" w:sz="4" w:space="0"/>
            </w:tcBorders>
            <w:noWrap w:val="0"/>
            <w:vAlign w:val="center"/>
          </w:tcPr>
          <w:p w14:paraId="5D197603">
            <w:pPr>
              <w:wordWrap w:val="0"/>
              <w:spacing w:line="480" w:lineRule="exact"/>
              <w:ind w:firstLine="818" w:firstLineChars="341"/>
              <w:rPr>
                <w:rFonts w:hint="eastAsia"/>
                <w:color w:val="auto"/>
                <w:kern w:val="2"/>
                <w:highlight w:val="none"/>
              </w:rPr>
            </w:pPr>
          </w:p>
        </w:tc>
      </w:tr>
      <w:tr w14:paraId="35DB39F8">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889" w:hRule="atLeast"/>
        </w:trPr>
        <w:tc>
          <w:tcPr>
            <w:tcW w:w="2115" w:type="dxa"/>
            <w:tcBorders>
              <w:top w:val="single" w:color="auto" w:sz="4" w:space="0"/>
              <w:left w:val="single" w:color="auto" w:sz="4" w:space="0"/>
              <w:bottom w:val="single" w:color="auto" w:sz="4" w:space="0"/>
              <w:right w:val="single" w:color="auto" w:sz="4" w:space="0"/>
            </w:tcBorders>
            <w:noWrap w:val="0"/>
            <w:vAlign w:val="center"/>
          </w:tcPr>
          <w:p w14:paraId="60772357">
            <w:pPr>
              <w:pStyle w:val="14"/>
              <w:wordWrap w:val="0"/>
              <w:spacing w:line="480" w:lineRule="exact"/>
              <w:rPr>
                <w:rFonts w:hint="eastAsia"/>
                <w:color w:val="auto"/>
                <w:kern w:val="2"/>
                <w:highlight w:val="none"/>
              </w:rPr>
            </w:pPr>
            <w:r>
              <w:rPr>
                <w:rFonts w:hint="eastAsia"/>
                <w:color w:val="auto"/>
                <w:kern w:val="2"/>
                <w:highlight w:val="none"/>
              </w:rPr>
              <w:t>磋商有效期</w:t>
            </w:r>
          </w:p>
        </w:tc>
        <w:tc>
          <w:tcPr>
            <w:tcW w:w="6884" w:type="dxa"/>
            <w:tcBorders>
              <w:top w:val="single" w:color="auto" w:sz="4" w:space="0"/>
              <w:left w:val="nil"/>
              <w:bottom w:val="single" w:color="auto" w:sz="4" w:space="0"/>
              <w:right w:val="single" w:color="auto" w:sz="4" w:space="0"/>
            </w:tcBorders>
            <w:noWrap w:val="0"/>
            <w:vAlign w:val="center"/>
          </w:tcPr>
          <w:p w14:paraId="7D37F597">
            <w:pPr>
              <w:pStyle w:val="14"/>
              <w:wordWrap w:val="0"/>
              <w:spacing w:line="480" w:lineRule="exact"/>
              <w:ind w:firstLine="818" w:firstLineChars="341"/>
              <w:rPr>
                <w:rFonts w:hint="eastAsia"/>
                <w:color w:val="auto"/>
                <w:kern w:val="2"/>
                <w:highlight w:val="none"/>
              </w:rPr>
            </w:pPr>
          </w:p>
        </w:tc>
      </w:tr>
      <w:tr w14:paraId="0DBD01E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892" w:hRule="atLeast"/>
        </w:trPr>
        <w:tc>
          <w:tcPr>
            <w:tcW w:w="2115" w:type="dxa"/>
            <w:tcBorders>
              <w:top w:val="single" w:color="auto" w:sz="4" w:space="0"/>
              <w:left w:val="single" w:color="auto" w:sz="4" w:space="0"/>
              <w:bottom w:val="single" w:color="auto" w:sz="4" w:space="0"/>
              <w:right w:val="single" w:color="auto" w:sz="4" w:space="0"/>
            </w:tcBorders>
            <w:noWrap w:val="0"/>
            <w:vAlign w:val="center"/>
          </w:tcPr>
          <w:p w14:paraId="58DA580B">
            <w:pPr>
              <w:pStyle w:val="14"/>
              <w:wordWrap w:val="0"/>
              <w:spacing w:line="480" w:lineRule="exact"/>
              <w:rPr>
                <w:rFonts w:hint="eastAsia"/>
                <w:color w:val="auto"/>
                <w:kern w:val="2"/>
                <w:highlight w:val="none"/>
              </w:rPr>
            </w:pPr>
            <w:r>
              <w:rPr>
                <w:rFonts w:hint="eastAsia" w:ascii="宋体" w:hAnsi="宋体" w:cs="Times New Roman"/>
                <w:color w:val="auto"/>
                <w:sz w:val="24"/>
                <w:szCs w:val="24"/>
                <w:highlight w:val="none"/>
                <w:lang w:val="en-US" w:eastAsia="zh-CN"/>
              </w:rPr>
              <w:t>项目联系人及联系方式</w:t>
            </w:r>
          </w:p>
        </w:tc>
        <w:tc>
          <w:tcPr>
            <w:tcW w:w="6884" w:type="dxa"/>
            <w:tcBorders>
              <w:top w:val="single" w:color="auto" w:sz="4" w:space="0"/>
              <w:left w:val="nil"/>
              <w:bottom w:val="single" w:color="auto" w:sz="4" w:space="0"/>
              <w:right w:val="single" w:color="auto" w:sz="4" w:space="0"/>
            </w:tcBorders>
            <w:noWrap w:val="0"/>
            <w:vAlign w:val="center"/>
          </w:tcPr>
          <w:p w14:paraId="32026B1A">
            <w:pPr>
              <w:pStyle w:val="14"/>
              <w:wordWrap w:val="0"/>
              <w:spacing w:line="480" w:lineRule="exact"/>
              <w:ind w:firstLine="818" w:firstLineChars="341"/>
              <w:rPr>
                <w:rFonts w:hint="eastAsia"/>
                <w:color w:val="auto"/>
                <w:kern w:val="2"/>
                <w:highlight w:val="none"/>
              </w:rPr>
            </w:pPr>
          </w:p>
        </w:tc>
      </w:tr>
      <w:tr w14:paraId="2714D54F">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96" w:hRule="atLeast"/>
        </w:trPr>
        <w:tc>
          <w:tcPr>
            <w:tcW w:w="8999" w:type="dxa"/>
            <w:gridSpan w:val="2"/>
            <w:tcBorders>
              <w:top w:val="single" w:color="auto" w:sz="4" w:space="0"/>
              <w:left w:val="single" w:color="auto" w:sz="4" w:space="0"/>
              <w:bottom w:val="single" w:color="auto" w:sz="4" w:space="0"/>
              <w:right w:val="single" w:color="auto" w:sz="4" w:space="0"/>
            </w:tcBorders>
            <w:noWrap w:val="0"/>
            <w:vAlign w:val="top"/>
          </w:tcPr>
          <w:p w14:paraId="20FCE3C2">
            <w:pPr>
              <w:pStyle w:val="14"/>
              <w:wordWrap w:val="0"/>
              <w:spacing w:line="480" w:lineRule="exact"/>
              <w:rPr>
                <w:rFonts w:hint="eastAsia"/>
                <w:color w:val="auto"/>
                <w:kern w:val="2"/>
                <w:highlight w:val="none"/>
              </w:rPr>
            </w:pPr>
            <w:r>
              <w:rPr>
                <w:rFonts w:hint="eastAsia"/>
                <w:color w:val="auto"/>
                <w:kern w:val="2"/>
                <w:highlight w:val="none"/>
              </w:rPr>
              <w:t>补充（如有）</w:t>
            </w:r>
          </w:p>
        </w:tc>
      </w:tr>
    </w:tbl>
    <w:p w14:paraId="38334A0D">
      <w:pPr>
        <w:pStyle w:val="14"/>
        <w:wordWrap w:val="0"/>
        <w:spacing w:line="480" w:lineRule="exact"/>
        <w:rPr>
          <w:rFonts w:hint="eastAsia"/>
          <w:color w:val="auto"/>
          <w:highlight w:val="none"/>
        </w:rPr>
      </w:pPr>
      <w:r>
        <w:rPr>
          <w:rFonts w:hint="eastAsia"/>
          <w:color w:val="auto"/>
          <w:highlight w:val="none"/>
        </w:rPr>
        <w:t>供应商（盖单位章）：</w:t>
      </w:r>
    </w:p>
    <w:p w14:paraId="4A492B03">
      <w:pPr>
        <w:pStyle w:val="14"/>
        <w:wordWrap w:val="0"/>
        <w:spacing w:line="480" w:lineRule="exact"/>
        <w:ind w:firstLine="4816" w:firstLineChars="2007"/>
        <w:rPr>
          <w:rFonts w:hint="eastAsia"/>
          <w:color w:val="auto"/>
          <w:highlight w:val="none"/>
        </w:rPr>
      </w:pPr>
      <w:r>
        <w:rPr>
          <w:rFonts w:hint="eastAsia"/>
          <w:color w:val="auto"/>
          <w:highlight w:val="none"/>
        </w:rPr>
        <w:t xml:space="preserve"> </w:t>
      </w:r>
    </w:p>
    <w:p w14:paraId="6876D11D">
      <w:pPr>
        <w:pStyle w:val="14"/>
        <w:wordWrap w:val="0"/>
        <w:spacing w:line="480" w:lineRule="exact"/>
        <w:rPr>
          <w:rFonts w:hint="eastAsia"/>
          <w:color w:val="auto"/>
          <w:highlight w:val="none"/>
        </w:rPr>
      </w:pPr>
      <w:r>
        <w:rPr>
          <w:rFonts w:hint="eastAsia"/>
          <w:color w:val="auto"/>
          <w:highlight w:val="none"/>
        </w:rPr>
        <w:t>法定代表人（盖章）：</w:t>
      </w:r>
    </w:p>
    <w:p w14:paraId="4BC1C875">
      <w:pPr>
        <w:wordWrap w:val="0"/>
        <w:spacing w:line="480" w:lineRule="exact"/>
        <w:ind w:firstLine="4816" w:firstLineChars="2007"/>
        <w:rPr>
          <w:rFonts w:hint="eastAsia" w:ascii="宋体" w:hAnsi="宋体" w:cs="宋体"/>
          <w:color w:val="auto"/>
          <w:highlight w:val="none"/>
        </w:rPr>
      </w:pPr>
      <w:r>
        <w:rPr>
          <w:rFonts w:hint="eastAsia" w:ascii="宋体" w:hAnsi="宋体" w:cs="宋体"/>
          <w:color w:val="auto"/>
          <w:highlight w:val="none"/>
        </w:rPr>
        <w:t xml:space="preserve"> </w:t>
      </w:r>
    </w:p>
    <w:p w14:paraId="46E5F74D">
      <w:pPr>
        <w:wordWrap w:val="0"/>
        <w:spacing w:line="480" w:lineRule="exact"/>
        <w:rPr>
          <w:rFonts w:hint="eastAsia" w:ascii="宋体" w:hAnsi="宋体" w:cs="宋体"/>
          <w:color w:val="auto"/>
          <w:highlight w:val="none"/>
        </w:rPr>
      </w:pPr>
      <w:r>
        <w:rPr>
          <w:rFonts w:hint="eastAsia" w:ascii="宋体" w:hAnsi="宋体" w:cs="宋体"/>
          <w:color w:val="auto"/>
          <w:highlight w:val="none"/>
        </w:rPr>
        <w:t>日期：年   月   日</w:t>
      </w:r>
    </w:p>
    <w:p w14:paraId="439EC7F8">
      <w:pPr>
        <w:pStyle w:val="4"/>
        <w:keepLines w:val="0"/>
        <w:widowControl/>
        <w:wordWrap w:val="0"/>
        <w:spacing w:befor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bookmarkStart w:id="237" w:name="_Toc26862"/>
      <w:bookmarkEnd w:id="237"/>
    </w:p>
    <w:p w14:paraId="6CF72C20">
      <w:pPr>
        <w:pStyle w:val="4"/>
        <w:keepLines w:val="0"/>
        <w:widowControl/>
        <w:wordWrap w:val="0"/>
        <w:spacing w:before="0"/>
        <w:jc w:val="center"/>
        <w:rPr>
          <w:rFonts w:hint="eastAsia" w:ascii="宋体" w:hAnsi="宋体" w:eastAsia="宋体" w:cs="宋体"/>
          <w:b w:val="0"/>
          <w:bCs w:val="0"/>
          <w:color w:val="auto"/>
          <w:sz w:val="24"/>
          <w:szCs w:val="24"/>
          <w:highlight w:val="none"/>
        </w:rPr>
      </w:pPr>
      <w:r>
        <w:rPr>
          <w:rFonts w:hint="eastAsia" w:ascii="宋体" w:hAnsi="宋体" w:eastAsia="宋体" w:cs="宋体"/>
          <w:color w:val="auto"/>
          <w:sz w:val="24"/>
          <w:szCs w:val="24"/>
          <w:highlight w:val="none"/>
        </w:rPr>
        <w:t>二、法定代表人身份证明</w:t>
      </w:r>
    </w:p>
    <w:p w14:paraId="48D5F813">
      <w:pPr>
        <w:wordWrap w:val="0"/>
        <w:spacing w:line="500" w:lineRule="exact"/>
        <w:rPr>
          <w:rFonts w:hint="eastAsia" w:ascii="宋体" w:hAnsi="宋体" w:cs="宋体"/>
          <w:color w:val="auto"/>
          <w:highlight w:val="none"/>
        </w:rPr>
      </w:pPr>
      <w:r>
        <w:rPr>
          <w:rFonts w:hint="eastAsia" w:ascii="宋体" w:hAnsi="宋体" w:cs="宋体"/>
          <w:color w:val="auto"/>
          <w:highlight w:val="none"/>
        </w:rPr>
        <w:t>供应商：</w:t>
      </w:r>
    </w:p>
    <w:p w14:paraId="70677551">
      <w:pPr>
        <w:wordWrap w:val="0"/>
        <w:spacing w:line="500" w:lineRule="exact"/>
        <w:rPr>
          <w:rFonts w:hint="eastAsia" w:ascii="宋体" w:hAnsi="宋体" w:cs="宋体"/>
          <w:color w:val="auto"/>
          <w:highlight w:val="none"/>
        </w:rPr>
      </w:pPr>
      <w:r>
        <w:rPr>
          <w:rFonts w:hint="eastAsia" w:ascii="宋体" w:hAnsi="宋体" w:cs="宋体"/>
          <w:color w:val="auto"/>
          <w:highlight w:val="none"/>
        </w:rPr>
        <w:t>单位性质：</w:t>
      </w:r>
    </w:p>
    <w:p w14:paraId="2FF4E25B">
      <w:pPr>
        <w:wordWrap w:val="0"/>
        <w:spacing w:line="500" w:lineRule="exact"/>
        <w:rPr>
          <w:rFonts w:hint="eastAsia" w:ascii="宋体" w:hAnsi="宋体" w:cs="宋体"/>
          <w:color w:val="auto"/>
          <w:highlight w:val="none"/>
        </w:rPr>
      </w:pPr>
      <w:r>
        <w:rPr>
          <w:rFonts w:hint="eastAsia" w:ascii="宋体" w:hAnsi="宋体" w:cs="宋体"/>
          <w:color w:val="auto"/>
          <w:highlight w:val="none"/>
        </w:rPr>
        <w:t>地址：</w:t>
      </w:r>
    </w:p>
    <w:p w14:paraId="73D2093A">
      <w:pPr>
        <w:wordWrap w:val="0"/>
        <w:spacing w:line="500" w:lineRule="exact"/>
        <w:rPr>
          <w:rFonts w:hint="eastAsia" w:ascii="宋体" w:hAnsi="宋体" w:cs="宋体"/>
          <w:color w:val="auto"/>
          <w:highlight w:val="none"/>
        </w:rPr>
      </w:pPr>
      <w:r>
        <w:rPr>
          <w:rFonts w:hint="eastAsia" w:ascii="宋体" w:hAnsi="宋体" w:cs="宋体"/>
          <w:color w:val="auto"/>
          <w:highlight w:val="none"/>
        </w:rPr>
        <w:t>成立时间：年月日</w:t>
      </w:r>
    </w:p>
    <w:p w14:paraId="16CFD614">
      <w:pPr>
        <w:wordWrap w:val="0"/>
        <w:spacing w:line="500" w:lineRule="exact"/>
        <w:rPr>
          <w:rFonts w:hint="eastAsia" w:ascii="宋体" w:hAnsi="宋体" w:cs="宋体"/>
          <w:color w:val="auto"/>
          <w:highlight w:val="none"/>
        </w:rPr>
      </w:pPr>
      <w:r>
        <w:rPr>
          <w:rFonts w:hint="eastAsia" w:ascii="宋体" w:hAnsi="宋体" w:cs="宋体"/>
          <w:color w:val="auto"/>
          <w:highlight w:val="none"/>
        </w:rPr>
        <w:t>经营期限：</w:t>
      </w:r>
    </w:p>
    <w:p w14:paraId="4DEA8A62">
      <w:pPr>
        <w:wordWrap w:val="0"/>
        <w:spacing w:line="500" w:lineRule="exact"/>
        <w:rPr>
          <w:rFonts w:hint="eastAsia" w:ascii="宋体" w:hAnsi="宋体" w:cs="宋体"/>
          <w:color w:val="auto"/>
          <w:highlight w:val="none"/>
        </w:rPr>
      </w:pPr>
      <w:r>
        <w:rPr>
          <w:rFonts w:hint="eastAsia" w:ascii="宋体" w:hAnsi="宋体" w:cs="宋体"/>
          <w:color w:val="auto"/>
          <w:highlight w:val="none"/>
        </w:rPr>
        <w:t>姓名：性别：</w:t>
      </w:r>
    </w:p>
    <w:p w14:paraId="74EED34D">
      <w:pPr>
        <w:wordWrap w:val="0"/>
        <w:spacing w:line="500" w:lineRule="exact"/>
        <w:rPr>
          <w:rFonts w:hint="eastAsia" w:ascii="宋体" w:hAnsi="宋体" w:cs="宋体"/>
          <w:color w:val="auto"/>
          <w:highlight w:val="none"/>
        </w:rPr>
      </w:pPr>
      <w:r>
        <w:rPr>
          <w:rFonts w:hint="eastAsia" w:ascii="宋体" w:hAnsi="宋体" w:cs="宋体"/>
          <w:color w:val="auto"/>
          <w:highlight w:val="none"/>
        </w:rPr>
        <w:t>年龄：职务：</w:t>
      </w:r>
    </w:p>
    <w:p w14:paraId="094BE0CB">
      <w:pPr>
        <w:wordWrap w:val="0"/>
        <w:spacing w:line="500" w:lineRule="exact"/>
        <w:rPr>
          <w:rFonts w:hint="eastAsia" w:ascii="宋体" w:hAnsi="宋体" w:cs="宋体"/>
          <w:color w:val="auto"/>
          <w:highlight w:val="none"/>
        </w:rPr>
      </w:pPr>
      <w:r>
        <w:rPr>
          <w:rFonts w:hint="eastAsia" w:ascii="宋体" w:hAnsi="宋体" w:cs="宋体"/>
          <w:color w:val="auto"/>
          <w:highlight w:val="none"/>
        </w:rPr>
        <w:t>系（供应商名称）的法定代表人。</w:t>
      </w:r>
    </w:p>
    <w:p w14:paraId="6539E182">
      <w:pPr>
        <w:wordWrap w:val="0"/>
        <w:spacing w:line="500" w:lineRule="exact"/>
        <w:rPr>
          <w:rFonts w:hint="eastAsia" w:ascii="宋体" w:hAnsi="宋体" w:cs="宋体"/>
          <w:color w:val="auto"/>
          <w:highlight w:val="none"/>
        </w:rPr>
      </w:pPr>
      <w:r>
        <w:rPr>
          <w:rFonts w:hint="eastAsia" w:ascii="宋体" w:hAnsi="宋体" w:cs="宋体"/>
          <w:color w:val="auto"/>
          <w:highlight w:val="none"/>
        </w:rPr>
        <w:t>特此证明。</w:t>
      </w:r>
    </w:p>
    <w:p w14:paraId="0B2876A6">
      <w:pPr>
        <w:wordWrap w:val="0"/>
        <w:spacing w:line="500" w:lineRule="exact"/>
        <w:rPr>
          <w:rFonts w:hint="eastAsia" w:ascii="宋体" w:hAnsi="宋体" w:cs="宋体"/>
          <w:color w:val="auto"/>
          <w:highlight w:val="none"/>
        </w:rPr>
      </w:pPr>
      <w:r>
        <w:rPr>
          <w:rFonts w:hint="eastAsia" w:ascii="宋体" w:hAnsi="宋体" w:cs="宋体"/>
          <w:color w:val="auto"/>
          <w:highlight w:val="none"/>
        </w:rPr>
        <w:t xml:space="preserve"> </w:t>
      </w:r>
    </w:p>
    <w:p w14:paraId="02233639">
      <w:pPr>
        <w:wordWrap w:val="0"/>
        <w:spacing w:line="500" w:lineRule="exact"/>
        <w:rPr>
          <w:rFonts w:hint="eastAsia" w:ascii="宋体" w:hAnsi="宋体" w:cs="宋体"/>
          <w:color w:val="auto"/>
          <w:highlight w:val="none"/>
        </w:rPr>
      </w:pPr>
      <w:r>
        <w:rPr>
          <w:rFonts w:hint="eastAsia" w:ascii="宋体" w:hAnsi="宋体" w:cs="宋体"/>
          <w:color w:val="auto"/>
          <w:highlight w:val="none"/>
        </w:rPr>
        <w:t xml:space="preserve"> </w:t>
      </w:r>
    </w:p>
    <w:p w14:paraId="38E82FB8">
      <w:pPr>
        <w:wordWrap w:val="0"/>
        <w:spacing w:line="500" w:lineRule="exact"/>
        <w:jc w:val="right"/>
        <w:rPr>
          <w:rFonts w:hint="eastAsia" w:ascii="宋体" w:hAnsi="宋体" w:cs="宋体"/>
          <w:color w:val="auto"/>
          <w:highlight w:val="none"/>
        </w:rPr>
      </w:pPr>
      <w:r>
        <w:rPr>
          <w:rFonts w:hint="eastAsia" w:ascii="宋体" w:hAnsi="宋体" w:cs="宋体"/>
          <w:color w:val="auto"/>
          <w:highlight w:val="none"/>
        </w:rPr>
        <w:t>供应商：（盖单位章）</w:t>
      </w:r>
    </w:p>
    <w:p w14:paraId="21811C06">
      <w:pPr>
        <w:wordWrap w:val="0"/>
        <w:spacing w:line="500" w:lineRule="exact"/>
        <w:jc w:val="right"/>
        <w:rPr>
          <w:rFonts w:hint="eastAsia" w:ascii="宋体" w:hAnsi="宋体" w:cs="宋体"/>
          <w:color w:val="auto"/>
          <w:highlight w:val="none"/>
        </w:rPr>
      </w:pPr>
      <w:r>
        <w:rPr>
          <w:rFonts w:hint="eastAsia" w:ascii="宋体" w:hAnsi="宋体" w:cs="宋体"/>
          <w:color w:val="auto"/>
          <w:highlight w:val="none"/>
        </w:rPr>
        <w:t>年  月  日</w:t>
      </w:r>
    </w:p>
    <w:p w14:paraId="1CF33AED">
      <w:pPr>
        <w:pStyle w:val="4"/>
        <w:wordWrap w:val="0"/>
        <w:jc w:val="center"/>
        <w:rPr>
          <w:rFonts w:hint="eastAsia" w:ascii="宋体" w:hAnsi="宋体" w:eastAsia="宋体" w:cs="宋体"/>
          <w:b w:val="0"/>
          <w:bCs w:val="0"/>
          <w:color w:val="auto"/>
          <w:sz w:val="24"/>
          <w:szCs w:val="24"/>
          <w:highlight w:val="none"/>
        </w:rPr>
      </w:pPr>
      <w:r>
        <w:rPr>
          <w:rFonts w:hint="eastAsia" w:ascii="宋体" w:hAnsi="宋体" w:eastAsia="宋体" w:cs="宋体"/>
          <w:color w:val="auto"/>
          <w:sz w:val="24"/>
          <w:szCs w:val="24"/>
          <w:highlight w:val="none"/>
        </w:rPr>
        <w:br w:type="page"/>
      </w:r>
      <w:bookmarkStart w:id="238" w:name="_Toc528078069"/>
      <w:bookmarkEnd w:id="238"/>
      <w:bookmarkStart w:id="239" w:name="_Toc23204"/>
      <w:r>
        <w:rPr>
          <w:rFonts w:hint="eastAsia" w:ascii="宋体" w:hAnsi="宋体" w:eastAsia="宋体" w:cs="宋体"/>
          <w:color w:val="auto"/>
          <w:sz w:val="24"/>
          <w:szCs w:val="24"/>
          <w:highlight w:val="none"/>
        </w:rPr>
        <w:t>三、授权委托书</w:t>
      </w:r>
      <w:bookmarkEnd w:id="239"/>
    </w:p>
    <w:p w14:paraId="1316CF32">
      <w:pPr>
        <w:wordWrap w:val="0"/>
        <w:spacing w:line="500" w:lineRule="exact"/>
        <w:ind w:firstLine="480" w:firstLineChars="200"/>
        <w:rPr>
          <w:rFonts w:hint="eastAsia" w:ascii="宋体" w:hAnsi="宋体" w:cs="宋体"/>
          <w:color w:val="auto"/>
          <w:highlight w:val="none"/>
        </w:rPr>
      </w:pPr>
      <w:r>
        <w:rPr>
          <w:rFonts w:hint="eastAsia" w:ascii="宋体" w:hAnsi="宋体" w:cs="宋体"/>
          <w:color w:val="auto"/>
          <w:highlight w:val="none"/>
        </w:rPr>
        <w:t>本人（姓名）系（供应商名称）的法定代表人，现委托（姓名）为我方代理人。代理人根据授权，以我方名义签署、澄清、说明、补正、递交、撤回、修改（项目名称）响应文件、签订合同和处理有关事宜，其法律后果由我方承担。</w:t>
      </w:r>
    </w:p>
    <w:p w14:paraId="6131F82D">
      <w:pPr>
        <w:wordWrap w:val="0"/>
        <w:spacing w:line="500" w:lineRule="exact"/>
        <w:ind w:firstLine="480" w:firstLineChars="200"/>
        <w:rPr>
          <w:rFonts w:hint="eastAsia" w:ascii="宋体" w:hAnsi="宋体" w:cs="宋体"/>
          <w:color w:val="auto"/>
          <w:highlight w:val="none"/>
        </w:rPr>
      </w:pPr>
      <w:r>
        <w:rPr>
          <w:rFonts w:hint="eastAsia" w:ascii="宋体" w:hAnsi="宋体" w:cs="宋体"/>
          <w:color w:val="auto"/>
          <w:highlight w:val="none"/>
        </w:rPr>
        <w:t>委托期限：</w:t>
      </w:r>
    </w:p>
    <w:p w14:paraId="306E145B">
      <w:pPr>
        <w:wordWrap w:val="0"/>
        <w:spacing w:line="500" w:lineRule="exact"/>
        <w:ind w:firstLine="480" w:firstLineChars="200"/>
        <w:rPr>
          <w:rFonts w:hint="eastAsia" w:ascii="宋体" w:hAnsi="宋体" w:cs="宋体"/>
          <w:color w:val="auto"/>
          <w:highlight w:val="none"/>
        </w:rPr>
      </w:pPr>
      <w:r>
        <w:rPr>
          <w:rFonts w:hint="eastAsia" w:ascii="宋体" w:hAnsi="宋体" w:cs="宋体"/>
          <w:color w:val="auto"/>
          <w:highlight w:val="none"/>
        </w:rPr>
        <w:t>代理人无转委托权。</w:t>
      </w:r>
    </w:p>
    <w:p w14:paraId="10297D07">
      <w:pPr>
        <w:wordWrap w:val="0"/>
        <w:spacing w:line="500" w:lineRule="exact"/>
        <w:ind w:firstLine="480" w:firstLineChars="200"/>
        <w:rPr>
          <w:rFonts w:hint="eastAsia" w:ascii="宋体" w:hAnsi="宋体" w:cs="宋体"/>
          <w:color w:val="auto"/>
          <w:highlight w:val="none"/>
        </w:rPr>
      </w:pPr>
      <w:r>
        <w:rPr>
          <w:rFonts w:hint="eastAsia" w:ascii="宋体" w:hAnsi="宋体" w:cs="宋体"/>
          <w:color w:val="auto"/>
          <w:highlight w:val="none"/>
        </w:rPr>
        <w:t>附：法定代表人身份证明及授权代理人身份证明</w:t>
      </w:r>
    </w:p>
    <w:p w14:paraId="5BA8C8BD">
      <w:pPr>
        <w:wordWrap w:val="0"/>
        <w:spacing w:line="500" w:lineRule="exact"/>
        <w:rPr>
          <w:rFonts w:hint="eastAsia" w:ascii="宋体" w:hAnsi="宋体" w:cs="宋体"/>
          <w:color w:val="auto"/>
          <w:highlight w:val="none"/>
        </w:rPr>
      </w:pPr>
      <w:r>
        <w:rPr>
          <w:rFonts w:hint="eastAsia" w:ascii="宋体" w:hAnsi="宋体" w:cs="宋体"/>
          <w:color w:val="auto"/>
          <w:highlight w:val="none"/>
        </w:rPr>
        <w:t xml:space="preserve"> </w:t>
      </w:r>
    </w:p>
    <w:p w14:paraId="15DC3F7F">
      <w:pPr>
        <w:wordWrap w:val="0"/>
        <w:jc w:val="both"/>
        <w:rPr>
          <w:rFonts w:hint="eastAsia" w:ascii="宋体" w:hAnsi="宋体" w:cs="宋体"/>
          <w:color w:val="auto"/>
          <w:highlight w:val="none"/>
        </w:rPr>
      </w:pPr>
      <w:r>
        <w:rPr>
          <w:rFonts w:hint="eastAsia" w:ascii="宋体" w:hAnsi="宋体" w:cs="宋体"/>
          <w:color w:val="auto"/>
          <w:highlight w:val="none"/>
        </w:rPr>
        <w:t>供应商：（盖单位章）</w:t>
      </w:r>
    </w:p>
    <w:p w14:paraId="725B7DB1">
      <w:pPr>
        <w:wordWrap w:val="0"/>
        <w:jc w:val="both"/>
        <w:rPr>
          <w:rFonts w:hint="eastAsia" w:ascii="宋体" w:hAnsi="宋体" w:cs="宋体"/>
          <w:b/>
          <w:bCs/>
          <w:color w:val="auto"/>
          <w:highlight w:val="none"/>
        </w:rPr>
      </w:pPr>
      <w:r>
        <w:rPr>
          <w:rFonts w:hint="eastAsia" w:ascii="宋体" w:hAnsi="宋体" w:cs="宋体"/>
          <w:color w:val="auto"/>
          <w:highlight w:val="none"/>
        </w:rPr>
        <w:t>法定代表人：（盖章）</w:t>
      </w:r>
    </w:p>
    <w:p w14:paraId="42F57DB1">
      <w:pPr>
        <w:wordWrap w:val="0"/>
        <w:jc w:val="both"/>
        <w:rPr>
          <w:rFonts w:hint="eastAsia" w:ascii="宋体" w:hAnsi="宋体" w:cs="宋体"/>
          <w:color w:val="auto"/>
          <w:highlight w:val="none"/>
        </w:rPr>
      </w:pPr>
      <w:r>
        <w:rPr>
          <w:rFonts w:hint="eastAsia" w:ascii="宋体" w:hAnsi="宋体" w:cs="宋体"/>
          <w:color w:val="auto"/>
          <w:highlight w:val="none"/>
        </w:rPr>
        <w:t>身份证号码：</w:t>
      </w:r>
    </w:p>
    <w:p w14:paraId="13FD1F67">
      <w:pPr>
        <w:wordWrap w:val="0"/>
        <w:jc w:val="both"/>
        <w:rPr>
          <w:rFonts w:hint="eastAsia" w:ascii="宋体" w:hAnsi="宋体" w:cs="宋体"/>
          <w:color w:val="auto"/>
          <w:highlight w:val="none"/>
        </w:rPr>
      </w:pPr>
      <w:r>
        <w:rPr>
          <w:rFonts w:hint="eastAsia" w:ascii="宋体" w:hAnsi="宋体" w:cs="宋体"/>
          <w:color w:val="auto"/>
          <w:highlight w:val="none"/>
        </w:rPr>
        <w:t>联系电话：</w:t>
      </w:r>
    </w:p>
    <w:p w14:paraId="6158F75F">
      <w:pPr>
        <w:wordWrap w:val="0"/>
        <w:jc w:val="both"/>
        <w:rPr>
          <w:rFonts w:hint="eastAsia" w:ascii="宋体" w:hAnsi="宋体" w:cs="宋体"/>
          <w:color w:val="auto"/>
          <w:highlight w:val="none"/>
        </w:rPr>
      </w:pPr>
      <w:r>
        <w:rPr>
          <w:rFonts w:hint="eastAsia" w:ascii="宋体" w:hAnsi="宋体" w:cs="宋体"/>
          <w:color w:val="auto"/>
          <w:highlight w:val="none"/>
        </w:rPr>
        <w:t>委托代理人： （签字）</w:t>
      </w:r>
    </w:p>
    <w:p w14:paraId="77E78EDB">
      <w:pPr>
        <w:wordWrap w:val="0"/>
        <w:jc w:val="both"/>
        <w:rPr>
          <w:rFonts w:hint="eastAsia" w:ascii="宋体" w:hAnsi="宋体" w:cs="宋体"/>
          <w:color w:val="auto"/>
          <w:highlight w:val="none"/>
          <w:u w:val="single"/>
        </w:rPr>
      </w:pPr>
      <w:r>
        <w:rPr>
          <w:rFonts w:hint="eastAsia" w:ascii="宋体" w:hAnsi="宋体" w:cs="宋体"/>
          <w:color w:val="auto"/>
          <w:highlight w:val="none"/>
        </w:rPr>
        <w:t>身份证号码：</w:t>
      </w:r>
    </w:p>
    <w:p w14:paraId="307F9F80">
      <w:pPr>
        <w:wordWrap w:val="0"/>
        <w:jc w:val="both"/>
        <w:rPr>
          <w:rFonts w:hint="eastAsia" w:ascii="宋体" w:hAnsi="宋体" w:cs="宋体"/>
          <w:color w:val="auto"/>
          <w:highlight w:val="none"/>
        </w:rPr>
      </w:pPr>
      <w:r>
        <w:rPr>
          <w:rFonts w:hint="eastAsia" w:ascii="宋体" w:hAnsi="宋体" w:cs="宋体"/>
          <w:color w:val="auto"/>
          <w:highlight w:val="none"/>
        </w:rPr>
        <w:t>联系电话：</w:t>
      </w:r>
    </w:p>
    <w:p w14:paraId="061DAB3D">
      <w:pPr>
        <w:wordWrap w:val="0"/>
        <w:spacing w:line="400" w:lineRule="exact"/>
        <w:ind w:firstLine="4080" w:firstLineChars="1700"/>
        <w:jc w:val="both"/>
        <w:rPr>
          <w:rFonts w:hint="eastAsia" w:ascii="宋体" w:hAnsi="宋体" w:cs="宋体"/>
          <w:color w:val="auto"/>
          <w:highlight w:val="none"/>
        </w:rPr>
      </w:pPr>
    </w:p>
    <w:p w14:paraId="03B5C867">
      <w:pPr>
        <w:wordWrap w:val="0"/>
        <w:spacing w:line="400" w:lineRule="exact"/>
        <w:jc w:val="both"/>
        <w:rPr>
          <w:rFonts w:hint="eastAsia" w:ascii="宋体" w:hAnsi="宋体" w:cs="宋体"/>
          <w:color w:val="auto"/>
          <w:highlight w:val="none"/>
        </w:rPr>
      </w:pPr>
      <w:r>
        <w:rPr>
          <w:rFonts w:hint="eastAsia" w:ascii="宋体" w:hAnsi="宋体" w:cs="宋体"/>
          <w:color w:val="auto"/>
          <w:highlight w:val="none"/>
        </w:rPr>
        <w:t>年  月   日</w:t>
      </w:r>
    </w:p>
    <w:p w14:paraId="2A31C9DC">
      <w:pPr>
        <w:wordWrap w:val="0"/>
        <w:spacing w:line="400" w:lineRule="exact"/>
        <w:rPr>
          <w:rFonts w:hint="eastAsia" w:ascii="宋体" w:hAnsi="宋体" w:cs="宋体"/>
          <w:b/>
          <w:bCs/>
          <w:color w:val="auto"/>
          <w:highlight w:val="none"/>
        </w:rPr>
      </w:pPr>
      <w:r>
        <w:rPr>
          <w:rFonts w:hint="eastAsia" w:ascii="宋体" w:hAnsi="宋体" w:cs="宋体"/>
          <w:b/>
          <w:bCs/>
          <w:color w:val="auto"/>
          <w:highlight w:val="none"/>
        </w:rPr>
        <w:t xml:space="preserve"> </w:t>
      </w:r>
    </w:p>
    <w:p w14:paraId="7682B0F6">
      <w:pPr>
        <w:wordWrap w:val="0"/>
        <w:spacing w:line="400" w:lineRule="exact"/>
        <w:rPr>
          <w:rFonts w:hint="eastAsia" w:ascii="宋体" w:hAnsi="宋体" w:cs="宋体"/>
          <w:b/>
          <w:bCs/>
          <w:color w:val="auto"/>
          <w:highlight w:val="none"/>
        </w:rPr>
      </w:pPr>
      <w:r>
        <w:rPr>
          <w:rFonts w:hint="eastAsia" w:ascii="宋体" w:hAnsi="宋体" w:cs="宋体"/>
          <w:b/>
          <w:bCs/>
          <w:color w:val="auto"/>
          <w:highlight w:val="none"/>
        </w:rPr>
        <w:t>注：因响应文件中授权委托书授权代理人无法手写签字，可以以印刷体代替（印刷体为电脑打出的字体）。</w:t>
      </w:r>
      <w:bookmarkStart w:id="240" w:name="_Toc466566810"/>
      <w:bookmarkEnd w:id="240"/>
    </w:p>
    <w:p w14:paraId="139A62C0">
      <w:pPr>
        <w:wordWrap w:val="0"/>
        <w:rPr>
          <w:rFonts w:hint="eastAsia" w:ascii="宋体" w:hAnsi="宋体" w:cs="宋体"/>
          <w:b/>
          <w:bCs/>
          <w:color w:val="auto"/>
          <w:highlight w:val="none"/>
        </w:rPr>
      </w:pPr>
      <w:r>
        <w:rPr>
          <w:rFonts w:hint="eastAsia" w:ascii="宋体" w:hAnsi="宋体" w:cs="宋体"/>
          <w:b/>
          <w:bCs/>
          <w:color w:val="auto"/>
          <w:highlight w:val="none"/>
        </w:rPr>
        <w:t xml:space="preserve"> </w:t>
      </w:r>
    </w:p>
    <w:p w14:paraId="6C224E38">
      <w:pPr>
        <w:wordWrap w:val="0"/>
        <w:rPr>
          <w:rFonts w:hint="eastAsia" w:ascii="宋体" w:hAnsi="宋体" w:cs="宋体"/>
          <w:b/>
          <w:bCs/>
          <w:color w:val="auto"/>
          <w:highlight w:val="none"/>
        </w:rPr>
      </w:pPr>
      <w:r>
        <w:rPr>
          <w:rFonts w:hint="eastAsia" w:ascii="宋体" w:hAnsi="宋体" w:cs="宋体"/>
          <w:b/>
          <w:bCs/>
          <w:color w:val="auto"/>
          <w:highlight w:val="none"/>
        </w:rPr>
        <w:t xml:space="preserve"> </w:t>
      </w:r>
    </w:p>
    <w:p w14:paraId="5281F43C">
      <w:pPr>
        <w:wordWrap w:val="0"/>
        <w:rPr>
          <w:rFonts w:hint="eastAsia" w:ascii="宋体" w:hAnsi="宋体" w:cs="宋体"/>
          <w:b/>
          <w:bCs/>
          <w:color w:val="auto"/>
          <w:highlight w:val="none"/>
        </w:rPr>
      </w:pPr>
      <w:r>
        <w:rPr>
          <w:rFonts w:hint="eastAsia" w:ascii="宋体" w:hAnsi="宋体" w:cs="宋体"/>
          <w:b/>
          <w:bCs/>
          <w:color w:val="auto"/>
          <w:highlight w:val="none"/>
        </w:rPr>
        <w:t xml:space="preserve"> </w:t>
      </w:r>
    </w:p>
    <w:p w14:paraId="2CFEE295">
      <w:pPr>
        <w:wordWrap w:val="0"/>
        <w:rPr>
          <w:rFonts w:hint="eastAsia" w:ascii="宋体" w:hAnsi="宋体" w:cs="宋体"/>
          <w:b/>
          <w:bCs/>
          <w:color w:val="auto"/>
          <w:highlight w:val="none"/>
        </w:rPr>
      </w:pPr>
      <w:r>
        <w:rPr>
          <w:rFonts w:hint="eastAsia" w:ascii="宋体" w:hAnsi="宋体" w:cs="宋体"/>
          <w:b/>
          <w:bCs/>
          <w:color w:val="auto"/>
          <w:highlight w:val="none"/>
        </w:rPr>
        <w:t xml:space="preserve"> </w:t>
      </w:r>
    </w:p>
    <w:p w14:paraId="133612B3">
      <w:pPr>
        <w:wordWrap w:val="0"/>
        <w:rPr>
          <w:rFonts w:hint="eastAsia" w:ascii="宋体" w:hAnsi="宋体" w:cs="宋体"/>
          <w:b/>
          <w:bCs/>
          <w:color w:val="auto"/>
          <w:highlight w:val="none"/>
        </w:rPr>
      </w:pPr>
      <w:r>
        <w:rPr>
          <w:rFonts w:hint="eastAsia" w:ascii="宋体" w:hAnsi="宋体" w:cs="宋体"/>
          <w:b/>
          <w:bCs/>
          <w:color w:val="auto"/>
          <w:highlight w:val="none"/>
        </w:rPr>
        <w:t xml:space="preserve"> </w:t>
      </w:r>
    </w:p>
    <w:p w14:paraId="753ECC82">
      <w:pPr>
        <w:wordWrap w:val="0"/>
        <w:rPr>
          <w:rFonts w:hint="eastAsia" w:ascii="宋体" w:hAnsi="宋体" w:cs="宋体"/>
          <w:b/>
          <w:bCs/>
          <w:color w:val="auto"/>
          <w:highlight w:val="none"/>
        </w:rPr>
      </w:pPr>
      <w:r>
        <w:rPr>
          <w:rFonts w:hint="eastAsia" w:ascii="宋体" w:hAnsi="宋体" w:cs="宋体"/>
          <w:b/>
          <w:bCs/>
          <w:color w:val="auto"/>
          <w:highlight w:val="none"/>
        </w:rPr>
        <w:t xml:space="preserve"> </w:t>
      </w:r>
    </w:p>
    <w:p w14:paraId="26245298">
      <w:pPr>
        <w:wordWrap w:val="0"/>
        <w:rPr>
          <w:rFonts w:hint="eastAsia" w:ascii="宋体" w:hAnsi="宋体" w:cs="宋体"/>
          <w:b/>
          <w:bCs/>
          <w:color w:val="auto"/>
          <w:highlight w:val="none"/>
        </w:rPr>
      </w:pPr>
      <w:r>
        <w:rPr>
          <w:rFonts w:hint="eastAsia" w:ascii="宋体" w:hAnsi="宋体" w:cs="宋体"/>
          <w:b/>
          <w:bCs/>
          <w:color w:val="auto"/>
          <w:highlight w:val="none"/>
        </w:rPr>
        <w:t xml:space="preserve"> </w:t>
      </w:r>
    </w:p>
    <w:p w14:paraId="5D638EC5">
      <w:pPr>
        <w:wordWrap w:val="0"/>
        <w:rPr>
          <w:rFonts w:hint="eastAsia" w:ascii="宋体" w:hAnsi="宋体" w:cs="宋体"/>
          <w:b/>
          <w:bCs/>
          <w:color w:val="auto"/>
          <w:highlight w:val="none"/>
        </w:rPr>
      </w:pPr>
      <w:r>
        <w:rPr>
          <w:rFonts w:hint="eastAsia" w:ascii="宋体" w:hAnsi="宋体" w:cs="宋体"/>
          <w:b/>
          <w:bCs/>
          <w:color w:val="auto"/>
          <w:highlight w:val="none"/>
        </w:rPr>
        <w:t xml:space="preserve"> </w:t>
      </w:r>
    </w:p>
    <w:p w14:paraId="5ACDBEFB">
      <w:pPr>
        <w:pStyle w:val="4"/>
        <w:wordWrap w:val="0"/>
        <w:jc w:val="center"/>
        <w:rPr>
          <w:rFonts w:hint="eastAsia" w:ascii="宋体" w:hAnsi="宋体" w:eastAsia="宋体" w:cs="宋体"/>
          <w:color w:val="auto"/>
          <w:sz w:val="24"/>
          <w:szCs w:val="24"/>
          <w:highlight w:val="none"/>
        </w:rPr>
      </w:pPr>
      <w:bookmarkStart w:id="241" w:name="_Toc10352"/>
      <w:bookmarkEnd w:id="241"/>
      <w:r>
        <w:rPr>
          <w:rFonts w:hint="eastAsia" w:ascii="宋体" w:hAnsi="宋体" w:eastAsia="宋体" w:cs="宋体"/>
          <w:color w:val="auto"/>
          <w:sz w:val="24"/>
          <w:szCs w:val="24"/>
          <w:highlight w:val="none"/>
        </w:rPr>
        <w:t>四、投标承诺函</w:t>
      </w:r>
    </w:p>
    <w:p w14:paraId="502CB33A">
      <w:pPr>
        <w:wordWrap w:val="0"/>
        <w:rPr>
          <w:rFonts w:hint="eastAsia" w:ascii="宋体" w:hAnsi="宋体" w:cs="宋体"/>
          <w:color w:val="auto"/>
          <w:highlight w:val="none"/>
        </w:rPr>
      </w:pPr>
      <w:r>
        <w:rPr>
          <w:rFonts w:hint="eastAsia" w:ascii="宋体" w:hAnsi="宋体" w:cs="宋体"/>
          <w:color w:val="auto"/>
          <w:highlight w:val="none"/>
        </w:rPr>
        <w:t>致 （采购人）：</w:t>
      </w:r>
    </w:p>
    <w:p w14:paraId="0A55B2C5">
      <w:pPr>
        <w:wordWrap w:val="0"/>
        <w:ind w:firstLine="480" w:firstLineChars="200"/>
        <w:rPr>
          <w:rFonts w:hint="eastAsia" w:ascii="宋体" w:hAnsi="宋体" w:cs="宋体"/>
          <w:color w:val="auto"/>
          <w:highlight w:val="none"/>
        </w:rPr>
      </w:pPr>
      <w:r>
        <w:rPr>
          <w:rFonts w:hint="eastAsia" w:ascii="宋体" w:hAnsi="宋体" w:cs="宋体"/>
          <w:color w:val="auto"/>
          <w:highlight w:val="none"/>
        </w:rPr>
        <w:t>我公司作为本次采购项目的供应商，根据竞争性磋商文件要求，现郑重承诺如下：</w:t>
      </w:r>
    </w:p>
    <w:p w14:paraId="38F5D914">
      <w:pPr>
        <w:wordWrap w:val="0"/>
        <w:ind w:firstLine="480" w:firstLineChars="200"/>
        <w:rPr>
          <w:rFonts w:hint="eastAsia" w:ascii="宋体" w:hAnsi="宋体" w:cs="宋体"/>
          <w:color w:val="auto"/>
          <w:highlight w:val="none"/>
        </w:rPr>
      </w:pPr>
      <w:r>
        <w:rPr>
          <w:rFonts w:hint="eastAsia" w:ascii="宋体" w:hAnsi="宋体" w:cs="宋体"/>
          <w:color w:val="auto"/>
          <w:highlight w:val="none"/>
        </w:rPr>
        <w:t>一、具备《中华人民共和国政府采购法》第二十二条第一款和本项目规定的条件：</w:t>
      </w:r>
    </w:p>
    <w:p w14:paraId="1A8EC204">
      <w:pPr>
        <w:wordWrap w:val="0"/>
        <w:ind w:firstLine="480" w:firstLineChars="200"/>
        <w:rPr>
          <w:rFonts w:hint="eastAsia" w:ascii="宋体" w:hAnsi="宋体" w:cs="宋体"/>
          <w:color w:val="auto"/>
          <w:highlight w:val="none"/>
        </w:rPr>
      </w:pPr>
      <w:r>
        <w:rPr>
          <w:rFonts w:hint="eastAsia" w:ascii="宋体" w:hAnsi="宋体" w:cs="宋体"/>
          <w:color w:val="auto"/>
          <w:highlight w:val="none"/>
        </w:rPr>
        <w:t>（一）具有独立承担民事责任的能力；</w:t>
      </w:r>
    </w:p>
    <w:p w14:paraId="09DB29D5">
      <w:pPr>
        <w:wordWrap w:val="0"/>
        <w:ind w:firstLine="480" w:firstLineChars="200"/>
        <w:rPr>
          <w:rFonts w:hint="eastAsia" w:ascii="宋体" w:hAnsi="宋体" w:cs="宋体"/>
          <w:color w:val="auto"/>
          <w:highlight w:val="none"/>
        </w:rPr>
      </w:pPr>
      <w:r>
        <w:rPr>
          <w:rFonts w:hint="eastAsia" w:ascii="宋体" w:hAnsi="宋体" w:cs="宋体"/>
          <w:color w:val="auto"/>
          <w:highlight w:val="none"/>
        </w:rPr>
        <w:t>（二）具有良好的商业信誉和健全的财务会计制度；</w:t>
      </w:r>
    </w:p>
    <w:p w14:paraId="778F402F">
      <w:pPr>
        <w:wordWrap w:val="0"/>
        <w:ind w:firstLine="480" w:firstLineChars="200"/>
        <w:rPr>
          <w:rFonts w:hint="eastAsia" w:ascii="宋体" w:hAnsi="宋体" w:cs="宋体"/>
          <w:color w:val="auto"/>
          <w:highlight w:val="none"/>
        </w:rPr>
      </w:pPr>
      <w:r>
        <w:rPr>
          <w:rFonts w:hint="eastAsia" w:ascii="宋体" w:hAnsi="宋体" w:cs="宋体"/>
          <w:color w:val="auto"/>
          <w:highlight w:val="none"/>
        </w:rPr>
        <w:t>（三）具有履行合同所必需的设备和专业技术能力；</w:t>
      </w:r>
    </w:p>
    <w:p w14:paraId="7F44759D">
      <w:pPr>
        <w:wordWrap w:val="0"/>
        <w:ind w:firstLine="480" w:firstLineChars="200"/>
        <w:rPr>
          <w:rFonts w:hint="eastAsia" w:ascii="宋体" w:hAnsi="宋体" w:cs="宋体"/>
          <w:color w:val="auto"/>
          <w:highlight w:val="none"/>
        </w:rPr>
      </w:pPr>
      <w:r>
        <w:rPr>
          <w:rFonts w:hint="eastAsia" w:ascii="宋体" w:hAnsi="宋体" w:cs="宋体"/>
          <w:color w:val="auto"/>
          <w:highlight w:val="none"/>
        </w:rPr>
        <w:t>（四）有依法缴纳税收和社会保障资金的良好记录；</w:t>
      </w:r>
    </w:p>
    <w:p w14:paraId="2592BEF4">
      <w:pPr>
        <w:wordWrap w:val="0"/>
        <w:ind w:firstLine="480" w:firstLineChars="200"/>
        <w:rPr>
          <w:rFonts w:hint="eastAsia" w:ascii="宋体" w:hAnsi="宋体" w:cs="宋体"/>
          <w:color w:val="auto"/>
          <w:highlight w:val="none"/>
        </w:rPr>
      </w:pPr>
      <w:r>
        <w:rPr>
          <w:rFonts w:hint="eastAsia" w:ascii="宋体" w:hAnsi="宋体" w:cs="宋体"/>
          <w:color w:val="auto"/>
          <w:highlight w:val="none"/>
        </w:rPr>
        <w:t>（五）参加政府采购活动前三年内，在经营活动中没有重大违法记录；</w:t>
      </w:r>
    </w:p>
    <w:p w14:paraId="148D1F22">
      <w:pPr>
        <w:wordWrap w:val="0"/>
        <w:ind w:firstLine="480" w:firstLineChars="200"/>
        <w:rPr>
          <w:rFonts w:hint="eastAsia" w:ascii="宋体" w:hAnsi="宋体" w:cs="宋体"/>
          <w:color w:val="auto"/>
          <w:highlight w:val="none"/>
        </w:rPr>
      </w:pPr>
      <w:r>
        <w:rPr>
          <w:rFonts w:hint="eastAsia" w:ascii="宋体" w:hAnsi="宋体" w:cs="宋体"/>
          <w:color w:val="auto"/>
          <w:highlight w:val="none"/>
        </w:rPr>
        <w:t>（六）法律、行政法规规定的其他条件；</w:t>
      </w:r>
    </w:p>
    <w:p w14:paraId="6AEEE778">
      <w:pPr>
        <w:wordWrap w:val="0"/>
        <w:ind w:firstLine="480" w:firstLineChars="200"/>
        <w:rPr>
          <w:rFonts w:hint="eastAsia" w:ascii="宋体" w:hAnsi="宋体" w:cs="宋体"/>
          <w:color w:val="auto"/>
          <w:highlight w:val="none"/>
        </w:rPr>
      </w:pPr>
      <w:r>
        <w:rPr>
          <w:rFonts w:hint="eastAsia" w:ascii="宋体" w:hAnsi="宋体" w:cs="宋体"/>
          <w:color w:val="auto"/>
          <w:highlight w:val="none"/>
        </w:rPr>
        <w:t>（七）根据采购项目提出的特殊条件。</w:t>
      </w:r>
    </w:p>
    <w:p w14:paraId="7B0ADD4F">
      <w:pPr>
        <w:wordWrap w:val="0"/>
        <w:ind w:firstLine="480" w:firstLineChars="200"/>
        <w:rPr>
          <w:rFonts w:hint="eastAsia" w:ascii="宋体" w:hAnsi="宋体" w:cs="宋体"/>
          <w:color w:val="auto"/>
          <w:highlight w:val="none"/>
        </w:rPr>
      </w:pPr>
      <w:r>
        <w:rPr>
          <w:rFonts w:hint="eastAsia" w:ascii="宋体" w:hAnsi="宋体" w:cs="宋体"/>
          <w:color w:val="auto"/>
          <w:highlight w:val="none"/>
        </w:rPr>
        <w:t>二、完全接受和满足本项目竞争性磋商文件中规定的实质性要求，如对竞争性磋商文件有异议，已经在投标截止时间届满前依法进行维权救济，不存在对竞争性磋商文件有异议的同时又参加投标以求侥幸中标或者为实现其他非法目的的行为。</w:t>
      </w:r>
    </w:p>
    <w:p w14:paraId="5195F5B1">
      <w:pPr>
        <w:wordWrap w:val="0"/>
        <w:ind w:firstLine="480" w:firstLineChars="200"/>
        <w:rPr>
          <w:rFonts w:hint="eastAsia" w:ascii="宋体" w:hAnsi="宋体" w:cs="宋体"/>
          <w:color w:val="auto"/>
          <w:highlight w:val="none"/>
        </w:rPr>
      </w:pPr>
      <w:r>
        <w:rPr>
          <w:rFonts w:hint="eastAsia" w:ascii="宋体" w:hAnsi="宋体" w:cs="宋体"/>
          <w:color w:val="auto"/>
          <w:highlight w:val="none"/>
        </w:rPr>
        <w:t>三、参加本次招标采购活动，不存在与单位负责人为同一人或者存在直接控股、管理关系的其他供应商参与同一合同项下的政府采购活动的行为。</w:t>
      </w:r>
    </w:p>
    <w:p w14:paraId="5CE040D9">
      <w:pPr>
        <w:wordWrap w:val="0"/>
        <w:ind w:firstLine="480" w:firstLineChars="200"/>
        <w:rPr>
          <w:rFonts w:hint="eastAsia" w:ascii="宋体" w:hAnsi="宋体" w:cs="宋体"/>
          <w:color w:val="auto"/>
          <w:highlight w:val="none"/>
        </w:rPr>
      </w:pPr>
      <w:r>
        <w:rPr>
          <w:rFonts w:hint="eastAsia" w:ascii="宋体" w:hAnsi="宋体" w:cs="宋体"/>
          <w:color w:val="auto"/>
          <w:highlight w:val="none"/>
        </w:rPr>
        <w:t>四、参加本次招标采购活动，不存在为采购项目提供整体设计、规范编制或者项目管理、监理、检测等服务的行为。</w:t>
      </w:r>
    </w:p>
    <w:p w14:paraId="544FCB3D">
      <w:pPr>
        <w:wordWrap w:val="0"/>
        <w:ind w:firstLine="480" w:firstLineChars="200"/>
        <w:rPr>
          <w:rFonts w:hint="eastAsia" w:ascii="宋体" w:hAnsi="宋体" w:cs="宋体"/>
          <w:color w:val="auto"/>
          <w:highlight w:val="none"/>
        </w:rPr>
      </w:pPr>
      <w:r>
        <w:rPr>
          <w:rFonts w:hint="eastAsia" w:ascii="宋体" w:hAnsi="宋体" w:cs="宋体"/>
          <w:color w:val="auto"/>
          <w:highlight w:val="none"/>
        </w:rPr>
        <w:t>五、参加本次招标采购活动，不存在和其他供应商在同一合同项下的采购项目中，同时委托同一个自然人、同一家庭的人员、同一单位的人员作为代理人的行为。</w:t>
      </w:r>
    </w:p>
    <w:p w14:paraId="342164F3">
      <w:pPr>
        <w:wordWrap w:val="0"/>
        <w:ind w:firstLine="480" w:firstLineChars="200"/>
        <w:rPr>
          <w:rFonts w:hint="eastAsia" w:ascii="宋体" w:hAnsi="宋体" w:cs="宋体"/>
          <w:color w:val="auto"/>
          <w:highlight w:val="none"/>
        </w:rPr>
      </w:pPr>
      <w:r>
        <w:rPr>
          <w:rFonts w:hint="eastAsia" w:ascii="宋体" w:hAnsi="宋体" w:cs="宋体"/>
          <w:color w:val="auto"/>
          <w:highlight w:val="none"/>
        </w:rPr>
        <w:t>六、供应商参加本次政府采购活动要求在近三年内供应商和其法定代表人没有行贿犯罪行为。</w:t>
      </w:r>
    </w:p>
    <w:p w14:paraId="46ACBB33">
      <w:pPr>
        <w:wordWrap w:val="0"/>
        <w:ind w:firstLine="480" w:firstLineChars="200"/>
        <w:rPr>
          <w:rFonts w:hint="eastAsia" w:ascii="宋体" w:hAnsi="宋体" w:cs="宋体"/>
          <w:color w:val="auto"/>
          <w:highlight w:val="none"/>
        </w:rPr>
      </w:pPr>
      <w:r>
        <w:rPr>
          <w:rFonts w:hint="eastAsia" w:ascii="宋体" w:hAnsi="宋体" w:cs="宋体"/>
          <w:color w:val="auto"/>
          <w:highlight w:val="none"/>
        </w:rPr>
        <w:t>七、参加本次招标采购活动，不存在联合体投标。</w:t>
      </w:r>
    </w:p>
    <w:p w14:paraId="1E24A3F6">
      <w:pPr>
        <w:wordWrap w:val="0"/>
        <w:ind w:firstLine="480" w:firstLineChars="200"/>
        <w:rPr>
          <w:rFonts w:hint="eastAsia" w:ascii="宋体" w:hAnsi="宋体" w:cs="宋体"/>
          <w:color w:val="auto"/>
          <w:highlight w:val="none"/>
        </w:rPr>
      </w:pPr>
      <w:r>
        <w:rPr>
          <w:rFonts w:hint="eastAsia" w:ascii="宋体" w:hAnsi="宋体" w:cs="宋体"/>
          <w:color w:val="auto"/>
          <w:highlight w:val="none"/>
        </w:rPr>
        <w:t>八、响应文件中提供的能够给予我公司带来优惠、好处的任何材料资料和技术、服务、商务等响应承诺情况都是真实的、有效的、合法的。</w:t>
      </w:r>
    </w:p>
    <w:p w14:paraId="4ACC9E1F">
      <w:pPr>
        <w:wordWrap w:val="0"/>
        <w:ind w:firstLine="480" w:firstLineChars="200"/>
        <w:rPr>
          <w:rFonts w:hint="eastAsia" w:ascii="宋体" w:hAnsi="宋体" w:cs="宋体"/>
          <w:color w:val="auto"/>
          <w:highlight w:val="none"/>
        </w:rPr>
      </w:pPr>
      <w:r>
        <w:rPr>
          <w:rFonts w:hint="eastAsia" w:ascii="宋体" w:hAnsi="宋体" w:cs="宋体"/>
          <w:color w:val="auto"/>
          <w:highlight w:val="none"/>
        </w:rPr>
        <w:t>九、如本项目评标过程中需要提供样品，则我公司提供的样品即为中标后将要提供的中标产品，我公司对提供样品的性能和质量负责，因样品存在缺陷或者不符合竞争性磋商文件导致未能中标的，我公司愿意承担相应不利后果。（如提供样品）</w:t>
      </w:r>
    </w:p>
    <w:p w14:paraId="68692364">
      <w:pPr>
        <w:wordWrap w:val="0"/>
        <w:ind w:firstLine="480" w:firstLineChars="200"/>
        <w:rPr>
          <w:rFonts w:hint="eastAsia" w:ascii="宋体" w:hAnsi="宋体" w:cs="宋体"/>
          <w:color w:val="auto"/>
          <w:highlight w:val="none"/>
        </w:rPr>
      </w:pPr>
      <w:r>
        <w:rPr>
          <w:rFonts w:hint="eastAsia" w:ascii="宋体" w:hAnsi="宋体" w:cs="宋体"/>
          <w:color w:val="auto"/>
          <w:highlight w:val="none"/>
        </w:rPr>
        <w:t>十、存在以下行为之一的愿意接受相关部门的处理：</w:t>
      </w:r>
    </w:p>
    <w:p w14:paraId="7D479F52">
      <w:pPr>
        <w:wordWrap w:val="0"/>
        <w:ind w:firstLine="480" w:firstLineChars="200"/>
        <w:rPr>
          <w:rFonts w:hint="eastAsia" w:ascii="宋体" w:hAnsi="宋体" w:cs="宋体"/>
          <w:color w:val="auto"/>
          <w:highlight w:val="none"/>
        </w:rPr>
      </w:pPr>
      <w:r>
        <w:rPr>
          <w:rFonts w:hint="eastAsia" w:ascii="宋体" w:hAnsi="宋体" w:cs="宋体"/>
          <w:color w:val="auto"/>
          <w:highlight w:val="none"/>
        </w:rPr>
        <w:t>（一）磋商有效期内撤销响应文件的；</w:t>
      </w:r>
    </w:p>
    <w:p w14:paraId="07390ADB">
      <w:pPr>
        <w:wordWrap w:val="0"/>
        <w:ind w:firstLine="480" w:firstLineChars="200"/>
        <w:rPr>
          <w:rFonts w:hint="eastAsia" w:ascii="宋体" w:hAnsi="宋体" w:cs="宋体"/>
          <w:color w:val="auto"/>
          <w:highlight w:val="none"/>
        </w:rPr>
      </w:pPr>
      <w:r>
        <w:rPr>
          <w:rFonts w:hint="eastAsia" w:ascii="宋体" w:hAnsi="宋体" w:cs="宋体"/>
          <w:color w:val="auto"/>
          <w:highlight w:val="none"/>
        </w:rPr>
        <w:t>（二）在采购人确定中标人以前放弃中标候选资格的；</w:t>
      </w:r>
    </w:p>
    <w:p w14:paraId="522F3D41">
      <w:pPr>
        <w:wordWrap w:val="0"/>
        <w:ind w:firstLine="480" w:firstLineChars="200"/>
        <w:rPr>
          <w:rFonts w:hint="eastAsia" w:ascii="宋体" w:hAnsi="宋体" w:cs="宋体"/>
          <w:color w:val="auto"/>
          <w:highlight w:val="none"/>
        </w:rPr>
      </w:pPr>
      <w:r>
        <w:rPr>
          <w:rFonts w:hint="eastAsia" w:ascii="宋体" w:hAnsi="宋体" w:cs="宋体"/>
          <w:color w:val="auto"/>
          <w:highlight w:val="none"/>
        </w:rPr>
        <w:t>（三）由于中标人的原因未能按照竞争性磋商文件的规定与采购人签订合同；</w:t>
      </w:r>
    </w:p>
    <w:p w14:paraId="65C58BE0">
      <w:pPr>
        <w:wordWrap w:val="0"/>
        <w:ind w:firstLine="480" w:firstLineChars="200"/>
        <w:rPr>
          <w:rFonts w:hint="eastAsia" w:ascii="宋体" w:hAnsi="宋体" w:cs="宋体"/>
          <w:color w:val="auto"/>
          <w:highlight w:val="none"/>
        </w:rPr>
      </w:pPr>
      <w:r>
        <w:rPr>
          <w:rFonts w:hint="eastAsia" w:ascii="宋体" w:hAnsi="宋体" w:cs="宋体"/>
          <w:color w:val="auto"/>
          <w:highlight w:val="none"/>
        </w:rPr>
        <w:t>（四）由于中标人的原因未能按照竞争性磋商文件的规定交纳履约保证金；</w:t>
      </w:r>
    </w:p>
    <w:p w14:paraId="076ADCB6">
      <w:pPr>
        <w:wordWrap w:val="0"/>
        <w:ind w:firstLine="480" w:firstLineChars="200"/>
        <w:rPr>
          <w:rFonts w:hint="eastAsia" w:ascii="宋体" w:hAnsi="宋体" w:cs="宋体"/>
          <w:color w:val="auto"/>
          <w:highlight w:val="none"/>
        </w:rPr>
      </w:pPr>
      <w:r>
        <w:rPr>
          <w:rFonts w:hint="eastAsia" w:ascii="宋体" w:hAnsi="宋体" w:cs="宋体"/>
          <w:color w:val="auto"/>
          <w:highlight w:val="none"/>
        </w:rPr>
        <w:t>（五）在响应文件中提供虚假材料谋取中标；</w:t>
      </w:r>
    </w:p>
    <w:p w14:paraId="705143AC">
      <w:pPr>
        <w:wordWrap w:val="0"/>
        <w:ind w:firstLine="480" w:firstLineChars="200"/>
        <w:rPr>
          <w:rFonts w:hint="eastAsia" w:ascii="宋体" w:hAnsi="宋体" w:cs="宋体"/>
          <w:color w:val="auto"/>
          <w:highlight w:val="none"/>
        </w:rPr>
      </w:pPr>
      <w:r>
        <w:rPr>
          <w:rFonts w:hint="eastAsia" w:ascii="宋体" w:hAnsi="宋体" w:cs="宋体"/>
          <w:color w:val="auto"/>
          <w:highlight w:val="none"/>
        </w:rPr>
        <w:t>（六）与采购人、其他供应商或者采购代理机构恶意串通的；</w:t>
      </w:r>
    </w:p>
    <w:p w14:paraId="148BB8D8">
      <w:pPr>
        <w:wordWrap w:val="0"/>
        <w:ind w:firstLine="480" w:firstLineChars="200"/>
        <w:rPr>
          <w:rFonts w:hint="eastAsia" w:ascii="宋体" w:hAnsi="宋体" w:cs="宋体"/>
          <w:color w:val="auto"/>
          <w:highlight w:val="none"/>
        </w:rPr>
      </w:pPr>
      <w:r>
        <w:rPr>
          <w:rFonts w:hint="eastAsia" w:ascii="宋体" w:hAnsi="宋体" w:cs="宋体"/>
          <w:color w:val="auto"/>
          <w:highlight w:val="none"/>
        </w:rPr>
        <w:t>（七）磋商有效期内，供应商在政府采购活动中有违法、违规、违纪行为。</w:t>
      </w:r>
    </w:p>
    <w:p w14:paraId="68E6E89E">
      <w:pPr>
        <w:wordWrap w:val="0"/>
        <w:ind w:firstLine="480" w:firstLineChars="200"/>
        <w:rPr>
          <w:rFonts w:hint="eastAsia" w:ascii="宋体" w:hAnsi="宋体" w:cs="宋体"/>
          <w:color w:val="auto"/>
          <w:highlight w:val="none"/>
        </w:rPr>
      </w:pPr>
      <w:r>
        <w:rPr>
          <w:rFonts w:hint="eastAsia" w:ascii="宋体" w:hAnsi="宋体" w:cs="宋体"/>
          <w:color w:val="auto"/>
          <w:highlight w:val="none"/>
        </w:rPr>
        <w:t>由此产生的一切法律后果和责任由我公司承担。我公司声明放弃对此提出任何异议和追索的权利。</w:t>
      </w:r>
    </w:p>
    <w:p w14:paraId="08405566">
      <w:pPr>
        <w:wordWrap w:val="0"/>
        <w:ind w:firstLine="480" w:firstLineChars="200"/>
        <w:rPr>
          <w:rFonts w:hint="eastAsia" w:ascii="宋体" w:hAnsi="宋体" w:cs="宋体"/>
          <w:color w:val="auto"/>
          <w:highlight w:val="none"/>
        </w:rPr>
      </w:pPr>
      <w:r>
        <w:rPr>
          <w:rFonts w:hint="eastAsia" w:ascii="宋体" w:hAnsi="宋体" w:cs="宋体"/>
          <w:color w:val="auto"/>
          <w:highlight w:val="none"/>
        </w:rPr>
        <w:t>本公司对上述承诺的内容事项真实性负责。如经查实上述承诺的内容事项存在虚假，我公司愿意接受以提供虚假材料谋取中标追究法律责任。</w:t>
      </w:r>
    </w:p>
    <w:p w14:paraId="02BC0A72">
      <w:pPr>
        <w:wordWrap w:val="0"/>
        <w:rPr>
          <w:rFonts w:hint="eastAsia" w:ascii="宋体" w:hAnsi="宋体" w:cs="宋体"/>
          <w:color w:val="auto"/>
          <w:highlight w:val="none"/>
        </w:rPr>
      </w:pPr>
      <w:r>
        <w:rPr>
          <w:rFonts w:hint="eastAsia" w:ascii="宋体" w:hAnsi="宋体" w:cs="宋体"/>
          <w:color w:val="auto"/>
          <w:highlight w:val="none"/>
        </w:rPr>
        <w:t xml:space="preserve"> </w:t>
      </w:r>
    </w:p>
    <w:p w14:paraId="7AC7E8CC">
      <w:pPr>
        <w:wordWrap w:val="0"/>
        <w:rPr>
          <w:rFonts w:hint="eastAsia" w:ascii="宋体" w:hAnsi="宋体" w:cs="宋体"/>
          <w:color w:val="auto"/>
          <w:highlight w:val="none"/>
        </w:rPr>
      </w:pPr>
      <w:r>
        <w:rPr>
          <w:rFonts w:hint="eastAsia" w:ascii="宋体" w:hAnsi="宋体" w:cs="宋体"/>
          <w:color w:val="auto"/>
          <w:highlight w:val="none"/>
        </w:rPr>
        <w:t xml:space="preserve">供应商名称（盖章）：               </w:t>
      </w:r>
    </w:p>
    <w:p w14:paraId="2CEFD738">
      <w:pPr>
        <w:wordWrap w:val="0"/>
        <w:rPr>
          <w:rFonts w:hint="eastAsia" w:ascii="宋体" w:hAnsi="宋体" w:cs="宋体"/>
          <w:color w:val="auto"/>
          <w:highlight w:val="none"/>
        </w:rPr>
      </w:pPr>
      <w:r>
        <w:rPr>
          <w:rFonts w:hint="eastAsia" w:ascii="宋体" w:hAnsi="宋体" w:cs="宋体"/>
          <w:color w:val="auto"/>
          <w:highlight w:val="none"/>
        </w:rPr>
        <w:t xml:space="preserve">法定代表人（盖章）：               </w:t>
      </w:r>
    </w:p>
    <w:p w14:paraId="16C0F27E">
      <w:pPr>
        <w:wordWrap w:val="0"/>
        <w:spacing w:line="460" w:lineRule="exact"/>
        <w:rPr>
          <w:rFonts w:hint="eastAsia" w:ascii="宋体" w:hAnsi="宋体" w:cs="宋体"/>
          <w:color w:val="auto"/>
          <w:highlight w:val="none"/>
        </w:rPr>
      </w:pPr>
      <w:r>
        <w:rPr>
          <w:rFonts w:hint="eastAsia" w:ascii="宋体" w:hAnsi="宋体" w:cs="宋体"/>
          <w:color w:val="auto"/>
          <w:highlight w:val="none"/>
        </w:rPr>
        <w:t xml:space="preserve">日期：               </w:t>
      </w:r>
      <w:bookmarkStart w:id="242" w:name="_Toc144974862"/>
      <w:bookmarkEnd w:id="242"/>
      <w:bookmarkStart w:id="243" w:name="_Toc152045794"/>
      <w:bookmarkEnd w:id="243"/>
      <w:bookmarkStart w:id="244" w:name="_Toc179632814"/>
      <w:bookmarkEnd w:id="244"/>
      <w:bookmarkStart w:id="245" w:name="_Toc394651926"/>
      <w:bookmarkEnd w:id="245"/>
      <w:bookmarkStart w:id="246" w:name="_Toc246997105"/>
      <w:bookmarkEnd w:id="246"/>
      <w:bookmarkStart w:id="247" w:name="_Toc247085880"/>
      <w:bookmarkEnd w:id="247"/>
      <w:bookmarkStart w:id="248" w:name="_Toc152042583"/>
      <w:bookmarkEnd w:id="248"/>
      <w:bookmarkStart w:id="249" w:name="_Toc246996362"/>
      <w:bookmarkEnd w:id="249"/>
    </w:p>
    <w:p w14:paraId="141FFADC">
      <w:pPr>
        <w:pStyle w:val="4"/>
        <w:wordWrap w:val="0"/>
        <w:jc w:val="center"/>
        <w:rPr>
          <w:rFonts w:hint="eastAsia" w:ascii="宋体" w:hAnsi="宋体" w:eastAsia="宋体" w:cs="宋体"/>
          <w:b w:val="0"/>
          <w:bCs w:val="0"/>
          <w:color w:val="auto"/>
          <w:sz w:val="24"/>
          <w:szCs w:val="24"/>
          <w:highlight w:val="none"/>
        </w:rPr>
      </w:pPr>
      <w:r>
        <w:rPr>
          <w:rFonts w:hint="eastAsia" w:ascii="宋体" w:hAnsi="宋体" w:eastAsia="宋体" w:cs="宋体"/>
          <w:color w:val="auto"/>
          <w:sz w:val="24"/>
          <w:szCs w:val="24"/>
          <w:highlight w:val="none"/>
        </w:rPr>
        <w:br w:type="page"/>
      </w:r>
      <w:bookmarkStart w:id="250" w:name="_Toc361989462"/>
      <w:bookmarkEnd w:id="250"/>
      <w:bookmarkStart w:id="251" w:name="_Hlk3282331"/>
      <w:bookmarkEnd w:id="251"/>
      <w:bookmarkStart w:id="252" w:name="_Toc528078071"/>
      <w:bookmarkEnd w:id="252"/>
      <w:bookmarkStart w:id="253" w:name="_Toc244934212"/>
      <w:bookmarkEnd w:id="253"/>
      <w:bookmarkStart w:id="254" w:name="_Toc23028"/>
      <w:bookmarkStart w:id="255" w:name="_Toc6985"/>
      <w:bookmarkStart w:id="256" w:name="_Toc28663"/>
      <w:r>
        <w:rPr>
          <w:rFonts w:hint="eastAsia" w:ascii="宋体" w:hAnsi="宋体" w:eastAsia="宋体" w:cs="宋体"/>
          <w:color w:val="auto"/>
          <w:sz w:val="24"/>
          <w:szCs w:val="24"/>
          <w:highlight w:val="none"/>
        </w:rPr>
        <w:t>五、磋商报价明细表</w:t>
      </w:r>
      <w:bookmarkEnd w:id="254"/>
      <w:bookmarkEnd w:id="255"/>
      <w:bookmarkEnd w:id="256"/>
    </w:p>
    <w:tbl>
      <w:tblPr>
        <w:tblStyle w:val="17"/>
        <w:tblW w:w="9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9"/>
        <w:gridCol w:w="1556"/>
        <w:gridCol w:w="2230"/>
        <w:gridCol w:w="870"/>
        <w:gridCol w:w="1005"/>
        <w:gridCol w:w="1065"/>
        <w:gridCol w:w="1050"/>
        <w:gridCol w:w="855"/>
      </w:tblGrid>
      <w:tr w14:paraId="3BDE6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909" w:type="dxa"/>
            <w:noWrap w:val="0"/>
            <w:vAlign w:val="center"/>
          </w:tcPr>
          <w:p w14:paraId="5C79E67F">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序号</w:t>
            </w:r>
          </w:p>
        </w:tc>
        <w:tc>
          <w:tcPr>
            <w:tcW w:w="1556" w:type="dxa"/>
            <w:noWrap w:val="0"/>
            <w:vAlign w:val="center"/>
          </w:tcPr>
          <w:p w14:paraId="2610142A">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名称</w:t>
            </w:r>
          </w:p>
        </w:tc>
        <w:tc>
          <w:tcPr>
            <w:tcW w:w="2230" w:type="dxa"/>
            <w:noWrap w:val="0"/>
            <w:vAlign w:val="center"/>
          </w:tcPr>
          <w:p w14:paraId="076B10B8">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参数/内容</w:t>
            </w:r>
          </w:p>
        </w:tc>
        <w:tc>
          <w:tcPr>
            <w:tcW w:w="870" w:type="dxa"/>
            <w:noWrap w:val="0"/>
            <w:vAlign w:val="center"/>
          </w:tcPr>
          <w:p w14:paraId="2707F33D">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单位</w:t>
            </w:r>
          </w:p>
        </w:tc>
        <w:tc>
          <w:tcPr>
            <w:tcW w:w="1005" w:type="dxa"/>
            <w:noWrap w:val="0"/>
            <w:vAlign w:val="center"/>
          </w:tcPr>
          <w:p w14:paraId="4091DF5B">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数量</w:t>
            </w:r>
          </w:p>
        </w:tc>
        <w:tc>
          <w:tcPr>
            <w:tcW w:w="1065" w:type="dxa"/>
            <w:noWrap w:val="0"/>
            <w:vAlign w:val="center"/>
          </w:tcPr>
          <w:p w14:paraId="3E8E1F86">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单价</w:t>
            </w:r>
          </w:p>
        </w:tc>
        <w:tc>
          <w:tcPr>
            <w:tcW w:w="1050" w:type="dxa"/>
            <w:noWrap w:val="0"/>
            <w:vAlign w:val="center"/>
          </w:tcPr>
          <w:p w14:paraId="7A29A945">
            <w:pPr>
              <w:widowControl/>
              <w:jc w:val="center"/>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合计</w:t>
            </w:r>
          </w:p>
        </w:tc>
        <w:tc>
          <w:tcPr>
            <w:tcW w:w="855" w:type="dxa"/>
            <w:noWrap w:val="0"/>
            <w:vAlign w:val="center"/>
          </w:tcPr>
          <w:p w14:paraId="7932D2E7">
            <w:pPr>
              <w:widowControl/>
              <w:jc w:val="center"/>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备注</w:t>
            </w:r>
          </w:p>
        </w:tc>
      </w:tr>
      <w:tr w14:paraId="1341F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909" w:type="dxa"/>
            <w:noWrap w:val="0"/>
            <w:vAlign w:val="center"/>
          </w:tcPr>
          <w:p w14:paraId="6EBCCC23">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1556" w:type="dxa"/>
            <w:noWrap w:val="0"/>
            <w:vAlign w:val="center"/>
          </w:tcPr>
          <w:p w14:paraId="491D99EA">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 xml:space="preserve"> </w:t>
            </w:r>
          </w:p>
        </w:tc>
        <w:tc>
          <w:tcPr>
            <w:tcW w:w="2230" w:type="dxa"/>
            <w:noWrap w:val="0"/>
            <w:vAlign w:val="center"/>
          </w:tcPr>
          <w:p w14:paraId="0880AD53">
            <w:pPr>
              <w:widowControl/>
              <w:jc w:val="center"/>
              <w:textAlignment w:val="center"/>
              <w:rPr>
                <w:rFonts w:hint="eastAsia" w:ascii="宋体" w:hAnsi="宋体" w:cs="宋体"/>
                <w:color w:val="auto"/>
                <w:sz w:val="24"/>
                <w:highlight w:val="none"/>
              </w:rPr>
            </w:pPr>
          </w:p>
        </w:tc>
        <w:tc>
          <w:tcPr>
            <w:tcW w:w="870" w:type="dxa"/>
            <w:noWrap w:val="0"/>
            <w:vAlign w:val="center"/>
          </w:tcPr>
          <w:p w14:paraId="5D858070">
            <w:pPr>
              <w:widowControl/>
              <w:jc w:val="center"/>
              <w:textAlignment w:val="center"/>
              <w:rPr>
                <w:rFonts w:hint="eastAsia" w:ascii="宋体" w:hAnsi="宋体" w:cs="宋体"/>
                <w:color w:val="auto"/>
                <w:sz w:val="24"/>
                <w:highlight w:val="none"/>
              </w:rPr>
            </w:pPr>
          </w:p>
        </w:tc>
        <w:tc>
          <w:tcPr>
            <w:tcW w:w="1005" w:type="dxa"/>
            <w:noWrap w:val="0"/>
            <w:vAlign w:val="center"/>
          </w:tcPr>
          <w:p w14:paraId="3C22F1B1">
            <w:pPr>
              <w:widowControl/>
              <w:jc w:val="center"/>
              <w:textAlignment w:val="center"/>
              <w:rPr>
                <w:rFonts w:hint="eastAsia" w:ascii="宋体" w:hAnsi="宋体" w:cs="宋体"/>
                <w:color w:val="auto"/>
                <w:sz w:val="24"/>
                <w:highlight w:val="none"/>
              </w:rPr>
            </w:pPr>
          </w:p>
        </w:tc>
        <w:tc>
          <w:tcPr>
            <w:tcW w:w="1065" w:type="dxa"/>
            <w:noWrap w:val="0"/>
            <w:vAlign w:val="center"/>
          </w:tcPr>
          <w:p w14:paraId="6434FE80">
            <w:pPr>
              <w:jc w:val="center"/>
              <w:rPr>
                <w:rFonts w:hint="eastAsia" w:ascii="宋体" w:hAnsi="宋体" w:cs="宋体"/>
                <w:color w:val="auto"/>
                <w:sz w:val="24"/>
                <w:highlight w:val="none"/>
              </w:rPr>
            </w:pPr>
          </w:p>
        </w:tc>
        <w:tc>
          <w:tcPr>
            <w:tcW w:w="1050" w:type="dxa"/>
            <w:noWrap w:val="0"/>
            <w:vAlign w:val="center"/>
          </w:tcPr>
          <w:p w14:paraId="037B873F">
            <w:pPr>
              <w:jc w:val="center"/>
              <w:rPr>
                <w:rFonts w:hint="eastAsia" w:ascii="宋体" w:hAnsi="宋体" w:cs="宋体"/>
                <w:color w:val="auto"/>
                <w:sz w:val="24"/>
                <w:highlight w:val="none"/>
              </w:rPr>
            </w:pPr>
          </w:p>
        </w:tc>
        <w:tc>
          <w:tcPr>
            <w:tcW w:w="855" w:type="dxa"/>
            <w:noWrap w:val="0"/>
            <w:vAlign w:val="center"/>
          </w:tcPr>
          <w:p w14:paraId="05FC19C0">
            <w:pPr>
              <w:jc w:val="center"/>
              <w:rPr>
                <w:rFonts w:hint="eastAsia" w:ascii="宋体" w:hAnsi="宋体" w:cs="宋体"/>
                <w:color w:val="auto"/>
                <w:sz w:val="24"/>
                <w:highlight w:val="none"/>
              </w:rPr>
            </w:pPr>
          </w:p>
        </w:tc>
      </w:tr>
      <w:tr w14:paraId="68133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909" w:type="dxa"/>
            <w:noWrap w:val="0"/>
            <w:vAlign w:val="center"/>
          </w:tcPr>
          <w:p w14:paraId="2A006225">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w:t>
            </w:r>
          </w:p>
        </w:tc>
        <w:tc>
          <w:tcPr>
            <w:tcW w:w="1556" w:type="dxa"/>
            <w:noWrap w:val="0"/>
            <w:vAlign w:val="center"/>
          </w:tcPr>
          <w:p w14:paraId="67FE2CE9">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 xml:space="preserve"> </w:t>
            </w:r>
          </w:p>
        </w:tc>
        <w:tc>
          <w:tcPr>
            <w:tcW w:w="2230" w:type="dxa"/>
            <w:noWrap w:val="0"/>
            <w:vAlign w:val="center"/>
          </w:tcPr>
          <w:p w14:paraId="4ABBEE36">
            <w:pPr>
              <w:widowControl/>
              <w:jc w:val="center"/>
              <w:textAlignment w:val="center"/>
              <w:rPr>
                <w:rFonts w:hint="eastAsia" w:ascii="宋体" w:hAnsi="宋体" w:cs="宋体"/>
                <w:color w:val="auto"/>
                <w:sz w:val="24"/>
                <w:highlight w:val="none"/>
              </w:rPr>
            </w:pPr>
          </w:p>
        </w:tc>
        <w:tc>
          <w:tcPr>
            <w:tcW w:w="870" w:type="dxa"/>
            <w:noWrap w:val="0"/>
            <w:vAlign w:val="center"/>
          </w:tcPr>
          <w:p w14:paraId="5E542AD9">
            <w:pPr>
              <w:widowControl/>
              <w:jc w:val="center"/>
              <w:textAlignment w:val="center"/>
              <w:rPr>
                <w:rFonts w:hint="eastAsia" w:ascii="宋体" w:hAnsi="宋体" w:cs="宋体"/>
                <w:color w:val="auto"/>
                <w:sz w:val="24"/>
                <w:highlight w:val="none"/>
              </w:rPr>
            </w:pPr>
          </w:p>
        </w:tc>
        <w:tc>
          <w:tcPr>
            <w:tcW w:w="1005" w:type="dxa"/>
            <w:noWrap w:val="0"/>
            <w:vAlign w:val="center"/>
          </w:tcPr>
          <w:p w14:paraId="52BB9470">
            <w:pPr>
              <w:widowControl/>
              <w:jc w:val="center"/>
              <w:textAlignment w:val="center"/>
              <w:rPr>
                <w:rFonts w:hint="eastAsia" w:ascii="宋体" w:hAnsi="宋体" w:cs="宋体"/>
                <w:color w:val="auto"/>
                <w:sz w:val="24"/>
                <w:highlight w:val="none"/>
              </w:rPr>
            </w:pPr>
          </w:p>
        </w:tc>
        <w:tc>
          <w:tcPr>
            <w:tcW w:w="1065" w:type="dxa"/>
            <w:noWrap w:val="0"/>
            <w:vAlign w:val="center"/>
          </w:tcPr>
          <w:p w14:paraId="4C226438">
            <w:pPr>
              <w:jc w:val="center"/>
              <w:rPr>
                <w:rFonts w:hint="eastAsia" w:ascii="宋体" w:hAnsi="宋体" w:cs="宋体"/>
                <w:color w:val="auto"/>
                <w:sz w:val="24"/>
                <w:highlight w:val="none"/>
              </w:rPr>
            </w:pPr>
          </w:p>
        </w:tc>
        <w:tc>
          <w:tcPr>
            <w:tcW w:w="1050" w:type="dxa"/>
            <w:noWrap w:val="0"/>
            <w:vAlign w:val="center"/>
          </w:tcPr>
          <w:p w14:paraId="24172BD6">
            <w:pPr>
              <w:jc w:val="center"/>
              <w:rPr>
                <w:rFonts w:hint="eastAsia" w:ascii="宋体" w:hAnsi="宋体" w:cs="宋体"/>
                <w:color w:val="auto"/>
                <w:sz w:val="24"/>
                <w:highlight w:val="none"/>
              </w:rPr>
            </w:pPr>
          </w:p>
        </w:tc>
        <w:tc>
          <w:tcPr>
            <w:tcW w:w="855" w:type="dxa"/>
            <w:noWrap w:val="0"/>
            <w:vAlign w:val="center"/>
          </w:tcPr>
          <w:p w14:paraId="0E2226A6">
            <w:pPr>
              <w:jc w:val="center"/>
              <w:rPr>
                <w:rFonts w:hint="eastAsia" w:ascii="宋体" w:hAnsi="宋体" w:cs="宋体"/>
                <w:color w:val="auto"/>
                <w:sz w:val="24"/>
                <w:highlight w:val="none"/>
              </w:rPr>
            </w:pPr>
          </w:p>
        </w:tc>
      </w:tr>
      <w:tr w14:paraId="017C5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909" w:type="dxa"/>
            <w:noWrap w:val="0"/>
            <w:vAlign w:val="center"/>
          </w:tcPr>
          <w:p w14:paraId="6308C7E9">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3</w:t>
            </w:r>
          </w:p>
        </w:tc>
        <w:tc>
          <w:tcPr>
            <w:tcW w:w="1556" w:type="dxa"/>
            <w:noWrap w:val="0"/>
            <w:vAlign w:val="center"/>
          </w:tcPr>
          <w:p w14:paraId="6BC29669">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 xml:space="preserve"> </w:t>
            </w:r>
          </w:p>
        </w:tc>
        <w:tc>
          <w:tcPr>
            <w:tcW w:w="2230" w:type="dxa"/>
            <w:noWrap w:val="0"/>
            <w:vAlign w:val="center"/>
          </w:tcPr>
          <w:p w14:paraId="62FC5B81">
            <w:pPr>
              <w:widowControl/>
              <w:jc w:val="center"/>
              <w:textAlignment w:val="center"/>
              <w:rPr>
                <w:rFonts w:hint="eastAsia" w:ascii="宋体" w:hAnsi="宋体" w:cs="宋体"/>
                <w:color w:val="auto"/>
                <w:sz w:val="24"/>
                <w:highlight w:val="none"/>
              </w:rPr>
            </w:pPr>
          </w:p>
        </w:tc>
        <w:tc>
          <w:tcPr>
            <w:tcW w:w="870" w:type="dxa"/>
            <w:noWrap w:val="0"/>
            <w:vAlign w:val="center"/>
          </w:tcPr>
          <w:p w14:paraId="5C4D39F1">
            <w:pPr>
              <w:widowControl/>
              <w:jc w:val="center"/>
              <w:textAlignment w:val="center"/>
              <w:rPr>
                <w:rFonts w:hint="eastAsia" w:ascii="宋体" w:hAnsi="宋体" w:cs="宋体"/>
                <w:color w:val="auto"/>
                <w:sz w:val="24"/>
                <w:highlight w:val="none"/>
              </w:rPr>
            </w:pPr>
          </w:p>
        </w:tc>
        <w:tc>
          <w:tcPr>
            <w:tcW w:w="1005" w:type="dxa"/>
            <w:noWrap w:val="0"/>
            <w:vAlign w:val="center"/>
          </w:tcPr>
          <w:p w14:paraId="047AD2BD">
            <w:pPr>
              <w:widowControl/>
              <w:jc w:val="center"/>
              <w:textAlignment w:val="center"/>
              <w:rPr>
                <w:rFonts w:hint="eastAsia" w:ascii="宋体" w:hAnsi="宋体" w:cs="宋体"/>
                <w:color w:val="auto"/>
                <w:sz w:val="24"/>
                <w:highlight w:val="none"/>
              </w:rPr>
            </w:pPr>
          </w:p>
        </w:tc>
        <w:tc>
          <w:tcPr>
            <w:tcW w:w="1065" w:type="dxa"/>
            <w:noWrap w:val="0"/>
            <w:vAlign w:val="center"/>
          </w:tcPr>
          <w:p w14:paraId="4E4895F0">
            <w:pPr>
              <w:jc w:val="center"/>
              <w:rPr>
                <w:rFonts w:hint="eastAsia" w:ascii="宋体" w:hAnsi="宋体" w:cs="宋体"/>
                <w:color w:val="auto"/>
                <w:sz w:val="24"/>
                <w:highlight w:val="none"/>
              </w:rPr>
            </w:pPr>
          </w:p>
        </w:tc>
        <w:tc>
          <w:tcPr>
            <w:tcW w:w="1050" w:type="dxa"/>
            <w:noWrap w:val="0"/>
            <w:vAlign w:val="center"/>
          </w:tcPr>
          <w:p w14:paraId="76ED2038">
            <w:pPr>
              <w:jc w:val="center"/>
              <w:rPr>
                <w:rFonts w:hint="eastAsia" w:ascii="宋体" w:hAnsi="宋体" w:cs="宋体"/>
                <w:color w:val="auto"/>
                <w:sz w:val="24"/>
                <w:highlight w:val="none"/>
              </w:rPr>
            </w:pPr>
          </w:p>
        </w:tc>
        <w:tc>
          <w:tcPr>
            <w:tcW w:w="855" w:type="dxa"/>
            <w:noWrap w:val="0"/>
            <w:vAlign w:val="center"/>
          </w:tcPr>
          <w:p w14:paraId="1BD76421">
            <w:pPr>
              <w:jc w:val="center"/>
              <w:rPr>
                <w:rFonts w:hint="eastAsia" w:ascii="宋体" w:hAnsi="宋体" w:cs="宋体"/>
                <w:color w:val="auto"/>
                <w:sz w:val="24"/>
                <w:highlight w:val="none"/>
              </w:rPr>
            </w:pPr>
          </w:p>
        </w:tc>
      </w:tr>
      <w:tr w14:paraId="5BBE7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909" w:type="dxa"/>
            <w:noWrap w:val="0"/>
            <w:vAlign w:val="center"/>
          </w:tcPr>
          <w:p w14:paraId="43E5A8BC">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4</w:t>
            </w:r>
          </w:p>
        </w:tc>
        <w:tc>
          <w:tcPr>
            <w:tcW w:w="1556" w:type="dxa"/>
            <w:noWrap w:val="0"/>
            <w:vAlign w:val="center"/>
          </w:tcPr>
          <w:p w14:paraId="7FC831A1">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 xml:space="preserve"> </w:t>
            </w:r>
          </w:p>
        </w:tc>
        <w:tc>
          <w:tcPr>
            <w:tcW w:w="2230" w:type="dxa"/>
            <w:noWrap w:val="0"/>
            <w:vAlign w:val="center"/>
          </w:tcPr>
          <w:p w14:paraId="41694DF7">
            <w:pPr>
              <w:widowControl/>
              <w:jc w:val="center"/>
              <w:textAlignment w:val="center"/>
              <w:rPr>
                <w:rFonts w:hint="eastAsia" w:ascii="宋体" w:hAnsi="宋体" w:cs="宋体"/>
                <w:color w:val="auto"/>
                <w:sz w:val="24"/>
                <w:highlight w:val="none"/>
              </w:rPr>
            </w:pPr>
          </w:p>
        </w:tc>
        <w:tc>
          <w:tcPr>
            <w:tcW w:w="870" w:type="dxa"/>
            <w:noWrap w:val="0"/>
            <w:vAlign w:val="center"/>
          </w:tcPr>
          <w:p w14:paraId="2ADA66FA">
            <w:pPr>
              <w:widowControl/>
              <w:jc w:val="center"/>
              <w:textAlignment w:val="center"/>
              <w:rPr>
                <w:rFonts w:hint="eastAsia" w:ascii="宋体" w:hAnsi="宋体" w:cs="宋体"/>
                <w:color w:val="auto"/>
                <w:sz w:val="24"/>
                <w:highlight w:val="none"/>
              </w:rPr>
            </w:pPr>
          </w:p>
        </w:tc>
        <w:tc>
          <w:tcPr>
            <w:tcW w:w="1005" w:type="dxa"/>
            <w:noWrap w:val="0"/>
            <w:vAlign w:val="center"/>
          </w:tcPr>
          <w:p w14:paraId="7A71590E">
            <w:pPr>
              <w:widowControl/>
              <w:jc w:val="center"/>
              <w:textAlignment w:val="center"/>
              <w:rPr>
                <w:rFonts w:hint="eastAsia" w:ascii="宋体" w:hAnsi="宋体" w:cs="宋体"/>
                <w:color w:val="auto"/>
                <w:sz w:val="24"/>
                <w:highlight w:val="none"/>
              </w:rPr>
            </w:pPr>
          </w:p>
        </w:tc>
        <w:tc>
          <w:tcPr>
            <w:tcW w:w="1065" w:type="dxa"/>
            <w:noWrap w:val="0"/>
            <w:vAlign w:val="center"/>
          </w:tcPr>
          <w:p w14:paraId="4540C75E">
            <w:pPr>
              <w:jc w:val="center"/>
              <w:rPr>
                <w:rFonts w:hint="eastAsia" w:ascii="宋体" w:hAnsi="宋体" w:cs="宋体"/>
                <w:color w:val="auto"/>
                <w:sz w:val="24"/>
                <w:highlight w:val="none"/>
              </w:rPr>
            </w:pPr>
          </w:p>
        </w:tc>
        <w:tc>
          <w:tcPr>
            <w:tcW w:w="1050" w:type="dxa"/>
            <w:noWrap w:val="0"/>
            <w:vAlign w:val="center"/>
          </w:tcPr>
          <w:p w14:paraId="6A3A3717">
            <w:pPr>
              <w:jc w:val="center"/>
              <w:rPr>
                <w:rFonts w:hint="eastAsia" w:ascii="宋体" w:hAnsi="宋体" w:cs="宋体"/>
                <w:color w:val="auto"/>
                <w:sz w:val="24"/>
                <w:highlight w:val="none"/>
              </w:rPr>
            </w:pPr>
          </w:p>
        </w:tc>
        <w:tc>
          <w:tcPr>
            <w:tcW w:w="855" w:type="dxa"/>
            <w:noWrap w:val="0"/>
            <w:vAlign w:val="center"/>
          </w:tcPr>
          <w:p w14:paraId="60E1757B">
            <w:pPr>
              <w:jc w:val="center"/>
              <w:rPr>
                <w:rFonts w:hint="eastAsia" w:ascii="宋体" w:hAnsi="宋体" w:cs="宋体"/>
                <w:color w:val="auto"/>
                <w:sz w:val="24"/>
                <w:highlight w:val="none"/>
              </w:rPr>
            </w:pPr>
          </w:p>
        </w:tc>
      </w:tr>
      <w:tr w14:paraId="0B578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909" w:type="dxa"/>
            <w:noWrap w:val="0"/>
            <w:vAlign w:val="center"/>
          </w:tcPr>
          <w:p w14:paraId="408E0BEE">
            <w:pPr>
              <w:widowControl/>
              <w:jc w:val="center"/>
              <w:textAlignment w:val="center"/>
              <w:rPr>
                <w:rFonts w:hint="eastAsia" w:ascii="宋体" w:hAnsi="宋体" w:cs="宋体"/>
                <w:color w:val="auto"/>
                <w:sz w:val="24"/>
                <w:highlight w:val="none"/>
              </w:rPr>
            </w:pPr>
            <w:r>
              <w:rPr>
                <w:rFonts w:hint="eastAsia" w:ascii="宋体" w:hAnsi="宋体" w:cs="宋体"/>
                <w:color w:val="auto"/>
                <w:sz w:val="24"/>
                <w:highlight w:val="none"/>
              </w:rPr>
              <w:t>...</w:t>
            </w:r>
          </w:p>
        </w:tc>
        <w:tc>
          <w:tcPr>
            <w:tcW w:w="1556" w:type="dxa"/>
            <w:noWrap w:val="0"/>
            <w:vAlign w:val="center"/>
          </w:tcPr>
          <w:p w14:paraId="2BD150C8">
            <w:pPr>
              <w:widowControl/>
              <w:jc w:val="center"/>
              <w:textAlignment w:val="center"/>
              <w:rPr>
                <w:rFonts w:hint="eastAsia" w:ascii="宋体" w:hAnsi="宋体" w:cs="宋体"/>
                <w:color w:val="auto"/>
                <w:sz w:val="24"/>
                <w:highlight w:val="none"/>
              </w:rPr>
            </w:pPr>
          </w:p>
        </w:tc>
        <w:tc>
          <w:tcPr>
            <w:tcW w:w="2230" w:type="dxa"/>
            <w:noWrap w:val="0"/>
            <w:vAlign w:val="center"/>
          </w:tcPr>
          <w:p w14:paraId="25392B77">
            <w:pPr>
              <w:widowControl/>
              <w:jc w:val="center"/>
              <w:textAlignment w:val="center"/>
              <w:rPr>
                <w:rFonts w:hint="eastAsia" w:ascii="宋体" w:hAnsi="宋体" w:cs="宋体"/>
                <w:color w:val="auto"/>
                <w:sz w:val="24"/>
                <w:highlight w:val="none"/>
              </w:rPr>
            </w:pPr>
          </w:p>
        </w:tc>
        <w:tc>
          <w:tcPr>
            <w:tcW w:w="870" w:type="dxa"/>
            <w:noWrap w:val="0"/>
            <w:vAlign w:val="center"/>
          </w:tcPr>
          <w:p w14:paraId="764AB299">
            <w:pPr>
              <w:widowControl/>
              <w:jc w:val="center"/>
              <w:textAlignment w:val="center"/>
              <w:rPr>
                <w:rFonts w:hint="eastAsia" w:ascii="宋体" w:hAnsi="宋体" w:cs="宋体"/>
                <w:color w:val="auto"/>
                <w:sz w:val="24"/>
                <w:highlight w:val="none"/>
              </w:rPr>
            </w:pPr>
          </w:p>
        </w:tc>
        <w:tc>
          <w:tcPr>
            <w:tcW w:w="1005" w:type="dxa"/>
            <w:noWrap w:val="0"/>
            <w:vAlign w:val="center"/>
          </w:tcPr>
          <w:p w14:paraId="285D878E">
            <w:pPr>
              <w:widowControl/>
              <w:jc w:val="center"/>
              <w:textAlignment w:val="center"/>
              <w:rPr>
                <w:rFonts w:hint="eastAsia" w:ascii="宋体" w:hAnsi="宋体" w:cs="宋体"/>
                <w:color w:val="auto"/>
                <w:sz w:val="24"/>
                <w:highlight w:val="none"/>
              </w:rPr>
            </w:pPr>
          </w:p>
        </w:tc>
        <w:tc>
          <w:tcPr>
            <w:tcW w:w="1065" w:type="dxa"/>
            <w:noWrap w:val="0"/>
            <w:vAlign w:val="center"/>
          </w:tcPr>
          <w:p w14:paraId="3E7692C6">
            <w:pPr>
              <w:jc w:val="center"/>
              <w:rPr>
                <w:rFonts w:hint="eastAsia" w:ascii="宋体" w:hAnsi="宋体" w:cs="宋体"/>
                <w:color w:val="auto"/>
                <w:sz w:val="24"/>
                <w:highlight w:val="none"/>
              </w:rPr>
            </w:pPr>
          </w:p>
        </w:tc>
        <w:tc>
          <w:tcPr>
            <w:tcW w:w="1050" w:type="dxa"/>
            <w:noWrap w:val="0"/>
            <w:vAlign w:val="center"/>
          </w:tcPr>
          <w:p w14:paraId="76993A08">
            <w:pPr>
              <w:jc w:val="center"/>
              <w:rPr>
                <w:rFonts w:hint="eastAsia" w:ascii="宋体" w:hAnsi="宋体" w:cs="宋体"/>
                <w:color w:val="auto"/>
                <w:sz w:val="24"/>
                <w:highlight w:val="none"/>
              </w:rPr>
            </w:pPr>
          </w:p>
        </w:tc>
        <w:tc>
          <w:tcPr>
            <w:tcW w:w="855" w:type="dxa"/>
            <w:noWrap w:val="0"/>
            <w:vAlign w:val="center"/>
          </w:tcPr>
          <w:p w14:paraId="69FAF83D">
            <w:pPr>
              <w:jc w:val="center"/>
              <w:rPr>
                <w:rFonts w:hint="eastAsia" w:ascii="宋体" w:hAnsi="宋体" w:cs="宋体"/>
                <w:color w:val="auto"/>
                <w:sz w:val="24"/>
                <w:highlight w:val="none"/>
              </w:rPr>
            </w:pPr>
          </w:p>
        </w:tc>
      </w:tr>
      <w:tr w14:paraId="2A414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635" w:type="dxa"/>
            <w:gridSpan w:val="6"/>
            <w:noWrap w:val="0"/>
            <w:vAlign w:val="center"/>
          </w:tcPr>
          <w:p w14:paraId="31218531">
            <w:pPr>
              <w:jc w:val="center"/>
              <w:rPr>
                <w:rFonts w:hint="eastAsia" w:ascii="宋体" w:hAnsi="宋体" w:cs="宋体"/>
                <w:color w:val="auto"/>
                <w:sz w:val="24"/>
                <w:highlight w:val="none"/>
              </w:rPr>
            </w:pPr>
            <w:r>
              <w:rPr>
                <w:rFonts w:hint="eastAsia" w:ascii="宋体" w:hAnsi="宋体" w:cs="宋体"/>
                <w:color w:val="auto"/>
                <w:kern w:val="0"/>
                <w:sz w:val="24"/>
                <w:highlight w:val="none"/>
                <w:lang w:bidi="ar"/>
              </w:rPr>
              <w:t>合计：</w:t>
            </w:r>
          </w:p>
        </w:tc>
        <w:tc>
          <w:tcPr>
            <w:tcW w:w="1050" w:type="dxa"/>
            <w:noWrap w:val="0"/>
            <w:vAlign w:val="center"/>
          </w:tcPr>
          <w:p w14:paraId="18F956A4">
            <w:pPr>
              <w:jc w:val="center"/>
              <w:rPr>
                <w:rFonts w:hint="eastAsia" w:ascii="宋体" w:hAnsi="宋体" w:cs="宋体"/>
                <w:color w:val="auto"/>
                <w:sz w:val="24"/>
                <w:highlight w:val="none"/>
              </w:rPr>
            </w:pPr>
          </w:p>
        </w:tc>
        <w:tc>
          <w:tcPr>
            <w:tcW w:w="855" w:type="dxa"/>
            <w:noWrap w:val="0"/>
            <w:vAlign w:val="center"/>
          </w:tcPr>
          <w:p w14:paraId="48ED917A">
            <w:pPr>
              <w:jc w:val="center"/>
              <w:rPr>
                <w:rFonts w:hint="eastAsia" w:ascii="宋体" w:hAnsi="宋体" w:cs="宋体"/>
                <w:color w:val="auto"/>
                <w:sz w:val="24"/>
                <w:highlight w:val="none"/>
              </w:rPr>
            </w:pPr>
          </w:p>
        </w:tc>
      </w:tr>
    </w:tbl>
    <w:p w14:paraId="7F3E9CFD">
      <w:pPr>
        <w:wordWrap w:val="0"/>
        <w:spacing w:line="480" w:lineRule="exact"/>
        <w:rPr>
          <w:rFonts w:hint="eastAsia" w:ascii="宋体" w:hAnsi="宋体" w:cs="宋体"/>
          <w:color w:val="auto"/>
          <w:highlight w:val="none"/>
        </w:rPr>
      </w:pPr>
      <w:r>
        <w:rPr>
          <w:rFonts w:hint="eastAsia" w:ascii="宋体" w:hAnsi="宋体" w:cs="宋体"/>
          <w:color w:val="auto"/>
          <w:highlight w:val="none"/>
        </w:rPr>
        <w:t>供应商名称（盖章）：</w:t>
      </w:r>
      <w:bookmarkStart w:id="257" w:name="_Hlk522286805"/>
      <w:bookmarkEnd w:id="257"/>
    </w:p>
    <w:p w14:paraId="5BC889FB">
      <w:pPr>
        <w:wordWrap w:val="0"/>
        <w:spacing w:line="480" w:lineRule="exact"/>
        <w:rPr>
          <w:rFonts w:hint="eastAsia" w:ascii="宋体" w:hAnsi="宋体" w:cs="宋体"/>
          <w:color w:val="auto"/>
          <w:highlight w:val="none"/>
        </w:rPr>
      </w:pPr>
      <w:r>
        <w:rPr>
          <w:rFonts w:hint="eastAsia" w:ascii="宋体" w:hAnsi="宋体" w:cs="宋体"/>
          <w:color w:val="auto"/>
          <w:highlight w:val="none"/>
        </w:rPr>
        <w:t>法定代表人（盖章）：</w:t>
      </w:r>
    </w:p>
    <w:p w14:paraId="25861538">
      <w:pPr>
        <w:wordWrap w:val="0"/>
        <w:spacing w:line="480" w:lineRule="exact"/>
        <w:rPr>
          <w:rFonts w:hint="eastAsia" w:ascii="宋体" w:hAnsi="宋体" w:cs="宋体"/>
          <w:color w:val="auto"/>
          <w:highlight w:val="none"/>
        </w:rPr>
      </w:pPr>
      <w:r>
        <w:rPr>
          <w:rFonts w:hint="eastAsia" w:ascii="宋体" w:hAnsi="宋体" w:cs="宋体"/>
          <w:color w:val="auto"/>
          <w:highlight w:val="none"/>
        </w:rPr>
        <w:t>日期：年月日</w:t>
      </w:r>
    </w:p>
    <w:p w14:paraId="1C8A6941">
      <w:pPr>
        <w:pStyle w:val="4"/>
        <w:wordWrap w:val="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br w:type="page"/>
      </w:r>
      <w:bookmarkStart w:id="258" w:name="_Toc361989463"/>
      <w:bookmarkEnd w:id="258"/>
      <w:bookmarkStart w:id="259" w:name="_Toc244934213"/>
      <w:bookmarkEnd w:id="259"/>
      <w:bookmarkStart w:id="260" w:name="_Toc25298"/>
      <w:bookmarkStart w:id="261" w:name="_Toc17010"/>
      <w:bookmarkStart w:id="262" w:name="_Toc10655"/>
    </w:p>
    <w:p w14:paraId="5B766D47">
      <w:pPr>
        <w:pStyle w:val="4"/>
        <w:wordWrap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六、技术规格偏离表</w:t>
      </w:r>
    </w:p>
    <w:tbl>
      <w:tblPr>
        <w:tblStyle w:val="17"/>
        <w:tblW w:w="95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1573"/>
        <w:gridCol w:w="1516"/>
        <w:gridCol w:w="2000"/>
        <w:gridCol w:w="1833"/>
        <w:gridCol w:w="1833"/>
      </w:tblGrid>
      <w:tr w14:paraId="33831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jc w:val="center"/>
        </w:trPr>
        <w:tc>
          <w:tcPr>
            <w:tcW w:w="748" w:type="dxa"/>
            <w:tcBorders>
              <w:top w:val="double" w:color="auto" w:sz="4" w:space="0"/>
              <w:left w:val="double" w:color="auto" w:sz="4" w:space="0"/>
            </w:tcBorders>
            <w:noWrap w:val="0"/>
            <w:vAlign w:val="center"/>
          </w:tcPr>
          <w:p w14:paraId="66D90405">
            <w:pPr>
              <w:spacing w:line="400" w:lineRule="exact"/>
              <w:ind w:left="-141" w:right="-122" w:rightChars="-51"/>
              <w:jc w:val="center"/>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序号</w:t>
            </w:r>
          </w:p>
        </w:tc>
        <w:tc>
          <w:tcPr>
            <w:tcW w:w="1573" w:type="dxa"/>
            <w:tcBorders>
              <w:top w:val="double" w:color="auto" w:sz="4" w:space="0"/>
            </w:tcBorders>
            <w:noWrap w:val="0"/>
            <w:vAlign w:val="center"/>
          </w:tcPr>
          <w:p w14:paraId="7B3E9E96">
            <w:pPr>
              <w:spacing w:line="400" w:lineRule="exact"/>
              <w:jc w:val="center"/>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货物名称</w:t>
            </w:r>
          </w:p>
        </w:tc>
        <w:tc>
          <w:tcPr>
            <w:tcW w:w="1516" w:type="dxa"/>
            <w:tcBorders>
              <w:top w:val="double" w:color="auto" w:sz="4" w:space="0"/>
            </w:tcBorders>
            <w:noWrap w:val="0"/>
            <w:vAlign w:val="center"/>
          </w:tcPr>
          <w:p w14:paraId="25BCE063">
            <w:pPr>
              <w:widowControl/>
              <w:spacing w:line="400" w:lineRule="exact"/>
              <w:jc w:val="both"/>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招标要求规格或参数</w:t>
            </w:r>
          </w:p>
        </w:tc>
        <w:tc>
          <w:tcPr>
            <w:tcW w:w="2000" w:type="dxa"/>
            <w:tcBorders>
              <w:top w:val="double" w:color="auto" w:sz="4" w:space="0"/>
            </w:tcBorders>
            <w:noWrap w:val="0"/>
            <w:vAlign w:val="center"/>
          </w:tcPr>
          <w:p w14:paraId="42EDD78C">
            <w:pPr>
              <w:widowControl/>
              <w:spacing w:line="400" w:lineRule="exact"/>
              <w:jc w:val="both"/>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货物规格或参数</w:t>
            </w:r>
          </w:p>
        </w:tc>
        <w:tc>
          <w:tcPr>
            <w:tcW w:w="1833" w:type="dxa"/>
            <w:tcBorders>
              <w:top w:val="double" w:color="auto" w:sz="4" w:space="0"/>
            </w:tcBorders>
            <w:noWrap w:val="0"/>
            <w:vAlign w:val="center"/>
          </w:tcPr>
          <w:p w14:paraId="19EF6AC4">
            <w:pPr>
              <w:widowControl/>
              <w:spacing w:line="400" w:lineRule="exact"/>
              <w:jc w:val="center"/>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偏离 (正/负）</w:t>
            </w:r>
          </w:p>
        </w:tc>
        <w:tc>
          <w:tcPr>
            <w:tcW w:w="1833" w:type="dxa"/>
            <w:tcBorders>
              <w:top w:val="double" w:color="auto" w:sz="4" w:space="0"/>
              <w:right w:val="double" w:color="auto" w:sz="4" w:space="0"/>
            </w:tcBorders>
            <w:noWrap w:val="0"/>
            <w:vAlign w:val="center"/>
          </w:tcPr>
          <w:p w14:paraId="60400BE3">
            <w:pPr>
              <w:widowControl/>
              <w:spacing w:line="400" w:lineRule="exact"/>
              <w:jc w:val="center"/>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偏离说明</w:t>
            </w:r>
          </w:p>
        </w:tc>
      </w:tr>
      <w:tr w14:paraId="7E9F9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7" w:hRule="atLeast"/>
          <w:jc w:val="center"/>
        </w:trPr>
        <w:tc>
          <w:tcPr>
            <w:tcW w:w="748" w:type="dxa"/>
            <w:tcBorders>
              <w:left w:val="double" w:color="auto" w:sz="4" w:space="0"/>
            </w:tcBorders>
            <w:noWrap w:val="0"/>
            <w:vAlign w:val="center"/>
          </w:tcPr>
          <w:p w14:paraId="6FCBDA4D">
            <w:pPr>
              <w:spacing w:line="400" w:lineRule="exact"/>
              <w:jc w:val="center"/>
              <w:rPr>
                <w:rFonts w:hint="eastAsia" w:ascii="宋体" w:hAnsi="宋体" w:cs="宋体"/>
                <w:color w:val="auto"/>
                <w:sz w:val="24"/>
                <w:szCs w:val="22"/>
                <w:highlight w:val="none"/>
                <w:lang w:eastAsia="zh-CN"/>
              </w:rPr>
            </w:pPr>
            <w:r>
              <w:rPr>
                <w:rFonts w:hint="eastAsia" w:ascii="宋体" w:hAnsi="宋体" w:cs="宋体"/>
                <w:color w:val="auto"/>
                <w:sz w:val="24"/>
                <w:szCs w:val="22"/>
                <w:highlight w:val="none"/>
                <w:lang w:val="en-US" w:eastAsia="zh-CN"/>
              </w:rPr>
              <w:t>1</w:t>
            </w:r>
          </w:p>
        </w:tc>
        <w:tc>
          <w:tcPr>
            <w:tcW w:w="1573" w:type="dxa"/>
            <w:noWrap w:val="0"/>
            <w:vAlign w:val="center"/>
          </w:tcPr>
          <w:p w14:paraId="67181D43">
            <w:pPr>
              <w:spacing w:line="400" w:lineRule="exact"/>
              <w:jc w:val="center"/>
              <w:rPr>
                <w:rFonts w:hint="default" w:ascii="宋体" w:hAnsi="宋体" w:eastAsia="宋体" w:cs="宋体"/>
                <w:color w:val="auto"/>
                <w:sz w:val="24"/>
                <w:highlight w:val="none"/>
                <w:lang w:val="en-US" w:eastAsia="zh-CN"/>
              </w:rPr>
            </w:pPr>
          </w:p>
        </w:tc>
        <w:tc>
          <w:tcPr>
            <w:tcW w:w="1516" w:type="dxa"/>
            <w:noWrap w:val="0"/>
            <w:vAlign w:val="center"/>
          </w:tcPr>
          <w:p w14:paraId="71815C30">
            <w:pPr>
              <w:spacing w:line="400" w:lineRule="exact"/>
              <w:jc w:val="center"/>
              <w:rPr>
                <w:color w:val="auto"/>
                <w:sz w:val="24"/>
                <w:highlight w:val="none"/>
              </w:rPr>
            </w:pPr>
          </w:p>
        </w:tc>
        <w:tc>
          <w:tcPr>
            <w:tcW w:w="2000" w:type="dxa"/>
            <w:noWrap w:val="0"/>
            <w:vAlign w:val="center"/>
          </w:tcPr>
          <w:p w14:paraId="065836DF">
            <w:pPr>
              <w:spacing w:line="400" w:lineRule="exact"/>
              <w:jc w:val="center"/>
              <w:rPr>
                <w:color w:val="auto"/>
                <w:sz w:val="24"/>
                <w:highlight w:val="none"/>
              </w:rPr>
            </w:pPr>
          </w:p>
        </w:tc>
        <w:tc>
          <w:tcPr>
            <w:tcW w:w="1833" w:type="dxa"/>
            <w:noWrap w:val="0"/>
            <w:vAlign w:val="center"/>
          </w:tcPr>
          <w:p w14:paraId="32ECE1E1">
            <w:pPr>
              <w:spacing w:line="400" w:lineRule="exact"/>
              <w:jc w:val="center"/>
              <w:rPr>
                <w:color w:val="auto"/>
                <w:sz w:val="24"/>
                <w:highlight w:val="none"/>
              </w:rPr>
            </w:pPr>
          </w:p>
        </w:tc>
        <w:tc>
          <w:tcPr>
            <w:tcW w:w="1833" w:type="dxa"/>
            <w:tcBorders>
              <w:right w:val="double" w:color="auto" w:sz="4" w:space="0"/>
            </w:tcBorders>
            <w:noWrap w:val="0"/>
            <w:vAlign w:val="center"/>
          </w:tcPr>
          <w:p w14:paraId="0F87E3B7">
            <w:pPr>
              <w:spacing w:line="400" w:lineRule="exact"/>
              <w:jc w:val="center"/>
              <w:rPr>
                <w:color w:val="auto"/>
                <w:sz w:val="24"/>
                <w:highlight w:val="none"/>
              </w:rPr>
            </w:pPr>
          </w:p>
        </w:tc>
      </w:tr>
      <w:tr w14:paraId="43E68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7" w:hRule="atLeast"/>
          <w:jc w:val="center"/>
        </w:trPr>
        <w:tc>
          <w:tcPr>
            <w:tcW w:w="748" w:type="dxa"/>
            <w:tcBorders>
              <w:left w:val="double" w:color="auto" w:sz="4" w:space="0"/>
            </w:tcBorders>
            <w:noWrap w:val="0"/>
            <w:vAlign w:val="center"/>
          </w:tcPr>
          <w:p w14:paraId="2F3B4D28">
            <w:pPr>
              <w:spacing w:line="400" w:lineRule="exact"/>
              <w:jc w:val="center"/>
              <w:rPr>
                <w:rFonts w:hint="eastAsia" w:ascii="宋体" w:hAnsi="宋体" w:cs="宋体"/>
                <w:color w:val="auto"/>
                <w:sz w:val="24"/>
                <w:szCs w:val="22"/>
                <w:highlight w:val="none"/>
                <w:lang w:eastAsia="zh-CN"/>
              </w:rPr>
            </w:pPr>
            <w:r>
              <w:rPr>
                <w:rFonts w:hint="eastAsia" w:ascii="宋体" w:hAnsi="宋体" w:cs="宋体"/>
                <w:color w:val="auto"/>
                <w:sz w:val="24"/>
                <w:szCs w:val="22"/>
                <w:highlight w:val="none"/>
                <w:lang w:val="en-US" w:eastAsia="zh-CN"/>
              </w:rPr>
              <w:t>2</w:t>
            </w:r>
          </w:p>
        </w:tc>
        <w:tc>
          <w:tcPr>
            <w:tcW w:w="1573" w:type="dxa"/>
            <w:noWrap w:val="0"/>
            <w:vAlign w:val="center"/>
          </w:tcPr>
          <w:p w14:paraId="4E0874D4">
            <w:pPr>
              <w:spacing w:line="400" w:lineRule="exact"/>
              <w:jc w:val="center"/>
              <w:rPr>
                <w:rFonts w:hint="default" w:ascii="宋体" w:hAnsi="宋体" w:eastAsia="宋体" w:cs="宋体"/>
                <w:color w:val="auto"/>
                <w:sz w:val="24"/>
                <w:highlight w:val="none"/>
                <w:lang w:val="en-US" w:eastAsia="zh-CN"/>
              </w:rPr>
            </w:pPr>
          </w:p>
        </w:tc>
        <w:tc>
          <w:tcPr>
            <w:tcW w:w="1516" w:type="dxa"/>
            <w:noWrap w:val="0"/>
            <w:vAlign w:val="center"/>
          </w:tcPr>
          <w:p w14:paraId="14B140C1">
            <w:pPr>
              <w:spacing w:line="400" w:lineRule="exact"/>
              <w:jc w:val="center"/>
              <w:rPr>
                <w:color w:val="auto"/>
                <w:sz w:val="24"/>
                <w:highlight w:val="none"/>
              </w:rPr>
            </w:pPr>
          </w:p>
        </w:tc>
        <w:tc>
          <w:tcPr>
            <w:tcW w:w="2000" w:type="dxa"/>
            <w:noWrap w:val="0"/>
            <w:vAlign w:val="center"/>
          </w:tcPr>
          <w:p w14:paraId="5133AC1C">
            <w:pPr>
              <w:spacing w:line="400" w:lineRule="exact"/>
              <w:jc w:val="center"/>
              <w:rPr>
                <w:color w:val="auto"/>
                <w:sz w:val="24"/>
                <w:highlight w:val="none"/>
              </w:rPr>
            </w:pPr>
          </w:p>
        </w:tc>
        <w:tc>
          <w:tcPr>
            <w:tcW w:w="1833" w:type="dxa"/>
            <w:noWrap w:val="0"/>
            <w:vAlign w:val="center"/>
          </w:tcPr>
          <w:p w14:paraId="2DD8F8B7">
            <w:pPr>
              <w:spacing w:line="400" w:lineRule="exact"/>
              <w:jc w:val="center"/>
              <w:rPr>
                <w:color w:val="auto"/>
                <w:sz w:val="24"/>
                <w:highlight w:val="none"/>
              </w:rPr>
            </w:pPr>
          </w:p>
        </w:tc>
        <w:tc>
          <w:tcPr>
            <w:tcW w:w="1833" w:type="dxa"/>
            <w:tcBorders>
              <w:right w:val="double" w:color="auto" w:sz="4" w:space="0"/>
            </w:tcBorders>
            <w:noWrap w:val="0"/>
            <w:vAlign w:val="center"/>
          </w:tcPr>
          <w:p w14:paraId="0CEE110C">
            <w:pPr>
              <w:spacing w:line="400" w:lineRule="exact"/>
              <w:jc w:val="center"/>
              <w:rPr>
                <w:color w:val="auto"/>
                <w:sz w:val="24"/>
                <w:highlight w:val="none"/>
              </w:rPr>
            </w:pPr>
          </w:p>
        </w:tc>
      </w:tr>
      <w:tr w14:paraId="495D5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7" w:hRule="atLeast"/>
          <w:jc w:val="center"/>
        </w:trPr>
        <w:tc>
          <w:tcPr>
            <w:tcW w:w="748" w:type="dxa"/>
            <w:tcBorders>
              <w:left w:val="double" w:color="auto" w:sz="4" w:space="0"/>
            </w:tcBorders>
            <w:noWrap w:val="0"/>
            <w:vAlign w:val="center"/>
          </w:tcPr>
          <w:p w14:paraId="6DE28382">
            <w:pPr>
              <w:spacing w:line="400" w:lineRule="exact"/>
              <w:jc w:val="center"/>
              <w:rPr>
                <w:rFonts w:hint="eastAsia" w:ascii="宋体" w:hAnsi="宋体" w:cs="宋体"/>
                <w:color w:val="auto"/>
                <w:sz w:val="24"/>
                <w:szCs w:val="22"/>
                <w:highlight w:val="none"/>
                <w:lang w:eastAsia="zh-CN"/>
              </w:rPr>
            </w:pPr>
            <w:r>
              <w:rPr>
                <w:rFonts w:hint="eastAsia" w:ascii="宋体" w:hAnsi="宋体" w:cs="宋体"/>
                <w:color w:val="auto"/>
                <w:sz w:val="24"/>
                <w:szCs w:val="22"/>
                <w:highlight w:val="none"/>
                <w:lang w:val="en-US" w:eastAsia="zh-CN"/>
              </w:rPr>
              <w:t>3</w:t>
            </w:r>
          </w:p>
        </w:tc>
        <w:tc>
          <w:tcPr>
            <w:tcW w:w="1573" w:type="dxa"/>
            <w:noWrap w:val="0"/>
            <w:vAlign w:val="center"/>
          </w:tcPr>
          <w:p w14:paraId="64C2817C">
            <w:pPr>
              <w:spacing w:line="400" w:lineRule="exact"/>
              <w:jc w:val="center"/>
              <w:rPr>
                <w:rFonts w:hint="default" w:eastAsia="宋体"/>
                <w:color w:val="auto"/>
                <w:sz w:val="24"/>
                <w:highlight w:val="none"/>
                <w:lang w:val="en-US" w:eastAsia="zh-CN"/>
              </w:rPr>
            </w:pPr>
          </w:p>
        </w:tc>
        <w:tc>
          <w:tcPr>
            <w:tcW w:w="1516" w:type="dxa"/>
            <w:noWrap w:val="0"/>
            <w:vAlign w:val="center"/>
          </w:tcPr>
          <w:p w14:paraId="582700B2">
            <w:pPr>
              <w:spacing w:line="400" w:lineRule="exact"/>
              <w:jc w:val="center"/>
              <w:rPr>
                <w:color w:val="auto"/>
                <w:sz w:val="24"/>
                <w:highlight w:val="none"/>
              </w:rPr>
            </w:pPr>
          </w:p>
        </w:tc>
        <w:tc>
          <w:tcPr>
            <w:tcW w:w="2000" w:type="dxa"/>
            <w:noWrap w:val="0"/>
            <w:vAlign w:val="center"/>
          </w:tcPr>
          <w:p w14:paraId="1FEC2D2B">
            <w:pPr>
              <w:spacing w:line="400" w:lineRule="exact"/>
              <w:jc w:val="center"/>
              <w:rPr>
                <w:color w:val="auto"/>
                <w:sz w:val="24"/>
                <w:highlight w:val="none"/>
              </w:rPr>
            </w:pPr>
          </w:p>
        </w:tc>
        <w:tc>
          <w:tcPr>
            <w:tcW w:w="1833" w:type="dxa"/>
            <w:noWrap w:val="0"/>
            <w:vAlign w:val="center"/>
          </w:tcPr>
          <w:p w14:paraId="08757B82">
            <w:pPr>
              <w:spacing w:line="400" w:lineRule="exact"/>
              <w:jc w:val="center"/>
              <w:rPr>
                <w:color w:val="auto"/>
                <w:sz w:val="24"/>
                <w:highlight w:val="none"/>
              </w:rPr>
            </w:pPr>
          </w:p>
        </w:tc>
        <w:tc>
          <w:tcPr>
            <w:tcW w:w="1833" w:type="dxa"/>
            <w:tcBorders>
              <w:right w:val="double" w:color="auto" w:sz="4" w:space="0"/>
            </w:tcBorders>
            <w:noWrap w:val="0"/>
            <w:vAlign w:val="center"/>
          </w:tcPr>
          <w:p w14:paraId="322CF99E">
            <w:pPr>
              <w:spacing w:line="400" w:lineRule="exact"/>
              <w:jc w:val="center"/>
              <w:rPr>
                <w:color w:val="auto"/>
                <w:sz w:val="24"/>
                <w:highlight w:val="none"/>
              </w:rPr>
            </w:pPr>
          </w:p>
        </w:tc>
      </w:tr>
      <w:tr w14:paraId="2969D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7" w:hRule="atLeast"/>
          <w:jc w:val="center"/>
        </w:trPr>
        <w:tc>
          <w:tcPr>
            <w:tcW w:w="748" w:type="dxa"/>
            <w:tcBorders>
              <w:left w:val="double" w:color="auto" w:sz="4" w:space="0"/>
            </w:tcBorders>
            <w:noWrap w:val="0"/>
            <w:vAlign w:val="center"/>
          </w:tcPr>
          <w:p w14:paraId="0D70F252">
            <w:pPr>
              <w:spacing w:line="400" w:lineRule="exact"/>
              <w:jc w:val="center"/>
              <w:rPr>
                <w:rFonts w:hint="eastAsia" w:ascii="宋体" w:hAnsi="宋体" w:cs="宋体"/>
                <w:color w:val="auto"/>
                <w:sz w:val="24"/>
                <w:szCs w:val="22"/>
                <w:highlight w:val="none"/>
                <w:lang w:eastAsia="zh-CN"/>
              </w:rPr>
            </w:pPr>
            <w:r>
              <w:rPr>
                <w:rFonts w:hint="eastAsia" w:ascii="宋体" w:hAnsi="宋体" w:cs="宋体"/>
                <w:color w:val="auto"/>
                <w:sz w:val="24"/>
                <w:szCs w:val="22"/>
                <w:highlight w:val="none"/>
                <w:lang w:val="en-US" w:eastAsia="zh-CN"/>
              </w:rPr>
              <w:t>4</w:t>
            </w:r>
          </w:p>
        </w:tc>
        <w:tc>
          <w:tcPr>
            <w:tcW w:w="1573" w:type="dxa"/>
            <w:noWrap w:val="0"/>
            <w:vAlign w:val="center"/>
          </w:tcPr>
          <w:p w14:paraId="1B228DA8">
            <w:pPr>
              <w:spacing w:line="400" w:lineRule="exact"/>
              <w:jc w:val="center"/>
              <w:rPr>
                <w:rFonts w:hint="eastAsia"/>
                <w:color w:val="auto"/>
                <w:sz w:val="24"/>
                <w:highlight w:val="none"/>
              </w:rPr>
            </w:pPr>
          </w:p>
        </w:tc>
        <w:tc>
          <w:tcPr>
            <w:tcW w:w="1516" w:type="dxa"/>
            <w:noWrap w:val="0"/>
            <w:vAlign w:val="center"/>
          </w:tcPr>
          <w:p w14:paraId="38FAF580">
            <w:pPr>
              <w:spacing w:line="400" w:lineRule="exact"/>
              <w:jc w:val="center"/>
              <w:rPr>
                <w:color w:val="auto"/>
                <w:sz w:val="24"/>
                <w:highlight w:val="none"/>
              </w:rPr>
            </w:pPr>
          </w:p>
        </w:tc>
        <w:tc>
          <w:tcPr>
            <w:tcW w:w="2000" w:type="dxa"/>
            <w:noWrap w:val="0"/>
            <w:vAlign w:val="center"/>
          </w:tcPr>
          <w:p w14:paraId="5EB40FB6">
            <w:pPr>
              <w:spacing w:line="400" w:lineRule="exact"/>
              <w:jc w:val="center"/>
              <w:rPr>
                <w:color w:val="auto"/>
                <w:sz w:val="24"/>
                <w:highlight w:val="none"/>
              </w:rPr>
            </w:pPr>
          </w:p>
        </w:tc>
        <w:tc>
          <w:tcPr>
            <w:tcW w:w="1833" w:type="dxa"/>
            <w:noWrap w:val="0"/>
            <w:vAlign w:val="center"/>
          </w:tcPr>
          <w:p w14:paraId="7F7B5D08">
            <w:pPr>
              <w:spacing w:line="400" w:lineRule="exact"/>
              <w:jc w:val="center"/>
              <w:rPr>
                <w:color w:val="auto"/>
                <w:sz w:val="24"/>
                <w:highlight w:val="none"/>
              </w:rPr>
            </w:pPr>
          </w:p>
        </w:tc>
        <w:tc>
          <w:tcPr>
            <w:tcW w:w="1833" w:type="dxa"/>
            <w:tcBorders>
              <w:right w:val="double" w:color="auto" w:sz="4" w:space="0"/>
            </w:tcBorders>
            <w:noWrap w:val="0"/>
            <w:vAlign w:val="center"/>
          </w:tcPr>
          <w:p w14:paraId="08386612">
            <w:pPr>
              <w:spacing w:line="400" w:lineRule="exact"/>
              <w:jc w:val="center"/>
              <w:rPr>
                <w:color w:val="auto"/>
                <w:sz w:val="24"/>
                <w:highlight w:val="none"/>
              </w:rPr>
            </w:pPr>
          </w:p>
        </w:tc>
      </w:tr>
      <w:tr w14:paraId="7BE25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7" w:hRule="atLeast"/>
          <w:jc w:val="center"/>
        </w:trPr>
        <w:tc>
          <w:tcPr>
            <w:tcW w:w="748" w:type="dxa"/>
            <w:tcBorders>
              <w:left w:val="double" w:color="auto" w:sz="4" w:space="0"/>
            </w:tcBorders>
            <w:noWrap w:val="0"/>
            <w:vAlign w:val="center"/>
          </w:tcPr>
          <w:p w14:paraId="4C38D223">
            <w:pPr>
              <w:spacing w:line="400" w:lineRule="exact"/>
              <w:jc w:val="center"/>
              <w:rPr>
                <w:rFonts w:hint="default" w:ascii="宋体" w:hAnsi="宋体" w:cs="宋体"/>
                <w:color w:val="auto"/>
                <w:sz w:val="24"/>
                <w:szCs w:val="22"/>
                <w:highlight w:val="none"/>
                <w:lang w:val="en-US" w:eastAsia="zh-CN"/>
              </w:rPr>
            </w:pPr>
            <w:r>
              <w:rPr>
                <w:rFonts w:hint="eastAsia" w:ascii="宋体" w:hAnsi="宋体" w:cs="宋体"/>
                <w:color w:val="auto"/>
                <w:sz w:val="24"/>
                <w:szCs w:val="22"/>
                <w:highlight w:val="none"/>
                <w:lang w:val="en-US" w:eastAsia="zh-CN"/>
              </w:rPr>
              <w:t>5</w:t>
            </w:r>
          </w:p>
        </w:tc>
        <w:tc>
          <w:tcPr>
            <w:tcW w:w="1573" w:type="dxa"/>
            <w:noWrap w:val="0"/>
            <w:vAlign w:val="center"/>
          </w:tcPr>
          <w:p w14:paraId="23F12F73">
            <w:pPr>
              <w:spacing w:line="400" w:lineRule="exact"/>
              <w:jc w:val="center"/>
              <w:rPr>
                <w:rFonts w:hint="default" w:eastAsia="宋体"/>
                <w:color w:val="auto"/>
                <w:sz w:val="24"/>
                <w:highlight w:val="none"/>
                <w:lang w:val="en-US" w:eastAsia="zh-CN"/>
              </w:rPr>
            </w:pPr>
          </w:p>
        </w:tc>
        <w:tc>
          <w:tcPr>
            <w:tcW w:w="1516" w:type="dxa"/>
            <w:noWrap w:val="0"/>
            <w:vAlign w:val="center"/>
          </w:tcPr>
          <w:p w14:paraId="36758EA3">
            <w:pPr>
              <w:spacing w:line="400" w:lineRule="exact"/>
              <w:jc w:val="center"/>
              <w:rPr>
                <w:color w:val="auto"/>
                <w:sz w:val="24"/>
                <w:highlight w:val="none"/>
              </w:rPr>
            </w:pPr>
          </w:p>
        </w:tc>
        <w:tc>
          <w:tcPr>
            <w:tcW w:w="2000" w:type="dxa"/>
            <w:noWrap w:val="0"/>
            <w:vAlign w:val="center"/>
          </w:tcPr>
          <w:p w14:paraId="246CE763">
            <w:pPr>
              <w:spacing w:line="400" w:lineRule="exact"/>
              <w:jc w:val="center"/>
              <w:rPr>
                <w:color w:val="auto"/>
                <w:sz w:val="24"/>
                <w:highlight w:val="none"/>
              </w:rPr>
            </w:pPr>
          </w:p>
        </w:tc>
        <w:tc>
          <w:tcPr>
            <w:tcW w:w="1833" w:type="dxa"/>
            <w:noWrap w:val="0"/>
            <w:vAlign w:val="center"/>
          </w:tcPr>
          <w:p w14:paraId="5C8199F9">
            <w:pPr>
              <w:spacing w:line="400" w:lineRule="exact"/>
              <w:jc w:val="center"/>
              <w:rPr>
                <w:color w:val="auto"/>
                <w:sz w:val="24"/>
                <w:highlight w:val="none"/>
              </w:rPr>
            </w:pPr>
          </w:p>
        </w:tc>
        <w:tc>
          <w:tcPr>
            <w:tcW w:w="1833" w:type="dxa"/>
            <w:tcBorders>
              <w:right w:val="double" w:color="auto" w:sz="4" w:space="0"/>
            </w:tcBorders>
            <w:noWrap w:val="0"/>
            <w:vAlign w:val="center"/>
          </w:tcPr>
          <w:p w14:paraId="008F9D84">
            <w:pPr>
              <w:spacing w:line="400" w:lineRule="exact"/>
              <w:jc w:val="center"/>
              <w:rPr>
                <w:color w:val="auto"/>
                <w:sz w:val="24"/>
                <w:highlight w:val="none"/>
              </w:rPr>
            </w:pPr>
          </w:p>
        </w:tc>
      </w:tr>
      <w:tr w14:paraId="3E372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7" w:hRule="atLeast"/>
          <w:jc w:val="center"/>
        </w:trPr>
        <w:tc>
          <w:tcPr>
            <w:tcW w:w="748" w:type="dxa"/>
            <w:tcBorders>
              <w:left w:val="double" w:color="auto" w:sz="4" w:space="0"/>
            </w:tcBorders>
            <w:noWrap w:val="0"/>
            <w:vAlign w:val="center"/>
          </w:tcPr>
          <w:p w14:paraId="44F8F657">
            <w:pPr>
              <w:spacing w:line="400" w:lineRule="exact"/>
              <w:jc w:val="center"/>
              <w:rPr>
                <w:rFonts w:hint="default" w:ascii="宋体" w:hAnsi="宋体" w:cs="宋体"/>
                <w:color w:val="auto"/>
                <w:sz w:val="24"/>
                <w:szCs w:val="22"/>
                <w:highlight w:val="none"/>
                <w:lang w:val="en-US" w:eastAsia="zh-CN"/>
              </w:rPr>
            </w:pPr>
            <w:r>
              <w:rPr>
                <w:rFonts w:hint="eastAsia" w:ascii="宋体" w:hAnsi="宋体" w:cs="宋体"/>
                <w:color w:val="auto"/>
                <w:sz w:val="24"/>
                <w:szCs w:val="22"/>
                <w:highlight w:val="none"/>
                <w:lang w:val="en-US" w:eastAsia="zh-CN"/>
              </w:rPr>
              <w:t>6</w:t>
            </w:r>
          </w:p>
        </w:tc>
        <w:tc>
          <w:tcPr>
            <w:tcW w:w="1573" w:type="dxa"/>
            <w:noWrap w:val="0"/>
            <w:vAlign w:val="center"/>
          </w:tcPr>
          <w:p w14:paraId="4960DA8F">
            <w:pPr>
              <w:spacing w:line="400" w:lineRule="exact"/>
              <w:jc w:val="center"/>
              <w:rPr>
                <w:rFonts w:hint="default"/>
                <w:color w:val="auto"/>
                <w:sz w:val="24"/>
                <w:highlight w:val="none"/>
                <w:lang w:val="en-US" w:eastAsia="zh-CN"/>
              </w:rPr>
            </w:pPr>
          </w:p>
        </w:tc>
        <w:tc>
          <w:tcPr>
            <w:tcW w:w="1516" w:type="dxa"/>
            <w:noWrap w:val="0"/>
            <w:vAlign w:val="center"/>
          </w:tcPr>
          <w:p w14:paraId="6F4446AC">
            <w:pPr>
              <w:spacing w:line="400" w:lineRule="exact"/>
              <w:jc w:val="center"/>
              <w:rPr>
                <w:color w:val="auto"/>
                <w:sz w:val="24"/>
                <w:highlight w:val="none"/>
              </w:rPr>
            </w:pPr>
          </w:p>
        </w:tc>
        <w:tc>
          <w:tcPr>
            <w:tcW w:w="2000" w:type="dxa"/>
            <w:noWrap w:val="0"/>
            <w:vAlign w:val="center"/>
          </w:tcPr>
          <w:p w14:paraId="6D59AFEA">
            <w:pPr>
              <w:spacing w:line="400" w:lineRule="exact"/>
              <w:jc w:val="center"/>
              <w:rPr>
                <w:color w:val="auto"/>
                <w:sz w:val="24"/>
                <w:highlight w:val="none"/>
              </w:rPr>
            </w:pPr>
          </w:p>
        </w:tc>
        <w:tc>
          <w:tcPr>
            <w:tcW w:w="1833" w:type="dxa"/>
            <w:noWrap w:val="0"/>
            <w:vAlign w:val="center"/>
          </w:tcPr>
          <w:p w14:paraId="0E84A807">
            <w:pPr>
              <w:spacing w:line="400" w:lineRule="exact"/>
              <w:jc w:val="center"/>
              <w:rPr>
                <w:color w:val="auto"/>
                <w:sz w:val="24"/>
                <w:highlight w:val="none"/>
              </w:rPr>
            </w:pPr>
          </w:p>
        </w:tc>
        <w:tc>
          <w:tcPr>
            <w:tcW w:w="1833" w:type="dxa"/>
            <w:tcBorders>
              <w:right w:val="double" w:color="auto" w:sz="4" w:space="0"/>
            </w:tcBorders>
            <w:noWrap w:val="0"/>
            <w:vAlign w:val="center"/>
          </w:tcPr>
          <w:p w14:paraId="45068E54">
            <w:pPr>
              <w:spacing w:line="400" w:lineRule="exact"/>
              <w:jc w:val="center"/>
              <w:rPr>
                <w:color w:val="auto"/>
                <w:sz w:val="24"/>
                <w:highlight w:val="none"/>
              </w:rPr>
            </w:pPr>
          </w:p>
        </w:tc>
      </w:tr>
      <w:tr w14:paraId="5D868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7" w:hRule="atLeast"/>
          <w:jc w:val="center"/>
        </w:trPr>
        <w:tc>
          <w:tcPr>
            <w:tcW w:w="748" w:type="dxa"/>
            <w:tcBorders>
              <w:left w:val="double" w:color="auto" w:sz="4" w:space="0"/>
            </w:tcBorders>
            <w:noWrap w:val="0"/>
            <w:vAlign w:val="center"/>
          </w:tcPr>
          <w:p w14:paraId="07721FCA">
            <w:pPr>
              <w:spacing w:line="400" w:lineRule="exact"/>
              <w:jc w:val="center"/>
              <w:rPr>
                <w:rFonts w:hint="eastAsia" w:ascii="宋体" w:hAnsi="宋体" w:cs="宋体"/>
                <w:color w:val="auto"/>
                <w:sz w:val="24"/>
                <w:szCs w:val="22"/>
                <w:highlight w:val="none"/>
                <w:lang w:val="en-US" w:eastAsia="zh-CN"/>
              </w:rPr>
            </w:pPr>
            <w:r>
              <w:rPr>
                <w:rFonts w:hint="eastAsia" w:ascii="宋体" w:hAnsi="宋体" w:cs="宋体"/>
                <w:color w:val="auto"/>
                <w:sz w:val="24"/>
                <w:szCs w:val="22"/>
                <w:highlight w:val="none"/>
                <w:lang w:val="en-US" w:eastAsia="zh-CN"/>
              </w:rPr>
              <w:t>7</w:t>
            </w:r>
          </w:p>
        </w:tc>
        <w:tc>
          <w:tcPr>
            <w:tcW w:w="1573" w:type="dxa"/>
            <w:noWrap w:val="0"/>
            <w:vAlign w:val="center"/>
          </w:tcPr>
          <w:p w14:paraId="2DF0CB0C">
            <w:pPr>
              <w:spacing w:line="400" w:lineRule="exact"/>
              <w:jc w:val="center"/>
              <w:rPr>
                <w:rFonts w:hint="eastAsia"/>
                <w:color w:val="auto"/>
                <w:sz w:val="24"/>
                <w:highlight w:val="none"/>
              </w:rPr>
            </w:pPr>
          </w:p>
        </w:tc>
        <w:tc>
          <w:tcPr>
            <w:tcW w:w="1516" w:type="dxa"/>
            <w:noWrap w:val="0"/>
            <w:vAlign w:val="center"/>
          </w:tcPr>
          <w:p w14:paraId="1AB0BA9D">
            <w:pPr>
              <w:spacing w:line="400" w:lineRule="exact"/>
              <w:jc w:val="center"/>
              <w:rPr>
                <w:color w:val="auto"/>
                <w:sz w:val="24"/>
                <w:highlight w:val="none"/>
              </w:rPr>
            </w:pPr>
          </w:p>
        </w:tc>
        <w:tc>
          <w:tcPr>
            <w:tcW w:w="2000" w:type="dxa"/>
            <w:noWrap w:val="0"/>
            <w:vAlign w:val="center"/>
          </w:tcPr>
          <w:p w14:paraId="65DE9BFE">
            <w:pPr>
              <w:spacing w:line="400" w:lineRule="exact"/>
              <w:jc w:val="center"/>
              <w:rPr>
                <w:color w:val="auto"/>
                <w:sz w:val="24"/>
                <w:highlight w:val="none"/>
              </w:rPr>
            </w:pPr>
          </w:p>
        </w:tc>
        <w:tc>
          <w:tcPr>
            <w:tcW w:w="1833" w:type="dxa"/>
            <w:noWrap w:val="0"/>
            <w:vAlign w:val="center"/>
          </w:tcPr>
          <w:p w14:paraId="2A915BB8">
            <w:pPr>
              <w:spacing w:line="400" w:lineRule="exact"/>
              <w:jc w:val="center"/>
              <w:rPr>
                <w:color w:val="auto"/>
                <w:sz w:val="24"/>
                <w:highlight w:val="none"/>
              </w:rPr>
            </w:pPr>
          </w:p>
        </w:tc>
        <w:tc>
          <w:tcPr>
            <w:tcW w:w="1833" w:type="dxa"/>
            <w:tcBorders>
              <w:right w:val="double" w:color="auto" w:sz="4" w:space="0"/>
            </w:tcBorders>
            <w:noWrap w:val="0"/>
            <w:vAlign w:val="center"/>
          </w:tcPr>
          <w:p w14:paraId="07D89F13">
            <w:pPr>
              <w:spacing w:line="400" w:lineRule="exact"/>
              <w:jc w:val="center"/>
              <w:rPr>
                <w:color w:val="auto"/>
                <w:sz w:val="24"/>
                <w:highlight w:val="none"/>
              </w:rPr>
            </w:pPr>
          </w:p>
        </w:tc>
      </w:tr>
      <w:tr w14:paraId="5ACB7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7" w:hRule="atLeast"/>
          <w:jc w:val="center"/>
        </w:trPr>
        <w:tc>
          <w:tcPr>
            <w:tcW w:w="748" w:type="dxa"/>
            <w:tcBorders>
              <w:left w:val="double" w:color="auto" w:sz="4" w:space="0"/>
            </w:tcBorders>
            <w:noWrap w:val="0"/>
            <w:vAlign w:val="center"/>
          </w:tcPr>
          <w:p w14:paraId="219DE70A">
            <w:pPr>
              <w:spacing w:line="400" w:lineRule="exact"/>
              <w:jc w:val="center"/>
              <w:rPr>
                <w:rFonts w:hint="eastAsia" w:ascii="宋体" w:hAnsi="宋体" w:cs="宋体"/>
                <w:color w:val="auto"/>
                <w:sz w:val="24"/>
                <w:szCs w:val="22"/>
                <w:highlight w:val="none"/>
                <w:lang w:val="en-US" w:eastAsia="zh-CN"/>
              </w:rPr>
            </w:pPr>
            <w:r>
              <w:rPr>
                <w:rFonts w:hint="eastAsia" w:ascii="宋体" w:hAnsi="宋体" w:cs="宋体"/>
                <w:color w:val="auto"/>
                <w:sz w:val="24"/>
                <w:szCs w:val="22"/>
                <w:highlight w:val="none"/>
                <w:lang w:val="en-US" w:eastAsia="zh-CN"/>
              </w:rPr>
              <w:t>8</w:t>
            </w:r>
          </w:p>
        </w:tc>
        <w:tc>
          <w:tcPr>
            <w:tcW w:w="1573" w:type="dxa"/>
            <w:noWrap w:val="0"/>
            <w:vAlign w:val="center"/>
          </w:tcPr>
          <w:p w14:paraId="55A3D2DD">
            <w:pPr>
              <w:spacing w:line="400" w:lineRule="exact"/>
              <w:jc w:val="center"/>
              <w:rPr>
                <w:rFonts w:hint="default" w:eastAsia="宋体"/>
                <w:color w:val="auto"/>
                <w:sz w:val="24"/>
                <w:highlight w:val="none"/>
                <w:lang w:val="en-US" w:eastAsia="zh-CN"/>
              </w:rPr>
            </w:pPr>
          </w:p>
        </w:tc>
        <w:tc>
          <w:tcPr>
            <w:tcW w:w="1516" w:type="dxa"/>
            <w:noWrap w:val="0"/>
            <w:vAlign w:val="center"/>
          </w:tcPr>
          <w:p w14:paraId="04466FAE">
            <w:pPr>
              <w:spacing w:line="400" w:lineRule="exact"/>
              <w:jc w:val="center"/>
              <w:rPr>
                <w:color w:val="auto"/>
                <w:sz w:val="24"/>
                <w:highlight w:val="none"/>
              </w:rPr>
            </w:pPr>
          </w:p>
        </w:tc>
        <w:tc>
          <w:tcPr>
            <w:tcW w:w="2000" w:type="dxa"/>
            <w:noWrap w:val="0"/>
            <w:vAlign w:val="center"/>
          </w:tcPr>
          <w:p w14:paraId="0AC2A370">
            <w:pPr>
              <w:spacing w:line="400" w:lineRule="exact"/>
              <w:jc w:val="center"/>
              <w:rPr>
                <w:color w:val="auto"/>
                <w:sz w:val="24"/>
                <w:highlight w:val="none"/>
              </w:rPr>
            </w:pPr>
          </w:p>
        </w:tc>
        <w:tc>
          <w:tcPr>
            <w:tcW w:w="1833" w:type="dxa"/>
            <w:noWrap w:val="0"/>
            <w:vAlign w:val="center"/>
          </w:tcPr>
          <w:p w14:paraId="6C3FA8EC">
            <w:pPr>
              <w:spacing w:line="400" w:lineRule="exact"/>
              <w:jc w:val="center"/>
              <w:rPr>
                <w:color w:val="auto"/>
                <w:sz w:val="24"/>
                <w:highlight w:val="none"/>
              </w:rPr>
            </w:pPr>
          </w:p>
        </w:tc>
        <w:tc>
          <w:tcPr>
            <w:tcW w:w="1833" w:type="dxa"/>
            <w:tcBorders>
              <w:right w:val="double" w:color="auto" w:sz="4" w:space="0"/>
            </w:tcBorders>
            <w:noWrap w:val="0"/>
            <w:vAlign w:val="center"/>
          </w:tcPr>
          <w:p w14:paraId="4D558AA2">
            <w:pPr>
              <w:spacing w:line="400" w:lineRule="exact"/>
              <w:jc w:val="center"/>
              <w:rPr>
                <w:color w:val="auto"/>
                <w:sz w:val="24"/>
                <w:highlight w:val="none"/>
              </w:rPr>
            </w:pPr>
          </w:p>
        </w:tc>
      </w:tr>
      <w:tr w14:paraId="5CF42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7" w:hRule="atLeast"/>
          <w:jc w:val="center"/>
        </w:trPr>
        <w:tc>
          <w:tcPr>
            <w:tcW w:w="748" w:type="dxa"/>
            <w:tcBorders>
              <w:left w:val="double" w:color="auto" w:sz="4" w:space="0"/>
              <w:bottom w:val="double" w:color="auto" w:sz="4" w:space="0"/>
            </w:tcBorders>
            <w:noWrap w:val="0"/>
            <w:vAlign w:val="center"/>
          </w:tcPr>
          <w:p w14:paraId="6C485531">
            <w:pPr>
              <w:spacing w:line="400" w:lineRule="exact"/>
              <w:jc w:val="center"/>
              <w:rPr>
                <w:rFonts w:hint="eastAsia"/>
                <w:color w:val="auto"/>
                <w:sz w:val="24"/>
                <w:highlight w:val="none"/>
              </w:rPr>
            </w:pPr>
            <w:r>
              <w:rPr>
                <w:rFonts w:hint="eastAsia"/>
                <w:color w:val="auto"/>
                <w:sz w:val="24"/>
                <w:highlight w:val="none"/>
              </w:rPr>
              <w:t>……</w:t>
            </w:r>
          </w:p>
        </w:tc>
        <w:tc>
          <w:tcPr>
            <w:tcW w:w="1573" w:type="dxa"/>
            <w:tcBorders>
              <w:bottom w:val="double" w:color="auto" w:sz="4" w:space="0"/>
            </w:tcBorders>
            <w:noWrap w:val="0"/>
            <w:vAlign w:val="center"/>
          </w:tcPr>
          <w:p w14:paraId="0A5041AF">
            <w:pPr>
              <w:spacing w:line="400" w:lineRule="exact"/>
              <w:jc w:val="center"/>
              <w:rPr>
                <w:rFonts w:hint="eastAsia"/>
                <w:color w:val="auto"/>
                <w:sz w:val="24"/>
                <w:highlight w:val="none"/>
              </w:rPr>
            </w:pPr>
            <w:r>
              <w:rPr>
                <w:rFonts w:hint="eastAsia"/>
                <w:color w:val="auto"/>
                <w:sz w:val="24"/>
                <w:highlight w:val="none"/>
              </w:rPr>
              <w:t>……</w:t>
            </w:r>
          </w:p>
        </w:tc>
        <w:tc>
          <w:tcPr>
            <w:tcW w:w="1516" w:type="dxa"/>
            <w:tcBorders>
              <w:bottom w:val="double" w:color="auto" w:sz="4" w:space="0"/>
            </w:tcBorders>
            <w:noWrap w:val="0"/>
            <w:vAlign w:val="center"/>
          </w:tcPr>
          <w:p w14:paraId="68EA3517">
            <w:pPr>
              <w:spacing w:line="400" w:lineRule="exact"/>
              <w:jc w:val="center"/>
              <w:rPr>
                <w:color w:val="auto"/>
                <w:sz w:val="24"/>
                <w:highlight w:val="none"/>
              </w:rPr>
            </w:pPr>
          </w:p>
        </w:tc>
        <w:tc>
          <w:tcPr>
            <w:tcW w:w="2000" w:type="dxa"/>
            <w:tcBorders>
              <w:bottom w:val="double" w:color="auto" w:sz="4" w:space="0"/>
            </w:tcBorders>
            <w:noWrap w:val="0"/>
            <w:vAlign w:val="center"/>
          </w:tcPr>
          <w:p w14:paraId="77881B95">
            <w:pPr>
              <w:spacing w:line="400" w:lineRule="exact"/>
              <w:jc w:val="center"/>
              <w:rPr>
                <w:color w:val="auto"/>
                <w:sz w:val="24"/>
                <w:highlight w:val="none"/>
              </w:rPr>
            </w:pPr>
          </w:p>
        </w:tc>
        <w:tc>
          <w:tcPr>
            <w:tcW w:w="1833" w:type="dxa"/>
            <w:tcBorders>
              <w:bottom w:val="double" w:color="auto" w:sz="4" w:space="0"/>
            </w:tcBorders>
            <w:noWrap w:val="0"/>
            <w:vAlign w:val="center"/>
          </w:tcPr>
          <w:p w14:paraId="4F8C681D">
            <w:pPr>
              <w:spacing w:line="400" w:lineRule="exact"/>
              <w:jc w:val="center"/>
              <w:rPr>
                <w:color w:val="auto"/>
                <w:sz w:val="24"/>
                <w:highlight w:val="none"/>
              </w:rPr>
            </w:pPr>
          </w:p>
        </w:tc>
        <w:tc>
          <w:tcPr>
            <w:tcW w:w="1833" w:type="dxa"/>
            <w:tcBorders>
              <w:bottom w:val="double" w:color="auto" w:sz="4" w:space="0"/>
              <w:right w:val="double" w:color="auto" w:sz="4" w:space="0"/>
            </w:tcBorders>
            <w:noWrap w:val="0"/>
            <w:vAlign w:val="center"/>
          </w:tcPr>
          <w:p w14:paraId="653223C3">
            <w:pPr>
              <w:spacing w:line="400" w:lineRule="exact"/>
              <w:jc w:val="center"/>
              <w:rPr>
                <w:color w:val="auto"/>
                <w:sz w:val="24"/>
                <w:highlight w:val="none"/>
              </w:rPr>
            </w:pPr>
          </w:p>
        </w:tc>
      </w:tr>
    </w:tbl>
    <w:p w14:paraId="1725FAB3">
      <w:pPr>
        <w:keepNext w:val="0"/>
        <w:keepLines w:val="0"/>
        <w:pageBreakBefore w:val="0"/>
        <w:widowControl w:val="0"/>
        <w:kinsoku/>
        <w:wordWrap/>
        <w:overflowPunct/>
        <w:topLinePunct w:val="0"/>
        <w:autoSpaceDE/>
        <w:autoSpaceDN/>
        <w:bidi w:val="0"/>
        <w:adjustRightInd/>
        <w:snapToGrid/>
        <w:spacing w:line="480" w:lineRule="exact"/>
        <w:ind w:firstLine="442" w:firstLineChars="200"/>
        <w:textAlignment w:val="auto"/>
        <w:rPr>
          <w:rStyle w:val="37"/>
          <w:rFonts w:hint="eastAsia" w:ascii="宋体" w:hAnsi="宋体" w:eastAsia="宋体" w:cs="宋体"/>
          <w:b/>
          <w:bCs/>
          <w:color w:val="auto"/>
          <w:sz w:val="22"/>
          <w:szCs w:val="24"/>
          <w:highlight w:val="none"/>
          <w:lang w:val="en-US" w:eastAsia="zh-CN"/>
        </w:rPr>
      </w:pPr>
      <w:r>
        <w:rPr>
          <w:rStyle w:val="37"/>
          <w:rFonts w:hint="eastAsia" w:ascii="宋体" w:hAnsi="宋体" w:eastAsia="宋体" w:cs="宋体"/>
          <w:b/>
          <w:bCs/>
          <w:color w:val="auto"/>
          <w:sz w:val="22"/>
          <w:szCs w:val="24"/>
          <w:highlight w:val="none"/>
          <w:lang w:val="en-US" w:eastAsia="zh-CN"/>
        </w:rPr>
        <w:t>注：响应人应对照竞争性磋商文件技术规格要求，反映所提供货物和服务对竞争性磋商文件的技术规格要求的全部正/负偏离（优于竞争性磋商文件要求的为正偏离、低于竞争性磋商文件要求得为负偏离）情况。未在本表中做出偏离说明的项目，视为与竞争性磋商文件要求一致；在本表中做出偏离说明的项目，响应人必须提供所投设备的具体参数值，并在技术标中提供详细资料。</w:t>
      </w:r>
    </w:p>
    <w:p w14:paraId="37DB687B">
      <w:pPr>
        <w:rPr>
          <w:rStyle w:val="37"/>
          <w:rFonts w:hint="eastAsia"/>
          <w:b/>
          <w:bCs/>
          <w:color w:val="auto"/>
          <w:sz w:val="28"/>
          <w:highlight w:val="none"/>
          <w:lang w:val="en-US" w:eastAsia="zh-CN"/>
        </w:rPr>
      </w:pPr>
      <w:r>
        <w:rPr>
          <w:rStyle w:val="37"/>
          <w:rFonts w:hint="eastAsia"/>
          <w:b/>
          <w:bCs/>
          <w:color w:val="auto"/>
          <w:sz w:val="28"/>
          <w:highlight w:val="none"/>
          <w:lang w:val="en-US" w:eastAsia="zh-CN"/>
        </w:rPr>
        <w:br w:type="page"/>
      </w:r>
    </w:p>
    <w:p w14:paraId="0CA87597">
      <w:pPr>
        <w:pStyle w:val="4"/>
        <w:wordWrap w:val="0"/>
        <w:jc w:val="center"/>
        <w:rPr>
          <w:rFonts w:hint="eastAsia" w:ascii="宋体" w:hAnsi="宋体" w:eastAsia="宋体" w:cs="宋体"/>
          <w:b w:val="0"/>
          <w:bCs w:val="0"/>
          <w:color w:val="auto"/>
          <w:sz w:val="24"/>
          <w:szCs w:val="24"/>
          <w:highlight w:val="none"/>
        </w:rPr>
      </w:pPr>
      <w:r>
        <w:rPr>
          <w:rStyle w:val="37"/>
          <w:rFonts w:hint="eastAsia" w:ascii="宋体" w:hAnsi="宋体" w:eastAsia="宋体" w:cs="宋体"/>
          <w:b/>
          <w:bCs/>
          <w:color w:val="auto"/>
          <w:sz w:val="28"/>
          <w:highlight w:val="none"/>
          <w:lang w:val="en-US" w:eastAsia="zh-CN"/>
        </w:rPr>
        <w:t>七</w:t>
      </w:r>
      <w:r>
        <w:rPr>
          <w:rStyle w:val="37"/>
          <w:rFonts w:hint="eastAsia" w:ascii="宋体" w:hAnsi="宋体" w:eastAsia="宋体" w:cs="宋体"/>
          <w:b/>
          <w:bCs/>
          <w:color w:val="auto"/>
          <w:sz w:val="28"/>
          <w:highlight w:val="none"/>
        </w:rPr>
        <w:t>、技术标部分</w:t>
      </w:r>
      <w:bookmarkEnd w:id="260"/>
      <w:bookmarkEnd w:id="261"/>
      <w:bookmarkEnd w:id="262"/>
    </w:p>
    <w:p w14:paraId="69B639C1">
      <w:pPr>
        <w:wordWrap w:val="0"/>
        <w:spacing w:line="500" w:lineRule="exact"/>
        <w:jc w:val="center"/>
        <w:rPr>
          <w:rFonts w:hint="eastAsia" w:ascii="宋体" w:hAnsi="宋体" w:cs="宋体"/>
          <w:color w:val="auto"/>
          <w:highlight w:val="none"/>
        </w:rPr>
      </w:pPr>
      <w:r>
        <w:rPr>
          <w:rFonts w:hint="eastAsia" w:ascii="宋体" w:hAnsi="宋体" w:cs="宋体"/>
          <w:color w:val="auto"/>
          <w:highlight w:val="none"/>
        </w:rPr>
        <w:t xml:space="preserve"> </w:t>
      </w:r>
    </w:p>
    <w:p w14:paraId="3022BABD">
      <w:pPr>
        <w:wordWrap w:val="0"/>
        <w:jc w:val="center"/>
        <w:rPr>
          <w:rFonts w:hint="eastAsia"/>
          <w:color w:val="auto"/>
          <w:sz w:val="28"/>
          <w:highlight w:val="none"/>
        </w:rPr>
      </w:pPr>
      <w:bookmarkStart w:id="263" w:name="_Toc12073"/>
      <w:bookmarkEnd w:id="263"/>
      <w:r>
        <w:rPr>
          <w:rFonts w:hint="eastAsia"/>
          <w:color w:val="auto"/>
          <w:highlight w:val="none"/>
        </w:rPr>
        <w:br w:type="page"/>
      </w:r>
      <w:bookmarkStart w:id="264" w:name="_Toc2770"/>
      <w:bookmarkEnd w:id="264"/>
      <w:bookmarkStart w:id="265" w:name="_Toc4724"/>
      <w:bookmarkStart w:id="266" w:name="_Toc20210"/>
      <w:r>
        <w:rPr>
          <w:rStyle w:val="37"/>
          <w:rFonts w:hint="eastAsia" w:ascii="宋体" w:hAnsi="宋体" w:eastAsia="宋体" w:cs="宋体"/>
          <w:color w:val="auto"/>
          <w:sz w:val="28"/>
          <w:highlight w:val="none"/>
          <w:lang w:val="en-US" w:eastAsia="zh-CN"/>
        </w:rPr>
        <w:t>八</w:t>
      </w:r>
      <w:r>
        <w:rPr>
          <w:rStyle w:val="37"/>
          <w:rFonts w:hint="eastAsia" w:ascii="宋体" w:hAnsi="宋体" w:eastAsia="宋体" w:cs="宋体"/>
          <w:color w:val="auto"/>
          <w:sz w:val="28"/>
          <w:highlight w:val="none"/>
        </w:rPr>
        <w:t>、供应商资格证明</w:t>
      </w:r>
      <w:bookmarkEnd w:id="265"/>
      <w:bookmarkEnd w:id="266"/>
      <w:r>
        <w:rPr>
          <w:rStyle w:val="37"/>
          <w:rFonts w:hint="eastAsia" w:ascii="宋体" w:hAnsi="宋体" w:eastAsia="宋体" w:cs="宋体"/>
          <w:color w:val="auto"/>
          <w:sz w:val="28"/>
          <w:highlight w:val="none"/>
        </w:rPr>
        <w:t>材料</w:t>
      </w:r>
      <w:bookmarkStart w:id="267" w:name="_Toc361989466"/>
      <w:bookmarkEnd w:id="267"/>
      <w:bookmarkStart w:id="268" w:name="_Toc244934216"/>
      <w:bookmarkEnd w:id="268"/>
      <w:bookmarkStart w:id="269" w:name="_Toc528078075"/>
      <w:bookmarkEnd w:id="269"/>
      <w:bookmarkStart w:id="270" w:name="_Toc361989464"/>
      <w:bookmarkEnd w:id="270"/>
      <w:bookmarkStart w:id="271" w:name="_Toc361989467"/>
      <w:bookmarkEnd w:id="271"/>
      <w:bookmarkStart w:id="272" w:name="_Toc234213567"/>
      <w:bookmarkEnd w:id="272"/>
      <w:bookmarkStart w:id="273" w:name="_Toc7868"/>
    </w:p>
    <w:p w14:paraId="2BAC3CB7">
      <w:pPr>
        <w:spacing w:line="360" w:lineRule="auto"/>
        <w:ind w:firstLine="566" w:firstLineChars="236"/>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1.满足《中华人民共和国政府采购法》第二十二条规定：</w:t>
      </w:r>
    </w:p>
    <w:p w14:paraId="77CB8A0B">
      <w:pPr>
        <w:spacing w:line="360" w:lineRule="auto"/>
        <w:ind w:firstLine="566" w:firstLineChars="236"/>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2.落实政府采购政策满足的资格要求：</w:t>
      </w:r>
      <w:r>
        <w:rPr>
          <w:rFonts w:hint="eastAsia" w:asciiTheme="minorEastAsia" w:hAnsiTheme="minorEastAsia" w:cstheme="minorEastAsia"/>
          <w:color w:val="auto"/>
          <w:sz w:val="24"/>
          <w:szCs w:val="24"/>
          <w:highlight w:val="none"/>
          <w:lang w:val="en-US" w:eastAsia="zh-CN"/>
        </w:rPr>
        <w:t>本项目执行促进中小型企业发展政策（监狱企业、残疾人福利性企业视同小微企业）、强制采购节能产品、优先采购节能环保产品等政府采购政策</w:t>
      </w:r>
      <w:r>
        <w:rPr>
          <w:rFonts w:hint="eastAsia" w:asciiTheme="minorEastAsia" w:hAnsiTheme="minorEastAsia" w:cstheme="minorEastAsia"/>
          <w:color w:val="auto"/>
          <w:sz w:val="24"/>
          <w:szCs w:val="24"/>
          <w:highlight w:val="none"/>
        </w:rPr>
        <w:t>。</w:t>
      </w:r>
    </w:p>
    <w:p w14:paraId="2F3071AA">
      <w:pPr>
        <w:spacing w:line="360" w:lineRule="auto"/>
        <w:ind w:firstLine="566" w:firstLineChars="236"/>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3.本项目的特定资格要求：</w:t>
      </w:r>
    </w:p>
    <w:p w14:paraId="3C65731C">
      <w:pPr>
        <w:spacing w:line="360" w:lineRule="auto"/>
        <w:ind w:firstLine="566" w:firstLineChars="236"/>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lang w:val="en-US" w:eastAsia="zh-CN"/>
        </w:rPr>
        <w:t>3.</w:t>
      </w:r>
      <w:r>
        <w:rPr>
          <w:rFonts w:hint="eastAsia" w:asciiTheme="minorEastAsia" w:hAnsiTheme="minorEastAsia" w:cstheme="minorEastAsia"/>
          <w:color w:val="auto"/>
          <w:sz w:val="24"/>
          <w:szCs w:val="24"/>
          <w:highlight w:val="none"/>
        </w:rPr>
        <w:t>1供应商具有有效的营业执照；</w:t>
      </w:r>
    </w:p>
    <w:p w14:paraId="02834F5F">
      <w:pPr>
        <w:spacing w:line="360" w:lineRule="auto"/>
        <w:ind w:firstLine="566" w:firstLineChars="236"/>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3</w:t>
      </w:r>
      <w:r>
        <w:rPr>
          <w:rFonts w:hint="eastAsia" w:asciiTheme="minorEastAsia" w:hAnsiTheme="minorEastAsia" w:cstheme="minorEastAsia"/>
          <w:color w:val="auto"/>
          <w:sz w:val="24"/>
          <w:szCs w:val="24"/>
          <w:highlight w:val="none"/>
          <w:lang w:val="en-US" w:eastAsia="zh-CN"/>
        </w:rPr>
        <w:t>.2</w:t>
      </w:r>
      <w:r>
        <w:rPr>
          <w:rFonts w:hint="eastAsia" w:asciiTheme="minorEastAsia" w:hAnsiTheme="minorEastAsia" w:cstheme="minorEastAsia"/>
          <w:color w:val="auto"/>
          <w:sz w:val="24"/>
          <w:szCs w:val="24"/>
          <w:highlight w:val="none"/>
        </w:rPr>
        <w:t>供应商出具无行贿犯罪记录，在中国裁判文书网自行查询或自行承诺（查询对象：企业、法定代表人）；</w:t>
      </w:r>
    </w:p>
    <w:p w14:paraId="2136AEB1">
      <w:pPr>
        <w:spacing w:line="360" w:lineRule="auto"/>
        <w:ind w:firstLine="566" w:firstLineChars="236"/>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lang w:val="en-US" w:eastAsia="zh-CN"/>
        </w:rPr>
        <w:t>3.3</w:t>
      </w:r>
      <w:r>
        <w:rPr>
          <w:rFonts w:hint="eastAsia" w:asciiTheme="minorEastAsia" w:hAnsiTheme="minorEastAsia" w:cstheme="minorEastAsia"/>
          <w:color w:val="auto"/>
          <w:sz w:val="24"/>
          <w:szCs w:val="24"/>
          <w:highlight w:val="none"/>
        </w:rPr>
        <w:t>供应商需提供无商业贿赂及无不正当竞争行为的承诺书；</w:t>
      </w:r>
    </w:p>
    <w:p w14:paraId="7D497143">
      <w:pPr>
        <w:spacing w:line="360" w:lineRule="auto"/>
        <w:ind w:firstLine="566" w:firstLineChars="236"/>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lang w:val="en-US" w:eastAsia="zh-CN"/>
        </w:rPr>
        <w:t>3.4</w:t>
      </w:r>
      <w:r>
        <w:rPr>
          <w:rFonts w:hint="eastAsia" w:asciiTheme="minorEastAsia" w:hAnsiTheme="minorEastAsia" w:cstheme="minorEastAsia"/>
          <w:color w:val="auto"/>
          <w:sz w:val="24"/>
          <w:szCs w:val="24"/>
          <w:highlight w:val="none"/>
        </w:rPr>
        <w:t>未列入“中国执行信息公开网”http://zxgk.court.gov.cn/shixin网站的“失信被执行人”名单、“信用中国”www.creditchina.gov.cn网站的“重大税收违法失信主体”及“中国政府采购网”www.ccgp.gov.cn网站的“政府采购严重违法失信行为记录名单”；（提供“中国执行信息公开网”、“信用中国”和“中国政府采购网”网站的查询信息截图，加盖单位公章，截图需显示查询时间，查询时间：自公告发布之日起至投标截止时间前）；</w:t>
      </w:r>
    </w:p>
    <w:p w14:paraId="537A9789">
      <w:pPr>
        <w:spacing w:line="360" w:lineRule="auto"/>
        <w:ind w:firstLine="566" w:firstLineChars="236"/>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lang w:val="en-US" w:eastAsia="zh-CN"/>
        </w:rPr>
        <w:t>3.5单位负责人为同一人或者存在直接控股、管理关系的不同投标人，不得参加同一合同项下的采购活动；（提供“国家企业信用信息公示系统”中查询打印的相关信息并加盖公章（查询信息需包含公司基本信息、股东信息及股权变更信息等相关信息，查询日期为本项目公告发布之后至开标截止时间止））</w:t>
      </w:r>
      <w:r>
        <w:rPr>
          <w:rFonts w:hint="eastAsia" w:asciiTheme="minorEastAsia" w:hAnsiTheme="minorEastAsia" w:cstheme="minorEastAsia"/>
          <w:color w:val="auto"/>
          <w:sz w:val="24"/>
          <w:szCs w:val="24"/>
          <w:highlight w:val="none"/>
        </w:rPr>
        <w:t>；</w:t>
      </w:r>
    </w:p>
    <w:p w14:paraId="6D837B8E">
      <w:pPr>
        <w:spacing w:line="360" w:lineRule="auto"/>
        <w:ind w:firstLine="566" w:firstLineChars="236"/>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lang w:val="en-US" w:eastAsia="zh-CN"/>
        </w:rPr>
        <w:t>3.6</w:t>
      </w:r>
      <w:r>
        <w:rPr>
          <w:rFonts w:hint="eastAsia" w:asciiTheme="minorEastAsia" w:hAnsiTheme="minorEastAsia" w:cstheme="minorEastAsia"/>
          <w:color w:val="auto"/>
          <w:sz w:val="24"/>
          <w:szCs w:val="24"/>
          <w:highlight w:val="none"/>
        </w:rPr>
        <w:t>本项目不接受联合体投标</w:t>
      </w:r>
      <w:r>
        <w:rPr>
          <w:rFonts w:hint="eastAsia" w:asciiTheme="minorEastAsia" w:hAnsiTheme="minorEastAsia" w:cstheme="minorEastAsia"/>
          <w:color w:val="auto"/>
          <w:sz w:val="24"/>
          <w:szCs w:val="24"/>
          <w:highlight w:val="none"/>
          <w:lang w:eastAsia="zh-CN"/>
        </w:rPr>
        <w:t>，</w:t>
      </w:r>
      <w:r>
        <w:rPr>
          <w:rFonts w:hint="eastAsia" w:asciiTheme="minorEastAsia" w:hAnsiTheme="minorEastAsia" w:cstheme="minorEastAsia"/>
          <w:color w:val="auto"/>
          <w:sz w:val="24"/>
          <w:szCs w:val="24"/>
          <w:highlight w:val="none"/>
        </w:rPr>
        <w:t>提供非联合体</w:t>
      </w:r>
      <w:r>
        <w:rPr>
          <w:rFonts w:hint="eastAsia" w:asciiTheme="minorEastAsia" w:hAnsiTheme="minorEastAsia" w:cstheme="minorEastAsia"/>
          <w:color w:val="auto"/>
          <w:sz w:val="24"/>
          <w:szCs w:val="24"/>
          <w:highlight w:val="none"/>
          <w:lang w:val="en-US" w:eastAsia="zh-CN"/>
        </w:rPr>
        <w:t>投标</w:t>
      </w:r>
      <w:r>
        <w:rPr>
          <w:rFonts w:hint="eastAsia" w:asciiTheme="minorEastAsia" w:hAnsiTheme="minorEastAsia" w:cstheme="minorEastAsia"/>
          <w:color w:val="auto"/>
          <w:sz w:val="24"/>
          <w:szCs w:val="24"/>
          <w:highlight w:val="none"/>
        </w:rPr>
        <w:t>承诺，格式自拟。</w:t>
      </w:r>
    </w:p>
    <w:p w14:paraId="439B7F4B">
      <w:pPr>
        <w:widowControl/>
        <w:spacing w:line="360" w:lineRule="auto"/>
        <w:ind w:firstLine="482" w:firstLineChars="200"/>
        <w:jc w:val="left"/>
        <w:rPr>
          <w:rFonts w:ascii="宋体" w:hAnsi="宋体" w:eastAsia="宋体" w:cs="宋体"/>
          <w:b/>
          <w:color w:val="auto"/>
          <w:kern w:val="0"/>
          <w:sz w:val="24"/>
          <w:highlight w:val="none"/>
          <w:lang w:bidi="ar"/>
        </w:rPr>
      </w:pPr>
      <w:r>
        <w:rPr>
          <w:rFonts w:hint="eastAsia" w:ascii="宋体" w:hAnsi="宋体" w:eastAsia="宋体" w:cs="宋体"/>
          <w:b/>
          <w:color w:val="auto"/>
          <w:kern w:val="0"/>
          <w:sz w:val="24"/>
          <w:highlight w:val="none"/>
          <w:lang w:bidi="ar"/>
        </w:rPr>
        <w:t>注：本次磋商实行资格后审，资格评审以投标文件为准，其上传资料真实性由供应商自行承担，同时供应商要完善主体库。</w:t>
      </w:r>
    </w:p>
    <w:p w14:paraId="299FDA39">
      <w:pPr>
        <w:pStyle w:val="4"/>
        <w:wordWrap w:val="0"/>
        <w:jc w:val="center"/>
        <w:rPr>
          <w:rFonts w:hint="eastAsia"/>
          <w:color w:val="auto"/>
          <w:sz w:val="28"/>
          <w:highlight w:val="none"/>
        </w:rPr>
      </w:pPr>
    </w:p>
    <w:p w14:paraId="6150EC82">
      <w:pPr>
        <w:wordWrap w:val="0"/>
        <w:rPr>
          <w:rFonts w:hint="eastAsia"/>
          <w:color w:val="auto"/>
          <w:highlight w:val="none"/>
        </w:rPr>
      </w:pPr>
    </w:p>
    <w:p w14:paraId="0A80AE82">
      <w:pPr>
        <w:pStyle w:val="32"/>
        <w:wordWrap w:val="0"/>
        <w:rPr>
          <w:rFonts w:hint="eastAsia"/>
          <w:color w:val="auto"/>
          <w:highlight w:val="none"/>
        </w:rPr>
      </w:pPr>
    </w:p>
    <w:p w14:paraId="2AC0C5C7">
      <w:pPr>
        <w:pStyle w:val="32"/>
        <w:wordWrap w:val="0"/>
        <w:rPr>
          <w:rFonts w:hint="eastAsia"/>
          <w:color w:val="auto"/>
          <w:highlight w:val="none"/>
        </w:rPr>
      </w:pPr>
    </w:p>
    <w:p w14:paraId="39B0BABA">
      <w:pPr>
        <w:pStyle w:val="32"/>
        <w:wordWrap w:val="0"/>
        <w:rPr>
          <w:rFonts w:hint="eastAsia"/>
          <w:color w:val="auto"/>
          <w:highlight w:val="none"/>
        </w:rPr>
      </w:pPr>
    </w:p>
    <w:p w14:paraId="07F2A429">
      <w:pPr>
        <w:pStyle w:val="32"/>
        <w:wordWrap w:val="0"/>
        <w:rPr>
          <w:rFonts w:hint="eastAsia"/>
          <w:color w:val="auto"/>
          <w:highlight w:val="none"/>
        </w:rPr>
      </w:pPr>
    </w:p>
    <w:p w14:paraId="61ECBAF6">
      <w:pPr>
        <w:pStyle w:val="4"/>
        <w:wordWrap w:val="0"/>
        <w:jc w:val="center"/>
        <w:rPr>
          <w:rFonts w:hint="eastAsia" w:ascii="宋体" w:hAnsi="宋体" w:eastAsia="宋体" w:cs="宋体"/>
          <w:color w:val="auto"/>
          <w:sz w:val="28"/>
          <w:highlight w:val="none"/>
        </w:rPr>
      </w:pPr>
      <w:r>
        <w:rPr>
          <w:rFonts w:hint="eastAsia" w:ascii="宋体" w:hAnsi="宋体" w:eastAsia="宋体" w:cs="宋体"/>
          <w:color w:val="auto"/>
          <w:sz w:val="28"/>
          <w:highlight w:val="none"/>
          <w:lang w:val="en-US" w:eastAsia="zh-CN"/>
        </w:rPr>
        <w:t>九</w:t>
      </w:r>
      <w:r>
        <w:rPr>
          <w:rFonts w:hint="eastAsia" w:ascii="宋体" w:hAnsi="宋体" w:eastAsia="宋体" w:cs="宋体"/>
          <w:color w:val="auto"/>
          <w:sz w:val="28"/>
          <w:highlight w:val="none"/>
        </w:rPr>
        <w:t>、综合标部分</w:t>
      </w:r>
    </w:p>
    <w:p w14:paraId="22B847A1">
      <w:pPr>
        <w:wordWrap w:val="0"/>
        <w:jc w:val="center"/>
        <w:rPr>
          <w:rFonts w:hint="eastAsia"/>
          <w:color w:val="auto"/>
          <w:highlight w:val="none"/>
        </w:rPr>
      </w:pPr>
      <w:r>
        <w:rPr>
          <w:rFonts w:hint="eastAsia"/>
          <w:color w:val="auto"/>
          <w:highlight w:val="none"/>
        </w:rPr>
        <w:t>（格式自拟）</w:t>
      </w:r>
    </w:p>
    <w:p w14:paraId="11276EEA">
      <w:pPr>
        <w:pStyle w:val="4"/>
        <w:wordWrap w:val="0"/>
        <w:jc w:val="both"/>
        <w:rPr>
          <w:rFonts w:hint="eastAsia"/>
          <w:color w:val="auto"/>
          <w:highlight w:val="none"/>
        </w:rPr>
      </w:pPr>
    </w:p>
    <w:p w14:paraId="08C45455">
      <w:pPr>
        <w:wordWrap w:val="0"/>
        <w:ind w:firstLine="420"/>
        <w:jc w:val="center"/>
        <w:rPr>
          <w:rFonts w:hint="eastAsia"/>
          <w:color w:val="auto"/>
          <w:sz w:val="22"/>
          <w:highlight w:val="none"/>
        </w:rPr>
      </w:pPr>
      <w:r>
        <w:rPr>
          <w:rFonts w:hint="eastAsia" w:ascii="宋体" w:hAnsi="宋体" w:cs="宋体"/>
          <w:b/>
          <w:bCs/>
          <w:color w:val="auto"/>
          <w:highlight w:val="none"/>
        </w:rPr>
        <w:br w:type="page"/>
      </w:r>
      <w:bookmarkEnd w:id="273"/>
      <w:bookmarkStart w:id="274" w:name="_Toc528078076"/>
      <w:bookmarkEnd w:id="274"/>
      <w:bookmarkStart w:id="275" w:name="_Toc361989468"/>
      <w:bookmarkEnd w:id="275"/>
      <w:bookmarkStart w:id="276" w:name="_Toc244934217"/>
      <w:bookmarkEnd w:id="276"/>
      <w:bookmarkStart w:id="277" w:name="_Toc23775"/>
      <w:r>
        <w:rPr>
          <w:rFonts w:hint="eastAsia" w:ascii="Times New Roman" w:eastAsia="宋体"/>
          <w:b/>
          <w:bCs/>
          <w:color w:val="auto"/>
          <w:sz w:val="28"/>
          <w:szCs w:val="32"/>
          <w:highlight w:val="none"/>
          <w:lang w:val="en-US" w:eastAsia="zh-CN"/>
        </w:rPr>
        <w:t>十</w:t>
      </w:r>
      <w:r>
        <w:rPr>
          <w:rFonts w:hint="eastAsia"/>
          <w:b/>
          <w:bCs/>
          <w:color w:val="auto"/>
          <w:sz w:val="28"/>
          <w:szCs w:val="32"/>
          <w:highlight w:val="none"/>
        </w:rPr>
        <w:t>、其他资料</w:t>
      </w:r>
      <w:bookmarkEnd w:id="277"/>
    </w:p>
    <w:p w14:paraId="5EBE6848">
      <w:pPr>
        <w:wordWrap w:val="0"/>
        <w:topLinePunct/>
        <w:spacing w:line="240" w:lineRule="auto"/>
        <w:jc w:val="both"/>
        <w:rPr>
          <w:rFonts w:ascii="宋体" w:hAnsi="宋体" w:cs="宋体"/>
          <w:color w:val="auto"/>
          <w:highlight w:val="none"/>
        </w:rPr>
      </w:pPr>
      <w:r>
        <w:rPr>
          <w:rFonts w:hint="eastAsia" w:ascii="宋体" w:hAnsi="宋体" w:cs="宋体"/>
          <w:color w:val="auto"/>
          <w:highlight w:val="none"/>
        </w:rPr>
        <w:t>附件1</w:t>
      </w:r>
    </w:p>
    <w:p w14:paraId="2556B0DE">
      <w:pPr>
        <w:wordWrap w:val="0"/>
        <w:topLinePunct/>
        <w:adjustRightInd w:val="0"/>
        <w:ind w:left="72" w:leftChars="30" w:right="72" w:rightChars="30"/>
        <w:jc w:val="center"/>
        <w:textAlignment w:val="baseline"/>
        <w:rPr>
          <w:rFonts w:hint="eastAsia" w:ascii="宋体" w:hAnsi="宋体" w:cs="宋体"/>
          <w:b/>
          <w:color w:val="auto"/>
          <w:highlight w:val="none"/>
        </w:rPr>
      </w:pPr>
      <w:r>
        <w:rPr>
          <w:rFonts w:hint="eastAsia" w:ascii="宋体" w:hAnsi="宋体" w:cs="宋体"/>
          <w:b/>
          <w:color w:val="auto"/>
          <w:highlight w:val="none"/>
        </w:rPr>
        <w:t>中小微企业声明函</w:t>
      </w:r>
      <w:r>
        <w:rPr>
          <w:rFonts w:hint="eastAsia" w:ascii="宋体" w:hAnsi="宋体" w:cs="宋体"/>
          <w:b/>
          <w:bCs/>
          <w:color w:val="auto"/>
          <w:kern w:val="36"/>
          <w:highlight w:val="none"/>
        </w:rPr>
        <w:t>（如有）</w:t>
      </w:r>
    </w:p>
    <w:p w14:paraId="672B0693">
      <w:pPr>
        <w:wordWrap w:val="0"/>
        <w:topLinePunct/>
        <w:adjustRightInd w:val="0"/>
        <w:snapToGrid w:val="0"/>
        <w:ind w:firstLine="480" w:firstLineChars="200"/>
        <w:jc w:val="both"/>
        <w:rPr>
          <w:rFonts w:hint="eastAsia" w:ascii="宋体" w:hAnsi="宋体" w:cs="宋体"/>
          <w:color w:val="auto"/>
          <w:highlight w:val="none"/>
        </w:rPr>
      </w:pPr>
      <w:r>
        <w:rPr>
          <w:rFonts w:hint="eastAsia" w:ascii="宋体" w:hAnsi="宋体" w:cs="宋体"/>
          <w:color w:val="auto"/>
          <w:highlight w:val="none"/>
        </w:rPr>
        <w:t>本公司（联合体）郑重声明，根据《政府采购促进中小企业发展管理办法》（财库﹝2020﹞46 号）的规定，本公司（联合体）参加</w:t>
      </w:r>
      <w:r>
        <w:rPr>
          <w:rFonts w:hint="eastAsia" w:ascii="宋体" w:hAnsi="宋体" w:cs="宋体"/>
          <w:color w:val="auto"/>
          <w:highlight w:val="none"/>
          <w:u w:val="single"/>
        </w:rPr>
        <w:t>（单位名称）</w:t>
      </w:r>
      <w:r>
        <w:rPr>
          <w:rFonts w:hint="eastAsia" w:ascii="宋体" w:hAnsi="宋体" w:cs="宋体"/>
          <w:color w:val="auto"/>
          <w:highlight w:val="none"/>
        </w:rPr>
        <w:t>的</w:t>
      </w:r>
      <w:r>
        <w:rPr>
          <w:rFonts w:hint="eastAsia" w:ascii="宋体" w:hAnsi="宋体" w:cs="宋体"/>
          <w:color w:val="auto"/>
          <w:highlight w:val="none"/>
          <w:u w:val="single"/>
        </w:rPr>
        <w:t>（项目名称）</w:t>
      </w:r>
      <w:r>
        <w:rPr>
          <w:rFonts w:hint="eastAsia" w:ascii="宋体" w:hAnsi="宋体" w:cs="宋体"/>
          <w:color w:val="auto"/>
          <w:highlight w:val="none"/>
        </w:rPr>
        <w:t>采购活动，提供的货物全部为符合政策要求的中小企业。相关企业（含联合体中的中小企业、签订分包意向协议的中小企业）的具体情况如下：</w:t>
      </w:r>
    </w:p>
    <w:p w14:paraId="3A6256E9">
      <w:pPr>
        <w:wordWrap w:val="0"/>
        <w:topLinePunct/>
        <w:adjustRightInd w:val="0"/>
        <w:snapToGrid w:val="0"/>
        <w:ind w:firstLine="480" w:firstLineChars="200"/>
        <w:jc w:val="both"/>
        <w:rPr>
          <w:rFonts w:hint="eastAsia" w:ascii="宋体" w:hAnsi="宋体" w:cs="宋体"/>
          <w:color w:val="auto"/>
          <w:kern w:val="0"/>
          <w:highlight w:val="none"/>
        </w:rPr>
      </w:pPr>
      <w:r>
        <w:rPr>
          <w:rFonts w:hint="eastAsia" w:ascii="宋体" w:hAnsi="宋体" w:cs="宋体"/>
          <w:color w:val="auto"/>
          <w:highlight w:val="none"/>
        </w:rPr>
        <w:t>1.</w:t>
      </w:r>
      <w:r>
        <w:rPr>
          <w:rFonts w:hint="eastAsia" w:ascii="宋体" w:hAnsi="宋体" w:cs="宋体"/>
          <w:color w:val="auto"/>
          <w:highlight w:val="none"/>
          <w:u w:val="single"/>
        </w:rPr>
        <w:t>（标的名称）</w:t>
      </w:r>
      <w:r>
        <w:rPr>
          <w:rFonts w:hint="eastAsia" w:ascii="宋体" w:hAnsi="宋体" w:cs="宋体"/>
          <w:color w:val="auto"/>
          <w:highlight w:val="none"/>
        </w:rPr>
        <w:t>，属于</w:t>
      </w:r>
      <w:r>
        <w:rPr>
          <w:rFonts w:hint="eastAsia" w:ascii="宋体" w:hAnsi="宋体" w:cs="宋体"/>
          <w:color w:val="auto"/>
          <w:highlight w:val="none"/>
          <w:u w:val="single"/>
        </w:rPr>
        <w:t>（采购文件中明确的所属行业）</w:t>
      </w:r>
      <w:r>
        <w:rPr>
          <w:rFonts w:hint="eastAsia" w:ascii="宋体" w:hAnsi="宋体" w:cs="宋体"/>
          <w:color w:val="auto"/>
          <w:highlight w:val="none"/>
        </w:rPr>
        <w:t>；制造商为</w:t>
      </w:r>
      <w:r>
        <w:rPr>
          <w:rFonts w:hint="eastAsia" w:ascii="宋体" w:hAnsi="宋体" w:cs="宋体"/>
          <w:color w:val="auto"/>
          <w:highlight w:val="none"/>
          <w:u w:val="single"/>
        </w:rPr>
        <w:t>（企业名称）</w:t>
      </w:r>
      <w:r>
        <w:rPr>
          <w:rFonts w:hint="eastAsia" w:ascii="宋体" w:hAnsi="宋体" w:cs="宋体"/>
          <w:color w:val="auto"/>
          <w:highlight w:val="none"/>
        </w:rPr>
        <w:t>，从业人员</w:t>
      </w:r>
      <w:r>
        <w:rPr>
          <w:rFonts w:hint="eastAsia" w:ascii="宋体" w:hAnsi="宋体" w:cs="宋体"/>
          <w:color w:val="auto"/>
          <w:highlight w:val="none"/>
          <w:u w:val="single"/>
        </w:rPr>
        <w:tab/>
      </w:r>
      <w:r>
        <w:rPr>
          <w:rFonts w:hint="eastAsia" w:ascii="宋体" w:hAnsi="宋体" w:cs="宋体"/>
          <w:color w:val="auto"/>
          <w:highlight w:val="none"/>
        </w:rPr>
        <w:t>人，营业收入为</w:t>
      </w:r>
      <w:r>
        <w:rPr>
          <w:rFonts w:hint="eastAsia" w:ascii="宋体" w:hAnsi="宋体" w:cs="宋体"/>
          <w:color w:val="auto"/>
          <w:highlight w:val="none"/>
          <w:u w:val="single"/>
        </w:rPr>
        <w:tab/>
      </w:r>
      <w:r>
        <w:rPr>
          <w:rFonts w:hint="eastAsia" w:ascii="宋体" w:hAnsi="宋体" w:cs="宋体"/>
          <w:color w:val="auto"/>
          <w:highlight w:val="none"/>
        </w:rPr>
        <w:t>万元，资产总额为</w:t>
      </w:r>
      <w:r>
        <w:rPr>
          <w:rFonts w:hint="eastAsia" w:ascii="宋体" w:hAnsi="宋体" w:cs="宋体"/>
          <w:color w:val="auto"/>
          <w:highlight w:val="none"/>
          <w:u w:val="single"/>
        </w:rPr>
        <w:tab/>
      </w:r>
      <w:r>
        <w:rPr>
          <w:rFonts w:hint="eastAsia" w:ascii="宋体" w:hAnsi="宋体" w:cs="宋体"/>
          <w:color w:val="auto"/>
          <w:highlight w:val="none"/>
        </w:rPr>
        <w:t>万元，属于</w:t>
      </w:r>
      <w:r>
        <w:rPr>
          <w:rFonts w:hint="eastAsia" w:ascii="宋体" w:hAnsi="宋体" w:cs="宋体"/>
          <w:color w:val="auto"/>
          <w:highlight w:val="none"/>
          <w:u w:val="single"/>
        </w:rPr>
        <w:t>（中型企业、小型企业、微型企业）</w:t>
      </w:r>
      <w:r>
        <w:rPr>
          <w:rFonts w:hint="eastAsia" w:ascii="宋体" w:hAnsi="宋体" w:cs="宋体"/>
          <w:color w:val="auto"/>
          <w:highlight w:val="none"/>
        </w:rPr>
        <w:t>；</w:t>
      </w:r>
    </w:p>
    <w:p w14:paraId="244DCA9F">
      <w:pPr>
        <w:wordWrap w:val="0"/>
        <w:topLinePunct/>
        <w:adjustRightInd w:val="0"/>
        <w:snapToGrid w:val="0"/>
        <w:ind w:firstLine="480" w:firstLineChars="200"/>
        <w:jc w:val="both"/>
        <w:rPr>
          <w:rFonts w:hint="eastAsia"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u w:val="single"/>
        </w:rPr>
        <w:t>（标的名称）</w:t>
      </w:r>
      <w:r>
        <w:rPr>
          <w:rFonts w:hint="eastAsia" w:ascii="宋体" w:hAnsi="宋体" w:cs="宋体"/>
          <w:color w:val="auto"/>
          <w:highlight w:val="none"/>
        </w:rPr>
        <w:t>，属于</w:t>
      </w:r>
      <w:r>
        <w:rPr>
          <w:rFonts w:hint="eastAsia" w:ascii="宋体" w:hAnsi="宋体" w:cs="宋体"/>
          <w:color w:val="auto"/>
          <w:highlight w:val="none"/>
          <w:u w:val="single"/>
        </w:rPr>
        <w:t>（采购文件中明确的所属行业）</w:t>
      </w:r>
      <w:r>
        <w:rPr>
          <w:rFonts w:hint="eastAsia" w:ascii="宋体" w:hAnsi="宋体" w:cs="宋体"/>
          <w:color w:val="auto"/>
          <w:highlight w:val="none"/>
        </w:rPr>
        <w:t>；制造商为</w:t>
      </w:r>
      <w:r>
        <w:rPr>
          <w:rFonts w:hint="eastAsia" w:ascii="宋体" w:hAnsi="宋体" w:cs="宋体"/>
          <w:color w:val="auto"/>
          <w:highlight w:val="none"/>
          <w:u w:val="single"/>
        </w:rPr>
        <w:t>（企业名称）</w:t>
      </w:r>
      <w:r>
        <w:rPr>
          <w:rFonts w:hint="eastAsia" w:ascii="宋体" w:hAnsi="宋体" w:cs="宋体"/>
          <w:color w:val="auto"/>
          <w:highlight w:val="none"/>
        </w:rPr>
        <w:t>，从业人员</w:t>
      </w:r>
      <w:r>
        <w:rPr>
          <w:rFonts w:hint="eastAsia" w:ascii="宋体" w:hAnsi="宋体" w:cs="宋体"/>
          <w:color w:val="auto"/>
          <w:highlight w:val="none"/>
          <w:u w:val="single"/>
        </w:rPr>
        <w:tab/>
      </w:r>
      <w:r>
        <w:rPr>
          <w:rFonts w:hint="eastAsia" w:ascii="宋体" w:hAnsi="宋体" w:cs="宋体"/>
          <w:color w:val="auto"/>
          <w:highlight w:val="none"/>
        </w:rPr>
        <w:t>人，营业收入为</w:t>
      </w:r>
      <w:r>
        <w:rPr>
          <w:rFonts w:hint="eastAsia" w:ascii="宋体" w:hAnsi="宋体" w:cs="宋体"/>
          <w:color w:val="auto"/>
          <w:highlight w:val="none"/>
          <w:u w:val="single"/>
        </w:rPr>
        <w:tab/>
      </w:r>
      <w:r>
        <w:rPr>
          <w:rFonts w:hint="eastAsia" w:ascii="宋体" w:hAnsi="宋体" w:cs="宋体"/>
          <w:color w:val="auto"/>
          <w:highlight w:val="none"/>
        </w:rPr>
        <w:t>万元，资产总额为</w:t>
      </w:r>
      <w:r>
        <w:rPr>
          <w:rFonts w:hint="eastAsia" w:ascii="宋体" w:hAnsi="宋体" w:cs="宋体"/>
          <w:color w:val="auto"/>
          <w:highlight w:val="none"/>
          <w:u w:val="single"/>
        </w:rPr>
        <w:tab/>
      </w:r>
      <w:r>
        <w:rPr>
          <w:rFonts w:hint="eastAsia" w:ascii="宋体" w:hAnsi="宋体" w:cs="宋体"/>
          <w:color w:val="auto"/>
          <w:highlight w:val="none"/>
        </w:rPr>
        <w:t>万元，属于</w:t>
      </w:r>
      <w:r>
        <w:rPr>
          <w:rFonts w:hint="eastAsia" w:ascii="宋体" w:hAnsi="宋体" w:cs="宋体"/>
          <w:color w:val="auto"/>
          <w:highlight w:val="none"/>
          <w:u w:val="single"/>
        </w:rPr>
        <w:t>（中型企业、小型企业、微型企业）</w:t>
      </w:r>
      <w:r>
        <w:rPr>
          <w:rFonts w:hint="eastAsia" w:ascii="宋体" w:hAnsi="宋体" w:cs="宋体"/>
          <w:color w:val="auto"/>
          <w:highlight w:val="none"/>
        </w:rPr>
        <w:t>；</w:t>
      </w:r>
    </w:p>
    <w:p w14:paraId="363092B6">
      <w:pPr>
        <w:wordWrap w:val="0"/>
        <w:topLinePunct/>
        <w:adjustRightInd w:val="0"/>
        <w:snapToGrid w:val="0"/>
        <w:ind w:firstLine="480" w:firstLineChars="200"/>
        <w:jc w:val="both"/>
        <w:rPr>
          <w:rFonts w:hint="eastAsia" w:ascii="宋体" w:hAnsi="宋体" w:cs="宋体"/>
          <w:color w:val="auto"/>
          <w:highlight w:val="none"/>
        </w:rPr>
      </w:pPr>
      <w:r>
        <w:rPr>
          <w:rFonts w:hint="eastAsia" w:ascii="宋体" w:hAnsi="宋体" w:cs="宋体"/>
          <w:color w:val="auto"/>
          <w:highlight w:val="none"/>
        </w:rPr>
        <w:t>……</w:t>
      </w:r>
    </w:p>
    <w:p w14:paraId="429E05B6">
      <w:pPr>
        <w:wordWrap w:val="0"/>
        <w:topLinePunct/>
        <w:adjustRightInd w:val="0"/>
        <w:snapToGrid w:val="0"/>
        <w:ind w:firstLine="480" w:firstLineChars="200"/>
        <w:jc w:val="both"/>
        <w:rPr>
          <w:rFonts w:hint="eastAsia" w:ascii="宋体" w:hAnsi="宋体" w:cs="宋体"/>
          <w:color w:val="auto"/>
          <w:highlight w:val="none"/>
        </w:rPr>
      </w:pPr>
      <w:r>
        <w:rPr>
          <w:rFonts w:hint="eastAsia" w:ascii="宋体" w:hAnsi="宋体" w:cs="宋体"/>
          <w:color w:val="auto"/>
          <w:highlight w:val="none"/>
        </w:rPr>
        <w:t>以上企业，不属于大企业的分支机构，不存在控股股东为大企业的情形，也不存在与大企业的负责人为同一人的情形。</w:t>
      </w:r>
    </w:p>
    <w:p w14:paraId="5CA23DA1">
      <w:pPr>
        <w:wordWrap w:val="0"/>
        <w:topLinePunct/>
        <w:adjustRightInd w:val="0"/>
        <w:snapToGrid w:val="0"/>
        <w:ind w:firstLine="480" w:firstLineChars="200"/>
        <w:jc w:val="both"/>
        <w:rPr>
          <w:rFonts w:hint="eastAsia" w:ascii="宋体" w:hAnsi="宋体" w:cs="宋体"/>
          <w:color w:val="auto"/>
          <w:highlight w:val="none"/>
        </w:rPr>
      </w:pPr>
      <w:r>
        <w:rPr>
          <w:rFonts w:hint="eastAsia" w:ascii="宋体" w:hAnsi="宋体" w:cs="宋体"/>
          <w:color w:val="auto"/>
          <w:highlight w:val="none"/>
        </w:rPr>
        <w:t>本企业对上述声明内容的真实性负责。如有虚假，将依法承担相应责任。</w:t>
      </w:r>
    </w:p>
    <w:p w14:paraId="712AF270">
      <w:pPr>
        <w:wordWrap w:val="0"/>
        <w:topLinePunct/>
        <w:spacing w:after="120"/>
        <w:ind w:left="480" w:leftChars="200" w:firstLine="480" w:firstLineChars="200"/>
        <w:jc w:val="both"/>
        <w:rPr>
          <w:rFonts w:hint="eastAsia" w:ascii="宋体" w:hAnsi="宋体" w:cs="宋体"/>
          <w:color w:val="auto"/>
          <w:highlight w:val="none"/>
        </w:rPr>
      </w:pPr>
    </w:p>
    <w:p w14:paraId="5A0F32D6">
      <w:pPr>
        <w:wordWrap w:val="0"/>
        <w:topLinePunct/>
        <w:adjustRightInd w:val="0"/>
        <w:snapToGrid w:val="0"/>
        <w:jc w:val="center"/>
        <w:rPr>
          <w:rFonts w:hint="eastAsia" w:ascii="宋体" w:hAnsi="宋体" w:cs="宋体"/>
          <w:color w:val="auto"/>
          <w:highlight w:val="none"/>
        </w:rPr>
      </w:pPr>
      <w:r>
        <w:rPr>
          <w:rFonts w:hint="eastAsia" w:ascii="宋体" w:hAnsi="宋体" w:cs="宋体"/>
          <w:color w:val="auto"/>
          <w:highlight w:val="none"/>
        </w:rPr>
        <w:t xml:space="preserve">      企业名称（盖章）：</w:t>
      </w:r>
    </w:p>
    <w:p w14:paraId="0CA346B8">
      <w:pPr>
        <w:wordWrap w:val="0"/>
        <w:topLinePunct/>
        <w:adjustRightInd w:val="0"/>
        <w:snapToGrid w:val="0"/>
        <w:jc w:val="center"/>
        <w:rPr>
          <w:rFonts w:hint="eastAsia" w:ascii="宋体" w:hAnsi="宋体" w:cs="宋体"/>
          <w:color w:val="auto"/>
          <w:highlight w:val="none"/>
        </w:rPr>
      </w:pPr>
      <w:r>
        <w:rPr>
          <w:rFonts w:hint="eastAsia" w:ascii="宋体" w:hAnsi="宋体" w:cs="宋体"/>
          <w:color w:val="auto"/>
          <w:highlight w:val="none"/>
        </w:rPr>
        <w:t xml:space="preserve">      日          期：</w:t>
      </w:r>
    </w:p>
    <w:p w14:paraId="40D70959">
      <w:pPr>
        <w:wordWrap w:val="0"/>
        <w:topLinePunct/>
        <w:spacing w:after="120"/>
        <w:jc w:val="both"/>
        <w:rPr>
          <w:rFonts w:hint="eastAsia" w:ascii="宋体" w:hAnsi="宋体" w:cs="宋体"/>
          <w:color w:val="auto"/>
          <w:highlight w:val="none"/>
          <w:lang w:val="en-US" w:eastAsia="zh-CN"/>
        </w:rPr>
      </w:pPr>
      <w:r>
        <w:rPr>
          <w:rFonts w:hint="eastAsia" w:ascii="宋体" w:hAnsi="宋体" w:cs="宋体"/>
          <w:color w:val="auto"/>
          <w:highlight w:val="none"/>
          <w:lang w:val="en-US" w:eastAsia="zh-CN"/>
        </w:rPr>
        <w:t>注：</w:t>
      </w:r>
      <w:r>
        <w:rPr>
          <w:rFonts w:hint="eastAsia" w:ascii="宋体" w:hAnsi="宋体" w:cs="宋体"/>
          <w:color w:val="auto"/>
          <w:highlight w:val="none"/>
          <w:lang w:val="en-US" w:eastAsia="en-US"/>
        </w:rPr>
        <w:t>①</w:t>
      </w:r>
      <w:r>
        <w:rPr>
          <w:rFonts w:hint="eastAsia" w:ascii="宋体" w:hAnsi="宋体" w:cs="宋体"/>
          <w:color w:val="auto"/>
          <w:highlight w:val="none"/>
          <w:lang w:val="en-US" w:eastAsia="zh-CN"/>
        </w:rPr>
        <w:t xml:space="preserve">从业人员、营业收入、资产总额填报上一年度数据，无上一年度数据的新成立企业可不填报。 </w:t>
      </w:r>
    </w:p>
    <w:p w14:paraId="13026955">
      <w:pPr>
        <w:wordWrap w:val="0"/>
        <w:topLinePunct/>
        <w:spacing w:after="120"/>
        <w:jc w:val="both"/>
        <w:rPr>
          <w:rFonts w:hint="eastAsia" w:ascii="宋体" w:hAnsi="宋体" w:cs="宋体"/>
          <w:color w:val="auto"/>
          <w:highlight w:val="none"/>
          <w:lang w:val="en-US" w:eastAsia="zh-CN"/>
        </w:rPr>
      </w:pPr>
      <w:r>
        <w:rPr>
          <w:rFonts w:hint="eastAsia" w:ascii="宋体" w:hAnsi="宋体" w:cs="宋体"/>
          <w:color w:val="auto"/>
          <w:highlight w:val="none"/>
          <w:lang w:val="en-US" w:eastAsia="en-US"/>
        </w:rPr>
        <w:t>②</w:t>
      </w:r>
      <w:r>
        <w:rPr>
          <w:rFonts w:hint="eastAsia" w:ascii="宋体" w:hAnsi="宋体" w:cs="宋体"/>
          <w:color w:val="auto"/>
          <w:highlight w:val="none"/>
          <w:lang w:val="en-US" w:eastAsia="zh-CN"/>
        </w:rPr>
        <w:t xml:space="preserve">以联合体形式参加政府采购活动，联合体各方均为中小企业的，联合体视同中小企业。其中，联合体各方均为小微企业的，联合体视同小微企业。 </w:t>
      </w:r>
    </w:p>
    <w:p w14:paraId="04A3D642">
      <w:pPr>
        <w:wordWrap w:val="0"/>
        <w:topLinePunct/>
        <w:spacing w:after="120"/>
        <w:jc w:val="both"/>
        <w:rPr>
          <w:rFonts w:hint="eastAsia" w:ascii="宋体" w:hAnsi="宋体" w:cs="宋体"/>
          <w:color w:val="auto"/>
          <w:highlight w:val="none"/>
          <w:lang w:val="en-US" w:eastAsia="zh-CN"/>
        </w:rPr>
      </w:pPr>
      <w:r>
        <w:rPr>
          <w:rFonts w:hint="eastAsia" w:ascii="宋体" w:hAnsi="宋体" w:cs="宋体"/>
          <w:color w:val="auto"/>
          <w:highlight w:val="none"/>
          <w:lang w:val="en-US" w:eastAsia="en-US"/>
        </w:rPr>
        <w:t>③</w:t>
      </w:r>
      <w:r>
        <w:rPr>
          <w:rFonts w:hint="eastAsia" w:ascii="宋体" w:hAnsi="宋体" w:cs="宋体"/>
          <w:color w:val="auto"/>
          <w:highlight w:val="none"/>
          <w:lang w:val="en-US" w:eastAsia="zh-CN"/>
        </w:rPr>
        <w:t>在政府采购活动中，供应商提供的服务由小微企业承接，即提供服务的人员为小微企业依照《中华人民共和国劳动合同法》订立劳动合同的从业人员的，才能享受《政府采购促进中小企业发展管理办法》规定的价格扣减。</w:t>
      </w:r>
    </w:p>
    <w:p w14:paraId="5CDC317B">
      <w:pPr>
        <w:wordWrap w:val="0"/>
        <w:topLinePunct/>
        <w:spacing w:after="120"/>
        <w:jc w:val="both"/>
        <w:rPr>
          <w:rFonts w:hint="eastAsia" w:ascii="宋体" w:hAnsi="宋体" w:cs="宋体"/>
          <w:color w:val="auto"/>
          <w:highlight w:val="none"/>
        </w:rPr>
      </w:pPr>
    </w:p>
    <w:p w14:paraId="29C60353">
      <w:pPr>
        <w:wordWrap w:val="0"/>
        <w:topLinePunct/>
        <w:spacing w:after="120"/>
        <w:jc w:val="both"/>
        <w:rPr>
          <w:rFonts w:hint="eastAsia" w:ascii="宋体" w:hAnsi="宋体" w:cs="宋体"/>
          <w:color w:val="auto"/>
          <w:highlight w:val="none"/>
        </w:rPr>
      </w:pPr>
      <w:r>
        <w:rPr>
          <w:rFonts w:hint="eastAsia" w:ascii="宋体" w:hAnsi="宋体" w:cs="宋体"/>
          <w:color w:val="auto"/>
          <w:highlight w:val="none"/>
        </w:rPr>
        <w:t>附件2</w:t>
      </w:r>
    </w:p>
    <w:p w14:paraId="223DD1B4">
      <w:pPr>
        <w:wordWrap w:val="0"/>
        <w:topLinePunct/>
        <w:adjustRightInd w:val="0"/>
        <w:snapToGrid w:val="0"/>
        <w:spacing w:line="240" w:lineRule="auto"/>
        <w:ind w:firstLine="480" w:firstLineChars="200"/>
        <w:jc w:val="both"/>
        <w:rPr>
          <w:rFonts w:hint="eastAsia" w:ascii="宋体" w:hAnsi="宋体" w:cs="宋体"/>
          <w:color w:val="auto"/>
          <w:highlight w:val="none"/>
        </w:rPr>
      </w:pPr>
    </w:p>
    <w:p w14:paraId="2319781E">
      <w:pPr>
        <w:wordWrap w:val="0"/>
        <w:topLinePunct/>
        <w:adjustRightInd w:val="0"/>
        <w:snapToGrid w:val="0"/>
        <w:spacing w:line="240" w:lineRule="auto"/>
        <w:ind w:firstLine="360" w:firstLineChars="150"/>
        <w:jc w:val="both"/>
        <w:rPr>
          <w:rFonts w:hint="eastAsia" w:ascii="宋体" w:hAnsi="宋体" w:cs="宋体"/>
          <w:color w:val="auto"/>
          <w:highlight w:val="none"/>
        </w:rPr>
      </w:pPr>
    </w:p>
    <w:p w14:paraId="27047DB7">
      <w:pPr>
        <w:keepNext/>
        <w:keepLines/>
        <w:tabs>
          <w:tab w:val="left" w:pos="840"/>
        </w:tabs>
        <w:wordWrap w:val="0"/>
        <w:topLinePunct/>
        <w:spacing w:line="412" w:lineRule="auto"/>
        <w:jc w:val="center"/>
        <w:outlineLvl w:val="1"/>
        <w:rPr>
          <w:rFonts w:hint="eastAsia" w:ascii="宋体" w:hAnsi="宋体" w:cs="宋体"/>
          <w:b/>
          <w:bCs/>
          <w:color w:val="auto"/>
          <w:highlight w:val="none"/>
          <w:lang w:val="zh-CN"/>
        </w:rPr>
      </w:pPr>
      <w:r>
        <w:rPr>
          <w:rFonts w:hint="eastAsia" w:ascii="宋体" w:hAnsi="宋体" w:cs="宋体"/>
          <w:b/>
          <w:bCs/>
          <w:color w:val="auto"/>
          <w:highlight w:val="none"/>
          <w:lang w:val="zh-CN"/>
        </w:rPr>
        <w:t>监狱企业证明文件</w:t>
      </w:r>
    </w:p>
    <w:p w14:paraId="2095130E">
      <w:pPr>
        <w:wordWrap w:val="0"/>
        <w:topLinePunct/>
        <w:spacing w:line="240" w:lineRule="auto"/>
        <w:jc w:val="center"/>
        <w:rPr>
          <w:rFonts w:hint="eastAsia" w:ascii="宋体" w:hAnsi="宋体" w:cs="宋体"/>
          <w:b/>
          <w:bCs/>
          <w:color w:val="auto"/>
          <w:highlight w:val="none"/>
        </w:rPr>
      </w:pPr>
    </w:p>
    <w:p w14:paraId="1C771F29">
      <w:pPr>
        <w:wordWrap w:val="0"/>
        <w:topLinePunct/>
        <w:spacing w:line="500" w:lineRule="exact"/>
        <w:jc w:val="both"/>
        <w:rPr>
          <w:rFonts w:hint="eastAsia" w:ascii="宋体" w:hAnsi="宋体" w:cs="宋体"/>
          <w:color w:val="auto"/>
          <w:spacing w:val="6"/>
          <w:highlight w:val="none"/>
        </w:rPr>
      </w:pPr>
    </w:p>
    <w:p w14:paraId="4664CFC0">
      <w:pPr>
        <w:wordWrap w:val="0"/>
        <w:topLinePunct/>
        <w:spacing w:line="500" w:lineRule="exact"/>
        <w:ind w:firstLine="420"/>
        <w:jc w:val="both"/>
        <w:rPr>
          <w:rFonts w:hint="eastAsia" w:ascii="宋体" w:hAnsi="宋体" w:cs="宋体"/>
          <w:color w:val="auto"/>
          <w:spacing w:val="6"/>
          <w:highlight w:val="none"/>
        </w:rPr>
      </w:pPr>
      <w:r>
        <w:rPr>
          <w:rFonts w:hint="eastAsia" w:ascii="宋体" w:hAnsi="宋体" w:cs="宋体"/>
          <w:color w:val="auto"/>
          <w:spacing w:val="6"/>
          <w:highlight w:val="none"/>
        </w:rPr>
        <w:t>（监狱企业参加政府采购活动时，应当提供由省级以上监狱管理局、戒毒管理局(含新疆生产建设兵团)出具的属于监狱企业的证明文件。</w:t>
      </w:r>
    </w:p>
    <w:p w14:paraId="333E932D">
      <w:pPr>
        <w:wordWrap w:val="0"/>
        <w:topLinePunct/>
        <w:spacing w:line="500" w:lineRule="exact"/>
        <w:ind w:firstLine="504" w:firstLineChars="200"/>
        <w:jc w:val="both"/>
        <w:rPr>
          <w:rFonts w:hint="eastAsia" w:ascii="宋体" w:hAnsi="宋体" w:cs="宋体"/>
          <w:color w:val="auto"/>
          <w:spacing w:val="6"/>
          <w:highlight w:val="none"/>
        </w:rPr>
      </w:pPr>
    </w:p>
    <w:p w14:paraId="7C4102F7">
      <w:pPr>
        <w:wordWrap w:val="0"/>
        <w:topLinePunct/>
        <w:spacing w:line="500" w:lineRule="exact"/>
        <w:ind w:firstLine="504" w:firstLineChars="200"/>
        <w:jc w:val="both"/>
        <w:rPr>
          <w:rFonts w:hint="eastAsia" w:ascii="宋体" w:hAnsi="宋体" w:cs="宋体"/>
          <w:color w:val="auto"/>
          <w:spacing w:val="6"/>
          <w:highlight w:val="none"/>
        </w:rPr>
      </w:pPr>
    </w:p>
    <w:p w14:paraId="569C2DE5">
      <w:pPr>
        <w:wordWrap w:val="0"/>
        <w:topLinePunct/>
        <w:spacing w:line="500" w:lineRule="exact"/>
        <w:ind w:firstLine="504" w:firstLineChars="200"/>
        <w:jc w:val="both"/>
        <w:rPr>
          <w:rFonts w:hint="eastAsia" w:ascii="宋体" w:hAnsi="宋体" w:cs="宋体"/>
          <w:color w:val="auto"/>
          <w:spacing w:val="6"/>
          <w:highlight w:val="none"/>
        </w:rPr>
      </w:pPr>
      <w:r>
        <w:rPr>
          <w:rFonts w:hint="eastAsia" w:ascii="宋体" w:hAnsi="宋体" w:cs="宋体"/>
          <w:color w:val="auto"/>
          <w:spacing w:val="6"/>
          <w:highlight w:val="none"/>
        </w:rPr>
        <w:t>注：在投标文件中附扫描件</w:t>
      </w:r>
    </w:p>
    <w:p w14:paraId="3EE7630D">
      <w:pPr>
        <w:wordWrap w:val="0"/>
        <w:topLinePunct/>
        <w:spacing w:line="500" w:lineRule="exact"/>
        <w:jc w:val="both"/>
        <w:rPr>
          <w:rFonts w:hint="eastAsia" w:ascii="宋体" w:hAnsi="宋体" w:cs="宋体"/>
          <w:color w:val="auto"/>
          <w:highlight w:val="none"/>
        </w:rPr>
      </w:pPr>
    </w:p>
    <w:p w14:paraId="2D93E7FD">
      <w:pPr>
        <w:wordWrap w:val="0"/>
        <w:topLinePunct/>
        <w:spacing w:after="120" w:line="240" w:lineRule="auto"/>
        <w:ind w:left="1680" w:leftChars="700" w:right="1680" w:rightChars="700"/>
        <w:jc w:val="both"/>
        <w:rPr>
          <w:rFonts w:hint="eastAsia" w:ascii="宋体" w:hAnsi="宋体" w:cs="宋体"/>
          <w:b/>
          <w:bCs/>
          <w:color w:val="auto"/>
          <w:kern w:val="36"/>
          <w:highlight w:val="none"/>
        </w:rPr>
      </w:pPr>
    </w:p>
    <w:p w14:paraId="022A2F47">
      <w:pPr>
        <w:wordWrap w:val="0"/>
        <w:topLinePunct/>
        <w:spacing w:after="120" w:line="240" w:lineRule="auto"/>
        <w:ind w:left="1680" w:leftChars="700" w:right="1680" w:rightChars="700"/>
        <w:jc w:val="both"/>
        <w:rPr>
          <w:rFonts w:hint="eastAsia" w:ascii="宋体" w:hAnsi="宋体" w:cs="宋体"/>
          <w:b/>
          <w:bCs/>
          <w:color w:val="auto"/>
          <w:kern w:val="36"/>
          <w:highlight w:val="none"/>
        </w:rPr>
      </w:pPr>
    </w:p>
    <w:p w14:paraId="05B73D6E">
      <w:pPr>
        <w:wordWrap w:val="0"/>
        <w:topLinePunct/>
        <w:spacing w:after="120" w:line="240" w:lineRule="auto"/>
        <w:ind w:left="1680" w:leftChars="700" w:right="1680" w:rightChars="700"/>
        <w:jc w:val="both"/>
        <w:rPr>
          <w:rFonts w:hint="eastAsia" w:ascii="宋体" w:hAnsi="宋体" w:cs="宋体"/>
          <w:b/>
          <w:bCs/>
          <w:color w:val="auto"/>
          <w:kern w:val="36"/>
          <w:highlight w:val="none"/>
        </w:rPr>
      </w:pPr>
    </w:p>
    <w:p w14:paraId="1B65DD68">
      <w:pPr>
        <w:wordWrap w:val="0"/>
        <w:topLinePunct/>
        <w:spacing w:after="120" w:line="240" w:lineRule="auto"/>
        <w:ind w:left="1680" w:leftChars="700" w:right="1680" w:rightChars="700"/>
        <w:jc w:val="both"/>
        <w:rPr>
          <w:rFonts w:hint="eastAsia" w:ascii="宋体" w:hAnsi="宋体" w:cs="宋体"/>
          <w:b/>
          <w:bCs/>
          <w:color w:val="auto"/>
          <w:kern w:val="36"/>
          <w:highlight w:val="none"/>
        </w:rPr>
      </w:pPr>
    </w:p>
    <w:p w14:paraId="1F9B6171">
      <w:pPr>
        <w:wordWrap w:val="0"/>
        <w:topLinePunct/>
        <w:spacing w:after="120" w:line="240" w:lineRule="auto"/>
        <w:ind w:left="1680" w:leftChars="700" w:right="1680" w:rightChars="700"/>
        <w:jc w:val="both"/>
        <w:rPr>
          <w:rFonts w:hint="eastAsia" w:ascii="宋体" w:hAnsi="宋体" w:cs="宋体"/>
          <w:b/>
          <w:bCs/>
          <w:color w:val="auto"/>
          <w:kern w:val="36"/>
          <w:highlight w:val="none"/>
        </w:rPr>
      </w:pPr>
    </w:p>
    <w:p w14:paraId="4A97FE6B">
      <w:pPr>
        <w:wordWrap w:val="0"/>
        <w:topLinePunct/>
        <w:spacing w:after="120" w:line="240" w:lineRule="auto"/>
        <w:ind w:left="1680" w:leftChars="700" w:right="1680" w:rightChars="700"/>
        <w:jc w:val="both"/>
        <w:rPr>
          <w:rFonts w:hint="eastAsia" w:ascii="宋体" w:hAnsi="宋体" w:cs="宋体"/>
          <w:b/>
          <w:bCs/>
          <w:color w:val="auto"/>
          <w:kern w:val="36"/>
          <w:highlight w:val="none"/>
        </w:rPr>
      </w:pPr>
    </w:p>
    <w:p w14:paraId="4733DA57">
      <w:pPr>
        <w:wordWrap w:val="0"/>
        <w:topLinePunct/>
        <w:spacing w:after="120" w:line="240" w:lineRule="auto"/>
        <w:ind w:left="1680" w:leftChars="700" w:right="1680" w:rightChars="700"/>
        <w:jc w:val="both"/>
        <w:rPr>
          <w:rFonts w:hint="eastAsia" w:ascii="宋体" w:hAnsi="宋体" w:cs="宋体"/>
          <w:b/>
          <w:bCs/>
          <w:color w:val="auto"/>
          <w:kern w:val="36"/>
          <w:highlight w:val="none"/>
        </w:rPr>
      </w:pPr>
    </w:p>
    <w:p w14:paraId="4992D200">
      <w:pPr>
        <w:wordWrap w:val="0"/>
        <w:topLinePunct/>
        <w:spacing w:after="120" w:line="240" w:lineRule="auto"/>
        <w:ind w:left="1680" w:leftChars="700" w:right="1680" w:rightChars="700"/>
        <w:jc w:val="both"/>
        <w:rPr>
          <w:rFonts w:hint="eastAsia" w:ascii="宋体" w:hAnsi="宋体" w:cs="宋体"/>
          <w:b/>
          <w:bCs/>
          <w:color w:val="auto"/>
          <w:kern w:val="36"/>
          <w:highlight w:val="none"/>
        </w:rPr>
      </w:pPr>
    </w:p>
    <w:p w14:paraId="66EDDA20">
      <w:pPr>
        <w:wordWrap w:val="0"/>
        <w:topLinePunct/>
        <w:spacing w:after="120" w:line="240" w:lineRule="auto"/>
        <w:ind w:left="1680" w:leftChars="700" w:right="1680" w:rightChars="700"/>
        <w:jc w:val="both"/>
        <w:rPr>
          <w:rFonts w:hint="eastAsia" w:ascii="宋体" w:hAnsi="宋体" w:cs="宋体"/>
          <w:b/>
          <w:bCs/>
          <w:color w:val="auto"/>
          <w:kern w:val="36"/>
          <w:highlight w:val="none"/>
        </w:rPr>
      </w:pPr>
    </w:p>
    <w:p w14:paraId="4D76C78F">
      <w:pPr>
        <w:wordWrap w:val="0"/>
        <w:topLinePunct/>
        <w:spacing w:after="120" w:line="240" w:lineRule="auto"/>
        <w:ind w:left="1680" w:leftChars="700" w:right="1680" w:rightChars="700"/>
        <w:jc w:val="both"/>
        <w:rPr>
          <w:rFonts w:hint="eastAsia" w:ascii="宋体" w:hAnsi="宋体" w:cs="宋体"/>
          <w:b/>
          <w:bCs/>
          <w:color w:val="auto"/>
          <w:kern w:val="36"/>
          <w:highlight w:val="none"/>
        </w:rPr>
      </w:pPr>
    </w:p>
    <w:p w14:paraId="0317BA13">
      <w:pPr>
        <w:wordWrap w:val="0"/>
        <w:topLinePunct/>
        <w:spacing w:after="120" w:line="240" w:lineRule="auto"/>
        <w:ind w:left="1680" w:leftChars="700" w:right="1680" w:rightChars="700"/>
        <w:jc w:val="both"/>
        <w:rPr>
          <w:rFonts w:hint="eastAsia" w:ascii="宋体" w:hAnsi="宋体" w:cs="宋体"/>
          <w:b/>
          <w:bCs/>
          <w:color w:val="auto"/>
          <w:kern w:val="36"/>
          <w:highlight w:val="none"/>
        </w:rPr>
      </w:pPr>
    </w:p>
    <w:p w14:paraId="61A96662">
      <w:pPr>
        <w:wordWrap w:val="0"/>
        <w:topLinePunct/>
        <w:spacing w:after="120" w:line="240" w:lineRule="auto"/>
        <w:ind w:left="1680" w:leftChars="700" w:right="1680" w:rightChars="700"/>
        <w:jc w:val="both"/>
        <w:rPr>
          <w:rFonts w:hint="eastAsia" w:ascii="宋体" w:hAnsi="宋体" w:cs="宋体"/>
          <w:b/>
          <w:bCs/>
          <w:color w:val="auto"/>
          <w:kern w:val="36"/>
          <w:highlight w:val="none"/>
        </w:rPr>
      </w:pPr>
    </w:p>
    <w:p w14:paraId="1C019C3C">
      <w:pPr>
        <w:pageBreakBefore/>
        <w:wordWrap w:val="0"/>
        <w:topLinePunct/>
        <w:spacing w:line="240" w:lineRule="auto"/>
        <w:ind w:firstLine="360" w:firstLineChars="150"/>
        <w:jc w:val="both"/>
        <w:rPr>
          <w:rFonts w:hint="eastAsia" w:ascii="宋体" w:hAnsi="宋体" w:cs="宋体"/>
          <w:color w:val="auto"/>
          <w:highlight w:val="none"/>
        </w:rPr>
      </w:pPr>
      <w:r>
        <w:rPr>
          <w:rFonts w:hint="eastAsia" w:ascii="宋体" w:hAnsi="宋体" w:cs="宋体"/>
          <w:color w:val="auto"/>
          <w:highlight w:val="none"/>
        </w:rPr>
        <w:t>附件3</w:t>
      </w:r>
    </w:p>
    <w:p w14:paraId="7617BBD6">
      <w:pPr>
        <w:wordWrap w:val="0"/>
        <w:spacing w:after="120" w:line="480" w:lineRule="exact"/>
        <w:jc w:val="center"/>
        <w:rPr>
          <w:rFonts w:hint="eastAsia" w:ascii="宋体" w:hAnsi="宋体" w:cs="宋体"/>
          <w:color w:val="auto"/>
          <w:kern w:val="36"/>
          <w:highlight w:val="none"/>
        </w:rPr>
      </w:pPr>
      <w:r>
        <w:rPr>
          <w:rFonts w:hint="eastAsia" w:ascii="宋体" w:hAnsi="宋体" w:cs="宋体"/>
          <w:b/>
          <w:bCs/>
          <w:color w:val="auto"/>
          <w:kern w:val="36"/>
          <w:highlight w:val="none"/>
        </w:rPr>
        <w:t>残疾人福利性单位声明函（如有）</w:t>
      </w:r>
    </w:p>
    <w:p w14:paraId="49C629F0">
      <w:pPr>
        <w:spacing w:line="360" w:lineRule="auto"/>
        <w:ind w:firstLine="504" w:firstLineChars="200"/>
        <w:rPr>
          <w:rFonts w:hint="eastAsia"/>
          <w:color w:val="auto"/>
          <w:spacing w:val="6"/>
          <w:highlight w:val="none"/>
        </w:rPr>
      </w:pPr>
      <w:r>
        <w:rPr>
          <w:rFonts w:hint="eastAsia"/>
          <w:color w:val="auto"/>
          <w:spacing w:val="6"/>
          <w:highlight w:val="none"/>
        </w:rPr>
        <w:t>本单位郑重声明，根据《财政部 民政部 中国残疾人联合会关于促进残疾人就业政府采购政策的通知》（财库</w:t>
      </w:r>
      <w:r>
        <w:rPr>
          <w:rFonts w:hint="eastAsia"/>
          <w:color w:val="auto"/>
          <w:highlight w:val="none"/>
        </w:rPr>
        <w:t>〔2017〕141</w:t>
      </w:r>
      <w:r>
        <w:rPr>
          <w:rFonts w:hint="eastAsia"/>
          <w:color w:val="auto"/>
          <w:spacing w:val="6"/>
          <w:highlight w:val="none"/>
        </w:rPr>
        <w:t>号）的规定，本单位为符合条件的残疾人福利性单位，且本单位参加</w:t>
      </w:r>
      <w:r>
        <w:rPr>
          <w:rFonts w:hint="eastAsia"/>
          <w:color w:val="auto"/>
          <w:spacing w:val="6"/>
          <w:highlight w:val="none"/>
          <w:u w:val="single"/>
        </w:rPr>
        <w:t xml:space="preserve">       </w:t>
      </w:r>
      <w:r>
        <w:rPr>
          <w:rFonts w:hint="eastAsia"/>
          <w:color w:val="auto"/>
          <w:spacing w:val="6"/>
          <w:highlight w:val="none"/>
        </w:rPr>
        <w:t>单位的</w:t>
      </w:r>
      <w:r>
        <w:rPr>
          <w:rFonts w:hint="eastAsia"/>
          <w:color w:val="auto"/>
          <w:spacing w:val="6"/>
          <w:highlight w:val="none"/>
          <w:u w:val="single"/>
        </w:rPr>
        <w:t xml:space="preserve">      </w:t>
      </w:r>
      <w:r>
        <w:rPr>
          <w:rFonts w:hint="eastAsia"/>
          <w:color w:val="auto"/>
          <w:spacing w:val="6"/>
          <w:highlight w:val="none"/>
        </w:rPr>
        <w:t>项目采购活动提供本单位制造的货物（由本单位承担工程/提供服务），或者提供其他残疾人福利性单位制造的货物（不包括使用非残疾人福利性单位注册商标的货物）。</w:t>
      </w:r>
    </w:p>
    <w:p w14:paraId="0A7E5EA1">
      <w:pPr>
        <w:spacing w:line="360" w:lineRule="auto"/>
        <w:ind w:firstLine="504" w:firstLineChars="200"/>
        <w:rPr>
          <w:rFonts w:hint="eastAsia"/>
          <w:color w:val="auto"/>
          <w:spacing w:val="6"/>
          <w:highlight w:val="none"/>
        </w:rPr>
      </w:pPr>
      <w:r>
        <w:rPr>
          <w:rFonts w:hint="eastAsia"/>
          <w:color w:val="auto"/>
          <w:spacing w:val="6"/>
          <w:highlight w:val="none"/>
        </w:rPr>
        <w:t>本单位对上述声明的真实性负责。如有虚假，将依法承担相应责任。</w:t>
      </w:r>
    </w:p>
    <w:p w14:paraId="6B20582A">
      <w:pPr>
        <w:spacing w:line="360" w:lineRule="auto"/>
        <w:ind w:firstLine="504" w:firstLineChars="200"/>
        <w:rPr>
          <w:rFonts w:hint="eastAsia"/>
          <w:color w:val="auto"/>
          <w:spacing w:val="6"/>
          <w:highlight w:val="none"/>
        </w:rPr>
      </w:pPr>
    </w:p>
    <w:p w14:paraId="642C4000">
      <w:pPr>
        <w:spacing w:line="360" w:lineRule="auto"/>
        <w:ind w:firstLine="504" w:firstLineChars="200"/>
        <w:rPr>
          <w:rFonts w:hint="eastAsia"/>
          <w:color w:val="auto"/>
          <w:spacing w:val="6"/>
          <w:highlight w:val="none"/>
        </w:rPr>
      </w:pPr>
    </w:p>
    <w:p w14:paraId="6B210E0D">
      <w:pPr>
        <w:tabs>
          <w:tab w:val="left" w:pos="4860"/>
        </w:tabs>
        <w:spacing w:line="360" w:lineRule="auto"/>
        <w:ind w:right="1560" w:firstLine="504" w:firstLineChars="200"/>
        <w:jc w:val="center"/>
        <w:rPr>
          <w:rFonts w:hint="eastAsia"/>
          <w:color w:val="auto"/>
          <w:spacing w:val="6"/>
          <w:highlight w:val="none"/>
        </w:rPr>
      </w:pPr>
      <w:r>
        <w:rPr>
          <w:rFonts w:hint="eastAsia"/>
          <w:color w:val="auto"/>
          <w:spacing w:val="6"/>
          <w:highlight w:val="none"/>
        </w:rPr>
        <w:t xml:space="preserve">               单位名称（盖章）：</w:t>
      </w:r>
    </w:p>
    <w:p w14:paraId="62D80A24">
      <w:pPr>
        <w:tabs>
          <w:tab w:val="left" w:pos="4860"/>
        </w:tabs>
        <w:spacing w:line="360" w:lineRule="auto"/>
        <w:ind w:right="1560" w:firstLine="504" w:firstLineChars="200"/>
        <w:jc w:val="center"/>
        <w:rPr>
          <w:rFonts w:hint="eastAsia"/>
          <w:color w:val="auto"/>
          <w:spacing w:val="6"/>
          <w:highlight w:val="none"/>
        </w:rPr>
      </w:pPr>
      <w:r>
        <w:rPr>
          <w:rFonts w:hint="eastAsia"/>
          <w:color w:val="auto"/>
          <w:spacing w:val="6"/>
          <w:highlight w:val="none"/>
        </w:rPr>
        <w:t xml:space="preserve">       日  期：</w:t>
      </w:r>
    </w:p>
    <w:p w14:paraId="5B3CA6F7">
      <w:pPr>
        <w:tabs>
          <w:tab w:val="left" w:pos="840"/>
        </w:tabs>
        <w:autoSpaceDE w:val="0"/>
        <w:autoSpaceDN w:val="0"/>
        <w:adjustRightInd w:val="0"/>
        <w:spacing w:line="360" w:lineRule="auto"/>
        <w:jc w:val="center"/>
        <w:rPr>
          <w:rFonts w:hint="eastAsia"/>
          <w:b/>
          <w:color w:val="auto"/>
          <w:sz w:val="24"/>
          <w:highlight w:val="none"/>
        </w:rPr>
      </w:pPr>
    </w:p>
    <w:p w14:paraId="524D0978">
      <w:pPr>
        <w:widowControl/>
        <w:spacing w:line="360" w:lineRule="auto"/>
        <w:rPr>
          <w:rFonts w:hint="eastAsia"/>
          <w:b/>
          <w:color w:val="auto"/>
          <w:highlight w:val="none"/>
        </w:rPr>
      </w:pPr>
      <w:r>
        <w:rPr>
          <w:rFonts w:hint="eastAsia"/>
          <w:b/>
          <w:color w:val="auto"/>
          <w:highlight w:val="none"/>
        </w:rPr>
        <w:t>（提醒：如果供应商</w:t>
      </w:r>
      <w:r>
        <w:rPr>
          <w:rFonts w:hint="eastAsia"/>
          <w:b/>
          <w:color w:val="auto"/>
          <w:spacing w:val="10"/>
          <w:kern w:val="0"/>
          <w:highlight w:val="none"/>
        </w:rPr>
        <w:t>不是残疾人福利性单位</w:t>
      </w:r>
      <w:r>
        <w:rPr>
          <w:rFonts w:hint="eastAsia"/>
          <w:b/>
          <w:color w:val="auto"/>
          <w:highlight w:val="none"/>
        </w:rPr>
        <w:t>，则不需要提供《残疾人福利性单位声明函》。否则，因此导致虚假响应的后果由供应商自行承担。）</w:t>
      </w:r>
    </w:p>
    <w:p w14:paraId="67DE9F21">
      <w:pPr>
        <w:tabs>
          <w:tab w:val="left" w:pos="840"/>
        </w:tabs>
        <w:autoSpaceDE w:val="0"/>
        <w:autoSpaceDN w:val="0"/>
        <w:adjustRightInd w:val="0"/>
        <w:spacing w:line="360" w:lineRule="auto"/>
        <w:rPr>
          <w:rFonts w:hint="eastAsia"/>
          <w:b/>
          <w:color w:val="auto"/>
          <w:sz w:val="24"/>
          <w:highlight w:val="none"/>
        </w:rPr>
      </w:pPr>
    </w:p>
    <w:p w14:paraId="4CD854CF">
      <w:pPr>
        <w:spacing w:line="360" w:lineRule="auto"/>
        <w:rPr>
          <w:rFonts w:hint="eastAsia"/>
          <w:color w:val="auto"/>
          <w:highlight w:val="none"/>
        </w:rPr>
      </w:pPr>
      <w:r>
        <w:rPr>
          <w:rFonts w:hint="eastAsia"/>
          <w:color w:val="auto"/>
          <w:highlight w:val="none"/>
        </w:rPr>
        <w:t>《财政部民政部中国残疾人联合会关于促进残疾人就业政府采购政策的通知》（财库2017〔141〕号）的规定：</w:t>
      </w:r>
    </w:p>
    <w:p w14:paraId="3114A972">
      <w:pPr>
        <w:spacing w:line="360" w:lineRule="auto"/>
        <w:ind w:firstLine="480" w:firstLineChars="200"/>
        <w:rPr>
          <w:rFonts w:hint="eastAsia"/>
          <w:color w:val="auto"/>
          <w:highlight w:val="none"/>
        </w:rPr>
      </w:pPr>
      <w:r>
        <w:rPr>
          <w:rFonts w:hint="eastAsia"/>
          <w:color w:val="auto"/>
          <w:highlight w:val="none"/>
        </w:rPr>
        <w:t>1. 享受政府采购支持政策的残疾人福利性单位应当同时满足以下条件：</w:t>
      </w:r>
    </w:p>
    <w:p w14:paraId="17F2AF8A">
      <w:pPr>
        <w:spacing w:line="360" w:lineRule="auto"/>
        <w:rPr>
          <w:rFonts w:hint="eastAsia"/>
          <w:color w:val="auto"/>
          <w:highlight w:val="none"/>
        </w:rPr>
      </w:pPr>
      <w:r>
        <w:rPr>
          <w:rFonts w:hint="eastAsia"/>
          <w:color w:val="auto"/>
          <w:highlight w:val="none"/>
        </w:rPr>
        <w:t>（1）安置的残疾人占本单位在职职工人数的比例不低于25%（含25%），并且安置的残疾人人数不少于10人（含10人）；</w:t>
      </w:r>
    </w:p>
    <w:p w14:paraId="6FE23C02">
      <w:pPr>
        <w:spacing w:line="360" w:lineRule="auto"/>
        <w:rPr>
          <w:rFonts w:hint="eastAsia"/>
          <w:color w:val="auto"/>
          <w:highlight w:val="none"/>
        </w:rPr>
      </w:pPr>
      <w:r>
        <w:rPr>
          <w:rFonts w:hint="eastAsia"/>
          <w:color w:val="auto"/>
          <w:highlight w:val="none"/>
        </w:rPr>
        <w:t>（2）依法与安置的每位残疾人签订了一年以上（含一年）的劳动合同或服务协议；</w:t>
      </w:r>
    </w:p>
    <w:p w14:paraId="78C06812">
      <w:pPr>
        <w:spacing w:line="360" w:lineRule="auto"/>
        <w:rPr>
          <w:rFonts w:hint="eastAsia"/>
          <w:color w:val="auto"/>
          <w:highlight w:val="none"/>
        </w:rPr>
      </w:pPr>
      <w:r>
        <w:rPr>
          <w:rFonts w:hint="eastAsia"/>
          <w:color w:val="auto"/>
          <w:highlight w:val="none"/>
        </w:rPr>
        <w:t>（3）为安置的每位残疾人按月足额缴纳了基本养老保险、基本医疗保险、失业保险、工伤保险和生育保险等社会保险费；</w:t>
      </w:r>
    </w:p>
    <w:p w14:paraId="2FFD7BBD">
      <w:pPr>
        <w:spacing w:line="360" w:lineRule="auto"/>
        <w:rPr>
          <w:rFonts w:hint="eastAsia"/>
          <w:color w:val="auto"/>
          <w:highlight w:val="none"/>
        </w:rPr>
      </w:pPr>
      <w:r>
        <w:rPr>
          <w:rFonts w:hint="eastAsia"/>
          <w:color w:val="auto"/>
          <w:highlight w:val="none"/>
        </w:rPr>
        <w:t>（4）通过银行等金融机构向安置的每位残疾人，按月支付了不低于单位所在区县适用的经省级人民政府批准的月最低工资标准的工资；</w:t>
      </w:r>
    </w:p>
    <w:p w14:paraId="54F9FF34">
      <w:pPr>
        <w:spacing w:line="360" w:lineRule="auto"/>
        <w:rPr>
          <w:rFonts w:hint="eastAsia"/>
          <w:color w:val="auto"/>
          <w:highlight w:val="none"/>
        </w:rPr>
      </w:pPr>
      <w:r>
        <w:rPr>
          <w:rFonts w:hint="eastAsia"/>
          <w:color w:val="auto"/>
          <w:highlight w:val="none"/>
        </w:rPr>
        <w:t>（5）提供本单位制造的货物、承担的工程或者服务（以下简称产品），或者提供其他残疾人福利性单位制造的货物（不包括使用非残疾人福利性单位注册商标的货物）。</w:t>
      </w:r>
    </w:p>
    <w:p w14:paraId="518592E9">
      <w:pPr>
        <w:spacing w:line="360" w:lineRule="auto"/>
        <w:ind w:firstLine="480" w:firstLineChars="200"/>
        <w:rPr>
          <w:rFonts w:hint="eastAsia"/>
          <w:b/>
          <w:color w:val="auto"/>
          <w:sz w:val="24"/>
          <w:highlight w:val="none"/>
        </w:rPr>
      </w:pPr>
      <w:r>
        <w:rPr>
          <w:rFonts w:hint="eastAsia"/>
          <w:color w:val="auto"/>
          <w:highlight w:val="none"/>
        </w:rPr>
        <w:t>2. 成交人为残疾人福利性单位的，采购人或者其委托的采购代理机构应当随成交、成交结果同时公告其《残疾人福利性单位声明函》，接受社会监督。</w:t>
      </w:r>
    </w:p>
    <w:p w14:paraId="19474BDD">
      <w:pPr>
        <w:wordWrap w:val="0"/>
        <w:spacing w:line="240" w:lineRule="auto"/>
        <w:jc w:val="both"/>
        <w:rPr>
          <w:rFonts w:hint="eastAsia" w:ascii="Calibri" w:hAnsi="Calibri"/>
          <w:color w:val="auto"/>
          <w:sz w:val="22"/>
          <w:szCs w:val="22"/>
          <w:highlight w:val="none"/>
        </w:rPr>
      </w:pPr>
    </w:p>
    <w:p w14:paraId="3926405B">
      <w:pPr>
        <w:wordWrap w:val="0"/>
        <w:spacing w:line="240" w:lineRule="auto"/>
        <w:jc w:val="center"/>
        <w:rPr>
          <w:rFonts w:hint="eastAsia" w:ascii="宋体" w:hAnsi="宋体" w:cs="宋体"/>
          <w:b/>
          <w:bCs/>
          <w:color w:val="auto"/>
          <w:highlight w:val="none"/>
        </w:rPr>
      </w:pPr>
    </w:p>
    <w:p w14:paraId="15D6F6AD">
      <w:pPr>
        <w:wordWrap w:val="0"/>
        <w:spacing w:line="240" w:lineRule="auto"/>
        <w:jc w:val="center"/>
        <w:rPr>
          <w:rFonts w:hint="eastAsia" w:ascii="宋体" w:hAnsi="宋体" w:cs="宋体"/>
          <w:b/>
          <w:bCs/>
          <w:color w:val="auto"/>
          <w:highlight w:val="none"/>
        </w:rPr>
      </w:pPr>
    </w:p>
    <w:p w14:paraId="727BB318">
      <w:pPr>
        <w:wordWrap w:val="0"/>
        <w:spacing w:line="240" w:lineRule="auto"/>
        <w:jc w:val="both"/>
        <w:rPr>
          <w:rFonts w:hint="eastAsia" w:ascii="宋体" w:hAnsi="宋体" w:cs="宋体"/>
          <w:b/>
          <w:bCs/>
          <w:color w:val="auto"/>
          <w:highlight w:val="none"/>
        </w:rPr>
      </w:pPr>
      <w:r>
        <w:rPr>
          <w:rFonts w:hint="eastAsia" w:ascii="宋体" w:hAnsi="宋体" w:cs="宋体"/>
          <w:b/>
          <w:bCs/>
          <w:color w:val="auto"/>
          <w:highlight w:val="none"/>
        </w:rPr>
        <w:t xml:space="preserve"> </w:t>
      </w:r>
    </w:p>
    <w:p w14:paraId="4A13F54A">
      <w:pPr>
        <w:wordWrap w:val="0"/>
        <w:spacing w:line="240" w:lineRule="auto"/>
        <w:jc w:val="both"/>
        <w:rPr>
          <w:rFonts w:hint="eastAsia" w:ascii="宋体" w:hAnsi="宋体" w:cs="宋体"/>
          <w:b/>
          <w:bCs/>
          <w:color w:val="auto"/>
          <w:highlight w:val="none"/>
        </w:rPr>
      </w:pPr>
      <w:r>
        <w:rPr>
          <w:rFonts w:hint="eastAsia" w:ascii="宋体" w:hAnsi="宋体" w:cs="宋体"/>
          <w:b/>
          <w:bCs/>
          <w:color w:val="auto"/>
          <w:highlight w:val="none"/>
        </w:rPr>
        <w:t xml:space="preserve"> </w:t>
      </w:r>
    </w:p>
    <w:p w14:paraId="19927F0B">
      <w:pPr>
        <w:wordWrap w:val="0"/>
        <w:spacing w:line="240" w:lineRule="auto"/>
        <w:jc w:val="both"/>
        <w:rPr>
          <w:rFonts w:hint="eastAsia" w:ascii="宋体" w:hAnsi="宋体" w:cs="宋体"/>
          <w:b/>
          <w:bCs/>
          <w:color w:val="auto"/>
          <w:highlight w:val="none"/>
        </w:rPr>
      </w:pPr>
      <w:r>
        <w:rPr>
          <w:rFonts w:hint="eastAsia" w:ascii="宋体" w:hAnsi="宋体" w:cs="宋体"/>
          <w:b/>
          <w:bCs/>
          <w:color w:val="auto"/>
          <w:highlight w:val="none"/>
        </w:rPr>
        <w:t xml:space="preserve"> </w:t>
      </w:r>
    </w:p>
    <w:p w14:paraId="39B5772C">
      <w:pPr>
        <w:wordWrap w:val="0"/>
        <w:spacing w:line="240" w:lineRule="auto"/>
        <w:jc w:val="both"/>
        <w:rPr>
          <w:rFonts w:hint="eastAsia" w:ascii="宋体" w:hAnsi="宋体" w:cs="宋体"/>
          <w:b/>
          <w:bCs/>
          <w:color w:val="auto"/>
          <w:highlight w:val="none"/>
        </w:rPr>
      </w:pPr>
      <w:r>
        <w:rPr>
          <w:rFonts w:hint="eastAsia" w:ascii="宋体" w:hAnsi="宋体" w:cs="宋体"/>
          <w:b/>
          <w:bCs/>
          <w:color w:val="auto"/>
          <w:highlight w:val="none"/>
        </w:rPr>
        <w:t xml:space="preserve"> </w:t>
      </w:r>
    </w:p>
    <w:p w14:paraId="5105ECDD">
      <w:pPr>
        <w:wordWrap w:val="0"/>
        <w:topLinePunct/>
        <w:spacing w:line="240" w:lineRule="auto"/>
        <w:jc w:val="center"/>
        <w:rPr>
          <w:rFonts w:hint="eastAsia" w:ascii="宋体" w:hAnsi="宋体" w:cs="宋体"/>
          <w:b/>
          <w:bCs/>
          <w:color w:val="auto"/>
          <w:highlight w:val="none"/>
        </w:rPr>
      </w:pPr>
    </w:p>
    <w:p w14:paraId="7CFB07DF">
      <w:pPr>
        <w:wordWrap w:val="0"/>
        <w:topLinePunct/>
        <w:spacing w:line="240" w:lineRule="auto"/>
        <w:jc w:val="center"/>
        <w:rPr>
          <w:rFonts w:hint="eastAsia" w:ascii="宋体" w:hAnsi="宋体" w:cs="宋体"/>
          <w:b/>
          <w:bCs/>
          <w:color w:val="auto"/>
          <w:highlight w:val="none"/>
        </w:rPr>
      </w:pPr>
    </w:p>
    <w:p w14:paraId="39AB7338">
      <w:pPr>
        <w:wordWrap w:val="0"/>
        <w:topLinePunct/>
        <w:spacing w:line="240" w:lineRule="auto"/>
        <w:jc w:val="center"/>
        <w:rPr>
          <w:rFonts w:hint="eastAsia" w:ascii="宋体" w:hAnsi="宋体" w:cs="宋体"/>
          <w:b/>
          <w:bCs/>
          <w:color w:val="auto"/>
          <w:highlight w:val="none"/>
        </w:rPr>
      </w:pPr>
    </w:p>
    <w:p w14:paraId="0BE92732">
      <w:pPr>
        <w:wordWrap w:val="0"/>
        <w:topLinePunct/>
        <w:spacing w:line="240" w:lineRule="auto"/>
        <w:jc w:val="center"/>
        <w:rPr>
          <w:rFonts w:hint="eastAsia" w:ascii="宋体" w:hAnsi="宋体" w:cs="宋体"/>
          <w:b/>
          <w:bCs/>
          <w:color w:val="auto"/>
          <w:highlight w:val="none"/>
        </w:rPr>
      </w:pPr>
    </w:p>
    <w:p w14:paraId="5F263B22">
      <w:pPr>
        <w:wordWrap w:val="0"/>
        <w:topLinePunct/>
        <w:spacing w:line="240" w:lineRule="auto"/>
        <w:jc w:val="center"/>
        <w:rPr>
          <w:rFonts w:hint="eastAsia" w:ascii="宋体" w:hAnsi="宋体" w:cs="宋体"/>
          <w:b/>
          <w:bCs/>
          <w:color w:val="auto"/>
          <w:highlight w:val="none"/>
        </w:rPr>
      </w:pPr>
    </w:p>
    <w:p w14:paraId="18DD97CE">
      <w:pPr>
        <w:wordWrap w:val="0"/>
        <w:topLinePunct/>
        <w:spacing w:line="240" w:lineRule="auto"/>
        <w:jc w:val="center"/>
        <w:rPr>
          <w:rFonts w:hint="eastAsia" w:ascii="宋体" w:hAnsi="宋体" w:cs="宋体"/>
          <w:b/>
          <w:bCs/>
          <w:color w:val="auto"/>
          <w:highlight w:val="none"/>
        </w:rPr>
      </w:pPr>
    </w:p>
    <w:p w14:paraId="522E75D4">
      <w:pPr>
        <w:wordWrap w:val="0"/>
        <w:topLinePunct/>
        <w:spacing w:line="240" w:lineRule="auto"/>
        <w:jc w:val="center"/>
        <w:rPr>
          <w:rFonts w:hint="eastAsia" w:ascii="宋体" w:hAnsi="宋体" w:cs="宋体"/>
          <w:b/>
          <w:bCs/>
          <w:color w:val="auto"/>
          <w:highlight w:val="none"/>
        </w:rPr>
      </w:pPr>
    </w:p>
    <w:p w14:paraId="35F3A4CE">
      <w:pPr>
        <w:wordWrap w:val="0"/>
        <w:topLinePunct/>
        <w:spacing w:line="240" w:lineRule="auto"/>
        <w:jc w:val="center"/>
        <w:rPr>
          <w:rFonts w:hint="eastAsia" w:ascii="宋体" w:hAnsi="宋体" w:cs="宋体"/>
          <w:b/>
          <w:bCs/>
          <w:color w:val="auto"/>
          <w:highlight w:val="none"/>
        </w:rPr>
      </w:pPr>
    </w:p>
    <w:p w14:paraId="5EECC39F">
      <w:pPr>
        <w:wordWrap w:val="0"/>
        <w:topLinePunct/>
        <w:spacing w:line="240" w:lineRule="auto"/>
        <w:jc w:val="center"/>
        <w:rPr>
          <w:rFonts w:hint="eastAsia" w:ascii="宋体" w:hAnsi="宋体" w:cs="宋体"/>
          <w:b/>
          <w:bCs/>
          <w:color w:val="auto"/>
          <w:highlight w:val="none"/>
        </w:rPr>
      </w:pPr>
    </w:p>
    <w:p w14:paraId="639C920A">
      <w:pPr>
        <w:wordWrap w:val="0"/>
        <w:topLinePunct/>
        <w:spacing w:line="240" w:lineRule="auto"/>
        <w:jc w:val="center"/>
        <w:rPr>
          <w:rFonts w:hint="eastAsia" w:ascii="宋体" w:hAnsi="宋体" w:cs="宋体"/>
          <w:b/>
          <w:bCs/>
          <w:color w:val="auto"/>
          <w:highlight w:val="none"/>
        </w:rPr>
      </w:pPr>
    </w:p>
    <w:p w14:paraId="4F4FDA7A">
      <w:pPr>
        <w:wordWrap w:val="0"/>
        <w:topLinePunct/>
        <w:spacing w:line="240" w:lineRule="auto"/>
        <w:jc w:val="center"/>
        <w:rPr>
          <w:rFonts w:hint="eastAsia" w:ascii="宋体" w:hAnsi="宋体" w:cs="宋体"/>
          <w:b/>
          <w:bCs/>
          <w:color w:val="auto"/>
          <w:highlight w:val="none"/>
        </w:rPr>
      </w:pPr>
    </w:p>
    <w:p w14:paraId="3E16A5E7">
      <w:pPr>
        <w:wordWrap w:val="0"/>
        <w:topLinePunct/>
        <w:spacing w:line="240" w:lineRule="auto"/>
        <w:jc w:val="center"/>
        <w:rPr>
          <w:rFonts w:hint="eastAsia" w:ascii="宋体" w:hAnsi="宋体" w:cs="宋体"/>
          <w:b/>
          <w:bCs/>
          <w:color w:val="auto"/>
          <w:highlight w:val="none"/>
        </w:rPr>
      </w:pPr>
    </w:p>
    <w:p w14:paraId="44C64729">
      <w:pPr>
        <w:wordWrap w:val="0"/>
        <w:topLinePunct/>
        <w:spacing w:line="240" w:lineRule="auto"/>
        <w:jc w:val="center"/>
        <w:rPr>
          <w:rFonts w:hint="eastAsia" w:ascii="宋体" w:hAnsi="宋体" w:cs="宋体"/>
          <w:b/>
          <w:bCs/>
          <w:color w:val="auto"/>
          <w:highlight w:val="none"/>
        </w:rPr>
      </w:pPr>
    </w:p>
    <w:p w14:paraId="76957157">
      <w:pPr>
        <w:wordWrap w:val="0"/>
        <w:topLinePunct/>
        <w:spacing w:line="240" w:lineRule="auto"/>
        <w:jc w:val="center"/>
        <w:rPr>
          <w:rFonts w:hint="eastAsia" w:ascii="宋体" w:hAnsi="宋体" w:cs="宋体"/>
          <w:b/>
          <w:bCs/>
          <w:color w:val="auto"/>
          <w:highlight w:val="none"/>
        </w:rPr>
      </w:pPr>
    </w:p>
    <w:p w14:paraId="38087E22">
      <w:pPr>
        <w:wordWrap w:val="0"/>
        <w:topLinePunct/>
        <w:spacing w:line="240" w:lineRule="auto"/>
        <w:jc w:val="center"/>
        <w:rPr>
          <w:rFonts w:hint="eastAsia" w:ascii="宋体" w:hAnsi="宋体" w:cs="宋体"/>
          <w:b/>
          <w:bCs/>
          <w:color w:val="auto"/>
          <w:highlight w:val="none"/>
        </w:rPr>
      </w:pPr>
    </w:p>
    <w:p w14:paraId="0D24A756">
      <w:pPr>
        <w:wordWrap w:val="0"/>
        <w:topLinePunct/>
        <w:spacing w:line="240" w:lineRule="auto"/>
        <w:jc w:val="center"/>
        <w:rPr>
          <w:rFonts w:hint="eastAsia" w:ascii="宋体" w:hAnsi="宋体" w:cs="宋体"/>
          <w:b/>
          <w:bCs/>
          <w:color w:val="auto"/>
          <w:highlight w:val="none"/>
        </w:rPr>
      </w:pPr>
    </w:p>
    <w:p w14:paraId="5B8E2554">
      <w:pPr>
        <w:wordWrap w:val="0"/>
        <w:topLinePunct/>
        <w:spacing w:line="240" w:lineRule="auto"/>
        <w:jc w:val="center"/>
        <w:rPr>
          <w:rFonts w:hint="eastAsia" w:ascii="宋体" w:hAnsi="宋体" w:cs="宋体"/>
          <w:b/>
          <w:bCs/>
          <w:color w:val="auto"/>
          <w:highlight w:val="none"/>
        </w:rPr>
      </w:pPr>
    </w:p>
    <w:p w14:paraId="03E4A4E7">
      <w:pPr>
        <w:wordWrap w:val="0"/>
        <w:topLinePunct/>
        <w:spacing w:line="240" w:lineRule="auto"/>
        <w:jc w:val="center"/>
        <w:rPr>
          <w:rFonts w:hint="eastAsia" w:ascii="宋体" w:hAnsi="宋体" w:cs="宋体"/>
          <w:b/>
          <w:bCs/>
          <w:color w:val="auto"/>
          <w:highlight w:val="none"/>
        </w:rPr>
      </w:pPr>
    </w:p>
    <w:p w14:paraId="3E26D42F">
      <w:pPr>
        <w:wordWrap w:val="0"/>
        <w:topLinePunct/>
        <w:spacing w:line="240" w:lineRule="auto"/>
        <w:jc w:val="center"/>
        <w:rPr>
          <w:rFonts w:hint="eastAsia" w:ascii="宋体" w:hAnsi="宋体" w:cs="宋体"/>
          <w:b/>
          <w:bCs/>
          <w:color w:val="auto"/>
          <w:highlight w:val="none"/>
        </w:rPr>
      </w:pPr>
    </w:p>
    <w:p w14:paraId="3D2A3A4D">
      <w:pPr>
        <w:wordWrap w:val="0"/>
        <w:topLinePunct/>
        <w:spacing w:line="240" w:lineRule="auto"/>
        <w:jc w:val="center"/>
        <w:rPr>
          <w:rFonts w:hint="eastAsia" w:ascii="宋体" w:hAnsi="宋体" w:cs="宋体"/>
          <w:b/>
          <w:bCs/>
          <w:color w:val="auto"/>
          <w:highlight w:val="none"/>
        </w:rPr>
      </w:pPr>
    </w:p>
    <w:p w14:paraId="7F4F427C">
      <w:pPr>
        <w:wordWrap w:val="0"/>
        <w:topLinePunct/>
        <w:spacing w:line="240" w:lineRule="auto"/>
        <w:jc w:val="center"/>
        <w:rPr>
          <w:rFonts w:hint="eastAsia" w:ascii="宋体" w:hAnsi="宋体" w:cs="宋体"/>
          <w:b/>
          <w:bCs/>
          <w:color w:val="auto"/>
          <w:highlight w:val="none"/>
        </w:rPr>
      </w:pPr>
    </w:p>
    <w:p w14:paraId="0967790A">
      <w:pPr>
        <w:wordWrap w:val="0"/>
        <w:topLinePunct/>
        <w:spacing w:line="240" w:lineRule="auto"/>
        <w:jc w:val="center"/>
        <w:rPr>
          <w:rFonts w:hint="eastAsia" w:ascii="宋体" w:hAnsi="宋体" w:cs="宋体"/>
          <w:b/>
          <w:bCs/>
          <w:color w:val="auto"/>
          <w:highlight w:val="none"/>
        </w:rPr>
      </w:pPr>
    </w:p>
    <w:p w14:paraId="2C399F8D">
      <w:pPr>
        <w:wordWrap w:val="0"/>
        <w:topLinePunct/>
        <w:spacing w:line="240" w:lineRule="auto"/>
        <w:jc w:val="center"/>
        <w:rPr>
          <w:rFonts w:hint="eastAsia" w:ascii="宋体" w:hAnsi="宋体" w:cs="宋体"/>
          <w:b/>
          <w:bCs/>
          <w:color w:val="auto"/>
          <w:highlight w:val="none"/>
        </w:rPr>
      </w:pPr>
    </w:p>
    <w:p w14:paraId="00547A0C">
      <w:pPr>
        <w:wordWrap w:val="0"/>
        <w:topLinePunct/>
        <w:spacing w:line="240" w:lineRule="auto"/>
        <w:jc w:val="center"/>
        <w:rPr>
          <w:rFonts w:hint="eastAsia" w:ascii="宋体" w:hAnsi="宋体" w:cs="宋体"/>
          <w:b/>
          <w:bCs/>
          <w:color w:val="auto"/>
          <w:highlight w:val="none"/>
        </w:rPr>
      </w:pPr>
    </w:p>
    <w:p w14:paraId="76AD0183">
      <w:pPr>
        <w:wordWrap w:val="0"/>
        <w:topLinePunct/>
        <w:spacing w:line="240" w:lineRule="auto"/>
        <w:jc w:val="center"/>
        <w:rPr>
          <w:rFonts w:hint="eastAsia" w:ascii="宋体" w:hAnsi="宋体" w:cs="宋体"/>
          <w:b/>
          <w:bCs/>
          <w:color w:val="auto"/>
          <w:highlight w:val="none"/>
        </w:rPr>
      </w:pPr>
    </w:p>
    <w:p w14:paraId="16D04A5A">
      <w:pPr>
        <w:wordWrap w:val="0"/>
        <w:topLinePunct/>
        <w:spacing w:line="240" w:lineRule="auto"/>
        <w:jc w:val="center"/>
        <w:rPr>
          <w:rFonts w:hint="eastAsia" w:ascii="宋体" w:hAnsi="宋体" w:cs="宋体"/>
          <w:b/>
          <w:bCs/>
          <w:color w:val="auto"/>
          <w:highlight w:val="none"/>
        </w:rPr>
      </w:pPr>
    </w:p>
    <w:p w14:paraId="54FA2AF9">
      <w:pPr>
        <w:wordWrap w:val="0"/>
        <w:topLinePunct/>
        <w:spacing w:line="240" w:lineRule="auto"/>
        <w:jc w:val="center"/>
        <w:rPr>
          <w:rFonts w:hint="eastAsia" w:ascii="宋体" w:hAnsi="宋体" w:cs="宋体"/>
          <w:b/>
          <w:bCs/>
          <w:color w:val="auto"/>
          <w:highlight w:val="none"/>
        </w:rPr>
      </w:pPr>
    </w:p>
    <w:p w14:paraId="6D7A3D55">
      <w:pPr>
        <w:wordWrap w:val="0"/>
        <w:topLinePunct/>
        <w:spacing w:line="240" w:lineRule="auto"/>
        <w:jc w:val="center"/>
        <w:rPr>
          <w:rFonts w:hint="eastAsia" w:ascii="宋体" w:hAnsi="宋体" w:cs="宋体"/>
          <w:b/>
          <w:bCs/>
          <w:color w:val="auto"/>
          <w:highlight w:val="none"/>
        </w:rPr>
      </w:pPr>
    </w:p>
    <w:p w14:paraId="5FA64827">
      <w:pPr>
        <w:wordWrap w:val="0"/>
        <w:topLinePunct/>
        <w:spacing w:line="240" w:lineRule="auto"/>
        <w:jc w:val="center"/>
        <w:rPr>
          <w:rFonts w:hint="eastAsia" w:ascii="宋体" w:hAnsi="宋体" w:cs="宋体"/>
          <w:b/>
          <w:bCs/>
          <w:color w:val="auto"/>
          <w:highlight w:val="none"/>
        </w:rPr>
      </w:pPr>
    </w:p>
    <w:p w14:paraId="5A59EE63">
      <w:pPr>
        <w:wordWrap w:val="0"/>
        <w:topLinePunct/>
        <w:spacing w:line="240" w:lineRule="auto"/>
        <w:jc w:val="center"/>
        <w:rPr>
          <w:rFonts w:hint="eastAsia" w:ascii="宋体" w:hAnsi="宋体" w:cs="宋体"/>
          <w:b/>
          <w:bCs/>
          <w:color w:val="auto"/>
          <w:highlight w:val="none"/>
        </w:rPr>
      </w:pPr>
    </w:p>
    <w:p w14:paraId="7EFBA508">
      <w:pPr>
        <w:wordWrap w:val="0"/>
        <w:topLinePunct/>
        <w:spacing w:line="240" w:lineRule="auto"/>
        <w:jc w:val="center"/>
        <w:rPr>
          <w:rFonts w:hint="eastAsia" w:ascii="宋体" w:hAnsi="宋体" w:cs="宋体"/>
          <w:b/>
          <w:bCs/>
          <w:color w:val="auto"/>
          <w:highlight w:val="none"/>
        </w:rPr>
      </w:pPr>
    </w:p>
    <w:p w14:paraId="7C5ECE37">
      <w:pPr>
        <w:wordWrap w:val="0"/>
        <w:rPr>
          <w:rFonts w:hint="eastAsia" w:ascii="宋体" w:hAnsi="宋体" w:cs="宋体"/>
          <w:b/>
          <w:bCs/>
          <w:color w:val="auto"/>
          <w:sz w:val="22"/>
          <w:highlight w:val="none"/>
        </w:rPr>
      </w:pPr>
    </w:p>
    <w:p w14:paraId="10300F50">
      <w:pPr>
        <w:wordWrap w:val="0"/>
        <w:spacing w:after="120" w:line="480" w:lineRule="exact"/>
        <w:jc w:val="center"/>
        <w:rPr>
          <w:rFonts w:hint="eastAsia" w:ascii="宋体" w:hAnsi="宋体" w:eastAsia="宋体" w:cs="宋体"/>
          <w:b/>
          <w:bCs/>
          <w:color w:val="auto"/>
          <w:kern w:val="36"/>
          <w:highlight w:val="none"/>
        </w:rPr>
      </w:pPr>
      <w:r>
        <w:rPr>
          <w:rFonts w:hint="eastAsia" w:ascii="宋体" w:hAnsi="宋体" w:eastAsia="宋体" w:cs="宋体"/>
          <w:b/>
          <w:bCs/>
          <w:color w:val="auto"/>
          <w:kern w:val="36"/>
          <w:highlight w:val="none"/>
          <w:lang w:val="en-US" w:eastAsia="zh-CN"/>
        </w:rPr>
        <w:t>十一、</w:t>
      </w:r>
      <w:r>
        <w:rPr>
          <w:rFonts w:hint="eastAsia" w:ascii="宋体" w:hAnsi="宋体" w:eastAsia="宋体" w:cs="宋体"/>
          <w:b/>
          <w:bCs/>
          <w:color w:val="auto"/>
          <w:kern w:val="36"/>
          <w:highlight w:val="none"/>
        </w:rPr>
        <w:t>（供应商认为应该提交的其它资料）</w:t>
      </w:r>
    </w:p>
    <w:p w14:paraId="249DA9A6">
      <w:pPr>
        <w:wordWrap w:val="0"/>
        <w:rPr>
          <w:rFonts w:hint="eastAsia" w:ascii="宋体" w:hAnsi="宋体" w:cs="宋体"/>
          <w:b/>
          <w:bCs/>
          <w:color w:val="auto"/>
          <w:highlight w:val="none"/>
        </w:rPr>
      </w:pPr>
      <w:r>
        <w:rPr>
          <w:rFonts w:hint="eastAsia" w:ascii="宋体" w:hAnsi="宋体" w:cs="宋体"/>
          <w:b/>
          <w:bCs/>
          <w:color w:val="auto"/>
          <w:highlight w:val="none"/>
        </w:rPr>
        <w:t xml:space="preserve"> </w:t>
      </w:r>
    </w:p>
    <w:p w14:paraId="42706E36">
      <w:pPr>
        <w:wordWrap w:val="0"/>
        <w:rPr>
          <w:rFonts w:hint="eastAsia" w:ascii="宋体" w:hAnsi="宋体" w:cs="宋体"/>
          <w:b/>
          <w:bCs/>
          <w:color w:val="auto"/>
          <w:highlight w:val="none"/>
        </w:rPr>
      </w:pPr>
      <w:r>
        <w:rPr>
          <w:rFonts w:hint="eastAsia" w:ascii="宋体" w:hAnsi="宋体" w:cs="宋体"/>
          <w:b/>
          <w:bCs/>
          <w:color w:val="auto"/>
          <w:highlight w:val="none"/>
        </w:rPr>
        <w:t xml:space="preserve"> </w:t>
      </w:r>
    </w:p>
    <w:p w14:paraId="219E78F4">
      <w:pPr>
        <w:wordWrap w:val="0"/>
        <w:rPr>
          <w:rFonts w:hint="eastAsia" w:ascii="宋体" w:hAnsi="宋体" w:cs="宋体"/>
          <w:b/>
          <w:bCs/>
          <w:color w:val="auto"/>
          <w:highlight w:val="none"/>
        </w:rPr>
      </w:pPr>
      <w:r>
        <w:rPr>
          <w:rFonts w:hint="eastAsia" w:ascii="宋体" w:hAnsi="宋体" w:cs="宋体"/>
          <w:b/>
          <w:bCs/>
          <w:color w:val="auto"/>
          <w:highlight w:val="none"/>
        </w:rPr>
        <w:t xml:space="preserve"> </w:t>
      </w:r>
    </w:p>
    <w:p w14:paraId="03E70CAB">
      <w:pPr>
        <w:wordWrap w:val="0"/>
        <w:rPr>
          <w:rFonts w:hint="eastAsia" w:ascii="宋体" w:hAnsi="宋体" w:cs="宋体"/>
          <w:b/>
          <w:bCs/>
          <w:color w:val="auto"/>
          <w:highlight w:val="none"/>
        </w:rPr>
      </w:pPr>
      <w:r>
        <w:rPr>
          <w:rFonts w:hint="eastAsia" w:ascii="宋体" w:hAnsi="宋体" w:cs="宋体"/>
          <w:b/>
          <w:bCs/>
          <w:color w:val="auto"/>
          <w:highlight w:val="none"/>
        </w:rPr>
        <w:t xml:space="preserve"> </w:t>
      </w:r>
    </w:p>
    <w:p w14:paraId="1F624643">
      <w:pPr>
        <w:wordWrap w:val="0"/>
        <w:rPr>
          <w:rFonts w:hint="eastAsia" w:ascii="宋体" w:hAnsi="宋体" w:cs="宋体"/>
          <w:b/>
          <w:bCs/>
          <w:color w:val="auto"/>
          <w:highlight w:val="none"/>
        </w:rPr>
      </w:pPr>
      <w:r>
        <w:rPr>
          <w:rFonts w:hint="eastAsia" w:ascii="宋体" w:hAnsi="宋体" w:cs="宋体"/>
          <w:b/>
          <w:bCs/>
          <w:color w:val="auto"/>
          <w:highlight w:val="none"/>
        </w:rPr>
        <w:t xml:space="preserve"> </w:t>
      </w:r>
    </w:p>
    <w:p w14:paraId="13A96210">
      <w:pPr>
        <w:wordWrap w:val="0"/>
        <w:rPr>
          <w:rFonts w:hint="eastAsia" w:ascii="宋体" w:hAnsi="宋体" w:cs="宋体"/>
          <w:b/>
          <w:bCs/>
          <w:color w:val="auto"/>
          <w:highlight w:val="none"/>
        </w:rPr>
      </w:pPr>
      <w:r>
        <w:rPr>
          <w:rFonts w:hint="eastAsia" w:ascii="宋体" w:hAnsi="宋体" w:cs="宋体"/>
          <w:b/>
          <w:bCs/>
          <w:color w:val="auto"/>
          <w:highlight w:val="none"/>
        </w:rPr>
        <w:t xml:space="preserve"> </w:t>
      </w:r>
    </w:p>
    <w:p w14:paraId="14CCE893">
      <w:pPr>
        <w:wordWrap w:val="0"/>
        <w:rPr>
          <w:rFonts w:hint="eastAsia" w:ascii="宋体" w:hAnsi="宋体" w:cs="宋体"/>
          <w:b/>
          <w:bCs/>
          <w:color w:val="auto"/>
          <w:highlight w:val="none"/>
        </w:rPr>
      </w:pPr>
      <w:r>
        <w:rPr>
          <w:rFonts w:hint="eastAsia" w:ascii="宋体" w:hAnsi="宋体" w:cs="宋体"/>
          <w:b/>
          <w:bCs/>
          <w:color w:val="auto"/>
          <w:highlight w:val="none"/>
        </w:rPr>
        <w:t xml:space="preserve"> </w:t>
      </w:r>
    </w:p>
    <w:p w14:paraId="666F80E5">
      <w:pPr>
        <w:wordWrap w:val="0"/>
        <w:rPr>
          <w:rFonts w:hint="eastAsia" w:ascii="宋体" w:hAnsi="宋体" w:cs="宋体"/>
          <w:b/>
          <w:bCs/>
          <w:color w:val="auto"/>
          <w:highlight w:val="none"/>
        </w:rPr>
      </w:pPr>
      <w:r>
        <w:rPr>
          <w:rFonts w:hint="eastAsia" w:ascii="宋体" w:hAnsi="宋体" w:cs="宋体"/>
          <w:b/>
          <w:bCs/>
          <w:color w:val="auto"/>
          <w:highlight w:val="none"/>
        </w:rPr>
        <w:t xml:space="preserve"> </w:t>
      </w:r>
    </w:p>
    <w:p w14:paraId="5B8F2436">
      <w:pPr>
        <w:wordWrap w:val="0"/>
        <w:rPr>
          <w:rFonts w:hint="eastAsia" w:ascii="宋体" w:hAnsi="宋体" w:cs="宋体"/>
          <w:b/>
          <w:bCs/>
          <w:color w:val="auto"/>
          <w:highlight w:val="none"/>
        </w:rPr>
      </w:pPr>
      <w:r>
        <w:rPr>
          <w:rFonts w:hint="eastAsia" w:ascii="宋体" w:hAnsi="宋体" w:cs="宋体"/>
          <w:b/>
          <w:bCs/>
          <w:color w:val="auto"/>
          <w:highlight w:val="none"/>
        </w:rPr>
        <w:t xml:space="preserve"> </w:t>
      </w:r>
    </w:p>
    <w:p w14:paraId="76CB3205">
      <w:pPr>
        <w:wordWrap w:val="0"/>
        <w:rPr>
          <w:rFonts w:hint="eastAsia" w:ascii="宋体" w:hAnsi="宋体" w:cs="宋体"/>
          <w:b/>
          <w:bCs/>
          <w:color w:val="auto"/>
          <w:highlight w:val="none"/>
        </w:rPr>
      </w:pPr>
      <w:r>
        <w:rPr>
          <w:rFonts w:hint="eastAsia" w:ascii="宋体" w:hAnsi="宋体" w:cs="宋体"/>
          <w:b/>
          <w:bCs/>
          <w:color w:val="auto"/>
          <w:highlight w:val="none"/>
        </w:rPr>
        <w:t xml:space="preserve"> </w:t>
      </w:r>
    </w:p>
    <w:p w14:paraId="182DCEFC">
      <w:pPr>
        <w:wordWrap w:val="0"/>
        <w:rPr>
          <w:color w:val="auto"/>
          <w:highlight w:val="none"/>
        </w:rPr>
      </w:pPr>
      <w:r>
        <w:rPr>
          <w:rFonts w:hint="eastAsia" w:ascii="宋体" w:hAnsi="宋体" w:cs="宋体"/>
          <w:color w:val="auto"/>
          <w:highlight w:val="none"/>
        </w:rPr>
        <w:t xml:space="preserve"> </w:t>
      </w:r>
    </w:p>
    <w:sectPr>
      <w:pgSz w:w="11906" w:h="16838"/>
      <w:pgMar w:top="1440" w:right="1800" w:bottom="1440" w:left="1800" w:header="851" w:footer="992" w:gutter="0"/>
      <w:pgNumType w:fmt="decimal"/>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E1D1C1">
    <w:pPr>
      <w:pStyle w:val="9"/>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6B31BC">
                          <w:pPr>
                            <w:pStyle w:val="9"/>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786B31BC">
                    <w:pPr>
                      <w:pStyle w:val="9"/>
                    </w:pPr>
                    <w:r>
                      <w:fldChar w:fldCharType="begin"/>
                    </w:r>
                    <w:r>
                      <w:instrText xml:space="preserve"> PAGE  \* MERGEFORMAT </w:instrText>
                    </w:r>
                    <w:r>
                      <w:fldChar w:fldCharType="separate"/>
                    </w:r>
                    <w:r>
                      <w:t>3</w:t>
                    </w:r>
                    <w:r>
                      <w:fldChar w:fldCharType="end"/>
                    </w:r>
                  </w:p>
                </w:txbxContent>
              </v:textbox>
            </v:shape>
          </w:pict>
        </mc:Fallback>
      </mc:AlternateContent>
    </w:r>
  </w:p>
  <w:p w14:paraId="4597A0BF">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2434CB">
    <w:pPr>
      <w:pStyle w:val="9"/>
      <w:rPr>
        <w:lang w:val="en-US"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631D34">
                          <w:pPr>
                            <w:pStyle w:val="9"/>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49631D34">
                    <w:pPr>
                      <w:pStyle w:val="9"/>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9B5C95">
    <w:pPr>
      <w:pStyle w:val="10"/>
      <w:pBdr>
        <w:bottom w:val="none" w:color="auto" w:sz="0" w:space="1"/>
      </w:pBdr>
      <w:tabs>
        <w:tab w:val="center" w:pos="4673"/>
        <w:tab w:val="clear" w:pos="8306"/>
      </w:tabs>
      <w:jc w:val="both"/>
      <w:rPr>
        <w:rFonts w:hint="eastAsia"/>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A5CDA0"/>
    <w:multiLevelType w:val="singleLevel"/>
    <w:tmpl w:val="80A5CDA0"/>
    <w:lvl w:ilvl="0" w:tentative="0">
      <w:start w:val="1"/>
      <w:numFmt w:val="decimal"/>
      <w:lvlText w:val="%1."/>
      <w:lvlJc w:val="left"/>
      <w:pPr>
        <w:tabs>
          <w:tab w:val="left" w:pos="312"/>
        </w:tabs>
      </w:pPr>
    </w:lvl>
  </w:abstractNum>
  <w:abstractNum w:abstractNumId="1">
    <w:nsid w:val="9E59F63A"/>
    <w:multiLevelType w:val="singleLevel"/>
    <w:tmpl w:val="9E59F63A"/>
    <w:lvl w:ilvl="0" w:tentative="0">
      <w:start w:val="1"/>
      <w:numFmt w:val="decimal"/>
      <w:lvlText w:val="%1."/>
      <w:lvlJc w:val="left"/>
      <w:pPr>
        <w:tabs>
          <w:tab w:val="left" w:pos="312"/>
        </w:tabs>
      </w:pPr>
    </w:lvl>
  </w:abstractNum>
  <w:abstractNum w:abstractNumId="2">
    <w:nsid w:val="B9D16035"/>
    <w:multiLevelType w:val="multilevel"/>
    <w:tmpl w:val="B9D16035"/>
    <w:lvl w:ilvl="0" w:tentative="0">
      <w:start w:val="1"/>
      <w:numFmt w:val="decimal"/>
      <w:lvlText w:val="%1."/>
      <w:lvlJc w:val="left"/>
      <w:pPr>
        <w:ind w:left="480" w:hanging="480"/>
      </w:pPr>
    </w:lvl>
    <w:lvl w:ilvl="1" w:tentative="0">
      <w:start w:val="1"/>
      <w:numFmt w:val="lowerLetter"/>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lowerLetter"/>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lowerLetter"/>
      <w:lvlText w:val="%8)"/>
      <w:lvlJc w:val="left"/>
      <w:pPr>
        <w:ind w:left="3840" w:hanging="480"/>
      </w:pPr>
    </w:lvl>
    <w:lvl w:ilvl="8" w:tentative="0">
      <w:start w:val="1"/>
      <w:numFmt w:val="lowerRoman"/>
      <w:lvlText w:val="%9."/>
      <w:lvlJc w:val="right"/>
      <w:pPr>
        <w:ind w:left="4320" w:hanging="480"/>
      </w:pPr>
    </w:lvl>
  </w:abstractNum>
  <w:abstractNum w:abstractNumId="3">
    <w:nsid w:val="D1AF675B"/>
    <w:multiLevelType w:val="multilevel"/>
    <w:tmpl w:val="D1AF675B"/>
    <w:lvl w:ilvl="0" w:tentative="0">
      <w:start w:val="1"/>
      <w:numFmt w:val="decimal"/>
      <w:lvlText w:val="%1."/>
      <w:lvlJc w:val="left"/>
      <w:pPr>
        <w:ind w:left="480" w:hanging="480"/>
      </w:pPr>
    </w:lvl>
    <w:lvl w:ilvl="1" w:tentative="0">
      <w:start w:val="1"/>
      <w:numFmt w:val="lowerLetter"/>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lowerLetter"/>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lowerLetter"/>
      <w:lvlText w:val="%8)"/>
      <w:lvlJc w:val="left"/>
      <w:pPr>
        <w:ind w:left="3840" w:hanging="480"/>
      </w:pPr>
    </w:lvl>
    <w:lvl w:ilvl="8" w:tentative="0">
      <w:start w:val="1"/>
      <w:numFmt w:val="lowerRoman"/>
      <w:lvlText w:val="%9."/>
      <w:lvlJc w:val="right"/>
      <w:pPr>
        <w:ind w:left="4320" w:hanging="480"/>
      </w:pPr>
    </w:lvl>
  </w:abstractNum>
  <w:abstractNum w:abstractNumId="4">
    <w:nsid w:val="DCA05EC1"/>
    <w:multiLevelType w:val="multilevel"/>
    <w:tmpl w:val="DCA05EC1"/>
    <w:lvl w:ilvl="0" w:tentative="0">
      <w:start w:val="1"/>
      <w:numFmt w:val="decimal"/>
      <w:lvlText w:val="%1."/>
      <w:lvlJc w:val="left"/>
      <w:pPr>
        <w:ind w:left="480" w:hanging="480"/>
      </w:pPr>
    </w:lvl>
    <w:lvl w:ilvl="1" w:tentative="0">
      <w:start w:val="1"/>
      <w:numFmt w:val="lowerLetter"/>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lowerLetter"/>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lowerLetter"/>
      <w:lvlText w:val="%8)"/>
      <w:lvlJc w:val="left"/>
      <w:pPr>
        <w:ind w:left="3840" w:hanging="480"/>
      </w:pPr>
    </w:lvl>
    <w:lvl w:ilvl="8" w:tentative="0">
      <w:start w:val="1"/>
      <w:numFmt w:val="lowerRoman"/>
      <w:lvlText w:val="%9."/>
      <w:lvlJc w:val="right"/>
      <w:pPr>
        <w:ind w:left="4320" w:hanging="480"/>
      </w:pPr>
    </w:lvl>
  </w:abstractNum>
  <w:abstractNum w:abstractNumId="5">
    <w:nsid w:val="E0E9C488"/>
    <w:multiLevelType w:val="singleLevel"/>
    <w:tmpl w:val="E0E9C488"/>
    <w:lvl w:ilvl="0" w:tentative="0">
      <w:start w:val="1"/>
      <w:numFmt w:val="decimal"/>
      <w:lvlText w:val="%1."/>
      <w:lvlJc w:val="left"/>
      <w:pPr>
        <w:tabs>
          <w:tab w:val="left" w:pos="312"/>
        </w:tabs>
      </w:pPr>
    </w:lvl>
  </w:abstractNum>
  <w:abstractNum w:abstractNumId="6">
    <w:nsid w:val="EADEAA80"/>
    <w:multiLevelType w:val="multilevel"/>
    <w:tmpl w:val="EADEAA80"/>
    <w:lvl w:ilvl="0" w:tentative="0">
      <w:start w:val="1"/>
      <w:numFmt w:val="decimal"/>
      <w:lvlText w:val="%1."/>
      <w:lvlJc w:val="left"/>
      <w:pPr>
        <w:ind w:left="480" w:hanging="480"/>
      </w:pPr>
    </w:lvl>
    <w:lvl w:ilvl="1" w:tentative="0">
      <w:start w:val="1"/>
      <w:numFmt w:val="lowerLetter"/>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lowerLetter"/>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lowerLetter"/>
      <w:lvlText w:val="%8)"/>
      <w:lvlJc w:val="left"/>
      <w:pPr>
        <w:ind w:left="3840" w:hanging="480"/>
      </w:pPr>
    </w:lvl>
    <w:lvl w:ilvl="8" w:tentative="0">
      <w:start w:val="1"/>
      <w:numFmt w:val="lowerRoman"/>
      <w:lvlText w:val="%9."/>
      <w:lvlJc w:val="right"/>
      <w:pPr>
        <w:ind w:left="4320" w:hanging="480"/>
      </w:pPr>
    </w:lvl>
  </w:abstractNum>
  <w:abstractNum w:abstractNumId="7">
    <w:nsid w:val="F41B06A5"/>
    <w:multiLevelType w:val="multilevel"/>
    <w:tmpl w:val="F41B06A5"/>
    <w:lvl w:ilvl="0" w:tentative="0">
      <w:start w:val="1"/>
      <w:numFmt w:val="decimal"/>
      <w:lvlText w:val="%1."/>
      <w:lvlJc w:val="left"/>
      <w:pPr>
        <w:ind w:left="480" w:hanging="480"/>
      </w:pPr>
    </w:lvl>
    <w:lvl w:ilvl="1" w:tentative="0">
      <w:start w:val="1"/>
      <w:numFmt w:val="lowerLetter"/>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lowerLetter"/>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lowerLetter"/>
      <w:lvlText w:val="%8)"/>
      <w:lvlJc w:val="left"/>
      <w:pPr>
        <w:ind w:left="3840" w:hanging="480"/>
      </w:pPr>
    </w:lvl>
    <w:lvl w:ilvl="8" w:tentative="0">
      <w:start w:val="1"/>
      <w:numFmt w:val="lowerRoman"/>
      <w:lvlText w:val="%9."/>
      <w:lvlJc w:val="right"/>
      <w:pPr>
        <w:ind w:left="4320" w:hanging="480"/>
      </w:pPr>
    </w:lvl>
  </w:abstractNum>
  <w:abstractNum w:abstractNumId="8">
    <w:nsid w:val="1CB49CBF"/>
    <w:multiLevelType w:val="multilevel"/>
    <w:tmpl w:val="1CB49CBF"/>
    <w:lvl w:ilvl="0" w:tentative="0">
      <w:start w:val="1"/>
      <w:numFmt w:val="decimal"/>
      <w:lvlText w:val="%1."/>
      <w:lvlJc w:val="left"/>
      <w:pPr>
        <w:ind w:left="480" w:hanging="480"/>
      </w:pPr>
    </w:lvl>
    <w:lvl w:ilvl="1" w:tentative="0">
      <w:start w:val="1"/>
      <w:numFmt w:val="lowerLetter"/>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lowerLetter"/>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lowerLetter"/>
      <w:lvlText w:val="%8)"/>
      <w:lvlJc w:val="left"/>
      <w:pPr>
        <w:ind w:left="3840" w:hanging="480"/>
      </w:pPr>
    </w:lvl>
    <w:lvl w:ilvl="8" w:tentative="0">
      <w:start w:val="1"/>
      <w:numFmt w:val="lowerRoman"/>
      <w:lvlText w:val="%9."/>
      <w:lvlJc w:val="right"/>
      <w:pPr>
        <w:ind w:left="4320" w:hanging="480"/>
      </w:pPr>
    </w:lvl>
  </w:abstractNum>
  <w:abstractNum w:abstractNumId="9">
    <w:nsid w:val="2BA2873C"/>
    <w:multiLevelType w:val="multilevel"/>
    <w:tmpl w:val="2BA2873C"/>
    <w:lvl w:ilvl="0" w:tentative="0">
      <w:start w:val="1"/>
      <w:numFmt w:val="decimal"/>
      <w:lvlText w:val="%1."/>
      <w:lvlJc w:val="left"/>
      <w:pPr>
        <w:ind w:left="480" w:hanging="480"/>
      </w:pPr>
    </w:lvl>
    <w:lvl w:ilvl="1" w:tentative="0">
      <w:start w:val="1"/>
      <w:numFmt w:val="lowerLetter"/>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lowerLetter"/>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lowerLetter"/>
      <w:lvlText w:val="%8)"/>
      <w:lvlJc w:val="left"/>
      <w:pPr>
        <w:ind w:left="3840" w:hanging="480"/>
      </w:pPr>
    </w:lvl>
    <w:lvl w:ilvl="8" w:tentative="0">
      <w:start w:val="1"/>
      <w:numFmt w:val="lowerRoman"/>
      <w:lvlText w:val="%9."/>
      <w:lvlJc w:val="right"/>
      <w:pPr>
        <w:ind w:left="4320" w:hanging="480"/>
      </w:pPr>
    </w:lvl>
  </w:abstractNum>
  <w:abstractNum w:abstractNumId="10">
    <w:nsid w:val="2C56EAD7"/>
    <w:multiLevelType w:val="singleLevel"/>
    <w:tmpl w:val="2C56EAD7"/>
    <w:lvl w:ilvl="0" w:tentative="0">
      <w:start w:val="1"/>
      <w:numFmt w:val="decimal"/>
      <w:lvlText w:val="%1."/>
      <w:lvlJc w:val="left"/>
      <w:pPr>
        <w:tabs>
          <w:tab w:val="left" w:pos="312"/>
        </w:tabs>
      </w:pPr>
    </w:lvl>
  </w:abstractNum>
  <w:abstractNum w:abstractNumId="11">
    <w:nsid w:val="3D370B1B"/>
    <w:multiLevelType w:val="singleLevel"/>
    <w:tmpl w:val="3D370B1B"/>
    <w:lvl w:ilvl="0" w:tentative="0">
      <w:start w:val="1"/>
      <w:numFmt w:val="decimal"/>
      <w:lvlText w:val="%1."/>
      <w:lvlJc w:val="left"/>
      <w:pPr>
        <w:tabs>
          <w:tab w:val="left" w:pos="312"/>
        </w:tabs>
      </w:pPr>
    </w:lvl>
  </w:abstractNum>
  <w:abstractNum w:abstractNumId="12">
    <w:nsid w:val="40C625AB"/>
    <w:multiLevelType w:val="multilevel"/>
    <w:tmpl w:val="40C625AB"/>
    <w:lvl w:ilvl="0" w:tentative="0">
      <w:start w:val="1"/>
      <w:numFmt w:val="decimal"/>
      <w:lvlText w:val="%1."/>
      <w:lvlJc w:val="left"/>
      <w:pPr>
        <w:ind w:left="480" w:hanging="480"/>
      </w:pPr>
    </w:lvl>
    <w:lvl w:ilvl="1" w:tentative="0">
      <w:start w:val="1"/>
      <w:numFmt w:val="lowerLetter"/>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lowerLetter"/>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lowerLetter"/>
      <w:lvlText w:val="%8)"/>
      <w:lvlJc w:val="left"/>
      <w:pPr>
        <w:ind w:left="3840" w:hanging="480"/>
      </w:pPr>
    </w:lvl>
    <w:lvl w:ilvl="8" w:tentative="0">
      <w:start w:val="1"/>
      <w:numFmt w:val="lowerRoman"/>
      <w:lvlText w:val="%9."/>
      <w:lvlJc w:val="right"/>
      <w:pPr>
        <w:ind w:left="4320" w:hanging="480"/>
      </w:pPr>
    </w:lvl>
  </w:abstractNum>
  <w:abstractNum w:abstractNumId="13">
    <w:nsid w:val="5EF73312"/>
    <w:multiLevelType w:val="singleLevel"/>
    <w:tmpl w:val="5EF73312"/>
    <w:lvl w:ilvl="0" w:tentative="0">
      <w:start w:val="1"/>
      <w:numFmt w:val="decimal"/>
      <w:lvlText w:val="%1."/>
      <w:lvlJc w:val="left"/>
      <w:pPr>
        <w:tabs>
          <w:tab w:val="left" w:pos="312"/>
        </w:tabs>
      </w:pPr>
    </w:lvl>
  </w:abstractNum>
  <w:abstractNum w:abstractNumId="14">
    <w:nsid w:val="604F0736"/>
    <w:multiLevelType w:val="singleLevel"/>
    <w:tmpl w:val="604F0736"/>
    <w:lvl w:ilvl="0" w:tentative="0">
      <w:start w:val="1"/>
      <w:numFmt w:val="decimal"/>
      <w:lvlText w:val="%1."/>
      <w:lvlJc w:val="left"/>
      <w:pPr>
        <w:tabs>
          <w:tab w:val="left" w:pos="312"/>
        </w:tabs>
      </w:pPr>
    </w:lvl>
  </w:abstractNum>
  <w:abstractNum w:abstractNumId="15">
    <w:nsid w:val="74166437"/>
    <w:multiLevelType w:val="singleLevel"/>
    <w:tmpl w:val="74166437"/>
    <w:lvl w:ilvl="0" w:tentative="0">
      <w:start w:val="1"/>
      <w:numFmt w:val="chineseCounting"/>
      <w:suff w:val="nothing"/>
      <w:lvlText w:val="%1、"/>
      <w:lvlJc w:val="left"/>
      <w:rPr>
        <w:rFonts w:hint="eastAsia"/>
      </w:rPr>
    </w:lvl>
  </w:abstractNum>
  <w:abstractNum w:abstractNumId="16">
    <w:nsid w:val="7A2731A9"/>
    <w:multiLevelType w:val="singleLevel"/>
    <w:tmpl w:val="7A2731A9"/>
    <w:lvl w:ilvl="0" w:tentative="0">
      <w:start w:val="1"/>
      <w:numFmt w:val="decimal"/>
      <w:lvlText w:val="%1."/>
      <w:lvlJc w:val="left"/>
      <w:pPr>
        <w:tabs>
          <w:tab w:val="left" w:pos="312"/>
        </w:tabs>
      </w:pPr>
    </w:lvl>
  </w:abstractNum>
  <w:num w:numId="1">
    <w:abstractNumId w:val="15"/>
  </w:num>
  <w:num w:numId="2">
    <w:abstractNumId w:val="2"/>
  </w:num>
  <w:num w:numId="3">
    <w:abstractNumId w:val="12"/>
  </w:num>
  <w:num w:numId="4">
    <w:abstractNumId w:val="11"/>
  </w:num>
  <w:num w:numId="5">
    <w:abstractNumId w:val="6"/>
  </w:num>
  <w:num w:numId="6">
    <w:abstractNumId w:val="4"/>
  </w:num>
  <w:num w:numId="7">
    <w:abstractNumId w:val="3"/>
  </w:num>
  <w:num w:numId="8">
    <w:abstractNumId w:val="8"/>
  </w:num>
  <w:num w:numId="9">
    <w:abstractNumId w:val="7"/>
  </w:num>
  <w:num w:numId="10">
    <w:abstractNumId w:val="0"/>
  </w:num>
  <w:num w:numId="11">
    <w:abstractNumId w:val="5"/>
  </w:num>
  <w:num w:numId="12">
    <w:abstractNumId w:val="10"/>
  </w:num>
  <w:num w:numId="13">
    <w:abstractNumId w:val="1"/>
  </w:num>
  <w:num w:numId="14">
    <w:abstractNumId w:val="13"/>
  </w:num>
  <w:num w:numId="15">
    <w:abstractNumId w:val="9"/>
  </w:num>
  <w:num w:numId="16">
    <w:abstractNumId w:val="14"/>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Y2NDFjNWFiY2Y5MDRmZTQ0NWEzYzBiNGY4ODc1YWYifQ=="/>
  </w:docVars>
  <w:rsids>
    <w:rsidRoot w:val="0DE6273C"/>
    <w:rsid w:val="007A2971"/>
    <w:rsid w:val="030355CA"/>
    <w:rsid w:val="03881E03"/>
    <w:rsid w:val="044E498E"/>
    <w:rsid w:val="07603988"/>
    <w:rsid w:val="09870B10"/>
    <w:rsid w:val="0B0E30C9"/>
    <w:rsid w:val="0DBD0284"/>
    <w:rsid w:val="0DE6273C"/>
    <w:rsid w:val="0E474A33"/>
    <w:rsid w:val="0EE24651"/>
    <w:rsid w:val="10CA7E7D"/>
    <w:rsid w:val="115F642C"/>
    <w:rsid w:val="11EB2573"/>
    <w:rsid w:val="129640D0"/>
    <w:rsid w:val="12EC2BE9"/>
    <w:rsid w:val="154B440E"/>
    <w:rsid w:val="164F6A63"/>
    <w:rsid w:val="169C4B38"/>
    <w:rsid w:val="183028D1"/>
    <w:rsid w:val="19746FD0"/>
    <w:rsid w:val="1BE16F47"/>
    <w:rsid w:val="1D85546D"/>
    <w:rsid w:val="1EC024D4"/>
    <w:rsid w:val="1F083D71"/>
    <w:rsid w:val="1F496B7B"/>
    <w:rsid w:val="20E64474"/>
    <w:rsid w:val="213C3029"/>
    <w:rsid w:val="225938DD"/>
    <w:rsid w:val="242A0B1C"/>
    <w:rsid w:val="24EF58C2"/>
    <w:rsid w:val="274B5EF0"/>
    <w:rsid w:val="28355B58"/>
    <w:rsid w:val="29E005A0"/>
    <w:rsid w:val="2A6D5F90"/>
    <w:rsid w:val="2A890AB6"/>
    <w:rsid w:val="2B7B3A0B"/>
    <w:rsid w:val="2C3A64EE"/>
    <w:rsid w:val="2CBF5B79"/>
    <w:rsid w:val="2D526179"/>
    <w:rsid w:val="2F2070A6"/>
    <w:rsid w:val="2F82513C"/>
    <w:rsid w:val="2F84033B"/>
    <w:rsid w:val="305877C3"/>
    <w:rsid w:val="30590093"/>
    <w:rsid w:val="31422F43"/>
    <w:rsid w:val="339927EA"/>
    <w:rsid w:val="342310E4"/>
    <w:rsid w:val="35246EC1"/>
    <w:rsid w:val="37A25BE9"/>
    <w:rsid w:val="39A71E6F"/>
    <w:rsid w:val="3AC60E4A"/>
    <w:rsid w:val="3B10169C"/>
    <w:rsid w:val="3BC128B1"/>
    <w:rsid w:val="3D78389F"/>
    <w:rsid w:val="43320494"/>
    <w:rsid w:val="4520448D"/>
    <w:rsid w:val="45913729"/>
    <w:rsid w:val="45DD6E08"/>
    <w:rsid w:val="46055BF4"/>
    <w:rsid w:val="481A2EB5"/>
    <w:rsid w:val="48561630"/>
    <w:rsid w:val="487877F8"/>
    <w:rsid w:val="48C920F3"/>
    <w:rsid w:val="4BB15A18"/>
    <w:rsid w:val="4BB65B68"/>
    <w:rsid w:val="4DC46A96"/>
    <w:rsid w:val="4E8273DA"/>
    <w:rsid w:val="4E85124A"/>
    <w:rsid w:val="4F270131"/>
    <w:rsid w:val="508A631B"/>
    <w:rsid w:val="51516E38"/>
    <w:rsid w:val="53A16169"/>
    <w:rsid w:val="543F75EE"/>
    <w:rsid w:val="589C10C1"/>
    <w:rsid w:val="59781766"/>
    <w:rsid w:val="5A125D79"/>
    <w:rsid w:val="5D0222BF"/>
    <w:rsid w:val="5F082317"/>
    <w:rsid w:val="614B4E60"/>
    <w:rsid w:val="61A268A6"/>
    <w:rsid w:val="62F92E8C"/>
    <w:rsid w:val="65E8571F"/>
    <w:rsid w:val="66105663"/>
    <w:rsid w:val="67642FB7"/>
    <w:rsid w:val="6830432B"/>
    <w:rsid w:val="68D612B3"/>
    <w:rsid w:val="69464D9A"/>
    <w:rsid w:val="6A2A1D24"/>
    <w:rsid w:val="6B0013F8"/>
    <w:rsid w:val="6BBD714D"/>
    <w:rsid w:val="6C2E004A"/>
    <w:rsid w:val="6EE70B9A"/>
    <w:rsid w:val="71E914BA"/>
    <w:rsid w:val="728039DF"/>
    <w:rsid w:val="74604B19"/>
    <w:rsid w:val="767B0330"/>
    <w:rsid w:val="77B0357D"/>
    <w:rsid w:val="7836450F"/>
    <w:rsid w:val="78731BE5"/>
    <w:rsid w:val="7AA64C25"/>
    <w:rsid w:val="7AC22765"/>
    <w:rsid w:val="7B95779E"/>
    <w:rsid w:val="7C2E19A1"/>
    <w:rsid w:val="7D293399"/>
    <w:rsid w:val="7E573900"/>
    <w:rsid w:val="7E5A2EA9"/>
    <w:rsid w:val="7F9437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46"/>
    <w:qFormat/>
    <w:uiPriority w:val="0"/>
    <w:pPr>
      <w:widowControl w:val="0"/>
      <w:spacing w:line="360" w:lineRule="auto"/>
    </w:pPr>
    <w:rPr>
      <w:rFonts w:ascii="Times New Roman" w:hAnsi="Times New Roman" w:eastAsia="宋体" w:cs="Times New Roman"/>
      <w:kern w:val="2"/>
      <w:sz w:val="24"/>
      <w:szCs w:val="24"/>
      <w:lang w:val="en-US" w:eastAsia="zh-CN" w:bidi="ar-SA"/>
    </w:rPr>
  </w:style>
  <w:style w:type="paragraph" w:styleId="3">
    <w:name w:val="heading 1"/>
    <w:next w:val="1"/>
    <w:qFormat/>
    <w:uiPriority w:val="9"/>
    <w:pPr>
      <w:keepNext/>
      <w:keepLines/>
      <w:widowControl w:val="0"/>
      <w:spacing w:before="340" w:beforeLines="0" w:beforeAutospacing="0" w:after="330" w:afterLines="0" w:afterAutospacing="0" w:line="576" w:lineRule="auto"/>
      <w:jc w:val="center"/>
      <w:outlineLvl w:val="0"/>
    </w:pPr>
    <w:rPr>
      <w:rFonts w:ascii="Times New Roman" w:hAnsi="Times New Roman" w:eastAsia="宋体" w:cs="Times New Roman"/>
      <w:b/>
      <w:kern w:val="44"/>
      <w:sz w:val="48"/>
      <w:szCs w:val="24"/>
      <w:lang w:val="en-US" w:eastAsia="zh-CN" w:bidi="ar-SA"/>
    </w:rPr>
  </w:style>
  <w:style w:type="paragraph" w:styleId="4">
    <w:name w:val="heading 2"/>
    <w:basedOn w:val="1"/>
    <w:next w:val="1"/>
    <w:link w:val="37"/>
    <w:qFormat/>
    <w:uiPriority w:val="99"/>
    <w:pPr>
      <w:keepNext/>
      <w:keepLines/>
      <w:widowControl w:val="0"/>
      <w:spacing w:before="200" w:after="100" w:afterAutospacing="1" w:line="360" w:lineRule="auto"/>
      <w:outlineLvl w:val="1"/>
    </w:pPr>
    <w:rPr>
      <w:rFonts w:ascii="Arial" w:hAnsi="Arial" w:eastAsia="黑体" w:cs="Times New Roman"/>
      <w:b/>
      <w:bCs/>
      <w:kern w:val="2"/>
      <w:sz w:val="32"/>
      <w:szCs w:val="32"/>
      <w:lang w:val="en-US" w:eastAsia="zh-CN" w:bidi="ar-SA"/>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pPr>
      <w:widowControl w:val="0"/>
      <w:wordWrap w:val="0"/>
      <w:topLinePunct/>
      <w:jc w:val="both"/>
    </w:pPr>
    <w:rPr>
      <w:rFonts w:ascii="宋体" w:hAnsi="Courier New" w:eastAsia="宋体" w:cs="Courier New"/>
      <w:kern w:val="2"/>
      <w:sz w:val="21"/>
      <w:szCs w:val="21"/>
      <w:lang w:val="en-US" w:eastAsia="zh-CN" w:bidi="ar-SA"/>
    </w:rPr>
  </w:style>
  <w:style w:type="paragraph" w:styleId="5">
    <w:name w:val="Body Text"/>
    <w:basedOn w:val="1"/>
    <w:next w:val="1"/>
    <w:qFormat/>
    <w:uiPriority w:val="0"/>
    <w:pPr>
      <w:adjustRightInd w:val="0"/>
      <w:jc w:val="left"/>
      <w:textAlignment w:val="baseline"/>
    </w:pPr>
    <w:rPr>
      <w:rFonts w:ascii="楷体_GB2312" w:eastAsia="楷体_GB2312"/>
      <w:kern w:val="0"/>
      <w:sz w:val="28"/>
      <w:szCs w:val="20"/>
    </w:rPr>
  </w:style>
  <w:style w:type="paragraph" w:styleId="6">
    <w:name w:val="Body Text Indent"/>
    <w:basedOn w:val="1"/>
    <w:next w:val="1"/>
    <w:qFormat/>
    <w:uiPriority w:val="0"/>
    <w:pPr>
      <w:spacing w:after="120"/>
      <w:ind w:left="420" w:leftChars="200"/>
    </w:pPr>
  </w:style>
  <w:style w:type="paragraph" w:styleId="7">
    <w:name w:val="List 2"/>
    <w:qFormat/>
    <w:uiPriority w:val="0"/>
    <w:pPr>
      <w:widowControl w:val="0"/>
      <w:wordWrap w:val="0"/>
      <w:topLinePunct/>
      <w:ind w:left="100" w:leftChars="200" w:hanging="200" w:hangingChars="200"/>
      <w:jc w:val="both"/>
    </w:pPr>
    <w:rPr>
      <w:rFonts w:ascii="宋体" w:hAnsi="宋体" w:eastAsia="宋体" w:cs="宋体"/>
      <w:kern w:val="2"/>
      <w:sz w:val="21"/>
      <w:szCs w:val="21"/>
      <w:lang w:val="en-US" w:eastAsia="zh-CN" w:bidi="ar-SA"/>
    </w:rPr>
  </w:style>
  <w:style w:type="paragraph" w:styleId="8">
    <w:name w:val="Body Text Indent 2"/>
    <w:unhideWhenUsed/>
    <w:qFormat/>
    <w:uiPriority w:val="99"/>
    <w:pPr>
      <w:widowControl w:val="0"/>
      <w:spacing w:before="100" w:beforeAutospacing="1" w:after="120" w:line="480" w:lineRule="auto"/>
      <w:ind w:left="420" w:leftChars="200"/>
    </w:pPr>
    <w:rPr>
      <w:rFonts w:ascii="Times New Roman" w:hAnsi="Times New Roman" w:eastAsia="宋体" w:cs="Times New Roman"/>
      <w:kern w:val="2"/>
      <w:sz w:val="24"/>
      <w:szCs w:val="24"/>
      <w:lang w:val="en-US" w:eastAsia="zh-CN" w:bidi="ar-SA"/>
    </w:rPr>
  </w:style>
  <w:style w:type="paragraph" w:styleId="9">
    <w:name w:val="footer"/>
    <w:unhideWhenUsed/>
    <w:qFormat/>
    <w:uiPriority w:val="99"/>
    <w:pPr>
      <w:widowControl w:val="0"/>
      <w:snapToGrid w:val="0"/>
      <w:spacing w:line="360" w:lineRule="auto"/>
    </w:pPr>
    <w:rPr>
      <w:rFonts w:ascii="Calibri" w:hAnsi="Calibri" w:eastAsia="宋体" w:cs="宋体"/>
      <w:kern w:val="0"/>
      <w:sz w:val="18"/>
      <w:szCs w:val="18"/>
      <w:lang w:val="en-US" w:eastAsia="zh-CN" w:bidi="ar-SA"/>
    </w:rPr>
  </w:style>
  <w:style w:type="paragraph" w:styleId="10">
    <w:name w:val="header"/>
    <w:next w:val="11"/>
    <w:unhideWhenUsed/>
    <w:qFormat/>
    <w:uiPriority w:val="99"/>
    <w:pPr>
      <w:widowControl w:val="0"/>
      <w:pBdr>
        <w:bottom w:val="single" w:color="auto" w:sz="6" w:space="1"/>
      </w:pBdr>
      <w:tabs>
        <w:tab w:val="center" w:pos="4153"/>
        <w:tab w:val="right" w:pos="8306"/>
      </w:tabs>
      <w:snapToGrid w:val="0"/>
      <w:spacing w:line="240" w:lineRule="auto"/>
      <w:jc w:val="center"/>
    </w:pPr>
    <w:rPr>
      <w:rFonts w:ascii="Times New Roman" w:hAnsi="Times New Roman" w:eastAsia="宋体" w:cs="Times New Roman"/>
      <w:kern w:val="2"/>
      <w:sz w:val="18"/>
      <w:szCs w:val="18"/>
      <w:lang w:val="en-US" w:eastAsia="zh-CN" w:bidi="ar-SA"/>
    </w:rPr>
  </w:style>
  <w:style w:type="paragraph" w:styleId="11">
    <w:name w:val="toc 2"/>
    <w:next w:val="1"/>
    <w:qFormat/>
    <w:uiPriority w:val="0"/>
    <w:pPr>
      <w:widowControl w:val="0"/>
      <w:spacing w:line="360" w:lineRule="auto"/>
      <w:ind w:left="420" w:leftChars="200"/>
    </w:pPr>
    <w:rPr>
      <w:rFonts w:ascii="Times New Roman" w:hAnsi="Times New Roman" w:eastAsia="宋体" w:cs="Times New Roman"/>
      <w:kern w:val="2"/>
      <w:sz w:val="24"/>
      <w:szCs w:val="24"/>
      <w:lang w:val="en-US" w:eastAsia="zh-CN" w:bidi="ar-SA"/>
    </w:rPr>
  </w:style>
  <w:style w:type="paragraph" w:styleId="12">
    <w:name w:val="toc 1"/>
    <w:next w:val="1"/>
    <w:unhideWhenUsed/>
    <w:qFormat/>
    <w:uiPriority w:val="39"/>
    <w:pPr>
      <w:widowControl w:val="0"/>
      <w:spacing w:line="360" w:lineRule="auto"/>
    </w:pPr>
    <w:rPr>
      <w:rFonts w:ascii="Times New Roman" w:hAnsi="Times New Roman" w:eastAsia="宋体" w:cs="Times New Roman"/>
      <w:kern w:val="2"/>
      <w:sz w:val="24"/>
      <w:szCs w:val="24"/>
      <w:lang w:val="en-US" w:eastAsia="zh-CN" w:bidi="ar-SA"/>
    </w:rPr>
  </w:style>
  <w:style w:type="paragraph" w:styleId="13">
    <w:name w:val="Body Text 2"/>
    <w:basedOn w:val="1"/>
    <w:next w:val="5"/>
    <w:qFormat/>
    <w:uiPriority w:val="0"/>
    <w:pPr>
      <w:spacing w:line="360" w:lineRule="auto"/>
    </w:pPr>
    <w:rPr>
      <w:sz w:val="24"/>
      <w:szCs w:val="20"/>
    </w:rPr>
  </w:style>
  <w:style w:type="paragraph" w:styleId="14">
    <w:name w:val="Normal (Web)"/>
    <w:unhideWhenUsed/>
    <w:qFormat/>
    <w:uiPriority w:val="99"/>
    <w:pPr>
      <w:widowControl/>
      <w:spacing w:before="100" w:beforeAutospacing="1" w:after="100" w:afterAutospacing="1" w:line="360" w:lineRule="auto"/>
    </w:pPr>
    <w:rPr>
      <w:rFonts w:ascii="宋体" w:hAnsi="宋体" w:eastAsia="宋体" w:cs="宋体"/>
      <w:kern w:val="0"/>
      <w:sz w:val="24"/>
      <w:szCs w:val="24"/>
      <w:lang w:val="en-US" w:eastAsia="zh-CN" w:bidi="ar-SA"/>
    </w:rPr>
  </w:style>
  <w:style w:type="paragraph" w:styleId="15">
    <w:name w:val="Body Text First Indent"/>
    <w:basedOn w:val="5"/>
    <w:qFormat/>
    <w:uiPriority w:val="99"/>
    <w:pPr>
      <w:spacing w:after="120"/>
      <w:ind w:firstLine="420" w:firstLineChars="100"/>
    </w:pPr>
    <w:rPr>
      <w:rFonts w:ascii="Times New Roman" w:hAnsi="Times New Roman" w:cs="Times New Roman"/>
      <w:sz w:val="21"/>
      <w:szCs w:val="21"/>
    </w:rPr>
  </w:style>
  <w:style w:type="paragraph" w:styleId="16">
    <w:name w:val="Body Text First Indent 2"/>
    <w:basedOn w:val="6"/>
    <w:next w:val="1"/>
    <w:qFormat/>
    <w:uiPriority w:val="0"/>
    <w:pPr>
      <w:ind w:firstLine="420" w:firstLineChars="200"/>
    </w:pPr>
    <w:rPr>
      <w:rFonts w:eastAsia="宋体"/>
    </w:rPr>
  </w:style>
  <w:style w:type="table" w:styleId="18">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0"/>
    <w:rPr>
      <w:b/>
      <w:bCs/>
    </w:rPr>
  </w:style>
  <w:style w:type="character" w:styleId="21">
    <w:name w:val="FollowedHyperlink"/>
    <w:basedOn w:val="19"/>
    <w:qFormat/>
    <w:uiPriority w:val="0"/>
    <w:rPr>
      <w:color w:val="800080"/>
      <w:u w:val="none"/>
    </w:rPr>
  </w:style>
  <w:style w:type="character" w:styleId="22">
    <w:name w:val="Emphasis"/>
    <w:basedOn w:val="19"/>
    <w:qFormat/>
    <w:uiPriority w:val="0"/>
    <w:rPr>
      <w:b/>
      <w:bCs/>
    </w:rPr>
  </w:style>
  <w:style w:type="character" w:styleId="23">
    <w:name w:val="HTML Definition"/>
    <w:basedOn w:val="19"/>
    <w:qFormat/>
    <w:uiPriority w:val="0"/>
  </w:style>
  <w:style w:type="character" w:styleId="24">
    <w:name w:val="HTML Typewriter"/>
    <w:basedOn w:val="19"/>
    <w:qFormat/>
    <w:uiPriority w:val="0"/>
    <w:rPr>
      <w:rFonts w:hint="default" w:ascii="monospace" w:hAnsi="monospace" w:eastAsia="monospace" w:cs="monospace"/>
      <w:sz w:val="20"/>
    </w:rPr>
  </w:style>
  <w:style w:type="character" w:styleId="25">
    <w:name w:val="HTML Acronym"/>
    <w:basedOn w:val="19"/>
    <w:qFormat/>
    <w:uiPriority w:val="0"/>
  </w:style>
  <w:style w:type="character" w:styleId="26">
    <w:name w:val="HTML Variable"/>
    <w:basedOn w:val="19"/>
    <w:qFormat/>
    <w:uiPriority w:val="0"/>
  </w:style>
  <w:style w:type="character" w:styleId="27">
    <w:name w:val="Hyperlink"/>
    <w:basedOn w:val="19"/>
    <w:qFormat/>
    <w:uiPriority w:val="0"/>
    <w:rPr>
      <w:color w:val="0000FF"/>
      <w:u w:val="none"/>
    </w:rPr>
  </w:style>
  <w:style w:type="character" w:styleId="28">
    <w:name w:val="HTML Code"/>
    <w:basedOn w:val="19"/>
    <w:qFormat/>
    <w:uiPriority w:val="0"/>
    <w:rPr>
      <w:rFonts w:hint="default" w:ascii="monospace" w:hAnsi="monospace" w:eastAsia="monospace" w:cs="monospace"/>
      <w:sz w:val="20"/>
    </w:rPr>
  </w:style>
  <w:style w:type="character" w:styleId="29">
    <w:name w:val="HTML Cite"/>
    <w:basedOn w:val="19"/>
    <w:qFormat/>
    <w:uiPriority w:val="0"/>
  </w:style>
  <w:style w:type="character" w:styleId="30">
    <w:name w:val="HTML Keyboard"/>
    <w:basedOn w:val="19"/>
    <w:qFormat/>
    <w:uiPriority w:val="0"/>
    <w:rPr>
      <w:rFonts w:ascii="monospace" w:hAnsi="monospace" w:eastAsia="monospace" w:cs="monospace"/>
      <w:sz w:val="20"/>
    </w:rPr>
  </w:style>
  <w:style w:type="character" w:styleId="31">
    <w:name w:val="HTML Sample"/>
    <w:basedOn w:val="19"/>
    <w:qFormat/>
    <w:uiPriority w:val="0"/>
    <w:rPr>
      <w:rFonts w:hint="default" w:ascii="monospace" w:hAnsi="monospace" w:eastAsia="monospace" w:cs="monospace"/>
    </w:rPr>
  </w:style>
  <w:style w:type="paragraph" w:customStyle="1" w:styleId="32">
    <w:name w:val="无间隔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3">
    <w:name w:val="Table Paragraph"/>
    <w:autoRedefine/>
    <w:qFormat/>
    <w:uiPriority w:val="1"/>
    <w:pPr>
      <w:widowControl w:val="0"/>
      <w:autoSpaceDE w:val="0"/>
      <w:autoSpaceDN w:val="0"/>
      <w:spacing w:line="360" w:lineRule="auto"/>
      <w:jc w:val="left"/>
    </w:pPr>
    <w:rPr>
      <w:rFonts w:ascii="黑体" w:hAnsi="黑体" w:eastAsia="黑体" w:cs="黑体"/>
      <w:kern w:val="0"/>
      <w:sz w:val="22"/>
      <w:szCs w:val="24"/>
      <w:lang w:val="en-US" w:eastAsia="zh-CN" w:bidi="ar-SA"/>
    </w:rPr>
  </w:style>
  <w:style w:type="paragraph" w:customStyle="1" w:styleId="34">
    <w:name w:val="正文_1"/>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5">
    <w:name w:val="正文文本缩进1"/>
    <w:autoRedefine/>
    <w:qFormat/>
    <w:uiPriority w:val="0"/>
    <w:pPr>
      <w:widowControl w:val="0"/>
      <w:spacing w:line="360" w:lineRule="auto"/>
      <w:ind w:firstLine="480" w:firstLineChars="200"/>
    </w:pPr>
    <w:rPr>
      <w:rFonts w:ascii="宋体" w:hAnsi="宋体" w:eastAsia="宋体" w:cs="Times New Roman"/>
      <w:kern w:val="2"/>
      <w:sz w:val="24"/>
      <w:szCs w:val="24"/>
      <w:lang w:val="en-US" w:eastAsia="zh-CN" w:bidi="ar-SA"/>
    </w:rPr>
  </w:style>
  <w:style w:type="paragraph" w:styleId="36">
    <w:name w:val="List Paragraph"/>
    <w:basedOn w:val="1"/>
    <w:autoRedefine/>
    <w:qFormat/>
    <w:uiPriority w:val="34"/>
    <w:pPr>
      <w:widowControl w:val="0"/>
      <w:spacing w:line="360" w:lineRule="auto"/>
      <w:ind w:firstLine="420" w:firstLineChars="200"/>
    </w:pPr>
    <w:rPr>
      <w:rFonts w:ascii="Times New Roman" w:hAnsi="Times New Roman" w:eastAsia="宋体" w:cs="Times New Roman"/>
      <w:kern w:val="2"/>
      <w:sz w:val="24"/>
      <w:szCs w:val="24"/>
      <w:lang w:val="en-US" w:eastAsia="zh-CN" w:bidi="ar-SA"/>
    </w:rPr>
  </w:style>
  <w:style w:type="character" w:customStyle="1" w:styleId="37">
    <w:name w:val="标题 2 Char"/>
    <w:link w:val="4"/>
    <w:autoRedefine/>
    <w:qFormat/>
    <w:uiPriority w:val="99"/>
    <w:rPr>
      <w:rFonts w:ascii="Arial" w:hAnsi="Arial" w:eastAsia="黑体" w:cs="Times New Roman"/>
      <w:b/>
      <w:bCs/>
      <w:kern w:val="2"/>
      <w:sz w:val="32"/>
      <w:szCs w:val="32"/>
      <w:lang w:val="en-US" w:eastAsia="zh-CN" w:bidi="ar-SA"/>
    </w:rPr>
  </w:style>
  <w:style w:type="table" w:customStyle="1" w:styleId="38">
    <w:name w:val="Table Normal"/>
    <w:semiHidden/>
    <w:unhideWhenUsed/>
    <w:qFormat/>
    <w:uiPriority w:val="0"/>
    <w:tblPr>
      <w:tblCellMar>
        <w:top w:w="0" w:type="dxa"/>
        <w:left w:w="0" w:type="dxa"/>
        <w:bottom w:w="0" w:type="dxa"/>
        <w:right w:w="0" w:type="dxa"/>
      </w:tblCellMar>
    </w:tblPr>
  </w:style>
  <w:style w:type="paragraph" w:customStyle="1" w:styleId="39">
    <w:name w:val="Table Text"/>
    <w:basedOn w:val="1"/>
    <w:semiHidden/>
    <w:qFormat/>
    <w:uiPriority w:val="0"/>
    <w:rPr>
      <w:rFonts w:ascii="宋体" w:hAnsi="宋体" w:eastAsia="宋体" w:cs="宋体"/>
      <w:sz w:val="24"/>
      <w:szCs w:val="24"/>
      <w:lang w:val="en-US" w:eastAsia="en-US" w:bidi="ar-SA"/>
    </w:rPr>
  </w:style>
  <w:style w:type="paragraph" w:customStyle="1" w:styleId="40">
    <w:name w:val="BodyText1I"/>
    <w:basedOn w:val="41"/>
    <w:autoRedefine/>
    <w:qFormat/>
    <w:uiPriority w:val="0"/>
    <w:pPr>
      <w:ind w:firstLine="420" w:firstLineChars="100"/>
    </w:pPr>
  </w:style>
  <w:style w:type="paragraph" w:customStyle="1" w:styleId="41">
    <w:name w:val="BodyText"/>
    <w:basedOn w:val="1"/>
    <w:autoRedefine/>
    <w:qFormat/>
    <w:uiPriority w:val="99"/>
    <w:pPr>
      <w:spacing w:after="120"/>
    </w:pPr>
  </w:style>
  <w:style w:type="character" w:customStyle="1" w:styleId="42">
    <w:name w:val="layui-layer-tabnow"/>
    <w:basedOn w:val="19"/>
    <w:qFormat/>
    <w:uiPriority w:val="0"/>
    <w:rPr>
      <w:bdr w:val="single" w:color="CCCCCC" w:sz="6" w:space="0"/>
      <w:shd w:val="clear" w:fill="FFFFFF"/>
    </w:rPr>
  </w:style>
  <w:style w:type="character" w:customStyle="1" w:styleId="43">
    <w:name w:val="first-child"/>
    <w:basedOn w:val="19"/>
    <w:qFormat/>
    <w:uiPriority w:val="0"/>
  </w:style>
  <w:style w:type="paragraph" w:customStyle="1" w:styleId="44">
    <w:name w:val="首行缩进"/>
    <w:basedOn w:val="1"/>
    <w:qFormat/>
    <w:uiPriority w:val="0"/>
    <w:pPr>
      <w:ind w:firstLine="480"/>
    </w:pPr>
    <w:rPr>
      <w:rFonts w:ascii="Arial" w:hAnsi="Arial"/>
      <w:lang w:val="zh-CN"/>
    </w:rPr>
  </w:style>
  <w:style w:type="paragraph" w:customStyle="1" w:styleId="45">
    <w:name w:val="列出段落1"/>
    <w:basedOn w:val="1"/>
    <w:qFormat/>
    <w:uiPriority w:val="99"/>
    <w:pPr>
      <w:ind w:firstLine="420" w:firstLineChars="200"/>
    </w:pPr>
    <w:rPr>
      <w:rFonts w:cs="Times New Roman"/>
    </w:rPr>
  </w:style>
  <w:style w:type="character" w:customStyle="1" w:styleId="46">
    <w:name w:val="NormalCharacter"/>
    <w:link w:val="1"/>
    <w:semiHidden/>
    <w:qFormat/>
    <w:uiPriority w:val="0"/>
    <w:rPr>
      <w:rFonts w:ascii="Times New Roman" w:hAnsi="Times New Roman" w:eastAsia="宋体" w:cs="Times New Roman"/>
      <w:kern w:val="2"/>
      <w:sz w:val="24"/>
      <w:szCs w:val="24"/>
      <w:lang w:val="en-US" w:eastAsia="zh-CN" w:bidi="ar-SA"/>
    </w:rPr>
  </w:style>
  <w:style w:type="character" w:customStyle="1" w:styleId="47">
    <w:name w:val="hover"/>
    <w:basedOn w:val="19"/>
    <w:qFormat/>
    <w:uiPriority w:val="0"/>
  </w:style>
  <w:style w:type="character" w:customStyle="1" w:styleId="48">
    <w:name w:val="hover1"/>
    <w:basedOn w:val="19"/>
    <w:uiPriority w:val="0"/>
    <w:rPr>
      <w:color w:val="2590EB"/>
    </w:rPr>
  </w:style>
  <w:style w:type="character" w:customStyle="1" w:styleId="49">
    <w:name w:val="hover2"/>
    <w:basedOn w:val="19"/>
    <w:uiPriority w:val="0"/>
    <w:rPr>
      <w:color w:val="2590EB"/>
    </w:rPr>
  </w:style>
  <w:style w:type="character" w:customStyle="1" w:styleId="50">
    <w:name w:val="mini-outputtext1"/>
    <w:basedOn w:val="19"/>
    <w:uiPriority w:val="0"/>
  </w:style>
  <w:style w:type="character" w:customStyle="1" w:styleId="51">
    <w:name w:val="hover3"/>
    <w:basedOn w:val="19"/>
    <w:uiPriority w:val="0"/>
    <w:rPr>
      <w:color w:val="2590EB"/>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57</Pages>
  <Words>20666</Words>
  <Characters>22168</Characters>
  <Lines>0</Lines>
  <Paragraphs>0</Paragraphs>
  <TotalTime>34</TotalTime>
  <ScaleCrop>false</ScaleCrop>
  <LinksUpToDate>false</LinksUpToDate>
  <CharactersWithSpaces>22571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2024-10-29T01:23:00Z</dcterms:created>
  <dc:creator>天使的羽毛</dc:creator>
  <cp:lastModifiedBy>李扬</cp:lastModifiedBy>
  <dcterms:modified xsi:type="dcterms:W3CDTF">2025-02-17T09:42:05Z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5DC06A803D4844C8A1D884E9DAECD543_13</vt:lpwstr>
  </property>
  <property fmtid="{D5CDD505-2E9C-101B-9397-08002B2CF9AE}" pid="4" name="KSOTemplateDocerSaveRecord">
    <vt:lpwstr>eyJoZGlkIjoiODMwNWNmZTllMTQ2YjMwYjEwNTBhYzVlNTJjODYzNjMiLCJ1c2VySWQiOiI0MzczODk0NzkifQ==</vt:lpwstr>
  </property>
</Properties>
</file>