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AF963">
      <w:pPr>
        <w:spacing w:after="120"/>
        <w:jc w:val="center"/>
        <w:rPr>
          <w:rFonts w:hint="eastAsia" w:ascii="宋体" w:hAnsi="宋体" w:cs="黑体"/>
          <w:b/>
          <w:kern w:val="0"/>
          <w:sz w:val="72"/>
          <w:szCs w:val="72"/>
          <w:lang w:eastAsia="zh-CN"/>
        </w:rPr>
      </w:pPr>
      <w:bookmarkStart w:id="107" w:name="_GoBack"/>
      <w:bookmarkEnd w:id="107"/>
      <w:r>
        <w:rPr>
          <w:rFonts w:hint="eastAsia" w:ascii="宋体" w:hAnsi="宋体" w:cs="黑体"/>
          <w:b/>
          <w:kern w:val="0"/>
          <w:sz w:val="72"/>
          <w:szCs w:val="72"/>
          <w:lang w:eastAsia="zh-CN"/>
        </w:rPr>
        <w:t>卢氏县春晖苑幼儿园报告厅设备采购项目</w:t>
      </w:r>
    </w:p>
    <w:p w14:paraId="4369B317">
      <w:pPr>
        <w:pStyle w:val="18"/>
        <w:ind w:left="480"/>
        <w:rPr>
          <w:b/>
          <w:sz w:val="76"/>
        </w:rPr>
      </w:pPr>
      <w:r>
        <w:rPr>
          <w:b/>
          <w:sz w:val="76"/>
        </w:rPr>
        <w:t>竞争性磋商文件</w:t>
      </w:r>
    </w:p>
    <w:p w14:paraId="177F91B8">
      <w:pPr>
        <w:pStyle w:val="17"/>
      </w:pPr>
    </w:p>
    <w:p w14:paraId="431E761C">
      <w:pPr>
        <w:keepNext w:val="0"/>
        <w:keepLines w:val="0"/>
        <w:widowControl/>
        <w:suppressLineNumbers w:val="0"/>
        <w:jc w:val="left"/>
        <w:rPr>
          <w:sz w:val="28"/>
          <w:szCs w:val="28"/>
        </w:rPr>
      </w:pPr>
      <w:r>
        <w:rPr>
          <w:rFonts w:hint="eastAsia" w:ascii="宋体" w:hAnsi="宋体" w:cs="宋体"/>
          <w:b/>
          <w:bCs/>
          <w:color w:val="auto"/>
          <w:kern w:val="0"/>
          <w:sz w:val="32"/>
          <w:szCs w:val="32"/>
        </w:rPr>
        <w:t>项目编号：</w:t>
      </w:r>
      <w:r>
        <w:rPr>
          <w:rFonts w:ascii="宋体" w:hAnsi="宋体" w:eastAsia="宋体" w:cs="宋体"/>
          <w:color w:val="auto"/>
          <w:sz w:val="32"/>
          <w:szCs w:val="32"/>
        </w:rPr>
        <w:t>三</w:t>
      </w:r>
      <w:r>
        <w:rPr>
          <w:rFonts w:ascii="宋体" w:hAnsi="宋体" w:eastAsia="宋体" w:cs="宋体"/>
          <w:sz w:val="32"/>
          <w:szCs w:val="32"/>
        </w:rPr>
        <w:t>卢竞磋采购-2025-36</w:t>
      </w:r>
      <w:r>
        <w:rPr>
          <w:rFonts w:hint="eastAsia" w:ascii="宋体" w:hAnsi="宋体" w:eastAsia="宋体" w:cs="宋体"/>
          <w:sz w:val="32"/>
          <w:szCs w:val="32"/>
          <w:lang w:val="en-US" w:eastAsia="zh-CN"/>
        </w:rPr>
        <w:t xml:space="preserve">、 </w:t>
      </w:r>
      <w:r>
        <w:rPr>
          <w:rFonts w:ascii="宋体" w:hAnsi="宋体" w:eastAsia="宋体" w:cs="宋体"/>
          <w:kern w:val="0"/>
          <w:sz w:val="32"/>
          <w:szCs w:val="32"/>
          <w:lang w:val="en-US" w:eastAsia="zh-CN" w:bidi="ar"/>
        </w:rPr>
        <w:t xml:space="preserve">LSGZ[2025]083-ZC057 </w:t>
      </w:r>
    </w:p>
    <w:p w14:paraId="0577B4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left"/>
        <w:rPr>
          <w:rFonts w:ascii="微软雅黑" w:hAnsi="微软雅黑" w:eastAsia="微软雅黑" w:cs="微软雅黑"/>
          <w:color w:val="000000" w:themeColor="text1"/>
          <w:sz w:val="21"/>
          <w:szCs w:val="21"/>
          <w14:textFill>
            <w14:solidFill>
              <w14:schemeClr w14:val="tx1"/>
            </w14:solidFill>
          </w14:textFill>
        </w:rPr>
      </w:pPr>
    </w:p>
    <w:p w14:paraId="490842C9">
      <w:pPr>
        <w:spacing w:after="120"/>
        <w:jc w:val="center"/>
        <w:rPr>
          <w:rFonts w:hint="eastAsia" w:ascii="宋体" w:hAnsi="宋体" w:cs="黑体"/>
          <w:b/>
          <w:kern w:val="0"/>
          <w:sz w:val="72"/>
          <w:szCs w:val="72"/>
        </w:rPr>
      </w:pPr>
      <w:r>
        <w:rPr>
          <w:rFonts w:hint="eastAsia" w:ascii="宋体" w:hAnsi="宋体" w:cs="黑体"/>
        </w:rPr>
        <w:drawing>
          <wp:anchor distT="0" distB="0" distL="114300" distR="114300" simplePos="0" relativeHeight="251659264" behindDoc="0" locked="0" layoutInCell="1" allowOverlap="1">
            <wp:simplePos x="0" y="0"/>
            <wp:positionH relativeFrom="column">
              <wp:posOffset>1162050</wp:posOffset>
            </wp:positionH>
            <wp:positionV relativeFrom="paragraph">
              <wp:posOffset>154305</wp:posOffset>
            </wp:positionV>
            <wp:extent cx="3315970" cy="3315970"/>
            <wp:effectExtent l="0" t="0" r="17780" b="17780"/>
            <wp:wrapNone/>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13"/>
                    <a:stretch>
                      <a:fillRect/>
                    </a:stretch>
                  </pic:blipFill>
                  <pic:spPr>
                    <a:xfrm>
                      <a:off x="0" y="0"/>
                      <a:ext cx="3315970" cy="3315970"/>
                    </a:xfrm>
                    <a:prstGeom prst="rect">
                      <a:avLst/>
                    </a:prstGeom>
                  </pic:spPr>
                </pic:pic>
              </a:graphicData>
            </a:graphic>
          </wp:anchor>
        </w:drawing>
      </w:r>
    </w:p>
    <w:p w14:paraId="5CF6F328"/>
    <w:p w14:paraId="5C434F2B">
      <w:pPr>
        <w:jc w:val="center"/>
        <w:rPr>
          <w:rFonts w:hint="eastAsia" w:ascii="宋体" w:hAnsi="宋体" w:cs="黑体"/>
        </w:rPr>
      </w:pPr>
    </w:p>
    <w:p w14:paraId="1D411AB6">
      <w:pPr>
        <w:tabs>
          <w:tab w:val="center" w:pos="4878"/>
          <w:tab w:val="left" w:pos="7850"/>
        </w:tabs>
        <w:spacing w:after="120"/>
        <w:jc w:val="center"/>
        <w:rPr>
          <w:rFonts w:hint="eastAsia" w:ascii="宋体" w:hAnsi="宋体" w:cs="黑体"/>
        </w:rPr>
      </w:pPr>
    </w:p>
    <w:p w14:paraId="5E7E8EB7">
      <w:pPr>
        <w:spacing w:line="480" w:lineRule="auto"/>
        <w:ind w:firstLine="1285" w:firstLineChars="400"/>
        <w:rPr>
          <w:rFonts w:hint="eastAsia" w:ascii="宋体" w:hAnsi="宋体" w:eastAsia="宋体"/>
          <w:b/>
          <w:sz w:val="32"/>
          <w:szCs w:val="32"/>
          <w:lang w:eastAsia="zh-CN"/>
        </w:rPr>
      </w:pPr>
    </w:p>
    <w:p w14:paraId="533F8E25">
      <w:pPr>
        <w:spacing w:line="480" w:lineRule="auto"/>
        <w:ind w:firstLine="1285" w:firstLineChars="400"/>
        <w:rPr>
          <w:rFonts w:hint="eastAsia" w:ascii="宋体" w:hAnsi="宋体" w:eastAsia="宋体"/>
          <w:b/>
          <w:sz w:val="32"/>
          <w:szCs w:val="32"/>
          <w:lang w:eastAsia="zh-CN"/>
        </w:rPr>
      </w:pPr>
    </w:p>
    <w:p w14:paraId="3F278BDB">
      <w:pPr>
        <w:spacing w:line="480" w:lineRule="auto"/>
        <w:ind w:firstLine="1285" w:firstLineChars="400"/>
        <w:rPr>
          <w:rFonts w:hint="eastAsia" w:ascii="宋体" w:hAnsi="宋体" w:eastAsia="宋体"/>
          <w:b/>
          <w:sz w:val="32"/>
          <w:szCs w:val="32"/>
          <w:lang w:eastAsia="zh-CN"/>
        </w:rPr>
      </w:pPr>
    </w:p>
    <w:p w14:paraId="611E6E19">
      <w:pPr>
        <w:spacing w:line="480" w:lineRule="auto"/>
        <w:ind w:firstLine="1285" w:firstLineChars="400"/>
        <w:rPr>
          <w:rFonts w:hint="eastAsia" w:ascii="宋体" w:hAnsi="宋体" w:eastAsia="宋体"/>
          <w:b/>
          <w:sz w:val="32"/>
          <w:szCs w:val="32"/>
          <w:lang w:eastAsia="zh-CN"/>
        </w:rPr>
      </w:pPr>
    </w:p>
    <w:p w14:paraId="06E98938">
      <w:pPr>
        <w:spacing w:line="480" w:lineRule="auto"/>
        <w:ind w:firstLine="1285" w:firstLineChars="400"/>
        <w:rPr>
          <w:rFonts w:hint="eastAsia" w:ascii="宋体" w:hAnsi="宋体" w:eastAsia="宋体"/>
          <w:b/>
          <w:sz w:val="32"/>
          <w:szCs w:val="32"/>
          <w:lang w:eastAsia="zh-CN"/>
        </w:rPr>
      </w:pPr>
    </w:p>
    <w:p w14:paraId="5D390C86">
      <w:pPr>
        <w:spacing w:line="480" w:lineRule="auto"/>
        <w:rPr>
          <w:rFonts w:hint="eastAsia" w:ascii="宋体" w:hAnsi="宋体" w:eastAsia="宋体"/>
          <w:b/>
          <w:sz w:val="32"/>
          <w:szCs w:val="32"/>
          <w:lang w:eastAsia="zh-CN"/>
        </w:rPr>
      </w:pPr>
    </w:p>
    <w:p w14:paraId="65AA75C8">
      <w:pPr>
        <w:spacing w:line="480" w:lineRule="auto"/>
        <w:ind w:firstLine="1285" w:firstLineChars="400"/>
        <w:rPr>
          <w:rFonts w:hint="eastAsia" w:ascii="宋体" w:hAnsi="宋体"/>
          <w:b/>
          <w:sz w:val="32"/>
          <w:szCs w:val="32"/>
        </w:rPr>
      </w:pPr>
      <w:r>
        <w:rPr>
          <w:rFonts w:hint="eastAsia" w:ascii="宋体" w:hAnsi="宋体" w:eastAsia="宋体"/>
          <w:b/>
          <w:sz w:val="32"/>
          <w:szCs w:val="32"/>
          <w:lang w:eastAsia="zh-CN"/>
        </w:rPr>
        <w:t>采购</w:t>
      </w:r>
      <w:r>
        <w:rPr>
          <w:rFonts w:hint="eastAsia" w:ascii="宋体" w:hAnsi="宋体"/>
          <w:b/>
          <w:sz w:val="32"/>
          <w:szCs w:val="32"/>
        </w:rPr>
        <w:t>人：</w:t>
      </w:r>
      <w:r>
        <w:rPr>
          <w:rFonts w:hint="eastAsia" w:ascii="宋体" w:hAnsi="宋体"/>
          <w:b/>
          <w:sz w:val="32"/>
          <w:szCs w:val="32"/>
          <w:lang w:eastAsia="zh-CN"/>
        </w:rPr>
        <w:t>卢氏县春晖苑幼儿园</w:t>
      </w:r>
      <w:r>
        <w:rPr>
          <w:rFonts w:hint="eastAsia" w:ascii="宋体" w:hAnsi="宋体"/>
          <w:b/>
          <w:sz w:val="32"/>
          <w:szCs w:val="32"/>
          <w:lang w:val="en-US" w:eastAsia="zh-CN"/>
        </w:rPr>
        <w:t xml:space="preserve"> </w:t>
      </w:r>
    </w:p>
    <w:p w14:paraId="5775664D">
      <w:pPr>
        <w:spacing w:line="480" w:lineRule="auto"/>
        <w:jc w:val="center"/>
        <w:rPr>
          <w:rFonts w:hint="eastAsia" w:ascii="宋体" w:hAnsi="宋体"/>
          <w:b/>
          <w:sz w:val="32"/>
          <w:szCs w:val="32"/>
        </w:rPr>
      </w:pPr>
      <w:r>
        <w:rPr>
          <w:rFonts w:hint="eastAsia" w:ascii="宋体" w:hAnsi="宋体"/>
          <w:b/>
          <w:sz w:val="32"/>
          <w:szCs w:val="32"/>
        </w:rPr>
        <w:t xml:space="preserve">招标代理公司：河南良智行工程管理咨询有限公司  </w:t>
      </w:r>
    </w:p>
    <w:p w14:paraId="4DE28059">
      <w:pPr>
        <w:spacing w:line="480" w:lineRule="auto"/>
        <w:jc w:val="center"/>
        <w:rPr>
          <w:rFonts w:hint="eastAsia" w:ascii="宋体" w:hAnsi="宋体"/>
          <w:sz w:val="28"/>
          <w:szCs w:val="28"/>
        </w:rPr>
        <w:sectPr>
          <w:headerReference r:id="rId3" w:type="default"/>
          <w:pgSz w:w="11906" w:h="16838"/>
          <w:pgMar w:top="1418" w:right="1134" w:bottom="1402" w:left="1701" w:header="851" w:footer="992" w:gutter="0"/>
          <w:pgNumType w:fmt="numberInDash" w:start="0"/>
          <w:cols w:space="720" w:num="1"/>
          <w:titlePg/>
          <w:docGrid w:type="lines" w:linePitch="312" w:charSpace="0"/>
        </w:sectPr>
      </w:pPr>
      <w:r>
        <w:rPr>
          <w:rFonts w:hint="eastAsia" w:ascii="宋体" w:hAnsi="宋体"/>
          <w:b/>
          <w:sz w:val="32"/>
          <w:szCs w:val="32"/>
        </w:rPr>
        <w:t>日期：二〇二五</w:t>
      </w:r>
      <w:r>
        <w:rPr>
          <w:rFonts w:hint="eastAsia" w:ascii="宋体" w:hAnsi="宋体" w:eastAsia="宋体"/>
          <w:b/>
          <w:sz w:val="32"/>
          <w:szCs w:val="32"/>
          <w:lang w:eastAsia="zh-CN"/>
        </w:rPr>
        <w:t>年四</w:t>
      </w:r>
      <w:r>
        <w:rPr>
          <w:rFonts w:hint="eastAsia" w:ascii="宋体" w:hAnsi="宋体"/>
          <w:b/>
          <w:sz w:val="32"/>
          <w:szCs w:val="32"/>
        </w:rPr>
        <w:t>月</w:t>
      </w:r>
    </w:p>
    <w:p w14:paraId="665EAD10">
      <w:pPr>
        <w:tabs>
          <w:tab w:val="left" w:pos="640"/>
        </w:tabs>
        <w:spacing w:line="360" w:lineRule="auto"/>
        <w:ind w:right="860"/>
        <w:jc w:val="center"/>
        <w:rPr>
          <w:rFonts w:ascii="宋体" w:hAnsi="宋体" w:cs="仿宋"/>
          <w:color w:val="auto"/>
          <w:sz w:val="32"/>
          <w:szCs w:val="32"/>
          <w:highlight w:val="none"/>
        </w:rPr>
      </w:pPr>
      <w:r>
        <w:rPr>
          <w:rFonts w:hint="eastAsia" w:ascii="宋体" w:hAnsi="宋体" w:cs="仿宋"/>
          <w:b/>
          <w:bCs/>
          <w:color w:val="auto"/>
          <w:w w:val="95"/>
          <w:sz w:val="32"/>
          <w:szCs w:val="32"/>
          <w:highlight w:val="none"/>
        </w:rPr>
        <w:t>目</w:t>
      </w:r>
      <w:r>
        <w:rPr>
          <w:rFonts w:hint="eastAsia" w:ascii="宋体" w:hAnsi="宋体" w:cs="仿宋"/>
          <w:b/>
          <w:bCs/>
          <w:color w:val="auto"/>
          <w:w w:val="95"/>
          <w:sz w:val="32"/>
          <w:szCs w:val="32"/>
          <w:highlight w:val="none"/>
        </w:rPr>
        <w:tab/>
      </w:r>
      <w:bookmarkStart w:id="0" w:name="第一章_招标公告"/>
      <w:bookmarkEnd w:id="0"/>
      <w:r>
        <w:rPr>
          <w:rFonts w:hint="eastAsia" w:ascii="宋体" w:hAnsi="宋体" w:cs="仿宋"/>
          <w:b/>
          <w:bCs/>
          <w:color w:val="auto"/>
          <w:sz w:val="32"/>
          <w:szCs w:val="32"/>
          <w:highlight w:val="none"/>
        </w:rPr>
        <w:t>录</w:t>
      </w:r>
    </w:p>
    <w:p w14:paraId="018CBC20">
      <w:pPr>
        <w:pStyle w:val="15"/>
        <w:tabs>
          <w:tab w:val="right" w:leader="dot" w:pos="9298"/>
        </w:tabs>
        <w:spacing w:before="608"/>
        <w:rPr>
          <w:rFonts w:hint="default" w:cs="仿宋"/>
          <w:color w:val="auto"/>
          <w:highlight w:val="none"/>
          <w:lang w:val="en-US" w:eastAsia="zh-CN"/>
        </w:rPr>
      </w:pPr>
      <w:r>
        <w:rPr>
          <w:rFonts w:hint="eastAsia"/>
          <w:color w:val="auto"/>
          <w:sz w:val="30"/>
          <w:szCs w:val="30"/>
          <w:highlight w:val="none"/>
        </w:rPr>
        <w:fldChar w:fldCharType="begin"/>
      </w:r>
      <w:r>
        <w:rPr>
          <w:color w:val="auto"/>
          <w:sz w:val="30"/>
          <w:szCs w:val="30"/>
          <w:highlight w:val="none"/>
        </w:rPr>
        <w:instrText xml:space="preserve"> HYPERLINK \l "_bookmark0" </w:instrText>
      </w:r>
      <w:r>
        <w:rPr>
          <w:rFonts w:hint="eastAsia"/>
          <w:color w:val="auto"/>
          <w:sz w:val="30"/>
          <w:szCs w:val="30"/>
          <w:highlight w:val="none"/>
        </w:rPr>
        <w:fldChar w:fldCharType="separate"/>
      </w:r>
      <w:r>
        <w:rPr>
          <w:rFonts w:hint="eastAsia" w:cs="仿宋"/>
          <w:color w:val="auto"/>
          <w:sz w:val="30"/>
          <w:szCs w:val="30"/>
          <w:highlight w:val="none"/>
          <w:lang w:eastAsia="zh-CN"/>
        </w:rPr>
        <w:t xml:space="preserve">第一章 </w:t>
      </w:r>
      <w:r>
        <w:rPr>
          <w:sz w:val="30"/>
          <w:szCs w:val="30"/>
        </w:rPr>
        <w:t>竞争性磋商公告</w:t>
      </w:r>
      <w:r>
        <w:rPr>
          <w:rFonts w:hint="eastAsia" w:cs="仿宋"/>
          <w:color w:val="auto"/>
          <w:sz w:val="30"/>
          <w:szCs w:val="30"/>
          <w:highlight w:val="none"/>
          <w:lang w:eastAsia="zh-CN"/>
        </w:rPr>
        <w:fldChar w:fldCharType="end"/>
      </w:r>
      <w:r>
        <w:rPr>
          <w:rFonts w:hint="eastAsia" w:cs="仿宋"/>
          <w:color w:val="auto"/>
          <w:sz w:val="30"/>
          <w:szCs w:val="30"/>
          <w:highlight w:val="none"/>
          <w:lang w:val="en-US" w:eastAsia="zh-CN"/>
        </w:rPr>
        <w:t>..</w:t>
      </w:r>
      <w:r>
        <w:rPr>
          <w:rFonts w:hint="eastAsia" w:cs="仿宋"/>
          <w:color w:val="auto"/>
          <w:highlight w:val="none"/>
          <w:lang w:val="en-US" w:eastAsia="zh-CN"/>
        </w:rPr>
        <w:t>..................................1</w:t>
      </w:r>
    </w:p>
    <w:p w14:paraId="52585AE0">
      <w:pPr>
        <w:pStyle w:val="15"/>
        <w:tabs>
          <w:tab w:val="right" w:leader="dot" w:pos="9298"/>
        </w:tabs>
        <w:rPr>
          <w:rFonts w:hint="default" w:cs="仿宋"/>
          <w:color w:val="auto"/>
          <w:highlight w:val="none"/>
          <w:lang w:val="en-US" w:eastAsia="zh-CN"/>
        </w:rPr>
      </w:pPr>
      <w:r>
        <w:rPr>
          <w:rFonts w:hint="eastAsia"/>
          <w:color w:val="auto"/>
          <w:highlight w:val="none"/>
        </w:rPr>
        <w:fldChar w:fldCharType="begin"/>
      </w:r>
      <w:r>
        <w:rPr>
          <w:color w:val="auto"/>
          <w:highlight w:val="none"/>
        </w:rPr>
        <w:instrText xml:space="preserve"> HYPERLINK \l "_bookmark1" </w:instrText>
      </w:r>
      <w:r>
        <w:rPr>
          <w:rFonts w:hint="eastAsia"/>
          <w:color w:val="auto"/>
          <w:highlight w:val="none"/>
        </w:rPr>
        <w:fldChar w:fldCharType="separate"/>
      </w:r>
      <w:r>
        <w:rPr>
          <w:rFonts w:hint="eastAsia" w:cs="仿宋"/>
          <w:color w:val="auto"/>
          <w:highlight w:val="none"/>
          <w:lang w:eastAsia="zh-CN"/>
        </w:rPr>
        <w:t>第二章 供应商须知</w:t>
      </w:r>
      <w:r>
        <w:rPr>
          <w:rFonts w:hint="eastAsia" w:cs="仿宋"/>
          <w:color w:val="auto"/>
          <w:highlight w:val="none"/>
          <w:lang w:eastAsia="zh-CN"/>
        </w:rPr>
        <w:fldChar w:fldCharType="end"/>
      </w:r>
      <w:r>
        <w:rPr>
          <w:rFonts w:hint="eastAsia" w:cs="仿宋"/>
          <w:color w:val="auto"/>
          <w:highlight w:val="none"/>
          <w:lang w:val="en-US" w:eastAsia="zh-CN"/>
        </w:rPr>
        <w:t>........................................5</w:t>
      </w:r>
    </w:p>
    <w:p w14:paraId="16409214">
      <w:pPr>
        <w:pStyle w:val="15"/>
        <w:tabs>
          <w:tab w:val="left" w:pos="1322"/>
          <w:tab w:val="right" w:leader="dot" w:pos="9295"/>
        </w:tabs>
        <w:spacing w:before="567"/>
        <w:rPr>
          <w:rFonts w:hint="default" w:cs="仿宋"/>
          <w:color w:val="auto"/>
          <w:highlight w:val="none"/>
          <w:lang w:val="en-US" w:eastAsia="zh-CN"/>
        </w:rPr>
      </w:pPr>
      <w:r>
        <w:rPr>
          <w:rFonts w:hint="eastAsia"/>
          <w:color w:val="auto"/>
          <w:highlight w:val="none"/>
        </w:rPr>
        <w:fldChar w:fldCharType="begin"/>
      </w:r>
      <w:r>
        <w:rPr>
          <w:color w:val="auto"/>
          <w:highlight w:val="none"/>
        </w:rPr>
        <w:instrText xml:space="preserve"> HYPERLINK \l "_bookmark2" </w:instrText>
      </w:r>
      <w:r>
        <w:rPr>
          <w:rFonts w:hint="eastAsia"/>
          <w:color w:val="auto"/>
          <w:highlight w:val="none"/>
        </w:rPr>
        <w:fldChar w:fldCharType="separate"/>
      </w:r>
      <w:r>
        <w:rPr>
          <w:rFonts w:hint="eastAsia" w:cs="仿宋"/>
          <w:color w:val="auto"/>
          <w:highlight w:val="none"/>
          <w:lang w:eastAsia="zh-CN"/>
        </w:rPr>
        <w:t>第三章 采购需求</w:t>
      </w:r>
      <w:r>
        <w:rPr>
          <w:rFonts w:hint="eastAsia" w:cs="仿宋"/>
          <w:color w:val="auto"/>
          <w:highlight w:val="none"/>
          <w:lang w:val="en-US" w:eastAsia="zh-CN"/>
        </w:rPr>
        <w:t>.</w:t>
      </w:r>
      <w:r>
        <w:rPr>
          <w:rFonts w:hint="eastAsia" w:cs="仿宋"/>
          <w:color w:val="auto"/>
          <w:highlight w:val="none"/>
          <w:lang w:eastAsia="zh-CN"/>
        </w:rPr>
        <w:fldChar w:fldCharType="end"/>
      </w:r>
      <w:r>
        <w:rPr>
          <w:rFonts w:hint="eastAsia" w:cs="仿宋"/>
          <w:color w:val="auto"/>
          <w:highlight w:val="none"/>
          <w:lang w:val="en-US" w:eastAsia="zh-CN"/>
        </w:rPr>
        <w:t>.........................................24</w:t>
      </w:r>
    </w:p>
    <w:p w14:paraId="3B14D15F">
      <w:pPr>
        <w:pStyle w:val="15"/>
        <w:tabs>
          <w:tab w:val="right" w:leader="dot" w:pos="9295"/>
        </w:tabs>
        <w:rPr>
          <w:rFonts w:hint="default" w:cs="仿宋"/>
          <w:color w:val="auto"/>
          <w:highlight w:val="none"/>
          <w:lang w:val="en-US" w:eastAsia="zh-CN"/>
        </w:rPr>
      </w:pPr>
      <w:r>
        <w:rPr>
          <w:rFonts w:hint="eastAsia"/>
          <w:color w:val="auto"/>
          <w:highlight w:val="none"/>
        </w:rPr>
        <w:fldChar w:fldCharType="begin"/>
      </w:r>
      <w:r>
        <w:rPr>
          <w:color w:val="auto"/>
          <w:highlight w:val="none"/>
        </w:rPr>
        <w:instrText xml:space="preserve"> HYPERLINK \l "_bookmark4" </w:instrText>
      </w:r>
      <w:r>
        <w:rPr>
          <w:rFonts w:hint="eastAsia"/>
          <w:color w:val="auto"/>
          <w:highlight w:val="none"/>
        </w:rPr>
        <w:fldChar w:fldCharType="separate"/>
      </w:r>
      <w:r>
        <w:rPr>
          <w:rFonts w:hint="eastAsia" w:cs="仿宋"/>
          <w:color w:val="auto"/>
          <w:highlight w:val="none"/>
          <w:lang w:eastAsia="zh-CN"/>
        </w:rPr>
        <w:t xml:space="preserve">第四章 </w:t>
      </w:r>
      <w:r>
        <w:rPr>
          <w:rFonts w:hint="eastAsia" w:cs="仿宋"/>
          <w:color w:val="auto"/>
          <w:highlight w:val="none"/>
          <w:lang w:val="en-US" w:eastAsia="zh-CN"/>
        </w:rPr>
        <w:t>评标</w:t>
      </w:r>
      <w:r>
        <w:rPr>
          <w:rFonts w:hint="eastAsia" w:cs="仿宋"/>
          <w:color w:val="auto"/>
          <w:highlight w:val="none"/>
          <w:lang w:eastAsia="zh-CN"/>
        </w:rPr>
        <w:fldChar w:fldCharType="end"/>
      </w:r>
      <w:r>
        <w:rPr>
          <w:rFonts w:hint="eastAsia" w:cs="仿宋"/>
          <w:color w:val="auto"/>
          <w:highlight w:val="none"/>
          <w:lang w:val="en-US" w:eastAsia="zh-CN"/>
        </w:rPr>
        <w:t>办法......................................... 26</w:t>
      </w:r>
    </w:p>
    <w:p w14:paraId="4644D8DE">
      <w:pPr>
        <w:pStyle w:val="15"/>
        <w:tabs>
          <w:tab w:val="right" w:leader="dot" w:pos="9295"/>
        </w:tabs>
        <w:rPr>
          <w:rFonts w:hint="default" w:cs="仿宋"/>
          <w:color w:val="auto"/>
          <w:highlight w:val="none"/>
          <w:lang w:val="en-US" w:eastAsia="zh-CN"/>
        </w:rPr>
      </w:pPr>
      <w:r>
        <w:rPr>
          <w:rFonts w:hint="eastAsia"/>
          <w:color w:val="auto"/>
          <w:highlight w:val="none"/>
        </w:rPr>
        <w:fldChar w:fldCharType="begin"/>
      </w:r>
      <w:r>
        <w:rPr>
          <w:color w:val="auto"/>
          <w:highlight w:val="none"/>
        </w:rPr>
        <w:instrText xml:space="preserve"> HYPERLINK \l "_bookmark3" </w:instrText>
      </w:r>
      <w:r>
        <w:rPr>
          <w:rFonts w:hint="eastAsia"/>
          <w:color w:val="auto"/>
          <w:highlight w:val="none"/>
        </w:rPr>
        <w:fldChar w:fldCharType="separate"/>
      </w:r>
      <w:r>
        <w:rPr>
          <w:rFonts w:hint="eastAsia" w:cs="仿宋"/>
          <w:color w:val="auto"/>
          <w:highlight w:val="none"/>
          <w:lang w:eastAsia="zh-CN"/>
        </w:rPr>
        <w:t xml:space="preserve">第五章 </w:t>
      </w:r>
      <w:r>
        <w:rPr>
          <w:rFonts w:hint="eastAsia" w:cs="仿宋"/>
          <w:color w:val="auto"/>
          <w:highlight w:val="none"/>
          <w:lang w:val="en-US" w:eastAsia="zh-CN"/>
        </w:rPr>
        <w:t>合同</w:t>
      </w:r>
      <w:r>
        <w:rPr>
          <w:rFonts w:hint="eastAsia" w:cs="仿宋"/>
          <w:color w:val="auto"/>
          <w:highlight w:val="none"/>
          <w:lang w:eastAsia="zh-CN"/>
        </w:rPr>
        <w:fldChar w:fldCharType="end"/>
      </w:r>
      <w:r>
        <w:rPr>
          <w:rFonts w:hint="eastAsia" w:cs="仿宋"/>
          <w:color w:val="auto"/>
          <w:highlight w:val="none"/>
          <w:lang w:val="en-US" w:eastAsia="zh-CN"/>
        </w:rPr>
        <w:t>条款及格式....................................35</w:t>
      </w:r>
    </w:p>
    <w:p w14:paraId="2163AF87">
      <w:pPr>
        <w:pStyle w:val="15"/>
        <w:tabs>
          <w:tab w:val="right" w:leader="dot" w:pos="9295"/>
        </w:tabs>
        <w:spacing w:before="567"/>
        <w:rPr>
          <w:rFonts w:hint="default" w:cs="仿宋"/>
          <w:color w:val="auto"/>
          <w:highlight w:val="none"/>
          <w:lang w:val="en-US" w:eastAsia="zh-CN"/>
        </w:rPr>
      </w:pPr>
      <w:r>
        <w:rPr>
          <w:rFonts w:hint="eastAsia"/>
          <w:color w:val="auto"/>
          <w:highlight w:val="none"/>
        </w:rPr>
        <w:fldChar w:fldCharType="begin"/>
      </w:r>
      <w:r>
        <w:rPr>
          <w:color w:val="auto"/>
          <w:highlight w:val="none"/>
        </w:rPr>
        <w:instrText xml:space="preserve"> HYPERLINK \l "_bookmark5" </w:instrText>
      </w:r>
      <w:r>
        <w:rPr>
          <w:rFonts w:hint="eastAsia"/>
          <w:color w:val="auto"/>
          <w:highlight w:val="none"/>
        </w:rPr>
        <w:fldChar w:fldCharType="separate"/>
      </w:r>
      <w:r>
        <w:rPr>
          <w:rFonts w:hint="eastAsia" w:cs="仿宋"/>
          <w:color w:val="auto"/>
          <w:highlight w:val="none"/>
          <w:lang w:eastAsia="zh-CN"/>
        </w:rPr>
        <w:t>第六章 响应文件格式</w:t>
      </w:r>
      <w:r>
        <w:rPr>
          <w:rFonts w:hint="eastAsia" w:cs="仿宋"/>
          <w:color w:val="auto"/>
          <w:highlight w:val="none"/>
          <w:lang w:eastAsia="zh-CN"/>
        </w:rPr>
        <w:fldChar w:fldCharType="end"/>
      </w:r>
      <w:r>
        <w:rPr>
          <w:rFonts w:hint="eastAsia" w:cs="仿宋"/>
          <w:color w:val="auto"/>
          <w:highlight w:val="none"/>
          <w:lang w:val="en-US" w:eastAsia="zh-CN"/>
        </w:rPr>
        <w:t>......................................40</w:t>
      </w:r>
    </w:p>
    <w:p w14:paraId="60ED8E70">
      <w:pPr>
        <w:rPr>
          <w:rFonts w:ascii="宋体" w:hAnsi="宋体" w:cs="仿宋"/>
          <w:color w:val="auto"/>
          <w:highlight w:val="none"/>
        </w:rPr>
        <w:sectPr>
          <w:headerReference r:id="rId4" w:type="default"/>
          <w:footerReference r:id="rId5" w:type="default"/>
          <w:pgSz w:w="11910" w:h="16840"/>
          <w:pgMar w:top="1500" w:right="820" w:bottom="1160" w:left="1680" w:header="0" w:footer="955" w:gutter="0"/>
          <w:pgNumType w:start="1"/>
          <w:cols w:equalWidth="0" w:num="1">
            <w:col w:w="9410"/>
          </w:cols>
        </w:sectPr>
      </w:pPr>
    </w:p>
    <w:p w14:paraId="37FC75FB">
      <w:pPr>
        <w:spacing w:line="360" w:lineRule="auto"/>
        <w:jc w:val="center"/>
        <w:outlineLvl w:val="0"/>
        <w:rPr>
          <w:rFonts w:hint="eastAsia" w:ascii="宋体" w:hAnsi="宋体" w:eastAsia="宋体" w:cs="Times New Roman"/>
          <w:b/>
          <w:bCs/>
          <w:kern w:val="2"/>
          <w:sz w:val="32"/>
          <w:szCs w:val="32"/>
          <w:lang w:eastAsia="zh-CN"/>
        </w:rPr>
      </w:pPr>
      <w:bookmarkStart w:id="1" w:name="_bookmark0"/>
      <w:bookmarkEnd w:id="1"/>
      <w:r>
        <w:rPr>
          <w:rFonts w:hint="eastAsia" w:ascii="宋体" w:hAnsi="宋体" w:eastAsia="宋体" w:cs="Times New Roman"/>
          <w:b/>
          <w:bCs/>
          <w:kern w:val="2"/>
          <w:sz w:val="32"/>
          <w:szCs w:val="32"/>
          <w:lang w:eastAsia="zh-CN"/>
        </w:rPr>
        <w:t>第一章 竞争性磋商公告</w:t>
      </w:r>
    </w:p>
    <w:p w14:paraId="7422A51D">
      <w:pPr>
        <w:keepNext w:val="0"/>
        <w:keepLines w:val="0"/>
        <w:pageBreakBefore w:val="0"/>
        <w:kinsoku/>
        <w:wordWrap/>
        <w:overflowPunct/>
        <w:topLinePunct w:val="0"/>
        <w:autoSpaceDE/>
        <w:autoSpaceDN/>
        <w:bidi w:val="0"/>
        <w:spacing w:line="360" w:lineRule="auto"/>
        <w:ind w:firstLine="640" w:firstLineChars="200"/>
        <w:jc w:val="both"/>
        <w:textAlignment w:val="auto"/>
        <w:rPr>
          <w:rFonts w:hint="eastAsia" w:asciiTheme="minorHAnsi" w:hAnsiTheme="minorHAnsi" w:eastAsiaTheme="minorHAnsi" w:cstheme="minorBidi"/>
          <w:kern w:val="0"/>
          <w:sz w:val="32"/>
          <w:szCs w:val="32"/>
          <w:lang w:val="en-US" w:eastAsia="zh-CN" w:bidi="ar"/>
        </w:rPr>
      </w:pPr>
      <w:bookmarkStart w:id="2" w:name="_bookmark1"/>
      <w:bookmarkEnd w:id="2"/>
      <w:r>
        <w:rPr>
          <w:rFonts w:hint="eastAsia" w:asciiTheme="minorHAnsi" w:hAnsiTheme="minorHAnsi" w:eastAsiaTheme="minorHAnsi" w:cstheme="minorBidi"/>
          <w:kern w:val="0"/>
          <w:sz w:val="32"/>
          <w:szCs w:val="32"/>
          <w:lang w:val="en-US" w:eastAsia="zh-CN" w:bidi="ar"/>
        </w:rPr>
        <w:t>河南良智行工程管理咨询有限公司受卢氏县春晖苑幼儿园委托，就卢氏县春晖苑幼儿园报告厅设备采购项目进行竞争性磋商，现欢迎符合资格条件的供应商参加磋商。</w:t>
      </w:r>
    </w:p>
    <w:p w14:paraId="33DE67AC">
      <w:pPr>
        <w:spacing w:line="360" w:lineRule="auto"/>
        <w:ind w:firstLine="640" w:firstLineChars="200"/>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一：项目概况及采购范围：</w:t>
      </w:r>
    </w:p>
    <w:p w14:paraId="630DA893">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1、采购人：卢氏县春晖苑幼儿园；</w:t>
      </w:r>
    </w:p>
    <w:p w14:paraId="2660152C">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2、项目名称：卢氏县春晖苑幼儿园报告厅设备采购项目；</w:t>
      </w:r>
    </w:p>
    <w:p w14:paraId="689FB373">
      <w:pPr>
        <w:spacing w:line="360" w:lineRule="auto"/>
        <w:ind w:firstLine="547" w:firstLineChars="171"/>
        <w:rPr>
          <w:rFonts w:hint="eastAsia" w:asciiTheme="minorEastAsia" w:hAnsiTheme="minorEastAsia" w:eastAsiaTheme="minorEastAsia" w:cstheme="minorEastAsia"/>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3</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、项目编号：</w:t>
      </w:r>
      <w:r>
        <w:rPr>
          <w:rFonts w:hint="eastAsia" w:asciiTheme="minorEastAsia" w:hAnsiTheme="minorEastAsia" w:eastAsiaTheme="minorEastAsia" w:cstheme="minorEastAsia"/>
          <w:kern w:val="0"/>
          <w:sz w:val="32"/>
          <w:szCs w:val="32"/>
          <w:lang w:val="en-US" w:eastAsia="zh-CN" w:bidi="ar"/>
        </w:rPr>
        <w:t>三卢竞磋采购-2025-36、LSGZ[2025]083-ZC057</w:t>
      </w:r>
    </w:p>
    <w:p w14:paraId="348D3BC8">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4、标段划分:本项目共分1个标段；</w:t>
      </w:r>
    </w:p>
    <w:p w14:paraId="44149702">
      <w:pPr>
        <w:spacing w:line="360" w:lineRule="auto"/>
        <w:ind w:firstLine="547" w:firstLineChars="171"/>
        <w:rPr>
          <w:rFonts w:hint="default"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5、项目概况：项目位于卢氏县春晖苑幼儿园；</w:t>
      </w:r>
      <w:r>
        <w:rPr>
          <w:rFonts w:hint="eastAsia" w:cstheme="minorBidi"/>
          <w:kern w:val="0"/>
          <w:sz w:val="32"/>
          <w:szCs w:val="32"/>
          <w:lang w:val="en-US" w:eastAsia="zh-CN" w:bidi="ar"/>
        </w:rPr>
        <w:t>采购内容包括显示系统、电脑、舞台灯等；</w:t>
      </w:r>
    </w:p>
    <w:p w14:paraId="29D9908B">
      <w:pPr>
        <w:spacing w:line="360" w:lineRule="auto"/>
        <w:ind w:firstLine="547" w:firstLineChars="171"/>
        <w:rPr>
          <w:rFonts w:hint="default"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6、预算金额：￥</w:t>
      </w:r>
      <w:r>
        <w:rPr>
          <w:rFonts w:hint="eastAsia" w:cstheme="minorBidi"/>
          <w:kern w:val="0"/>
          <w:sz w:val="32"/>
          <w:szCs w:val="32"/>
          <w:lang w:val="en-US" w:eastAsia="zh-CN" w:bidi="ar"/>
        </w:rPr>
        <w:t>483149.10</w:t>
      </w:r>
      <w:r>
        <w:rPr>
          <w:rFonts w:hint="eastAsia" w:asciiTheme="minorHAnsi" w:hAnsiTheme="minorHAnsi" w:eastAsiaTheme="minorHAnsi" w:cstheme="minorBidi"/>
          <w:kern w:val="0"/>
          <w:sz w:val="32"/>
          <w:szCs w:val="32"/>
          <w:lang w:val="en-US" w:eastAsia="zh-CN" w:bidi="ar"/>
        </w:rPr>
        <w:t>元；</w:t>
      </w:r>
    </w:p>
    <w:p w14:paraId="6BB8CE3E">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7、资金来源：财政资金，已落实；</w:t>
      </w:r>
    </w:p>
    <w:p w14:paraId="3080E754">
      <w:pPr>
        <w:spacing w:line="360" w:lineRule="auto"/>
        <w:ind w:firstLine="547" w:firstLineChars="171"/>
        <w:rPr>
          <w:rFonts w:hint="eastAsia" w:ascii="Calibri" w:hAnsi="Calibri" w:eastAsia="Calibri" w:cs="Times New Roman"/>
          <w:kern w:val="0"/>
          <w:sz w:val="24"/>
          <w:szCs w:val="22"/>
          <w:lang w:val="en-US" w:eastAsia="zh-CN" w:bidi="ar"/>
        </w:rPr>
      </w:pPr>
      <w:r>
        <w:rPr>
          <w:rFonts w:hint="eastAsia" w:asciiTheme="minorHAnsi" w:hAnsiTheme="minorHAnsi" w:eastAsiaTheme="minorHAnsi" w:cstheme="minorBidi"/>
          <w:kern w:val="0"/>
          <w:sz w:val="32"/>
          <w:szCs w:val="32"/>
          <w:lang w:val="en-US" w:eastAsia="zh-CN" w:bidi="ar"/>
        </w:rPr>
        <w:t>8、质量要求：合格，且满足采购人使用要求；</w:t>
      </w:r>
    </w:p>
    <w:p w14:paraId="35175F86">
      <w:pPr>
        <w:spacing w:line="360" w:lineRule="auto"/>
        <w:ind w:firstLine="547" w:firstLineChars="171"/>
        <w:rPr>
          <w:rFonts w:hint="default"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9、交货时间：合同签订后20日历天内完成交货、安装及调试；</w:t>
      </w:r>
    </w:p>
    <w:p w14:paraId="709BB39B">
      <w:pPr>
        <w:spacing w:line="360" w:lineRule="auto"/>
        <w:ind w:firstLine="547" w:firstLineChars="171"/>
        <w:rPr>
          <w:rFonts w:hint="default"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10、交货地点：</w:t>
      </w:r>
      <w:r>
        <w:rPr>
          <w:rFonts w:hint="eastAsia" w:cstheme="minorBidi"/>
          <w:kern w:val="0"/>
          <w:sz w:val="32"/>
          <w:szCs w:val="32"/>
          <w:lang w:val="en-US" w:eastAsia="zh-CN" w:bidi="ar"/>
        </w:rPr>
        <w:t>业主指定地点</w:t>
      </w:r>
      <w:r>
        <w:rPr>
          <w:rFonts w:hint="eastAsia" w:asciiTheme="minorHAnsi" w:hAnsiTheme="minorHAnsi" w:eastAsiaTheme="minorHAnsi" w:cstheme="minorBidi"/>
          <w:kern w:val="0"/>
          <w:sz w:val="32"/>
          <w:szCs w:val="32"/>
          <w:lang w:val="en-US" w:eastAsia="zh-CN" w:bidi="ar"/>
        </w:rPr>
        <w:t>；</w:t>
      </w:r>
    </w:p>
    <w:p w14:paraId="7F3D903C">
      <w:pPr>
        <w:spacing w:line="360" w:lineRule="auto"/>
        <w:ind w:firstLine="547" w:firstLineChars="171"/>
        <w:rPr>
          <w:rFonts w:hint="eastAsia" w:asciiTheme="minorHAnsi" w:hAnsiTheme="minorHAnsi" w:eastAsiaTheme="minorHAnsi" w:cstheme="minorBidi"/>
          <w:color w:val="auto"/>
          <w:kern w:val="0"/>
          <w:sz w:val="32"/>
          <w:szCs w:val="32"/>
          <w:lang w:val="en-US" w:eastAsia="zh-CN" w:bidi="ar"/>
        </w:rPr>
      </w:pPr>
      <w:r>
        <w:rPr>
          <w:rFonts w:hint="eastAsia" w:asciiTheme="minorHAnsi" w:hAnsiTheme="minorHAnsi" w:eastAsiaTheme="minorHAnsi" w:cstheme="minorBidi"/>
          <w:color w:val="auto"/>
          <w:kern w:val="0"/>
          <w:sz w:val="32"/>
          <w:szCs w:val="32"/>
          <w:lang w:val="en-US" w:eastAsia="zh-CN" w:bidi="ar"/>
        </w:rPr>
        <w:t>11、是否专门面对中小型企业：</w:t>
      </w:r>
      <w:r>
        <w:rPr>
          <w:rFonts w:hint="eastAsia" w:cstheme="minorBidi"/>
          <w:color w:val="auto"/>
          <w:kern w:val="0"/>
          <w:sz w:val="32"/>
          <w:szCs w:val="32"/>
          <w:lang w:val="en-US" w:eastAsia="zh-CN" w:bidi="ar"/>
        </w:rPr>
        <w:t>是</w:t>
      </w:r>
      <w:r>
        <w:rPr>
          <w:rFonts w:hint="eastAsia" w:asciiTheme="minorHAnsi" w:hAnsiTheme="minorHAnsi" w:eastAsiaTheme="minorHAnsi" w:cstheme="minorBidi"/>
          <w:color w:val="auto"/>
          <w:kern w:val="0"/>
          <w:sz w:val="32"/>
          <w:szCs w:val="32"/>
          <w:lang w:val="en-US" w:eastAsia="zh-CN" w:bidi="ar"/>
        </w:rPr>
        <w:t>，落实政府采购政策满足的资格要求：本项目执行促进中小型企业发展政策（残疾人福利性企业、监狱企业视同小微企业）、优先采购节能环保产品等政府采购政策。</w:t>
      </w:r>
    </w:p>
    <w:p w14:paraId="6EC4BC82">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二、供应商资格要求</w:t>
      </w:r>
    </w:p>
    <w:p w14:paraId="33A83453">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供应商参加本次政府采购活动必须符合《中华人民共和国政府采购法》第二十二条的规定并同时具备下列条件：</w:t>
      </w:r>
    </w:p>
    <w:p w14:paraId="2D529AD7">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1、须具有中华人民共和国境内注册的能够独立承担民事责任的独立法人，具有有效的营业执照、税务登记证、组织机构代码证(或“三证合一”的营业执照)；</w:t>
      </w:r>
    </w:p>
    <w:p w14:paraId="79AEE197">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2、具有履行合同所必需的设备和专业技术能力（提供承诺书，格式自拟）</w:t>
      </w:r>
    </w:p>
    <w:p w14:paraId="526AF314">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3、项目负责人为本单位正式员工（提供劳动合同）且已参加社会保险，提供近半年任意连续三个月参加社会养老保险的缴费证明（新成立企业从成立之日起计算）；</w:t>
      </w:r>
    </w:p>
    <w:p w14:paraId="79C27E96">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4、须提供企业近半年任意连续三个月依法缴纳税收的证明资料（新成立的企业从成立之日起计算）主要是指缴纳增值税或企业所得税或企业附加税的缴费证明，依法免税的投标响应人，应提供相应文件证明其依法免税；</w:t>
      </w:r>
    </w:p>
    <w:p w14:paraId="47409303">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5、具有良好的商业信誉和健全的财务会计制度，提供近三年任意一年度财务审计报告或财务报表</w:t>
      </w:r>
    </w:p>
    <w:p w14:paraId="110EAEF2">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6、参加政府采购活动前3年内无行贿犯罪记录、商业贿赂、不正当竞争行为、骗取中标、严重违约及重大工程质量等问题；供应商出具的无行贿犯罪记录在中国裁判文书网自行查询或自行承诺（查询对象：企业、法定代表人、项目负责人)及企业注册地工商部门出具的无商业贿赂和不正当竞争证明，若当地工商部门不出具此证明，企业自行承诺无商业贿赂和不正当竞争行为；</w:t>
      </w:r>
    </w:p>
    <w:p w14:paraId="0C01B71E">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7、根据《关于在政府采购活动中查询及使用信用记录有关问题的通知》(财库[2016]125号)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供应商须提供查询结果的网络截图。(注：査询时间必须是本公告发布之后开标之前，查询结果清晰可见)；</w:t>
      </w:r>
    </w:p>
    <w:p w14:paraId="4DFBDAAC">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8、单位负责人为同一人或者存在直接控股、管理关系的不同供应商，不得参加同一合同项下的政府采购活动；</w:t>
      </w:r>
    </w:p>
    <w:p w14:paraId="35AA8E87">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9、本</w:t>
      </w:r>
      <w:r>
        <w:rPr>
          <w:rFonts w:hint="eastAsia" w:cstheme="minorBidi"/>
          <w:kern w:val="0"/>
          <w:sz w:val="32"/>
          <w:szCs w:val="32"/>
          <w:lang w:val="en-US" w:eastAsia="zh-CN" w:bidi="ar"/>
        </w:rPr>
        <w:t>次磋商</w:t>
      </w:r>
      <w:r>
        <w:rPr>
          <w:rFonts w:hint="eastAsia" w:asciiTheme="minorHAnsi" w:hAnsiTheme="minorHAnsi" w:eastAsiaTheme="minorHAnsi" w:cstheme="minorBidi"/>
          <w:kern w:val="0"/>
          <w:sz w:val="32"/>
          <w:szCs w:val="32"/>
          <w:lang w:val="en-US" w:eastAsia="zh-CN" w:bidi="ar"/>
        </w:rPr>
        <w:t>实行资格后审；</w:t>
      </w:r>
    </w:p>
    <w:p w14:paraId="5108FA35">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10、本项目不接受联合体</w:t>
      </w:r>
      <w:r>
        <w:rPr>
          <w:rFonts w:hint="eastAsia" w:cstheme="minorBidi"/>
          <w:kern w:val="0"/>
          <w:sz w:val="32"/>
          <w:szCs w:val="32"/>
          <w:lang w:val="en-US" w:eastAsia="zh-CN" w:bidi="ar"/>
        </w:rPr>
        <w:t>投标</w:t>
      </w:r>
      <w:r>
        <w:rPr>
          <w:rFonts w:hint="eastAsia" w:asciiTheme="minorHAnsi" w:hAnsiTheme="minorHAnsi" w:eastAsiaTheme="minorHAnsi" w:cstheme="minorBidi"/>
          <w:kern w:val="0"/>
          <w:sz w:val="32"/>
          <w:szCs w:val="32"/>
          <w:lang w:val="en-US" w:eastAsia="zh-CN" w:bidi="ar"/>
        </w:rPr>
        <w:t>。</w:t>
      </w:r>
    </w:p>
    <w:p w14:paraId="472B70C4">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11、本项目专门面向中小企业采购,供应商须提供《中小企业声明函》；</w:t>
      </w:r>
    </w:p>
    <w:p w14:paraId="2B307971">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注：被列入失信被执行人及重大税收违法失信主体的企业做无效标处理。采购人或采购代理机构有权对供应商信用记录进行甄别和复查。</w:t>
      </w:r>
    </w:p>
    <w:p w14:paraId="590FC375">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三、</w:t>
      </w:r>
      <w:r>
        <w:rPr>
          <w:rFonts w:hint="eastAsia" w:cstheme="minorBidi"/>
          <w:kern w:val="0"/>
          <w:sz w:val="32"/>
          <w:szCs w:val="32"/>
          <w:lang w:val="en-US" w:eastAsia="zh-CN" w:bidi="ar"/>
        </w:rPr>
        <w:t>竞争性磋商</w:t>
      </w:r>
      <w:r>
        <w:rPr>
          <w:rFonts w:hint="eastAsia" w:asciiTheme="minorHAnsi" w:hAnsiTheme="minorHAnsi" w:eastAsiaTheme="minorHAnsi" w:cstheme="minorBidi"/>
          <w:kern w:val="0"/>
          <w:sz w:val="32"/>
          <w:szCs w:val="32"/>
          <w:lang w:val="en-US" w:eastAsia="zh-CN" w:bidi="ar"/>
        </w:rPr>
        <w:t>文件获取方式：</w:t>
      </w:r>
    </w:p>
    <w:p w14:paraId="3FDC1614">
      <w:pPr>
        <w:keepNext w:val="0"/>
        <w:keepLines w:val="0"/>
        <w:pageBreakBefore w:val="0"/>
        <w:widowControl w:val="0"/>
        <w:kinsoku/>
        <w:wordWrap w:val="0"/>
        <w:overflowPunct/>
        <w:topLinePunct w:val="0"/>
        <w:autoSpaceDE/>
        <w:autoSpaceDN/>
        <w:bidi w:val="0"/>
        <w:adjustRightInd/>
        <w:snapToGrid/>
        <w:spacing w:line="360" w:lineRule="auto"/>
        <w:ind w:firstLine="547" w:firstLineChars="171"/>
        <w:textAlignment w:val="auto"/>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1、</w:t>
      </w:r>
      <w:r>
        <w:rPr>
          <w:rFonts w:hint="eastAsia" w:cstheme="minorBidi"/>
          <w:kern w:val="0"/>
          <w:sz w:val="32"/>
          <w:szCs w:val="32"/>
          <w:lang w:val="en-US" w:eastAsia="zh-CN" w:bidi="ar"/>
        </w:rPr>
        <w:t>竞争性磋商</w:t>
      </w:r>
      <w:r>
        <w:rPr>
          <w:rFonts w:hint="eastAsia" w:asciiTheme="minorHAnsi" w:hAnsiTheme="minorHAnsi" w:eastAsiaTheme="minorHAnsi" w:cstheme="minorBidi"/>
          <w:kern w:val="0"/>
          <w:sz w:val="32"/>
          <w:szCs w:val="32"/>
          <w:lang w:val="en-US" w:eastAsia="zh-CN" w:bidi="ar"/>
        </w:rPr>
        <w:t>文件获取方式：本项目没有报名环节，</w:t>
      </w:r>
      <w:r>
        <w:rPr>
          <w:rFonts w:hint="eastAsia" w:cstheme="minorBidi"/>
          <w:kern w:val="0"/>
          <w:sz w:val="32"/>
          <w:szCs w:val="32"/>
          <w:lang w:val="en-US" w:eastAsia="zh-CN" w:bidi="ar"/>
        </w:rPr>
        <w:t>供应商</w:t>
      </w:r>
      <w:r>
        <w:rPr>
          <w:rFonts w:hint="eastAsia" w:asciiTheme="minorHAnsi" w:hAnsiTheme="minorHAnsi" w:eastAsiaTheme="minorHAnsi" w:cstheme="minorBidi"/>
          <w:kern w:val="0"/>
          <w:sz w:val="32"/>
          <w:szCs w:val="32"/>
          <w:lang w:val="en-US" w:eastAsia="zh-CN" w:bidi="ar"/>
        </w:rPr>
        <w:t>凭CA数字证书通过三门峡市公共资源交易中心网（网址：：</w:t>
      </w:r>
      <w:r>
        <w:rPr>
          <w:rFonts w:hint="eastAsia" w:asciiTheme="minorHAnsi" w:hAnsiTheme="minorHAnsi" w:eastAsiaTheme="minorHAnsi" w:cstheme="minorBidi"/>
          <w:kern w:val="0"/>
          <w:sz w:val="32"/>
          <w:szCs w:val="32"/>
          <w:lang w:val="en-US" w:eastAsia="zh-CN" w:bidi="ar"/>
        </w:rPr>
        <w:fldChar w:fldCharType="begin"/>
      </w:r>
      <w:r>
        <w:rPr>
          <w:rFonts w:hint="eastAsia" w:asciiTheme="minorHAnsi" w:hAnsiTheme="minorHAnsi" w:eastAsiaTheme="minorHAnsi" w:cstheme="minorBidi"/>
          <w:kern w:val="0"/>
          <w:sz w:val="32"/>
          <w:szCs w:val="32"/>
          <w:lang w:val="en-US" w:eastAsia="zh-CN" w:bidi="ar"/>
        </w:rPr>
        <w:instrText xml:space="preserve"> HYPERLINK "http://gzjy.smx.gov.cn/），点击交易平台选择" </w:instrText>
      </w:r>
      <w:r>
        <w:rPr>
          <w:rFonts w:hint="eastAsia" w:asciiTheme="minorHAnsi" w:hAnsiTheme="minorHAnsi" w:eastAsiaTheme="minorHAnsi" w:cstheme="minorBidi"/>
          <w:kern w:val="0"/>
          <w:sz w:val="32"/>
          <w:szCs w:val="32"/>
          <w:lang w:val="en-US" w:eastAsia="zh-CN" w:bidi="ar"/>
        </w:rPr>
        <w:fldChar w:fldCharType="separate"/>
      </w:r>
      <w:r>
        <w:rPr>
          <w:rFonts w:hint="eastAsia" w:asciiTheme="minorHAnsi" w:hAnsiTheme="minorHAnsi" w:eastAsiaTheme="minorHAnsi" w:cstheme="minorBidi"/>
          <w:kern w:val="0"/>
          <w:sz w:val="32"/>
          <w:szCs w:val="32"/>
          <w:lang w:val="en-US" w:eastAsia="zh-CN" w:bidi="ar"/>
        </w:rPr>
        <w:t>http://gzjy.smx.gov.cn/），点击交易平台选择“市场主体登录”，在所参与项目右侧点击参与投标,即可直接下载本项目</w:t>
      </w:r>
      <w:r>
        <w:rPr>
          <w:rFonts w:hint="eastAsia" w:cstheme="minorBidi"/>
          <w:kern w:val="0"/>
          <w:sz w:val="32"/>
          <w:szCs w:val="32"/>
          <w:lang w:val="en-US" w:eastAsia="zh-CN" w:bidi="ar"/>
        </w:rPr>
        <w:t>磋商</w:t>
      </w:r>
      <w:r>
        <w:rPr>
          <w:rFonts w:hint="eastAsia" w:asciiTheme="minorHAnsi" w:hAnsiTheme="minorHAnsi" w:eastAsiaTheme="minorHAnsi" w:cstheme="minorBidi"/>
          <w:kern w:val="0"/>
          <w:sz w:val="32"/>
          <w:szCs w:val="32"/>
          <w:lang w:val="en-US" w:eastAsia="zh-CN" w:bidi="ar"/>
        </w:rPr>
        <w:t>文件及其相关资料。</w:t>
      </w:r>
      <w:r>
        <w:rPr>
          <w:rFonts w:hint="eastAsia" w:asciiTheme="minorHAnsi" w:hAnsiTheme="minorHAnsi" w:eastAsiaTheme="minorHAnsi" w:cstheme="minorBidi"/>
          <w:kern w:val="0"/>
          <w:sz w:val="32"/>
          <w:szCs w:val="32"/>
          <w:lang w:val="en-US" w:eastAsia="zh-CN" w:bidi="ar"/>
        </w:rPr>
        <w:fldChar w:fldCharType="end"/>
      </w:r>
    </w:p>
    <w:p w14:paraId="7947CA37">
      <w:pPr>
        <w:keepNext w:val="0"/>
        <w:keepLines w:val="0"/>
        <w:pageBreakBefore w:val="0"/>
        <w:widowControl w:val="0"/>
        <w:kinsoku/>
        <w:wordWrap w:val="0"/>
        <w:overflowPunct/>
        <w:topLinePunct w:val="0"/>
        <w:autoSpaceDE/>
        <w:autoSpaceDN/>
        <w:bidi w:val="0"/>
        <w:adjustRightInd/>
        <w:snapToGrid/>
        <w:spacing w:line="360" w:lineRule="auto"/>
        <w:ind w:firstLine="547" w:firstLineChars="171"/>
        <w:textAlignment w:val="auto"/>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具体操作请查看以下链接：http://gzjy.smx.gov.cn/bzzx/008001/moreinfo.html</w:t>
      </w:r>
    </w:p>
    <w:p w14:paraId="52258EB9">
      <w:pPr>
        <w:keepNext w:val="0"/>
        <w:keepLines w:val="0"/>
        <w:pageBreakBefore w:val="0"/>
        <w:widowControl w:val="0"/>
        <w:kinsoku/>
        <w:wordWrap w:val="0"/>
        <w:overflowPunct/>
        <w:topLinePunct w:val="0"/>
        <w:autoSpaceDE/>
        <w:autoSpaceDN/>
        <w:bidi w:val="0"/>
        <w:adjustRightInd/>
        <w:snapToGrid/>
        <w:spacing w:line="360" w:lineRule="auto"/>
        <w:ind w:firstLine="547" w:firstLineChars="171"/>
        <w:textAlignment w:val="auto"/>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办理CA证书：http://gzjy.smx.gov.cn/bzzx/008001/moreinfo.htm</w:t>
      </w:r>
    </w:p>
    <w:p w14:paraId="05E13B08">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2、</w:t>
      </w:r>
      <w:r>
        <w:rPr>
          <w:rFonts w:hint="eastAsia" w:cstheme="minorBidi"/>
          <w:kern w:val="0"/>
          <w:sz w:val="32"/>
          <w:szCs w:val="32"/>
          <w:lang w:val="en-US" w:eastAsia="zh-CN" w:bidi="ar"/>
        </w:rPr>
        <w:t>磋商</w:t>
      </w:r>
      <w:r>
        <w:rPr>
          <w:rFonts w:hint="eastAsia" w:asciiTheme="minorHAnsi" w:hAnsiTheme="minorHAnsi" w:eastAsiaTheme="minorHAnsi" w:cstheme="minorBidi"/>
          <w:kern w:val="0"/>
          <w:sz w:val="32"/>
          <w:szCs w:val="32"/>
          <w:lang w:val="en-US" w:eastAsia="zh-CN" w:bidi="ar"/>
        </w:rPr>
        <w:t>文件下载时间：</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2025年</w:t>
      </w:r>
      <w:r>
        <w:rPr>
          <w:rFonts w:hint="eastAsia" w:cstheme="minorBidi"/>
          <w:color w:val="000000" w:themeColor="text1"/>
          <w:kern w:val="0"/>
          <w:sz w:val="32"/>
          <w:szCs w:val="32"/>
          <w:lang w:val="en-US" w:eastAsia="zh-CN" w:bidi="ar"/>
          <w14:textFill>
            <w14:solidFill>
              <w14:schemeClr w14:val="tx1"/>
            </w14:solidFill>
          </w14:textFill>
        </w:rPr>
        <w:t>05</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月</w:t>
      </w:r>
      <w:r>
        <w:rPr>
          <w:rFonts w:hint="eastAsia" w:cstheme="minorBidi"/>
          <w:color w:val="000000" w:themeColor="text1"/>
          <w:kern w:val="0"/>
          <w:sz w:val="32"/>
          <w:szCs w:val="32"/>
          <w:lang w:val="en-US" w:eastAsia="zh-CN" w:bidi="ar"/>
          <w14:textFill>
            <w14:solidFill>
              <w14:schemeClr w14:val="tx1"/>
            </w14:solidFill>
          </w14:textFill>
        </w:rPr>
        <w:t>01</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日至2025年0</w:t>
      </w:r>
      <w:r>
        <w:rPr>
          <w:rFonts w:hint="eastAsia" w:cstheme="minorBidi"/>
          <w:color w:val="000000" w:themeColor="text1"/>
          <w:kern w:val="0"/>
          <w:sz w:val="32"/>
          <w:szCs w:val="32"/>
          <w:lang w:val="en-US" w:eastAsia="zh-CN" w:bidi="ar"/>
          <w14:textFill>
            <w14:solidFill>
              <w14:schemeClr w14:val="tx1"/>
            </w14:solidFill>
          </w14:textFill>
        </w:rPr>
        <w:t>5</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月</w:t>
      </w:r>
      <w:r>
        <w:rPr>
          <w:rFonts w:hint="eastAsia" w:cstheme="minorBidi"/>
          <w:color w:val="000000" w:themeColor="text1"/>
          <w:kern w:val="0"/>
          <w:sz w:val="32"/>
          <w:szCs w:val="32"/>
          <w:lang w:val="en-US" w:eastAsia="zh-CN" w:bidi="ar"/>
          <w14:textFill>
            <w14:solidFill>
              <w14:schemeClr w14:val="tx1"/>
            </w14:solidFill>
          </w14:textFill>
        </w:rPr>
        <w:t>19</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日0</w:t>
      </w:r>
      <w:r>
        <w:rPr>
          <w:rFonts w:hint="eastAsia" w:cstheme="minorBidi"/>
          <w:color w:val="000000" w:themeColor="text1"/>
          <w:kern w:val="0"/>
          <w:sz w:val="32"/>
          <w:szCs w:val="32"/>
          <w:lang w:val="en-US" w:eastAsia="zh-CN" w:bidi="ar"/>
          <w14:textFill>
            <w14:solidFill>
              <w14:schemeClr w14:val="tx1"/>
            </w14:solidFill>
          </w14:textFill>
        </w:rPr>
        <w:t>8</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时</w:t>
      </w:r>
      <w:r>
        <w:rPr>
          <w:rFonts w:hint="eastAsia" w:cstheme="minorBidi"/>
          <w:color w:val="000000" w:themeColor="text1"/>
          <w:kern w:val="0"/>
          <w:sz w:val="32"/>
          <w:szCs w:val="32"/>
          <w:lang w:val="en-US" w:eastAsia="zh-CN" w:bidi="ar"/>
          <w14:textFill>
            <w14:solidFill>
              <w14:schemeClr w14:val="tx1"/>
            </w14:solidFill>
          </w14:textFill>
        </w:rPr>
        <w:t>4</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0分。</w:t>
      </w:r>
    </w:p>
    <w:p w14:paraId="2CA263FF">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3、解密方式：</w:t>
      </w:r>
    </w:p>
    <w:p w14:paraId="2A2FF271">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本项目为不见面开标项目。开标当日，供应商无需到开标现场参加开标会议，供应商应当在</w:t>
      </w:r>
      <w:r>
        <w:rPr>
          <w:rFonts w:hint="eastAsia" w:cstheme="minorBidi"/>
          <w:kern w:val="0"/>
          <w:sz w:val="32"/>
          <w:szCs w:val="32"/>
          <w:lang w:val="en-US" w:eastAsia="zh-CN" w:bidi="ar"/>
        </w:rPr>
        <w:t>磋商</w:t>
      </w:r>
      <w:r>
        <w:rPr>
          <w:rFonts w:hint="eastAsia" w:asciiTheme="minorHAnsi" w:hAnsiTheme="minorHAnsi" w:eastAsiaTheme="minorHAnsi" w:cstheme="minorBidi"/>
          <w:kern w:val="0"/>
          <w:sz w:val="32"/>
          <w:szCs w:val="32"/>
          <w:lang w:val="en-US" w:eastAsia="zh-CN" w:bidi="ar"/>
        </w:rPr>
        <w:t>截止时间前，登陆不见面开标大厅选择登陆三门峡市公共资源电子招投标系统进行登陆网址为http://120.194.249.36:10094/BidOpening/bidopeninghallaction/hall/login）,在线准时参加开标活动并进行投标文件解密等。每位供应商的解密时间为开标时间起30分钟内完成。未按时解密的其</w:t>
      </w:r>
      <w:r>
        <w:rPr>
          <w:rFonts w:hint="eastAsia" w:cstheme="minorBidi"/>
          <w:kern w:val="0"/>
          <w:sz w:val="32"/>
          <w:szCs w:val="32"/>
          <w:lang w:val="en-US" w:eastAsia="zh-CN" w:bidi="ar"/>
        </w:rPr>
        <w:t>磋商</w:t>
      </w:r>
      <w:r>
        <w:rPr>
          <w:rFonts w:hint="eastAsia" w:asciiTheme="minorHAnsi" w:hAnsiTheme="minorHAnsi" w:eastAsiaTheme="minorHAnsi" w:cstheme="minorBidi"/>
          <w:kern w:val="0"/>
          <w:sz w:val="32"/>
          <w:szCs w:val="32"/>
          <w:lang w:val="en-US" w:eastAsia="zh-CN" w:bidi="ar"/>
        </w:rPr>
        <w:t>将被否决。因供应商原因未能解密、解密失败或解密超时的将被拒绝；</w:t>
      </w:r>
    </w:p>
    <w:p w14:paraId="5586AAA2">
      <w:pPr>
        <w:spacing w:line="360" w:lineRule="auto"/>
        <w:ind w:firstLine="547" w:firstLineChars="171"/>
        <w:rPr>
          <w:rFonts w:hint="default"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4、本项目为全电子招标，不再收取磋商文件费用。</w:t>
      </w:r>
    </w:p>
    <w:p w14:paraId="02F48E0F">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五、</w:t>
      </w:r>
      <w:r>
        <w:rPr>
          <w:rFonts w:hint="eastAsia" w:cstheme="minorBidi"/>
          <w:kern w:val="0"/>
          <w:sz w:val="32"/>
          <w:szCs w:val="32"/>
          <w:lang w:val="en-US" w:eastAsia="zh-CN" w:bidi="ar"/>
        </w:rPr>
        <w:t>供应商</w:t>
      </w:r>
      <w:r>
        <w:rPr>
          <w:rFonts w:hint="eastAsia" w:asciiTheme="minorHAnsi" w:hAnsiTheme="minorHAnsi" w:eastAsiaTheme="minorHAnsi" w:cstheme="minorBidi"/>
          <w:kern w:val="0"/>
          <w:sz w:val="32"/>
          <w:szCs w:val="32"/>
          <w:lang w:val="en-US" w:eastAsia="zh-CN" w:bidi="ar"/>
        </w:rPr>
        <w:t>资料的提交</w:t>
      </w:r>
    </w:p>
    <w:p w14:paraId="7AFA7EA8">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本项目实行资格后审，审查内容以</w:t>
      </w:r>
      <w:r>
        <w:rPr>
          <w:rFonts w:hint="eastAsia" w:cstheme="minorBidi"/>
          <w:kern w:val="0"/>
          <w:sz w:val="32"/>
          <w:szCs w:val="32"/>
          <w:lang w:val="en-US" w:eastAsia="zh-CN" w:bidi="ar"/>
        </w:rPr>
        <w:t>磋商</w:t>
      </w:r>
      <w:r>
        <w:rPr>
          <w:rFonts w:hint="eastAsia" w:asciiTheme="minorHAnsi" w:hAnsiTheme="minorHAnsi" w:eastAsiaTheme="minorHAnsi" w:cstheme="minorBidi"/>
          <w:kern w:val="0"/>
          <w:sz w:val="32"/>
          <w:szCs w:val="32"/>
          <w:lang w:val="en-US" w:eastAsia="zh-CN" w:bidi="ar"/>
        </w:rPr>
        <w:t>截止时间前在三门峡市公共资源交易系统上传的</w:t>
      </w:r>
      <w:r>
        <w:rPr>
          <w:rFonts w:hint="eastAsia" w:cstheme="minorBidi"/>
          <w:kern w:val="0"/>
          <w:sz w:val="32"/>
          <w:szCs w:val="32"/>
          <w:lang w:val="en-US" w:eastAsia="zh-CN" w:bidi="ar"/>
        </w:rPr>
        <w:t>磋商响应</w:t>
      </w:r>
      <w:r>
        <w:rPr>
          <w:rFonts w:hint="eastAsia" w:asciiTheme="minorHAnsi" w:hAnsiTheme="minorHAnsi" w:eastAsiaTheme="minorHAnsi" w:cstheme="minorBidi"/>
          <w:kern w:val="0"/>
          <w:sz w:val="32"/>
          <w:szCs w:val="32"/>
          <w:lang w:val="en-US" w:eastAsia="zh-CN" w:bidi="ar"/>
        </w:rPr>
        <w:t>文件的信息为准。其上传资料真实性由投标人自行承担，同时，投标人需要及时完善主体库信息，但不作为评标依据。</w:t>
      </w:r>
    </w:p>
    <w:p w14:paraId="4CF08142">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六、</w:t>
      </w:r>
      <w:r>
        <w:rPr>
          <w:rFonts w:hint="eastAsia" w:cstheme="minorBidi"/>
          <w:kern w:val="0"/>
          <w:sz w:val="32"/>
          <w:szCs w:val="32"/>
          <w:lang w:val="en-US" w:eastAsia="zh-CN" w:bidi="ar"/>
        </w:rPr>
        <w:t>磋商</w:t>
      </w:r>
      <w:r>
        <w:rPr>
          <w:rFonts w:hint="eastAsia" w:asciiTheme="minorHAnsi" w:hAnsiTheme="minorHAnsi" w:eastAsiaTheme="minorHAnsi" w:cstheme="minorBidi"/>
          <w:kern w:val="0"/>
          <w:sz w:val="32"/>
          <w:szCs w:val="32"/>
          <w:lang w:val="en-US" w:eastAsia="zh-CN" w:bidi="ar"/>
        </w:rPr>
        <w:t>保证金</w:t>
      </w:r>
    </w:p>
    <w:p w14:paraId="09CF060E">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按照《河南省财政厅关于优化政府采购营商环境有关问题的通知》（豫财购[2019]4号文）的要求，本项目不再收取</w:t>
      </w:r>
      <w:r>
        <w:rPr>
          <w:rFonts w:hint="eastAsia" w:cstheme="minorBidi"/>
          <w:kern w:val="0"/>
          <w:sz w:val="32"/>
          <w:szCs w:val="32"/>
          <w:lang w:val="en-US" w:eastAsia="zh-CN" w:bidi="ar"/>
        </w:rPr>
        <w:t>磋商</w:t>
      </w:r>
      <w:r>
        <w:rPr>
          <w:rFonts w:hint="eastAsia" w:asciiTheme="minorHAnsi" w:hAnsiTheme="minorHAnsi" w:eastAsiaTheme="minorHAnsi" w:cstheme="minorBidi"/>
          <w:kern w:val="0"/>
          <w:sz w:val="32"/>
          <w:szCs w:val="32"/>
          <w:lang w:val="en-US" w:eastAsia="zh-CN" w:bidi="ar"/>
        </w:rPr>
        <w:t>保证金。</w:t>
      </w:r>
    </w:p>
    <w:p w14:paraId="265B4E69">
      <w:pPr>
        <w:numPr>
          <w:ilvl w:val="0"/>
          <w:numId w:val="1"/>
        </w:numPr>
        <w:spacing w:line="360" w:lineRule="auto"/>
        <w:ind w:firstLine="547" w:firstLineChars="171"/>
        <w:rPr>
          <w:rFonts w:hint="eastAsia" w:ascii="宋体" w:hAnsi="宋体" w:eastAsia="宋体" w:cs="宋体"/>
          <w:sz w:val="32"/>
          <w:szCs w:val="32"/>
        </w:rPr>
      </w:pPr>
      <w:r>
        <w:rPr>
          <w:rFonts w:hint="eastAsia" w:ascii="宋体" w:hAnsi="宋体" w:eastAsia="宋体" w:cs="宋体"/>
          <w:sz w:val="32"/>
          <w:szCs w:val="32"/>
        </w:rPr>
        <w:t>磋商响应文件的递交截止时间及开评标地点</w:t>
      </w:r>
    </w:p>
    <w:p w14:paraId="60D4029D">
      <w:pPr>
        <w:numPr>
          <w:ilvl w:val="0"/>
          <w:numId w:val="0"/>
        </w:numPr>
        <w:spacing w:line="360" w:lineRule="auto"/>
        <w:ind w:firstLine="640" w:firstLineChars="200"/>
        <w:rPr>
          <w:rFonts w:hint="eastAsia" w:asciiTheme="minorHAnsi" w:hAnsiTheme="minorHAnsi" w:eastAsiaTheme="minorHAnsi" w:cstheme="minorBidi"/>
          <w:color w:val="FF0000"/>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1、</w:t>
      </w:r>
      <w:r>
        <w:rPr>
          <w:rFonts w:hint="eastAsia" w:cstheme="minorBidi"/>
          <w:kern w:val="0"/>
          <w:sz w:val="32"/>
          <w:szCs w:val="32"/>
          <w:lang w:val="en-US" w:eastAsia="zh-CN" w:bidi="ar"/>
        </w:rPr>
        <w:t>磋商文件递交的</w:t>
      </w:r>
      <w:r>
        <w:rPr>
          <w:rFonts w:hint="eastAsia" w:asciiTheme="minorHAnsi" w:hAnsiTheme="minorHAnsi" w:eastAsiaTheme="minorHAnsi" w:cstheme="minorBidi"/>
          <w:kern w:val="0"/>
          <w:sz w:val="32"/>
          <w:szCs w:val="32"/>
          <w:lang w:val="en-US" w:eastAsia="zh-CN" w:bidi="ar"/>
        </w:rPr>
        <w:t>截止时间</w:t>
      </w:r>
      <w:r>
        <w:rPr>
          <w:rFonts w:hint="eastAsia" w:cstheme="minorBidi"/>
          <w:kern w:val="0"/>
          <w:sz w:val="32"/>
          <w:szCs w:val="32"/>
          <w:lang w:val="en-US" w:eastAsia="zh-CN" w:bidi="ar"/>
        </w:rPr>
        <w:t>（开标时间）</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w:t>
      </w:r>
      <w:r>
        <w:rPr>
          <w:rFonts w:hint="eastAsia" w:asciiTheme="minorHAnsi" w:hAnsiTheme="minorHAnsi" w:eastAsiaTheme="minorHAnsi" w:cstheme="minorBidi"/>
          <w:color w:val="auto"/>
          <w:kern w:val="0"/>
          <w:sz w:val="32"/>
          <w:szCs w:val="32"/>
          <w:lang w:val="en-US" w:eastAsia="zh-CN" w:bidi="ar"/>
        </w:rPr>
        <w:t>202</w:t>
      </w:r>
      <w:r>
        <w:rPr>
          <w:rFonts w:hint="eastAsia" w:cstheme="minorBidi"/>
          <w:color w:val="auto"/>
          <w:kern w:val="0"/>
          <w:sz w:val="32"/>
          <w:szCs w:val="32"/>
          <w:lang w:val="en-US" w:eastAsia="zh-CN" w:bidi="ar"/>
        </w:rPr>
        <w:t>5</w:t>
      </w:r>
      <w:r>
        <w:rPr>
          <w:rFonts w:hint="eastAsia" w:asciiTheme="minorHAnsi" w:hAnsiTheme="minorHAnsi" w:eastAsiaTheme="minorHAnsi" w:cstheme="minorBidi"/>
          <w:color w:val="auto"/>
          <w:kern w:val="0"/>
          <w:sz w:val="32"/>
          <w:szCs w:val="32"/>
          <w:lang w:val="en-US" w:eastAsia="zh-CN" w:bidi="ar"/>
        </w:rPr>
        <w:t>年</w:t>
      </w:r>
      <w:r>
        <w:rPr>
          <w:rFonts w:hint="eastAsia" w:cstheme="minorBidi"/>
          <w:color w:val="auto"/>
          <w:kern w:val="0"/>
          <w:sz w:val="32"/>
          <w:szCs w:val="32"/>
          <w:lang w:val="en-US" w:eastAsia="zh-CN" w:bidi="ar"/>
        </w:rPr>
        <w:t>05</w:t>
      </w:r>
      <w:r>
        <w:rPr>
          <w:rFonts w:hint="eastAsia" w:asciiTheme="minorHAnsi" w:hAnsiTheme="minorHAnsi" w:eastAsiaTheme="minorHAnsi" w:cstheme="minorBidi"/>
          <w:color w:val="auto"/>
          <w:kern w:val="0"/>
          <w:sz w:val="32"/>
          <w:szCs w:val="32"/>
          <w:lang w:val="en-US" w:eastAsia="zh-CN" w:bidi="ar"/>
        </w:rPr>
        <w:t>月</w:t>
      </w:r>
      <w:r>
        <w:rPr>
          <w:rFonts w:hint="eastAsia" w:cstheme="minorBidi"/>
          <w:color w:val="auto"/>
          <w:kern w:val="0"/>
          <w:sz w:val="32"/>
          <w:szCs w:val="32"/>
          <w:lang w:val="en-US" w:eastAsia="zh-CN" w:bidi="ar"/>
        </w:rPr>
        <w:t>19</w:t>
      </w:r>
      <w:r>
        <w:rPr>
          <w:rFonts w:hint="eastAsia" w:asciiTheme="minorHAnsi" w:hAnsiTheme="minorHAnsi" w:eastAsiaTheme="minorHAnsi" w:cstheme="minorBidi"/>
          <w:color w:val="auto"/>
          <w:kern w:val="0"/>
          <w:sz w:val="32"/>
          <w:szCs w:val="32"/>
          <w:lang w:val="en-US" w:eastAsia="zh-CN" w:bidi="ar"/>
        </w:rPr>
        <w:t>日0</w:t>
      </w:r>
      <w:r>
        <w:rPr>
          <w:rFonts w:hint="eastAsia" w:cstheme="minorBidi"/>
          <w:color w:val="auto"/>
          <w:kern w:val="0"/>
          <w:sz w:val="32"/>
          <w:szCs w:val="32"/>
          <w:lang w:val="en-US" w:eastAsia="zh-CN" w:bidi="ar"/>
        </w:rPr>
        <w:t>8</w:t>
      </w:r>
      <w:r>
        <w:rPr>
          <w:rFonts w:hint="eastAsia" w:asciiTheme="minorHAnsi" w:hAnsiTheme="minorHAnsi" w:eastAsiaTheme="minorHAnsi" w:cstheme="minorBidi"/>
          <w:color w:val="auto"/>
          <w:kern w:val="0"/>
          <w:sz w:val="32"/>
          <w:szCs w:val="32"/>
          <w:lang w:val="en-US" w:eastAsia="zh-CN" w:bidi="ar"/>
        </w:rPr>
        <w:t>时</w:t>
      </w:r>
      <w:r>
        <w:rPr>
          <w:rFonts w:hint="eastAsia" w:cstheme="minorBidi"/>
          <w:color w:val="auto"/>
          <w:kern w:val="0"/>
          <w:sz w:val="32"/>
          <w:szCs w:val="32"/>
          <w:lang w:val="en-US" w:eastAsia="zh-CN" w:bidi="ar"/>
        </w:rPr>
        <w:t>40</w:t>
      </w:r>
      <w:r>
        <w:rPr>
          <w:rFonts w:hint="eastAsia" w:asciiTheme="minorHAnsi" w:hAnsiTheme="minorHAnsi" w:eastAsiaTheme="minorHAnsi" w:cstheme="minorBidi"/>
          <w:color w:val="auto"/>
          <w:kern w:val="0"/>
          <w:sz w:val="32"/>
          <w:szCs w:val="32"/>
          <w:lang w:val="en-US" w:eastAsia="zh-CN" w:bidi="ar"/>
        </w:rPr>
        <w:t>分；</w:t>
      </w:r>
    </w:p>
    <w:p w14:paraId="73704A83">
      <w:pPr>
        <w:spacing w:line="360" w:lineRule="auto"/>
        <w:ind w:firstLine="547" w:firstLineChars="171"/>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pP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2、</w:t>
      </w:r>
      <w:r>
        <w:rPr>
          <w:rFonts w:hint="eastAsia" w:cstheme="minorBidi"/>
          <w:color w:val="000000" w:themeColor="text1"/>
          <w:kern w:val="0"/>
          <w:sz w:val="32"/>
          <w:szCs w:val="32"/>
          <w:lang w:val="en-US" w:eastAsia="zh-CN" w:bidi="ar"/>
          <w14:textFill>
            <w14:solidFill>
              <w14:schemeClr w14:val="tx1"/>
            </w14:solidFill>
          </w14:textFill>
        </w:rPr>
        <w:t>开标</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地点：卢氏县公共资源交易中心四楼第</w:t>
      </w:r>
      <w:r>
        <w:rPr>
          <w:rFonts w:hint="eastAsia" w:eastAsia="宋体" w:cstheme="minorBidi"/>
          <w:color w:val="000000" w:themeColor="text1"/>
          <w:kern w:val="0"/>
          <w:sz w:val="32"/>
          <w:szCs w:val="32"/>
          <w:lang w:val="en-US" w:eastAsia="zh-CN" w:bidi="ar"/>
          <w14:textFill>
            <w14:solidFill>
              <w14:schemeClr w14:val="tx1"/>
            </w14:solidFill>
          </w14:textFill>
        </w:rPr>
        <w:t>一</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开标室；</w:t>
      </w:r>
    </w:p>
    <w:p w14:paraId="7387802A">
      <w:pPr>
        <w:spacing w:line="360" w:lineRule="auto"/>
        <w:ind w:firstLine="547" w:firstLineChars="171"/>
        <w:rPr>
          <w:rFonts w:hint="eastAsia" w:asciiTheme="minorHAnsi" w:hAnsiTheme="minorHAnsi" w:eastAsiaTheme="minorHAnsi" w:cstheme="minorBidi"/>
          <w:color w:val="FF0000"/>
          <w:kern w:val="0"/>
          <w:sz w:val="32"/>
          <w:szCs w:val="32"/>
          <w:lang w:val="en-US" w:eastAsia="zh-CN" w:bidi="ar"/>
        </w:rPr>
      </w:pP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3、</w:t>
      </w:r>
      <w:r>
        <w:rPr>
          <w:rFonts w:hint="eastAsia" w:cstheme="minorBidi"/>
          <w:color w:val="000000" w:themeColor="text1"/>
          <w:kern w:val="0"/>
          <w:sz w:val="32"/>
          <w:szCs w:val="32"/>
          <w:lang w:val="en-US" w:eastAsia="zh-CN" w:bidi="ar"/>
          <w14:textFill>
            <w14:solidFill>
              <w14:schemeClr w14:val="tx1"/>
            </w14:solidFill>
          </w14:textFill>
        </w:rPr>
        <w:t>评标</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地点：卢氏县公共资源交易中心二楼第</w:t>
      </w:r>
      <w:r>
        <w:rPr>
          <w:rFonts w:hint="eastAsia" w:cstheme="minorBidi"/>
          <w:color w:val="000000" w:themeColor="text1"/>
          <w:kern w:val="0"/>
          <w:sz w:val="32"/>
          <w:szCs w:val="32"/>
          <w:lang w:val="en-US" w:eastAsia="zh-CN" w:bidi="ar"/>
          <w14:textFill>
            <w14:solidFill>
              <w14:schemeClr w14:val="tx1"/>
            </w14:solidFill>
          </w14:textFill>
        </w:rPr>
        <w:t>一</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评标室。</w:t>
      </w:r>
    </w:p>
    <w:p w14:paraId="67961F96">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八、其他事项：</w:t>
      </w:r>
    </w:p>
    <w:p w14:paraId="62F1CE91">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1、</w:t>
      </w:r>
      <w:r>
        <w:rPr>
          <w:rFonts w:hint="eastAsia" w:cstheme="minorBidi"/>
          <w:kern w:val="0"/>
          <w:sz w:val="32"/>
          <w:szCs w:val="32"/>
          <w:lang w:val="en-US" w:eastAsia="zh-CN" w:bidi="ar"/>
        </w:rPr>
        <w:t>投标</w:t>
      </w:r>
      <w:r>
        <w:rPr>
          <w:rFonts w:hint="eastAsia" w:asciiTheme="minorHAnsi" w:hAnsiTheme="minorHAnsi" w:eastAsiaTheme="minorHAnsi" w:cstheme="minorBidi"/>
          <w:kern w:val="0"/>
          <w:sz w:val="32"/>
          <w:szCs w:val="32"/>
          <w:lang w:val="en-US" w:eastAsia="zh-CN" w:bidi="ar"/>
        </w:rPr>
        <w:t>供应商应仔细阅读操作手册，在本公告中要求的截止时间前完成</w:t>
      </w:r>
      <w:r>
        <w:rPr>
          <w:rFonts w:hint="eastAsia" w:cstheme="minorBidi"/>
          <w:kern w:val="0"/>
          <w:sz w:val="32"/>
          <w:szCs w:val="32"/>
          <w:lang w:val="en-US" w:eastAsia="zh-CN" w:bidi="ar"/>
        </w:rPr>
        <w:t>磋商</w:t>
      </w:r>
      <w:r>
        <w:rPr>
          <w:rFonts w:hint="eastAsia" w:asciiTheme="minorHAnsi" w:hAnsiTheme="minorHAnsi" w:eastAsiaTheme="minorHAnsi" w:cstheme="minorBidi"/>
          <w:kern w:val="0"/>
          <w:sz w:val="32"/>
          <w:szCs w:val="32"/>
          <w:lang w:val="en-US" w:eastAsia="zh-CN" w:bidi="ar"/>
        </w:rPr>
        <w:t>文件下载等工作。并充分考虑人为操作和时间等因素，因</w:t>
      </w:r>
      <w:r>
        <w:rPr>
          <w:rFonts w:hint="eastAsia" w:cstheme="minorBidi"/>
          <w:kern w:val="0"/>
          <w:sz w:val="32"/>
          <w:szCs w:val="32"/>
          <w:lang w:val="en-US" w:eastAsia="zh-CN" w:bidi="ar"/>
        </w:rPr>
        <w:t>投标</w:t>
      </w:r>
      <w:r>
        <w:rPr>
          <w:rFonts w:hint="eastAsia" w:asciiTheme="minorHAnsi" w:hAnsiTheme="minorHAnsi" w:eastAsiaTheme="minorHAnsi" w:cstheme="minorBidi"/>
          <w:kern w:val="0"/>
          <w:sz w:val="32"/>
          <w:szCs w:val="32"/>
          <w:lang w:val="en-US" w:eastAsia="zh-CN" w:bidi="ar"/>
        </w:rPr>
        <w:t>供应商操作不当造成的无法下载</w:t>
      </w:r>
      <w:r>
        <w:rPr>
          <w:rFonts w:hint="eastAsia" w:cstheme="minorBidi"/>
          <w:kern w:val="0"/>
          <w:sz w:val="32"/>
          <w:szCs w:val="32"/>
          <w:lang w:val="en-US" w:eastAsia="zh-CN" w:bidi="ar"/>
        </w:rPr>
        <w:t>磋商</w:t>
      </w:r>
      <w:r>
        <w:rPr>
          <w:rFonts w:hint="eastAsia" w:asciiTheme="minorHAnsi" w:hAnsiTheme="minorHAnsi" w:eastAsiaTheme="minorHAnsi" w:cstheme="minorBidi"/>
          <w:kern w:val="0"/>
          <w:sz w:val="32"/>
          <w:szCs w:val="32"/>
          <w:lang w:val="en-US" w:eastAsia="zh-CN" w:bidi="ar"/>
        </w:rPr>
        <w:t>文件、无法投标等一切后果，由</w:t>
      </w:r>
      <w:r>
        <w:rPr>
          <w:rFonts w:hint="eastAsia" w:cstheme="minorBidi"/>
          <w:kern w:val="0"/>
          <w:sz w:val="32"/>
          <w:szCs w:val="32"/>
          <w:lang w:val="en-US" w:eastAsia="zh-CN" w:bidi="ar"/>
        </w:rPr>
        <w:t>投标</w:t>
      </w:r>
      <w:r>
        <w:rPr>
          <w:rFonts w:hint="eastAsia" w:asciiTheme="minorHAnsi" w:hAnsiTheme="minorHAnsi" w:eastAsiaTheme="minorHAnsi" w:cstheme="minorBidi"/>
          <w:kern w:val="0"/>
          <w:sz w:val="32"/>
          <w:szCs w:val="32"/>
          <w:lang w:val="en-US" w:eastAsia="zh-CN" w:bidi="ar"/>
        </w:rPr>
        <w:t>供应商自行承担；</w:t>
      </w:r>
    </w:p>
    <w:p w14:paraId="3A481392">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2、</w:t>
      </w:r>
      <w:r>
        <w:rPr>
          <w:rFonts w:hint="eastAsia" w:cstheme="minorBidi"/>
          <w:kern w:val="0"/>
          <w:sz w:val="32"/>
          <w:szCs w:val="32"/>
          <w:lang w:val="en-US" w:eastAsia="zh-CN" w:bidi="ar"/>
        </w:rPr>
        <w:t>投标</w:t>
      </w:r>
      <w:r>
        <w:rPr>
          <w:rFonts w:hint="eastAsia" w:asciiTheme="minorHAnsi" w:hAnsiTheme="minorHAnsi" w:eastAsiaTheme="minorHAnsi" w:cstheme="minorBidi"/>
          <w:kern w:val="0"/>
          <w:sz w:val="32"/>
          <w:szCs w:val="32"/>
          <w:lang w:val="en-US" w:eastAsia="zh-CN" w:bidi="ar"/>
        </w:rPr>
        <w:t>所发生一切费用由各</w:t>
      </w:r>
      <w:r>
        <w:rPr>
          <w:rFonts w:hint="eastAsia" w:cstheme="minorBidi"/>
          <w:kern w:val="0"/>
          <w:sz w:val="32"/>
          <w:szCs w:val="32"/>
          <w:lang w:val="en-US" w:eastAsia="zh-CN" w:bidi="ar"/>
        </w:rPr>
        <w:t>供应商</w:t>
      </w:r>
      <w:r>
        <w:rPr>
          <w:rFonts w:hint="eastAsia" w:asciiTheme="minorHAnsi" w:hAnsiTheme="minorHAnsi" w:eastAsiaTheme="minorHAnsi" w:cstheme="minorBidi"/>
          <w:kern w:val="0"/>
          <w:sz w:val="32"/>
          <w:szCs w:val="32"/>
          <w:lang w:val="en-US" w:eastAsia="zh-CN" w:bidi="ar"/>
        </w:rPr>
        <w:t>自行承担，并承担相应的风险和责任；</w:t>
      </w:r>
    </w:p>
    <w:p w14:paraId="03B15D0E">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供应商递交的</w:t>
      </w:r>
      <w:r>
        <w:rPr>
          <w:rFonts w:hint="eastAsia" w:cstheme="minorBidi"/>
          <w:kern w:val="0"/>
          <w:sz w:val="32"/>
          <w:szCs w:val="32"/>
          <w:lang w:val="en-US" w:eastAsia="zh-CN" w:bidi="ar"/>
        </w:rPr>
        <w:t>磋商响应</w:t>
      </w:r>
      <w:r>
        <w:rPr>
          <w:rFonts w:hint="eastAsia" w:asciiTheme="minorHAnsi" w:hAnsiTheme="minorHAnsi" w:eastAsiaTheme="minorHAnsi" w:cstheme="minorBidi"/>
          <w:kern w:val="0"/>
          <w:sz w:val="32"/>
          <w:szCs w:val="32"/>
          <w:lang w:val="en-US" w:eastAsia="zh-CN" w:bidi="ar"/>
        </w:rPr>
        <w:t>文件不论中标与否均不予退还。</w:t>
      </w:r>
    </w:p>
    <w:p w14:paraId="327B1C63">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温馨提示：本项目为电子化、无纸化交易项目，</w:t>
      </w:r>
      <w:r>
        <w:rPr>
          <w:rFonts w:hint="eastAsia" w:cstheme="minorBidi"/>
          <w:kern w:val="0"/>
          <w:sz w:val="32"/>
          <w:szCs w:val="32"/>
          <w:lang w:val="en-US" w:eastAsia="zh-CN" w:bidi="ar"/>
        </w:rPr>
        <w:t>开标</w:t>
      </w:r>
      <w:r>
        <w:rPr>
          <w:rFonts w:hint="eastAsia" w:asciiTheme="minorHAnsi" w:hAnsiTheme="minorHAnsi" w:eastAsiaTheme="minorHAnsi" w:cstheme="minorBidi"/>
          <w:kern w:val="0"/>
          <w:sz w:val="32"/>
          <w:szCs w:val="32"/>
          <w:lang w:val="en-US" w:eastAsia="zh-CN" w:bidi="ar"/>
        </w:rPr>
        <w:t>时不再接受任何纸质资料，为保证您能投标成功，请需仔细阅读</w:t>
      </w:r>
      <w:r>
        <w:rPr>
          <w:rFonts w:hint="eastAsia" w:cstheme="minorBidi"/>
          <w:kern w:val="0"/>
          <w:sz w:val="32"/>
          <w:szCs w:val="32"/>
          <w:lang w:val="en-US" w:eastAsia="zh-CN" w:bidi="ar"/>
        </w:rPr>
        <w:t>磋商</w:t>
      </w:r>
      <w:r>
        <w:rPr>
          <w:rFonts w:hint="eastAsia" w:asciiTheme="minorHAnsi" w:hAnsiTheme="minorHAnsi" w:eastAsiaTheme="minorHAnsi" w:cstheme="minorBidi"/>
          <w:kern w:val="0"/>
          <w:sz w:val="32"/>
          <w:szCs w:val="32"/>
          <w:lang w:val="en-US" w:eastAsia="zh-CN" w:bidi="ar"/>
        </w:rPr>
        <w:t>文件和三门峡市公共资源交易中心官网业务办理指南。</w:t>
      </w:r>
    </w:p>
    <w:p w14:paraId="3DF7E830">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九、发布公告的媒介：</w:t>
      </w:r>
    </w:p>
    <w:p w14:paraId="0402242F">
      <w:pPr>
        <w:spacing w:line="360" w:lineRule="auto"/>
        <w:ind w:firstLine="547" w:firstLineChars="1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本次</w:t>
      </w:r>
      <w:r>
        <w:rPr>
          <w:rFonts w:hint="eastAsia" w:cstheme="minorBidi"/>
          <w:kern w:val="0"/>
          <w:sz w:val="32"/>
          <w:szCs w:val="32"/>
          <w:lang w:val="en-US" w:eastAsia="zh-CN" w:bidi="ar"/>
        </w:rPr>
        <w:t>竞争性磋商</w:t>
      </w:r>
      <w:r>
        <w:rPr>
          <w:rFonts w:hint="eastAsia" w:asciiTheme="minorHAnsi" w:hAnsiTheme="minorHAnsi" w:eastAsiaTheme="minorHAnsi" w:cstheme="minorBidi"/>
          <w:kern w:val="0"/>
          <w:sz w:val="32"/>
          <w:szCs w:val="32"/>
          <w:lang w:val="en-US" w:eastAsia="zh-CN" w:bidi="ar"/>
        </w:rPr>
        <w:t>公告同时在</w:t>
      </w:r>
      <w:r>
        <w:rPr>
          <w:rFonts w:hint="eastAsia" w:ascii="宋体" w:hAnsi="宋体" w:eastAsia="宋体" w:cs="宋体"/>
          <w:sz w:val="32"/>
          <w:szCs w:val="32"/>
        </w:rPr>
        <w:t>《</w:t>
      </w:r>
      <w:r>
        <w:rPr>
          <w:rFonts w:hint="eastAsia" w:ascii="宋体" w:hAnsi="宋体" w:eastAsia="宋体" w:cs="宋体"/>
          <w:sz w:val="32"/>
          <w:szCs w:val="32"/>
          <w:lang w:eastAsia="zh-CN"/>
        </w:rPr>
        <w:t>元博网采购与招标网</w:t>
      </w:r>
      <w:r>
        <w:rPr>
          <w:rFonts w:hint="eastAsia" w:ascii="宋体" w:hAnsi="宋体" w:eastAsia="宋体" w:cs="宋体"/>
          <w:sz w:val="32"/>
          <w:szCs w:val="32"/>
        </w:rPr>
        <w:t>》、《河南省政府采购网》、《三门峡市公共资源交易中心网》发布。</w:t>
      </w:r>
    </w:p>
    <w:p w14:paraId="6B437360">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20" w:leftChars="0" w:firstLine="640" w:firstLineChars="0"/>
        <w:textAlignment w:val="auto"/>
        <w:rPr>
          <w:rFonts w:hint="eastAsia" w:ascii="宋体" w:hAnsi="宋体" w:eastAsia="宋体" w:cs="宋体"/>
          <w:sz w:val="32"/>
          <w:szCs w:val="32"/>
        </w:rPr>
      </w:pPr>
      <w:r>
        <w:rPr>
          <w:rFonts w:hint="eastAsia" w:asciiTheme="minorHAnsi" w:hAnsiTheme="minorHAnsi" w:eastAsiaTheme="minorHAnsi" w:cstheme="minorBidi"/>
          <w:kern w:val="0"/>
          <w:sz w:val="32"/>
          <w:szCs w:val="32"/>
          <w:lang w:val="en-US" w:eastAsia="zh-CN" w:bidi="ar"/>
        </w:rPr>
        <w:t>联系方式</w:t>
      </w:r>
    </w:p>
    <w:p w14:paraId="297CE9A6">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监督单位：卢氏县政府采购办公室</w:t>
      </w:r>
    </w:p>
    <w:p w14:paraId="0D62C75C">
      <w:pPr>
        <w:spacing w:line="360" w:lineRule="auto"/>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联系人：郭伟静</w:t>
      </w:r>
    </w:p>
    <w:p w14:paraId="36AE6C8E">
      <w:pPr>
        <w:numPr>
          <w:ilvl w:val="0"/>
          <w:numId w:val="0"/>
        </w:num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电话：0398-7863556 </w:t>
      </w:r>
      <w:r>
        <w:rPr>
          <w:rFonts w:hint="eastAsia" w:ascii="宋体" w:hAnsi="宋体" w:eastAsia="宋体" w:cs="Times New Roman"/>
          <w:color w:val="000000"/>
          <w:kern w:val="0"/>
          <w:sz w:val="24"/>
          <w:szCs w:val="22"/>
          <w:lang w:val="en-US" w:eastAsia="zh-CN" w:bidi="ar"/>
        </w:rPr>
        <w:t xml:space="preserve"> </w:t>
      </w:r>
      <w:r>
        <w:rPr>
          <w:rFonts w:hint="eastAsia" w:ascii="宋体" w:hAnsi="宋体" w:eastAsia="宋体" w:cs="宋体"/>
          <w:sz w:val="32"/>
          <w:szCs w:val="32"/>
          <w:lang w:val="en-US" w:eastAsia="zh-CN"/>
        </w:rPr>
        <w:t>13949795722</w:t>
      </w:r>
    </w:p>
    <w:p w14:paraId="3169F7E9">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rPr>
        <w:t>地址：卢氏县城关镇解放路中段</w:t>
      </w:r>
    </w:p>
    <w:p w14:paraId="2539F771">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监督单位：卢氏县教育体育局</w:t>
      </w:r>
    </w:p>
    <w:p w14:paraId="5721EA8B">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联系人：景亚男  杨红星</w:t>
      </w:r>
    </w:p>
    <w:p w14:paraId="3C1E6E90">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电话：13839807261  13949777050</w:t>
      </w:r>
    </w:p>
    <w:p w14:paraId="3151832D">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地址：卢氏县莘源路西段</w:t>
      </w:r>
    </w:p>
    <w:p w14:paraId="48C70517">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采购人：卢氏县春晖苑幼儿园</w:t>
      </w:r>
    </w:p>
    <w:p w14:paraId="7C98093E">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联系人：刘亚琼</w:t>
      </w:r>
    </w:p>
    <w:p w14:paraId="08B8F341">
      <w:pPr>
        <w:spacing w:line="360" w:lineRule="auto"/>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电话：13353988386  13639823753</w:t>
      </w:r>
    </w:p>
    <w:p w14:paraId="214BC127">
      <w:pPr>
        <w:spacing w:line="360" w:lineRule="auto"/>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地址：河南省三门峡市卢氏县东明镇东明路与英才路交叉口西北角</w:t>
      </w:r>
    </w:p>
    <w:p w14:paraId="30C79122">
      <w:pPr>
        <w:spacing w:line="360" w:lineRule="auto"/>
        <w:ind w:firstLine="867" w:firstLineChars="2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代理机构：河南良智行工程管理咨询有限公司</w:t>
      </w:r>
    </w:p>
    <w:p w14:paraId="19623D29">
      <w:pPr>
        <w:spacing w:line="360" w:lineRule="auto"/>
        <w:ind w:firstLine="867" w:firstLineChars="2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联系人：陈瑞鸽</w:t>
      </w:r>
    </w:p>
    <w:p w14:paraId="5815078F">
      <w:pPr>
        <w:spacing w:line="360" w:lineRule="auto"/>
        <w:ind w:firstLine="867" w:firstLineChars="271"/>
        <w:rPr>
          <w:rFonts w:hint="default" w:eastAsia="宋体" w:asciiTheme="minorHAnsi" w:hAnsiTheme="minorHAnsi" w:cstheme="minorBidi"/>
          <w:color w:val="000000" w:themeColor="text1"/>
          <w:kern w:val="0"/>
          <w:sz w:val="32"/>
          <w:szCs w:val="32"/>
          <w:lang w:val="en-US" w:eastAsia="zh-CN" w:bidi="ar"/>
          <w14:textFill>
            <w14:solidFill>
              <w14:schemeClr w14:val="tx1"/>
            </w14:solidFill>
          </w14:textFill>
        </w:rPr>
      </w:pPr>
      <w:r>
        <w:rPr>
          <w:rFonts w:hint="eastAsia" w:asciiTheme="minorHAnsi" w:hAnsiTheme="minorHAnsi" w:eastAsiaTheme="minorHAnsi" w:cstheme="minorBidi"/>
          <w:kern w:val="0"/>
          <w:sz w:val="32"/>
          <w:szCs w:val="32"/>
          <w:lang w:val="en-US" w:eastAsia="zh-CN" w:bidi="ar"/>
        </w:rPr>
        <w:t>电话</w:t>
      </w:r>
      <w:r>
        <w:rPr>
          <w:rFonts w:hint="eastAsia" w:asciiTheme="minorHAnsi" w:hAnsiTheme="minorHAnsi" w:eastAsiaTheme="minorHAnsi" w:cstheme="minorBidi"/>
          <w:color w:val="000000" w:themeColor="text1"/>
          <w:kern w:val="0"/>
          <w:sz w:val="32"/>
          <w:szCs w:val="32"/>
          <w:lang w:val="en-US" w:eastAsia="zh-CN" w:bidi="ar"/>
          <w14:textFill>
            <w14:solidFill>
              <w14:schemeClr w14:val="tx1"/>
            </w14:solidFill>
          </w14:textFill>
        </w:rPr>
        <w:t>：</w:t>
      </w:r>
      <w:r>
        <w:rPr>
          <w:rFonts w:ascii="宋体" w:hAnsi="宋体" w:eastAsia="宋体" w:cs="宋体"/>
          <w:sz w:val="32"/>
          <w:szCs w:val="32"/>
        </w:rPr>
        <w:t>13323983558</w:t>
      </w:r>
      <w:r>
        <w:rPr>
          <w:rFonts w:hint="eastAsia" w:ascii="宋体" w:hAnsi="宋体" w:eastAsia="宋体" w:cs="宋体"/>
          <w:sz w:val="32"/>
          <w:szCs w:val="32"/>
          <w:lang w:val="en-US" w:eastAsia="zh-CN"/>
        </w:rPr>
        <w:t xml:space="preserve">   17838142000</w:t>
      </w:r>
    </w:p>
    <w:p w14:paraId="4A513042">
      <w:pPr>
        <w:spacing w:line="360" w:lineRule="auto"/>
        <w:ind w:firstLine="867" w:firstLineChars="271"/>
        <w:rPr>
          <w:rFonts w:hint="eastAsia" w:asciiTheme="minorHAnsi" w:hAnsiTheme="minorHAnsi" w:eastAsiaTheme="minorHAnsi" w:cstheme="minorBidi"/>
          <w:kern w:val="0"/>
          <w:sz w:val="32"/>
          <w:szCs w:val="32"/>
          <w:lang w:val="en-US" w:eastAsia="zh-CN" w:bidi="ar"/>
        </w:rPr>
      </w:pPr>
      <w:r>
        <w:rPr>
          <w:rFonts w:hint="eastAsia" w:asciiTheme="minorHAnsi" w:hAnsiTheme="minorHAnsi" w:eastAsiaTheme="minorHAnsi" w:cstheme="minorBidi"/>
          <w:kern w:val="0"/>
          <w:sz w:val="32"/>
          <w:szCs w:val="32"/>
          <w:lang w:val="en-US" w:eastAsia="zh-CN" w:bidi="ar"/>
        </w:rPr>
        <w:t>地址：河南省郑州市惠济区江山路西、008乡道南弘泰小区1号楼1单元3层302号</w:t>
      </w:r>
    </w:p>
    <w:p w14:paraId="0024C35E">
      <w:pPr>
        <w:spacing w:line="360" w:lineRule="auto"/>
        <w:ind w:firstLine="410" w:firstLineChars="171"/>
        <w:rPr>
          <w:rFonts w:ascii="宋体" w:hAnsi="宋体"/>
          <w:b/>
          <w:bCs/>
          <w:color w:val="auto"/>
          <w:sz w:val="36"/>
          <w:szCs w:val="36"/>
          <w:highlight w:val="none"/>
        </w:rPr>
      </w:pPr>
      <w:r>
        <w:rPr>
          <w:rFonts w:hint="eastAsia" w:asciiTheme="minorHAnsi" w:hAnsiTheme="minorHAnsi" w:eastAsiaTheme="minorHAnsi" w:cstheme="minorBidi"/>
          <w:kern w:val="0"/>
          <w:sz w:val="24"/>
          <w:szCs w:val="22"/>
          <w:lang w:val="en-US" w:eastAsia="zh-CN" w:bidi="ar"/>
        </w:rPr>
        <w:br w:type="page"/>
      </w:r>
      <w:r>
        <w:rPr>
          <w:rFonts w:hint="eastAsia" w:cstheme="minorBidi"/>
          <w:kern w:val="0"/>
          <w:sz w:val="24"/>
          <w:szCs w:val="22"/>
          <w:lang w:val="en-US" w:eastAsia="zh-CN" w:bidi="ar"/>
        </w:rPr>
        <w:t xml:space="preserve">                 </w:t>
      </w:r>
      <w:r>
        <w:rPr>
          <w:rFonts w:hint="eastAsia" w:ascii="宋体" w:hAnsi="宋体"/>
          <w:b/>
          <w:bCs/>
          <w:color w:val="auto"/>
          <w:sz w:val="36"/>
          <w:szCs w:val="36"/>
          <w:highlight w:val="none"/>
        </w:rPr>
        <w:t>第二章   供应商须知</w:t>
      </w:r>
    </w:p>
    <w:p w14:paraId="33930B5F">
      <w:pPr>
        <w:spacing w:line="360" w:lineRule="auto"/>
        <w:jc w:val="center"/>
        <w:rPr>
          <w:rFonts w:ascii="宋体" w:hAnsi="宋体"/>
          <w:b/>
          <w:bCs/>
          <w:color w:val="auto"/>
          <w:sz w:val="21"/>
          <w:szCs w:val="21"/>
          <w:highlight w:val="none"/>
        </w:rPr>
      </w:pPr>
      <w:r>
        <w:rPr>
          <w:rFonts w:hint="eastAsia" w:ascii="宋体" w:hAnsi="宋体" w:eastAsia="宋体"/>
          <w:b/>
          <w:bCs/>
          <w:color w:val="auto"/>
          <w:sz w:val="21"/>
          <w:szCs w:val="21"/>
          <w:highlight w:val="none"/>
          <w:lang w:eastAsia="zh-CN"/>
        </w:rPr>
        <w:t>响应</w:t>
      </w:r>
      <w:r>
        <w:rPr>
          <w:rFonts w:hint="eastAsia" w:ascii="宋体" w:hAnsi="宋体"/>
          <w:b/>
          <w:bCs/>
          <w:color w:val="auto"/>
          <w:sz w:val="21"/>
          <w:szCs w:val="21"/>
          <w:highlight w:val="none"/>
        </w:rPr>
        <w:t>供应商须知前附表</w:t>
      </w:r>
    </w:p>
    <w:tbl>
      <w:tblPr>
        <w:tblStyle w:val="19"/>
        <w:tblW w:w="10125" w:type="dxa"/>
        <w:jc w:val="center"/>
        <w:tblLayout w:type="fixed"/>
        <w:tblCellMar>
          <w:top w:w="0" w:type="dxa"/>
          <w:left w:w="108" w:type="dxa"/>
          <w:bottom w:w="0" w:type="dxa"/>
          <w:right w:w="108" w:type="dxa"/>
        </w:tblCellMar>
      </w:tblPr>
      <w:tblGrid>
        <w:gridCol w:w="970"/>
        <w:gridCol w:w="1625"/>
        <w:gridCol w:w="7530"/>
      </w:tblGrid>
      <w:tr w14:paraId="3DE02F4E">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4442468">
            <w:pPr>
              <w:jc w:val="center"/>
              <w:rPr>
                <w:rFonts w:ascii="宋体" w:hAnsi="宋体"/>
                <w:b/>
                <w:bCs/>
                <w:color w:val="auto"/>
                <w:sz w:val="21"/>
                <w:szCs w:val="21"/>
                <w:highlight w:val="none"/>
              </w:rPr>
            </w:pPr>
            <w:r>
              <w:rPr>
                <w:rFonts w:hint="eastAsia" w:ascii="宋体" w:hAnsi="宋体"/>
                <w:b/>
                <w:bCs/>
                <w:color w:val="auto"/>
                <w:sz w:val="21"/>
                <w:szCs w:val="21"/>
                <w:highlight w:val="none"/>
              </w:rPr>
              <w:t>条款号</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622CC25">
            <w:pPr>
              <w:jc w:val="center"/>
              <w:rPr>
                <w:rFonts w:ascii="宋体" w:hAnsi="宋体"/>
                <w:b/>
                <w:bCs/>
                <w:color w:val="auto"/>
                <w:sz w:val="21"/>
                <w:szCs w:val="21"/>
                <w:highlight w:val="none"/>
              </w:rPr>
            </w:pPr>
            <w:r>
              <w:rPr>
                <w:rFonts w:hint="eastAsia" w:ascii="宋体" w:hAnsi="宋体"/>
                <w:b/>
                <w:bCs/>
                <w:color w:val="auto"/>
                <w:sz w:val="21"/>
                <w:szCs w:val="21"/>
                <w:highlight w:val="none"/>
              </w:rPr>
              <w:t>条  款  名  称</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2165E1A">
            <w:pPr>
              <w:jc w:val="center"/>
              <w:rPr>
                <w:rFonts w:ascii="宋体" w:hAnsi="宋体"/>
                <w:b/>
                <w:bCs/>
                <w:color w:val="auto"/>
                <w:sz w:val="21"/>
                <w:szCs w:val="21"/>
                <w:highlight w:val="none"/>
              </w:rPr>
            </w:pPr>
            <w:r>
              <w:rPr>
                <w:rFonts w:hint="eastAsia" w:ascii="宋体" w:hAnsi="宋体"/>
                <w:b/>
                <w:bCs/>
                <w:color w:val="auto"/>
                <w:sz w:val="21"/>
                <w:szCs w:val="21"/>
                <w:highlight w:val="none"/>
              </w:rPr>
              <w:t>编  列  内  容</w:t>
            </w:r>
          </w:p>
        </w:tc>
      </w:tr>
      <w:tr w14:paraId="5B5CDFC8">
        <w:tblPrEx>
          <w:tblCellMar>
            <w:top w:w="0" w:type="dxa"/>
            <w:left w:w="108" w:type="dxa"/>
            <w:bottom w:w="0" w:type="dxa"/>
            <w:right w:w="108" w:type="dxa"/>
          </w:tblCellMar>
        </w:tblPrEx>
        <w:trPr>
          <w:trHeight w:val="1674"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039BF2A">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1</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3EB969E">
            <w:pPr>
              <w:keepNext w:val="0"/>
              <w:keepLines w:val="0"/>
              <w:pageBreakBefore w:val="0"/>
              <w:widowControl w:val="0"/>
              <w:kinsoku/>
              <w:wordWrap/>
              <w:overflowPunct/>
              <w:topLinePunct w:val="0"/>
              <w:autoSpaceDE/>
              <w:autoSpaceDN/>
              <w:bidi w:val="0"/>
              <w:snapToGrid/>
              <w:spacing w:line="240" w:lineRule="auto"/>
              <w:jc w:val="center"/>
              <w:rPr>
                <w:rFonts w:ascii="宋体" w:hAnsi="宋体"/>
                <w:color w:val="auto"/>
                <w:sz w:val="21"/>
                <w:szCs w:val="21"/>
                <w:highlight w:val="none"/>
              </w:rPr>
            </w:pPr>
            <w:r>
              <w:rPr>
                <w:rFonts w:hint="eastAsia" w:ascii="宋体" w:hAnsi="宋体"/>
                <w:color w:val="auto"/>
                <w:sz w:val="21"/>
                <w:szCs w:val="21"/>
                <w:highlight w:val="none"/>
              </w:rPr>
              <w:t>采购人</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F1E582F">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采购人：</w:t>
            </w:r>
            <w:r>
              <w:rPr>
                <w:rFonts w:hint="eastAsia" w:cstheme="minorBidi"/>
                <w:kern w:val="0"/>
                <w:sz w:val="24"/>
                <w:szCs w:val="22"/>
                <w:lang w:val="en-US" w:eastAsia="zh-CN" w:bidi="ar"/>
              </w:rPr>
              <w:t>卢氏县春晖苑幼儿园</w:t>
            </w:r>
          </w:p>
          <w:p w14:paraId="25BE92C5">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联系人：</w:t>
            </w:r>
            <w:r>
              <w:rPr>
                <w:rFonts w:hint="eastAsia" w:cstheme="minorBidi"/>
                <w:kern w:val="0"/>
                <w:sz w:val="24"/>
                <w:szCs w:val="22"/>
                <w:lang w:val="en-US" w:eastAsia="zh-CN" w:bidi="ar"/>
              </w:rPr>
              <w:t>刘亚琼</w:t>
            </w:r>
          </w:p>
          <w:p w14:paraId="103FDF39">
            <w:pPr>
              <w:spacing w:line="360" w:lineRule="auto"/>
              <w:rPr>
                <w:rFonts w:hint="default"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电话：</w:t>
            </w:r>
            <w:r>
              <w:rPr>
                <w:rFonts w:hint="eastAsia" w:ascii="宋体" w:hAnsi="宋体" w:eastAsia="宋体" w:cs="Times New Roman"/>
                <w:color w:val="000000"/>
                <w:kern w:val="0"/>
                <w:sz w:val="24"/>
                <w:szCs w:val="22"/>
                <w:lang w:val="en-US" w:eastAsia="zh-CN" w:bidi="ar"/>
              </w:rPr>
              <w:t>13353988386</w:t>
            </w:r>
            <w:r>
              <w:rPr>
                <w:rFonts w:hint="eastAsia" w:cstheme="minorBidi"/>
                <w:kern w:val="0"/>
                <w:sz w:val="24"/>
                <w:szCs w:val="22"/>
                <w:lang w:val="en-US" w:eastAsia="zh-CN" w:bidi="ar"/>
              </w:rPr>
              <w:t xml:space="preserve">   </w:t>
            </w:r>
            <w:r>
              <w:rPr>
                <w:rFonts w:hint="eastAsia" w:ascii="宋体" w:hAnsi="宋体" w:eastAsia="宋体" w:cs="Times New Roman"/>
                <w:color w:val="000000"/>
                <w:kern w:val="0"/>
                <w:sz w:val="24"/>
                <w:szCs w:val="22"/>
                <w:lang w:val="en-US" w:eastAsia="zh-CN" w:bidi="ar"/>
              </w:rPr>
              <w:t>13639823753</w:t>
            </w:r>
          </w:p>
          <w:p w14:paraId="614C3596">
            <w:pPr>
              <w:spacing w:line="360" w:lineRule="auto"/>
              <w:rPr>
                <w:rFonts w:hint="eastAsia" w:ascii="宋体" w:hAnsi="宋体"/>
                <w:color w:val="auto"/>
                <w:sz w:val="21"/>
                <w:szCs w:val="21"/>
                <w:highlight w:val="none"/>
                <w:lang w:val="en-US" w:eastAsia="zh-CN"/>
              </w:rPr>
            </w:pPr>
            <w:r>
              <w:rPr>
                <w:rFonts w:hint="eastAsia" w:asciiTheme="minorHAnsi" w:hAnsiTheme="minorHAnsi" w:eastAsiaTheme="minorHAnsi" w:cstheme="minorBidi"/>
                <w:kern w:val="0"/>
                <w:sz w:val="24"/>
                <w:szCs w:val="22"/>
                <w:lang w:val="en-US" w:eastAsia="zh-CN" w:bidi="ar"/>
              </w:rPr>
              <w:t>地址：</w:t>
            </w:r>
            <w:r>
              <w:rPr>
                <w:rFonts w:hint="eastAsia" w:cstheme="minorBidi"/>
                <w:kern w:val="0"/>
                <w:sz w:val="24"/>
                <w:szCs w:val="22"/>
                <w:lang w:val="en-US" w:eastAsia="zh-CN" w:bidi="ar"/>
              </w:rPr>
              <w:t>河南省三门峡市卢氏县东明镇东明路与英才路交叉口西北角</w:t>
            </w:r>
          </w:p>
        </w:tc>
      </w:tr>
      <w:tr w14:paraId="44C6E1AB">
        <w:tblPrEx>
          <w:tblCellMar>
            <w:top w:w="0" w:type="dxa"/>
            <w:left w:w="108" w:type="dxa"/>
            <w:bottom w:w="0" w:type="dxa"/>
            <w:right w:w="108" w:type="dxa"/>
          </w:tblCellMar>
        </w:tblPrEx>
        <w:trPr>
          <w:trHeight w:val="2163"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5E1758A">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0F78834">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FF0000"/>
                <w:sz w:val="21"/>
                <w:szCs w:val="21"/>
                <w:highlight w:val="none"/>
                <w:lang w:val="en-US" w:eastAsia="zh-CN"/>
              </w:rPr>
            </w:pPr>
            <w:r>
              <w:rPr>
                <w:rFonts w:hint="eastAsia" w:ascii="宋体" w:hAnsi="宋体" w:eastAsia="宋体"/>
                <w:color w:val="auto"/>
                <w:sz w:val="21"/>
                <w:szCs w:val="21"/>
                <w:highlight w:val="none"/>
                <w:lang w:val="en-US" w:eastAsia="zh-CN"/>
              </w:rPr>
              <w:t>监督单位</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0D3ECF0">
            <w:pPr>
              <w:spacing w:line="360" w:lineRule="auto"/>
              <w:rPr>
                <w:rFonts w:hint="eastAsia" w:ascii="宋体" w:hAnsi="宋体" w:eastAsia="宋体" w:cs="宋体"/>
                <w:sz w:val="24"/>
                <w:szCs w:val="24"/>
              </w:rPr>
            </w:pPr>
            <w:r>
              <w:rPr>
                <w:rFonts w:hint="eastAsia" w:ascii="宋体" w:hAnsi="宋体" w:eastAsia="宋体" w:cs="宋体"/>
                <w:sz w:val="24"/>
                <w:szCs w:val="24"/>
              </w:rPr>
              <w:t>监督单位：卢氏县政府采购办公室</w:t>
            </w:r>
          </w:p>
          <w:p w14:paraId="6A19A434">
            <w:pPr>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联系人：郭伟静</w:t>
            </w:r>
          </w:p>
          <w:p w14:paraId="175417DD">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电话：0398-7863556 </w:t>
            </w:r>
            <w:r>
              <w:rPr>
                <w:rFonts w:hint="eastAsia" w:ascii="宋体" w:hAnsi="宋体" w:eastAsia="宋体" w:cs="宋体"/>
                <w:sz w:val="24"/>
                <w:szCs w:val="24"/>
                <w:lang w:val="en-US" w:eastAsia="zh-CN"/>
              </w:rPr>
              <w:t xml:space="preserve">  </w:t>
            </w:r>
            <w:r>
              <w:rPr>
                <w:rFonts w:hint="eastAsia" w:ascii="宋体" w:hAnsi="宋体" w:eastAsia="宋体" w:cs="Times New Roman"/>
                <w:color w:val="000000"/>
                <w:kern w:val="0"/>
                <w:sz w:val="24"/>
                <w:szCs w:val="22"/>
                <w:lang w:val="en-US" w:eastAsia="zh-CN" w:bidi="ar"/>
              </w:rPr>
              <w:t>13949795722</w:t>
            </w:r>
          </w:p>
          <w:p w14:paraId="320CE06B">
            <w:pPr>
              <w:spacing w:line="360" w:lineRule="auto"/>
              <w:rPr>
                <w:rFonts w:hint="eastAsia" w:ascii="宋体" w:hAnsi="宋体" w:eastAsia="宋体" w:cs="宋体"/>
                <w:sz w:val="24"/>
                <w:szCs w:val="24"/>
              </w:rPr>
            </w:pPr>
            <w:r>
              <w:rPr>
                <w:rFonts w:hint="eastAsia" w:ascii="宋体" w:hAnsi="宋体" w:eastAsia="宋体" w:cs="宋体"/>
                <w:sz w:val="24"/>
                <w:szCs w:val="24"/>
              </w:rPr>
              <w:t>地址：卢氏县城关镇解放路中段</w:t>
            </w:r>
          </w:p>
          <w:p w14:paraId="31A6E711">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监督单位：</w:t>
            </w:r>
            <w:r>
              <w:rPr>
                <w:rFonts w:hint="eastAsia" w:cstheme="minorBidi"/>
                <w:kern w:val="0"/>
                <w:sz w:val="24"/>
                <w:szCs w:val="22"/>
                <w:lang w:val="en-US" w:eastAsia="zh-CN" w:bidi="ar"/>
              </w:rPr>
              <w:t>卢氏县教育体育局</w:t>
            </w:r>
          </w:p>
          <w:p w14:paraId="44F64780">
            <w:pPr>
              <w:spacing w:line="360" w:lineRule="auto"/>
              <w:rPr>
                <w:rFonts w:hint="eastAsia" w:asciiTheme="minorHAnsi" w:hAnsiTheme="minorHAnsi" w:eastAsiaTheme="minorHAnsi" w:cstheme="minorBidi"/>
                <w:color w:val="000000" w:themeColor="text1"/>
                <w:kern w:val="0"/>
                <w:sz w:val="24"/>
                <w:szCs w:val="22"/>
                <w:lang w:val="en-US" w:eastAsia="zh-CN" w:bidi="ar"/>
                <w14:textFill>
                  <w14:solidFill>
                    <w14:schemeClr w14:val="tx1"/>
                  </w14:solidFill>
                </w14:textFill>
              </w:rPr>
            </w:pPr>
            <w:r>
              <w:rPr>
                <w:rFonts w:hint="eastAsia" w:asciiTheme="minorHAnsi" w:hAnsiTheme="minorHAnsi" w:eastAsiaTheme="minorHAnsi" w:cstheme="minorBidi"/>
                <w:color w:val="000000" w:themeColor="text1"/>
                <w:kern w:val="0"/>
                <w:sz w:val="24"/>
                <w:szCs w:val="22"/>
                <w:lang w:val="en-US" w:eastAsia="zh-CN" w:bidi="ar"/>
                <w14:textFill>
                  <w14:solidFill>
                    <w14:schemeClr w14:val="tx1"/>
                  </w14:solidFill>
                </w14:textFill>
              </w:rPr>
              <w:t>联系人：</w:t>
            </w:r>
            <w:r>
              <w:rPr>
                <w:rFonts w:hint="eastAsia" w:cstheme="minorBidi"/>
                <w:color w:val="000000" w:themeColor="text1"/>
                <w:kern w:val="0"/>
                <w:sz w:val="24"/>
                <w:szCs w:val="22"/>
                <w:lang w:val="en-US" w:eastAsia="zh-CN" w:bidi="ar"/>
                <w14:textFill>
                  <w14:solidFill>
                    <w14:schemeClr w14:val="tx1"/>
                  </w14:solidFill>
                </w14:textFill>
              </w:rPr>
              <w:t>景亚男  杨红星</w:t>
            </w:r>
          </w:p>
          <w:p w14:paraId="3B6AE277">
            <w:pPr>
              <w:spacing w:line="360" w:lineRule="auto"/>
              <w:rPr>
                <w:rFonts w:hint="default" w:asciiTheme="minorHAnsi" w:hAnsiTheme="minorHAnsi" w:eastAsiaTheme="minorHAnsi" w:cstheme="minorBidi"/>
                <w:color w:val="000000" w:themeColor="text1"/>
                <w:kern w:val="0"/>
                <w:sz w:val="24"/>
                <w:szCs w:val="22"/>
                <w:lang w:val="en-US" w:eastAsia="zh-CN" w:bidi="ar"/>
                <w14:textFill>
                  <w14:solidFill>
                    <w14:schemeClr w14:val="tx1"/>
                  </w14:solidFill>
                </w14:textFill>
              </w:rPr>
            </w:pPr>
            <w:r>
              <w:rPr>
                <w:rFonts w:hint="eastAsia" w:asciiTheme="minorHAnsi" w:hAnsiTheme="minorHAnsi" w:eastAsiaTheme="minorHAnsi" w:cstheme="minorBidi"/>
                <w:color w:val="000000" w:themeColor="text1"/>
                <w:kern w:val="0"/>
                <w:sz w:val="24"/>
                <w:szCs w:val="22"/>
                <w:lang w:val="en-US" w:eastAsia="zh-CN" w:bidi="ar"/>
                <w14:textFill>
                  <w14:solidFill>
                    <w14:schemeClr w14:val="tx1"/>
                  </w14:solidFill>
                </w14:textFill>
              </w:rPr>
              <w:t>电话：</w:t>
            </w:r>
            <w:r>
              <w:rPr>
                <w:rFonts w:hint="eastAsia" w:ascii="宋体" w:hAnsi="宋体" w:eastAsia="宋体" w:cs="Times New Roman"/>
                <w:color w:val="000000"/>
                <w:kern w:val="0"/>
                <w:sz w:val="24"/>
                <w:szCs w:val="22"/>
                <w:lang w:val="en-US" w:eastAsia="zh-CN" w:bidi="ar"/>
              </w:rPr>
              <w:t>13839807261  13949777050</w:t>
            </w:r>
          </w:p>
          <w:p w14:paraId="769F06AD">
            <w:pPr>
              <w:spacing w:line="360" w:lineRule="auto"/>
              <w:rPr>
                <w:rFonts w:hint="eastAsia" w:ascii="宋体" w:hAnsi="宋体"/>
                <w:color w:val="FF0000"/>
                <w:sz w:val="21"/>
                <w:szCs w:val="21"/>
                <w:highlight w:val="none"/>
                <w:lang w:val="en-US" w:eastAsia="zh-CN"/>
              </w:rPr>
            </w:pPr>
            <w:r>
              <w:rPr>
                <w:rFonts w:hint="eastAsia" w:asciiTheme="minorHAnsi" w:hAnsiTheme="minorHAnsi" w:eastAsiaTheme="minorHAnsi" w:cstheme="minorBidi"/>
                <w:color w:val="000000" w:themeColor="text1"/>
                <w:kern w:val="0"/>
                <w:sz w:val="24"/>
                <w:szCs w:val="22"/>
                <w:lang w:val="en-US" w:eastAsia="zh-CN" w:bidi="ar"/>
                <w14:textFill>
                  <w14:solidFill>
                    <w14:schemeClr w14:val="tx1"/>
                  </w14:solidFill>
                </w14:textFill>
              </w:rPr>
              <w:t>地址：卢氏县莘源路西段</w:t>
            </w:r>
          </w:p>
        </w:tc>
      </w:tr>
      <w:tr w14:paraId="173BC05F">
        <w:tblPrEx>
          <w:tblCellMar>
            <w:top w:w="0" w:type="dxa"/>
            <w:left w:w="108" w:type="dxa"/>
            <w:bottom w:w="0" w:type="dxa"/>
            <w:right w:w="108" w:type="dxa"/>
          </w:tblCellMar>
        </w:tblPrEx>
        <w:trPr>
          <w:trHeight w:val="1378"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988D2FE">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3</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0837DF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代理机构</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E636BFF">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代理机构：河南良智行工程管理咨询有限公司</w:t>
            </w:r>
          </w:p>
          <w:p w14:paraId="5804F1BE">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联系人：陈瑞鸽</w:t>
            </w:r>
          </w:p>
          <w:p w14:paraId="470D8BBA">
            <w:pPr>
              <w:spacing w:line="360" w:lineRule="auto"/>
              <w:rPr>
                <w:rFonts w:hint="default" w:eastAsia="宋体" w:asciiTheme="minorHAnsi" w:hAnsi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电话</w:t>
            </w:r>
            <w:r>
              <w:rPr>
                <w:rFonts w:hint="eastAsia" w:asciiTheme="minorHAnsi" w:hAnsiTheme="minorHAnsi" w:eastAsiaTheme="minorHAnsi" w:cstheme="minorBidi"/>
                <w:color w:val="000000" w:themeColor="text1"/>
                <w:kern w:val="0"/>
                <w:sz w:val="24"/>
                <w:szCs w:val="22"/>
                <w:lang w:val="en-US" w:eastAsia="zh-CN" w:bidi="ar"/>
                <w14:textFill>
                  <w14:solidFill>
                    <w14:schemeClr w14:val="tx1"/>
                  </w14:solidFill>
                </w14:textFill>
              </w:rPr>
              <w:t>：</w:t>
            </w:r>
            <w:r>
              <w:rPr>
                <w:rFonts w:ascii="宋体" w:hAnsi="宋体" w:eastAsia="宋体" w:cs="宋体"/>
                <w:sz w:val="24"/>
                <w:szCs w:val="24"/>
              </w:rPr>
              <w:t>13323983558</w:t>
            </w:r>
            <w:r>
              <w:rPr>
                <w:rFonts w:hint="eastAsia" w:ascii="宋体" w:hAnsi="宋体" w:eastAsia="宋体" w:cs="宋体"/>
                <w:sz w:val="24"/>
                <w:szCs w:val="24"/>
                <w:lang w:val="en-US" w:eastAsia="zh-CN"/>
              </w:rPr>
              <w:t xml:space="preserve">   17838142000</w:t>
            </w:r>
          </w:p>
          <w:p w14:paraId="7A4BD7D8">
            <w:pPr>
              <w:spacing w:line="360" w:lineRule="auto"/>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kern w:val="0"/>
                <w:sz w:val="24"/>
                <w:szCs w:val="22"/>
                <w:lang w:val="en-US" w:eastAsia="zh-CN" w:bidi="ar"/>
              </w:rPr>
              <w:t>地址：河南省郑州市惠济区江山路西、008乡道南弘泰小区1号楼1单元3层302号</w:t>
            </w:r>
          </w:p>
        </w:tc>
      </w:tr>
      <w:tr w14:paraId="23AD5427">
        <w:tblPrEx>
          <w:tblCellMar>
            <w:top w:w="0" w:type="dxa"/>
            <w:left w:w="108" w:type="dxa"/>
            <w:bottom w:w="0" w:type="dxa"/>
            <w:right w:w="108" w:type="dxa"/>
          </w:tblCellMar>
        </w:tblPrEx>
        <w:trPr>
          <w:trHeight w:val="431"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38F1C7B">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4</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3C9E21F">
            <w:pPr>
              <w:spacing w:line="360" w:lineRule="auto"/>
              <w:ind w:firstLine="410" w:firstLineChars="171"/>
              <w:jc w:val="both"/>
              <w:rPr>
                <w:rFonts w:hint="default"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项目名称</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48824FE">
            <w:pPr>
              <w:spacing w:line="360" w:lineRule="auto"/>
              <w:jc w:val="both"/>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卢氏县春晖苑幼儿园报告厅设备采购项目</w:t>
            </w:r>
          </w:p>
        </w:tc>
      </w:tr>
      <w:tr w14:paraId="7A3B4E3E">
        <w:tblPrEx>
          <w:tblCellMar>
            <w:top w:w="0" w:type="dxa"/>
            <w:left w:w="108" w:type="dxa"/>
            <w:bottom w:w="0" w:type="dxa"/>
            <w:right w:w="108" w:type="dxa"/>
          </w:tblCellMar>
        </w:tblPrEx>
        <w:trPr>
          <w:trHeight w:val="378"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81F056B">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5</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131E805">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采购方式</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BA2DA0F">
            <w:pPr>
              <w:spacing w:line="360" w:lineRule="auto"/>
              <w:rPr>
                <w:rFonts w:hint="eastAsia" w:eastAsia="宋体" w:asciiTheme="minorHAnsi" w:hAnsiTheme="minorHAnsi" w:cstheme="minorBidi"/>
                <w:kern w:val="0"/>
                <w:sz w:val="24"/>
                <w:szCs w:val="22"/>
                <w:lang w:val="en-US" w:eastAsia="zh-CN" w:bidi="ar"/>
              </w:rPr>
            </w:pPr>
            <w:r>
              <w:rPr>
                <w:rFonts w:hint="eastAsia" w:eastAsia="宋体" w:cstheme="minorBidi"/>
                <w:kern w:val="0"/>
                <w:sz w:val="24"/>
                <w:szCs w:val="22"/>
                <w:lang w:val="en-US" w:eastAsia="zh-CN" w:bidi="ar"/>
              </w:rPr>
              <w:t>竞争性磋商</w:t>
            </w:r>
          </w:p>
        </w:tc>
      </w:tr>
      <w:tr w14:paraId="0A0E5388">
        <w:tblPrEx>
          <w:tblCellMar>
            <w:top w:w="0" w:type="dxa"/>
            <w:left w:w="108" w:type="dxa"/>
            <w:bottom w:w="0" w:type="dxa"/>
            <w:right w:w="108" w:type="dxa"/>
          </w:tblCellMar>
        </w:tblPrEx>
        <w:trPr>
          <w:trHeight w:val="726"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3838F20">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6</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E7A14FA">
            <w:pPr>
              <w:spacing w:line="360" w:lineRule="auto"/>
              <w:ind w:firstLine="410" w:firstLineChars="171"/>
              <w:rPr>
                <w:rFonts w:hint="default"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项目概况</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BA1D275">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项目位于卢氏县春晖苑幼儿园；</w:t>
            </w:r>
            <w:r>
              <w:rPr>
                <w:rFonts w:hint="eastAsia" w:cstheme="minorBidi"/>
                <w:kern w:val="0"/>
                <w:sz w:val="24"/>
                <w:szCs w:val="22"/>
                <w:lang w:val="en-US" w:eastAsia="zh-CN" w:bidi="ar"/>
              </w:rPr>
              <w:t>采购内容包括显示系统、电脑、舞台灯等；</w:t>
            </w:r>
          </w:p>
        </w:tc>
      </w:tr>
      <w:tr w14:paraId="3A89B4D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45324C5">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7</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658AB4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资金来源</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2BB4EE7">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财政资金</w:t>
            </w:r>
          </w:p>
        </w:tc>
      </w:tr>
      <w:tr w14:paraId="2E9A7EE1">
        <w:tblPrEx>
          <w:tblCellMar>
            <w:top w:w="0" w:type="dxa"/>
            <w:left w:w="108" w:type="dxa"/>
            <w:bottom w:w="0" w:type="dxa"/>
            <w:right w:w="108" w:type="dxa"/>
          </w:tblCellMar>
        </w:tblPrEx>
        <w:trPr>
          <w:trHeight w:val="467"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F29E2C3">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8</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1B49F06">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资金落实情况</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53E3903">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已落实</w:t>
            </w:r>
          </w:p>
        </w:tc>
      </w:tr>
      <w:tr w14:paraId="06A3111C">
        <w:tblPrEx>
          <w:tblCellMar>
            <w:top w:w="0" w:type="dxa"/>
            <w:left w:w="108" w:type="dxa"/>
            <w:bottom w:w="0" w:type="dxa"/>
            <w:right w:w="108" w:type="dxa"/>
          </w:tblCellMar>
        </w:tblPrEx>
        <w:trPr>
          <w:trHeight w:val="421"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89F9477">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val="en-US" w:eastAsia="zh-CN"/>
              </w:rPr>
              <w:t>9</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C934954">
            <w:pPr>
              <w:spacing w:line="360" w:lineRule="auto"/>
              <w:ind w:firstLine="410" w:firstLineChars="171"/>
              <w:rPr>
                <w:rFonts w:hint="eastAsia" w:eastAsia="宋体" w:asciiTheme="minorHAnsi" w:hAnsiTheme="minorHAnsi" w:cstheme="minorBidi"/>
                <w:kern w:val="0"/>
                <w:sz w:val="24"/>
                <w:szCs w:val="22"/>
                <w:lang w:val="en-US" w:eastAsia="zh-CN" w:bidi="ar"/>
              </w:rPr>
            </w:pPr>
            <w:r>
              <w:rPr>
                <w:rFonts w:hint="eastAsia" w:eastAsia="宋体" w:cstheme="minorBidi"/>
                <w:kern w:val="0"/>
                <w:sz w:val="24"/>
                <w:szCs w:val="22"/>
                <w:lang w:val="en-US" w:eastAsia="zh-CN" w:bidi="ar"/>
              </w:rPr>
              <w:t>交货时间</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DB94327">
            <w:pPr>
              <w:spacing w:line="360" w:lineRule="auto"/>
              <w:rPr>
                <w:rFonts w:hint="default"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合同签订后</w:t>
            </w:r>
            <w:r>
              <w:rPr>
                <w:rFonts w:hint="eastAsia" w:cstheme="minorBidi"/>
                <w:kern w:val="0"/>
                <w:sz w:val="24"/>
                <w:szCs w:val="22"/>
                <w:lang w:val="en-US" w:eastAsia="zh-CN" w:bidi="ar"/>
              </w:rPr>
              <w:t>20</w:t>
            </w:r>
            <w:r>
              <w:rPr>
                <w:rFonts w:hint="eastAsia" w:asciiTheme="minorHAnsi" w:hAnsiTheme="minorHAnsi" w:eastAsiaTheme="minorHAnsi" w:cstheme="minorBidi"/>
                <w:kern w:val="0"/>
                <w:sz w:val="24"/>
                <w:szCs w:val="22"/>
                <w:lang w:val="en-US" w:eastAsia="zh-CN" w:bidi="ar"/>
              </w:rPr>
              <w:t>日历天内完成交货、安装及调试；</w:t>
            </w:r>
          </w:p>
        </w:tc>
      </w:tr>
      <w:tr w14:paraId="41C9C2B2">
        <w:tblPrEx>
          <w:tblCellMar>
            <w:top w:w="0" w:type="dxa"/>
            <w:left w:w="108" w:type="dxa"/>
            <w:bottom w:w="0" w:type="dxa"/>
            <w:right w:w="108" w:type="dxa"/>
          </w:tblCellMar>
        </w:tblPrEx>
        <w:trPr>
          <w:trHeight w:val="314"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B9E1A4A">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10</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7FFACFB">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交货</w:t>
            </w:r>
            <w:r>
              <w:rPr>
                <w:rFonts w:hint="eastAsia" w:asciiTheme="minorHAnsi" w:hAnsiTheme="minorHAnsi" w:eastAsiaTheme="minorHAnsi" w:cstheme="minorBidi"/>
                <w:kern w:val="0"/>
                <w:sz w:val="24"/>
                <w:szCs w:val="22"/>
                <w:lang w:val="en-US" w:eastAsia="zh-CN" w:bidi="ar"/>
              </w:rPr>
              <w:t>地点</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89680E5">
            <w:pPr>
              <w:spacing w:line="360" w:lineRule="auto"/>
              <w:rPr>
                <w:rFonts w:hint="default"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业主指定地点</w:t>
            </w:r>
          </w:p>
        </w:tc>
      </w:tr>
      <w:tr w14:paraId="76A4D75B">
        <w:tblPrEx>
          <w:tblCellMar>
            <w:top w:w="0" w:type="dxa"/>
            <w:left w:w="108" w:type="dxa"/>
            <w:bottom w:w="0" w:type="dxa"/>
            <w:right w:w="108" w:type="dxa"/>
          </w:tblCellMar>
        </w:tblPrEx>
        <w:trPr>
          <w:trHeight w:val="314"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0EFA413">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1</w:t>
            </w:r>
            <w:r>
              <w:rPr>
                <w:rFonts w:hint="eastAsia" w:ascii="宋体" w:hAnsi="宋体" w:eastAsia="宋体"/>
                <w:color w:val="auto"/>
                <w:sz w:val="21"/>
                <w:szCs w:val="21"/>
                <w:highlight w:val="none"/>
                <w:lang w:val="en-US" w:eastAsia="zh-CN"/>
              </w:rPr>
              <w:t>1</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98D056F">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质量要求</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4058EF2">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合格，且满足采购人使用要求；</w:t>
            </w:r>
          </w:p>
        </w:tc>
      </w:tr>
      <w:tr w14:paraId="3249235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B7F96B6">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eastAsia" w:ascii="宋体" w:hAnsi="宋体" w:eastAsia="宋体"/>
                <w:color w:val="auto"/>
                <w:sz w:val="21"/>
                <w:szCs w:val="21"/>
                <w:highlight w:val="none"/>
                <w:lang w:val="en-US" w:eastAsia="zh-CN"/>
              </w:rPr>
              <w:t>2</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9716E21">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供应商资质条件、能力和信誉</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556D1B5">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供应商参加本次政府采购活动必须符合《中华人民共和国政府采购法》第二十二条的规定并同时具备下列条件：</w:t>
            </w:r>
          </w:p>
          <w:p w14:paraId="13B8E64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1、须具有中华人民共和国境内注册的能够独立承担民事责任的独立法人，具有有效的营业执照、税务登记证、组织机构代码证(或“三证合一”的营业执照)；</w:t>
            </w:r>
          </w:p>
          <w:p w14:paraId="14CD1027">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2、具有履行合同所必需的设备和专业技术能力（提供承诺书，格式自拟）</w:t>
            </w:r>
          </w:p>
          <w:p w14:paraId="44D1709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3、项目负责人为本单位正式员工（提供劳动合同）且已参加社会保险，提供近半年任意连续三个月参加社会养老保险的缴费证明（新成立企业从成立之日起计算）；</w:t>
            </w:r>
          </w:p>
          <w:p w14:paraId="5A43FF09">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4、须提供企业近半年任意连续三个月依法缴纳税收的证明资料（新成立的企业从成立之日起计算）主要是指缴纳增值税或企业所得税或企业附加税的缴费证明，依法免税的投标响应人，应提供相应文件证明其依法免税；</w:t>
            </w:r>
          </w:p>
          <w:p w14:paraId="0F024ACB">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5、具有良好的商业信誉和健全的财务会计制度，提供近三年任意一年度财务审计报告或财务报表</w:t>
            </w:r>
          </w:p>
          <w:p w14:paraId="4F74316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6、参加政府采购活动前3年内无行贿犯罪记录、商业贿赂、不正当竞争行为、骗取中标、严重违约及重大工程质量等问题；供应商出具的无行贿犯罪记录在中国裁判文书网自行查询或自行承诺（查询对象：企业、法定代表人、项目负责人)及企业注册地工商部门出具的无商业贿赂和不正当竞争证明，若当地工商部门不出具此证明，企业自行承诺无商业贿赂和不正当竞争行为；</w:t>
            </w:r>
          </w:p>
          <w:p w14:paraId="779F89B0">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7、根据《关于在政府采购活动中查询及使用信用记录有关问题的通知》(财库[2016]125号) 和豫财购【2016】15号的规定，对列入失信被执行人、重大税收违法失信主体、政府采购严重违法失信行为记录名单的供应商，拒绝参与本项目采购活动；（查询渠道：“信用中国”网站（www.creditchina.gov.cn）、中国政府采购网（www.ccgp.gov.cn）,供应商须提供查询结果的网络截图。(注：査询时间必须是本公告发布之后开标之前，查询结果清晰可见)；</w:t>
            </w:r>
          </w:p>
          <w:p w14:paraId="6354E17D">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8、单位负责人为同一人或者存在直接控股、管理关系的不同供应商，不得参加同一合同项下的政府采购活动；</w:t>
            </w:r>
          </w:p>
          <w:p w14:paraId="1AA484B3">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9、本项目实行资格后审；</w:t>
            </w:r>
          </w:p>
          <w:p w14:paraId="42525D30">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10、本项目不接受联合体磋商。</w:t>
            </w:r>
          </w:p>
          <w:p w14:paraId="611BF587">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11、本项目专门面向中小企业采购,供应商须提供《中小企业声明函》；</w:t>
            </w:r>
          </w:p>
          <w:p w14:paraId="7A3C0594">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注：被列入失信被执行人及重大税收违法失信主体的企业做无效标处理。采购人或采购代理机构有权对供应商信用记录进行甄别和复查。</w:t>
            </w:r>
          </w:p>
        </w:tc>
      </w:tr>
      <w:tr w14:paraId="405C28EF">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8EAE4CD">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13</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61FA559">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是否接受联合体</w:t>
            </w:r>
            <w:r>
              <w:rPr>
                <w:rFonts w:hint="eastAsia" w:cstheme="minorBidi"/>
                <w:kern w:val="0"/>
                <w:sz w:val="24"/>
                <w:szCs w:val="22"/>
                <w:lang w:val="en-US" w:eastAsia="zh-CN" w:bidi="ar"/>
              </w:rPr>
              <w:t>磋商</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C373C28">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不接受</w:t>
            </w:r>
          </w:p>
        </w:tc>
      </w:tr>
      <w:tr w14:paraId="3155C6AD">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C8C0F69">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1</w:t>
            </w:r>
            <w:r>
              <w:rPr>
                <w:rFonts w:hint="eastAsia" w:ascii="宋体" w:hAnsi="宋体" w:eastAsia="宋体"/>
                <w:color w:val="auto"/>
                <w:sz w:val="21"/>
                <w:szCs w:val="21"/>
                <w:highlight w:val="none"/>
                <w:lang w:val="en-US" w:eastAsia="zh-CN"/>
              </w:rPr>
              <w:t>4</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16DFAF1">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预备会</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AB5A7BD">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不召开</w:t>
            </w:r>
          </w:p>
        </w:tc>
      </w:tr>
      <w:tr w14:paraId="474C8F85">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F079641">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15</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46500A9">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需落实的政府采购政策</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A429E89">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color w:val="auto"/>
                <w:kern w:val="0"/>
                <w:sz w:val="24"/>
                <w:szCs w:val="22"/>
                <w:lang w:val="en-US" w:eastAsia="zh-CN" w:bidi="ar"/>
              </w:rPr>
              <w:t>是否专门面对中小型企业：</w:t>
            </w:r>
            <w:r>
              <w:rPr>
                <w:rFonts w:hint="eastAsia" w:cstheme="minorBidi"/>
                <w:color w:val="auto"/>
                <w:kern w:val="0"/>
                <w:sz w:val="24"/>
                <w:szCs w:val="22"/>
                <w:lang w:val="en-US" w:eastAsia="zh-CN" w:bidi="ar"/>
              </w:rPr>
              <w:t>是</w:t>
            </w:r>
            <w:r>
              <w:rPr>
                <w:rFonts w:hint="eastAsia" w:asciiTheme="minorHAnsi" w:hAnsiTheme="minorHAnsi" w:eastAsiaTheme="minorHAnsi" w:cstheme="minorBidi"/>
                <w:color w:val="auto"/>
                <w:kern w:val="0"/>
                <w:sz w:val="24"/>
                <w:szCs w:val="22"/>
                <w:lang w:val="en-US" w:eastAsia="zh-CN" w:bidi="ar"/>
              </w:rPr>
              <w:t>，落实政府采购政策满足的资格要求：本项目执行促进中小型企业发展政策（残疾人福利性企业、监狱企业视同小微企业）、优先采购节能环保产品等政府采购政策</w:t>
            </w:r>
          </w:p>
        </w:tc>
      </w:tr>
      <w:tr w14:paraId="2D45C5ED">
        <w:tblPrEx>
          <w:tblCellMar>
            <w:top w:w="0" w:type="dxa"/>
            <w:left w:w="108" w:type="dxa"/>
            <w:bottom w:w="0" w:type="dxa"/>
            <w:right w:w="108" w:type="dxa"/>
          </w:tblCellMar>
        </w:tblPrEx>
        <w:trPr>
          <w:trHeight w:val="338"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591BE0D">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16</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4A421A6">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分包</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88566D3">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不允许</w:t>
            </w:r>
          </w:p>
        </w:tc>
      </w:tr>
      <w:tr w14:paraId="54FE94CA">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C8EE2C7">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17</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C68801D">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偏离</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356DDF6">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允许（正偏离）</w:t>
            </w:r>
          </w:p>
        </w:tc>
      </w:tr>
      <w:tr w14:paraId="3DC88C9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38CFB24">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18</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D12ECFB">
            <w:pPr>
              <w:spacing w:line="360" w:lineRule="auto"/>
              <w:jc w:val="center"/>
              <w:rPr>
                <w:rFonts w:hint="default"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供应商提出问题的截止时间</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C65025F">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递交</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文件的截止之日</w:t>
            </w:r>
            <w:r>
              <w:rPr>
                <w:rFonts w:hint="eastAsia" w:cstheme="minorBidi"/>
                <w:kern w:val="0"/>
                <w:sz w:val="24"/>
                <w:szCs w:val="22"/>
                <w:lang w:val="en-US" w:eastAsia="zh-CN" w:bidi="ar"/>
              </w:rPr>
              <w:t>5</w:t>
            </w:r>
            <w:r>
              <w:rPr>
                <w:rFonts w:hint="eastAsia" w:asciiTheme="minorHAnsi" w:hAnsiTheme="minorHAnsi" w:eastAsiaTheme="minorHAnsi" w:cstheme="minorBidi"/>
                <w:kern w:val="0"/>
                <w:sz w:val="24"/>
                <w:szCs w:val="22"/>
                <w:lang w:val="en-US" w:eastAsia="zh-CN" w:bidi="ar"/>
              </w:rPr>
              <w:t>日前</w:t>
            </w:r>
          </w:p>
        </w:tc>
      </w:tr>
      <w:tr w14:paraId="42114C91">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1CE9489E">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19</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56E24D1">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招标人书面澄清的时间</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49004A6">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递交</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文件的截止之日</w:t>
            </w:r>
            <w:r>
              <w:rPr>
                <w:rFonts w:hint="eastAsia" w:cstheme="minorBidi"/>
                <w:kern w:val="0"/>
                <w:sz w:val="24"/>
                <w:szCs w:val="22"/>
                <w:lang w:val="en-US" w:eastAsia="zh-CN" w:bidi="ar"/>
              </w:rPr>
              <w:t>5</w:t>
            </w:r>
            <w:r>
              <w:rPr>
                <w:rFonts w:hint="eastAsia" w:asciiTheme="minorHAnsi" w:hAnsiTheme="minorHAnsi" w:eastAsiaTheme="minorHAnsi" w:cstheme="minorBidi"/>
                <w:kern w:val="0"/>
                <w:sz w:val="24"/>
                <w:szCs w:val="22"/>
                <w:lang w:val="en-US" w:eastAsia="zh-CN" w:bidi="ar"/>
              </w:rPr>
              <w:t>日前</w:t>
            </w:r>
          </w:p>
        </w:tc>
      </w:tr>
      <w:tr w14:paraId="713E65E2">
        <w:tblPrEx>
          <w:tblCellMar>
            <w:top w:w="0" w:type="dxa"/>
            <w:left w:w="108" w:type="dxa"/>
            <w:bottom w:w="0" w:type="dxa"/>
            <w:right w:w="108" w:type="dxa"/>
          </w:tblCellMar>
        </w:tblPrEx>
        <w:trPr>
          <w:trHeight w:val="44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7C6A50A4">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ascii="宋体" w:hAnsi="宋体"/>
                <w:color w:val="auto"/>
                <w:sz w:val="21"/>
                <w:szCs w:val="21"/>
                <w:highlight w:val="none"/>
              </w:rPr>
            </w:pPr>
          </w:p>
          <w:p w14:paraId="59FEB68A">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2</w:t>
            </w:r>
            <w:r>
              <w:rPr>
                <w:rFonts w:hint="eastAsia" w:ascii="宋体" w:hAnsi="宋体" w:eastAsia="宋体"/>
                <w:color w:val="auto"/>
                <w:sz w:val="21"/>
                <w:szCs w:val="21"/>
                <w:highlight w:val="none"/>
                <w:lang w:val="en-US" w:eastAsia="zh-CN"/>
              </w:rPr>
              <w:t>0</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36DE4B2">
            <w:pPr>
              <w:spacing w:line="360" w:lineRule="auto"/>
              <w:jc w:val="center"/>
              <w:rPr>
                <w:rFonts w:hint="default"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供应商确认收到</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文件变更或澄清文件的时间</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1D783E6">
            <w:pPr>
              <w:spacing w:line="360" w:lineRule="auto"/>
              <w:jc w:val="center"/>
              <w:rPr>
                <w:rFonts w:hint="default" w:ascii="宋体" w:hAnsi="宋体" w:eastAsia="宋体" w:cs="宋体"/>
                <w:sz w:val="24"/>
                <w:szCs w:val="24"/>
                <w:lang w:val="en-US" w:eastAsia="zh-CN"/>
              </w:rPr>
            </w:pPr>
            <w:r>
              <w:rPr>
                <w:rFonts w:hint="eastAsia" w:ascii="Calibri" w:hAnsi="Calibri" w:eastAsia="Calibri" w:cs="Times New Roman"/>
                <w:kern w:val="0"/>
                <w:sz w:val="24"/>
                <w:szCs w:val="22"/>
                <w:lang w:val="en-US" w:eastAsia="zh-CN" w:bidi="ar"/>
              </w:rPr>
              <w:t>变更或澄清公告发出即视为供应商收到澄清文件</w:t>
            </w:r>
          </w:p>
        </w:tc>
      </w:tr>
      <w:tr w14:paraId="03B1FD54">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30C1C7DA">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2</w:t>
            </w:r>
            <w:r>
              <w:rPr>
                <w:rFonts w:hint="eastAsia" w:ascii="宋体" w:hAnsi="宋体" w:eastAsia="宋体"/>
                <w:color w:val="auto"/>
                <w:sz w:val="21"/>
                <w:szCs w:val="21"/>
                <w:highlight w:val="none"/>
                <w:lang w:val="en-US" w:eastAsia="zh-CN"/>
              </w:rPr>
              <w:t>1</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8C0C524">
            <w:pPr>
              <w:spacing w:line="360" w:lineRule="auto"/>
              <w:rPr>
                <w:rFonts w:hint="eastAsia"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文件修改发出的形式</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5A02506">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通过三门峡市公共资源电子招标投标交易平台发布且同时在原公告媒体发布变更公告</w:t>
            </w:r>
          </w:p>
        </w:tc>
      </w:tr>
      <w:tr w14:paraId="4C1BC1AC">
        <w:tblPrEx>
          <w:tblCellMar>
            <w:top w:w="0" w:type="dxa"/>
            <w:left w:w="108" w:type="dxa"/>
            <w:bottom w:w="0" w:type="dxa"/>
            <w:right w:w="108" w:type="dxa"/>
          </w:tblCellMar>
        </w:tblPrEx>
        <w:trPr>
          <w:trHeight w:val="277"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7798CBD9">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22</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3FB223CD">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构成</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文件的其他资料</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5F51BBB7">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按</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文件要求</w:t>
            </w:r>
          </w:p>
        </w:tc>
      </w:tr>
      <w:tr w14:paraId="3C733E59">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854603D">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23</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B69CA0B">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最高</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限价</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8AE40AC">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预算金额：￥</w:t>
            </w:r>
            <w:r>
              <w:rPr>
                <w:rFonts w:hint="eastAsia" w:cstheme="minorBidi"/>
                <w:kern w:val="0"/>
                <w:sz w:val="24"/>
                <w:szCs w:val="22"/>
                <w:lang w:val="en-US" w:eastAsia="zh-CN" w:bidi="ar"/>
              </w:rPr>
              <w:t>483149.10</w:t>
            </w:r>
            <w:r>
              <w:rPr>
                <w:rFonts w:hint="eastAsia" w:asciiTheme="minorHAnsi" w:hAnsiTheme="minorHAnsi" w:eastAsiaTheme="minorHAnsi" w:cstheme="minorBidi"/>
                <w:kern w:val="0"/>
                <w:sz w:val="24"/>
                <w:szCs w:val="22"/>
                <w:lang w:val="en-US" w:eastAsia="zh-CN" w:bidi="ar"/>
              </w:rPr>
              <w:t>元；</w:t>
            </w:r>
          </w:p>
          <w:p w14:paraId="34EA5DF8">
            <w:pPr>
              <w:spacing w:line="360" w:lineRule="auto"/>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供应商的</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报价不得超过最高</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限价，否则视为无效报价</w:t>
            </w:r>
          </w:p>
        </w:tc>
      </w:tr>
      <w:tr w14:paraId="759A631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76A7371">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24</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8BF8E76">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报价的其他要求</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30B14DD">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报价：</w:t>
            </w:r>
          </w:p>
          <w:p w14:paraId="5B6A8AB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报价应包含本项目采购内容；</w:t>
            </w:r>
          </w:p>
          <w:p w14:paraId="3FA0B2E3">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（2）</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报价应完全包括</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文件规定的货物和服务范围，不得任意分割或合并所规定的分项；</w:t>
            </w:r>
          </w:p>
          <w:p w14:paraId="6B13D110">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（3）供应商对每种服务项目只允许有一个报价，采购人和采购代理机构不接受有任何选择报价的投标；</w:t>
            </w:r>
          </w:p>
          <w:p w14:paraId="3FA6C13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（4）供应商不得以任何理由在</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后对</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报价予以修改，报价在</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有效期内是固定的，不因任何原因而改变。任何包含价格调整要求和条件的投标，将被视为非实质性响应投标而予以拒绝</w:t>
            </w:r>
          </w:p>
        </w:tc>
      </w:tr>
      <w:tr w14:paraId="40A0BEBD">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900C49A">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25</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D5AA0AA">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有效期</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8329BC9">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60日历天（自</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截止之日起）</w:t>
            </w:r>
          </w:p>
        </w:tc>
      </w:tr>
      <w:tr w14:paraId="5BD0E57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BEF65DA">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26</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7421A98">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是否需要缴纳</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保证金</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6731663">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否</w:t>
            </w:r>
          </w:p>
        </w:tc>
      </w:tr>
      <w:tr w14:paraId="1D08B934">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26F1373">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27</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5204273">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近年财务状况的年份要求</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A29E3F6">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近三年（新注册企业从注册之日起至今）</w:t>
            </w:r>
          </w:p>
        </w:tc>
      </w:tr>
      <w:tr w14:paraId="6C9BA2CB">
        <w:tblPrEx>
          <w:tblCellMar>
            <w:top w:w="0" w:type="dxa"/>
            <w:left w:w="108" w:type="dxa"/>
            <w:bottom w:w="0" w:type="dxa"/>
            <w:right w:w="108" w:type="dxa"/>
          </w:tblCellMar>
        </w:tblPrEx>
        <w:trPr>
          <w:trHeight w:val="695" w:hRule="atLeast"/>
          <w:jc w:val="center"/>
        </w:trPr>
        <w:tc>
          <w:tcPr>
            <w:tcW w:w="970" w:type="dxa"/>
            <w:vMerge w:val="restart"/>
            <w:tcBorders>
              <w:top w:val="single" w:color="836967" w:sz="4" w:space="0"/>
              <w:left w:val="single" w:color="836967" w:sz="4" w:space="0"/>
              <w:right w:val="single" w:color="836967" w:sz="4" w:space="0"/>
            </w:tcBorders>
            <w:noWrap w:val="0"/>
            <w:tcMar>
              <w:left w:w="10" w:type="dxa"/>
              <w:right w:w="10" w:type="dxa"/>
            </w:tcMar>
            <w:vAlign w:val="center"/>
          </w:tcPr>
          <w:p w14:paraId="75DB226E">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28</w:t>
            </w:r>
          </w:p>
        </w:tc>
        <w:tc>
          <w:tcPr>
            <w:tcW w:w="1625" w:type="dxa"/>
            <w:vMerge w:val="restart"/>
            <w:tcBorders>
              <w:top w:val="single" w:color="836967" w:sz="4" w:space="0"/>
              <w:left w:val="single" w:color="836967" w:sz="4" w:space="0"/>
              <w:right w:val="single" w:color="836967" w:sz="4" w:space="0"/>
            </w:tcBorders>
            <w:noWrap w:val="0"/>
            <w:tcMar>
              <w:left w:w="10" w:type="dxa"/>
              <w:right w:w="10" w:type="dxa"/>
            </w:tcMar>
            <w:vAlign w:val="center"/>
          </w:tcPr>
          <w:p w14:paraId="79D821B0">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响应人要求澄清竞争性磋商文件</w:t>
            </w:r>
          </w:p>
        </w:tc>
        <w:tc>
          <w:tcPr>
            <w:tcW w:w="753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1BA96173">
            <w:pPr>
              <w:rPr>
                <w:rFonts w:hint="eastAsia" w:ascii="宋体" w:hAnsi="宋体" w:eastAsia="宋体" w:cs="宋体"/>
                <w:sz w:val="24"/>
                <w:szCs w:val="24"/>
                <w:lang w:val="en-US" w:eastAsia="zh-CN" w:bidi="ar-SA"/>
              </w:rPr>
            </w:pPr>
            <w:r>
              <w:rPr>
                <w:rFonts w:hint="eastAsia" w:ascii="宋体" w:hAnsi="宋体" w:eastAsia="宋体" w:cs="宋体"/>
                <w:sz w:val="24"/>
                <w:szCs w:val="24"/>
              </w:rPr>
              <w:t>时间：提交首次响应文件截止时间前</w:t>
            </w:r>
            <w:r>
              <w:rPr>
                <w:rFonts w:hint="eastAsia" w:ascii="宋体" w:hAnsi="宋体" w:eastAsia="宋体" w:cs="宋体"/>
                <w:sz w:val="24"/>
                <w:szCs w:val="24"/>
                <w:u w:val="single"/>
              </w:rPr>
              <w:t>5</w:t>
            </w:r>
            <w:r>
              <w:rPr>
                <w:rFonts w:hint="eastAsia" w:ascii="宋体" w:hAnsi="宋体" w:eastAsia="宋体" w:cs="宋体"/>
                <w:sz w:val="24"/>
                <w:szCs w:val="24"/>
              </w:rPr>
              <w:t>日</w:t>
            </w:r>
          </w:p>
        </w:tc>
      </w:tr>
      <w:tr w14:paraId="5242134A">
        <w:tblPrEx>
          <w:tblCellMar>
            <w:top w:w="0" w:type="dxa"/>
            <w:left w:w="108" w:type="dxa"/>
            <w:bottom w:w="0" w:type="dxa"/>
            <w:right w:w="108" w:type="dxa"/>
          </w:tblCellMar>
        </w:tblPrEx>
        <w:trPr>
          <w:trHeight w:val="695" w:hRule="atLeast"/>
          <w:jc w:val="center"/>
        </w:trPr>
        <w:tc>
          <w:tcPr>
            <w:tcW w:w="970" w:type="dxa"/>
            <w:vMerge w:val="continue"/>
            <w:tcBorders>
              <w:left w:val="single" w:color="836967" w:sz="4" w:space="0"/>
              <w:bottom w:val="single" w:color="836967" w:sz="4" w:space="0"/>
              <w:right w:val="single" w:color="836967" w:sz="4" w:space="0"/>
            </w:tcBorders>
            <w:noWrap w:val="0"/>
            <w:tcMar>
              <w:left w:w="10" w:type="dxa"/>
              <w:right w:w="10" w:type="dxa"/>
            </w:tcMar>
            <w:vAlign w:val="center"/>
          </w:tcPr>
          <w:p w14:paraId="744A6A8F">
            <w:pPr>
              <w:spacing w:line="360" w:lineRule="auto"/>
              <w:jc w:val="center"/>
            </w:pPr>
          </w:p>
        </w:tc>
        <w:tc>
          <w:tcPr>
            <w:tcW w:w="1625" w:type="dxa"/>
            <w:vMerge w:val="continue"/>
            <w:tcBorders>
              <w:left w:val="single" w:color="836967" w:sz="4" w:space="0"/>
              <w:bottom w:val="single" w:color="836967" w:sz="4" w:space="0"/>
              <w:right w:val="single" w:color="836967" w:sz="4" w:space="0"/>
            </w:tcBorders>
            <w:noWrap w:val="0"/>
            <w:tcMar>
              <w:left w:w="10" w:type="dxa"/>
              <w:right w:w="10" w:type="dxa"/>
            </w:tcMar>
            <w:vAlign w:val="center"/>
          </w:tcPr>
          <w:p w14:paraId="67CEE393">
            <w:pPr>
              <w:spacing w:line="360" w:lineRule="auto"/>
              <w:jc w:val="center"/>
            </w:pPr>
          </w:p>
        </w:tc>
        <w:tc>
          <w:tcPr>
            <w:tcW w:w="753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3FE54A75">
            <w:pPr>
              <w:ind w:left="2280" w:leftChars="0" w:hanging="2280" w:hangingChars="950"/>
              <w:jc w:val="left"/>
              <w:rPr>
                <w:rFonts w:hint="eastAsia" w:ascii="宋体" w:hAnsi="宋体" w:eastAsia="宋体" w:cs="宋体"/>
                <w:sz w:val="24"/>
                <w:szCs w:val="24"/>
                <w:lang w:val="en-US" w:eastAsia="zh-CN" w:bidi="ar-SA"/>
              </w:rPr>
            </w:pPr>
            <w:r>
              <w:rPr>
                <w:rFonts w:hint="eastAsia" w:ascii="宋体" w:hAnsi="宋体" w:eastAsia="宋体" w:cs="宋体"/>
                <w:sz w:val="24"/>
                <w:szCs w:val="24"/>
              </w:rPr>
              <w:t>形式：在三门峡市公共资源电子招标投标交易平台提出</w:t>
            </w:r>
          </w:p>
        </w:tc>
      </w:tr>
      <w:tr w14:paraId="026C202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CBF62D1">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29</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C6D733D">
            <w:pPr>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竞争性磋商文件澄清发出的形式</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CE1CC54">
            <w:pP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通过三门峡市公共资源电子招标投标交易平台发布且同时在原公告媒体发布澄清公告</w:t>
            </w:r>
          </w:p>
        </w:tc>
      </w:tr>
      <w:tr w14:paraId="67212953">
        <w:tblPrEx>
          <w:tblCellMar>
            <w:top w:w="0" w:type="dxa"/>
            <w:left w:w="108" w:type="dxa"/>
            <w:bottom w:w="0" w:type="dxa"/>
            <w:right w:w="108" w:type="dxa"/>
          </w:tblCellMar>
        </w:tblPrEx>
        <w:trPr>
          <w:trHeight w:val="461" w:hRule="atLeast"/>
          <w:jc w:val="center"/>
        </w:trPr>
        <w:tc>
          <w:tcPr>
            <w:tcW w:w="970" w:type="dxa"/>
            <w:vMerge w:val="restart"/>
            <w:tcBorders>
              <w:top w:val="single" w:color="836967" w:sz="4" w:space="0"/>
              <w:left w:val="single" w:color="836967" w:sz="4" w:space="0"/>
              <w:right w:val="single" w:color="836967" w:sz="4" w:space="0"/>
            </w:tcBorders>
            <w:noWrap w:val="0"/>
            <w:tcMar>
              <w:left w:w="10" w:type="dxa"/>
              <w:right w:w="10" w:type="dxa"/>
            </w:tcMar>
            <w:vAlign w:val="center"/>
          </w:tcPr>
          <w:p w14:paraId="056FFD5E">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30</w:t>
            </w:r>
          </w:p>
        </w:tc>
        <w:tc>
          <w:tcPr>
            <w:tcW w:w="1625" w:type="dxa"/>
            <w:vMerge w:val="restart"/>
            <w:tcBorders>
              <w:top w:val="single" w:color="836967" w:sz="4" w:space="0"/>
              <w:left w:val="single" w:color="836967" w:sz="4" w:space="0"/>
              <w:right w:val="single" w:color="836967" w:sz="4" w:space="0"/>
            </w:tcBorders>
            <w:noWrap w:val="0"/>
            <w:tcMar>
              <w:left w:w="10" w:type="dxa"/>
              <w:right w:w="10" w:type="dxa"/>
            </w:tcMar>
            <w:vAlign w:val="center"/>
          </w:tcPr>
          <w:p w14:paraId="5B079E0D">
            <w:pPr>
              <w:jc w:val="center"/>
              <w:rPr>
                <w:rFonts w:hint="eastAsia" w:ascii="宋体" w:hAnsi="宋体" w:eastAsia="宋体" w:cs="宋体"/>
                <w:sz w:val="24"/>
                <w:szCs w:val="24"/>
              </w:rPr>
            </w:pPr>
            <w:r>
              <w:rPr>
                <w:rFonts w:hint="eastAsia" w:ascii="宋体" w:hAnsi="宋体" w:eastAsia="宋体" w:cs="宋体"/>
                <w:sz w:val="24"/>
                <w:szCs w:val="24"/>
              </w:rPr>
              <w:t>响应人确认收到竞争性磋商文件澄清</w:t>
            </w:r>
          </w:p>
        </w:tc>
        <w:tc>
          <w:tcPr>
            <w:tcW w:w="753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2A25CC8B">
            <w:pPr>
              <w:rPr>
                <w:rFonts w:hint="eastAsia" w:ascii="宋体" w:hAnsi="宋体" w:eastAsia="宋体" w:cs="宋体"/>
                <w:sz w:val="24"/>
                <w:szCs w:val="24"/>
                <w:lang w:val="en-US" w:eastAsia="en-US" w:bidi="ar-SA"/>
              </w:rPr>
            </w:pPr>
            <w:r>
              <w:rPr>
                <w:rFonts w:hint="eastAsia" w:ascii="宋体" w:hAnsi="宋体" w:eastAsia="宋体" w:cs="宋体"/>
                <w:sz w:val="24"/>
                <w:szCs w:val="24"/>
              </w:rPr>
              <w:t>时间：在收到相应澄清文件后24小时内</w:t>
            </w:r>
          </w:p>
        </w:tc>
      </w:tr>
      <w:tr w14:paraId="6D84E87D">
        <w:tblPrEx>
          <w:tblCellMar>
            <w:top w:w="0" w:type="dxa"/>
            <w:left w:w="108" w:type="dxa"/>
            <w:bottom w:w="0" w:type="dxa"/>
            <w:right w:w="108" w:type="dxa"/>
          </w:tblCellMar>
        </w:tblPrEx>
        <w:trPr>
          <w:trHeight w:val="461" w:hRule="atLeast"/>
          <w:jc w:val="center"/>
        </w:trPr>
        <w:tc>
          <w:tcPr>
            <w:tcW w:w="970" w:type="dxa"/>
            <w:vMerge w:val="continue"/>
            <w:tcBorders>
              <w:left w:val="single" w:color="836967" w:sz="4" w:space="0"/>
              <w:bottom w:val="single" w:color="836967" w:sz="4" w:space="0"/>
              <w:right w:val="single" w:color="836967" w:sz="4" w:space="0"/>
            </w:tcBorders>
            <w:noWrap w:val="0"/>
            <w:tcMar>
              <w:left w:w="10" w:type="dxa"/>
              <w:right w:w="10" w:type="dxa"/>
            </w:tcMar>
            <w:vAlign w:val="center"/>
          </w:tcPr>
          <w:p w14:paraId="1E46FA60">
            <w:pPr>
              <w:jc w:val="center"/>
            </w:pPr>
          </w:p>
        </w:tc>
        <w:tc>
          <w:tcPr>
            <w:tcW w:w="1625" w:type="dxa"/>
            <w:vMerge w:val="continue"/>
            <w:tcBorders>
              <w:left w:val="single" w:color="836967" w:sz="4" w:space="0"/>
              <w:bottom w:val="single" w:color="836967" w:sz="4" w:space="0"/>
              <w:right w:val="single" w:color="836967" w:sz="4" w:space="0"/>
            </w:tcBorders>
            <w:noWrap w:val="0"/>
            <w:tcMar>
              <w:left w:w="10" w:type="dxa"/>
              <w:right w:w="10" w:type="dxa"/>
            </w:tcMar>
            <w:vAlign w:val="center"/>
          </w:tcPr>
          <w:p w14:paraId="51D3FFAC"/>
        </w:tc>
        <w:tc>
          <w:tcPr>
            <w:tcW w:w="753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567A179D">
            <w:pPr>
              <w:rPr>
                <w:rFonts w:hint="eastAsia" w:ascii="宋体" w:hAnsi="宋体" w:eastAsia="宋体" w:cs="宋体"/>
                <w:sz w:val="24"/>
                <w:szCs w:val="24"/>
                <w:lang w:val="en-US" w:eastAsia="en-US" w:bidi="ar-SA"/>
              </w:rPr>
            </w:pPr>
            <w:r>
              <w:rPr>
                <w:rFonts w:hint="eastAsia" w:ascii="宋体" w:hAnsi="宋体" w:eastAsia="宋体" w:cs="宋体"/>
                <w:sz w:val="24"/>
                <w:szCs w:val="24"/>
              </w:rPr>
              <w:t>形式：</w:t>
            </w:r>
            <w:r>
              <w:rPr>
                <w:rFonts w:hint="eastAsia" w:ascii="宋体" w:hAnsi="宋体" w:eastAsia="宋体" w:cs="宋体"/>
                <w:kern w:val="0"/>
                <w:sz w:val="24"/>
                <w:szCs w:val="24"/>
              </w:rPr>
              <w:t>在</w:t>
            </w:r>
            <w:r>
              <w:rPr>
                <w:rFonts w:hint="eastAsia" w:ascii="宋体" w:hAnsi="宋体" w:eastAsia="宋体" w:cs="宋体"/>
                <w:sz w:val="24"/>
                <w:szCs w:val="24"/>
              </w:rPr>
              <w:t>三门峡市公共资源电子招标投标交易平台</w:t>
            </w:r>
            <w:r>
              <w:rPr>
                <w:rFonts w:hint="eastAsia" w:ascii="宋体" w:hAnsi="宋体" w:eastAsia="宋体" w:cs="宋体"/>
                <w:kern w:val="0"/>
                <w:sz w:val="24"/>
                <w:szCs w:val="24"/>
              </w:rPr>
              <w:t>进行回复确认</w:t>
            </w:r>
          </w:p>
        </w:tc>
      </w:tr>
      <w:tr w14:paraId="164583F7">
        <w:tblPrEx>
          <w:tblCellMar>
            <w:top w:w="0" w:type="dxa"/>
            <w:left w:w="108" w:type="dxa"/>
            <w:bottom w:w="0" w:type="dxa"/>
            <w:right w:w="108" w:type="dxa"/>
          </w:tblCellMar>
        </w:tblPrEx>
        <w:trPr>
          <w:trHeight w:val="461" w:hRule="atLeast"/>
          <w:jc w:val="center"/>
        </w:trPr>
        <w:tc>
          <w:tcPr>
            <w:tcW w:w="970" w:type="dxa"/>
            <w:tcBorders>
              <w:left w:val="single" w:color="836967" w:sz="4" w:space="0"/>
              <w:bottom w:val="single" w:color="836967" w:sz="4" w:space="0"/>
              <w:right w:val="single" w:color="836967" w:sz="4" w:space="0"/>
            </w:tcBorders>
            <w:noWrap w:val="0"/>
            <w:tcMar>
              <w:left w:w="10" w:type="dxa"/>
              <w:right w:w="10" w:type="dxa"/>
            </w:tcMar>
            <w:vAlign w:val="center"/>
          </w:tcPr>
          <w:p w14:paraId="120FFE29">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31</w:t>
            </w:r>
          </w:p>
        </w:tc>
        <w:tc>
          <w:tcPr>
            <w:tcW w:w="1625" w:type="dxa"/>
            <w:tcBorders>
              <w:left w:val="single" w:color="836967" w:sz="4" w:space="0"/>
              <w:bottom w:val="single" w:color="836967" w:sz="4" w:space="0"/>
              <w:right w:val="single" w:color="836967" w:sz="4" w:space="0"/>
            </w:tcBorders>
            <w:noWrap w:val="0"/>
            <w:tcMar>
              <w:left w:w="10" w:type="dxa"/>
              <w:right w:w="10" w:type="dxa"/>
            </w:tcMar>
            <w:vAlign w:val="center"/>
          </w:tcPr>
          <w:p w14:paraId="59807391">
            <w:r>
              <w:rPr>
                <w:rFonts w:hint="eastAsia" w:ascii="宋体" w:hAnsi="宋体" w:eastAsia="宋体" w:cs="宋体"/>
                <w:sz w:val="24"/>
                <w:szCs w:val="24"/>
              </w:rPr>
              <w:t>竞争性磋商文件修改发出的形式</w:t>
            </w:r>
          </w:p>
        </w:tc>
        <w:tc>
          <w:tcPr>
            <w:tcW w:w="753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4A7D0F61">
            <w:pPr>
              <w:rPr>
                <w:rFonts w:hint="eastAsia" w:ascii="宋体" w:hAnsi="宋体" w:eastAsia="宋体" w:cs="宋体"/>
                <w:sz w:val="24"/>
                <w:szCs w:val="24"/>
              </w:rPr>
            </w:pPr>
            <w:r>
              <w:rPr>
                <w:rFonts w:hint="eastAsia" w:ascii="宋体" w:hAnsi="宋体" w:eastAsia="宋体" w:cs="宋体"/>
                <w:sz w:val="24"/>
                <w:szCs w:val="24"/>
              </w:rPr>
              <w:t>通过三门峡市公共资源电子招标投标交易平台发布且同时在原公告媒体发布变更公告</w:t>
            </w:r>
          </w:p>
        </w:tc>
      </w:tr>
      <w:tr w14:paraId="36F82E51">
        <w:tblPrEx>
          <w:tblCellMar>
            <w:top w:w="0" w:type="dxa"/>
            <w:left w:w="108" w:type="dxa"/>
            <w:bottom w:w="0" w:type="dxa"/>
            <w:right w:w="108" w:type="dxa"/>
          </w:tblCellMar>
        </w:tblPrEx>
        <w:trPr>
          <w:trHeight w:val="466" w:hRule="atLeast"/>
          <w:jc w:val="center"/>
        </w:trPr>
        <w:tc>
          <w:tcPr>
            <w:tcW w:w="970" w:type="dxa"/>
            <w:vMerge w:val="restart"/>
            <w:tcBorders>
              <w:left w:val="single" w:color="836967" w:sz="4" w:space="0"/>
              <w:right w:val="single" w:color="836967" w:sz="4" w:space="0"/>
            </w:tcBorders>
            <w:noWrap w:val="0"/>
            <w:tcMar>
              <w:left w:w="10" w:type="dxa"/>
              <w:right w:w="10" w:type="dxa"/>
            </w:tcMar>
            <w:vAlign w:val="center"/>
          </w:tcPr>
          <w:p w14:paraId="2171058B">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32</w:t>
            </w:r>
          </w:p>
        </w:tc>
        <w:tc>
          <w:tcPr>
            <w:tcW w:w="1625" w:type="dxa"/>
            <w:vMerge w:val="restart"/>
            <w:tcBorders>
              <w:left w:val="single" w:color="836967" w:sz="4" w:space="0"/>
              <w:right w:val="single" w:color="836967" w:sz="4" w:space="0"/>
            </w:tcBorders>
            <w:noWrap w:val="0"/>
            <w:tcMar>
              <w:left w:w="10" w:type="dxa"/>
              <w:right w:w="10" w:type="dxa"/>
            </w:tcMar>
            <w:vAlign w:val="center"/>
          </w:tcPr>
          <w:p w14:paraId="3954C0C6">
            <w:pPr>
              <w:rPr>
                <w:rFonts w:hint="eastAsia" w:ascii="宋体" w:hAnsi="宋体" w:eastAsia="宋体" w:cs="宋体"/>
                <w:sz w:val="24"/>
                <w:szCs w:val="24"/>
              </w:rPr>
            </w:pPr>
            <w:r>
              <w:rPr>
                <w:rFonts w:hint="eastAsia" w:ascii="宋体" w:hAnsi="宋体" w:eastAsia="宋体" w:cs="宋体"/>
                <w:sz w:val="24"/>
                <w:szCs w:val="24"/>
              </w:rPr>
              <w:t>响应人确认收到竞争性磋商文件修改</w:t>
            </w:r>
          </w:p>
        </w:tc>
        <w:tc>
          <w:tcPr>
            <w:tcW w:w="753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0FB8E2B0">
            <w:pPr>
              <w:rPr>
                <w:rFonts w:hint="eastAsia" w:ascii="宋体" w:hAnsi="宋体" w:eastAsia="宋体" w:cs="宋体"/>
                <w:sz w:val="24"/>
                <w:szCs w:val="24"/>
                <w:lang w:val="en-US" w:eastAsia="en-US" w:bidi="ar-SA"/>
              </w:rPr>
            </w:pPr>
            <w:r>
              <w:rPr>
                <w:rFonts w:hint="eastAsia" w:ascii="宋体" w:hAnsi="宋体" w:eastAsia="宋体" w:cs="宋体"/>
                <w:sz w:val="24"/>
                <w:szCs w:val="24"/>
              </w:rPr>
              <w:t>时间：在收到相应修改文件后 24 小时内</w:t>
            </w:r>
          </w:p>
        </w:tc>
      </w:tr>
      <w:tr w14:paraId="112ED4C2">
        <w:tblPrEx>
          <w:tblCellMar>
            <w:top w:w="0" w:type="dxa"/>
            <w:left w:w="108" w:type="dxa"/>
            <w:bottom w:w="0" w:type="dxa"/>
            <w:right w:w="108" w:type="dxa"/>
          </w:tblCellMar>
        </w:tblPrEx>
        <w:trPr>
          <w:trHeight w:val="466" w:hRule="atLeast"/>
          <w:jc w:val="center"/>
        </w:trPr>
        <w:tc>
          <w:tcPr>
            <w:tcW w:w="970" w:type="dxa"/>
            <w:vMerge w:val="continue"/>
            <w:tcBorders>
              <w:left w:val="single" w:color="836967" w:sz="4" w:space="0"/>
              <w:bottom w:val="single" w:color="836967" w:sz="4" w:space="0"/>
              <w:right w:val="single" w:color="836967" w:sz="4" w:space="0"/>
            </w:tcBorders>
            <w:noWrap w:val="0"/>
            <w:tcMar>
              <w:left w:w="10" w:type="dxa"/>
              <w:right w:w="10" w:type="dxa"/>
            </w:tcMar>
            <w:vAlign w:val="center"/>
          </w:tcPr>
          <w:p w14:paraId="1756ADF4">
            <w:pPr>
              <w:keepNext w:val="0"/>
              <w:keepLines w:val="0"/>
              <w:pageBreakBefore w:val="0"/>
              <w:widowControl w:val="0"/>
              <w:kinsoku/>
              <w:wordWrap/>
              <w:overflowPunct/>
              <w:topLinePunct w:val="0"/>
              <w:autoSpaceDE/>
              <w:autoSpaceDN/>
              <w:bidi w:val="0"/>
              <w:snapToGrid/>
              <w:spacing w:line="240" w:lineRule="auto"/>
              <w:jc w:val="center"/>
              <w:rPr>
                <w:rFonts w:hint="eastAsia" w:ascii="宋体" w:hAnsi="宋体" w:eastAsia="宋体"/>
                <w:color w:val="auto"/>
                <w:sz w:val="21"/>
                <w:szCs w:val="21"/>
                <w:highlight w:val="none"/>
                <w:lang w:val="en-US" w:eastAsia="zh-CN"/>
              </w:rPr>
            </w:pPr>
          </w:p>
        </w:tc>
        <w:tc>
          <w:tcPr>
            <w:tcW w:w="1625" w:type="dxa"/>
            <w:vMerge w:val="continue"/>
            <w:tcBorders>
              <w:left w:val="single" w:color="836967" w:sz="4" w:space="0"/>
              <w:bottom w:val="single" w:color="836967" w:sz="4" w:space="0"/>
              <w:right w:val="single" w:color="836967" w:sz="4" w:space="0"/>
            </w:tcBorders>
            <w:noWrap w:val="0"/>
            <w:tcMar>
              <w:left w:w="10" w:type="dxa"/>
              <w:right w:w="10" w:type="dxa"/>
            </w:tcMar>
            <w:vAlign w:val="center"/>
          </w:tcPr>
          <w:p w14:paraId="2D181246"/>
        </w:tc>
        <w:tc>
          <w:tcPr>
            <w:tcW w:w="753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27782156">
            <w:pPr>
              <w:rPr>
                <w:rFonts w:hint="eastAsia" w:ascii="宋体" w:hAnsi="宋体" w:eastAsia="宋体" w:cs="宋体"/>
                <w:sz w:val="24"/>
                <w:szCs w:val="24"/>
                <w:lang w:val="en-US" w:eastAsia="en-US" w:bidi="ar-SA"/>
              </w:rPr>
            </w:pPr>
            <w:r>
              <w:rPr>
                <w:rFonts w:hint="eastAsia" w:ascii="宋体" w:hAnsi="宋体" w:eastAsia="宋体" w:cs="宋体"/>
                <w:sz w:val="24"/>
                <w:szCs w:val="24"/>
              </w:rPr>
              <w:t>形式：</w:t>
            </w:r>
            <w:r>
              <w:rPr>
                <w:rFonts w:hint="eastAsia" w:ascii="宋体" w:hAnsi="宋体" w:eastAsia="宋体" w:cs="宋体"/>
                <w:kern w:val="0"/>
                <w:sz w:val="24"/>
                <w:szCs w:val="24"/>
              </w:rPr>
              <w:t>在</w:t>
            </w:r>
            <w:r>
              <w:rPr>
                <w:rFonts w:hint="eastAsia" w:ascii="宋体" w:hAnsi="宋体" w:eastAsia="宋体" w:cs="宋体"/>
                <w:sz w:val="24"/>
                <w:szCs w:val="24"/>
              </w:rPr>
              <w:t>三门峡市公共资源电子招标投标交易平台</w:t>
            </w:r>
            <w:r>
              <w:rPr>
                <w:rFonts w:hint="eastAsia" w:ascii="宋体" w:hAnsi="宋体" w:eastAsia="宋体" w:cs="宋体"/>
                <w:kern w:val="0"/>
                <w:sz w:val="24"/>
                <w:szCs w:val="24"/>
              </w:rPr>
              <w:t>进行回复确认</w:t>
            </w:r>
          </w:p>
        </w:tc>
      </w:tr>
      <w:tr w14:paraId="25C3AC04">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4CBFBCD">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33</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D251A09">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电子</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文件上传</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734FB29">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lang w:eastAsia="zh-CN"/>
              </w:rPr>
              <w:t>响应人</w:t>
            </w:r>
            <w:r>
              <w:rPr>
                <w:rFonts w:hint="eastAsia" w:ascii="宋体" w:hAnsi="宋体" w:eastAsia="宋体" w:cs="宋体"/>
                <w:sz w:val="24"/>
                <w:szCs w:val="24"/>
              </w:rPr>
              <w:t>所上传的电子化响应文件，应是通过中心响应文件制作系统制作的（响应文件制作工具下载地址：https://download.bqpoint.com/download/downloadlist.html?WD=%E6%B2%B3%E5%8D%97%E7%9C%81）。</w:t>
            </w:r>
          </w:p>
        </w:tc>
      </w:tr>
      <w:tr w14:paraId="1413DC6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E0C06CF">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34</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784A4EA">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电子</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文件签章</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0DA058C">
            <w:pPr>
              <w:ind w:firstLine="480" w:firstLineChars="200"/>
              <w:rPr>
                <w:rFonts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1、响应人在生成电子化响应文件后，应对电子化响应文件进行签章，未进行签章的视为无效响应文件。</w:t>
            </w:r>
          </w:p>
          <w:p w14:paraId="484A6A7A">
            <w:pPr>
              <w:spacing w:line="360" w:lineRule="auto"/>
              <w:ind w:firstLine="480" w:firstLineChars="200"/>
              <w:jc w:val="both"/>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2、磋商文件中要求法定代表人或授权委托人签字或盖章的，响应人在进行电子化响应文件签章时，以签盖法定代表人电子签章为准。电子化响应文件具体制作教材请响应人通过CA证书登录三门峡市公共资源电子化交易系统在右上角“组建下载”中查看。</w:t>
            </w:r>
          </w:p>
        </w:tc>
      </w:tr>
      <w:tr w14:paraId="1537A00F">
        <w:tblPrEx>
          <w:tblCellMar>
            <w:top w:w="0" w:type="dxa"/>
            <w:left w:w="108" w:type="dxa"/>
            <w:bottom w:w="0" w:type="dxa"/>
            <w:right w:w="108" w:type="dxa"/>
          </w:tblCellMar>
        </w:tblPrEx>
        <w:trPr>
          <w:trHeight w:val="248"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607E7590">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35</w:t>
            </w:r>
          </w:p>
        </w:tc>
        <w:tc>
          <w:tcPr>
            <w:tcW w:w="1625"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564E1A08">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截止时间</w:t>
            </w:r>
          </w:p>
        </w:tc>
        <w:tc>
          <w:tcPr>
            <w:tcW w:w="753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65D579E9">
            <w:pPr>
              <w:spacing w:line="360" w:lineRule="auto"/>
              <w:ind w:firstLine="410" w:firstLineChars="171"/>
              <w:jc w:val="center"/>
              <w:rPr>
                <w:rFonts w:hint="eastAsia" w:asciiTheme="minorEastAsia" w:hAnsiTheme="minorEastAsia" w:eastAsiaTheme="minorEastAsia" w:cstheme="minorEastAsia"/>
                <w:color w:val="000000" w:themeColor="text1"/>
                <w:kern w:val="0"/>
                <w:sz w:val="24"/>
                <w:szCs w:val="22"/>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lang w:val="en-US" w:eastAsia="zh-CN" w:bidi="ar"/>
                <w14:textFill>
                  <w14:solidFill>
                    <w14:schemeClr w14:val="tx1"/>
                  </w14:solidFill>
                </w14:textFill>
              </w:rPr>
              <w:t>2025年05月19日08时40分</w:t>
            </w:r>
          </w:p>
        </w:tc>
      </w:tr>
      <w:tr w14:paraId="228013FC">
        <w:tblPrEx>
          <w:tblCellMar>
            <w:top w:w="0" w:type="dxa"/>
            <w:left w:w="108" w:type="dxa"/>
            <w:bottom w:w="0" w:type="dxa"/>
            <w:right w:w="108" w:type="dxa"/>
          </w:tblCellMar>
        </w:tblPrEx>
        <w:trPr>
          <w:trHeight w:val="361"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6F139CA7">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36</w:t>
            </w:r>
          </w:p>
        </w:tc>
        <w:tc>
          <w:tcPr>
            <w:tcW w:w="1625"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52FF7673">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文件是否退还</w:t>
            </w:r>
          </w:p>
        </w:tc>
        <w:tc>
          <w:tcPr>
            <w:tcW w:w="753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30878A9C">
            <w:pPr>
              <w:spacing w:line="360" w:lineRule="auto"/>
              <w:ind w:firstLine="410" w:firstLineChars="171"/>
              <w:jc w:val="center"/>
              <w:rPr>
                <w:rFonts w:hint="eastAsia" w:asciiTheme="minorEastAsia" w:hAnsiTheme="minorEastAsia" w:eastAsiaTheme="minorEastAsia" w:cstheme="minorEastAsia"/>
                <w:color w:val="000000" w:themeColor="text1"/>
                <w:kern w:val="0"/>
                <w:sz w:val="24"/>
                <w:szCs w:val="22"/>
                <w:lang w:val="en-US" w:eastAsia="zh-CN" w:bidi="ar"/>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2"/>
                <w:lang w:val="en-US" w:eastAsia="zh-CN" w:bidi="ar"/>
                <w14:textFill>
                  <w14:solidFill>
                    <w14:schemeClr w14:val="tx1"/>
                  </w14:solidFill>
                </w14:textFill>
              </w:rPr>
              <w:t>否</w:t>
            </w:r>
          </w:p>
        </w:tc>
      </w:tr>
      <w:tr w14:paraId="38E49FBB">
        <w:tblPrEx>
          <w:tblCellMar>
            <w:top w:w="0" w:type="dxa"/>
            <w:left w:w="108" w:type="dxa"/>
            <w:bottom w:w="0" w:type="dxa"/>
            <w:right w:w="108" w:type="dxa"/>
          </w:tblCellMar>
        </w:tblPrEx>
        <w:trPr>
          <w:trHeight w:val="307" w:hRule="atLeast"/>
          <w:jc w:val="center"/>
        </w:trPr>
        <w:tc>
          <w:tcPr>
            <w:tcW w:w="97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5ECB0495">
            <w:pPr>
              <w:keepNext w:val="0"/>
              <w:keepLines w:val="0"/>
              <w:pageBreakBefore w:val="0"/>
              <w:widowControl w:val="0"/>
              <w:kinsoku/>
              <w:wordWrap/>
              <w:overflowPunct/>
              <w:topLinePunct w:val="0"/>
              <w:autoSpaceDE/>
              <w:autoSpaceDN/>
              <w:bidi w:val="0"/>
              <w:snapToGrid/>
              <w:spacing w:line="240" w:lineRule="auto"/>
              <w:jc w:val="center"/>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37</w:t>
            </w:r>
          </w:p>
        </w:tc>
        <w:tc>
          <w:tcPr>
            <w:tcW w:w="1625"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1E5DACA5">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竞争性磋商时</w:t>
            </w:r>
            <w:r>
              <w:rPr>
                <w:rFonts w:hint="eastAsia" w:asciiTheme="minorHAnsi" w:hAnsiTheme="minorHAnsi" w:eastAsiaTheme="minorHAnsi" w:cstheme="minorBidi"/>
                <w:kern w:val="0"/>
                <w:sz w:val="24"/>
                <w:szCs w:val="22"/>
                <w:lang w:val="en-US" w:eastAsia="zh-CN" w:bidi="ar"/>
              </w:rPr>
              <w:t>间和地点</w:t>
            </w:r>
          </w:p>
        </w:tc>
        <w:tc>
          <w:tcPr>
            <w:tcW w:w="7530" w:type="dxa"/>
            <w:tcBorders>
              <w:top w:val="single" w:color="836967" w:sz="4" w:space="0"/>
              <w:left w:val="single" w:color="836967" w:sz="4" w:space="0"/>
              <w:bottom w:val="single" w:color="836967" w:sz="4" w:space="0"/>
              <w:right w:val="single" w:color="836967" w:sz="4" w:space="0"/>
            </w:tcBorders>
            <w:shd w:val="clear" w:color="auto" w:fill="auto"/>
            <w:noWrap w:val="0"/>
            <w:tcMar>
              <w:left w:w="10" w:type="dxa"/>
              <w:right w:w="10" w:type="dxa"/>
            </w:tcMar>
            <w:vAlign w:val="center"/>
          </w:tcPr>
          <w:p w14:paraId="6C9E0902">
            <w:pPr>
              <w:spacing w:line="360" w:lineRule="auto"/>
              <w:ind w:firstLine="410" w:firstLineChars="171"/>
              <w:jc w:val="center"/>
              <w:rPr>
                <w:rFonts w:hint="eastAsia" w:asciiTheme="minorEastAsia" w:hAnsiTheme="minorEastAsia" w:eastAsiaTheme="minorEastAsia" w:cstheme="minorEastAsia"/>
                <w:kern w:val="0"/>
                <w:sz w:val="24"/>
                <w:szCs w:val="22"/>
                <w:lang w:val="en-US" w:eastAsia="zh-CN" w:bidi="ar"/>
              </w:rPr>
            </w:pPr>
            <w:r>
              <w:rPr>
                <w:rFonts w:hint="eastAsia" w:asciiTheme="minorEastAsia" w:hAnsiTheme="minorEastAsia" w:eastAsiaTheme="minorEastAsia" w:cstheme="minorEastAsia"/>
                <w:kern w:val="0"/>
                <w:sz w:val="24"/>
                <w:szCs w:val="22"/>
                <w:lang w:val="en-US" w:eastAsia="zh-CN" w:bidi="ar"/>
              </w:rPr>
              <w:t>1、磋商响应文件递交的截止时间及磋商时间：2025年05月19日08时40分；</w:t>
            </w:r>
          </w:p>
          <w:p w14:paraId="371743D7">
            <w:pPr>
              <w:spacing w:line="360" w:lineRule="auto"/>
              <w:ind w:firstLine="410" w:firstLineChars="171"/>
              <w:jc w:val="both"/>
              <w:rPr>
                <w:rFonts w:hint="eastAsia" w:asciiTheme="minorEastAsia" w:hAnsiTheme="minorEastAsia" w:eastAsiaTheme="minorEastAsia" w:cstheme="minorEastAsia"/>
                <w:kern w:val="0"/>
                <w:sz w:val="24"/>
                <w:szCs w:val="22"/>
                <w:lang w:val="en-US" w:eastAsia="zh-CN" w:bidi="ar"/>
              </w:rPr>
            </w:pPr>
            <w:r>
              <w:rPr>
                <w:rFonts w:hint="eastAsia" w:asciiTheme="minorEastAsia" w:hAnsiTheme="minorEastAsia" w:eastAsiaTheme="minorEastAsia" w:cstheme="minorEastAsia"/>
                <w:kern w:val="0"/>
                <w:sz w:val="24"/>
                <w:szCs w:val="22"/>
                <w:lang w:val="en-US" w:eastAsia="zh-CN" w:bidi="ar"/>
              </w:rPr>
              <w:t>2、开标地点：卢氏县公共资源交易中心四楼第一开标室；</w:t>
            </w:r>
          </w:p>
          <w:p w14:paraId="75126D25">
            <w:pPr>
              <w:spacing w:line="360" w:lineRule="auto"/>
              <w:ind w:firstLine="410" w:firstLineChars="171"/>
              <w:jc w:val="both"/>
              <w:rPr>
                <w:rFonts w:hint="eastAsia" w:asciiTheme="minorEastAsia" w:hAnsiTheme="minorEastAsia" w:eastAsiaTheme="minorEastAsia" w:cstheme="minorEastAsia"/>
                <w:color w:val="000000" w:themeColor="text1"/>
                <w:kern w:val="0"/>
                <w:sz w:val="24"/>
                <w:szCs w:val="22"/>
                <w:lang w:val="en-US" w:eastAsia="zh-CN" w:bidi="ar"/>
                <w14:textFill>
                  <w14:solidFill>
                    <w14:schemeClr w14:val="tx1"/>
                  </w14:solidFill>
                </w14:textFill>
              </w:rPr>
            </w:pPr>
            <w:r>
              <w:rPr>
                <w:rFonts w:hint="eastAsia" w:asciiTheme="minorEastAsia" w:hAnsiTheme="minorEastAsia" w:eastAsiaTheme="minorEastAsia" w:cstheme="minorEastAsia"/>
                <w:kern w:val="0"/>
                <w:sz w:val="24"/>
                <w:szCs w:val="22"/>
                <w:lang w:val="en-US" w:eastAsia="zh-CN" w:bidi="ar"/>
              </w:rPr>
              <w:t>3、评标地点：卢氏县公共资源交易中心二楼第一评标室；</w:t>
            </w:r>
          </w:p>
        </w:tc>
      </w:tr>
      <w:tr w14:paraId="3173B807">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06A7744">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38</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FC310DE">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磋商小组的组建</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1BAB285">
            <w:pPr>
              <w:spacing w:line="360" w:lineRule="auto"/>
              <w:jc w:val="center"/>
              <w:rPr>
                <w:rFonts w:hint="eastAsia" w:asciiTheme="minorHAnsi" w:hAnsiTheme="minorHAnsi" w:eastAsiaTheme="minorHAnsi" w:cstheme="minorBidi"/>
                <w:color w:val="000000" w:themeColor="text1"/>
                <w:kern w:val="0"/>
                <w:sz w:val="24"/>
                <w:szCs w:val="22"/>
                <w:lang w:val="en-US" w:eastAsia="zh-CN" w:bidi="ar"/>
                <w14:textFill>
                  <w14:solidFill>
                    <w14:schemeClr w14:val="tx1"/>
                  </w14:solidFill>
                </w14:textFill>
              </w:rPr>
            </w:pPr>
            <w:r>
              <w:rPr>
                <w:rFonts w:hint="eastAsia" w:ascii="宋体" w:hAnsi="宋体" w:eastAsia="宋体" w:cs="宋体"/>
                <w:sz w:val="24"/>
                <w:szCs w:val="24"/>
              </w:rPr>
              <w:t>磋商小组由采购人代表和评审专家共3人以上单数组成，其中评审专家人数不得少于磋商小组成员总数的2/3。评标专家确定方式：当天开标后通过卢氏县公共资源交易中心抽取终端，从卢氏县公共资源交易综合评审专家库随机抽取。</w:t>
            </w:r>
          </w:p>
        </w:tc>
      </w:tr>
      <w:tr w14:paraId="003B6EB7">
        <w:tblPrEx>
          <w:tblCellMar>
            <w:top w:w="0" w:type="dxa"/>
            <w:left w:w="108" w:type="dxa"/>
            <w:bottom w:w="0" w:type="dxa"/>
            <w:right w:w="108" w:type="dxa"/>
          </w:tblCellMar>
        </w:tblPrEx>
        <w:trPr>
          <w:trHeight w:val="548"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0DB29EBC">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39</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167290C">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是否授权磋商小组确定成交人</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6848C23">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否，推荐的成交候选人数：3名</w:t>
            </w:r>
          </w:p>
        </w:tc>
      </w:tr>
      <w:tr w14:paraId="1CCD7F4A">
        <w:tblPrEx>
          <w:tblCellMar>
            <w:top w:w="0" w:type="dxa"/>
            <w:left w:w="108" w:type="dxa"/>
            <w:bottom w:w="0" w:type="dxa"/>
            <w:right w:w="108" w:type="dxa"/>
          </w:tblCellMar>
        </w:tblPrEx>
        <w:trPr>
          <w:trHeight w:val="548"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0283DA7">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40</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6A43061">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中标结果公告媒介</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365E73D">
            <w:pPr>
              <w:spacing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同时在《元博网采购与招标网》、《河南省政府采购网》、《三门峡市公共资源交易中心网》上发布</w:t>
            </w:r>
          </w:p>
        </w:tc>
      </w:tr>
      <w:tr w14:paraId="7F6A095D">
        <w:tblPrEx>
          <w:tblCellMar>
            <w:top w:w="0" w:type="dxa"/>
            <w:left w:w="108" w:type="dxa"/>
            <w:bottom w:w="0" w:type="dxa"/>
            <w:right w:w="108" w:type="dxa"/>
          </w:tblCellMar>
        </w:tblPrEx>
        <w:trPr>
          <w:trHeight w:val="82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8FB0EB2">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41</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CF6E5AC">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sz w:val="24"/>
                <w:szCs w:val="24"/>
              </w:rPr>
              <w:t>其他</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81D0F85">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本次采购标的对应的中小企业划分标准所属行业为“农、林、牧、渔业”，所属行业界定标准参考《中小企业划型标准规定》</w:t>
            </w:r>
          </w:p>
        </w:tc>
      </w:tr>
      <w:tr w14:paraId="67864A90">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95D26E2">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42</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EF67970">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sz w:val="24"/>
                <w:szCs w:val="24"/>
              </w:rPr>
              <w:t>电子化项目开标、解密、唱标、磋商</w:t>
            </w:r>
            <w:r>
              <w:rPr>
                <w:rFonts w:hint="eastAsia" w:asciiTheme="minorHAnsi" w:hAnsiTheme="minorHAnsi" w:eastAsiaTheme="minorHAnsi" w:cstheme="minorBidi"/>
                <w:kern w:val="0"/>
                <w:sz w:val="24"/>
                <w:szCs w:val="22"/>
                <w:lang w:val="en-US" w:eastAsia="zh-CN" w:bidi="ar"/>
              </w:rPr>
              <w:t>委员会确定中标人</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3729AE3">
            <w:pPr>
              <w:rPr>
                <w:rFonts w:ascii="宋体" w:hAnsi="宋体" w:eastAsia="宋体" w:cs="宋体"/>
                <w:kern w:val="0"/>
                <w:sz w:val="24"/>
                <w:szCs w:val="24"/>
              </w:rPr>
            </w:pPr>
            <w:r>
              <w:rPr>
                <w:rFonts w:hint="eastAsia" w:ascii="宋体" w:hAnsi="宋体" w:eastAsia="宋体" w:cs="宋体"/>
                <w:kern w:val="0"/>
                <w:sz w:val="24"/>
                <w:szCs w:val="24"/>
              </w:rPr>
              <w:t>具体要求：本项目为电子化、无纸化交易项目，响应文件是响应人、响应人（以下简称“响应人”）通过中心响应文件制作系统制作，并经过签章和加密后生成的电子版响应文件。</w:t>
            </w:r>
          </w:p>
          <w:p w14:paraId="14107502">
            <w:pPr>
              <w:rPr>
                <w:rFonts w:ascii="宋体" w:hAnsi="宋体" w:eastAsia="宋体" w:cs="宋体"/>
                <w:kern w:val="0"/>
                <w:sz w:val="24"/>
                <w:szCs w:val="24"/>
              </w:rPr>
            </w:pPr>
            <w:r>
              <w:rPr>
                <w:rFonts w:hint="eastAsia" w:ascii="宋体" w:hAnsi="宋体" w:eastAsia="宋体" w:cs="宋体"/>
                <w:kern w:val="0"/>
                <w:sz w:val="24"/>
                <w:szCs w:val="24"/>
              </w:rPr>
              <w:t>温馨提示：本项目为电子化、无纸化交易项目，为保证您能投标成功，请仔细阅读以下条款。</w:t>
            </w:r>
          </w:p>
          <w:p w14:paraId="38DDE50E">
            <w:pPr>
              <w:rPr>
                <w:rFonts w:ascii="宋体" w:hAnsi="宋体" w:eastAsia="宋体" w:cs="宋体"/>
                <w:kern w:val="0"/>
                <w:sz w:val="24"/>
                <w:szCs w:val="24"/>
              </w:rPr>
            </w:pPr>
            <w:r>
              <w:rPr>
                <w:rFonts w:hint="eastAsia" w:ascii="宋体" w:hAnsi="宋体" w:eastAsia="宋体" w:cs="宋体"/>
                <w:kern w:val="0"/>
                <w:sz w:val="24"/>
                <w:szCs w:val="24"/>
              </w:rPr>
              <w:t>一、电子化投标</w:t>
            </w:r>
          </w:p>
          <w:p w14:paraId="77C7276E">
            <w:pPr>
              <w:rPr>
                <w:rFonts w:ascii="宋体" w:hAnsi="宋体" w:eastAsia="宋体" w:cs="宋体"/>
                <w:kern w:val="0"/>
                <w:sz w:val="24"/>
                <w:szCs w:val="24"/>
              </w:rPr>
            </w:pPr>
            <w:r>
              <w:rPr>
                <w:rFonts w:hint="eastAsia" w:ascii="宋体" w:hAnsi="宋体" w:eastAsia="宋体" w:cs="宋体"/>
                <w:kern w:val="0"/>
                <w:sz w:val="24"/>
                <w:szCs w:val="24"/>
              </w:rPr>
              <w:t>（一）电子化响应文件的签章</w:t>
            </w:r>
          </w:p>
          <w:p w14:paraId="17031E01">
            <w:pPr>
              <w:rPr>
                <w:rFonts w:ascii="宋体" w:hAnsi="宋体" w:eastAsia="宋体" w:cs="宋体"/>
                <w:kern w:val="0"/>
                <w:sz w:val="24"/>
                <w:szCs w:val="24"/>
              </w:rPr>
            </w:pPr>
            <w:r>
              <w:rPr>
                <w:rFonts w:hint="eastAsia" w:ascii="宋体" w:hAnsi="宋体" w:eastAsia="宋体" w:cs="宋体"/>
                <w:kern w:val="0"/>
                <w:sz w:val="24"/>
                <w:szCs w:val="24"/>
              </w:rPr>
              <w:t>1、响应人在生成电子化响应文件后，应对电子化响应文件进行签章，未进行签章的视为无效投标。</w:t>
            </w:r>
          </w:p>
          <w:p w14:paraId="03A2466E">
            <w:pPr>
              <w:rPr>
                <w:rFonts w:ascii="宋体" w:hAnsi="宋体" w:eastAsia="宋体" w:cs="宋体"/>
                <w:kern w:val="0"/>
                <w:sz w:val="24"/>
                <w:szCs w:val="24"/>
              </w:rPr>
            </w:pPr>
            <w:r>
              <w:rPr>
                <w:rFonts w:hint="eastAsia" w:ascii="宋体" w:hAnsi="宋体" w:eastAsia="宋体" w:cs="宋体"/>
                <w:kern w:val="0"/>
                <w:sz w:val="24"/>
                <w:szCs w:val="24"/>
              </w:rPr>
              <w:t>2、谈判文件中要求法定代表人或授权委托人签字或盖章的，响应人在进行电子化响应文件签章时，以签盖法定代表人签章为准。</w:t>
            </w:r>
          </w:p>
          <w:p w14:paraId="6EB7E902">
            <w:pPr>
              <w:rPr>
                <w:rFonts w:ascii="宋体" w:hAnsi="宋体" w:eastAsia="宋体" w:cs="宋体"/>
                <w:kern w:val="0"/>
                <w:sz w:val="24"/>
                <w:szCs w:val="24"/>
              </w:rPr>
            </w:pPr>
            <w:r>
              <w:rPr>
                <w:rFonts w:hint="eastAsia" w:ascii="宋体" w:hAnsi="宋体" w:eastAsia="宋体" w:cs="宋体"/>
                <w:kern w:val="0"/>
                <w:sz w:val="24"/>
                <w:szCs w:val="24"/>
              </w:rPr>
              <w:t>（二）电子化响应文件的格式及上传响应文件</w:t>
            </w:r>
          </w:p>
          <w:p w14:paraId="7AF8FBBB">
            <w:pPr>
              <w:rPr>
                <w:rFonts w:ascii="宋体" w:hAnsi="宋体" w:eastAsia="宋体" w:cs="宋体"/>
                <w:kern w:val="0"/>
                <w:sz w:val="24"/>
                <w:szCs w:val="24"/>
              </w:rPr>
            </w:pPr>
            <w:r>
              <w:rPr>
                <w:rFonts w:hint="eastAsia" w:ascii="宋体" w:hAnsi="宋体" w:eastAsia="宋体" w:cs="宋体"/>
                <w:kern w:val="0"/>
                <w:sz w:val="24"/>
                <w:szCs w:val="24"/>
              </w:rPr>
              <w:t>1、响应人所上传的电子化响应文件，应是通过中心响应文件制作系统制作的，经过签章和加密后生成的电子版响应文件。其中包含用于响应文件上传的主文件（后缀为.smxtf）和用于应急补救的响应文件备份文件（后缀为.nsmxtf）。备份文件主要用于电子化开标出现技术问题后的补救，请响应人随身携带。</w:t>
            </w:r>
          </w:p>
          <w:p w14:paraId="05128DDF">
            <w:pPr>
              <w:rPr>
                <w:rFonts w:ascii="宋体" w:hAnsi="宋体" w:eastAsia="宋体" w:cs="宋体"/>
                <w:kern w:val="0"/>
                <w:sz w:val="24"/>
                <w:szCs w:val="24"/>
              </w:rPr>
            </w:pPr>
            <w:r>
              <w:rPr>
                <w:rFonts w:hint="eastAsia" w:ascii="宋体" w:hAnsi="宋体" w:eastAsia="宋体" w:cs="宋体"/>
                <w:kern w:val="0"/>
                <w:sz w:val="24"/>
                <w:szCs w:val="24"/>
              </w:rPr>
              <w:t>注：响应人投报多个标段的，需要每个标段单独制作电子响应文件。</w:t>
            </w:r>
          </w:p>
          <w:p w14:paraId="5476480E">
            <w:pPr>
              <w:rPr>
                <w:rFonts w:ascii="宋体" w:hAnsi="宋体" w:eastAsia="宋体" w:cs="宋体"/>
                <w:kern w:val="0"/>
                <w:sz w:val="24"/>
                <w:szCs w:val="24"/>
              </w:rPr>
            </w:pPr>
            <w:r>
              <w:rPr>
                <w:rFonts w:hint="eastAsia" w:ascii="宋体" w:hAnsi="宋体" w:eastAsia="宋体" w:cs="宋体"/>
                <w:kern w:val="0"/>
                <w:sz w:val="24"/>
                <w:szCs w:val="24"/>
              </w:rPr>
              <w:t>2、电子化响应文件应在投标截止时间前成功上传至三门峡市公共资源电子化交易系统。至投标截止时间止，仍未上传成功的电子化响应文件将不予接收。</w:t>
            </w:r>
          </w:p>
          <w:p w14:paraId="59FF0E24">
            <w:pPr>
              <w:rPr>
                <w:rFonts w:ascii="宋体" w:hAnsi="宋体" w:eastAsia="宋体" w:cs="宋体"/>
                <w:kern w:val="0"/>
                <w:sz w:val="24"/>
                <w:szCs w:val="24"/>
              </w:rPr>
            </w:pPr>
            <w:r>
              <w:rPr>
                <w:rFonts w:hint="eastAsia" w:ascii="宋体" w:hAnsi="宋体" w:eastAsia="宋体" w:cs="宋体"/>
                <w:kern w:val="0"/>
                <w:sz w:val="24"/>
                <w:szCs w:val="24"/>
              </w:rPr>
              <w:t>注：如按照电子化投标操作教材制作完成的电子化响应文件无法上传的，响应人应在投标截止时间前尽早的联系中心技术人员，以便有充分的时间进行处理。响应人应充分考虑到处理技术问题和上传数据等工作所需的时间问题，响应文件未在投标截止时间前成功上传的，其响应文件不予接收。</w:t>
            </w:r>
          </w:p>
          <w:p w14:paraId="269F245B">
            <w:pPr>
              <w:rPr>
                <w:rFonts w:ascii="宋体" w:hAnsi="宋体" w:eastAsia="宋体" w:cs="宋体"/>
                <w:kern w:val="0"/>
                <w:sz w:val="24"/>
                <w:szCs w:val="24"/>
              </w:rPr>
            </w:pPr>
            <w:r>
              <w:rPr>
                <w:rFonts w:hint="eastAsia" w:ascii="宋体" w:hAnsi="宋体" w:eastAsia="宋体" w:cs="宋体"/>
                <w:kern w:val="0"/>
                <w:sz w:val="24"/>
                <w:szCs w:val="24"/>
              </w:rPr>
              <w:t>技术联系电话：400-998-0000</w:t>
            </w:r>
          </w:p>
          <w:p w14:paraId="0A8AAE00">
            <w:pPr>
              <w:rPr>
                <w:rFonts w:ascii="宋体" w:hAnsi="宋体" w:eastAsia="宋体" w:cs="宋体"/>
                <w:kern w:val="0"/>
                <w:sz w:val="24"/>
                <w:szCs w:val="24"/>
              </w:rPr>
            </w:pPr>
            <w:r>
              <w:rPr>
                <w:rFonts w:hint="eastAsia" w:ascii="宋体" w:hAnsi="宋体" w:eastAsia="宋体" w:cs="宋体"/>
                <w:kern w:val="0"/>
                <w:sz w:val="24"/>
                <w:szCs w:val="24"/>
              </w:rPr>
              <w:t>（三）电子化项目开标、解密、唱标、评标</w:t>
            </w:r>
          </w:p>
          <w:p w14:paraId="29DBF252">
            <w:pPr>
              <w:rPr>
                <w:rFonts w:ascii="宋体" w:hAnsi="宋体" w:eastAsia="宋体" w:cs="宋体"/>
                <w:kern w:val="0"/>
                <w:sz w:val="24"/>
                <w:szCs w:val="24"/>
              </w:rPr>
            </w:pPr>
            <w:r>
              <w:rPr>
                <w:rFonts w:hint="eastAsia" w:ascii="宋体" w:hAnsi="宋体" w:eastAsia="宋体" w:cs="宋体"/>
                <w:kern w:val="0"/>
                <w:sz w:val="24"/>
                <w:szCs w:val="24"/>
              </w:rPr>
              <w:t>1、本项目采用电子化、无纸化进行招标，开标当日，响应人无需到开标现场参加开标会议，响应人应当在投标截止时间前，登陆不见面开标大厅选择登陆三门峡市公共资源电子招投标系统进行登陆,在线准时参加开标活动并进行响应文件解密等</w:t>
            </w:r>
          </w:p>
          <w:p w14:paraId="510A14E3">
            <w:pPr>
              <w:rPr>
                <w:rFonts w:ascii="宋体" w:hAnsi="宋体" w:eastAsia="宋体" w:cs="宋体"/>
                <w:kern w:val="0"/>
                <w:sz w:val="24"/>
                <w:szCs w:val="24"/>
              </w:rPr>
            </w:pPr>
            <w:r>
              <w:rPr>
                <w:rFonts w:hint="eastAsia" w:ascii="宋体" w:hAnsi="宋体" w:eastAsia="宋体" w:cs="宋体"/>
                <w:kern w:val="0"/>
                <w:sz w:val="24"/>
                <w:szCs w:val="24"/>
              </w:rPr>
              <w:t>2、电子化响应文件采用一次加密方式。开标时，由响应人使用CA 证书，在规定时间内对其电子化响应文件进行解密。每位响应人的解密时间为开标时间起30分钟内，如在规定时间内未完成解密的，其响应文件不予开标、唱标。</w:t>
            </w:r>
          </w:p>
          <w:p w14:paraId="3FD1BF64">
            <w:pPr>
              <w:rPr>
                <w:rFonts w:ascii="宋体" w:hAnsi="宋体" w:eastAsia="宋体" w:cs="宋体"/>
                <w:kern w:val="0"/>
                <w:sz w:val="24"/>
                <w:szCs w:val="24"/>
              </w:rPr>
            </w:pPr>
            <w:r>
              <w:rPr>
                <w:rFonts w:hint="eastAsia" w:ascii="宋体" w:hAnsi="宋体" w:eastAsia="宋体" w:cs="宋体"/>
                <w:kern w:val="0"/>
                <w:sz w:val="24"/>
                <w:szCs w:val="24"/>
              </w:rPr>
              <w:t>3、电子化响应文件解密异常的处理</w:t>
            </w:r>
          </w:p>
          <w:p w14:paraId="4CB1C22C">
            <w:pPr>
              <w:rPr>
                <w:rFonts w:ascii="宋体" w:hAnsi="宋体" w:eastAsia="宋体" w:cs="宋体"/>
                <w:kern w:val="0"/>
                <w:sz w:val="24"/>
                <w:szCs w:val="24"/>
              </w:rPr>
            </w:pPr>
            <w:r>
              <w:rPr>
                <w:rFonts w:hint="eastAsia" w:ascii="宋体" w:hAnsi="宋体" w:eastAsia="宋体" w:cs="宋体"/>
                <w:kern w:val="0"/>
                <w:sz w:val="24"/>
                <w:szCs w:val="24"/>
              </w:rPr>
              <w:t>如出现响应人的电子响应文件无法解密等异常情况，响应人应及时致电中介服务机构说明。响应文件异常，按以下步骤进行处理：</w:t>
            </w:r>
          </w:p>
          <w:p w14:paraId="191FCA39">
            <w:pPr>
              <w:rPr>
                <w:rFonts w:ascii="宋体" w:hAnsi="宋体" w:eastAsia="宋体" w:cs="宋体"/>
                <w:kern w:val="0"/>
                <w:sz w:val="24"/>
                <w:szCs w:val="24"/>
              </w:rPr>
            </w:pPr>
            <w:r>
              <w:rPr>
                <w:rFonts w:hint="eastAsia" w:ascii="宋体" w:hAnsi="宋体" w:eastAsia="宋体" w:cs="宋体"/>
                <w:kern w:val="0"/>
                <w:sz w:val="24"/>
                <w:szCs w:val="24"/>
              </w:rPr>
              <w:t>（1）首先由技术人员进行问题排查。</w:t>
            </w:r>
          </w:p>
          <w:p w14:paraId="2AB1BE9F">
            <w:pPr>
              <w:rPr>
                <w:rFonts w:ascii="宋体" w:hAnsi="宋体" w:eastAsia="宋体" w:cs="宋体"/>
                <w:kern w:val="0"/>
                <w:sz w:val="24"/>
                <w:szCs w:val="24"/>
              </w:rPr>
            </w:pPr>
            <w:r>
              <w:rPr>
                <w:rFonts w:hint="eastAsia" w:ascii="宋体" w:hAnsi="宋体" w:eastAsia="宋体" w:cs="宋体"/>
                <w:kern w:val="0"/>
                <w:sz w:val="24"/>
                <w:szCs w:val="24"/>
              </w:rPr>
              <w:t>（2）经技术人员排查后，是响应人文件自身问题导致响应文件无法解密的，该响应文件将不予接收、解密和唱标。开标会议继续进行。</w:t>
            </w:r>
          </w:p>
          <w:p w14:paraId="1724A9E1">
            <w:pPr>
              <w:rPr>
                <w:rFonts w:ascii="宋体" w:hAnsi="宋体" w:eastAsia="宋体" w:cs="宋体"/>
                <w:kern w:val="0"/>
                <w:sz w:val="24"/>
                <w:szCs w:val="24"/>
              </w:rPr>
            </w:pPr>
            <w:r>
              <w:rPr>
                <w:rFonts w:hint="eastAsia" w:ascii="宋体" w:hAnsi="宋体" w:eastAsia="宋体" w:cs="宋体"/>
                <w:kern w:val="0"/>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60171FB8">
            <w:pPr>
              <w:rPr>
                <w:rFonts w:ascii="宋体" w:hAnsi="宋体" w:eastAsia="宋体" w:cs="宋体"/>
                <w:kern w:val="0"/>
                <w:sz w:val="24"/>
                <w:szCs w:val="24"/>
              </w:rPr>
            </w:pPr>
            <w:r>
              <w:rPr>
                <w:rFonts w:hint="eastAsia" w:ascii="宋体" w:hAnsi="宋体" w:eastAsia="宋体" w:cs="宋体"/>
                <w:kern w:val="0"/>
                <w:sz w:val="24"/>
                <w:szCs w:val="24"/>
              </w:rPr>
              <w:t>4、待所有响应人响应文件解密完成后，由中介服务机构操作，对所有已解密响应文件进行唱标。</w:t>
            </w:r>
          </w:p>
          <w:p w14:paraId="2EC43728">
            <w:pPr>
              <w:rPr>
                <w:rFonts w:ascii="宋体" w:hAnsi="宋体" w:eastAsia="宋体" w:cs="宋体"/>
                <w:kern w:val="0"/>
                <w:sz w:val="24"/>
                <w:szCs w:val="24"/>
              </w:rPr>
            </w:pPr>
            <w:r>
              <w:rPr>
                <w:rFonts w:hint="eastAsia" w:ascii="宋体" w:hAnsi="宋体" w:eastAsia="宋体" w:cs="宋体"/>
                <w:kern w:val="0"/>
                <w:sz w:val="24"/>
                <w:szCs w:val="24"/>
              </w:rPr>
              <w:t>响应人应保证在开标期间电话、电脑、网络能够正常工作，响应人因停电、电脑病毒、网络堵塞等原因，未在规定的解密时间内对响应文件进行解密的，其响应文件不予接收、唱标。</w:t>
            </w:r>
          </w:p>
          <w:p w14:paraId="5FCD62CE">
            <w:pPr>
              <w:rPr>
                <w:rFonts w:ascii="宋体" w:hAnsi="宋体" w:eastAsia="宋体" w:cs="宋体"/>
                <w:kern w:val="0"/>
                <w:sz w:val="24"/>
                <w:szCs w:val="24"/>
              </w:rPr>
            </w:pPr>
            <w:r>
              <w:rPr>
                <w:rFonts w:hint="eastAsia" w:ascii="宋体" w:hAnsi="宋体" w:eastAsia="宋体" w:cs="宋体"/>
                <w:kern w:val="0"/>
                <w:sz w:val="24"/>
                <w:szCs w:val="24"/>
              </w:rPr>
              <w:t>5、开标时响应人可登录到交易系统中在开标解密栏中点击报价一览表查看自己的投标报价。如对自己的唱标内容有异议的，应在响应人解密成功后10分钟内向中介服务机构电话质疑。中介服务机构应在监督人员的监督下进行免提通话接受响应人的质疑并做好书面记录。响应人未在规定时间内提出质疑的，视为认可唱标内容。</w:t>
            </w:r>
          </w:p>
          <w:p w14:paraId="3687D2CD">
            <w:pPr>
              <w:rPr>
                <w:rFonts w:ascii="宋体" w:hAnsi="宋体" w:eastAsia="宋体" w:cs="宋体"/>
                <w:kern w:val="0"/>
                <w:sz w:val="24"/>
                <w:szCs w:val="24"/>
              </w:rPr>
            </w:pPr>
            <w:r>
              <w:rPr>
                <w:rFonts w:hint="eastAsia" w:ascii="宋体" w:hAnsi="宋体" w:eastAsia="宋体" w:cs="宋体"/>
                <w:kern w:val="0"/>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06AEE345">
            <w:pPr>
              <w:rPr>
                <w:rFonts w:ascii="宋体" w:hAnsi="宋体" w:eastAsia="宋体" w:cs="宋体"/>
                <w:kern w:val="0"/>
                <w:sz w:val="24"/>
                <w:szCs w:val="24"/>
              </w:rPr>
            </w:pPr>
            <w:r>
              <w:rPr>
                <w:rFonts w:hint="eastAsia" w:ascii="宋体" w:hAnsi="宋体" w:eastAsia="宋体" w:cs="宋体"/>
                <w:kern w:val="0"/>
                <w:sz w:val="24"/>
                <w:szCs w:val="24"/>
              </w:rPr>
              <w:t>7、如评标委员会对需要回复的响应人连续三次致电未接通的，视为响应人放弃回复，评标委员会将自行对需要回复的内容进行认定。</w:t>
            </w:r>
          </w:p>
          <w:p w14:paraId="30FFDC3C">
            <w:pPr>
              <w:rPr>
                <w:rFonts w:ascii="宋体" w:hAnsi="宋体" w:eastAsia="宋体" w:cs="宋体"/>
                <w:kern w:val="0"/>
                <w:sz w:val="24"/>
                <w:szCs w:val="24"/>
              </w:rPr>
            </w:pPr>
            <w:r>
              <w:rPr>
                <w:rFonts w:hint="eastAsia" w:ascii="宋体" w:hAnsi="宋体" w:eastAsia="宋体" w:cs="宋体"/>
                <w:kern w:val="0"/>
                <w:sz w:val="24"/>
                <w:szCs w:val="24"/>
              </w:rPr>
              <w:t>二、相关证书原件的提交</w:t>
            </w:r>
          </w:p>
          <w:p w14:paraId="289E14A5">
            <w:pPr>
              <w:rPr>
                <w:rFonts w:ascii="宋体" w:hAnsi="宋体" w:eastAsia="宋体" w:cs="宋体"/>
                <w:kern w:val="0"/>
                <w:sz w:val="24"/>
                <w:szCs w:val="24"/>
              </w:rPr>
            </w:pPr>
            <w:r>
              <w:rPr>
                <w:rFonts w:hint="eastAsia" w:ascii="宋体" w:hAnsi="宋体" w:eastAsia="宋体" w:cs="宋体"/>
                <w:kern w:val="0"/>
                <w:sz w:val="24"/>
                <w:szCs w:val="24"/>
              </w:rPr>
              <w:t>本项目实行资格后审，投标文件中要求响应人提交资质、业绩、荣誉及单位人员等相关资料原件的，响应人需将原件扫描件制作到电子投标文件中。</w:t>
            </w:r>
          </w:p>
          <w:p w14:paraId="0CB73F95">
            <w:pPr>
              <w:rPr>
                <w:rFonts w:ascii="宋体" w:hAnsi="宋体" w:eastAsia="宋体" w:cs="宋体"/>
                <w:kern w:val="0"/>
                <w:sz w:val="24"/>
                <w:szCs w:val="24"/>
              </w:rPr>
            </w:pPr>
            <w:r>
              <w:rPr>
                <w:rFonts w:hint="eastAsia" w:ascii="宋体" w:hAnsi="宋体" w:eastAsia="宋体" w:cs="宋体"/>
                <w:kern w:val="0"/>
                <w:sz w:val="24"/>
                <w:szCs w:val="24"/>
              </w:rPr>
              <w:t>（1）资格评（预）审部分：资格评（预）以投标文件为准，其上传资料真实性由响应人自行承担，同时，响应人要完善主体库。</w:t>
            </w:r>
          </w:p>
          <w:p w14:paraId="128360E7">
            <w:pPr>
              <w:rPr>
                <w:rFonts w:ascii="宋体" w:hAnsi="宋体" w:eastAsia="宋体" w:cs="宋体"/>
                <w:kern w:val="0"/>
                <w:sz w:val="24"/>
                <w:szCs w:val="24"/>
              </w:rPr>
            </w:pPr>
            <w:r>
              <w:rPr>
                <w:rFonts w:hint="eastAsia" w:ascii="宋体" w:hAnsi="宋体" w:eastAsia="宋体" w:cs="宋体"/>
                <w:kern w:val="0"/>
                <w:sz w:val="24"/>
                <w:szCs w:val="24"/>
              </w:rPr>
              <w:t>（2）评标打分部分：评标打分部分仍按照100分制原则进行，涉及到资格审查、企业荣誉、人员业绩、企业业绩等计分部分时，以投标单位自行上传到投标文件中的相应内容为准。</w:t>
            </w:r>
          </w:p>
          <w:p w14:paraId="4750A86D">
            <w:pPr>
              <w:rPr>
                <w:rFonts w:ascii="宋体" w:hAnsi="宋体" w:eastAsia="宋体" w:cs="宋体"/>
                <w:kern w:val="0"/>
                <w:sz w:val="24"/>
                <w:szCs w:val="24"/>
              </w:rPr>
            </w:pPr>
            <w:r>
              <w:rPr>
                <w:rFonts w:hint="eastAsia" w:ascii="宋体" w:hAnsi="宋体" w:eastAsia="宋体" w:cs="宋体"/>
                <w:kern w:val="0"/>
                <w:sz w:val="24"/>
                <w:szCs w:val="24"/>
              </w:rPr>
              <w:t>（3）投标文件编制部分：在招标文件中要求响应人按照投标文件格式进行投标文件编制，在投标文件编制时，应明确将投标单位企业基本情况、资质情况、人员情况、财务情况、业绩情况编入投标文件，便于进行资格审查及评标打分。</w:t>
            </w:r>
          </w:p>
          <w:p w14:paraId="091F3402">
            <w:pPr>
              <w:rPr>
                <w:rFonts w:ascii="宋体" w:hAnsi="宋体" w:eastAsia="宋体" w:cs="宋体"/>
                <w:kern w:val="0"/>
                <w:sz w:val="24"/>
                <w:szCs w:val="24"/>
              </w:rPr>
            </w:pPr>
            <w:r>
              <w:rPr>
                <w:rFonts w:hint="eastAsia" w:ascii="宋体" w:hAnsi="宋体" w:eastAsia="宋体" w:cs="宋体"/>
                <w:kern w:val="0"/>
                <w:sz w:val="24"/>
                <w:szCs w:val="24"/>
              </w:rPr>
              <w:t>（4）响应人应仔细阅读操作手册；响应人对投标文件信息的真实性、有效性、清晰可辩性负责。</w:t>
            </w:r>
          </w:p>
          <w:p w14:paraId="19C7D40B">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kern w:val="0"/>
                <w:sz w:val="24"/>
                <w:szCs w:val="24"/>
              </w:rPr>
              <w:t>提示：本项目为电子化、无纸化交易项目</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开标</w:t>
            </w:r>
            <w:r>
              <w:rPr>
                <w:rFonts w:hint="eastAsia" w:ascii="宋体" w:hAnsi="宋体" w:eastAsia="宋体" w:cs="宋体"/>
                <w:color w:val="auto"/>
                <w:kern w:val="0"/>
                <w:sz w:val="24"/>
                <w:szCs w:val="24"/>
              </w:rPr>
              <w:t>时不</w:t>
            </w:r>
            <w:r>
              <w:rPr>
                <w:rFonts w:hint="eastAsia" w:ascii="宋体" w:hAnsi="宋体" w:eastAsia="宋体" w:cs="宋体"/>
                <w:kern w:val="0"/>
                <w:sz w:val="24"/>
                <w:szCs w:val="24"/>
              </w:rPr>
              <w:t>再接受任何纸质资料，为保证您能投标成功，请仔细阅读以上条款。</w:t>
            </w:r>
          </w:p>
        </w:tc>
      </w:tr>
      <w:tr w14:paraId="44757053">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BA747CA">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43</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533C9B3">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履约保证金</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191A4CFE">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不收取</w:t>
            </w:r>
          </w:p>
        </w:tc>
      </w:tr>
      <w:tr w14:paraId="04897A32">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C03EE2B">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44</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41F9B23">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付款方式</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top"/>
          </w:tcPr>
          <w:p w14:paraId="7497FCEA">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color w:val="auto"/>
                <w:sz w:val="24"/>
                <w:szCs w:val="24"/>
              </w:rPr>
              <w:t>付款方式：项目验收合格后，一次性付清</w:t>
            </w:r>
          </w:p>
        </w:tc>
      </w:tr>
      <w:tr w14:paraId="6EB5D07B">
        <w:tblPrEx>
          <w:tblCellMar>
            <w:top w:w="0" w:type="dxa"/>
            <w:left w:w="108" w:type="dxa"/>
            <w:bottom w:w="0" w:type="dxa"/>
            <w:right w:w="108" w:type="dxa"/>
          </w:tblCellMar>
        </w:tblPrEx>
        <w:trPr>
          <w:trHeight w:val="90"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B12C021">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45</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2C4C713">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合同的签订及备案</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341C021">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采购人和中标人应自中标通知书发出之日起1个工作日内按照中标通知书和供应商</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文件内容及要求签订合同；中标人与采购人签订合同后1个工作日内在《河南省政府采购网》上发布合同公告并进行网上备案</w:t>
            </w:r>
          </w:p>
        </w:tc>
      </w:tr>
      <w:tr w14:paraId="5EB41FD1">
        <w:tblPrEx>
          <w:tblCellMar>
            <w:top w:w="0" w:type="dxa"/>
            <w:left w:w="108" w:type="dxa"/>
            <w:bottom w:w="0" w:type="dxa"/>
            <w:right w:w="108" w:type="dxa"/>
          </w:tblCellMar>
        </w:tblPrEx>
        <w:trPr>
          <w:trHeight w:val="326" w:hRule="atLeast"/>
          <w:jc w:val="center"/>
        </w:trPr>
        <w:tc>
          <w:tcPr>
            <w:tcW w:w="10125" w:type="dxa"/>
            <w:gridSpan w:val="3"/>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2FECCD1">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需要补充的其他内容</w:t>
            </w:r>
          </w:p>
        </w:tc>
      </w:tr>
      <w:tr w14:paraId="119F650C">
        <w:tblPrEx>
          <w:tblCellMar>
            <w:top w:w="0" w:type="dxa"/>
            <w:left w:w="108" w:type="dxa"/>
            <w:bottom w:w="0" w:type="dxa"/>
            <w:right w:w="108" w:type="dxa"/>
          </w:tblCellMar>
        </w:tblPrEx>
        <w:trPr>
          <w:trHeight w:val="345"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97A7489">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46</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D5C3F3F">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售后服务及其他</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59B2124">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投标人根据自身情况提供售后服务及其他优惠条件</w:t>
            </w:r>
          </w:p>
        </w:tc>
      </w:tr>
      <w:tr w14:paraId="4DCC5732">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DA4A097">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47</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D85AF39">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知识产权</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693BA7F">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构成本</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文件各个组成部分的文件，未经采购人书面同意，供应商不得擅自复印和用于非本</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项目所需的其他目的。采购人全部或者部分使用未中标人</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文件中的技术成果或技术方案时，需征得其书面同意，并不得擅自复印或提供给第三人</w:t>
            </w:r>
          </w:p>
        </w:tc>
      </w:tr>
      <w:tr w14:paraId="29D5E395">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9E0E937">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s="仿宋"/>
                <w:bCs/>
                <w:color w:val="auto"/>
                <w:sz w:val="21"/>
                <w:szCs w:val="21"/>
                <w:highlight w:val="none"/>
                <w:shd w:val="clear" w:color="050000" w:fill="auto"/>
                <w:lang w:val="en-US" w:eastAsia="zh-CN"/>
              </w:rPr>
            </w:pPr>
            <w:r>
              <w:rPr>
                <w:rFonts w:hint="eastAsia" w:ascii="宋体" w:hAnsi="宋体" w:eastAsia="宋体"/>
                <w:color w:val="auto"/>
                <w:sz w:val="21"/>
                <w:szCs w:val="21"/>
                <w:highlight w:val="none"/>
                <w:lang w:val="en-US" w:eastAsia="zh-CN"/>
              </w:rPr>
              <w:t>48</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78C55FED">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监  督</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4BB18FD2">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本项目的采购活动及其相关当事人应当接受有管辖权的相关部门依法实施的监督</w:t>
            </w:r>
          </w:p>
        </w:tc>
      </w:tr>
      <w:tr w14:paraId="0D78DC87">
        <w:tblPrEx>
          <w:tblCellMar>
            <w:top w:w="0" w:type="dxa"/>
            <w:left w:w="108" w:type="dxa"/>
            <w:bottom w:w="0" w:type="dxa"/>
            <w:right w:w="108" w:type="dxa"/>
          </w:tblCellMar>
        </w:tblPrEx>
        <w:trPr>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1A66FFEF">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s="仿宋"/>
                <w:bCs/>
                <w:color w:val="auto"/>
                <w:sz w:val="21"/>
                <w:szCs w:val="21"/>
                <w:highlight w:val="none"/>
                <w:shd w:val="clear" w:color="050000" w:fill="auto"/>
                <w:lang w:val="en-US" w:eastAsia="zh-CN"/>
              </w:rPr>
            </w:pPr>
            <w:r>
              <w:rPr>
                <w:rFonts w:hint="eastAsia" w:ascii="宋体" w:hAnsi="宋体" w:eastAsia="宋体"/>
                <w:color w:val="auto"/>
                <w:sz w:val="21"/>
                <w:szCs w:val="21"/>
                <w:highlight w:val="none"/>
                <w:lang w:val="en-US" w:eastAsia="zh-CN"/>
              </w:rPr>
              <w:t>49</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B5349A2">
            <w:pPr>
              <w:spacing w:line="360" w:lineRule="auto"/>
              <w:ind w:firstLine="410" w:firstLineChars="171"/>
              <w:jc w:val="both"/>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解释权</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BBCE640">
            <w:pPr>
              <w:spacing w:line="360" w:lineRule="auto"/>
              <w:ind w:firstLine="410" w:firstLineChars="171"/>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构成本</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文件的各个组成文件应互为解释，互为说明；如有不明确或不一致，构成合同文件组成内容的，以合同文件约定内容为准，且以专用合同条款约定的合同文件优先顺序解释；除</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文件中有特别规定外，仅适用于招标投标阶段的规定，按</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公告（</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邀请书）、供应商须知、评标办法、</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14:paraId="1E82CFAE">
        <w:tblPrEx>
          <w:tblCellMar>
            <w:top w:w="0" w:type="dxa"/>
            <w:left w:w="108" w:type="dxa"/>
            <w:bottom w:w="0" w:type="dxa"/>
            <w:right w:w="108" w:type="dxa"/>
          </w:tblCellMar>
        </w:tblPrEx>
        <w:trPr>
          <w:trHeight w:val="699" w:hRule="atLeast"/>
          <w:jc w:val="center"/>
        </w:trPr>
        <w:tc>
          <w:tcPr>
            <w:tcW w:w="97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32E336F1">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rPr>
                <w:rFonts w:hint="default" w:ascii="宋体" w:hAnsi="宋体" w:eastAsia="宋体"/>
                <w:color w:val="auto"/>
                <w:sz w:val="21"/>
                <w:szCs w:val="21"/>
                <w:highlight w:val="none"/>
                <w:lang w:val="en-US" w:eastAsia="zh-CN"/>
              </w:rPr>
            </w:pPr>
            <w:r>
              <w:rPr>
                <w:rFonts w:hint="eastAsia" w:ascii="宋体" w:hAnsi="宋体" w:eastAsia="宋体"/>
                <w:color w:val="auto"/>
                <w:sz w:val="21"/>
                <w:szCs w:val="21"/>
                <w:highlight w:val="none"/>
                <w:lang w:val="en-US" w:eastAsia="zh-CN"/>
              </w:rPr>
              <w:t>50</w:t>
            </w:r>
          </w:p>
        </w:tc>
        <w:tc>
          <w:tcPr>
            <w:tcW w:w="1625"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26F6F526">
            <w:pPr>
              <w:spacing w:line="360" w:lineRule="auto"/>
              <w:jc w:val="center"/>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代理服务费</w:t>
            </w:r>
          </w:p>
        </w:tc>
        <w:tc>
          <w:tcPr>
            <w:tcW w:w="7530" w:type="dxa"/>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62C8F10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根据《中华人民共和国招标投标法》《中华人民共和国政府采购法》和《国家发展改革委关于进一步放开建设项目专业服务价格的通知》（发改价格[2015]299号）《明码标价和禁止价格欺诈规定》（国家市场监督管理总局令第56号）《招标代理服务规范》（GB/38357-2019国家市场监督管理总局、国家标准化管理委员会）等规定,参照豫招协【2023】002号文下发的招标代理服务收费指导意见执行，代理服务费取费的基数为中标价，领取中标通知书时一次性支付</w:t>
            </w:r>
          </w:p>
        </w:tc>
      </w:tr>
      <w:tr w14:paraId="5FBE4A9D">
        <w:tblPrEx>
          <w:tblCellMar>
            <w:top w:w="0" w:type="dxa"/>
            <w:left w:w="108" w:type="dxa"/>
            <w:bottom w:w="0" w:type="dxa"/>
            <w:right w:w="108" w:type="dxa"/>
          </w:tblCellMar>
        </w:tblPrEx>
        <w:trPr>
          <w:trHeight w:val="699" w:hRule="atLeast"/>
          <w:jc w:val="center"/>
        </w:trPr>
        <w:tc>
          <w:tcPr>
            <w:tcW w:w="10125" w:type="dxa"/>
            <w:gridSpan w:val="3"/>
            <w:tcBorders>
              <w:top w:val="single" w:color="836967" w:sz="4" w:space="0"/>
              <w:left w:val="single" w:color="836967" w:sz="4" w:space="0"/>
              <w:bottom w:val="single" w:color="836967" w:sz="4" w:space="0"/>
              <w:right w:val="single" w:color="836967" w:sz="4" w:space="0"/>
            </w:tcBorders>
            <w:noWrap w:val="0"/>
            <w:tcMar>
              <w:left w:w="10" w:type="dxa"/>
              <w:right w:w="10" w:type="dxa"/>
            </w:tcMar>
            <w:vAlign w:val="center"/>
          </w:tcPr>
          <w:p w14:paraId="5BE4ED34">
            <w:pPr>
              <w:spacing w:line="360" w:lineRule="auto"/>
              <w:ind w:firstLine="410" w:firstLineChars="171"/>
              <w:rPr>
                <w:rFonts w:ascii="宋体" w:hAnsi="宋体"/>
                <w:color w:val="auto"/>
                <w:sz w:val="21"/>
                <w:szCs w:val="21"/>
                <w:highlight w:val="none"/>
              </w:rPr>
            </w:pPr>
            <w:r>
              <w:rPr>
                <w:rFonts w:hint="eastAsia" w:ascii="宋体" w:hAnsi="宋体" w:eastAsia="宋体" w:cs="宋体"/>
                <w:kern w:val="0"/>
                <w:sz w:val="24"/>
                <w:szCs w:val="24"/>
              </w:rPr>
              <w:t>提示：本项目为电子化、无纸化交易项目，开标时不再接受任何纸质资料，为保证您能投标成功，请仔细阅读以上条款。</w:t>
            </w:r>
          </w:p>
        </w:tc>
      </w:tr>
    </w:tbl>
    <w:p w14:paraId="3D7A52A4">
      <w:pPr>
        <w:spacing w:line="480" w:lineRule="exact"/>
        <w:rPr>
          <w:rFonts w:ascii="宋体" w:hAnsi="宋体" w:cs="宋体"/>
          <w:b/>
          <w:color w:val="auto"/>
          <w:sz w:val="21"/>
          <w:szCs w:val="21"/>
          <w:highlight w:val="none"/>
          <w:lang w:bidi="ar"/>
        </w:rPr>
      </w:pPr>
    </w:p>
    <w:p w14:paraId="3F963334">
      <w:pPr>
        <w:pStyle w:val="3"/>
        <w:spacing w:line="240" w:lineRule="auto"/>
        <w:ind w:right="113"/>
        <w:rPr>
          <w:rFonts w:ascii="宋体" w:hAnsi="宋体" w:cs="仿宋"/>
          <w:b w:val="0"/>
          <w:bCs w:val="0"/>
          <w:color w:val="auto"/>
          <w:sz w:val="21"/>
          <w:szCs w:val="21"/>
          <w:highlight w:val="none"/>
          <w:lang w:eastAsia="zh-CN"/>
        </w:rPr>
      </w:pPr>
      <w:r>
        <w:rPr>
          <w:rFonts w:hint="eastAsia" w:ascii="宋体" w:hAnsi="宋体" w:cs="仿宋"/>
          <w:color w:val="auto"/>
          <w:sz w:val="21"/>
          <w:szCs w:val="21"/>
          <w:highlight w:val="none"/>
          <w:lang w:eastAsia="zh-CN"/>
        </w:rPr>
        <w:t>1. 总则</w:t>
      </w:r>
    </w:p>
    <w:p w14:paraId="2F230428">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3" w:name="_bookmark21"/>
      <w:bookmarkEnd w:id="3"/>
      <w:r>
        <w:rPr>
          <w:rFonts w:hint="eastAsia" w:asciiTheme="minorHAnsi" w:hAnsiTheme="minorHAnsi" w:eastAsiaTheme="minorHAnsi" w:cstheme="minorBidi"/>
          <w:kern w:val="0"/>
          <w:sz w:val="24"/>
          <w:szCs w:val="22"/>
          <w:lang w:val="en-US" w:eastAsia="zh-CN" w:bidi="ar"/>
        </w:rPr>
        <w:t>1.1</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项目概况</w:t>
      </w:r>
    </w:p>
    <w:p w14:paraId="037CB7F9">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1.1.1根据《中华人民共和国政府采购法》、《中华人民共和国政府采购法实施条例》等有关法律、法规和规章的规定，本</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项目已具备</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条件，现对本项目进行</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w:t>
      </w:r>
    </w:p>
    <w:p w14:paraId="1C37415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1.1.2采购人：见供应商须知前附表。</w:t>
      </w:r>
    </w:p>
    <w:p w14:paraId="2AE098A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1.1.3采购代理机构：见供应商须知前附表。</w:t>
      </w:r>
    </w:p>
    <w:p w14:paraId="29CDC6FB">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1.1.4项目名称：见供应商须知前附表。</w:t>
      </w:r>
    </w:p>
    <w:p w14:paraId="6911F293">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1.1.5  采购方式：见供应商须知前附表。</w:t>
      </w:r>
    </w:p>
    <w:p w14:paraId="7BE46082">
      <w:pPr>
        <w:spacing w:line="360" w:lineRule="auto"/>
        <w:ind w:firstLine="410" w:firstLineChars="171"/>
        <w:rPr>
          <w:rFonts w:ascii="宋体" w:hAnsi="宋体"/>
          <w:color w:val="auto"/>
          <w:sz w:val="21"/>
          <w:szCs w:val="21"/>
          <w:highlight w:val="none"/>
        </w:rPr>
      </w:pPr>
      <w:r>
        <w:rPr>
          <w:rFonts w:hint="eastAsia" w:asciiTheme="minorHAnsi" w:hAnsiTheme="minorHAnsi" w:eastAsiaTheme="minorHAnsi" w:cstheme="minorBidi"/>
          <w:kern w:val="0"/>
          <w:sz w:val="24"/>
          <w:szCs w:val="22"/>
          <w:lang w:val="en-US" w:eastAsia="zh-CN" w:bidi="ar"/>
        </w:rPr>
        <w:t>1.1.6  服务内容:见供应商须知前附表</w:t>
      </w:r>
      <w:r>
        <w:rPr>
          <w:rFonts w:hint="eastAsia" w:ascii="宋体" w:hAnsi="宋体"/>
          <w:color w:val="auto"/>
          <w:sz w:val="21"/>
          <w:szCs w:val="21"/>
          <w:highlight w:val="none"/>
        </w:rPr>
        <w:t>。</w:t>
      </w:r>
    </w:p>
    <w:p w14:paraId="27D9E13D">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1.2  招标项目的资金来源和落实情况</w:t>
      </w:r>
    </w:p>
    <w:p w14:paraId="123A38C9">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1.2.1 资金来源：见供应商须知前附表。</w:t>
      </w:r>
    </w:p>
    <w:p w14:paraId="2FE7F243">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1.2.2 资金落实情况：见供应商须知前附表。</w:t>
      </w:r>
    </w:p>
    <w:p w14:paraId="3B51F7FC">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4" w:name="_bookmark23"/>
      <w:bookmarkEnd w:id="4"/>
      <w:r>
        <w:rPr>
          <w:rFonts w:hint="eastAsia" w:asciiTheme="minorHAnsi" w:hAnsiTheme="minorHAnsi" w:eastAsiaTheme="minorHAnsi" w:cstheme="minorBidi"/>
          <w:kern w:val="0"/>
          <w:sz w:val="24"/>
          <w:szCs w:val="22"/>
          <w:lang w:val="en-US" w:eastAsia="zh-CN" w:bidi="ar"/>
        </w:rPr>
        <w:t>1.3</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范围、交货及安装期、交货地点和质量要求</w:t>
      </w:r>
    </w:p>
    <w:p w14:paraId="59A9DD7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1.3.1 服务内容：见供应商须知前附表。</w:t>
      </w:r>
    </w:p>
    <w:p w14:paraId="18BF1BA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1.3.2  服务期限：见供应商须知前附表。</w:t>
      </w:r>
    </w:p>
    <w:p w14:paraId="466CF22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1.3.3  服务地点：见供应商须知前附表。</w:t>
      </w:r>
    </w:p>
    <w:p w14:paraId="59FAA073">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1.3.4  质量要求：见供应商须知前附表。</w:t>
      </w:r>
    </w:p>
    <w:p w14:paraId="3A5F3BDC">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5" w:name="_bookmark24"/>
      <w:bookmarkEnd w:id="5"/>
      <w:r>
        <w:rPr>
          <w:rFonts w:hint="eastAsia" w:asciiTheme="minorHAnsi" w:hAnsiTheme="minorHAnsi" w:eastAsiaTheme="minorHAnsi" w:cstheme="minorBidi"/>
          <w:kern w:val="0"/>
          <w:sz w:val="24"/>
          <w:szCs w:val="22"/>
          <w:lang w:val="en-US" w:eastAsia="zh-CN" w:bidi="ar"/>
        </w:rPr>
        <w:t>1.4供应商资格要求</w:t>
      </w:r>
    </w:p>
    <w:p w14:paraId="2532300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1.4.1 见供应商须知前附表。</w:t>
      </w:r>
    </w:p>
    <w:p w14:paraId="037BBDFB">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1.4.2 是否接受联合体投标：见供应商须知前附表。</w:t>
      </w:r>
    </w:p>
    <w:p w14:paraId="7672B739">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1.4.3 供应商不得存在下列情形之一：</w:t>
      </w:r>
    </w:p>
    <w:p w14:paraId="08AC4CCD">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（1）与采购人存在利害关系且可能影响招标公正性；</w:t>
      </w:r>
    </w:p>
    <w:p w14:paraId="3365A59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（2）与本</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项目的其他供应商为同一个单位负责人；</w:t>
      </w:r>
    </w:p>
    <w:p w14:paraId="73AE1A60">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（3）与本</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项目的其他供应商存在控股、管理关系；</w:t>
      </w:r>
    </w:p>
    <w:p w14:paraId="6D1D989F">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（4）被依法暂停或者取消投标资格；</w:t>
      </w:r>
    </w:p>
    <w:p w14:paraId="7ED29397">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（5）被责令停产停业、暂扣或者吊销许可证、暂扣或者吊销执照；</w:t>
      </w:r>
    </w:p>
    <w:p w14:paraId="018B561E">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6" w:name="_bookmark25"/>
      <w:bookmarkEnd w:id="6"/>
      <w:r>
        <w:rPr>
          <w:rFonts w:hint="eastAsia" w:asciiTheme="minorHAnsi" w:hAnsiTheme="minorHAnsi" w:eastAsiaTheme="minorHAnsi" w:cstheme="minorBidi"/>
          <w:kern w:val="0"/>
          <w:sz w:val="24"/>
          <w:szCs w:val="22"/>
          <w:lang w:val="en-US" w:eastAsia="zh-CN" w:bidi="ar"/>
        </w:rPr>
        <w:t>1.5 费用承担</w:t>
      </w:r>
    </w:p>
    <w:p w14:paraId="6909B89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供应商准备和参加</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活动发生的费用自理。</w:t>
      </w:r>
    </w:p>
    <w:p w14:paraId="3BB9834B">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7" w:name="_bookmark26"/>
      <w:bookmarkEnd w:id="7"/>
      <w:r>
        <w:rPr>
          <w:rFonts w:hint="eastAsia" w:asciiTheme="minorHAnsi" w:hAnsiTheme="minorHAnsi" w:eastAsiaTheme="minorHAnsi" w:cstheme="minorBidi"/>
          <w:kern w:val="0"/>
          <w:sz w:val="24"/>
          <w:szCs w:val="22"/>
          <w:lang w:val="en-US" w:eastAsia="zh-CN" w:bidi="ar"/>
        </w:rPr>
        <w:t>1.6 保密</w:t>
      </w:r>
    </w:p>
    <w:p w14:paraId="29D5DAE0">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参与</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活动的各方应对</w:t>
      </w:r>
      <w:r>
        <w:rPr>
          <w:rFonts w:hint="eastAsia" w:cstheme="minorBidi"/>
          <w:kern w:val="0"/>
          <w:sz w:val="24"/>
          <w:szCs w:val="22"/>
          <w:lang w:val="en-US" w:eastAsia="zh-CN" w:bidi="ar"/>
        </w:rPr>
        <w:t>竞争性磋商</w:t>
      </w:r>
      <w:r>
        <w:rPr>
          <w:rFonts w:hint="eastAsia" w:asciiTheme="minorHAnsi" w:hAnsiTheme="minorHAnsi" w:eastAsiaTheme="minorHAnsi" w:cstheme="minorBidi"/>
          <w:kern w:val="0"/>
          <w:sz w:val="24"/>
          <w:szCs w:val="22"/>
          <w:lang w:val="en-US" w:eastAsia="zh-CN" w:bidi="ar"/>
        </w:rPr>
        <w:t>文件和</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文件中的商业和技术等秘密保密，否则应承担相应的法律责任。</w:t>
      </w:r>
    </w:p>
    <w:p w14:paraId="23FC51DF">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8" w:name="_bookmark27"/>
      <w:bookmarkEnd w:id="8"/>
      <w:r>
        <w:rPr>
          <w:rFonts w:hint="eastAsia" w:asciiTheme="minorHAnsi" w:hAnsiTheme="minorHAnsi" w:eastAsiaTheme="minorHAnsi" w:cstheme="minorBidi"/>
          <w:kern w:val="0"/>
          <w:sz w:val="24"/>
          <w:szCs w:val="22"/>
          <w:lang w:val="en-US" w:eastAsia="zh-CN" w:bidi="ar"/>
        </w:rPr>
        <w:t>1.7 语言文字</w:t>
      </w:r>
    </w:p>
    <w:p w14:paraId="3EBB1B26">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文件使用的语言文字为中文。专用术语使用外文的，应附有中文注释。</w:t>
      </w:r>
    </w:p>
    <w:p w14:paraId="6A1DA3F7">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9" w:name="_bookmark28"/>
      <w:bookmarkEnd w:id="9"/>
      <w:r>
        <w:rPr>
          <w:rFonts w:hint="eastAsia" w:asciiTheme="minorHAnsi" w:hAnsiTheme="minorHAnsi" w:eastAsiaTheme="minorHAnsi" w:cstheme="minorBidi"/>
          <w:kern w:val="0"/>
          <w:sz w:val="24"/>
          <w:szCs w:val="22"/>
          <w:lang w:val="en-US" w:eastAsia="zh-CN" w:bidi="ar"/>
        </w:rPr>
        <w:t>1.8计量单位</w:t>
      </w:r>
    </w:p>
    <w:p w14:paraId="48F89FE9">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所有计量均采用中华人民共和国法定计量单位。</w:t>
      </w:r>
    </w:p>
    <w:p w14:paraId="11532B15">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10" w:name="_bookmark29"/>
      <w:bookmarkEnd w:id="10"/>
      <w:r>
        <w:rPr>
          <w:rFonts w:hint="eastAsia" w:asciiTheme="minorHAnsi" w:hAnsiTheme="minorHAnsi" w:eastAsiaTheme="minorHAnsi" w:cstheme="minorBidi"/>
          <w:kern w:val="0"/>
          <w:sz w:val="24"/>
          <w:szCs w:val="22"/>
          <w:lang w:val="en-US" w:eastAsia="zh-CN" w:bidi="ar"/>
        </w:rPr>
        <w:t xml:space="preserve">1.9 </w:t>
      </w:r>
      <w:r>
        <w:rPr>
          <w:rFonts w:hint="eastAsia" w:cstheme="minorBidi"/>
          <w:kern w:val="0"/>
          <w:sz w:val="24"/>
          <w:szCs w:val="22"/>
          <w:lang w:val="en-US" w:eastAsia="zh-CN" w:bidi="ar"/>
        </w:rPr>
        <w:t>竞争性磋商</w:t>
      </w:r>
      <w:r>
        <w:rPr>
          <w:rFonts w:hint="eastAsia" w:asciiTheme="minorHAnsi" w:hAnsiTheme="minorHAnsi" w:eastAsiaTheme="minorHAnsi" w:cstheme="minorBidi"/>
          <w:kern w:val="0"/>
          <w:sz w:val="24"/>
          <w:szCs w:val="22"/>
          <w:lang w:val="en-US" w:eastAsia="zh-CN" w:bidi="ar"/>
        </w:rPr>
        <w:t>预备会</w:t>
      </w:r>
    </w:p>
    <w:p w14:paraId="58E9F8B4">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1.9.1</w:t>
      </w:r>
      <w:r>
        <w:rPr>
          <w:rFonts w:hint="eastAsia" w:cstheme="minorBidi"/>
          <w:kern w:val="0"/>
          <w:sz w:val="24"/>
          <w:szCs w:val="22"/>
          <w:lang w:val="en-US" w:eastAsia="zh-CN" w:bidi="ar"/>
        </w:rPr>
        <w:t>竞争性磋商</w:t>
      </w:r>
      <w:r>
        <w:rPr>
          <w:rFonts w:hint="eastAsia" w:asciiTheme="minorHAnsi" w:hAnsiTheme="minorHAnsi" w:eastAsiaTheme="minorHAnsi" w:cstheme="minorBidi"/>
          <w:kern w:val="0"/>
          <w:sz w:val="24"/>
          <w:szCs w:val="22"/>
          <w:lang w:val="en-US" w:eastAsia="zh-CN" w:bidi="ar"/>
        </w:rPr>
        <w:t>预备会：见供应商须知前附表</w:t>
      </w:r>
    </w:p>
    <w:p w14:paraId="06A60FC0">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11" w:name="_bookmark30"/>
      <w:bookmarkEnd w:id="11"/>
      <w:r>
        <w:rPr>
          <w:rFonts w:hint="eastAsia" w:asciiTheme="minorHAnsi" w:hAnsiTheme="minorHAnsi" w:eastAsiaTheme="minorHAnsi" w:cstheme="minorBidi"/>
          <w:kern w:val="0"/>
          <w:sz w:val="24"/>
          <w:szCs w:val="22"/>
          <w:lang w:val="en-US" w:eastAsia="zh-CN" w:bidi="ar"/>
        </w:rPr>
        <w:t>1.10分包</w:t>
      </w:r>
    </w:p>
    <w:p w14:paraId="28FE46B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1.10.1 分包：见供应商须知前附表</w:t>
      </w:r>
    </w:p>
    <w:p w14:paraId="5EAC6287">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12" w:name="_bookmark31"/>
      <w:bookmarkEnd w:id="12"/>
      <w:r>
        <w:rPr>
          <w:rFonts w:hint="eastAsia" w:asciiTheme="minorHAnsi" w:hAnsiTheme="minorHAnsi" w:eastAsiaTheme="minorHAnsi" w:cstheme="minorBidi"/>
          <w:kern w:val="0"/>
          <w:sz w:val="24"/>
          <w:szCs w:val="22"/>
          <w:lang w:val="en-US" w:eastAsia="zh-CN" w:bidi="ar"/>
        </w:rPr>
        <w:t>1.11响应和偏差</w:t>
      </w:r>
    </w:p>
    <w:p w14:paraId="291BC3D6">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1.11.1  偏离：见供应商须知前附表</w:t>
      </w:r>
    </w:p>
    <w:p w14:paraId="139A4ECC">
      <w:pPr>
        <w:pStyle w:val="3"/>
        <w:keepNext w:val="0"/>
        <w:keepLines w:val="0"/>
        <w:numPr>
          <w:ilvl w:val="0"/>
          <w:numId w:val="3"/>
        </w:numPr>
        <w:spacing w:before="0" w:after="0" w:line="240" w:lineRule="auto"/>
        <w:ind w:left="118" w:right="113"/>
        <w:jc w:val="left"/>
        <w:rPr>
          <w:rFonts w:ascii="宋体" w:hAnsi="宋体" w:cs="仿宋"/>
          <w:color w:val="auto"/>
          <w:sz w:val="21"/>
          <w:szCs w:val="21"/>
          <w:highlight w:val="none"/>
        </w:rPr>
      </w:pPr>
      <w:bookmarkStart w:id="13" w:name="6、招标文件的构成"/>
      <w:bookmarkEnd w:id="13"/>
      <w:bookmarkStart w:id="14" w:name="7、招标文件的澄清及修改"/>
      <w:bookmarkEnd w:id="14"/>
      <w:bookmarkStart w:id="15" w:name="8、投标文件编制"/>
      <w:bookmarkEnd w:id="15"/>
      <w:r>
        <w:rPr>
          <w:rFonts w:hint="eastAsia" w:cs="仿宋"/>
          <w:color w:val="auto"/>
          <w:sz w:val="21"/>
          <w:szCs w:val="21"/>
          <w:highlight w:val="none"/>
          <w:lang w:eastAsia="zh-CN"/>
        </w:rPr>
        <w:t>竞争性磋商</w:t>
      </w:r>
      <w:r>
        <w:rPr>
          <w:rFonts w:hint="eastAsia" w:ascii="宋体" w:hAnsi="宋体" w:cs="仿宋"/>
          <w:color w:val="auto"/>
          <w:sz w:val="21"/>
          <w:szCs w:val="21"/>
          <w:highlight w:val="none"/>
        </w:rPr>
        <w:t>文件</w:t>
      </w:r>
    </w:p>
    <w:p w14:paraId="5BCA56BF">
      <w:pPr>
        <w:spacing w:line="440" w:lineRule="exact"/>
        <w:ind w:firstLine="480" w:firstLineChars="200"/>
        <w:rPr>
          <w:rFonts w:ascii="宋体" w:hAnsi="宋体" w:eastAsia="宋体" w:cs="宋体"/>
          <w:sz w:val="24"/>
          <w:szCs w:val="24"/>
        </w:rPr>
      </w:pPr>
      <w:bookmarkStart w:id="16" w:name="_bookmark33"/>
      <w:bookmarkEnd w:id="16"/>
      <w:r>
        <w:rPr>
          <w:rFonts w:hint="eastAsia" w:asciiTheme="minorHAnsi" w:hAnsiTheme="minorHAnsi" w:eastAsiaTheme="minorHAnsi" w:cstheme="minorBidi"/>
          <w:kern w:val="0"/>
          <w:sz w:val="24"/>
          <w:szCs w:val="22"/>
          <w:lang w:val="en-US" w:eastAsia="zh-CN" w:bidi="ar"/>
        </w:rPr>
        <w:t xml:space="preserve">2.1  </w:t>
      </w:r>
      <w:r>
        <w:rPr>
          <w:rFonts w:hint="eastAsia" w:ascii="宋体" w:hAnsi="宋体" w:eastAsia="宋体" w:cs="宋体"/>
          <w:sz w:val="24"/>
          <w:szCs w:val="24"/>
        </w:rPr>
        <w:t>本竞争性磋商文件包括：</w:t>
      </w:r>
    </w:p>
    <w:p w14:paraId="7C6ED1BF">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（1）竞争性磋商公告</w:t>
      </w:r>
    </w:p>
    <w:p w14:paraId="42718FF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（2）响应人须知</w:t>
      </w:r>
    </w:p>
    <w:p w14:paraId="19ACA8B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（3）评审标准</w:t>
      </w:r>
    </w:p>
    <w:p w14:paraId="0FD10784">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（4）合同条款及格式</w:t>
      </w:r>
    </w:p>
    <w:p w14:paraId="611A0BAC">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（5）</w:t>
      </w:r>
      <w:bookmarkStart w:id="17" w:name="_Toc462564070"/>
      <w:bookmarkStart w:id="18" w:name="_Toc513029211"/>
      <w:bookmarkStart w:id="19" w:name="_Toc20823283"/>
      <w:bookmarkStart w:id="20" w:name="_Toc16938527"/>
      <w:r>
        <w:rPr>
          <w:rFonts w:hint="eastAsia" w:ascii="宋体" w:hAnsi="宋体" w:eastAsia="宋体" w:cs="宋体"/>
          <w:sz w:val="24"/>
          <w:szCs w:val="24"/>
        </w:rPr>
        <w:t>响应文件格式</w:t>
      </w:r>
    </w:p>
    <w:p w14:paraId="3F3EB295">
      <w:pPr>
        <w:spacing w:line="240" w:lineRule="auto"/>
        <w:ind w:firstLine="480" w:firstLineChars="200"/>
        <w:rPr>
          <w:rFonts w:ascii="宋体" w:hAnsi="宋体" w:eastAsia="宋体" w:cs="宋体"/>
          <w:sz w:val="24"/>
          <w:szCs w:val="24"/>
        </w:rPr>
      </w:pPr>
      <w:r>
        <w:rPr>
          <w:rFonts w:hint="eastAsia" w:ascii="宋体" w:hAnsi="宋体" w:eastAsia="宋体" w:cs="宋体"/>
          <w:sz w:val="24"/>
          <w:szCs w:val="24"/>
        </w:rPr>
        <w:t>对竞争性磋商文件所作的澄清、修改，构成竞争性磋商文件的组成部分。</w:t>
      </w:r>
    </w:p>
    <w:p w14:paraId="6355C396">
      <w:pPr>
        <w:autoSpaceDE w:val="0"/>
        <w:autoSpaceDN w:val="0"/>
        <w:adjustRightInd w:val="0"/>
        <w:spacing w:line="240" w:lineRule="auto"/>
        <w:jc w:val="left"/>
        <w:textAlignment w:val="baseline"/>
        <w:outlineLvl w:val="2"/>
        <w:rPr>
          <w:rFonts w:ascii="宋体" w:hAnsi="宋体" w:eastAsia="宋体" w:cs="宋体"/>
          <w:b/>
          <w:kern w:val="0"/>
          <w:sz w:val="24"/>
          <w:szCs w:val="24"/>
        </w:rPr>
      </w:pPr>
      <w:r>
        <w:rPr>
          <w:rFonts w:hint="eastAsia" w:ascii="宋体" w:hAnsi="宋体" w:eastAsia="宋体" w:cs="宋体"/>
          <w:b/>
          <w:kern w:val="0"/>
          <w:sz w:val="24"/>
          <w:szCs w:val="24"/>
        </w:rPr>
        <w:t>2.2 竞争性磋商文件的澄清</w:t>
      </w:r>
      <w:bookmarkEnd w:id="17"/>
      <w:bookmarkEnd w:id="18"/>
      <w:bookmarkEnd w:id="19"/>
      <w:bookmarkEnd w:id="20"/>
      <w:r>
        <w:rPr>
          <w:rFonts w:hint="eastAsia" w:ascii="宋体" w:hAnsi="宋体" w:eastAsia="宋体" w:cs="宋体"/>
          <w:b/>
          <w:kern w:val="0"/>
          <w:sz w:val="24"/>
          <w:szCs w:val="24"/>
        </w:rPr>
        <w:t>及修改</w:t>
      </w:r>
    </w:p>
    <w:p w14:paraId="6C3D39F1">
      <w:pPr>
        <w:spacing w:line="440" w:lineRule="exact"/>
        <w:ind w:firstLine="480" w:firstLineChars="200"/>
        <w:rPr>
          <w:rFonts w:ascii="宋体" w:hAnsi="宋体" w:eastAsia="宋体" w:cs="宋体"/>
          <w:sz w:val="24"/>
          <w:szCs w:val="24"/>
        </w:rPr>
      </w:pPr>
      <w:bookmarkStart w:id="21" w:name="_Hlt16619475"/>
      <w:bookmarkEnd w:id="21"/>
      <w:r>
        <w:rPr>
          <w:rFonts w:hint="eastAsia" w:ascii="宋体" w:hAnsi="宋体" w:eastAsia="宋体" w:cs="宋体"/>
          <w:sz w:val="24"/>
          <w:szCs w:val="24"/>
        </w:rPr>
        <w:t>2.2.1 响应人应仔细阅读和检查竞争性磋商文件的全部内容。如发现缺页或附件不全，应及时向采购人提出，以便补齐。如有疑问，应在响应人须知前附表规定的时间前以书面的形式，要求采购人对竞争性磋商文件予以澄清。</w:t>
      </w:r>
    </w:p>
    <w:p w14:paraId="03E4B456">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2.2.2竞争性磋商文件的澄清将以书面形式发给所有购买竞争性磋商文件的响应人，但不指明澄清问题的来源。如果澄清发出的时间距响应人须知前附表规定的投标截止时间不足5日，并且澄清内容影响磋商响应文件编制的，将相应延长磋商截止时间。 </w:t>
      </w:r>
    </w:p>
    <w:p w14:paraId="77E6FC5D">
      <w:pPr>
        <w:keepNext/>
        <w:keepLines/>
        <w:spacing w:line="440" w:lineRule="exact"/>
        <w:ind w:firstLine="241" w:firstLineChars="100"/>
        <w:jc w:val="left"/>
        <w:outlineLvl w:val="1"/>
        <w:rPr>
          <w:rFonts w:ascii="宋体" w:hAnsi="宋体" w:eastAsia="宋体" w:cs="宋体"/>
          <w:b/>
          <w:bCs/>
          <w:sz w:val="24"/>
          <w:szCs w:val="24"/>
        </w:rPr>
      </w:pPr>
      <w:bookmarkStart w:id="22" w:name="_Toc246996190"/>
      <w:bookmarkStart w:id="23" w:name="_Toc152045545"/>
      <w:bookmarkStart w:id="24" w:name="_Toc144974513"/>
      <w:bookmarkStart w:id="25" w:name="_Toc247085704"/>
      <w:bookmarkStart w:id="26" w:name="_Toc296602435"/>
      <w:bookmarkStart w:id="27" w:name="_Toc179632563"/>
      <w:bookmarkStart w:id="28" w:name="_Toc152042321"/>
      <w:bookmarkStart w:id="29" w:name="_Toc246996933"/>
      <w:r>
        <w:rPr>
          <w:rFonts w:hint="eastAsia" w:ascii="宋体" w:hAnsi="宋体" w:eastAsia="宋体" w:cs="宋体"/>
          <w:b/>
          <w:bCs/>
          <w:sz w:val="24"/>
          <w:szCs w:val="24"/>
        </w:rPr>
        <w:t>2.3 竞争性磋商文件的修改</w:t>
      </w:r>
      <w:bookmarkEnd w:id="22"/>
      <w:bookmarkEnd w:id="23"/>
      <w:bookmarkEnd w:id="24"/>
      <w:bookmarkEnd w:id="25"/>
      <w:bookmarkEnd w:id="26"/>
      <w:bookmarkEnd w:id="27"/>
      <w:bookmarkEnd w:id="28"/>
      <w:bookmarkEnd w:id="29"/>
    </w:p>
    <w:p w14:paraId="736C73AB">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2.3.1采购人可以书面形式修改竞争性磋商文件，但如果修改竞争性磋商文件的时间距投标截止时间不足5日，并且修改内容影响磋商响应文件编制的，将相应延长磋商截止时间。</w:t>
      </w:r>
    </w:p>
    <w:p w14:paraId="06BF0DC0">
      <w:pPr>
        <w:spacing w:line="360" w:lineRule="auto"/>
        <w:ind w:firstLine="410" w:firstLineChars="171"/>
        <w:rPr>
          <w:rFonts w:hint="eastAsia" w:asciiTheme="minorHAnsi" w:hAnsiTheme="minorHAnsi" w:eastAsiaTheme="minorHAnsi" w:cstheme="minorBidi"/>
          <w:kern w:val="0"/>
          <w:sz w:val="24"/>
          <w:szCs w:val="22"/>
          <w:lang w:val="en-US" w:eastAsia="zh-CN" w:bidi="ar"/>
        </w:rPr>
      </w:pPr>
    </w:p>
    <w:p w14:paraId="4CDBC2F1">
      <w:pPr>
        <w:pStyle w:val="3"/>
        <w:spacing w:before="141" w:line="240" w:lineRule="auto"/>
        <w:ind w:right="113"/>
        <w:rPr>
          <w:rFonts w:ascii="宋体" w:hAnsi="宋体" w:cs="仿宋"/>
          <w:b w:val="0"/>
          <w:bCs w:val="0"/>
          <w:color w:val="auto"/>
          <w:sz w:val="21"/>
          <w:szCs w:val="21"/>
          <w:highlight w:val="none"/>
          <w:lang w:eastAsia="zh-CN"/>
        </w:rPr>
      </w:pPr>
      <w:r>
        <w:rPr>
          <w:rFonts w:hint="eastAsia" w:ascii="宋体" w:hAnsi="宋体" w:cs="仿宋"/>
          <w:color w:val="auto"/>
          <w:sz w:val="21"/>
          <w:szCs w:val="21"/>
          <w:highlight w:val="none"/>
          <w:lang w:eastAsia="zh-CN"/>
        </w:rPr>
        <w:t xml:space="preserve">3. </w:t>
      </w:r>
      <w:r>
        <w:rPr>
          <w:rFonts w:hint="eastAsia" w:cs="仿宋"/>
          <w:color w:val="auto"/>
          <w:sz w:val="21"/>
          <w:szCs w:val="21"/>
          <w:highlight w:val="none"/>
          <w:lang w:eastAsia="zh-CN"/>
        </w:rPr>
        <w:t>响应</w:t>
      </w:r>
      <w:r>
        <w:rPr>
          <w:rFonts w:hint="eastAsia" w:ascii="宋体" w:hAnsi="宋体" w:cs="仿宋"/>
          <w:color w:val="auto"/>
          <w:sz w:val="21"/>
          <w:szCs w:val="21"/>
          <w:highlight w:val="none"/>
          <w:lang w:eastAsia="zh-CN"/>
        </w:rPr>
        <w:t>文件</w:t>
      </w:r>
    </w:p>
    <w:p w14:paraId="78C34462">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30" w:name="_bookmark38"/>
      <w:bookmarkEnd w:id="30"/>
      <w:r>
        <w:rPr>
          <w:rFonts w:hint="eastAsia" w:asciiTheme="minorHAnsi" w:hAnsiTheme="minorHAnsi" w:eastAsiaTheme="minorHAnsi" w:cstheme="minorBidi"/>
          <w:kern w:val="0"/>
          <w:sz w:val="24"/>
          <w:szCs w:val="22"/>
          <w:lang w:val="en-US" w:eastAsia="zh-CN" w:bidi="ar"/>
        </w:rPr>
        <w:t xml:space="preserve">3.1  </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文件的组成</w:t>
      </w:r>
    </w:p>
    <w:p w14:paraId="16C7F6C4">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3.1.1 </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文件应包括下列内容：</w:t>
      </w:r>
    </w:p>
    <w:p w14:paraId="575710B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（详见第六章投标文件格式要求）</w:t>
      </w:r>
    </w:p>
    <w:p w14:paraId="4E5B855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3.2  </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报价</w:t>
      </w:r>
    </w:p>
    <w:p w14:paraId="3671625D">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3.2.1采购人设有最高投标限价的，供应商应结合市场行情自主报价，供应商的</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报价不得超过最高</w:t>
      </w:r>
      <w:r>
        <w:rPr>
          <w:rFonts w:hint="eastAsia" w:cstheme="minorBidi"/>
          <w:kern w:val="0"/>
          <w:sz w:val="24"/>
          <w:szCs w:val="22"/>
          <w:lang w:val="en-US" w:eastAsia="zh-CN" w:bidi="ar"/>
        </w:rPr>
        <w:t>竞争性磋商</w:t>
      </w:r>
      <w:r>
        <w:rPr>
          <w:rFonts w:hint="eastAsia" w:asciiTheme="minorHAnsi" w:hAnsiTheme="minorHAnsi" w:eastAsiaTheme="minorHAnsi" w:cstheme="minorBidi"/>
          <w:kern w:val="0"/>
          <w:sz w:val="24"/>
          <w:szCs w:val="22"/>
          <w:lang w:val="en-US" w:eastAsia="zh-CN" w:bidi="ar"/>
        </w:rPr>
        <w:t>限价，或者由评标委员会认定明显低于成本的报价将被视为无效投标。最高投标限价在供应商须知前附表中载明。</w:t>
      </w:r>
    </w:p>
    <w:p w14:paraId="7D631BE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3.2.2 全部报价均应</w:t>
      </w:r>
      <w:r>
        <w:rPr>
          <w:rFonts w:hint="eastAsia" w:asciiTheme="minorHAnsi" w:hAnsiTheme="minorHAnsi" w:eastAsiaTheme="minorHAnsi" w:cstheme="minorBidi"/>
          <w:kern w:val="0"/>
          <w:sz w:val="24"/>
          <w:szCs w:val="22"/>
          <w:lang w:val="zh-CN" w:eastAsia="zh-CN" w:bidi="ar"/>
        </w:rPr>
        <w:t>以</w:t>
      </w:r>
      <w:r>
        <w:rPr>
          <w:rFonts w:hint="eastAsia" w:asciiTheme="minorHAnsi" w:hAnsiTheme="minorHAnsi" w:eastAsiaTheme="minorHAnsi" w:cstheme="minorBidi"/>
          <w:kern w:val="0"/>
          <w:sz w:val="24"/>
          <w:szCs w:val="22"/>
          <w:lang w:val="en-US" w:eastAsia="zh-CN" w:bidi="ar"/>
        </w:rPr>
        <w:t>人民币</w:t>
      </w:r>
      <w:r>
        <w:rPr>
          <w:rFonts w:hint="eastAsia" w:asciiTheme="minorHAnsi" w:hAnsiTheme="minorHAnsi" w:eastAsiaTheme="minorHAnsi" w:cstheme="minorBidi"/>
          <w:kern w:val="0"/>
          <w:sz w:val="24"/>
          <w:szCs w:val="22"/>
          <w:lang w:val="zh-CN" w:eastAsia="zh-CN" w:bidi="ar"/>
        </w:rPr>
        <w:t>为单位报价</w:t>
      </w:r>
      <w:r>
        <w:rPr>
          <w:rFonts w:hint="eastAsia" w:asciiTheme="minorHAnsi" w:hAnsiTheme="minorHAnsi" w:eastAsiaTheme="minorHAnsi" w:cstheme="minorBidi"/>
          <w:kern w:val="0"/>
          <w:sz w:val="24"/>
          <w:szCs w:val="22"/>
          <w:lang w:val="en-US" w:eastAsia="zh-CN" w:bidi="ar"/>
        </w:rPr>
        <w:t>。</w:t>
      </w:r>
    </w:p>
    <w:p w14:paraId="0D4BF66B">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3.2.3 </w:t>
      </w:r>
      <w:r>
        <w:rPr>
          <w:rFonts w:hint="eastAsia" w:cstheme="minorBidi"/>
          <w:kern w:val="0"/>
          <w:sz w:val="24"/>
          <w:szCs w:val="22"/>
          <w:lang w:val="en-US" w:eastAsia="zh-CN" w:bidi="ar"/>
        </w:rPr>
        <w:t>响应人投标</w:t>
      </w:r>
      <w:r>
        <w:rPr>
          <w:rFonts w:hint="eastAsia" w:asciiTheme="minorHAnsi" w:hAnsiTheme="minorHAnsi" w:eastAsiaTheme="minorHAnsi" w:cstheme="minorBidi"/>
          <w:kern w:val="0"/>
          <w:sz w:val="24"/>
          <w:szCs w:val="22"/>
          <w:lang w:val="en-US" w:eastAsia="zh-CN" w:bidi="ar"/>
        </w:rPr>
        <w:t>报价的其他要求见供应商须知前附表。</w:t>
      </w:r>
    </w:p>
    <w:p w14:paraId="5429DEA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3.3  </w:t>
      </w:r>
      <w:r>
        <w:rPr>
          <w:rFonts w:hint="eastAsia" w:cstheme="minorBidi"/>
          <w:kern w:val="0"/>
          <w:sz w:val="24"/>
          <w:szCs w:val="22"/>
          <w:lang w:val="en-US" w:eastAsia="zh-CN" w:bidi="ar"/>
        </w:rPr>
        <w:t>投标</w:t>
      </w:r>
      <w:r>
        <w:rPr>
          <w:rFonts w:hint="eastAsia" w:asciiTheme="minorHAnsi" w:hAnsiTheme="minorHAnsi" w:eastAsiaTheme="minorHAnsi" w:cstheme="minorBidi"/>
          <w:kern w:val="0"/>
          <w:sz w:val="24"/>
          <w:szCs w:val="22"/>
          <w:lang w:val="en-US" w:eastAsia="zh-CN" w:bidi="ar"/>
        </w:rPr>
        <w:t>有效期</w:t>
      </w:r>
    </w:p>
    <w:p w14:paraId="363411D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3.3.1 </w:t>
      </w:r>
      <w:r>
        <w:rPr>
          <w:rFonts w:hint="eastAsia" w:cstheme="minorBidi"/>
          <w:kern w:val="0"/>
          <w:sz w:val="24"/>
          <w:szCs w:val="22"/>
          <w:lang w:val="en-US" w:eastAsia="zh-CN" w:bidi="ar"/>
        </w:rPr>
        <w:t>投标</w:t>
      </w:r>
      <w:r>
        <w:rPr>
          <w:rFonts w:hint="eastAsia" w:asciiTheme="minorHAnsi" w:hAnsiTheme="minorHAnsi" w:eastAsiaTheme="minorHAnsi" w:cstheme="minorBidi"/>
          <w:kern w:val="0"/>
          <w:sz w:val="24"/>
          <w:szCs w:val="22"/>
          <w:lang w:val="en-US" w:eastAsia="zh-CN" w:bidi="ar"/>
        </w:rPr>
        <w:t>有效期详见供应商须知前附表。</w:t>
      </w:r>
    </w:p>
    <w:p w14:paraId="334A0E95">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3.3.2 在</w:t>
      </w:r>
      <w:r>
        <w:rPr>
          <w:rFonts w:hint="eastAsia" w:cstheme="minorBidi"/>
          <w:kern w:val="0"/>
          <w:sz w:val="24"/>
          <w:szCs w:val="22"/>
          <w:lang w:val="en-US" w:eastAsia="zh-CN" w:bidi="ar"/>
        </w:rPr>
        <w:t>投标</w:t>
      </w:r>
      <w:r>
        <w:rPr>
          <w:rFonts w:hint="eastAsia" w:asciiTheme="minorHAnsi" w:hAnsiTheme="minorHAnsi" w:eastAsiaTheme="minorHAnsi" w:cstheme="minorBidi"/>
          <w:kern w:val="0"/>
          <w:sz w:val="24"/>
          <w:szCs w:val="22"/>
          <w:lang w:val="en-US" w:eastAsia="zh-CN" w:bidi="ar"/>
        </w:rPr>
        <w:t>有效期内，供应商撤销</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文件的，应承担</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文件和法律规定的责任。</w:t>
      </w:r>
    </w:p>
    <w:p w14:paraId="2B19A13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3.3.3 出现特殊情况需要延长</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有效期的，采购人以书面形式通知所有供应商延长</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有效期。供应商应予以书面答复，同意延长的，不得要求或被允许修改其</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文件；供应商拒绝延长的，其</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失效。供应商答复不明确或者逾期未答复的，均视为拒绝延长有效期。</w:t>
      </w:r>
    </w:p>
    <w:p w14:paraId="773663C5">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 3.4 </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保证金</w:t>
      </w:r>
    </w:p>
    <w:p w14:paraId="6BDFFA8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3.4.1.本项目不缴纳</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保证金。</w:t>
      </w:r>
    </w:p>
    <w:p w14:paraId="084BF97F">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31" w:name="_bookmark43"/>
      <w:bookmarkEnd w:id="31"/>
      <w:r>
        <w:rPr>
          <w:rFonts w:hint="eastAsia" w:asciiTheme="minorHAnsi" w:hAnsiTheme="minorHAnsi" w:eastAsiaTheme="minorHAnsi" w:cstheme="minorBidi"/>
          <w:kern w:val="0"/>
          <w:sz w:val="24"/>
          <w:szCs w:val="22"/>
          <w:lang w:val="en-US" w:eastAsia="zh-CN" w:bidi="ar"/>
        </w:rPr>
        <w:t>3.5 资格审查资料</w:t>
      </w:r>
    </w:p>
    <w:p w14:paraId="33DBA2EB">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合格供应商不足3家的，不得评标。</w:t>
      </w:r>
    </w:p>
    <w:p w14:paraId="62912D96">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32" w:name="_bookmark44"/>
      <w:bookmarkEnd w:id="32"/>
      <w:r>
        <w:rPr>
          <w:rFonts w:hint="eastAsia" w:asciiTheme="minorHAnsi" w:hAnsiTheme="minorHAnsi" w:eastAsiaTheme="minorHAnsi" w:cstheme="minorBidi"/>
          <w:kern w:val="0"/>
          <w:sz w:val="24"/>
          <w:szCs w:val="22"/>
          <w:lang w:val="en-US" w:eastAsia="zh-CN" w:bidi="ar"/>
        </w:rPr>
        <w:t>3.6 备选</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方案</w:t>
      </w:r>
    </w:p>
    <w:p w14:paraId="1CC9EAA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3.6.1 除供应商须知前附表规定允许外，供应商不得递交备选</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方案，否则其</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将被否决。</w:t>
      </w:r>
    </w:p>
    <w:p w14:paraId="59873D8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3.6.2 允许供应商递交备选</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方案的，只有中标人所递交的备选</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方案方可予以考虑。评标委员会认为中标人的备选</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方案优于其按照</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文件要求编制的</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方案的，采购人可以接受该备选</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方案。</w:t>
      </w:r>
    </w:p>
    <w:p w14:paraId="1EEFD215">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3.6.3 供应商提供两个或两个以上</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报价，或者在</w:t>
      </w:r>
      <w:r>
        <w:rPr>
          <w:rFonts w:hint="eastAsia" w:cstheme="minorBidi"/>
          <w:kern w:val="0"/>
          <w:sz w:val="24"/>
          <w:szCs w:val="22"/>
          <w:lang w:val="en-US" w:eastAsia="zh-CN" w:bidi="ar"/>
        </w:rPr>
        <w:t>磋商响应</w:t>
      </w:r>
      <w:r>
        <w:rPr>
          <w:rFonts w:hint="eastAsia" w:asciiTheme="minorHAnsi" w:hAnsiTheme="minorHAnsi" w:eastAsiaTheme="minorHAnsi" w:cstheme="minorBidi"/>
          <w:kern w:val="0"/>
          <w:sz w:val="24"/>
          <w:szCs w:val="22"/>
          <w:lang w:val="en-US" w:eastAsia="zh-CN" w:bidi="ar"/>
        </w:rPr>
        <w:t>文件中提供一个报价，但同时提供两个或两个以上供货方案的，视为提供备选方案。</w:t>
      </w:r>
      <w:bookmarkStart w:id="33" w:name="_bookmark45"/>
      <w:bookmarkEnd w:id="33"/>
    </w:p>
    <w:p w14:paraId="550426D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3.7  </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文件的编制</w:t>
      </w:r>
    </w:p>
    <w:p w14:paraId="2E3CFBA4">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3.7.1 </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文件应按第六章“</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文件格式”进行编写，应明确将投标单位企业基本情况、资质情况、人员情况、财务情况、业绩情况编入</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文件，便于进行资格审查及评标打分。如有必要，可以增加附页，作为</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文件的组成部分。其中，</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函附录在满足</w:t>
      </w:r>
      <w:r>
        <w:rPr>
          <w:rFonts w:hint="eastAsia" w:eastAsia="宋体" w:cstheme="minorBidi"/>
          <w:kern w:val="0"/>
          <w:sz w:val="24"/>
          <w:szCs w:val="22"/>
          <w:lang w:val="en-US" w:eastAsia="zh-CN" w:bidi="ar"/>
        </w:rPr>
        <w:t>竞争性</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文件实质性要求的基础上，可以提出比</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文件要求更有利于采购人的承诺。</w:t>
      </w:r>
    </w:p>
    <w:p w14:paraId="051FBFE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3.7.2 </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文件应当对</w:t>
      </w:r>
      <w:r>
        <w:rPr>
          <w:rFonts w:hint="eastAsia" w:eastAsia="宋体" w:cstheme="minorBidi"/>
          <w:kern w:val="0"/>
          <w:sz w:val="24"/>
          <w:szCs w:val="22"/>
          <w:lang w:val="en-US" w:eastAsia="zh-CN" w:bidi="ar"/>
        </w:rPr>
        <w:t>竞争性</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文件有关服务周期、投标有效期、质量要求、服务要求、</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范围等实质性内容做出响应。</w:t>
      </w:r>
    </w:p>
    <w:p w14:paraId="77C2B52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3.8 </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文件的签署</w:t>
      </w:r>
    </w:p>
    <w:p w14:paraId="2A166A89">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（1）电子</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文件必须上传电子评标系统。</w:t>
      </w:r>
    </w:p>
    <w:p w14:paraId="1E992B4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（2）电子</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文件由供应商的法定代表人签字或盖章。</w:t>
      </w:r>
    </w:p>
    <w:p w14:paraId="010698EA">
      <w:pPr>
        <w:pStyle w:val="3"/>
        <w:spacing w:line="240" w:lineRule="auto"/>
        <w:ind w:right="113"/>
        <w:rPr>
          <w:rFonts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4.投标</w:t>
      </w:r>
    </w:p>
    <w:p w14:paraId="69D8CDD5">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4.1 电子</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文件的递交</w:t>
      </w:r>
    </w:p>
    <w:p w14:paraId="4B8AA293">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4.1.1 供应商应在规定的</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截止时间前递交</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w:t>
      </w:r>
    </w:p>
    <w:p w14:paraId="08A505D5">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4.1.2 供应商递交</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文件的地点：见供应商须知前附表。</w:t>
      </w:r>
    </w:p>
    <w:p w14:paraId="1C01F83B">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4.1.3 逾期送达的或者未送达指定地点的</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文件，采购人不予受理。</w:t>
      </w:r>
    </w:p>
    <w:p w14:paraId="2325616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4.1.4 供应商所递交的</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文件不予退还。</w:t>
      </w:r>
    </w:p>
    <w:p w14:paraId="26CDCCEA">
      <w:pPr>
        <w:pStyle w:val="3"/>
        <w:spacing w:line="240" w:lineRule="auto"/>
        <w:rPr>
          <w:rFonts w:ascii="宋体" w:hAnsi="宋体" w:cs="仿宋"/>
          <w:b w:val="0"/>
          <w:bCs w:val="0"/>
          <w:color w:val="auto"/>
          <w:sz w:val="21"/>
          <w:szCs w:val="21"/>
          <w:highlight w:val="none"/>
          <w:lang w:eastAsia="zh-CN"/>
        </w:rPr>
      </w:pPr>
      <w:r>
        <w:rPr>
          <w:rFonts w:hint="eastAsia" w:ascii="宋体" w:hAnsi="宋体" w:cs="仿宋"/>
          <w:color w:val="auto"/>
          <w:sz w:val="21"/>
          <w:szCs w:val="21"/>
          <w:highlight w:val="none"/>
          <w:lang w:eastAsia="zh-CN"/>
        </w:rPr>
        <w:t>5. 开标</w:t>
      </w:r>
    </w:p>
    <w:p w14:paraId="6466CE88">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34" w:name="_bookmark51"/>
      <w:bookmarkEnd w:id="34"/>
      <w:r>
        <w:rPr>
          <w:rFonts w:hint="eastAsia" w:asciiTheme="minorHAnsi" w:hAnsiTheme="minorHAnsi" w:eastAsiaTheme="minorHAnsi" w:cstheme="minorBidi"/>
          <w:kern w:val="0"/>
          <w:sz w:val="24"/>
          <w:szCs w:val="22"/>
          <w:lang w:val="en-US" w:eastAsia="zh-CN" w:bidi="ar"/>
        </w:rPr>
        <w:t>5.1采购人按本须知前附表所规定的时间和地点公开开标，并邀请所有投标供应商参加。开标会议由招标代理机构主持，在有关部门监督下进行。</w:t>
      </w:r>
    </w:p>
    <w:p w14:paraId="4A627346">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5.2开标程序：</w:t>
      </w:r>
    </w:p>
    <w:p w14:paraId="3851A477">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5.2.1开标由招标代理机构主持；</w:t>
      </w:r>
    </w:p>
    <w:p w14:paraId="141124BC">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5.2.2宣布开标会议纪律；</w:t>
      </w:r>
    </w:p>
    <w:p w14:paraId="4C3698FD">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5.2.3由监督单位代表人员检查其投标文件的上传情况；</w:t>
      </w:r>
    </w:p>
    <w:p w14:paraId="307FD919">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5.2.4开标时，电子招标投标交易平台自动提取所有</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文件，按时在线解密。解密全部完成后，向所有投标供应商公布投标供应商名称、</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价格和</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文件规定的其他内容。</w:t>
      </w:r>
    </w:p>
    <w:p w14:paraId="0DD08647">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5.2.5采购人在</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文件要求提交</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文件的截止时间前收到的</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文件，开标时都应当众予以解密、宣读。</w:t>
      </w:r>
    </w:p>
    <w:p w14:paraId="2B8D4BF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5.3采购人对开标过程进行记录，并存档备查。</w:t>
      </w:r>
    </w:p>
    <w:p w14:paraId="0EDC66C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5.4</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文件的有效性</w:t>
      </w:r>
    </w:p>
    <w:p w14:paraId="64615FF0">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5.4.1</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文件有下列情形之一的为无效</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文件，采购人不予受理：</w:t>
      </w:r>
    </w:p>
    <w:p w14:paraId="644E1EFD">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1)逾期上传的；</w:t>
      </w:r>
    </w:p>
    <w:p w14:paraId="6045252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2)因投标供应商原因造成</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文件未解密的，视为撤销其</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文件；因投标供应商之外的原因造成</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文件未解密的，视为撤回其</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文件，投标供应商有权要求责任方赔偿因此遭受的直接损失。部分</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文件未解密的，其他</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文件的开标可以继续进行。</w:t>
      </w:r>
    </w:p>
    <w:p w14:paraId="0DD15837">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5.4.2若</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文件解密后，有效电子投标文件不足三家的，本项目应予废标。</w:t>
      </w:r>
    </w:p>
    <w:p w14:paraId="2D35BC3C">
      <w:pPr>
        <w:spacing w:line="360" w:lineRule="auto"/>
        <w:ind w:firstLine="410" w:firstLineChars="171"/>
        <w:rPr>
          <w:rFonts w:ascii="宋体" w:hAnsi="宋体" w:cs="宋体"/>
          <w:color w:val="auto"/>
          <w:sz w:val="21"/>
          <w:szCs w:val="21"/>
          <w:highlight w:val="none"/>
          <w:shd w:val="clear" w:color="auto" w:fill="FFFFFF"/>
          <w:lang w:bidi="ar"/>
        </w:rPr>
      </w:pPr>
      <w:r>
        <w:rPr>
          <w:rFonts w:hint="eastAsia" w:asciiTheme="minorHAnsi" w:hAnsiTheme="minorHAnsi" w:eastAsiaTheme="minorHAnsi" w:cstheme="minorBidi"/>
          <w:kern w:val="0"/>
          <w:sz w:val="24"/>
          <w:szCs w:val="22"/>
          <w:lang w:val="en-US" w:eastAsia="zh-CN" w:bidi="ar"/>
        </w:rPr>
        <w:t>5.4.3采购人将有效</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文件，送评标委员会进行评审、比较。</w:t>
      </w:r>
    </w:p>
    <w:p w14:paraId="3AE4589D">
      <w:pPr>
        <w:pStyle w:val="3"/>
        <w:spacing w:before="155" w:line="240" w:lineRule="auto"/>
        <w:ind w:right="113"/>
        <w:rPr>
          <w:color w:val="auto"/>
          <w:sz w:val="21"/>
          <w:szCs w:val="21"/>
          <w:highlight w:val="none"/>
          <w:lang w:eastAsia="zh-CN"/>
        </w:rPr>
      </w:pPr>
      <w:r>
        <w:rPr>
          <w:rFonts w:hint="eastAsia" w:ascii="宋体" w:hAnsi="宋体" w:cs="仿宋"/>
          <w:color w:val="auto"/>
          <w:sz w:val="21"/>
          <w:szCs w:val="21"/>
          <w:highlight w:val="none"/>
          <w:lang w:eastAsia="zh-CN"/>
        </w:rPr>
        <w:t>6. 评标</w:t>
      </w:r>
      <w:r>
        <w:rPr>
          <w:rFonts w:hint="eastAsia"/>
          <w:color w:val="auto"/>
          <w:sz w:val="21"/>
          <w:szCs w:val="21"/>
          <w:highlight w:val="none"/>
          <w:lang w:eastAsia="zh-CN"/>
        </w:rPr>
        <w:t>（本项目为电子评标）</w:t>
      </w:r>
    </w:p>
    <w:p w14:paraId="1341C004">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35" w:name="_bookmark56"/>
      <w:bookmarkEnd w:id="35"/>
      <w:r>
        <w:rPr>
          <w:rFonts w:hint="eastAsia" w:asciiTheme="minorHAnsi" w:hAnsiTheme="minorHAnsi" w:eastAsiaTheme="minorHAnsi" w:cstheme="minorBidi"/>
          <w:kern w:val="0"/>
          <w:sz w:val="24"/>
          <w:szCs w:val="22"/>
          <w:lang w:val="en-US" w:eastAsia="zh-CN" w:bidi="ar"/>
        </w:rPr>
        <w:t>6.1 评标委员会</w:t>
      </w:r>
    </w:p>
    <w:p w14:paraId="4E8771A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6.1.1 评标由采购人依法组建的评标委员会负责。评标委员会由采购人熟悉相关业务的代表，以及有关技术、经济等方面的专家组成。评标委员会成员人数以及技术、经济等方面专家的确定方式见供应商须知前附表。</w:t>
      </w:r>
    </w:p>
    <w:p w14:paraId="429D3B4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6.1.2 评标委员会成员有下列情形之一的，应当回避：</w:t>
      </w:r>
    </w:p>
    <w:p w14:paraId="0066BF44">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（1）采购人或供应商的主要负责人的近亲属；</w:t>
      </w:r>
    </w:p>
    <w:p w14:paraId="5AE36F8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（2）项目主管部门或者行政监督部门的人员；</w:t>
      </w:r>
    </w:p>
    <w:p w14:paraId="5140D14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（3）与供应商有经济利益关系，可能影响对投标公正评审的；</w:t>
      </w:r>
    </w:p>
    <w:p w14:paraId="03943ECB">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（4）曾因在</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、评标以及其他与</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投标有关活动中从事违法行为而受过行政处罚或刑事处罚的。</w:t>
      </w:r>
    </w:p>
    <w:p w14:paraId="2D220797">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（5）与供应商有其他利害关系。</w:t>
      </w:r>
    </w:p>
    <w:p w14:paraId="1ED08F0C">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6.1.3 评标过程中，评标委员会成员有回避事由、擅离职守或者因健康等原因不能继续评标 的，采购人有权更换。被更换的评标委员会成员作出的评审结论无效，由更换后的评标委员会 成员重新进行评审。</w:t>
      </w:r>
    </w:p>
    <w:p w14:paraId="2EBAE0C4">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36" w:name="_bookmark57"/>
      <w:bookmarkEnd w:id="36"/>
      <w:r>
        <w:rPr>
          <w:rFonts w:hint="eastAsia" w:asciiTheme="minorHAnsi" w:hAnsiTheme="minorHAnsi" w:eastAsiaTheme="minorHAnsi" w:cstheme="minorBidi"/>
          <w:kern w:val="0"/>
          <w:sz w:val="24"/>
          <w:szCs w:val="22"/>
          <w:lang w:val="en-US" w:eastAsia="zh-CN" w:bidi="ar"/>
        </w:rPr>
        <w:t>6.2 评标原则</w:t>
      </w:r>
    </w:p>
    <w:p w14:paraId="63AEEE8D">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评标活动遵循公平、公正、科学和择优的原则，严格按照法律法规和招标文件规定的评标方法和评分标准评审。</w:t>
      </w:r>
    </w:p>
    <w:p w14:paraId="1265E69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6.3</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文件的初步评审</w:t>
      </w:r>
    </w:p>
    <w:p w14:paraId="605D2DD5">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开标后，经采购人查验投标人电子</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文件上传资料扫描件进行资格审查，符合资格审查要求有关规定的有效的投标人，其投标文件才能由评标委员会进行评审。</w:t>
      </w:r>
    </w:p>
    <w:p w14:paraId="36153444">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6.4评标</w:t>
      </w:r>
    </w:p>
    <w:p w14:paraId="59DFA66A">
      <w:pPr>
        <w:spacing w:line="360" w:lineRule="auto"/>
        <w:ind w:firstLine="410" w:firstLineChars="171"/>
        <w:rPr>
          <w:rFonts w:ascii="宋体" w:hAnsi="宋体"/>
          <w:color w:val="auto"/>
          <w:sz w:val="21"/>
          <w:szCs w:val="21"/>
          <w:highlight w:val="none"/>
        </w:rPr>
      </w:pPr>
      <w:r>
        <w:rPr>
          <w:rFonts w:hint="eastAsia" w:asciiTheme="minorHAnsi" w:hAnsiTheme="minorHAnsi" w:eastAsiaTheme="minorHAnsi" w:cstheme="minorBidi"/>
          <w:kern w:val="0"/>
          <w:sz w:val="24"/>
          <w:szCs w:val="22"/>
          <w:lang w:val="en-US" w:eastAsia="zh-CN" w:bidi="ar"/>
        </w:rPr>
        <w:t>评标委员会按照第四章“评标办法”规定的方法、评审因素、标准和程序对供应商资格及</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文件进行评审。第三章“评标办法”没有规定的方法、评审因素和标准，不作为评标依据。</w:t>
      </w:r>
    </w:p>
    <w:p w14:paraId="53CEC491">
      <w:pPr>
        <w:pStyle w:val="3"/>
        <w:spacing w:before="155" w:line="240" w:lineRule="auto"/>
        <w:ind w:right="113"/>
        <w:rPr>
          <w:rFonts w:ascii="宋体" w:hAnsi="宋体" w:cs="仿宋"/>
          <w:color w:val="auto"/>
          <w:sz w:val="21"/>
          <w:szCs w:val="21"/>
          <w:highlight w:val="none"/>
          <w:lang w:eastAsia="zh-CN"/>
        </w:rPr>
      </w:pPr>
      <w:r>
        <w:rPr>
          <w:rFonts w:hint="eastAsia" w:ascii="宋体" w:hAnsi="宋体" w:cs="仿宋"/>
          <w:color w:val="auto"/>
          <w:sz w:val="21"/>
          <w:szCs w:val="21"/>
          <w:highlight w:val="none"/>
          <w:lang w:eastAsia="zh-CN"/>
        </w:rPr>
        <w:t>7.  合同授予</w:t>
      </w:r>
      <w:bookmarkStart w:id="37" w:name="_bookmark60"/>
      <w:bookmarkEnd w:id="37"/>
    </w:p>
    <w:p w14:paraId="328A432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7.1  中标公告</w:t>
      </w:r>
    </w:p>
    <w:p w14:paraId="61D696A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采购人确认中标人后，按照供应商须知前附表规定的公告媒介发布中标结果公告，公示期1个工作日。</w:t>
      </w:r>
      <w:bookmarkStart w:id="38" w:name="_bookmark61"/>
      <w:bookmarkEnd w:id="38"/>
    </w:p>
    <w:p w14:paraId="6277A8D3">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39" w:name="_bookmark67"/>
      <w:bookmarkEnd w:id="39"/>
      <w:r>
        <w:rPr>
          <w:rFonts w:hint="eastAsia" w:asciiTheme="minorHAnsi" w:hAnsiTheme="minorHAnsi" w:eastAsiaTheme="minorHAnsi" w:cstheme="minorBidi"/>
          <w:kern w:val="0"/>
          <w:sz w:val="24"/>
          <w:szCs w:val="22"/>
          <w:lang w:val="en-US" w:eastAsia="zh-CN" w:bidi="ar"/>
        </w:rPr>
        <w:t>7.2  中标候选人履约能力审查</w:t>
      </w:r>
    </w:p>
    <w:p w14:paraId="50ED651B">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中标候选人的经营、财务状况发生较大变化或存在违法行为，采购人认为可能影响其履约能力的，将在发出中标通知书前提请原评标委员会按照</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文件规定的标准和方法进行审查确认。</w:t>
      </w:r>
      <w:bookmarkStart w:id="40" w:name="_bookmark63"/>
      <w:bookmarkEnd w:id="40"/>
    </w:p>
    <w:p w14:paraId="4C1D6EDC">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7.3 定标</w:t>
      </w:r>
    </w:p>
    <w:p w14:paraId="79EA537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7.3.1采购人应当自收到评标报告之日起2个工作日内，在评标报告确定的中标候选人名单中按顺序确定中标人。确定排名第一的中标候选人为中标供应商。当确定中标的中标候选人放弃中标或因不可抗力提出不能履行合同的，采购人可以按序确定排名第二的中标候选人为中标供应商，以此类推。</w:t>
      </w:r>
    </w:p>
    <w:p w14:paraId="453B486C">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中标候选人并列的，由采购人或者采购人委托评标委员会按照招标文件规定的方式确定中标人；招标文件未规定的，采取随机抽取的方式确定。</w:t>
      </w:r>
    </w:p>
    <w:p w14:paraId="2D42794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7.3.2采购人在收到评标报告2个工作日内未按评标报告推荐的中标候选人顺序确定中标人，又不能说明合法理由的，视同按评标报告推荐的顺序确定排名第一的中标候选人为中标人。</w:t>
      </w:r>
    </w:p>
    <w:p w14:paraId="20CBF19C">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7.3.3按照供应商须知前附表的规定，采购人或采购人授权的评标委员会依法确定中标人。</w:t>
      </w:r>
    </w:p>
    <w:p w14:paraId="66587AB0">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7.3.4采购人不承诺将合同授予报价最低的或最高的中标候选人。</w:t>
      </w:r>
    </w:p>
    <w:p w14:paraId="11D7373E">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41" w:name="_bookmark64"/>
      <w:bookmarkEnd w:id="41"/>
      <w:bookmarkStart w:id="42" w:name="_bookmark65"/>
      <w:bookmarkEnd w:id="42"/>
      <w:r>
        <w:rPr>
          <w:rFonts w:hint="eastAsia" w:asciiTheme="minorHAnsi" w:hAnsiTheme="minorHAnsi" w:eastAsiaTheme="minorHAnsi" w:cstheme="minorBidi"/>
          <w:kern w:val="0"/>
          <w:sz w:val="24"/>
          <w:szCs w:val="22"/>
          <w:lang w:val="en-US" w:eastAsia="zh-CN" w:bidi="ar"/>
        </w:rPr>
        <w:t>7.4 中标通知书</w:t>
      </w:r>
    </w:p>
    <w:p w14:paraId="3E5EE4F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采购人或者采购代理机构应当向中标人发出中标通知书，对未中标的供应商，不做任何未中标原因的解释。所有投标文件不予退还。</w:t>
      </w:r>
    </w:p>
    <w:p w14:paraId="4E83817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7.5 履约保证金</w:t>
      </w:r>
    </w:p>
    <w:p w14:paraId="3CC1469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7.5.1  详见供应商须知前附表。</w:t>
      </w:r>
    </w:p>
    <w:p w14:paraId="01A119C9">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43" w:name="_bookmark66"/>
      <w:bookmarkEnd w:id="43"/>
      <w:r>
        <w:rPr>
          <w:rFonts w:hint="eastAsia" w:asciiTheme="minorHAnsi" w:hAnsiTheme="minorHAnsi" w:eastAsiaTheme="minorHAnsi" w:cstheme="minorBidi"/>
          <w:kern w:val="0"/>
          <w:sz w:val="24"/>
          <w:szCs w:val="22"/>
          <w:lang w:val="en-US" w:eastAsia="zh-CN" w:bidi="ar"/>
        </w:rPr>
        <w:t>7.6 签订合同</w:t>
      </w:r>
    </w:p>
    <w:p w14:paraId="7F04BA64">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7.6.1 采购人与中标供应商将于中标通知书发出之日起1个工作日内，按照</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文件及中标供应商的</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订立书面合同，中标人无正当理由拒签合同，在签订合同时向采购人提出附加条件，采购人有权取消其中标资格，并按采购人要求予以赔偿。采购人和中标供应商不得再行订立背离合同实质性内容的其他协议。</w:t>
      </w:r>
    </w:p>
    <w:p w14:paraId="3393553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7.6.2 发出中标通知书后，采购人无正当理由拒签合同，或者在签订合同时向中标人提出附加条件的，给中标人造成损失的，还应当赔偿损失。</w:t>
      </w:r>
    </w:p>
    <w:p w14:paraId="3BF164F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7.6.3 采购人与中标供应商签订合同后1个工作日内在河南省政府采购系统发布合同公告并进行网上备案。</w:t>
      </w:r>
    </w:p>
    <w:p w14:paraId="34D16F48">
      <w:pPr>
        <w:pStyle w:val="3"/>
        <w:spacing w:line="240" w:lineRule="auto"/>
        <w:rPr>
          <w:rFonts w:ascii="宋体" w:hAnsi="宋体" w:cs="仿宋"/>
          <w:b w:val="0"/>
          <w:bCs w:val="0"/>
          <w:color w:val="auto"/>
          <w:sz w:val="21"/>
          <w:szCs w:val="21"/>
          <w:highlight w:val="none"/>
          <w:lang w:eastAsia="zh-CN"/>
        </w:rPr>
      </w:pPr>
      <w:r>
        <w:rPr>
          <w:rFonts w:hint="eastAsia" w:ascii="宋体" w:hAnsi="宋体" w:cs="仿宋"/>
          <w:color w:val="auto"/>
          <w:sz w:val="21"/>
          <w:szCs w:val="21"/>
          <w:highlight w:val="none"/>
          <w:lang w:eastAsia="zh-CN"/>
        </w:rPr>
        <w:t>8.纪律和监督</w:t>
      </w:r>
    </w:p>
    <w:p w14:paraId="06F3E231">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44" w:name="_bookmark68"/>
      <w:bookmarkEnd w:id="44"/>
      <w:r>
        <w:rPr>
          <w:rFonts w:hint="eastAsia" w:asciiTheme="minorHAnsi" w:hAnsiTheme="minorHAnsi" w:eastAsiaTheme="minorHAnsi" w:cstheme="minorBidi"/>
          <w:kern w:val="0"/>
          <w:sz w:val="24"/>
          <w:szCs w:val="22"/>
          <w:lang w:val="en-US" w:eastAsia="zh-CN" w:bidi="ar"/>
        </w:rPr>
        <w:t>8.1对采购人的纪律要求</w:t>
      </w:r>
    </w:p>
    <w:p w14:paraId="76474154">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采购人不得泄露</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投标活动中应当保密的情况和资料，不得与供应商串通损害国家利益、社会公共利益或者他人合法权益。</w:t>
      </w:r>
      <w:bookmarkStart w:id="45" w:name="_bookmark69"/>
      <w:bookmarkEnd w:id="45"/>
    </w:p>
    <w:p w14:paraId="610BDDE6">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 8.2 对供应商的纪律要求</w:t>
      </w:r>
    </w:p>
    <w:p w14:paraId="2A3808F0">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（1）供应商不得相互串通投标或者与采购人串通投标，</w:t>
      </w:r>
    </w:p>
    <w:p w14:paraId="5099CBB5">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（2）不得向采购人或者评标委员会成员行贿谋取中标，</w:t>
      </w:r>
    </w:p>
    <w:p w14:paraId="6FA9810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（3）不得以他人名义投标或者以其他方式弄虚作假骗取中标，</w:t>
      </w:r>
    </w:p>
    <w:p w14:paraId="1027D8A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（4）不得恶意低价抢标；</w:t>
      </w:r>
    </w:p>
    <w:p w14:paraId="46AA58C7">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（5）供应商不得以任何方式干 扰、影响评标工作。</w:t>
      </w:r>
    </w:p>
    <w:p w14:paraId="5EA6216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（6）不得向采购人提出不合理的要求作为签订合同的条件；</w:t>
      </w:r>
    </w:p>
    <w:p w14:paraId="7667097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（7）不得无正当理由放弃中标或中标后拒绝与采购人签订合同；</w:t>
      </w:r>
    </w:p>
    <w:p w14:paraId="04E4240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（8）不得恶意诋毁其他供应商、采购人或采购代理机构；</w:t>
      </w:r>
    </w:p>
    <w:p w14:paraId="7E277574">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 xml:space="preserve">（9）在参与政府采购活动中，不得有其他违法违规行为。 </w:t>
      </w:r>
    </w:p>
    <w:p w14:paraId="3DE7C08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8.3对评标委员会成员的纪律要求</w:t>
      </w:r>
    </w:p>
    <w:p w14:paraId="4468E83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评标委员会成员不得收受他人的财物或者其他好处，不得向他人透露对投标文件的评审和比较、中标候选人的推荐情况以及评标有关的其他情况。在评标活动中，评标委员会成员应当 客观、公正地履行职责，遵守职业道德，不得擅离职守，影响评标程序正常进行，不得使用第三章“评标办法”没有规定的评审因素和标准进行评标。</w:t>
      </w:r>
    </w:p>
    <w:p w14:paraId="7BD46E99">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（1）确定参与评标至评标结束前，不得私自接触供应商；</w:t>
      </w:r>
    </w:p>
    <w:p w14:paraId="5ABA642D">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（2）不得接受供应商提出的与投标文件不一致的澄清和说明；</w:t>
      </w:r>
    </w:p>
    <w:p w14:paraId="4FA40813">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（3）不得征询采购人的倾向性意见；</w:t>
      </w:r>
    </w:p>
    <w:p w14:paraId="0A60BB8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w:t>
      </w:r>
      <w:r>
        <w:rPr>
          <w:rFonts w:hint="eastAsia" w:cstheme="minorBidi"/>
          <w:kern w:val="0"/>
          <w:sz w:val="24"/>
          <w:szCs w:val="22"/>
          <w:lang w:val="en-US" w:eastAsia="zh-CN" w:bidi="ar"/>
        </w:rPr>
        <w:t>3</w:t>
      </w:r>
      <w:r>
        <w:rPr>
          <w:rFonts w:hint="eastAsia" w:asciiTheme="minorHAnsi" w:hAnsiTheme="minorHAnsi" w:eastAsiaTheme="minorHAnsi" w:cstheme="minorBidi"/>
          <w:kern w:val="0"/>
          <w:sz w:val="24"/>
          <w:szCs w:val="22"/>
          <w:lang w:val="en-US" w:eastAsia="zh-CN" w:bidi="ar"/>
        </w:rPr>
        <w:t>）不得对主观评审因素协商评分；</w:t>
      </w:r>
    </w:p>
    <w:p w14:paraId="37A828C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w:t>
      </w:r>
      <w:r>
        <w:rPr>
          <w:rFonts w:hint="eastAsia" w:cstheme="minorBidi"/>
          <w:kern w:val="0"/>
          <w:sz w:val="24"/>
          <w:szCs w:val="22"/>
          <w:lang w:val="en-US" w:eastAsia="zh-CN" w:bidi="ar"/>
        </w:rPr>
        <w:t>4</w:t>
      </w:r>
      <w:r>
        <w:rPr>
          <w:rFonts w:hint="eastAsia" w:asciiTheme="minorHAnsi" w:hAnsiTheme="minorHAnsi" w:eastAsiaTheme="minorHAnsi" w:cstheme="minorBidi"/>
          <w:kern w:val="0"/>
          <w:sz w:val="24"/>
          <w:szCs w:val="22"/>
          <w:lang w:val="en-US" w:eastAsia="zh-CN" w:bidi="ar"/>
        </w:rPr>
        <w:t>）不得对客观评审因素评分不一致；</w:t>
      </w:r>
    </w:p>
    <w:p w14:paraId="08DA4255">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w:t>
      </w:r>
      <w:r>
        <w:rPr>
          <w:rFonts w:hint="eastAsia" w:cstheme="minorBidi"/>
          <w:kern w:val="0"/>
          <w:sz w:val="24"/>
          <w:szCs w:val="22"/>
          <w:lang w:val="en-US" w:eastAsia="zh-CN" w:bidi="ar"/>
        </w:rPr>
        <w:t>5</w:t>
      </w:r>
      <w:r>
        <w:rPr>
          <w:rFonts w:hint="eastAsia" w:asciiTheme="minorHAnsi" w:hAnsiTheme="minorHAnsi" w:eastAsiaTheme="minorHAnsi" w:cstheme="minorBidi"/>
          <w:kern w:val="0"/>
          <w:sz w:val="24"/>
          <w:szCs w:val="22"/>
          <w:lang w:val="en-US" w:eastAsia="zh-CN" w:bidi="ar"/>
        </w:rPr>
        <w:t>）评标委员会成员不得接受供应商、采购人和采购代理机构等他人的贿赂或者其他不正当利益；</w:t>
      </w:r>
    </w:p>
    <w:p w14:paraId="4EA9CCA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w:t>
      </w:r>
      <w:r>
        <w:rPr>
          <w:rFonts w:hint="eastAsia" w:cstheme="minorBidi"/>
          <w:kern w:val="0"/>
          <w:sz w:val="24"/>
          <w:szCs w:val="22"/>
          <w:lang w:val="en-US" w:eastAsia="zh-CN" w:bidi="ar"/>
        </w:rPr>
        <w:t>6</w:t>
      </w:r>
      <w:r>
        <w:rPr>
          <w:rFonts w:hint="eastAsia" w:asciiTheme="minorHAnsi" w:hAnsiTheme="minorHAnsi" w:eastAsiaTheme="minorHAnsi" w:cstheme="minorBidi"/>
          <w:kern w:val="0"/>
          <w:sz w:val="24"/>
          <w:szCs w:val="22"/>
          <w:lang w:val="en-US" w:eastAsia="zh-CN" w:bidi="ar"/>
        </w:rPr>
        <w:t>）不得以不合理的条件对供应商实行差别待遇或者歧视待遇，排斥其他供应商公平参与竞争；</w:t>
      </w:r>
    </w:p>
    <w:p w14:paraId="5013C9D9">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w:t>
      </w:r>
      <w:r>
        <w:rPr>
          <w:rFonts w:hint="eastAsia" w:cstheme="minorBidi"/>
          <w:kern w:val="0"/>
          <w:sz w:val="24"/>
          <w:szCs w:val="22"/>
          <w:lang w:val="en-US" w:eastAsia="zh-CN" w:bidi="ar"/>
        </w:rPr>
        <w:t>7</w:t>
      </w:r>
      <w:r>
        <w:rPr>
          <w:rFonts w:hint="eastAsia" w:asciiTheme="minorHAnsi" w:hAnsiTheme="minorHAnsi" w:eastAsiaTheme="minorHAnsi" w:cstheme="minorBidi"/>
          <w:kern w:val="0"/>
          <w:sz w:val="24"/>
          <w:szCs w:val="22"/>
          <w:lang w:val="en-US" w:eastAsia="zh-CN" w:bidi="ar"/>
        </w:rPr>
        <w:t>）不得诱导、干预或影响其他评标专家依法依规独立评标；</w:t>
      </w:r>
    </w:p>
    <w:p w14:paraId="33F22AF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w:t>
      </w:r>
      <w:r>
        <w:rPr>
          <w:rFonts w:hint="eastAsia" w:cstheme="minorBidi"/>
          <w:kern w:val="0"/>
          <w:sz w:val="24"/>
          <w:szCs w:val="22"/>
          <w:lang w:val="en-US" w:eastAsia="zh-CN" w:bidi="ar"/>
        </w:rPr>
        <w:t>8</w:t>
      </w:r>
      <w:r>
        <w:rPr>
          <w:rFonts w:hint="eastAsia" w:asciiTheme="minorHAnsi" w:hAnsiTheme="minorHAnsi" w:eastAsiaTheme="minorHAnsi" w:cstheme="minorBidi"/>
          <w:kern w:val="0"/>
          <w:sz w:val="24"/>
          <w:szCs w:val="22"/>
          <w:lang w:val="en-US" w:eastAsia="zh-CN" w:bidi="ar"/>
        </w:rPr>
        <w:t>）在评标活动中，评标委员会成员不得擅离职守，影响评标工作正常进行；</w:t>
      </w:r>
    </w:p>
    <w:p w14:paraId="7B30C3CF">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w:t>
      </w:r>
      <w:r>
        <w:rPr>
          <w:rFonts w:hint="eastAsia" w:cstheme="minorBidi"/>
          <w:kern w:val="0"/>
          <w:sz w:val="24"/>
          <w:szCs w:val="22"/>
          <w:lang w:val="en-US" w:eastAsia="zh-CN" w:bidi="ar"/>
        </w:rPr>
        <w:t>9</w:t>
      </w:r>
      <w:r>
        <w:rPr>
          <w:rFonts w:hint="eastAsia" w:asciiTheme="minorHAnsi" w:hAnsiTheme="minorHAnsi" w:eastAsiaTheme="minorHAnsi" w:cstheme="minorBidi"/>
          <w:kern w:val="0"/>
          <w:sz w:val="24"/>
          <w:szCs w:val="22"/>
          <w:lang w:val="en-US" w:eastAsia="zh-CN" w:bidi="ar"/>
        </w:rPr>
        <w:t>）不得记录、复制或带走任何评标资料；</w:t>
      </w:r>
    </w:p>
    <w:p w14:paraId="66F4106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w:t>
      </w:r>
      <w:r>
        <w:rPr>
          <w:rFonts w:hint="eastAsia" w:cstheme="minorBidi"/>
          <w:kern w:val="0"/>
          <w:sz w:val="24"/>
          <w:szCs w:val="22"/>
          <w:lang w:val="en-US" w:eastAsia="zh-CN" w:bidi="ar"/>
        </w:rPr>
        <w:t>0</w:t>
      </w:r>
      <w:r>
        <w:rPr>
          <w:rFonts w:hint="eastAsia" w:asciiTheme="minorHAnsi" w:hAnsiTheme="minorHAnsi" w:eastAsiaTheme="minorHAnsi" w:cstheme="minorBidi"/>
          <w:kern w:val="0"/>
          <w:sz w:val="24"/>
          <w:szCs w:val="22"/>
          <w:lang w:val="en-US" w:eastAsia="zh-CN" w:bidi="ar"/>
        </w:rPr>
        <w:t>）不得泄露评标过程中获悉的对投标文件的评审和比较、中标候选人的推荐情况以及与评标有关的应当保密的情况和资料；</w:t>
      </w:r>
    </w:p>
    <w:p w14:paraId="14DF7E4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w:t>
      </w:r>
      <w:r>
        <w:rPr>
          <w:rFonts w:hint="eastAsia" w:cstheme="minorBidi"/>
          <w:kern w:val="0"/>
          <w:sz w:val="24"/>
          <w:szCs w:val="22"/>
          <w:lang w:val="en-US" w:eastAsia="zh-CN" w:bidi="ar"/>
        </w:rPr>
        <w:t>1</w:t>
      </w:r>
      <w:r>
        <w:rPr>
          <w:rFonts w:hint="eastAsia" w:asciiTheme="minorHAnsi" w:hAnsiTheme="minorHAnsi" w:eastAsiaTheme="minorHAnsi" w:cstheme="minorBidi"/>
          <w:kern w:val="0"/>
          <w:sz w:val="24"/>
          <w:szCs w:val="22"/>
          <w:lang w:val="en-US" w:eastAsia="zh-CN" w:bidi="ar"/>
        </w:rPr>
        <w:t>）评标委员会成员与供应商存在利害关系应当回避；</w:t>
      </w:r>
    </w:p>
    <w:p w14:paraId="67CCB63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w:t>
      </w:r>
      <w:r>
        <w:rPr>
          <w:rFonts w:hint="eastAsia" w:cstheme="minorBidi"/>
          <w:kern w:val="0"/>
          <w:sz w:val="24"/>
          <w:szCs w:val="22"/>
          <w:lang w:val="en-US" w:eastAsia="zh-CN" w:bidi="ar"/>
        </w:rPr>
        <w:t>2</w:t>
      </w:r>
      <w:r>
        <w:rPr>
          <w:rFonts w:hint="eastAsia" w:asciiTheme="minorHAnsi" w:hAnsiTheme="minorHAnsi" w:eastAsiaTheme="minorHAnsi" w:cstheme="minorBidi"/>
          <w:kern w:val="0"/>
          <w:sz w:val="24"/>
          <w:szCs w:val="22"/>
          <w:lang w:val="en-US" w:eastAsia="zh-CN" w:bidi="ar"/>
        </w:rPr>
        <w:t xml:space="preserve">）在参与政府采购评标活动中，不得有其他违法违规行为。 </w:t>
      </w:r>
      <w:bookmarkStart w:id="46" w:name="_bookmark71"/>
      <w:bookmarkEnd w:id="46"/>
    </w:p>
    <w:p w14:paraId="0FA85E6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8.4 对与评标活动有关的工作人员的纪律要求</w:t>
      </w:r>
    </w:p>
    <w:p w14:paraId="1924B648">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与评标活动有关的工作人员不得收受他人的财物或者其他好处，不得向他人透露对投标文 件的评审和比较、中标候选人的推荐情况以及评标有关的其他情况。在评标活动中，与评标活动有关的工作人员不得擅离职守，影响评标程序正常进行,与供应商有利害关系的应当回避,在参与或服务政府采购活动中，不得有其他违法违规行为。</w:t>
      </w:r>
    </w:p>
    <w:p w14:paraId="157A0443">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47" w:name="_bookmark72"/>
      <w:bookmarkEnd w:id="47"/>
      <w:r>
        <w:rPr>
          <w:rFonts w:hint="eastAsia" w:asciiTheme="minorHAnsi" w:hAnsiTheme="minorHAnsi" w:eastAsiaTheme="minorHAnsi" w:cstheme="minorBidi"/>
          <w:kern w:val="0"/>
          <w:sz w:val="24"/>
          <w:szCs w:val="22"/>
          <w:lang w:val="en-US" w:eastAsia="zh-CN" w:bidi="ar"/>
        </w:rPr>
        <w:t>8.5 质疑和投诉</w:t>
      </w:r>
    </w:p>
    <w:p w14:paraId="6416A55E">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8.5.1供应商认为本次</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活动的</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文件、采购过程和中标结果使自己的权益受到损害的，有权按规定的程序在知道或应知其权益受到损害之日起7个工作日内实名向采购人、采购代理机构提出书面质疑；</w:t>
      </w:r>
    </w:p>
    <w:p w14:paraId="0B54020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8.5.2对采购人、采购代理机构的答复不满意或者采购人、采购代理机构未在规定的时间内作出答复的，可</w:t>
      </w:r>
      <w:r>
        <w:rPr>
          <w:rFonts w:hint="eastAsia" w:asciiTheme="minorHAnsi" w:hAnsiTheme="minorHAnsi" w:eastAsiaTheme="minorHAnsi" w:cstheme="minorBidi"/>
          <w:color w:val="000000" w:themeColor="text1"/>
          <w:kern w:val="0"/>
          <w:sz w:val="24"/>
          <w:szCs w:val="22"/>
          <w:lang w:val="en-US" w:eastAsia="zh-CN" w:bidi="ar"/>
          <w14:textFill>
            <w14:solidFill>
              <w14:schemeClr w14:val="tx1"/>
            </w14:solidFill>
          </w14:textFill>
        </w:rPr>
        <w:t>以在答复期满后 15 个工作日内实名向（项</w:t>
      </w:r>
      <w:r>
        <w:rPr>
          <w:rFonts w:hint="eastAsia" w:asciiTheme="minorHAnsi" w:hAnsiTheme="minorHAnsi" w:eastAsiaTheme="minorHAnsi" w:cstheme="minorBidi"/>
          <w:kern w:val="0"/>
          <w:sz w:val="24"/>
          <w:szCs w:val="22"/>
          <w:lang w:val="en-US" w:eastAsia="zh-CN" w:bidi="ar"/>
        </w:rPr>
        <w:t>目所属）同级政府采购监督 管理部门投诉。</w:t>
      </w:r>
    </w:p>
    <w:p w14:paraId="11C7F410">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8.5.3质疑和投诉应有具体的质疑（投诉）事项和必要的证明材料或事实根据，供应商 对其质疑和投诉内容的真实性及其来源的合法性承担法律责任。</w:t>
      </w:r>
    </w:p>
    <w:p w14:paraId="175FFE6D">
      <w:pPr>
        <w:spacing w:line="360" w:lineRule="auto"/>
        <w:ind w:firstLine="410" w:firstLineChars="171"/>
        <w:rPr>
          <w:rFonts w:hint="eastAsia" w:asciiTheme="minorHAnsi" w:hAnsiTheme="minorHAnsi" w:eastAsiaTheme="minorHAnsi" w:cstheme="minorBidi"/>
          <w:kern w:val="0"/>
          <w:sz w:val="24"/>
          <w:szCs w:val="22"/>
          <w:lang w:val="en-US" w:eastAsia="zh-CN" w:bidi="ar"/>
        </w:rPr>
      </w:pPr>
      <w:bookmarkStart w:id="48" w:name="_bookmark74"/>
      <w:bookmarkEnd w:id="48"/>
      <w:bookmarkStart w:id="49" w:name="_bookmark73"/>
      <w:bookmarkEnd w:id="49"/>
      <w:r>
        <w:rPr>
          <w:rFonts w:hint="eastAsia" w:asciiTheme="minorHAnsi" w:hAnsiTheme="minorHAnsi" w:eastAsiaTheme="minorHAnsi" w:cstheme="minorBidi"/>
          <w:kern w:val="0"/>
          <w:sz w:val="24"/>
          <w:szCs w:val="22"/>
          <w:lang w:val="en-US" w:eastAsia="zh-CN" w:bidi="ar"/>
        </w:rPr>
        <w:t>10. 需要补充的其他内容</w:t>
      </w:r>
    </w:p>
    <w:p w14:paraId="1113615C">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10.1 评标过程的保密。</w:t>
      </w:r>
    </w:p>
    <w:p w14:paraId="5CD71384">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10.1.1开标后，直至授予中标人合同为止，凡属于对</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文件的审查、澄清、评价和比较有关的资料，中标候选人的推荐情况，及其他任何与评标有关的情况均应严格保密。</w:t>
      </w:r>
    </w:p>
    <w:p w14:paraId="3564BF38">
      <w:pPr>
        <w:spacing w:line="360" w:lineRule="auto"/>
        <w:ind w:firstLine="410" w:firstLineChars="171"/>
        <w:rPr>
          <w:rFonts w:hint="eastAsia" w:ascii="宋体" w:hAnsi="宋体" w:eastAsia="宋体" w:cs="宋体"/>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10.1.2在</w:t>
      </w:r>
      <w:r>
        <w:rPr>
          <w:rFonts w:hint="eastAsia" w:cstheme="minorBidi"/>
          <w:kern w:val="0"/>
          <w:sz w:val="24"/>
          <w:szCs w:val="22"/>
          <w:lang w:val="en-US" w:eastAsia="zh-CN" w:bidi="ar"/>
        </w:rPr>
        <w:t>响应</w:t>
      </w:r>
      <w:r>
        <w:rPr>
          <w:rFonts w:hint="eastAsia" w:asciiTheme="minorHAnsi" w:hAnsiTheme="minorHAnsi" w:eastAsiaTheme="minorHAnsi" w:cstheme="minorBidi"/>
          <w:kern w:val="0"/>
          <w:sz w:val="24"/>
          <w:szCs w:val="22"/>
          <w:lang w:val="en-US" w:eastAsia="zh-CN" w:bidi="ar"/>
        </w:rPr>
        <w:t>文件的评</w:t>
      </w:r>
      <w:r>
        <w:rPr>
          <w:rFonts w:hint="eastAsia" w:ascii="宋体" w:hAnsi="宋体" w:eastAsia="宋体" w:cs="宋体"/>
          <w:kern w:val="0"/>
          <w:sz w:val="24"/>
          <w:szCs w:val="22"/>
          <w:lang w:val="en-US" w:eastAsia="zh-CN" w:bidi="ar"/>
        </w:rPr>
        <w:t>审和比较、中标候选人推荐以及授予合同的过程中，供应商向采购人和评标委员会施加影响的任何行为，都将会导致其投标被拒绝。</w:t>
      </w:r>
    </w:p>
    <w:p w14:paraId="5BBB17F2">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宋体" w:hAnsi="宋体" w:eastAsia="宋体" w:cs="宋体"/>
          <w:kern w:val="0"/>
          <w:sz w:val="24"/>
          <w:szCs w:val="22"/>
          <w:lang w:val="en-US" w:eastAsia="zh-CN" w:bidi="ar"/>
        </w:rPr>
        <w:t>10.1.3中标人确定后，采购人不对未</w:t>
      </w:r>
      <w:r>
        <w:rPr>
          <w:rFonts w:hint="eastAsia" w:asciiTheme="minorHAnsi" w:hAnsiTheme="minorHAnsi" w:eastAsiaTheme="minorHAnsi" w:cstheme="minorBidi"/>
          <w:kern w:val="0"/>
          <w:sz w:val="24"/>
          <w:szCs w:val="22"/>
          <w:lang w:val="en-US" w:eastAsia="zh-CN" w:bidi="ar"/>
        </w:rPr>
        <w:t>中标单位就评标过程以及未能中标原因作出任何解释。未中标人不得向评标委员会组成人员或其他有关人员索问评标过程的情况和材料。</w:t>
      </w:r>
    </w:p>
    <w:p w14:paraId="2ABF9D8A">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10.2 未尽事宜按国家有关规定执行。</w:t>
      </w:r>
    </w:p>
    <w:p w14:paraId="4A0505D1">
      <w:pPr>
        <w:spacing w:line="360" w:lineRule="auto"/>
        <w:ind w:firstLine="410" w:firstLineChars="171"/>
        <w:rPr>
          <w:rFonts w:hint="eastAsia" w:asciiTheme="minorHAnsi" w:hAnsiTheme="minorHAnsi" w:eastAsiaTheme="minorHAnsi" w:cstheme="minorBidi"/>
          <w:kern w:val="0"/>
          <w:sz w:val="24"/>
          <w:szCs w:val="22"/>
          <w:lang w:val="en-US" w:eastAsia="zh-CN" w:bidi="ar"/>
        </w:rPr>
      </w:pPr>
      <w:r>
        <w:rPr>
          <w:rFonts w:hint="eastAsia" w:asciiTheme="minorHAnsi" w:hAnsiTheme="minorHAnsi" w:eastAsiaTheme="minorHAnsi" w:cstheme="minorBidi"/>
          <w:kern w:val="0"/>
          <w:sz w:val="24"/>
          <w:szCs w:val="22"/>
          <w:lang w:val="en-US" w:eastAsia="zh-CN" w:bidi="ar"/>
        </w:rPr>
        <w:t>10.3 本</w:t>
      </w:r>
      <w:r>
        <w:rPr>
          <w:rFonts w:hint="eastAsia" w:cstheme="minorBidi"/>
          <w:kern w:val="0"/>
          <w:sz w:val="24"/>
          <w:szCs w:val="22"/>
          <w:lang w:val="en-US" w:eastAsia="zh-CN" w:bidi="ar"/>
        </w:rPr>
        <w:t>磋商</w:t>
      </w:r>
      <w:r>
        <w:rPr>
          <w:rFonts w:hint="eastAsia" w:asciiTheme="minorHAnsi" w:hAnsiTheme="minorHAnsi" w:eastAsiaTheme="minorHAnsi" w:cstheme="minorBidi"/>
          <w:kern w:val="0"/>
          <w:sz w:val="24"/>
          <w:szCs w:val="22"/>
          <w:lang w:val="en-US" w:eastAsia="zh-CN" w:bidi="ar"/>
        </w:rPr>
        <w:t>文件最终解释权归采购人。</w:t>
      </w:r>
    </w:p>
    <w:p w14:paraId="4BF57462">
      <w:pPr>
        <w:spacing w:line="360" w:lineRule="auto"/>
        <w:ind w:firstLine="410" w:firstLineChars="171"/>
        <w:rPr>
          <w:rFonts w:hint="eastAsia" w:asciiTheme="minorHAnsi" w:hAnsiTheme="minorHAnsi" w:eastAsiaTheme="minorHAnsi" w:cstheme="minorBidi"/>
          <w:kern w:val="0"/>
          <w:sz w:val="24"/>
          <w:szCs w:val="22"/>
          <w:lang w:val="en-US" w:eastAsia="zh-CN" w:bidi="ar"/>
        </w:rPr>
        <w:sectPr>
          <w:headerReference r:id="rId6" w:type="default"/>
          <w:footerReference r:id="rId7" w:type="default"/>
          <w:pgSz w:w="12240" w:h="15840"/>
          <w:pgMar w:top="1400" w:right="1680" w:bottom="1120" w:left="1700" w:header="850" w:footer="737" w:gutter="0"/>
          <w:pgNumType w:fmt="decimal" w:start="1"/>
          <w:cols w:equalWidth="0" w:num="1">
            <w:col w:w="8860"/>
          </w:cols>
        </w:sectPr>
      </w:pPr>
      <w:r>
        <w:rPr>
          <w:rFonts w:hint="eastAsia" w:asciiTheme="minorHAnsi" w:hAnsiTheme="minorHAnsi" w:eastAsiaTheme="minorHAnsi" w:cstheme="minorBidi"/>
          <w:kern w:val="0"/>
          <w:sz w:val="24"/>
          <w:szCs w:val="22"/>
          <w:lang w:val="en-US" w:eastAsia="zh-CN" w:bidi="ar"/>
        </w:rPr>
        <w:t>10.4 需要补充的其他内容：见供应商须知前附表。</w:t>
      </w:r>
      <w:bookmarkStart w:id="50" w:name="_bookmark76"/>
      <w:bookmarkEnd w:id="50"/>
    </w:p>
    <w:p w14:paraId="1BE0D14E">
      <w:pPr>
        <w:widowControl/>
        <w:tabs>
          <w:tab w:val="left" w:pos="1115"/>
        </w:tabs>
        <w:spacing w:line="360" w:lineRule="auto"/>
        <w:ind w:firstLine="482"/>
        <w:jc w:val="center"/>
        <w:outlineLvl w:val="1"/>
        <w:rPr>
          <w:rFonts w:hint="eastAsia" w:ascii="宋体" w:hAnsi="宋体" w:eastAsia="宋体" w:cs="宋体"/>
          <w:b/>
          <w:color w:val="auto"/>
          <w:sz w:val="32"/>
          <w:szCs w:val="44"/>
          <w:highlight w:val="none"/>
          <w:lang w:eastAsia="zh-CN"/>
        </w:rPr>
      </w:pPr>
      <w:bookmarkStart w:id="51" w:name="_bookmark78"/>
      <w:bookmarkEnd w:id="51"/>
      <w:bookmarkStart w:id="52" w:name="_bookmark2"/>
      <w:bookmarkEnd w:id="52"/>
      <w:bookmarkStart w:id="53" w:name="_bookmark79"/>
      <w:bookmarkEnd w:id="53"/>
      <w:r>
        <w:rPr>
          <w:rFonts w:hint="eastAsia" w:ascii="宋体" w:hAnsi="宋体" w:cs="宋体"/>
          <w:b/>
          <w:color w:val="auto"/>
          <w:sz w:val="32"/>
          <w:szCs w:val="44"/>
          <w:highlight w:val="none"/>
        </w:rPr>
        <w:t>第三章</w:t>
      </w:r>
      <w:r>
        <w:rPr>
          <w:rFonts w:hint="eastAsia" w:ascii="宋体" w:hAnsi="宋体" w:cs="宋体"/>
          <w:b/>
          <w:color w:val="auto"/>
          <w:sz w:val="32"/>
          <w:szCs w:val="44"/>
          <w:highlight w:val="none"/>
        </w:rPr>
        <w:tab/>
      </w:r>
      <w:r>
        <w:rPr>
          <w:rFonts w:hint="eastAsia" w:ascii="宋体" w:hAnsi="宋体" w:eastAsia="宋体" w:cs="宋体"/>
          <w:b/>
          <w:color w:val="auto"/>
          <w:sz w:val="32"/>
          <w:szCs w:val="44"/>
          <w:highlight w:val="none"/>
          <w:lang w:eastAsia="zh-CN"/>
        </w:rPr>
        <w:t>采购需求</w:t>
      </w:r>
    </w:p>
    <w:p w14:paraId="270ADFEC">
      <w:pPr>
        <w:widowControl/>
        <w:tabs>
          <w:tab w:val="left" w:pos="1115"/>
        </w:tabs>
        <w:spacing w:line="480" w:lineRule="auto"/>
        <w:ind w:firstLine="482"/>
        <w:jc w:val="left"/>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一、项目名称：</w:t>
      </w:r>
      <w:r>
        <w:rPr>
          <w:rFonts w:hint="eastAsia" w:ascii="宋体" w:hAnsi="宋体" w:eastAsia="宋体" w:cs="宋体"/>
          <w:b/>
          <w:color w:val="auto"/>
          <w:sz w:val="24"/>
          <w:szCs w:val="24"/>
          <w:highlight w:val="none"/>
          <w:lang w:val="en-US" w:eastAsia="zh-CN"/>
        </w:rPr>
        <w:t>卢氏县春晖苑幼儿园报告厅设备采购项目</w:t>
      </w:r>
    </w:p>
    <w:p w14:paraId="572C728B">
      <w:pPr>
        <w:widowControl/>
        <w:tabs>
          <w:tab w:val="left" w:pos="1115"/>
        </w:tabs>
        <w:spacing w:line="480" w:lineRule="auto"/>
        <w:ind w:firstLine="482"/>
        <w:jc w:val="left"/>
        <w:outlineLvl w:val="1"/>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eastAsia="zh-CN"/>
        </w:rPr>
        <w:t>二、</w:t>
      </w:r>
      <w:r>
        <w:rPr>
          <w:rFonts w:hint="eastAsia" w:ascii="宋体" w:hAnsi="宋体" w:eastAsia="宋体" w:cs="Times New Roman"/>
          <w:b/>
          <w:bCs/>
          <w:sz w:val="24"/>
          <w:szCs w:val="24"/>
        </w:rPr>
        <w:t>采购清单及参数要求：</w:t>
      </w:r>
    </w:p>
    <w:p w14:paraId="72E1B50E">
      <w:pPr>
        <w:pageBreakBefore w:val="0"/>
        <w:kinsoku/>
        <w:wordWrap w:val="0"/>
        <w:overflowPunct/>
        <w:topLinePunct w:val="0"/>
        <w:bidi w:val="0"/>
        <w:spacing w:line="440" w:lineRule="exact"/>
        <w:jc w:val="center"/>
        <w:rPr>
          <w:rFonts w:hint="eastAsia" w:ascii="宋体" w:hAnsi="宋体"/>
          <w:b/>
          <w:bCs/>
          <w:color w:val="auto"/>
          <w:sz w:val="32"/>
          <w:szCs w:val="40"/>
        </w:rPr>
      </w:pPr>
      <w:bookmarkStart w:id="54" w:name="2._定义"/>
      <w:bookmarkEnd w:id="54"/>
      <w:bookmarkStart w:id="55" w:name="1._适用性"/>
      <w:bookmarkEnd w:id="55"/>
    </w:p>
    <w:tbl>
      <w:tblPr>
        <w:tblStyle w:val="19"/>
        <w:tblW w:w="10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0"/>
        <w:gridCol w:w="1045"/>
        <w:gridCol w:w="6690"/>
        <w:gridCol w:w="1110"/>
        <w:gridCol w:w="1185"/>
      </w:tblGrid>
      <w:tr w14:paraId="37B21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2DB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0"/>
                <w:rFonts w:hint="eastAsia" w:ascii="宋体" w:hAnsi="宋体" w:eastAsia="宋体" w:cs="宋体"/>
                <w:sz w:val="20"/>
                <w:szCs w:val="20"/>
                <w:lang w:val="en-US" w:eastAsia="zh-CN" w:bidi="ar"/>
              </w:rPr>
              <w:t>序号</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75F0">
            <w:pPr>
              <w:keepNext w:val="0"/>
              <w:keepLines/>
              <w:pageBreakBefore w:val="0"/>
              <w:widowControl/>
              <w:suppressLineNumbers w:val="0"/>
              <w:kinsoku/>
              <w:wordWrap/>
              <w:overflowPunct/>
              <w:topLinePunct w:val="0"/>
              <w:autoSpaceDE/>
              <w:autoSpaceDN/>
              <w:bidi w:val="0"/>
              <w:adjustRightInd/>
              <w:snapToGrid/>
              <w:ind w:left="156" w:leftChars="0" w:hanging="156" w:hangingChars="78"/>
              <w:jc w:val="center"/>
              <w:textAlignment w:val="center"/>
              <w:rPr>
                <w:rFonts w:hint="eastAsia" w:ascii="宋体" w:hAnsi="宋体" w:eastAsia="宋体" w:cs="宋体"/>
                <w:i w:val="0"/>
                <w:iCs w:val="0"/>
                <w:color w:val="000000"/>
                <w:sz w:val="20"/>
                <w:szCs w:val="20"/>
                <w:u w:val="none"/>
              </w:rPr>
            </w:pPr>
            <w:r>
              <w:rPr>
                <w:rStyle w:val="30"/>
                <w:rFonts w:hint="eastAsia" w:ascii="宋体" w:hAnsi="宋体" w:eastAsia="宋体" w:cs="宋体"/>
                <w:sz w:val="20"/>
                <w:szCs w:val="20"/>
                <w:lang w:val="en-US" w:eastAsia="zh-CN" w:bidi="ar"/>
              </w:rPr>
              <w:t>名称</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CA92">
            <w:pPr>
              <w:keepNext w:val="0"/>
              <w:keepLines/>
              <w:pageBreakBefore w:val="0"/>
              <w:widowControl/>
              <w:suppressLineNumbers w:val="0"/>
              <w:kinsoku/>
              <w:wordWrap/>
              <w:overflowPunct/>
              <w:topLinePunct w:val="0"/>
              <w:autoSpaceDE/>
              <w:autoSpaceDN/>
              <w:bidi w:val="0"/>
              <w:adjustRightInd/>
              <w:snapToGrid/>
              <w:ind w:left="-1100" w:leftChars="-500" w:firstLine="784" w:firstLineChars="392"/>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规格参数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ADAD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0"/>
                <w:rFonts w:hint="eastAsia" w:ascii="宋体" w:hAnsi="宋体" w:eastAsia="宋体" w:cs="宋体"/>
                <w:sz w:val="20"/>
                <w:szCs w:val="20"/>
                <w:lang w:val="en-US" w:eastAsia="zh-CN" w:bidi="ar"/>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0769">
            <w:pPr>
              <w:keepNext w:val="0"/>
              <w:keepLines/>
              <w:pageBreakBefore w:val="0"/>
              <w:widowControl/>
              <w:suppressLineNumbers w:val="0"/>
              <w:kinsoku/>
              <w:wordWrap/>
              <w:overflowPunct/>
              <w:topLinePunct w:val="0"/>
              <w:autoSpaceDE/>
              <w:autoSpaceDN/>
              <w:bidi w:val="0"/>
              <w:adjustRightInd/>
              <w:snapToGrid/>
              <w:ind w:left="-220" w:leftChars="-100" w:right="55" w:rightChars="25" w:firstLine="0" w:firstLine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数量</w:t>
            </w:r>
          </w:p>
        </w:tc>
      </w:tr>
      <w:tr w14:paraId="67381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17E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1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BFF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lang w:val="en-US" w:eastAsia="zh-CN" w:bidi="ar-SA"/>
              </w:rPr>
            </w:pPr>
            <w:r>
              <w:rPr>
                <w:rStyle w:val="32"/>
                <w:rFonts w:hint="eastAsia" w:ascii="宋体" w:hAnsi="宋体" w:eastAsia="宋体" w:cs="宋体"/>
                <w:sz w:val="20"/>
                <w:szCs w:val="20"/>
                <w:lang w:val="en-US" w:eastAsia="zh-CN" w:bidi="ar"/>
              </w:rPr>
              <w:t>LED 显示屏</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top"/>
          </w:tcPr>
          <w:p w14:paraId="1C858BD5">
            <w:pPr>
              <w:keepNext w:val="0"/>
              <w:keepLines/>
              <w:pageBreakBefore w:val="0"/>
              <w:widowControl/>
              <w:suppressLineNumbers w:val="0"/>
              <w:kinsoku/>
              <w:wordWrap/>
              <w:overflowPunct/>
              <w:topLinePunct w:val="0"/>
              <w:autoSpaceDE/>
              <w:autoSpaceDN/>
              <w:bidi w:val="0"/>
              <w:adjustRightInd/>
              <w:snapToGrid/>
              <w:jc w:val="left"/>
              <w:textAlignment w:val="top"/>
              <w:rPr>
                <w:rFonts w:hint="eastAsia" w:ascii="宋体" w:hAnsi="宋体" w:eastAsia="宋体" w:cs="宋体"/>
                <w:i w:val="0"/>
                <w:iCs w:val="0"/>
                <w:color w:val="000000"/>
                <w:sz w:val="20"/>
                <w:szCs w:val="20"/>
                <w:u w:val="none"/>
                <w:lang w:val="en-US" w:eastAsia="zh-CN" w:bidi="ar-SA"/>
              </w:rPr>
            </w:pPr>
            <w:r>
              <w:rPr>
                <w:rStyle w:val="32"/>
                <w:rFonts w:hint="eastAsia" w:ascii="宋体" w:hAnsi="宋体" w:eastAsia="宋体" w:cs="宋体"/>
                <w:sz w:val="20"/>
                <w:szCs w:val="20"/>
                <w:lang w:val="en-US" w:eastAsia="zh-CN" w:bidi="ar"/>
              </w:rPr>
              <w:t>显示屏尺寸： ≥9.6*2.88</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1、★像素间距： ≤1.86mm</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2、★平整度： ≤0.05mm；单元平整度偏差： ≤0.03mm</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3、 白平衡亮度： ≥700nits；对比度： ≥7000:1</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4、亮度与可视角度关系：中央法线上亮度=100cd/m² 白场时，水平视角 80 °时亮度衰减≤10%，垂直视角 60 °时亮度衰减≤10%</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5、★视角：水平视角≥175 ° ; 垂直视角≥175 °</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6、功耗：峰值功耗≤300W/m² ; 平均功耗≤100W/m² ; 休眠模式黑屏功耗≤20W/m²</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7、亮度鉴别等级：亮度鉴别等级 C 级：B, ≥20；亮度均匀性： ≥98%；色度均匀性：在±0.001 Cx,Cy 之内</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8、★模组电源接口采用4P 接插头，免工具维护，同时有防呆设计，预防接错</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电源线短路而导致的烧毁模组行为；采用集成 HUB 接收卡控制，支持通讯状态监测</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9、★IP 等级：符合 IP6X</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10、 白场色坐标检测：按 SJ/T 11141-20175.10.5 规定，检测结果合格</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11、★色温：1000K-20000K 可调</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12、反光率：屏体正面为黑色哑光处理，发光率≤1%</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13、NTSC 色域覆盖率： ≥120%</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14、低亮高刷：亮度 100nit,刷新≥2500Hz,亮度 200nit, 刷新≥3840Hz</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15、LED 灯珠抗拉机械强度： ≥1kg</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16、寿命典型值： ≥120000hrs；故障平均修复时间： ≤2min</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17、刷新率： ≥3840Hz</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18、像素失控率： ≤0.00001，出厂为 0, 无连续失控点</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19、泄漏电流：I(漏)≤0.9mA/m²</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20、一键点屏：支持一键点屏技术，开机后自动识别系统连接，无需重置系统配置</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21、监控自检技术：可实现 LED 单点检测，通讯检测，温度检测，电源检测，</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温度监控等功能，可实现远程监督控制，对可能发生的潜在故障记录日志，并向操作员发出警报信号</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22、视觉舒适度：属于 1 级基本无疲劳感舒适度，产品视觉健康舒适度 A 十级</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23、模块级校正：支持模块校正和数据存储及回读</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24、稳定性试验：设备在正常工作条件下，连续工作 168h,不出现电、机械或操作系统的故障，支持 7×24h 连续工作</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25、★表面硬度:具备划痕性能技术，表面硬度≥4H</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26、★数据传输安全技术：采用网线传导加扰技术，使用时无需配置，接上电源后即可实现各端口的网线传导加扰，防止传输 信息怕失泄密及防止劫持相关设备</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27、★燃烧烟气毒性测试：BS6853 烟气毒性测试的毒性指 数 R 值≤1</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28、★工作噪音声压级：处理距离 r=1.0 米，噪音声压须≤2dBA</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29、智能除湿设计：开机后自动检测客户端未使用时间长，智能匹配相应时间的除湿模式，使屏体从 10%到 100%亮度逐步显示，无需人工定期手动维护，除湿功能可手动开启和关闭</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30、★老化测试：LED 显示屏通过在正常环境下 168h 不间断运行无故障的老化测试，测试结束后各项参数指标数据符合老化测试要求</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31、单元整体阻燃试验：单元整体阻燃 V-0 级</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32、浪涌：符合 GB/T 17626.5-2019 标准要求，等级 4:差模±4kV,共模±4kV</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33、冷热冲击：高温 60 ℃,低温-40℃,高温和低温各保持 30min,中间转换时间不大于 5min,循环 10 次，常温恢复 2H,受试样品外观结构和功能均正常</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34、机械碰撞防护等级：在 20J 冲击能量情况下，通过 IK10 测试，  试验后样品外观结构和功能正常</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以上加★技术参数需提供 CNAS 认可的检测机构出具的检测报告或权威机构出具的产品认证证书作为技术依据，复印件加盖厂家公章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D017">
            <w:pPr>
              <w:keepNext w:val="0"/>
              <w:keepLines/>
              <w:pageBreakBefore w:val="0"/>
              <w:widowControl/>
              <w:suppressLineNumbers w:val="0"/>
              <w:kinsoku/>
              <w:wordWrap/>
              <w:overflowPunct/>
              <w:topLinePunct w:val="0"/>
              <w:autoSpaceDE/>
              <w:autoSpaceDN/>
              <w:bidi w:val="0"/>
              <w:adjustRightInd/>
              <w:snapToGrid/>
              <w:jc w:val="center"/>
              <w:textAlignment w:val="center"/>
              <w:rPr>
                <w:rStyle w:val="30"/>
                <w:rFonts w:hint="eastAsia" w:ascii="宋体" w:hAnsi="宋体" w:eastAsia="宋体" w:cs="宋体"/>
                <w:sz w:val="20"/>
                <w:szCs w:val="20"/>
                <w:lang w:val="en-US" w:eastAsia="zh-CN" w:bidi="ar"/>
              </w:rPr>
            </w:pPr>
            <w:r>
              <w:rPr>
                <w:rStyle w:val="30"/>
                <w:rFonts w:hint="eastAsia" w:ascii="宋体" w:hAnsi="宋体" w:eastAsia="宋体" w:cs="宋体"/>
                <w:sz w:val="20"/>
                <w:szCs w:val="20"/>
                <w:lang w:val="en-US" w:eastAsia="zh-CN" w:bidi="ar"/>
              </w:rPr>
              <w:t>平方米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5B0C">
            <w:pPr>
              <w:keepNext w:val="0"/>
              <w:keepLines/>
              <w:pageBreakBefore w:val="0"/>
              <w:widowControl/>
              <w:suppressLineNumbers w:val="0"/>
              <w:kinsoku/>
              <w:wordWrap/>
              <w:overflowPunct/>
              <w:topLinePunct w:val="0"/>
              <w:autoSpaceDE/>
              <w:autoSpaceDN/>
              <w:bidi w:val="0"/>
              <w:adjustRightInd/>
              <w:snapToGrid/>
              <w:ind w:left="-220" w:leftChars="-100" w:right="55" w:rightChars="25" w:firstLine="0" w:firstLineChars="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28.608</w:t>
            </w:r>
          </w:p>
        </w:tc>
      </w:tr>
      <w:tr w14:paraId="6FDE4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FC17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FA4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显示屏接收系统</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0570">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1、单卡最大带载 512×512 像素，最多支持 24 组 RGB 并行数据；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2、支持色彩管理，将显示色域在多个色域之间自由切换，使显示屏色彩更精准。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3、支持 18Bit+,使 LED 显示屏灰阶提升 4 倍，有效处理低亮时灰度丢失问题，使图像显示更细腻。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4、采用 12 个标准 HUB75 接口，具有高稳定性和高可靠性，适用于多种环境的搭建；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5、支持逐点亮度校正，可以对每个灯点的亮度进行校正，使整屏的亮度达到高度均匀一致，提高显示屏的画质；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6、快速亮暗线调节在调试软件上进行快速亮暗线调节，快速解决因箱体及模组拼接造成的显示屏亮暗线，调节过程中即时生效，简单易用。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7、配合支持 3D 功能的独立主控，在软件或独立主控的操作面板上开启 3D 功能，并设置 3D 参数，使画面显示 3D 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8、支持 Mapping 功能开启，每个箱体上会显示数字，清楚告诉您当前箱体是哪个网口下的哪张接收卡，直观的看到显示屏连接状况。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9、支持预存画面设置，可以将指定图片设置为显示屏的开机、网线断开或无视频源信号时的画面或者最后一帧画面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10、通过电源指示灯和状态指示灯不同闪烁状态可以判断，屏体工作状态，无需软件；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1034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073B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2091E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445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15B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视频处理器</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125D">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1、单台具备不少于 16 路千兆网口输出，带载能力可达 1040 万像素、最宽 16384像素、最高 8192 像素，网口带载没有矩形带载限制，支持自由走线，最大化提高网口带载利用率；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2、集视频处理、视频控制以及 LED 屏体配置等功能于一体，具备多种类的视频信号接收能力、4K×2K@60Hz 的图像处理能力和发送能力。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3、拥有完备的视频输入接口：  1 路 HDMI 2.0，1 路 DP1.2，4 路 HDMI，1 路 3G-SDI+LOOP（可根据实际需求选配）。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4、支持 HDR 输出，能够极大地增强显示屏的画质，使画面色彩更加 真实生动，细节更加清晰。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5、支持个性化的画质缩放：支持不少于三种画面缩放模式，包括点对点模式、全屏缩放、 自定义缩放。搭载 superview 画质处理技术，画面可无极缩放；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6、支持对 LED 显示屏输出画面的画质调节，包括但不限于：亮度、饱和度、对比度等；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7、支持多窗口显示，不少于 6 窗口的任意布局，至少包含 2 路 4K 窗口+4 路2K 窗口；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8、支持 OSD 字幕功能，字幕颜色， 内容可通过软件自定义编辑；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9、支持高位深信号输入源输入，最高支持 12bit信号输入；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10、支持音频功能，输入接口支持音频伴随输入，输出音频支持随信号切换而切换。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11、支持场景预设功能，可创建不低于 10 个用户场景作为模板保存，方便直接调用。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12、支持对输入信号进行分辨率自定义 ，最大可支持 4096*2160@60 信号输入，并向下兼容 4K*1K,2K 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13、设备前面板应配备 LCD 显示模块，可直接观察各接口的通讯状态，设备型号，IP 地址，屏幕大小及信号源状态等信息，简化系统的控制操作。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14、为保障画面输出无撕裂，应支持选择输入源作为同步信号，达到输出的场级同步</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A05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D73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22AA5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FD6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143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台式电脑</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9A4B">
            <w:pPr>
              <w:keepNext w:val="0"/>
              <w:keepLines/>
              <w:pageBreakBefore w:val="0"/>
              <w:widowControl/>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i5CPU：不低于 Intel 酷睿 12 代 I5 处理器；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★主板：570 系列及以上芯片组，主板自带 VGA、HDMI、DP 三输出接口；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★内存：8GB DDR4，4 个内存插槽；硬盘：原厂标配 M.2 512G SSD； 网卡：集成 10M/100/1000MB 自适应网卡；扩展槽：1 个 PCI-E*16 Gen4、2 个 PCI-E*1、2 个 M.2 接口；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★接口：前置 1 个 USB3.2 Gen1 Type-C、2 个 USB3.2 Gen1，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个 USB3.2 Gen2，后置 2 个 USB3.2 Gen1、2 个 USB2.0，1 个 RJ45，1 个串声卡：集成 HD Audio，支持 5.1 声道（提供前 2 后 3 共 5 个音频接口）；显示器： ≥23.8 寸 WLED 显示器，分辨率 1920*1080（16：9）, 显示器具有低 蓝光功能（并提供国际权威机构的证书或官网截屏）；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★机箱：标准 MATX 立式机箱，采用蜂窝结构，散热更为有效；可选配强力散热风扇，能够达到有效去除细菌、降解甲醛、净化空气的效果（投标时时提供第三方检测机构的证明文件）；机箱≥17L，顶置提手，方便搬运，顶置电源 开关键，方便使用；</w:t>
            </w:r>
          </w:p>
          <w:p w14:paraId="06874F46">
            <w:pPr>
              <w:keepNext w:val="0"/>
              <w:keepLines/>
              <w:pageBreakBefore w:val="0"/>
              <w:widowControl/>
              <w:suppressLineNumbers w:val="0"/>
              <w:kinsoku/>
              <w:wordWrap/>
              <w:overflowPunct/>
              <w:topLinePunct w:val="0"/>
              <w:autoSpaceDE/>
              <w:autoSpaceDN/>
              <w:bidi w:val="0"/>
              <w:adjustRightInd/>
              <w:snapToGrid/>
              <w:ind w:firstLine="200" w:firstLineChars="10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 ≥300W；键鼠：防水抗菌键盘、抗菌鼠标，支持键盘开机功能；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★安全特性： 内置 TPM2.0 芯片级安全防护，国家商用密码算法；具有 USB 屏蔽技术，可设置为仅识别USB 键盘、鼠标，无法识别 USB 读取设备，有效防止数据泄露；整机认证和性能要求：3C 认证、原厂商具备《信息安全服务资质》安全工程一级、中国合格评定国家认可委员会颁发的 CNAS 可靠性实验室认证证书、无故障运行时间不低于 100 万小时（要求提供证书复印件加盖厂商证明）；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★服务：提供原厂商针对本项目的授权和售后服务承诺函（原件附投标文件中）及所有售后分支机构联系地址、联系方式，提供各厂家大客户专属VIP 7*24小时 400 或 800 售后服务专线；投标产品生产厂商售后服务体系通过 CTEAS 完善程度认证证书七星级（卓越）认证（提供证书复印件加盖厂商证明）；2 小时响应、3 年免费第二自然日上门服务；</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330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A04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1642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CC2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7ED9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配电箱及系统</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E2A7">
            <w:pPr>
              <w:keepNext w:val="0"/>
              <w:keepLines/>
              <w:pageBreakBefore w:val="0"/>
              <w:widowControl/>
              <w:numPr>
                <w:ilvl w:val="0"/>
                <w:numId w:val="4"/>
              </w:numPr>
              <w:suppressLineNumbers w:val="0"/>
              <w:kinsoku/>
              <w:wordWrap/>
              <w:overflowPunct/>
              <w:topLinePunct w:val="0"/>
              <w:autoSpaceDE/>
              <w:autoSpaceDN/>
              <w:bidi w:val="0"/>
              <w:adjustRightInd/>
              <w:snapToGrid/>
              <w:jc w:val="left"/>
              <w:textAlignment w:val="center"/>
              <w:rPr>
                <w:rStyle w:val="32"/>
                <w:rFonts w:hint="eastAsia" w:ascii="宋体" w:hAnsi="宋体" w:eastAsia="宋体" w:cs="宋体"/>
                <w:sz w:val="20"/>
                <w:szCs w:val="20"/>
                <w:lang w:val="en-US" w:eastAsia="zh-CN" w:bidi="ar"/>
              </w:rPr>
            </w:pPr>
            <w:r>
              <w:rPr>
                <w:rStyle w:val="32"/>
                <w:rFonts w:hint="eastAsia" w:ascii="宋体" w:hAnsi="宋体" w:eastAsia="宋体" w:cs="宋体"/>
                <w:sz w:val="20"/>
                <w:szCs w:val="20"/>
                <w:lang w:val="en-US" w:eastAsia="zh-CN" w:bidi="ar"/>
              </w:rPr>
              <w:t>负载功率： ≥20KW</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2、显示屏输出路数： ≥6 路</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3、主要器件：不低于正泰配件</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4、具备手动控制和自动控制功能。可手动按钮控制设备开启/停止</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5、具有电源状态指示、工作状态指示、可远程监控设备运行状态</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6、具有过压、过流、短路、断路、定时开关、漏电等保护功能</w:t>
            </w:r>
          </w:p>
          <w:p w14:paraId="42BAB74C">
            <w:pPr>
              <w:keepNext w:val="0"/>
              <w:keepLines/>
              <w:pageBreakBefore w:val="0"/>
              <w:widowControl/>
              <w:numPr>
                <w:ilvl w:val="0"/>
                <w:numId w:val="0"/>
              </w:numPr>
              <w:suppressLineNumbers w:val="0"/>
              <w:kinsoku/>
              <w:wordWrap/>
              <w:overflowPunct/>
              <w:topLinePunct w:val="0"/>
              <w:autoSpaceDE/>
              <w:autoSpaceDN/>
              <w:bidi w:val="0"/>
              <w:adjustRightInd/>
              <w:snapToGrid/>
              <w:jc w:val="both"/>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7、电压标准：输入 380V.输出 220V</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1B71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245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2D49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0D6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67B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钢结构+安装</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C81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1、安装结构满足 LED 高清显示屏的整体均匀平滑要求，结构便于安装和调试；</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2、含包边，上下包边 5CM，左右包边 5CM</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3、显示屏安装、调试和使用培训</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7E7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7E4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576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1A53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FFCC">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屏体配件及综合</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 xml:space="preserve">     布线</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3BFC">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1、主电缆线规格：YJY5*10 纯铜线，动力配电柜到动力控制柜（含敷设）；1 组</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2、不低于 6 类网线从机房机柜布置到屏体位置，线路敷设整理，穿</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管，3、6 平方纯铜芯电缆线，从配电柜位置布置到屏体位置，4 组（含</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敷设）</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3、一线品牌HDMI 高清视频线。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7DB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951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535E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CE84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C46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音响设备</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B99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娱乐极 12 寸室内音响；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1、音箱系统采用后导向喇叭辐射式设计,人声干净，低频深沉、厚实；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中频圆润、甜美而又饱满；高频柔和而细腻。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自主研发高性能稳定的喇叭单元，独特的空气动力结构方式，多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点面设计，使声场覆盖更均匀。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3、全系列均具有良好的频率响应。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4、高标准设计的分频器，耐高温的全玻纤 PC 板，高品质专业音频电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容、大线径高纯度漆包线电感，剔除杂音，力求音质完美。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5、分频器采用单片高、低音分颁器，高品质音频电容，大功率无感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鋁壳电阻，大线径高纯度电感。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6、高强度的铁网，表面采用外贴防尘网布，即能有效降低奇次谐波，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增强视觉美观，又能有效地保护系统单元的使用安全。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7、箱体采用精选高密度板制作，进口木胶粉粘合，角码加强工艺，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经过技师们精心打造，表面采用最流行的聚脂点漆耐磨喷漆工艺，经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久耐用。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8、全系列都配置有支撑竿座,方便移动应用。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9、箱体有横、竖吊挂预埋螺丝，并有方便安装的底座孔。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10、多用途设计,广泛应用于多功能厅、KTV、夜总会、宴会厅、流动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演出、演播厅、迪斯科、会场等。单 12 寸二分频音箱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额定功率: 400W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阻抗: 8ohms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 40Hz-20KHz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 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扩散角度：90×70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低音: 12 "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高音: 1.75 " × 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板材: 优质夹板 15mm             表面:黑色耐磨粗点喷漆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面罩:黑色网加声学透气棉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箱体尺寸(W*D*H):350*385*600mm       包装尺寸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（W*D*H）:460*490*690mm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73DB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A9E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r>
      <w:tr w14:paraId="74321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63B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B1F7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功放</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F920C">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室内功放 AMP8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AMP-1500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Ω立体声 RMS:750W*2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Ω立体声 RMS:975W*2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限幅保护:可达到 10V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频率响应（1W 8ohms）:20Hz-20KHz(±0.3dB)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灵敏度（8ohms 1KHz）:0.775v/26/32dB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总谐波失真:﹤0.05%@8 Ω 1KHZ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阻尼系数: ≥900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信噪比: ≥105dB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互调失真: ≤0.02%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转换速率: ≥50V/µs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机箱尺寸（W×H×D）:485×88×340mm(2U)</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330C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C43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06281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8"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AB0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2FC5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调音台</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910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调音台；产品简介：自带 USB 及蓝牙播放功能，专业级调音台、整块</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电路板采用又面 SMT 贴片技术，使性能稳定更可靠；8 路通道三段均</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衡、48V 幻像电源、内置效果器，采用开关电源，60MM 超高精密推拉</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电位器。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638B">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030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1A60E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C4C1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E02F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无线话筒</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AB9A">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U302 频率范围:UHF500-890MHz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调制方式:宽带 FM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可调范围:50MHz 信道数目:200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信道间隔:250KHz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频率稳定度:土 0005%以内动态范围:100dB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最大频偏:士 45KHz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音频响应:80Hz-18KHz(土 3dB)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综合信噪比:&gt;105dB 综合失真:$0.5%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工作温度:-10℃-+40℃接收机指标: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接收机方式:二次变频超外差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中频频率:第一中频:110MHz，第二中频 10.7MHz 无线接口:BNC/50Q</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灵敏度:12dBpV(80dBS/N)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灵敏度调节范围:12-32dBuV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杂散抑制: ≥75dB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最大输出电平:+10dBV</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发射器指标: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天线程式:佩挂发射器采用 1/4 波长鞭状天线,手持麦克风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内置螺旋天线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输出功率:高功率 30mW;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低功率 3mW 杂散抑制:-60dB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供电:两节 5 号电池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使用时间:30mW 时大于 4 个小时，3mW 时大于 8 小时；</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0458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D19C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40C1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E1A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7B8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电源时序器</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C846">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产品描述：10 路国标接口，8 路可控电源，2 路直通电源，市电电压</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显示屏幕，空开短路保护，8 路电源可手动临时开启关闭，5 伏usb</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电源充电接口，可为手机和其他电子设备充电，市电滤波。</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技术参数:</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额定输出电压:交流 220V.50Hz</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可控制电源:8 路</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每路动作延时时间:1 秒</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供电电源:VAC 50/60Hz 25A</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每路输出带指示灯</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开关控制电源</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单路额定输出电源:额定 13A 最大 30A</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用途益处：</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电源时序器能够按照由前级设备到后级设备逐个顺序启动电源，关闭</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供电电源时则由后级到前级的顺序关闭各类用电设备，这样就能有效</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的统一管理和控制各类用电设备，避免了人为的失误操作，同时又可</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减低用电设备在开关瞬间对供电电网的冲击，也避免了感生电流对设</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备的冲击，确保了整个用电系统的稳定</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8EE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FC03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DAAA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5B0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D390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机柜</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18AA">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16U；108cm*70cm*53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493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672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E91A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7F61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25E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音响线材</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2F21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2*200、无氧铜 100 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145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E83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 </w:t>
            </w:r>
          </w:p>
        </w:tc>
      </w:tr>
      <w:tr w14:paraId="10E4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3E9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D57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音响吊架</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732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1015A</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194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套</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D2D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r>
      <w:tr w14:paraId="20CC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C74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9129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配件</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86814">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欧插、跳线等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42F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条</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BA2E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4FABB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8F92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F7E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操作台</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84FF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1.2*60 一、操作台外形尺寸为：宽 1200mm(不含侧板尺寸）*深 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 750mm（桌面距地面）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二、操作台下柜体整体为钢制结构，原材料采用一级优质冷轧钢板（表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面磷化，静电喷塑处理）。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三、操作台柜体框架钢制部分采用 0.8mm+1.1mm 厚钢板，门板托盘及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其他 0.8mm 厚钢板。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四、左右双开门，内部一层托盘用于放置物品。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五、颜色（厂家标准）：7035 颜色+黑砂纹颜色。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六、台面：台面选用 25mm 厚颗粒板免漆加工制作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七、侧板颗粒板免漆加工制作。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BCD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DC8B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493F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954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B6D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LED 背景墙</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52F7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青钢龙骨打底、奥松板抚平、防火板饰面</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9856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A2CB">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2850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286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EF7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窗帘</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6793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高 4m 竖拼；12.4m*4.4m /12.4m*4.8m /12.4m*4.3m /8.2m*2.37m</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8.2m*2.15m/ 12.4m*1.9m/ 8.2*2.7m/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813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平方米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B9B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296.8 </w:t>
            </w:r>
          </w:p>
        </w:tc>
      </w:tr>
      <w:tr w14:paraId="1A403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7FC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B82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幕布</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9561">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14m 宽</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D6E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平方米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7F7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224 </w:t>
            </w:r>
          </w:p>
        </w:tc>
      </w:tr>
      <w:tr w14:paraId="00D2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275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BCE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幕布专用电机</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7FF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14.5m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80AC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3C9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14.5 </w:t>
            </w:r>
          </w:p>
        </w:tc>
      </w:tr>
      <w:tr w14:paraId="2B17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5"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B9E7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BAD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LED 单彩屏</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DFA76">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P10；</w:t>
            </w:r>
            <w:r>
              <w:rPr>
                <w:rStyle w:val="34"/>
                <w:rFonts w:hint="eastAsia" w:ascii="宋体" w:hAnsi="宋体" w:eastAsia="宋体" w:cs="宋体"/>
                <w:b w:val="0"/>
                <w:bCs w:val="0"/>
                <w:sz w:val="20"/>
                <w:szCs w:val="20"/>
                <w:lang w:val="en-US" w:eastAsia="zh-CN" w:bidi="ar"/>
              </w:rPr>
              <w:t>管芯参数</w:t>
            </w:r>
            <w:r>
              <w:rPr>
                <w:rStyle w:val="32"/>
                <w:rFonts w:hint="eastAsia" w:ascii="宋体" w:hAnsi="宋体" w:eastAsia="宋体" w:cs="宋体"/>
                <w:sz w:val="20"/>
                <w:szCs w:val="20"/>
                <w:lang w:val="en-US" w:eastAsia="zh-CN" w:bidi="ar"/>
              </w:rPr>
              <w:t>：LED 封装；2121 可视角度水平：120±20 度、垂直：120±20 度</w:t>
            </w:r>
            <w:r>
              <w:rPr>
                <w:rStyle w:val="34"/>
                <w:rFonts w:hint="eastAsia" w:ascii="宋体" w:hAnsi="宋体" w:eastAsia="宋体" w:cs="宋体"/>
                <w:b w:val="0"/>
                <w:bCs w:val="0"/>
                <w:sz w:val="20"/>
                <w:szCs w:val="20"/>
                <w:lang w:val="en-US" w:eastAsia="zh-CN" w:bidi="ar"/>
              </w:rPr>
              <w:t>单元板</w:t>
            </w:r>
            <w:r>
              <w:rPr>
                <w:rStyle w:val="32"/>
                <w:rFonts w:hint="eastAsia" w:ascii="宋体" w:hAnsi="宋体" w:eastAsia="宋体" w:cs="宋体"/>
                <w:b w:val="0"/>
                <w:bCs w:val="0"/>
                <w:sz w:val="20"/>
                <w:szCs w:val="20"/>
                <w:lang w:val="en-US" w:eastAsia="zh-CN" w:bidi="ar"/>
              </w:rPr>
              <w:t xml:space="preserve">  </w:t>
            </w:r>
            <w:r>
              <w:rPr>
                <w:rStyle w:val="34"/>
                <w:rFonts w:hint="eastAsia" w:ascii="宋体" w:hAnsi="宋体" w:eastAsia="宋体" w:cs="宋体"/>
                <w:b w:val="0"/>
                <w:bCs w:val="0"/>
                <w:sz w:val="20"/>
                <w:szCs w:val="20"/>
                <w:lang w:val="en-US" w:eastAsia="zh-CN" w:bidi="ar"/>
              </w:rPr>
              <w:t>技术参数</w:t>
            </w:r>
            <w:r>
              <w:rPr>
                <w:rStyle w:val="32"/>
                <w:rFonts w:hint="eastAsia" w:ascii="宋体" w:hAnsi="宋体" w:eastAsia="宋体" w:cs="宋体"/>
                <w:b w:val="0"/>
                <w:bCs w:val="0"/>
                <w:sz w:val="20"/>
                <w:szCs w:val="20"/>
                <w:lang w:val="en-US" w:eastAsia="zh-CN" w:bidi="ar"/>
              </w:rPr>
              <w:t>；</w:t>
            </w:r>
            <w:r>
              <w:rPr>
                <w:rStyle w:val="32"/>
                <w:rFonts w:hint="eastAsia" w:ascii="宋体" w:hAnsi="宋体" w:eastAsia="宋体" w:cs="宋体"/>
                <w:sz w:val="20"/>
                <w:szCs w:val="20"/>
                <w:lang w:val="en-US" w:eastAsia="zh-CN" w:bidi="ar"/>
              </w:rPr>
              <w:t>像数点间距 4.75mm 像素构成 1R 尺寸(长*宽*厚)304.0* 152.0* 12.0mm；结构特点，灯驱合一、输入电压(直流)；4.8-5.5V 单元板功率；≤32.5W；亮度≥150 cd/㎡；像素密度；44321Dots/㎡单元板分辨率 64*32=2048Dots；重量 0. 184kg ± 0.05kg；最大电流 6.5A±0.1A；驱动方式 1/ 16 扫恒流驱动；</w:t>
            </w:r>
            <w:r>
              <w:rPr>
                <w:rStyle w:val="34"/>
                <w:rFonts w:hint="eastAsia" w:ascii="宋体" w:hAnsi="宋体" w:eastAsia="宋体" w:cs="宋体"/>
                <w:b w:val="0"/>
                <w:bCs w:val="0"/>
                <w:sz w:val="20"/>
                <w:szCs w:val="20"/>
                <w:lang w:val="en-US" w:eastAsia="zh-CN" w:bidi="ar"/>
              </w:rPr>
              <w:t>屏体技术参数</w:t>
            </w:r>
            <w:r>
              <w:rPr>
                <w:rStyle w:val="32"/>
                <w:rFonts w:hint="eastAsia" w:ascii="宋体" w:hAnsi="宋体" w:eastAsia="宋体" w:cs="宋体"/>
                <w:b w:val="0"/>
                <w:bCs w:val="0"/>
                <w:sz w:val="20"/>
                <w:szCs w:val="20"/>
                <w:lang w:val="en-US" w:eastAsia="zh-CN" w:bidi="ar"/>
              </w:rPr>
              <w:t>，幕水平视角 120±20 度；最佳视距≥5.0m；最大功耗≤721W/㎡；亮度均匀性&gt;0.8；屏幕垂直视角 120±20 度盲点率小</w:t>
            </w:r>
            <w:r>
              <w:rPr>
                <w:rStyle w:val="32"/>
                <w:rFonts w:hint="eastAsia" w:ascii="宋体" w:hAnsi="宋体" w:eastAsia="宋体" w:cs="宋体"/>
                <w:b w:val="0"/>
                <w:bCs w:val="0"/>
                <w:sz w:val="20"/>
                <w:szCs w:val="20"/>
                <w:lang w:val="en-US" w:eastAsia="zh-CN" w:bidi="ar"/>
              </w:rPr>
              <w:br w:type="textWrapping"/>
            </w:r>
            <w:r>
              <w:rPr>
                <w:rStyle w:val="32"/>
                <w:rFonts w:hint="eastAsia" w:ascii="宋体" w:hAnsi="宋体" w:eastAsia="宋体" w:cs="宋体"/>
                <w:b w:val="0"/>
                <w:bCs w:val="0"/>
                <w:sz w:val="20"/>
                <w:szCs w:val="20"/>
                <w:lang w:val="en-US" w:eastAsia="zh-CN" w:bidi="ar"/>
              </w:rPr>
              <w:t>于万分之三；使用环境室内。</w:t>
            </w:r>
            <w:r>
              <w:rPr>
                <w:rStyle w:val="34"/>
                <w:rFonts w:hint="eastAsia" w:ascii="宋体" w:hAnsi="宋体" w:eastAsia="宋体" w:cs="宋体"/>
                <w:b w:val="0"/>
                <w:bCs w:val="0"/>
                <w:sz w:val="20"/>
                <w:szCs w:val="20"/>
                <w:lang w:val="en-US" w:eastAsia="zh-CN" w:bidi="ar"/>
              </w:rPr>
              <w:t>系统控制参数</w:t>
            </w:r>
            <w:r>
              <w:rPr>
                <w:rStyle w:val="32"/>
                <w:rFonts w:hint="eastAsia" w:ascii="宋体" w:hAnsi="宋体" w:eastAsia="宋体" w:cs="宋体"/>
                <w:sz w:val="20"/>
                <w:szCs w:val="20"/>
                <w:lang w:val="en-US" w:eastAsia="zh-CN" w:bidi="ar"/>
              </w:rPr>
              <w:t>；灰度等级 0-256 级可选换帖频率≥60 帖/秒；控制方式；计算机控制，逐点一一对应，视频同步，实时显示 DVI/VGA ，视频(多种制式)输入信号；RGBHV 、复合视频信号、S-VIDEO YpbPr(HDTV)使用寿命≥10 万小时衰减率(工作 3 年)≤15%；离散失控点，＜0.0001 ，出厂时为 0；工作温度范围-20 至 50℃; 防护性能，超温/过载/掉电/图像补偿/各种校正技术/过流/过压/防雷(可选项)保修年限；壹年免费返厂维修(具体以产品购销合同签订为准)屏幕水平平整度屏幕水平平整度；屏幕垂</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直平整度＜1mm/㎡；平均故障时间≥1 万小时；连续失控点 0；盲点 率＜0.0001，出厂时为 0；工作湿度范围 10％至 90％RH；</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D574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平方米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221A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r>
      <w:tr w14:paraId="6AFC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EA1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6E3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桌子</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71FEB">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匠心定制白色实木多功能办公桌（折叠，万向轮）   1.2m *40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8C73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035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r>
      <w:tr w14:paraId="2BAD5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6550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4D7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椅子</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C783">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匠心定制多功能（折叠），带写字板；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760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E6D1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r>
      <w:tr w14:paraId="23A2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C89B">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E5D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椅子</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553A4">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匠心定制（折叠）</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914D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把</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309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 </w:t>
            </w:r>
          </w:p>
        </w:tc>
      </w:tr>
      <w:tr w14:paraId="15B35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9547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A8FB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光束摇头灯</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474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技术参数：</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1.灯泡提供型号：  PHILIPS/OSRAM/凤凰泡 230w</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2.控制：控制开关灯泡或手动</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3.镇流器：电子镇流器（380V 输入）</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4.电源：开关电源（100-240V 输入）</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5.主色盘：14 种彩色+白光 , 彩虹效果,14 种彩色线性混 6,图案</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盘：17 固定图案+白光</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图案流水效果,图案振晃效果</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图案任意角度定位,图案顺逆时针旋转</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7.频闪: 独立频闪通道,1-10 次/秒,内置宏功能</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8.调光: 独立的调光通道,0-100 线性精确调光</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9.雾化: 独立线性雾化</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10.特殊效果: 十六棱镜效果, 放大效果</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棱镜及任意角度定位,旋转, 棱镜图案组合内置程序</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精准电动对焦11.X/Y 轴运动：  X 轴 540 ° , Y 轴 280 ° , X/Y 轴具有自动纠错功能独立的 X/Y 轴速度调节，旋转微调功能</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12.X/Y 轴解析率：  8/16 bit</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13.控制与编程：  16 个标准 DMX512 通道</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内置麦克风实现声控效果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1F6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D65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1A8CB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228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BB7A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舞台全彩帕灯</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1FFA1">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全彩，三合一。光源：54 颗 3 瓦 W LED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颜色:黑色(铸铝合金)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输入电压:AC10-220V50-60Hz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净重:44G(含遮光罩)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★散热方式:风机散热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★寿命:6-10 万小时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★光源:白光/暖光白光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尺寸:36*25*25(CM)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通道:8 通道数码显示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★模式:DMX512 自主自走声控遥控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特点:婚庆、KⅣ、酒吧、舞台。演出所等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4C57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90A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r>
      <w:tr w14:paraId="5B59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462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E34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COB 面光灯</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F62A">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电压：AC  110V-220V/50-60HZ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总功率：130-200W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光源：COB 三合一 LED 灯珠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通道模式：3/7CHS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光源寿命：50000-100000  hours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调光频率：1000Hz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驱动电流：700mA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控制信号：DMX512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控制模式： 自走，主从（声控/自走/DMX/主从联机）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DMX 通道：6 通道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发光角度：45 °/80 °  可选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净重/毛重：2.5/3KG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尺寸：260*260*380mm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2FE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809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r>
      <w:tr w14:paraId="4723D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0"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6C0D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15E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调光台</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1281">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可控制 12/24 台 16 通道电脑灯；可存储场景 12 个/24 个，程序 12</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个；程序最大步数为 20/40 步，程序总 240/480 步。总通道为 240</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个调光通道为 48 个，可分控，点控，集控；LCD 液晶显视屏，16*2</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字符；电压：220V±10%    50Hz；体积：L483  x  W178  x  H80；</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重量：4.3KG05（mm）</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481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CF7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D0AF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152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B7A5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8 路信号放大器</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4D1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输入电源：AC110V-240V,频率 50Hz-60Hz</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输入信号接口：国际标准 DMX512 信号，</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三芯镀金卡侬公座母座并接</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输出信号接口采用三芯镀金卡侬母座.</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外形尺寸(mm)：483mm×255mm×45mm</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单机重量：3.3KG</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FBB2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E5D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655D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BD6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31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5A1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电源线</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F01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2.5 平方无氧铜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D12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A94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r>
      <w:tr w14:paraId="35803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217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2AC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卡农头</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050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舞台灯光专用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235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BA9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68 </w:t>
            </w:r>
          </w:p>
        </w:tc>
      </w:tr>
      <w:tr w14:paraId="296EF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876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5F4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信号线</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104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120p 无氧铜</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C14EB">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盘</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E531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7A4E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7075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724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灯架</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FAAE">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14m 3 道 专用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D591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8EF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r>
      <w:tr w14:paraId="50A9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99F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35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E3E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施工辅材</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D9D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国优；¢20mm 及¢25mm 直径管道三通，对接头，电胶带，设备间连接</w:t>
            </w:r>
            <w:r>
              <w:rPr>
                <w:rStyle w:val="32"/>
                <w:rFonts w:hint="eastAsia" w:ascii="宋体" w:hAnsi="宋体" w:eastAsia="宋体" w:cs="宋体"/>
                <w:sz w:val="20"/>
                <w:szCs w:val="20"/>
                <w:lang w:val="en-US" w:eastAsia="zh-CN" w:bidi="ar"/>
              </w:rPr>
              <w:br w:type="textWrapping"/>
            </w:r>
            <w:r>
              <w:rPr>
                <w:rStyle w:val="32"/>
                <w:rFonts w:hint="eastAsia" w:ascii="宋体" w:hAnsi="宋体" w:eastAsia="宋体" w:cs="宋体"/>
                <w:sz w:val="20"/>
                <w:szCs w:val="20"/>
                <w:lang w:val="en-US" w:eastAsia="zh-CN" w:bidi="ar"/>
              </w:rPr>
              <w:t>线，焊接件，插头等；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01C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886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10FC0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DBA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17B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顶棚灯</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852D">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90、12W 白光 三雄激光</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513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FD17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75 </w:t>
            </w:r>
          </w:p>
        </w:tc>
      </w:tr>
      <w:tr w14:paraId="0C4CB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54C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37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7EE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灯光线路</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D85ED">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2.5 铜线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CAB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BB6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r>
      <w:tr w14:paraId="723B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35EC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38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B98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报告厅扣板</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BC13">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防火 A 级扣板</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F7C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平方米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6B09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 </w:t>
            </w:r>
          </w:p>
        </w:tc>
      </w:tr>
      <w:tr w14:paraId="4E4CA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AF5E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8C6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4X6 方管（1.3）</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E989C">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4X6/厚度 1.3/单根长 6 米</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6CA4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DDABB">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86 </w:t>
            </w:r>
          </w:p>
        </w:tc>
      </w:tr>
      <w:tr w14:paraId="7B8FE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5FB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E336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建筑模板</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C776">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1.22*2.44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B25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AE5B">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r>
      <w:tr w14:paraId="1116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F1D3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770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实木板</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8E5A">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1.22*2.44</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497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张</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7AA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29 </w:t>
            </w:r>
          </w:p>
        </w:tc>
      </w:tr>
      <w:tr w14:paraId="07E2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DA97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42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A9177">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木地板</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280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1.2*0.2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C68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平方米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414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r>
      <w:tr w14:paraId="46B1E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BB6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674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30 直钉</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A825">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国标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DE2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盒</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B71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r>
      <w:tr w14:paraId="5736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D5A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44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462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角码</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6FF3">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专用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40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42C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14:paraId="17EB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F80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45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EA4B">
            <w:pPr>
              <w:keepNext w:val="0"/>
              <w:keepLines/>
              <w:pageBreakBefore w:val="0"/>
              <w:widowControl/>
              <w:suppressLineNumbers w:val="0"/>
              <w:kinsoku/>
              <w:wordWrap/>
              <w:overflowPunct/>
              <w:topLinePunct w:val="0"/>
              <w:autoSpaceDE/>
              <w:autoSpaceDN/>
              <w:bidi w:val="0"/>
              <w:adjustRightInd/>
              <w:snapToGrid/>
              <w:ind w:firstLineChars="100"/>
              <w:jc w:val="righ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膨胀丝（10X80）</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D570">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10*80</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6119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个</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3F892">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 </w:t>
            </w:r>
          </w:p>
        </w:tc>
      </w:tr>
      <w:tr w14:paraId="5B2D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AD2DC">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728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金属压边条</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58A2">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2*0.03</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0B9D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D214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14:paraId="1AF7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77AF">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2E08">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收边条</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A126">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1. 2*0.02</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22366">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17C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r>
      <w:tr w14:paraId="4E326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CEB4">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935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电焊费用</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8919F">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工时费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F91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平方米</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3B2B">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81 </w:t>
            </w:r>
          </w:p>
        </w:tc>
      </w:tr>
      <w:tr w14:paraId="02D5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74F9">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49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AF9A">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木地板铺设费用</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608D">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工时费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6BB65">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3B331">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r>
      <w:tr w14:paraId="0FA62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16C3">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50 </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E3CE">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顶棚抬高</w:t>
            </w:r>
          </w:p>
        </w:tc>
        <w:tc>
          <w:tcPr>
            <w:tcW w:w="6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ED56">
            <w:pPr>
              <w:keepNext w:val="0"/>
              <w:keepLines/>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拆除安装重新吊顶 400 余平方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0A4D">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Style w:val="32"/>
                <w:rFonts w:hint="eastAsia" w:ascii="宋体" w:hAnsi="宋体" w:eastAsia="宋体" w:cs="宋体"/>
                <w:sz w:val="20"/>
                <w:szCs w:val="20"/>
                <w:lang w:val="en-US" w:eastAsia="zh-CN" w:bidi="ar"/>
              </w:rPr>
              <w:t>项</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67A60">
            <w:pPr>
              <w:keepNext w:val="0"/>
              <w:keepLines/>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r>
    </w:tbl>
    <w:p w14:paraId="1811E599">
      <w:pPr>
        <w:pageBreakBefore w:val="0"/>
        <w:kinsoku/>
        <w:wordWrap w:val="0"/>
        <w:overflowPunct/>
        <w:topLinePunct w:val="0"/>
        <w:bidi w:val="0"/>
        <w:spacing w:line="440" w:lineRule="exact"/>
        <w:ind w:left="-1100" w:leftChars="-500" w:firstLine="0" w:firstLineChars="0"/>
        <w:jc w:val="center"/>
        <w:rPr>
          <w:rFonts w:hint="eastAsia" w:ascii="宋体" w:hAnsi="宋体"/>
          <w:b/>
          <w:bCs/>
          <w:color w:val="auto"/>
          <w:sz w:val="32"/>
          <w:szCs w:val="40"/>
        </w:rPr>
      </w:pPr>
    </w:p>
    <w:p w14:paraId="0CF19446">
      <w:pPr>
        <w:pageBreakBefore w:val="0"/>
        <w:kinsoku/>
        <w:wordWrap w:val="0"/>
        <w:overflowPunct/>
        <w:topLinePunct w:val="0"/>
        <w:bidi w:val="0"/>
        <w:spacing w:line="440" w:lineRule="exact"/>
        <w:jc w:val="center"/>
        <w:rPr>
          <w:rFonts w:hint="eastAsia" w:ascii="宋体" w:hAnsi="宋体"/>
          <w:b/>
          <w:bCs/>
          <w:color w:val="auto"/>
          <w:sz w:val="32"/>
          <w:szCs w:val="40"/>
        </w:rPr>
      </w:pPr>
    </w:p>
    <w:p w14:paraId="63693792">
      <w:pPr>
        <w:pageBreakBefore w:val="0"/>
        <w:kinsoku/>
        <w:wordWrap w:val="0"/>
        <w:overflowPunct/>
        <w:topLinePunct w:val="0"/>
        <w:bidi w:val="0"/>
        <w:spacing w:line="440" w:lineRule="exact"/>
        <w:jc w:val="center"/>
        <w:rPr>
          <w:rFonts w:ascii="宋体" w:hAnsi="宋体"/>
          <w:b/>
          <w:bCs/>
          <w:color w:val="auto"/>
          <w:kern w:val="0"/>
          <w:sz w:val="32"/>
          <w:szCs w:val="40"/>
          <w:shd w:val="clear" w:color="auto" w:fill="FFFF00"/>
        </w:rPr>
      </w:pPr>
      <w:r>
        <w:rPr>
          <w:rFonts w:hint="eastAsia" w:ascii="宋体" w:hAnsi="宋体"/>
          <w:b/>
          <w:bCs/>
          <w:color w:val="auto"/>
          <w:sz w:val="32"/>
          <w:szCs w:val="40"/>
        </w:rPr>
        <w:t>第四章  评标办法</w:t>
      </w:r>
    </w:p>
    <w:p w14:paraId="38A7A923">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 电子化投标文件的评审、比较和否决</w:t>
      </w:r>
    </w:p>
    <w:p w14:paraId="075A314C">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1.1评标委员会将按照招标文件的规定，仅对在实质上响应招标文件要求的电子化投标文件进行评估和比较。</w:t>
      </w:r>
    </w:p>
    <w:p w14:paraId="75B0509F">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1.2根据相关法律法规及有关招投标文件规定，结合本项目具体情况，制定本次招标评标办法。并按照“公平、公正、科学、择优”的原则进行评标。采用综合评分法进行评比。</w:t>
      </w:r>
    </w:p>
    <w:p w14:paraId="016E4B68">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1.3在评审过程中，评标委员会可以以书面形式要求投标供应商就电子化投标文件中含义不明确的内容进行书面说明并提供相关材料；凡遇到招标文件中无界定或界定不清、前后不一致使评委会成员意见有分歧且又难于协商一致的问题，均由评委会予以表决，获半数以上同意的即为通过，未获半数同意的即为否决。</w:t>
      </w:r>
    </w:p>
    <w:p w14:paraId="6478D0CD">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1.4评标时，投标报价是评标的重要依据，但不是唯一依据，采购人不承诺将合同授予报价最低或最高的投标供应商。</w:t>
      </w:r>
    </w:p>
    <w:p w14:paraId="0D33A07D">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1.5评标委员会依据本须知规定的评标标准和方法，对电子化投标文件进行评审和比较，向采购人提出书面评标报告，并推荐合格的中标候选人。采购人授权评标委员会根据提出的书面评标报告和推荐的中标候选人按序确定中标供应商。</w:t>
      </w:r>
    </w:p>
    <w:p w14:paraId="23AAE04B">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2．评分标准(采用综合评分法)</w:t>
      </w:r>
    </w:p>
    <w:p w14:paraId="6B6F616B">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评标委员会按照《中华人民共和国政府采购法》和《评标委员会和评标方法暂行规定》，结合本项目具体情况，按下列标准打分：</w:t>
      </w:r>
    </w:p>
    <w:p w14:paraId="07ED870D">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第一部分：报价得分；第二部分：技术标评审；第三部分：商务标评审。</w:t>
      </w:r>
    </w:p>
    <w:p w14:paraId="6094E861">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投标供应商得分=报价得分+技术标评审得分+商务标评审得分。投标供应商的最终得分为各评委所评定分数的算术平均值。</w:t>
      </w:r>
    </w:p>
    <w:p w14:paraId="6FE87A0B">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3. 评审程序</w:t>
      </w:r>
    </w:p>
    <w:p w14:paraId="25C26DB1">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3.1资格性审查</w:t>
      </w:r>
    </w:p>
    <w:p w14:paraId="752E6852">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由采购人或者采购代理机构人员按照招标文件第二章投标供应商须知前附表的要求，对投标供应商进行审查，有一项不符合的，视为未通过资格审查，不得进入下一评标过程。</w:t>
      </w:r>
    </w:p>
    <w:p w14:paraId="6203E698">
      <w:pPr>
        <w:spacing w:line="360" w:lineRule="auto"/>
        <w:ind w:firstLine="410" w:firstLineChars="171"/>
        <w:rPr>
          <w:rFonts w:hint="default" w:cstheme="minorBidi"/>
          <w:kern w:val="0"/>
          <w:sz w:val="24"/>
          <w:szCs w:val="22"/>
          <w:lang w:val="en-US" w:eastAsia="zh-CN" w:bidi="ar"/>
        </w:rPr>
      </w:pPr>
      <w:r>
        <w:rPr>
          <w:rFonts w:hint="eastAsia" w:cstheme="minorBidi"/>
          <w:kern w:val="0"/>
          <w:sz w:val="24"/>
          <w:szCs w:val="22"/>
          <w:lang w:val="en-US" w:eastAsia="zh-CN" w:bidi="ar"/>
        </w:rPr>
        <w:t>3.2 形式和响应性审查</w:t>
      </w:r>
    </w:p>
    <w:p w14:paraId="1C89B78E">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由评标委员会按照下列内容进行形式和响应性审查，有一项不通过，视为未通过该项审查，不得进入下一评标过程。</w:t>
      </w:r>
    </w:p>
    <w:p w14:paraId="5BFFACF4">
      <w:pPr>
        <w:spacing w:line="360" w:lineRule="auto"/>
        <w:ind w:firstLine="410" w:firstLineChars="171"/>
        <w:rPr>
          <w:rFonts w:hint="eastAsia" w:cstheme="minorBidi"/>
          <w:kern w:val="0"/>
          <w:sz w:val="24"/>
          <w:szCs w:val="22"/>
          <w:lang w:val="en-US" w:eastAsia="zh-CN" w:bidi="ar"/>
        </w:rPr>
      </w:pPr>
    </w:p>
    <w:p w14:paraId="486B622F">
      <w:pPr>
        <w:pageBreakBefore w:val="0"/>
        <w:kinsoku/>
        <w:wordWrap w:val="0"/>
        <w:overflowPunct/>
        <w:topLinePunct w:val="0"/>
        <w:bidi w:val="0"/>
        <w:rPr>
          <w:rFonts w:hint="eastAsia" w:asciiTheme="minorEastAsia" w:hAnsiTheme="minorEastAsia" w:eastAsiaTheme="minorEastAsia" w:cstheme="minorEastAsia"/>
          <w:color w:val="auto"/>
          <w:sz w:val="21"/>
          <w:szCs w:val="21"/>
        </w:rPr>
      </w:pPr>
    </w:p>
    <w:p w14:paraId="46081E56">
      <w:pPr>
        <w:pStyle w:val="6"/>
        <w:pageBreakBefore w:val="0"/>
        <w:kinsoku/>
        <w:wordWrap w:val="0"/>
        <w:overflowPunct/>
        <w:topLinePunct w:val="0"/>
        <w:bidi w:val="0"/>
        <w:rPr>
          <w:rFonts w:hint="eastAsia" w:asciiTheme="minorEastAsia" w:hAnsiTheme="minorEastAsia" w:eastAsiaTheme="minorEastAsia" w:cstheme="minorEastAsia"/>
          <w:color w:val="auto"/>
          <w:sz w:val="21"/>
          <w:szCs w:val="21"/>
        </w:rPr>
      </w:pPr>
    </w:p>
    <w:tbl>
      <w:tblPr>
        <w:tblStyle w:val="19"/>
        <w:tblW w:w="9819" w:type="dxa"/>
        <w:tblInd w:w="-188"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12"/>
        <w:gridCol w:w="825"/>
        <w:gridCol w:w="1181"/>
        <w:gridCol w:w="2114"/>
        <w:gridCol w:w="4987"/>
      </w:tblGrid>
      <w:tr w14:paraId="5DD85BB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83" w:hRule="atLeast"/>
        </w:trPr>
        <w:tc>
          <w:tcPr>
            <w:tcW w:w="712" w:type="dxa"/>
            <w:tcBorders>
              <w:top w:val="single" w:color="auto" w:sz="4" w:space="0"/>
              <w:left w:val="single" w:color="auto" w:sz="4" w:space="0"/>
              <w:bottom w:val="single" w:color="auto" w:sz="4" w:space="0"/>
              <w:right w:val="single" w:color="auto" w:sz="4" w:space="0"/>
            </w:tcBorders>
            <w:vAlign w:val="center"/>
          </w:tcPr>
          <w:p w14:paraId="05CC825E">
            <w:pPr>
              <w:adjustRightInd w:val="0"/>
              <w:spacing w:line="360" w:lineRule="auto"/>
              <w:jc w:val="center"/>
              <w:textAlignment w:val="baseline"/>
              <w:rPr>
                <w:rFonts w:ascii="宋体" w:hAnsi="宋体" w:cs="宋体"/>
                <w:b/>
                <w:color w:val="auto"/>
                <w:sz w:val="21"/>
                <w:szCs w:val="21"/>
              </w:rPr>
            </w:pPr>
            <w:r>
              <w:rPr>
                <w:rFonts w:hint="eastAsia" w:ascii="宋体" w:hAnsi="宋体" w:cs="宋体"/>
                <w:b/>
                <w:color w:val="auto"/>
                <w:sz w:val="21"/>
                <w:szCs w:val="21"/>
                <w:lang w:bidi="ar"/>
              </w:rPr>
              <w:t>编号</w:t>
            </w:r>
          </w:p>
        </w:tc>
        <w:tc>
          <w:tcPr>
            <w:tcW w:w="2006" w:type="dxa"/>
            <w:gridSpan w:val="2"/>
            <w:tcBorders>
              <w:top w:val="single" w:color="auto" w:sz="4" w:space="0"/>
              <w:left w:val="nil"/>
              <w:bottom w:val="single" w:color="auto" w:sz="4" w:space="0"/>
              <w:right w:val="single" w:color="auto" w:sz="4" w:space="0"/>
            </w:tcBorders>
            <w:vAlign w:val="center"/>
          </w:tcPr>
          <w:p w14:paraId="18640989">
            <w:pPr>
              <w:adjustRightInd w:val="0"/>
              <w:spacing w:line="360" w:lineRule="auto"/>
              <w:jc w:val="center"/>
              <w:textAlignment w:val="baseline"/>
              <w:rPr>
                <w:rFonts w:ascii="宋体" w:hAnsi="宋体" w:cs="宋体"/>
                <w:b/>
                <w:color w:val="auto"/>
                <w:sz w:val="21"/>
                <w:szCs w:val="21"/>
              </w:rPr>
            </w:pPr>
            <w:r>
              <w:rPr>
                <w:rFonts w:hint="eastAsia" w:ascii="宋体" w:hAnsi="宋体" w:cs="宋体"/>
                <w:b/>
                <w:color w:val="auto"/>
                <w:sz w:val="21"/>
                <w:szCs w:val="21"/>
                <w:lang w:bidi="ar"/>
              </w:rPr>
              <w:t>条款号</w:t>
            </w:r>
          </w:p>
        </w:tc>
        <w:tc>
          <w:tcPr>
            <w:tcW w:w="2114" w:type="dxa"/>
            <w:tcBorders>
              <w:top w:val="single" w:color="auto" w:sz="4" w:space="0"/>
              <w:left w:val="single" w:color="auto" w:sz="4" w:space="0"/>
              <w:bottom w:val="single" w:color="auto" w:sz="4" w:space="0"/>
              <w:right w:val="single" w:color="auto" w:sz="4" w:space="0"/>
            </w:tcBorders>
            <w:vAlign w:val="center"/>
          </w:tcPr>
          <w:p w14:paraId="08B8F9F2">
            <w:pPr>
              <w:adjustRightInd w:val="0"/>
              <w:spacing w:line="360" w:lineRule="auto"/>
              <w:jc w:val="center"/>
              <w:textAlignment w:val="baseline"/>
              <w:rPr>
                <w:rFonts w:ascii="宋体" w:hAnsi="宋体" w:cs="宋体"/>
                <w:b/>
                <w:color w:val="auto"/>
                <w:sz w:val="21"/>
                <w:szCs w:val="21"/>
              </w:rPr>
            </w:pPr>
            <w:r>
              <w:rPr>
                <w:rFonts w:hint="eastAsia" w:ascii="宋体" w:hAnsi="宋体" w:cs="宋体"/>
                <w:b/>
                <w:color w:val="auto"/>
                <w:sz w:val="21"/>
                <w:szCs w:val="21"/>
                <w:lang w:bidi="ar"/>
              </w:rPr>
              <w:t>评审因素</w:t>
            </w:r>
          </w:p>
        </w:tc>
        <w:tc>
          <w:tcPr>
            <w:tcW w:w="4987" w:type="dxa"/>
            <w:tcBorders>
              <w:top w:val="single" w:color="auto" w:sz="4" w:space="0"/>
              <w:left w:val="single" w:color="auto" w:sz="4" w:space="0"/>
              <w:bottom w:val="single" w:color="auto" w:sz="4" w:space="0"/>
              <w:right w:val="single" w:color="auto" w:sz="4" w:space="0"/>
            </w:tcBorders>
            <w:vAlign w:val="center"/>
          </w:tcPr>
          <w:p w14:paraId="755C9E2F">
            <w:pPr>
              <w:adjustRightInd w:val="0"/>
              <w:spacing w:line="360" w:lineRule="auto"/>
              <w:jc w:val="center"/>
              <w:textAlignment w:val="baseline"/>
              <w:rPr>
                <w:rFonts w:ascii="宋体" w:hAnsi="宋体" w:cs="宋体"/>
                <w:b/>
                <w:color w:val="auto"/>
                <w:sz w:val="21"/>
                <w:szCs w:val="21"/>
              </w:rPr>
            </w:pPr>
            <w:r>
              <w:rPr>
                <w:rFonts w:hint="eastAsia" w:ascii="宋体" w:hAnsi="宋体" w:cs="宋体"/>
                <w:b/>
                <w:color w:val="auto"/>
                <w:sz w:val="21"/>
                <w:szCs w:val="21"/>
                <w:lang w:bidi="ar"/>
              </w:rPr>
              <w:t>评审标准</w:t>
            </w:r>
          </w:p>
        </w:tc>
      </w:tr>
      <w:tr w14:paraId="62ACBE5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6" w:hRule="atLeast"/>
        </w:trPr>
        <w:tc>
          <w:tcPr>
            <w:tcW w:w="712" w:type="dxa"/>
            <w:vMerge w:val="restart"/>
            <w:tcBorders>
              <w:top w:val="single" w:color="auto" w:sz="4" w:space="0"/>
              <w:left w:val="single" w:color="auto" w:sz="4" w:space="0"/>
              <w:bottom w:val="single" w:color="auto" w:sz="4" w:space="0"/>
              <w:right w:val="single" w:color="auto" w:sz="4" w:space="0"/>
            </w:tcBorders>
            <w:vAlign w:val="center"/>
          </w:tcPr>
          <w:p w14:paraId="75B60A50">
            <w:pPr>
              <w:adjustRightInd w:val="0"/>
              <w:spacing w:line="360" w:lineRule="auto"/>
              <w:jc w:val="center"/>
              <w:textAlignment w:val="baseline"/>
              <w:rPr>
                <w:rFonts w:ascii="宋体" w:hAnsi="宋体" w:cs="宋体"/>
                <w:color w:val="auto"/>
                <w:sz w:val="21"/>
                <w:szCs w:val="21"/>
              </w:rPr>
            </w:pPr>
            <w:r>
              <w:rPr>
                <w:rFonts w:hint="eastAsia" w:ascii="宋体" w:hAnsi="宋体" w:cs="宋体"/>
                <w:color w:val="auto"/>
                <w:sz w:val="21"/>
                <w:szCs w:val="21"/>
                <w:lang w:bidi="ar"/>
              </w:rPr>
              <w:t>1</w:t>
            </w:r>
          </w:p>
        </w:tc>
        <w:tc>
          <w:tcPr>
            <w:tcW w:w="825" w:type="dxa"/>
            <w:vMerge w:val="restart"/>
            <w:tcBorders>
              <w:top w:val="single" w:color="auto" w:sz="4" w:space="0"/>
              <w:left w:val="nil"/>
              <w:bottom w:val="single" w:color="auto" w:sz="4" w:space="0"/>
              <w:right w:val="single" w:color="auto" w:sz="4" w:space="0"/>
            </w:tcBorders>
            <w:vAlign w:val="center"/>
          </w:tcPr>
          <w:p w14:paraId="1AE05387">
            <w:pPr>
              <w:adjustRightInd w:val="0"/>
              <w:spacing w:line="360" w:lineRule="auto"/>
              <w:jc w:val="center"/>
              <w:textAlignment w:val="baseline"/>
              <w:rPr>
                <w:rFonts w:ascii="宋体" w:hAnsi="宋体" w:cs="宋体"/>
                <w:color w:val="auto"/>
                <w:sz w:val="21"/>
                <w:szCs w:val="21"/>
              </w:rPr>
            </w:pPr>
            <w:r>
              <w:rPr>
                <w:rFonts w:hint="eastAsia" w:ascii="宋体" w:hAnsi="宋体" w:cs="宋体"/>
                <w:color w:val="auto"/>
                <w:sz w:val="21"/>
                <w:szCs w:val="21"/>
                <w:lang w:bidi="ar"/>
              </w:rPr>
              <w:t>2.1.1</w:t>
            </w:r>
          </w:p>
        </w:tc>
        <w:tc>
          <w:tcPr>
            <w:tcW w:w="1181" w:type="dxa"/>
            <w:vMerge w:val="restart"/>
            <w:tcBorders>
              <w:top w:val="single" w:color="auto" w:sz="4" w:space="0"/>
              <w:left w:val="nil"/>
              <w:bottom w:val="single" w:color="auto" w:sz="4" w:space="0"/>
              <w:right w:val="single" w:color="auto" w:sz="4" w:space="0"/>
            </w:tcBorders>
            <w:vAlign w:val="center"/>
          </w:tcPr>
          <w:p w14:paraId="4D5C8730">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形式评审标准</w:t>
            </w:r>
          </w:p>
        </w:tc>
        <w:tc>
          <w:tcPr>
            <w:tcW w:w="2114" w:type="dxa"/>
            <w:tcBorders>
              <w:top w:val="single" w:color="auto" w:sz="4" w:space="0"/>
              <w:left w:val="single" w:color="auto" w:sz="4" w:space="0"/>
              <w:bottom w:val="single" w:color="auto" w:sz="4" w:space="0"/>
              <w:right w:val="single" w:color="auto" w:sz="4" w:space="0"/>
            </w:tcBorders>
            <w:vAlign w:val="center"/>
          </w:tcPr>
          <w:p w14:paraId="3D412370">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响应人名称</w:t>
            </w:r>
          </w:p>
        </w:tc>
        <w:tc>
          <w:tcPr>
            <w:tcW w:w="4987" w:type="dxa"/>
            <w:tcBorders>
              <w:top w:val="single" w:color="auto" w:sz="4" w:space="0"/>
              <w:left w:val="single" w:color="auto" w:sz="4" w:space="0"/>
              <w:bottom w:val="single" w:color="auto" w:sz="4" w:space="0"/>
              <w:right w:val="single" w:color="auto" w:sz="4" w:space="0"/>
            </w:tcBorders>
            <w:vAlign w:val="center"/>
          </w:tcPr>
          <w:p w14:paraId="2946FEAD">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与营业执照或法人证书、资质证书一致</w:t>
            </w:r>
          </w:p>
        </w:tc>
      </w:tr>
      <w:tr w14:paraId="7A8C004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7D7A0F34">
            <w:pPr>
              <w:spacing w:line="360" w:lineRule="auto"/>
              <w:rPr>
                <w:rFonts w:ascii="宋体" w:hAnsi="宋体" w:cs="宋体"/>
                <w:color w:val="auto"/>
                <w:sz w:val="21"/>
                <w:szCs w:val="21"/>
              </w:rPr>
            </w:pPr>
          </w:p>
        </w:tc>
        <w:tc>
          <w:tcPr>
            <w:tcW w:w="825" w:type="dxa"/>
            <w:vMerge w:val="continue"/>
            <w:tcBorders>
              <w:top w:val="single" w:color="auto" w:sz="4" w:space="0"/>
              <w:left w:val="nil"/>
              <w:bottom w:val="single" w:color="auto" w:sz="4" w:space="0"/>
              <w:right w:val="single" w:color="auto" w:sz="4" w:space="0"/>
            </w:tcBorders>
            <w:vAlign w:val="center"/>
          </w:tcPr>
          <w:p w14:paraId="514A843C">
            <w:pPr>
              <w:spacing w:line="360" w:lineRule="auto"/>
              <w:rPr>
                <w:rFonts w:ascii="宋体" w:hAnsi="宋体" w:cs="宋体"/>
                <w:color w:val="auto"/>
                <w:sz w:val="21"/>
                <w:szCs w:val="21"/>
              </w:rPr>
            </w:pPr>
          </w:p>
        </w:tc>
        <w:tc>
          <w:tcPr>
            <w:tcW w:w="1181" w:type="dxa"/>
            <w:vMerge w:val="continue"/>
            <w:tcBorders>
              <w:top w:val="single" w:color="auto" w:sz="4" w:space="0"/>
              <w:left w:val="nil"/>
              <w:bottom w:val="single" w:color="auto" w:sz="4" w:space="0"/>
              <w:right w:val="single" w:color="auto" w:sz="4" w:space="0"/>
            </w:tcBorders>
            <w:vAlign w:val="center"/>
          </w:tcPr>
          <w:p w14:paraId="1A3E0349">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1FCBF4D6">
            <w:pPr>
              <w:spacing w:line="360" w:lineRule="auto"/>
              <w:rPr>
                <w:rFonts w:hint="eastAsia" w:cstheme="minorBidi"/>
                <w:kern w:val="0"/>
                <w:sz w:val="24"/>
                <w:szCs w:val="22"/>
                <w:lang w:val="en-US" w:eastAsia="zh-CN" w:bidi="ar"/>
              </w:rPr>
            </w:pPr>
            <w:r>
              <w:rPr>
                <w:rFonts w:hint="eastAsia" w:ascii="宋体" w:hAnsi="宋体" w:eastAsia="宋体" w:cs="宋体"/>
                <w:kern w:val="0"/>
                <w:sz w:val="24"/>
                <w:szCs w:val="24"/>
              </w:rPr>
              <w:t>响应文件盖章</w:t>
            </w:r>
          </w:p>
        </w:tc>
        <w:tc>
          <w:tcPr>
            <w:tcW w:w="4987" w:type="dxa"/>
            <w:tcBorders>
              <w:top w:val="single" w:color="auto" w:sz="4" w:space="0"/>
              <w:left w:val="single" w:color="auto" w:sz="4" w:space="0"/>
              <w:bottom w:val="single" w:color="auto" w:sz="4" w:space="0"/>
              <w:right w:val="single" w:color="auto" w:sz="4" w:space="0"/>
            </w:tcBorders>
            <w:vAlign w:val="center"/>
          </w:tcPr>
          <w:p w14:paraId="416DEBDE">
            <w:pPr>
              <w:spacing w:line="360" w:lineRule="auto"/>
              <w:ind w:firstLine="410" w:firstLineChars="171"/>
              <w:rPr>
                <w:rFonts w:hint="eastAsia" w:cstheme="minorBidi"/>
                <w:kern w:val="0"/>
                <w:sz w:val="24"/>
                <w:szCs w:val="22"/>
                <w:lang w:val="en-US" w:eastAsia="zh-CN" w:bidi="ar"/>
              </w:rPr>
            </w:pPr>
            <w:r>
              <w:rPr>
                <w:rFonts w:hint="eastAsia" w:ascii="宋体" w:hAnsi="宋体" w:eastAsia="宋体" w:cs="宋体"/>
                <w:kern w:val="0"/>
                <w:sz w:val="24"/>
                <w:szCs w:val="24"/>
              </w:rPr>
              <w:t>符合竞争性磋商文件要求的签字、盖章</w:t>
            </w:r>
          </w:p>
        </w:tc>
      </w:tr>
      <w:tr w14:paraId="048531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3689920F">
            <w:pPr>
              <w:spacing w:line="360" w:lineRule="auto"/>
              <w:rPr>
                <w:rFonts w:ascii="宋体" w:hAnsi="宋体" w:cs="宋体"/>
                <w:color w:val="auto"/>
                <w:sz w:val="21"/>
                <w:szCs w:val="21"/>
              </w:rPr>
            </w:pPr>
          </w:p>
        </w:tc>
        <w:tc>
          <w:tcPr>
            <w:tcW w:w="825" w:type="dxa"/>
            <w:vMerge w:val="continue"/>
            <w:tcBorders>
              <w:top w:val="single" w:color="auto" w:sz="4" w:space="0"/>
              <w:left w:val="nil"/>
              <w:bottom w:val="single" w:color="auto" w:sz="4" w:space="0"/>
              <w:right w:val="single" w:color="auto" w:sz="4" w:space="0"/>
            </w:tcBorders>
            <w:vAlign w:val="center"/>
          </w:tcPr>
          <w:p w14:paraId="2271FBCC">
            <w:pPr>
              <w:spacing w:line="360" w:lineRule="auto"/>
              <w:rPr>
                <w:rFonts w:ascii="宋体" w:hAnsi="宋体" w:cs="宋体"/>
                <w:color w:val="auto"/>
                <w:sz w:val="21"/>
                <w:szCs w:val="21"/>
              </w:rPr>
            </w:pPr>
          </w:p>
        </w:tc>
        <w:tc>
          <w:tcPr>
            <w:tcW w:w="1181" w:type="dxa"/>
            <w:vMerge w:val="continue"/>
            <w:tcBorders>
              <w:top w:val="single" w:color="auto" w:sz="4" w:space="0"/>
              <w:left w:val="nil"/>
              <w:bottom w:val="single" w:color="auto" w:sz="4" w:space="0"/>
              <w:right w:val="single" w:color="auto" w:sz="4" w:space="0"/>
            </w:tcBorders>
            <w:vAlign w:val="center"/>
          </w:tcPr>
          <w:p w14:paraId="2459F9C4">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55012C15">
            <w:pPr>
              <w:spacing w:line="360" w:lineRule="auto"/>
              <w:ind w:firstLine="410" w:firstLineChars="171"/>
              <w:rPr>
                <w:rFonts w:hint="eastAsia" w:cstheme="minorBidi"/>
                <w:kern w:val="0"/>
                <w:sz w:val="24"/>
                <w:szCs w:val="22"/>
                <w:lang w:val="en-US" w:eastAsia="zh-CN" w:bidi="ar"/>
              </w:rPr>
            </w:pPr>
            <w:r>
              <w:rPr>
                <w:rFonts w:hint="eastAsia" w:ascii="宋体" w:hAnsi="宋体" w:eastAsia="宋体" w:cs="宋体"/>
                <w:kern w:val="0"/>
                <w:sz w:val="24"/>
                <w:szCs w:val="24"/>
              </w:rPr>
              <w:t>磋商报价</w:t>
            </w:r>
          </w:p>
        </w:tc>
        <w:tc>
          <w:tcPr>
            <w:tcW w:w="4987" w:type="dxa"/>
            <w:tcBorders>
              <w:top w:val="single" w:color="auto" w:sz="4" w:space="0"/>
              <w:left w:val="single" w:color="auto" w:sz="4" w:space="0"/>
              <w:right w:val="single" w:color="auto" w:sz="4" w:space="0"/>
            </w:tcBorders>
            <w:vAlign w:val="center"/>
          </w:tcPr>
          <w:p w14:paraId="5612F680">
            <w:pPr>
              <w:numPr>
                <w:ilvl w:val="0"/>
                <w:numId w:val="5"/>
              </w:numPr>
              <w:spacing w:line="360" w:lineRule="exact"/>
              <w:rPr>
                <w:rFonts w:ascii="宋体" w:hAnsi="宋体" w:eastAsia="宋体" w:cs="宋体"/>
                <w:kern w:val="0"/>
                <w:sz w:val="24"/>
                <w:szCs w:val="24"/>
              </w:rPr>
            </w:pPr>
            <w:r>
              <w:rPr>
                <w:rFonts w:hint="eastAsia" w:ascii="宋体" w:hAnsi="宋体" w:eastAsia="宋体" w:cs="宋体"/>
                <w:kern w:val="0"/>
                <w:sz w:val="24"/>
                <w:szCs w:val="24"/>
              </w:rPr>
              <w:t>不得超出最高限价，超出最高限价者，按无效标处理</w:t>
            </w:r>
          </w:p>
          <w:p w14:paraId="308774BA">
            <w:pPr>
              <w:numPr>
                <w:ilvl w:val="0"/>
                <w:numId w:val="5"/>
              </w:numPr>
              <w:spacing w:line="360" w:lineRule="exact"/>
              <w:rPr>
                <w:rFonts w:ascii="宋体" w:hAnsi="宋体" w:eastAsia="宋体" w:cs="宋体"/>
                <w:kern w:val="0"/>
                <w:sz w:val="24"/>
                <w:szCs w:val="24"/>
              </w:rPr>
            </w:pPr>
            <w:r>
              <w:rPr>
                <w:rFonts w:hint="eastAsia" w:ascii="宋体" w:hAnsi="宋体" w:eastAsia="宋体" w:cs="宋体"/>
                <w:kern w:val="0"/>
                <w:sz w:val="24"/>
                <w:szCs w:val="24"/>
              </w:rPr>
              <w:t>最终报价不得超过第一次磋商报价；</w:t>
            </w:r>
          </w:p>
          <w:p w14:paraId="7ADB0742">
            <w:pPr>
              <w:spacing w:line="360" w:lineRule="auto"/>
              <w:ind w:firstLine="410" w:firstLineChars="171"/>
              <w:rPr>
                <w:rFonts w:hint="eastAsia" w:cstheme="minorBidi"/>
                <w:kern w:val="0"/>
                <w:sz w:val="24"/>
                <w:szCs w:val="22"/>
                <w:lang w:val="en-US" w:eastAsia="zh-CN" w:bidi="ar"/>
              </w:rPr>
            </w:pPr>
            <w:r>
              <w:rPr>
                <w:rFonts w:hint="eastAsia" w:ascii="宋体" w:hAnsi="宋体" w:eastAsia="宋体" w:cs="宋体"/>
                <w:kern w:val="0"/>
                <w:sz w:val="24"/>
                <w:szCs w:val="24"/>
              </w:rPr>
              <w:t>3、最终报价明显低于成本价的，响应人需做出合理说明，否则将承担不被接受的风险。</w:t>
            </w:r>
          </w:p>
        </w:tc>
      </w:tr>
      <w:tr w14:paraId="576A421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7"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1A2AA2EB">
            <w:pPr>
              <w:spacing w:line="360" w:lineRule="auto"/>
              <w:rPr>
                <w:rFonts w:ascii="宋体" w:hAnsi="宋体" w:cs="宋体"/>
                <w:color w:val="auto"/>
                <w:sz w:val="21"/>
                <w:szCs w:val="21"/>
              </w:rPr>
            </w:pPr>
          </w:p>
        </w:tc>
        <w:tc>
          <w:tcPr>
            <w:tcW w:w="825" w:type="dxa"/>
            <w:vMerge w:val="continue"/>
            <w:tcBorders>
              <w:top w:val="single" w:color="auto" w:sz="4" w:space="0"/>
              <w:left w:val="nil"/>
              <w:bottom w:val="single" w:color="auto" w:sz="4" w:space="0"/>
              <w:right w:val="single" w:color="auto" w:sz="4" w:space="0"/>
            </w:tcBorders>
            <w:vAlign w:val="center"/>
          </w:tcPr>
          <w:p w14:paraId="48622DE3">
            <w:pPr>
              <w:spacing w:line="360" w:lineRule="auto"/>
              <w:rPr>
                <w:rFonts w:ascii="宋体" w:hAnsi="宋体" w:cs="宋体"/>
                <w:color w:val="auto"/>
                <w:sz w:val="21"/>
                <w:szCs w:val="21"/>
              </w:rPr>
            </w:pPr>
          </w:p>
        </w:tc>
        <w:tc>
          <w:tcPr>
            <w:tcW w:w="1181" w:type="dxa"/>
            <w:vMerge w:val="continue"/>
            <w:tcBorders>
              <w:top w:val="single" w:color="auto" w:sz="4" w:space="0"/>
              <w:left w:val="nil"/>
              <w:bottom w:val="single" w:color="auto" w:sz="4" w:space="0"/>
              <w:right w:val="single" w:color="auto" w:sz="4" w:space="0"/>
            </w:tcBorders>
            <w:vAlign w:val="center"/>
          </w:tcPr>
          <w:p w14:paraId="1548C39C">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6072E354">
            <w:pPr>
              <w:spacing w:line="360" w:lineRule="auto"/>
              <w:ind w:firstLine="410" w:firstLineChars="171"/>
              <w:rPr>
                <w:rFonts w:hint="eastAsia" w:cstheme="minorBidi"/>
                <w:kern w:val="0"/>
                <w:sz w:val="24"/>
                <w:szCs w:val="22"/>
                <w:lang w:val="en-US" w:eastAsia="zh-CN" w:bidi="ar"/>
              </w:rPr>
            </w:pPr>
            <w:r>
              <w:rPr>
                <w:rFonts w:hint="eastAsia" w:ascii="宋体" w:hAnsi="宋体" w:eastAsia="宋体" w:cs="宋体"/>
                <w:kern w:val="0"/>
                <w:sz w:val="24"/>
                <w:szCs w:val="24"/>
              </w:rPr>
              <w:t>《中华人民共和国政府采购法》第二十二条的规定</w:t>
            </w:r>
          </w:p>
        </w:tc>
        <w:tc>
          <w:tcPr>
            <w:tcW w:w="4987" w:type="dxa"/>
            <w:tcBorders>
              <w:top w:val="single" w:color="auto" w:sz="4" w:space="0"/>
              <w:left w:val="single" w:color="auto" w:sz="4" w:space="0"/>
              <w:right w:val="single" w:color="auto" w:sz="4" w:space="0"/>
            </w:tcBorders>
            <w:vAlign w:val="center"/>
          </w:tcPr>
          <w:p w14:paraId="5F1C4BA5">
            <w:pPr>
              <w:wordWrap w:val="0"/>
              <w:rPr>
                <w:rFonts w:ascii="宋体" w:hAnsi="宋体" w:eastAsia="宋体" w:cs="宋体"/>
                <w:kern w:val="0"/>
                <w:sz w:val="24"/>
                <w:szCs w:val="24"/>
              </w:rPr>
            </w:pPr>
            <w:r>
              <w:rPr>
                <w:rFonts w:hint="eastAsia" w:ascii="宋体" w:hAnsi="宋体" w:eastAsia="宋体" w:cs="宋体"/>
                <w:kern w:val="0"/>
                <w:sz w:val="24"/>
                <w:szCs w:val="24"/>
              </w:rPr>
              <w:t>满足《中华人民共和国政府采购法》第二十二条的规定</w:t>
            </w:r>
          </w:p>
          <w:p w14:paraId="20D21008">
            <w:pPr>
              <w:wordWrap w:val="0"/>
              <w:rPr>
                <w:rFonts w:ascii="宋体" w:hAnsi="宋体" w:eastAsia="宋体" w:cs="宋体"/>
                <w:kern w:val="0"/>
                <w:sz w:val="24"/>
                <w:szCs w:val="24"/>
              </w:rPr>
            </w:pPr>
            <w:r>
              <w:rPr>
                <w:rFonts w:hint="eastAsia" w:ascii="宋体" w:hAnsi="宋体" w:eastAsia="宋体" w:cs="宋体"/>
                <w:kern w:val="0"/>
                <w:sz w:val="24"/>
                <w:szCs w:val="24"/>
              </w:rPr>
              <w:t>注明：供应商不用提供证明材料，只需承诺满足要求，并对承诺的内容真实性负责。满足《中华人民共和国政府采购法》第二十二条的规定</w:t>
            </w:r>
          </w:p>
          <w:p w14:paraId="5D8233AF">
            <w:pPr>
              <w:spacing w:line="360" w:lineRule="auto"/>
              <w:rPr>
                <w:rFonts w:hint="eastAsia" w:cstheme="minorBidi"/>
                <w:kern w:val="0"/>
                <w:sz w:val="24"/>
                <w:szCs w:val="22"/>
                <w:lang w:val="en-US" w:eastAsia="zh-CN" w:bidi="ar"/>
              </w:rPr>
            </w:pPr>
            <w:r>
              <w:rPr>
                <w:rFonts w:hint="eastAsia" w:ascii="宋体" w:hAnsi="宋体" w:eastAsia="宋体" w:cs="宋体"/>
                <w:kern w:val="0"/>
                <w:sz w:val="24"/>
                <w:szCs w:val="24"/>
              </w:rPr>
              <w:t>注明：供应商不用提供证明材料，只需承诺满足要求，并对承诺的内容真实性负责。</w:t>
            </w:r>
          </w:p>
        </w:tc>
      </w:tr>
      <w:tr w14:paraId="1F8D3B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8" w:hRule="atLeast"/>
        </w:trPr>
        <w:tc>
          <w:tcPr>
            <w:tcW w:w="712" w:type="dxa"/>
            <w:vMerge w:val="restart"/>
            <w:tcBorders>
              <w:top w:val="single" w:color="auto" w:sz="4" w:space="0"/>
              <w:left w:val="single" w:color="auto" w:sz="4" w:space="0"/>
              <w:right w:val="single" w:color="auto" w:sz="4" w:space="0"/>
            </w:tcBorders>
            <w:vAlign w:val="center"/>
          </w:tcPr>
          <w:p w14:paraId="328AEFF0">
            <w:pPr>
              <w:adjustRightInd w:val="0"/>
              <w:spacing w:line="360" w:lineRule="auto"/>
              <w:jc w:val="center"/>
              <w:textAlignment w:val="baseline"/>
              <w:rPr>
                <w:rFonts w:ascii="宋体" w:hAnsi="宋体" w:cs="宋体"/>
                <w:color w:val="auto"/>
                <w:sz w:val="21"/>
                <w:szCs w:val="21"/>
              </w:rPr>
            </w:pPr>
            <w:r>
              <w:rPr>
                <w:rFonts w:hint="eastAsia" w:ascii="宋体" w:hAnsi="宋体" w:cs="宋体"/>
                <w:color w:val="auto"/>
                <w:sz w:val="21"/>
                <w:szCs w:val="21"/>
                <w:lang w:bidi="ar"/>
              </w:rPr>
              <w:t>2</w:t>
            </w:r>
          </w:p>
        </w:tc>
        <w:tc>
          <w:tcPr>
            <w:tcW w:w="825" w:type="dxa"/>
            <w:vMerge w:val="restart"/>
            <w:tcBorders>
              <w:top w:val="single" w:color="auto" w:sz="4" w:space="0"/>
              <w:left w:val="nil"/>
              <w:right w:val="single" w:color="auto" w:sz="4" w:space="0"/>
            </w:tcBorders>
            <w:vAlign w:val="center"/>
          </w:tcPr>
          <w:p w14:paraId="284C38A9">
            <w:pPr>
              <w:adjustRightInd w:val="0"/>
              <w:spacing w:line="360" w:lineRule="auto"/>
              <w:jc w:val="center"/>
              <w:textAlignment w:val="baseline"/>
              <w:rPr>
                <w:rFonts w:ascii="宋体" w:hAnsi="宋体" w:cs="宋体"/>
                <w:color w:val="auto"/>
                <w:sz w:val="21"/>
                <w:szCs w:val="21"/>
              </w:rPr>
            </w:pPr>
            <w:r>
              <w:rPr>
                <w:rFonts w:hint="eastAsia" w:ascii="宋体" w:hAnsi="宋体" w:cs="宋体"/>
                <w:color w:val="auto"/>
                <w:sz w:val="21"/>
                <w:szCs w:val="21"/>
                <w:lang w:bidi="ar"/>
              </w:rPr>
              <w:t>2.1.2</w:t>
            </w:r>
          </w:p>
        </w:tc>
        <w:tc>
          <w:tcPr>
            <w:tcW w:w="1181" w:type="dxa"/>
            <w:vMerge w:val="restart"/>
            <w:tcBorders>
              <w:top w:val="single" w:color="auto" w:sz="4" w:space="0"/>
              <w:left w:val="nil"/>
              <w:right w:val="single" w:color="auto" w:sz="4" w:space="0"/>
            </w:tcBorders>
            <w:vAlign w:val="center"/>
          </w:tcPr>
          <w:p w14:paraId="612AC1F3">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资格评审标准</w:t>
            </w:r>
          </w:p>
        </w:tc>
        <w:tc>
          <w:tcPr>
            <w:tcW w:w="2114" w:type="dxa"/>
            <w:tcBorders>
              <w:top w:val="single" w:color="auto" w:sz="4" w:space="0"/>
              <w:left w:val="single" w:color="auto" w:sz="4" w:space="0"/>
              <w:bottom w:val="single" w:color="auto" w:sz="4" w:space="0"/>
              <w:right w:val="single" w:color="auto" w:sz="4" w:space="0"/>
            </w:tcBorders>
            <w:vAlign w:val="center"/>
          </w:tcPr>
          <w:p w14:paraId="62D366F5">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营业执照</w:t>
            </w:r>
          </w:p>
        </w:tc>
        <w:tc>
          <w:tcPr>
            <w:tcW w:w="4987" w:type="dxa"/>
            <w:tcBorders>
              <w:top w:val="single" w:color="auto" w:sz="4" w:space="0"/>
              <w:left w:val="single" w:color="auto" w:sz="4" w:space="0"/>
              <w:bottom w:val="single" w:color="auto" w:sz="4" w:space="0"/>
              <w:right w:val="single" w:color="auto" w:sz="4" w:space="0"/>
            </w:tcBorders>
            <w:vAlign w:val="center"/>
          </w:tcPr>
          <w:p w14:paraId="469FFB87">
            <w:pPr>
              <w:spacing w:line="360" w:lineRule="auto"/>
              <w:rPr>
                <w:rFonts w:hint="default" w:cstheme="minorBidi"/>
                <w:kern w:val="0"/>
                <w:sz w:val="24"/>
                <w:szCs w:val="22"/>
                <w:lang w:val="en-US" w:eastAsia="zh-CN" w:bidi="ar"/>
              </w:rPr>
            </w:pPr>
            <w:r>
              <w:rPr>
                <w:rFonts w:hint="eastAsia" w:cstheme="minorBidi"/>
                <w:kern w:val="0"/>
                <w:sz w:val="24"/>
                <w:szCs w:val="22"/>
                <w:lang w:val="en-US" w:eastAsia="zh-CN" w:bidi="ar"/>
              </w:rPr>
              <w:t>供应商必须是在中华人民共和国境内注册，具有独立企业法人资格或事业法人资格，具备有效的企业营业执照或事业单位法人证书</w:t>
            </w:r>
          </w:p>
        </w:tc>
      </w:tr>
      <w:tr w14:paraId="1F32DFE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trPr>
        <w:tc>
          <w:tcPr>
            <w:tcW w:w="712" w:type="dxa"/>
            <w:vMerge w:val="continue"/>
            <w:tcBorders>
              <w:left w:val="single" w:color="auto" w:sz="4" w:space="0"/>
              <w:right w:val="single" w:color="auto" w:sz="4" w:space="0"/>
            </w:tcBorders>
            <w:vAlign w:val="center"/>
          </w:tcPr>
          <w:p w14:paraId="05C245F1">
            <w:pPr>
              <w:spacing w:line="360" w:lineRule="auto"/>
              <w:rPr>
                <w:rFonts w:ascii="宋体" w:hAnsi="宋体" w:cs="宋体"/>
                <w:color w:val="auto"/>
                <w:sz w:val="21"/>
                <w:szCs w:val="21"/>
              </w:rPr>
            </w:pPr>
          </w:p>
        </w:tc>
        <w:tc>
          <w:tcPr>
            <w:tcW w:w="825" w:type="dxa"/>
            <w:vMerge w:val="continue"/>
            <w:tcBorders>
              <w:left w:val="nil"/>
              <w:right w:val="single" w:color="auto" w:sz="4" w:space="0"/>
            </w:tcBorders>
            <w:vAlign w:val="center"/>
          </w:tcPr>
          <w:p w14:paraId="7D805E44">
            <w:pPr>
              <w:spacing w:line="360" w:lineRule="auto"/>
              <w:rPr>
                <w:rFonts w:ascii="宋体" w:hAnsi="宋体" w:cs="宋体"/>
                <w:color w:val="auto"/>
                <w:sz w:val="21"/>
                <w:szCs w:val="21"/>
              </w:rPr>
            </w:pPr>
          </w:p>
        </w:tc>
        <w:tc>
          <w:tcPr>
            <w:tcW w:w="1181" w:type="dxa"/>
            <w:vMerge w:val="continue"/>
            <w:tcBorders>
              <w:left w:val="nil"/>
              <w:right w:val="single" w:color="auto" w:sz="4" w:space="0"/>
            </w:tcBorders>
            <w:vAlign w:val="center"/>
          </w:tcPr>
          <w:p w14:paraId="46047943">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6F712C4E">
            <w:pPr>
              <w:spacing w:line="360" w:lineRule="auto"/>
              <w:rPr>
                <w:rFonts w:hint="default" w:cstheme="minorBidi"/>
                <w:kern w:val="0"/>
                <w:sz w:val="24"/>
                <w:szCs w:val="22"/>
                <w:lang w:val="en-US" w:eastAsia="zh-CN" w:bidi="ar"/>
              </w:rPr>
            </w:pPr>
            <w:r>
              <w:rPr>
                <w:rFonts w:hint="eastAsia" w:cstheme="minorBidi"/>
                <w:kern w:val="0"/>
                <w:sz w:val="24"/>
                <w:szCs w:val="22"/>
                <w:lang w:val="en-US" w:eastAsia="zh-CN" w:bidi="ar"/>
              </w:rPr>
              <w:t>履约能力承诺书</w:t>
            </w:r>
          </w:p>
        </w:tc>
        <w:tc>
          <w:tcPr>
            <w:tcW w:w="4987" w:type="dxa"/>
            <w:tcBorders>
              <w:top w:val="single" w:color="auto" w:sz="4" w:space="0"/>
              <w:left w:val="single" w:color="auto" w:sz="4" w:space="0"/>
              <w:bottom w:val="single" w:color="auto" w:sz="4" w:space="0"/>
              <w:right w:val="single" w:color="auto" w:sz="4" w:space="0"/>
            </w:tcBorders>
            <w:vAlign w:val="center"/>
          </w:tcPr>
          <w:p w14:paraId="562842BF">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在人员、设备、资金等方面具有相应的设计能力；（提供承诺书，格式自拟）</w:t>
            </w:r>
          </w:p>
        </w:tc>
      </w:tr>
      <w:tr w14:paraId="1B66946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9" w:hRule="atLeast"/>
        </w:trPr>
        <w:tc>
          <w:tcPr>
            <w:tcW w:w="712" w:type="dxa"/>
            <w:vMerge w:val="continue"/>
            <w:tcBorders>
              <w:left w:val="single" w:color="auto" w:sz="4" w:space="0"/>
              <w:right w:val="single" w:color="auto" w:sz="4" w:space="0"/>
            </w:tcBorders>
            <w:vAlign w:val="center"/>
          </w:tcPr>
          <w:p w14:paraId="35652595">
            <w:pPr>
              <w:spacing w:line="360" w:lineRule="auto"/>
              <w:rPr>
                <w:rFonts w:ascii="宋体" w:hAnsi="宋体" w:cs="宋体"/>
                <w:color w:val="auto"/>
                <w:sz w:val="21"/>
                <w:szCs w:val="21"/>
              </w:rPr>
            </w:pPr>
          </w:p>
        </w:tc>
        <w:tc>
          <w:tcPr>
            <w:tcW w:w="825" w:type="dxa"/>
            <w:vMerge w:val="continue"/>
            <w:tcBorders>
              <w:left w:val="nil"/>
              <w:right w:val="single" w:color="auto" w:sz="4" w:space="0"/>
            </w:tcBorders>
            <w:vAlign w:val="center"/>
          </w:tcPr>
          <w:p w14:paraId="43997763">
            <w:pPr>
              <w:spacing w:line="360" w:lineRule="auto"/>
              <w:rPr>
                <w:rFonts w:ascii="宋体" w:hAnsi="宋体" w:cs="宋体"/>
                <w:color w:val="auto"/>
                <w:sz w:val="21"/>
                <w:szCs w:val="21"/>
              </w:rPr>
            </w:pPr>
          </w:p>
        </w:tc>
        <w:tc>
          <w:tcPr>
            <w:tcW w:w="1181" w:type="dxa"/>
            <w:vMerge w:val="continue"/>
            <w:tcBorders>
              <w:left w:val="nil"/>
              <w:right w:val="single" w:color="auto" w:sz="4" w:space="0"/>
            </w:tcBorders>
            <w:vAlign w:val="center"/>
          </w:tcPr>
          <w:p w14:paraId="28F72169">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4C85C3E2">
            <w:pPr>
              <w:spacing w:line="360" w:lineRule="auto"/>
              <w:ind w:firstLine="410" w:firstLineChars="171"/>
              <w:rPr>
                <w:rFonts w:hint="default" w:cstheme="minorBidi"/>
                <w:kern w:val="0"/>
                <w:sz w:val="24"/>
                <w:szCs w:val="22"/>
                <w:lang w:val="en-US" w:eastAsia="zh-CN" w:bidi="ar"/>
              </w:rPr>
            </w:pPr>
            <w:r>
              <w:rPr>
                <w:rFonts w:hint="eastAsia" w:cstheme="minorBidi"/>
                <w:kern w:val="0"/>
                <w:sz w:val="24"/>
                <w:szCs w:val="22"/>
                <w:lang w:val="en-US" w:eastAsia="zh-CN" w:bidi="ar"/>
              </w:rPr>
              <w:t>项目负责人</w:t>
            </w:r>
          </w:p>
        </w:tc>
        <w:tc>
          <w:tcPr>
            <w:tcW w:w="4987" w:type="dxa"/>
            <w:tcBorders>
              <w:top w:val="single" w:color="auto" w:sz="4" w:space="0"/>
              <w:left w:val="single" w:color="auto" w:sz="4" w:space="0"/>
              <w:bottom w:val="single" w:color="auto" w:sz="4" w:space="0"/>
              <w:right w:val="single" w:color="auto" w:sz="4" w:space="0"/>
            </w:tcBorders>
            <w:vAlign w:val="center"/>
          </w:tcPr>
          <w:p w14:paraId="550543B9">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为本单位正式员工（提供劳动合同）且已参加社会保险，提供近半年任意连续三个月参加社会养老保险的缴费证明（新成立企业从成立之日起计算）；</w:t>
            </w:r>
          </w:p>
        </w:tc>
      </w:tr>
      <w:tr w14:paraId="55A925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43" w:hRule="atLeast"/>
        </w:trPr>
        <w:tc>
          <w:tcPr>
            <w:tcW w:w="712" w:type="dxa"/>
            <w:vMerge w:val="continue"/>
            <w:tcBorders>
              <w:left w:val="single" w:color="auto" w:sz="4" w:space="0"/>
              <w:right w:val="single" w:color="auto" w:sz="4" w:space="0"/>
            </w:tcBorders>
            <w:vAlign w:val="center"/>
          </w:tcPr>
          <w:p w14:paraId="6B0B71ED">
            <w:pPr>
              <w:spacing w:line="360" w:lineRule="auto"/>
              <w:rPr>
                <w:rFonts w:ascii="宋体" w:hAnsi="宋体" w:cs="宋体"/>
                <w:color w:val="auto"/>
                <w:sz w:val="21"/>
                <w:szCs w:val="21"/>
              </w:rPr>
            </w:pPr>
          </w:p>
        </w:tc>
        <w:tc>
          <w:tcPr>
            <w:tcW w:w="825" w:type="dxa"/>
            <w:vMerge w:val="continue"/>
            <w:tcBorders>
              <w:left w:val="nil"/>
              <w:right w:val="single" w:color="auto" w:sz="4" w:space="0"/>
            </w:tcBorders>
            <w:vAlign w:val="center"/>
          </w:tcPr>
          <w:p w14:paraId="51E934D6">
            <w:pPr>
              <w:spacing w:line="360" w:lineRule="auto"/>
              <w:rPr>
                <w:rFonts w:ascii="宋体" w:hAnsi="宋体" w:cs="宋体"/>
                <w:color w:val="auto"/>
                <w:sz w:val="21"/>
                <w:szCs w:val="21"/>
              </w:rPr>
            </w:pPr>
          </w:p>
        </w:tc>
        <w:tc>
          <w:tcPr>
            <w:tcW w:w="1181" w:type="dxa"/>
            <w:vMerge w:val="continue"/>
            <w:tcBorders>
              <w:left w:val="nil"/>
              <w:right w:val="single" w:color="auto" w:sz="4" w:space="0"/>
            </w:tcBorders>
            <w:vAlign w:val="center"/>
          </w:tcPr>
          <w:p w14:paraId="4BD67BAF">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34D65E66">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具有良好的财务状况且没有处于被责令停业</w:t>
            </w:r>
          </w:p>
        </w:tc>
        <w:tc>
          <w:tcPr>
            <w:tcW w:w="4987" w:type="dxa"/>
            <w:tcBorders>
              <w:top w:val="single" w:color="auto" w:sz="4" w:space="0"/>
              <w:left w:val="single" w:color="auto" w:sz="4" w:space="0"/>
              <w:right w:val="single" w:color="auto" w:sz="4" w:space="0"/>
            </w:tcBorders>
            <w:vAlign w:val="center"/>
          </w:tcPr>
          <w:p w14:paraId="5EC99E48">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具有良好的财务状况且没有处于被责令停业</w:t>
            </w:r>
          </w:p>
        </w:tc>
      </w:tr>
      <w:tr w14:paraId="582D41F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1" w:hRule="atLeast"/>
        </w:trPr>
        <w:tc>
          <w:tcPr>
            <w:tcW w:w="712" w:type="dxa"/>
            <w:vMerge w:val="continue"/>
            <w:tcBorders>
              <w:left w:val="single" w:color="auto" w:sz="4" w:space="0"/>
              <w:right w:val="single" w:color="auto" w:sz="4" w:space="0"/>
            </w:tcBorders>
            <w:vAlign w:val="center"/>
          </w:tcPr>
          <w:p w14:paraId="04C328F3">
            <w:pPr>
              <w:spacing w:line="360" w:lineRule="auto"/>
              <w:rPr>
                <w:rFonts w:ascii="宋体" w:hAnsi="宋体" w:cs="宋体"/>
                <w:color w:val="auto"/>
                <w:sz w:val="21"/>
                <w:szCs w:val="21"/>
              </w:rPr>
            </w:pPr>
          </w:p>
        </w:tc>
        <w:tc>
          <w:tcPr>
            <w:tcW w:w="825" w:type="dxa"/>
            <w:vMerge w:val="continue"/>
            <w:tcBorders>
              <w:left w:val="nil"/>
              <w:right w:val="single" w:color="auto" w:sz="4" w:space="0"/>
            </w:tcBorders>
            <w:vAlign w:val="center"/>
          </w:tcPr>
          <w:p w14:paraId="2B6EDC87">
            <w:pPr>
              <w:spacing w:line="360" w:lineRule="auto"/>
              <w:rPr>
                <w:rFonts w:ascii="宋体" w:hAnsi="宋体" w:cs="宋体"/>
                <w:color w:val="auto"/>
                <w:sz w:val="21"/>
                <w:szCs w:val="21"/>
              </w:rPr>
            </w:pPr>
          </w:p>
        </w:tc>
        <w:tc>
          <w:tcPr>
            <w:tcW w:w="1181" w:type="dxa"/>
            <w:vMerge w:val="continue"/>
            <w:tcBorders>
              <w:left w:val="nil"/>
              <w:right w:val="single" w:color="auto" w:sz="4" w:space="0"/>
            </w:tcBorders>
            <w:vAlign w:val="center"/>
          </w:tcPr>
          <w:p w14:paraId="18E7FADF">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048D8FEC">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供应商依法缴纳税收</w:t>
            </w:r>
          </w:p>
        </w:tc>
        <w:tc>
          <w:tcPr>
            <w:tcW w:w="4987" w:type="dxa"/>
            <w:tcBorders>
              <w:top w:val="single" w:color="auto" w:sz="4" w:space="0"/>
              <w:left w:val="single" w:color="auto" w:sz="4" w:space="0"/>
              <w:right w:val="single" w:color="auto" w:sz="4" w:space="0"/>
            </w:tcBorders>
            <w:vAlign w:val="center"/>
          </w:tcPr>
          <w:p w14:paraId="67B1B012">
            <w:pPr>
              <w:keepNext w:val="0"/>
              <w:keepLines w:val="0"/>
              <w:pageBreakBefore w:val="0"/>
              <w:widowControl w:val="0"/>
              <w:kinsoku/>
              <w:wordWrap/>
              <w:overflowPunct/>
              <w:topLinePunct w:val="0"/>
              <w:autoSpaceDE/>
              <w:autoSpaceDN/>
              <w:bidi w:val="0"/>
              <w:spacing w:line="600" w:lineRule="exact"/>
              <w:ind w:firstLine="480"/>
              <w:textAlignment w:val="auto"/>
              <w:rPr>
                <w:rFonts w:hint="eastAsia" w:cstheme="minorBidi"/>
                <w:kern w:val="0"/>
                <w:sz w:val="24"/>
                <w:szCs w:val="22"/>
                <w:lang w:val="en-US" w:eastAsia="zh-CN" w:bidi="ar"/>
              </w:rPr>
            </w:pPr>
            <w:r>
              <w:rPr>
                <w:rFonts w:hint="eastAsia" w:cstheme="minorBidi"/>
                <w:kern w:val="0"/>
                <w:sz w:val="24"/>
                <w:szCs w:val="22"/>
                <w:lang w:val="en-US" w:eastAsia="zh-CN" w:bidi="ar"/>
              </w:rPr>
              <w:t>须提供企业近半年任意连续三个月依法缴纳税收的证明资料（新成立的企业从成立之日起计算）主要是指缴纳增值税或企业所得税或企业附加税的缴费证明，依法免税的投标响应人，应提供相应文件证明其依法免税；</w:t>
            </w:r>
          </w:p>
        </w:tc>
      </w:tr>
      <w:tr w14:paraId="71ABEC2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95" w:hRule="atLeast"/>
        </w:trPr>
        <w:tc>
          <w:tcPr>
            <w:tcW w:w="712" w:type="dxa"/>
            <w:vMerge w:val="continue"/>
            <w:tcBorders>
              <w:left w:val="single" w:color="auto" w:sz="4" w:space="0"/>
              <w:right w:val="single" w:color="auto" w:sz="4" w:space="0"/>
            </w:tcBorders>
            <w:vAlign w:val="center"/>
          </w:tcPr>
          <w:p w14:paraId="4FCDBD4F">
            <w:pPr>
              <w:spacing w:line="360" w:lineRule="auto"/>
              <w:rPr>
                <w:rFonts w:ascii="宋体" w:hAnsi="宋体" w:cs="宋体"/>
                <w:color w:val="auto"/>
                <w:sz w:val="21"/>
                <w:szCs w:val="21"/>
              </w:rPr>
            </w:pPr>
          </w:p>
        </w:tc>
        <w:tc>
          <w:tcPr>
            <w:tcW w:w="825" w:type="dxa"/>
            <w:vMerge w:val="continue"/>
            <w:tcBorders>
              <w:left w:val="nil"/>
              <w:right w:val="single" w:color="auto" w:sz="4" w:space="0"/>
            </w:tcBorders>
            <w:vAlign w:val="center"/>
          </w:tcPr>
          <w:p w14:paraId="587A1F21">
            <w:pPr>
              <w:spacing w:line="360" w:lineRule="auto"/>
              <w:rPr>
                <w:rFonts w:ascii="宋体" w:hAnsi="宋体" w:cs="宋体"/>
                <w:color w:val="auto"/>
                <w:sz w:val="21"/>
                <w:szCs w:val="21"/>
              </w:rPr>
            </w:pPr>
          </w:p>
        </w:tc>
        <w:tc>
          <w:tcPr>
            <w:tcW w:w="1181" w:type="dxa"/>
            <w:vMerge w:val="continue"/>
            <w:tcBorders>
              <w:left w:val="nil"/>
              <w:right w:val="single" w:color="auto" w:sz="4" w:space="0"/>
            </w:tcBorders>
            <w:vAlign w:val="center"/>
          </w:tcPr>
          <w:p w14:paraId="5680CA2E">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77A2515C">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无行贿犯罪记录</w:t>
            </w:r>
          </w:p>
        </w:tc>
        <w:tc>
          <w:tcPr>
            <w:tcW w:w="4987" w:type="dxa"/>
            <w:tcBorders>
              <w:top w:val="single" w:color="auto" w:sz="4" w:space="0"/>
              <w:left w:val="single" w:color="auto" w:sz="4" w:space="0"/>
              <w:right w:val="single" w:color="auto" w:sz="4" w:space="0"/>
            </w:tcBorders>
            <w:vAlign w:val="center"/>
          </w:tcPr>
          <w:p w14:paraId="66A7BDBB">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参加政府采购活动前3年内无行贿犯罪记录（提供《中国裁判文书网》查询结果网页截图或投标人自行承诺的无行贿犯罪承诺书，查询&lt;或承诺&gt;对象为“企业，法定代表人，项目负责人”）</w:t>
            </w:r>
          </w:p>
        </w:tc>
      </w:tr>
      <w:tr w14:paraId="079C961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86" w:hRule="atLeast"/>
        </w:trPr>
        <w:tc>
          <w:tcPr>
            <w:tcW w:w="712" w:type="dxa"/>
            <w:vMerge w:val="continue"/>
            <w:tcBorders>
              <w:left w:val="single" w:color="auto" w:sz="4" w:space="0"/>
              <w:right w:val="single" w:color="auto" w:sz="4" w:space="0"/>
            </w:tcBorders>
            <w:vAlign w:val="center"/>
          </w:tcPr>
          <w:p w14:paraId="4C8A4568">
            <w:pPr>
              <w:adjustRightInd w:val="0"/>
              <w:spacing w:line="360" w:lineRule="auto"/>
              <w:jc w:val="center"/>
              <w:textAlignment w:val="baseline"/>
              <w:rPr>
                <w:color w:val="auto"/>
                <w:sz w:val="21"/>
                <w:szCs w:val="21"/>
              </w:rPr>
            </w:pPr>
          </w:p>
        </w:tc>
        <w:tc>
          <w:tcPr>
            <w:tcW w:w="825" w:type="dxa"/>
            <w:vMerge w:val="continue"/>
            <w:tcBorders>
              <w:left w:val="nil"/>
              <w:right w:val="single" w:color="auto" w:sz="4" w:space="0"/>
            </w:tcBorders>
            <w:vAlign w:val="center"/>
          </w:tcPr>
          <w:p w14:paraId="05EB1105">
            <w:pPr>
              <w:adjustRightInd w:val="0"/>
              <w:spacing w:line="360" w:lineRule="auto"/>
              <w:jc w:val="center"/>
              <w:textAlignment w:val="baseline"/>
              <w:rPr>
                <w:color w:val="auto"/>
                <w:sz w:val="21"/>
                <w:szCs w:val="21"/>
              </w:rPr>
            </w:pPr>
          </w:p>
        </w:tc>
        <w:tc>
          <w:tcPr>
            <w:tcW w:w="1181" w:type="dxa"/>
            <w:vMerge w:val="continue"/>
            <w:tcBorders>
              <w:left w:val="nil"/>
              <w:right w:val="single" w:color="auto" w:sz="4" w:space="0"/>
            </w:tcBorders>
            <w:vAlign w:val="center"/>
          </w:tcPr>
          <w:p w14:paraId="7DCBACBD">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right w:val="single" w:color="auto" w:sz="4" w:space="0"/>
            </w:tcBorders>
            <w:vAlign w:val="center"/>
          </w:tcPr>
          <w:p w14:paraId="24B3D3E7">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参加政府采购活动前3年内无商业贿赂和不正当竞争行为</w:t>
            </w:r>
          </w:p>
        </w:tc>
        <w:tc>
          <w:tcPr>
            <w:tcW w:w="4987" w:type="dxa"/>
            <w:tcBorders>
              <w:left w:val="single" w:color="auto" w:sz="4" w:space="0"/>
              <w:bottom w:val="single" w:color="auto" w:sz="4" w:space="0"/>
              <w:right w:val="single" w:color="auto" w:sz="4" w:space="0"/>
            </w:tcBorders>
            <w:vAlign w:val="center"/>
          </w:tcPr>
          <w:p w14:paraId="77DF4552">
            <w:pPr>
              <w:spacing w:line="360" w:lineRule="auto"/>
              <w:ind w:firstLine="410" w:firstLineChars="171"/>
              <w:rPr>
                <w:rFonts w:hint="default" w:cstheme="minorBidi"/>
                <w:kern w:val="0"/>
                <w:sz w:val="24"/>
                <w:szCs w:val="22"/>
                <w:lang w:val="en-US" w:eastAsia="zh-CN" w:bidi="ar"/>
              </w:rPr>
            </w:pPr>
            <w:r>
              <w:rPr>
                <w:rFonts w:hint="eastAsia" w:cstheme="minorBidi"/>
                <w:kern w:val="0"/>
                <w:sz w:val="24"/>
                <w:szCs w:val="22"/>
                <w:lang w:val="en-US" w:eastAsia="zh-CN" w:bidi="ar"/>
              </w:rPr>
              <w:t>参加政府采购活动前3年内无商业贿赂、不正当竞争行为、骗取中标、严重违约及重大工程质量等问题，提供企业注册地工商管理部门出具的无商业贿赂和不正当竞争行为的查询证明或供应商出具的承诺书（格式自拟）；</w:t>
            </w:r>
          </w:p>
        </w:tc>
      </w:tr>
      <w:tr w14:paraId="7475B38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86" w:hRule="atLeast"/>
        </w:trPr>
        <w:tc>
          <w:tcPr>
            <w:tcW w:w="712" w:type="dxa"/>
            <w:vMerge w:val="continue"/>
            <w:tcBorders>
              <w:left w:val="single" w:color="auto" w:sz="4" w:space="0"/>
              <w:bottom w:val="nil"/>
              <w:right w:val="single" w:color="auto" w:sz="4" w:space="0"/>
            </w:tcBorders>
            <w:vAlign w:val="center"/>
          </w:tcPr>
          <w:p w14:paraId="23A085BB">
            <w:pPr>
              <w:spacing w:line="360" w:lineRule="auto"/>
              <w:rPr>
                <w:rFonts w:ascii="宋体" w:hAnsi="宋体" w:cs="宋体"/>
                <w:color w:val="auto"/>
                <w:sz w:val="21"/>
                <w:szCs w:val="21"/>
              </w:rPr>
            </w:pPr>
          </w:p>
        </w:tc>
        <w:tc>
          <w:tcPr>
            <w:tcW w:w="825" w:type="dxa"/>
            <w:vMerge w:val="continue"/>
            <w:tcBorders>
              <w:left w:val="nil"/>
              <w:bottom w:val="single" w:color="auto" w:sz="4" w:space="0"/>
              <w:right w:val="single" w:color="auto" w:sz="4" w:space="0"/>
            </w:tcBorders>
            <w:vAlign w:val="center"/>
          </w:tcPr>
          <w:p w14:paraId="7ABC9418">
            <w:pPr>
              <w:spacing w:line="360" w:lineRule="auto"/>
              <w:rPr>
                <w:rFonts w:ascii="宋体" w:hAnsi="宋体" w:cs="宋体"/>
                <w:color w:val="auto"/>
                <w:sz w:val="21"/>
                <w:szCs w:val="21"/>
              </w:rPr>
            </w:pPr>
          </w:p>
        </w:tc>
        <w:tc>
          <w:tcPr>
            <w:tcW w:w="1181" w:type="dxa"/>
            <w:vMerge w:val="continue"/>
            <w:tcBorders>
              <w:left w:val="nil"/>
              <w:bottom w:val="single" w:color="auto" w:sz="4" w:space="0"/>
              <w:right w:val="single" w:color="auto" w:sz="4" w:space="0"/>
            </w:tcBorders>
            <w:vAlign w:val="center"/>
          </w:tcPr>
          <w:p w14:paraId="3134DB12">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2F16CBAB">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“信用中国”网站、“中国政府采购网”查询截图</w:t>
            </w:r>
          </w:p>
        </w:tc>
        <w:tc>
          <w:tcPr>
            <w:tcW w:w="4987" w:type="dxa"/>
            <w:tcBorders>
              <w:top w:val="single" w:color="auto" w:sz="4" w:space="0"/>
              <w:left w:val="single" w:color="auto" w:sz="4" w:space="0"/>
              <w:bottom w:val="single" w:color="auto" w:sz="4" w:space="0"/>
              <w:right w:val="single" w:color="auto" w:sz="4" w:space="0"/>
            </w:tcBorders>
            <w:vAlign w:val="center"/>
          </w:tcPr>
          <w:p w14:paraId="7FA41700">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根据《关于在政府采购活动中查询及使用信用记录有关问题的通知》(财库[2016]125号) 和豫财购【2016】15号的规定，企业没有被列入“信用中国”网站的“失信被执行人”、“重大税收违法失信主体”及“中国政府采购网”网站的“政府采购严重违法失信行为记录名单”的投标人；（查询渠道：“信用中国”网站（www.creditchina.gov.cn）、中国政府采购网（www.ccgp.gov.cn）；提供网站的查询信息截图；截图需显示日期，查询时间为自公告发布之日起至投标截止时间前</w:t>
            </w:r>
          </w:p>
        </w:tc>
      </w:tr>
      <w:tr w14:paraId="0517F8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83" w:hRule="atLeast"/>
        </w:trPr>
        <w:tc>
          <w:tcPr>
            <w:tcW w:w="712" w:type="dxa"/>
            <w:vMerge w:val="restart"/>
            <w:tcBorders>
              <w:top w:val="single" w:color="auto" w:sz="4" w:space="0"/>
              <w:left w:val="single" w:color="auto" w:sz="4" w:space="0"/>
              <w:bottom w:val="single" w:color="auto" w:sz="4" w:space="0"/>
              <w:right w:val="single" w:color="auto" w:sz="4" w:space="0"/>
            </w:tcBorders>
            <w:vAlign w:val="center"/>
          </w:tcPr>
          <w:p w14:paraId="31135DA6">
            <w:pPr>
              <w:adjustRightInd w:val="0"/>
              <w:spacing w:line="360" w:lineRule="auto"/>
              <w:jc w:val="center"/>
              <w:textAlignment w:val="baseline"/>
              <w:rPr>
                <w:rFonts w:ascii="宋体" w:hAnsi="宋体" w:cs="宋体"/>
                <w:color w:val="auto"/>
                <w:sz w:val="21"/>
                <w:szCs w:val="21"/>
              </w:rPr>
            </w:pPr>
            <w:r>
              <w:rPr>
                <w:rFonts w:hint="eastAsia" w:ascii="宋体" w:hAnsi="宋体" w:cs="宋体"/>
                <w:color w:val="auto"/>
                <w:sz w:val="21"/>
                <w:szCs w:val="21"/>
                <w:lang w:bidi="ar"/>
              </w:rPr>
              <w:t>3</w:t>
            </w:r>
          </w:p>
        </w:tc>
        <w:tc>
          <w:tcPr>
            <w:tcW w:w="825" w:type="dxa"/>
            <w:vMerge w:val="restart"/>
            <w:tcBorders>
              <w:top w:val="single" w:color="auto" w:sz="4" w:space="0"/>
              <w:left w:val="nil"/>
              <w:bottom w:val="single" w:color="auto" w:sz="4" w:space="0"/>
              <w:right w:val="single" w:color="auto" w:sz="4" w:space="0"/>
            </w:tcBorders>
            <w:vAlign w:val="center"/>
          </w:tcPr>
          <w:p w14:paraId="30425799">
            <w:pPr>
              <w:adjustRightInd w:val="0"/>
              <w:spacing w:line="360" w:lineRule="auto"/>
              <w:jc w:val="center"/>
              <w:textAlignment w:val="baseline"/>
              <w:rPr>
                <w:rFonts w:ascii="宋体" w:hAnsi="宋体" w:cs="宋体"/>
                <w:color w:val="auto"/>
                <w:sz w:val="21"/>
                <w:szCs w:val="21"/>
              </w:rPr>
            </w:pPr>
            <w:r>
              <w:rPr>
                <w:rFonts w:hint="eastAsia" w:ascii="宋体" w:hAnsi="宋体" w:cs="宋体"/>
                <w:color w:val="auto"/>
                <w:sz w:val="21"/>
                <w:szCs w:val="21"/>
                <w:lang w:bidi="ar"/>
              </w:rPr>
              <w:t>2.1.3</w:t>
            </w:r>
          </w:p>
        </w:tc>
        <w:tc>
          <w:tcPr>
            <w:tcW w:w="1181" w:type="dxa"/>
            <w:vMerge w:val="restart"/>
            <w:tcBorders>
              <w:top w:val="single" w:color="auto" w:sz="4" w:space="0"/>
              <w:left w:val="nil"/>
              <w:bottom w:val="single" w:color="auto" w:sz="4" w:space="0"/>
              <w:right w:val="single" w:color="auto" w:sz="4" w:space="0"/>
            </w:tcBorders>
            <w:vAlign w:val="center"/>
          </w:tcPr>
          <w:p w14:paraId="584C13CF">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响应性评审标准</w:t>
            </w:r>
          </w:p>
        </w:tc>
        <w:tc>
          <w:tcPr>
            <w:tcW w:w="2114" w:type="dxa"/>
            <w:tcBorders>
              <w:top w:val="single" w:color="auto" w:sz="4" w:space="0"/>
              <w:left w:val="single" w:color="auto" w:sz="4" w:space="0"/>
              <w:bottom w:val="single" w:color="auto" w:sz="4" w:space="0"/>
              <w:right w:val="single" w:color="auto" w:sz="4" w:space="0"/>
            </w:tcBorders>
            <w:vAlign w:val="center"/>
          </w:tcPr>
          <w:p w14:paraId="317CA9A5">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响应报价</w:t>
            </w:r>
          </w:p>
        </w:tc>
        <w:tc>
          <w:tcPr>
            <w:tcW w:w="4987" w:type="dxa"/>
            <w:tcBorders>
              <w:top w:val="single" w:color="auto" w:sz="4" w:space="0"/>
              <w:left w:val="single" w:color="auto" w:sz="4" w:space="0"/>
              <w:bottom w:val="single" w:color="auto" w:sz="4" w:space="0"/>
              <w:right w:val="single" w:color="auto" w:sz="4" w:space="0"/>
            </w:tcBorders>
            <w:vAlign w:val="center"/>
          </w:tcPr>
          <w:p w14:paraId="564D47AE">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响应报价未超过最高限价</w:t>
            </w:r>
          </w:p>
        </w:tc>
      </w:tr>
      <w:tr w14:paraId="4BB5627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48"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7A5E8845">
            <w:pPr>
              <w:spacing w:line="360" w:lineRule="auto"/>
              <w:rPr>
                <w:rFonts w:ascii="宋体" w:hAnsi="宋体" w:cs="宋体"/>
                <w:color w:val="auto"/>
                <w:sz w:val="21"/>
                <w:szCs w:val="21"/>
              </w:rPr>
            </w:pPr>
          </w:p>
        </w:tc>
        <w:tc>
          <w:tcPr>
            <w:tcW w:w="825" w:type="dxa"/>
            <w:vMerge w:val="continue"/>
            <w:tcBorders>
              <w:top w:val="single" w:color="auto" w:sz="4" w:space="0"/>
              <w:left w:val="nil"/>
              <w:bottom w:val="single" w:color="auto" w:sz="4" w:space="0"/>
              <w:right w:val="single" w:color="auto" w:sz="4" w:space="0"/>
            </w:tcBorders>
            <w:vAlign w:val="center"/>
          </w:tcPr>
          <w:p w14:paraId="51DC6075">
            <w:pPr>
              <w:spacing w:line="360" w:lineRule="auto"/>
              <w:rPr>
                <w:rFonts w:ascii="宋体" w:hAnsi="宋体" w:cs="宋体"/>
                <w:color w:val="auto"/>
                <w:sz w:val="21"/>
                <w:szCs w:val="21"/>
              </w:rPr>
            </w:pPr>
          </w:p>
        </w:tc>
        <w:tc>
          <w:tcPr>
            <w:tcW w:w="1181" w:type="dxa"/>
            <w:vMerge w:val="continue"/>
            <w:tcBorders>
              <w:top w:val="single" w:color="auto" w:sz="4" w:space="0"/>
              <w:left w:val="nil"/>
              <w:bottom w:val="single" w:color="auto" w:sz="4" w:space="0"/>
              <w:right w:val="single" w:color="auto" w:sz="4" w:space="0"/>
            </w:tcBorders>
            <w:vAlign w:val="center"/>
          </w:tcPr>
          <w:p w14:paraId="78ABD336">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3A8E1BB7">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服务周期</w:t>
            </w:r>
          </w:p>
        </w:tc>
        <w:tc>
          <w:tcPr>
            <w:tcW w:w="4987" w:type="dxa"/>
            <w:tcBorders>
              <w:top w:val="single" w:color="auto" w:sz="4" w:space="0"/>
              <w:left w:val="single" w:color="auto" w:sz="4" w:space="0"/>
              <w:bottom w:val="single" w:color="auto" w:sz="4" w:space="0"/>
              <w:right w:val="single" w:color="auto" w:sz="4" w:space="0"/>
            </w:tcBorders>
            <w:vAlign w:val="center"/>
          </w:tcPr>
          <w:p w14:paraId="725F042B">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符合磋商文件要求</w:t>
            </w:r>
          </w:p>
        </w:tc>
      </w:tr>
      <w:tr w14:paraId="6579B7B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35BA6BFA">
            <w:pPr>
              <w:spacing w:line="360" w:lineRule="auto"/>
              <w:rPr>
                <w:rFonts w:ascii="宋体" w:hAnsi="宋体" w:cs="宋体"/>
                <w:color w:val="auto"/>
                <w:sz w:val="21"/>
                <w:szCs w:val="21"/>
              </w:rPr>
            </w:pPr>
          </w:p>
        </w:tc>
        <w:tc>
          <w:tcPr>
            <w:tcW w:w="825" w:type="dxa"/>
            <w:vMerge w:val="continue"/>
            <w:tcBorders>
              <w:top w:val="single" w:color="auto" w:sz="4" w:space="0"/>
              <w:left w:val="nil"/>
              <w:bottom w:val="single" w:color="auto" w:sz="4" w:space="0"/>
              <w:right w:val="single" w:color="auto" w:sz="4" w:space="0"/>
            </w:tcBorders>
            <w:vAlign w:val="center"/>
          </w:tcPr>
          <w:p w14:paraId="7A9EFFF2">
            <w:pPr>
              <w:spacing w:line="360" w:lineRule="auto"/>
              <w:rPr>
                <w:rFonts w:ascii="宋体" w:hAnsi="宋体" w:cs="宋体"/>
                <w:color w:val="auto"/>
                <w:sz w:val="21"/>
                <w:szCs w:val="21"/>
              </w:rPr>
            </w:pPr>
          </w:p>
        </w:tc>
        <w:tc>
          <w:tcPr>
            <w:tcW w:w="1181" w:type="dxa"/>
            <w:vMerge w:val="continue"/>
            <w:tcBorders>
              <w:top w:val="single" w:color="auto" w:sz="4" w:space="0"/>
              <w:left w:val="nil"/>
              <w:bottom w:val="single" w:color="auto" w:sz="4" w:space="0"/>
              <w:right w:val="single" w:color="auto" w:sz="4" w:space="0"/>
            </w:tcBorders>
            <w:vAlign w:val="center"/>
          </w:tcPr>
          <w:p w14:paraId="01A75B97">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272E00EB">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质量要求</w:t>
            </w:r>
          </w:p>
        </w:tc>
        <w:tc>
          <w:tcPr>
            <w:tcW w:w="4987" w:type="dxa"/>
            <w:tcBorders>
              <w:top w:val="single" w:color="auto" w:sz="4" w:space="0"/>
              <w:left w:val="single" w:color="auto" w:sz="4" w:space="0"/>
              <w:bottom w:val="single" w:color="auto" w:sz="4" w:space="0"/>
              <w:right w:val="single" w:color="auto" w:sz="4" w:space="0"/>
            </w:tcBorders>
            <w:vAlign w:val="center"/>
          </w:tcPr>
          <w:p w14:paraId="560FAB02">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符合国家及行业有关质量、安全及技术规范、规程、标准要求</w:t>
            </w:r>
          </w:p>
        </w:tc>
      </w:tr>
      <w:tr w14:paraId="6C80E0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5" w:hRule="atLeast"/>
        </w:trPr>
        <w:tc>
          <w:tcPr>
            <w:tcW w:w="712" w:type="dxa"/>
            <w:vMerge w:val="continue"/>
            <w:tcBorders>
              <w:top w:val="single" w:color="auto" w:sz="4" w:space="0"/>
              <w:left w:val="single" w:color="auto" w:sz="4" w:space="0"/>
              <w:bottom w:val="single" w:color="auto" w:sz="4" w:space="0"/>
              <w:right w:val="single" w:color="auto" w:sz="4" w:space="0"/>
            </w:tcBorders>
            <w:vAlign w:val="center"/>
          </w:tcPr>
          <w:p w14:paraId="7EBB2A9F">
            <w:pPr>
              <w:spacing w:line="360" w:lineRule="auto"/>
              <w:rPr>
                <w:rFonts w:ascii="宋体" w:hAnsi="宋体" w:cs="宋体"/>
                <w:color w:val="auto"/>
                <w:sz w:val="21"/>
                <w:szCs w:val="21"/>
              </w:rPr>
            </w:pPr>
          </w:p>
        </w:tc>
        <w:tc>
          <w:tcPr>
            <w:tcW w:w="825" w:type="dxa"/>
            <w:vMerge w:val="continue"/>
            <w:tcBorders>
              <w:top w:val="single" w:color="auto" w:sz="4" w:space="0"/>
              <w:left w:val="nil"/>
              <w:bottom w:val="single" w:color="auto" w:sz="4" w:space="0"/>
              <w:right w:val="single" w:color="auto" w:sz="4" w:space="0"/>
            </w:tcBorders>
            <w:vAlign w:val="center"/>
          </w:tcPr>
          <w:p w14:paraId="0DAD901F">
            <w:pPr>
              <w:spacing w:line="360" w:lineRule="auto"/>
              <w:rPr>
                <w:rFonts w:ascii="宋体" w:hAnsi="宋体" w:cs="宋体"/>
                <w:color w:val="auto"/>
                <w:sz w:val="21"/>
                <w:szCs w:val="21"/>
              </w:rPr>
            </w:pPr>
          </w:p>
        </w:tc>
        <w:tc>
          <w:tcPr>
            <w:tcW w:w="1181" w:type="dxa"/>
            <w:vMerge w:val="continue"/>
            <w:tcBorders>
              <w:top w:val="single" w:color="auto" w:sz="4" w:space="0"/>
              <w:left w:val="nil"/>
              <w:bottom w:val="single" w:color="auto" w:sz="4" w:space="0"/>
              <w:right w:val="single" w:color="auto" w:sz="4" w:space="0"/>
            </w:tcBorders>
            <w:vAlign w:val="center"/>
          </w:tcPr>
          <w:p w14:paraId="0622E132">
            <w:pPr>
              <w:spacing w:line="360" w:lineRule="auto"/>
              <w:ind w:firstLine="410" w:firstLineChars="171"/>
              <w:rPr>
                <w:rFonts w:hint="eastAsia" w:cstheme="minorBidi"/>
                <w:kern w:val="0"/>
                <w:sz w:val="24"/>
                <w:szCs w:val="22"/>
                <w:lang w:val="en-US" w:eastAsia="zh-CN" w:bidi="ar"/>
              </w:rPr>
            </w:pPr>
          </w:p>
        </w:tc>
        <w:tc>
          <w:tcPr>
            <w:tcW w:w="2114" w:type="dxa"/>
            <w:tcBorders>
              <w:top w:val="single" w:color="auto" w:sz="4" w:space="0"/>
              <w:left w:val="single" w:color="auto" w:sz="4" w:space="0"/>
              <w:bottom w:val="single" w:color="auto" w:sz="4" w:space="0"/>
              <w:right w:val="single" w:color="auto" w:sz="4" w:space="0"/>
            </w:tcBorders>
            <w:vAlign w:val="center"/>
          </w:tcPr>
          <w:p w14:paraId="5BC2638B">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磋商有效期</w:t>
            </w:r>
          </w:p>
        </w:tc>
        <w:tc>
          <w:tcPr>
            <w:tcW w:w="4987" w:type="dxa"/>
            <w:tcBorders>
              <w:top w:val="single" w:color="auto" w:sz="4" w:space="0"/>
              <w:left w:val="single" w:color="auto" w:sz="4" w:space="0"/>
              <w:bottom w:val="single" w:color="auto" w:sz="4" w:space="0"/>
              <w:right w:val="single" w:color="auto" w:sz="4" w:space="0"/>
            </w:tcBorders>
            <w:vAlign w:val="center"/>
          </w:tcPr>
          <w:p w14:paraId="15898ACD">
            <w:pPr>
              <w:spacing w:line="360" w:lineRule="auto"/>
              <w:ind w:firstLine="410" w:firstLineChars="171"/>
              <w:rPr>
                <w:rFonts w:hint="eastAsia" w:cstheme="minorBidi"/>
                <w:kern w:val="0"/>
                <w:sz w:val="24"/>
                <w:szCs w:val="22"/>
                <w:lang w:val="en-US" w:eastAsia="zh-CN" w:bidi="ar"/>
              </w:rPr>
            </w:pPr>
            <w:r>
              <w:rPr>
                <w:rFonts w:hint="eastAsia" w:ascii="宋体" w:hAnsi="宋体" w:eastAsia="宋体" w:cs="宋体"/>
                <w:color w:val="auto"/>
                <w:sz w:val="24"/>
                <w:szCs w:val="24"/>
              </w:rPr>
              <w:t>响应文件递交截止之日起</w:t>
            </w:r>
            <w:r>
              <w:rPr>
                <w:rFonts w:hint="eastAsia" w:ascii="宋体" w:hAnsi="宋体" w:eastAsia="宋体" w:cs="宋体"/>
                <w:color w:val="auto"/>
                <w:sz w:val="24"/>
                <w:szCs w:val="24"/>
                <w:u w:val="single"/>
              </w:rPr>
              <w:t xml:space="preserve"> 60</w:t>
            </w:r>
            <w:r>
              <w:rPr>
                <w:rFonts w:hint="eastAsia" w:ascii="宋体" w:hAnsi="宋体" w:eastAsia="宋体" w:cs="宋体"/>
                <w:color w:val="auto"/>
                <w:sz w:val="24"/>
                <w:szCs w:val="24"/>
              </w:rPr>
              <w:t>日历天</w:t>
            </w:r>
          </w:p>
        </w:tc>
      </w:tr>
    </w:tbl>
    <w:p w14:paraId="3DECD445">
      <w:pPr>
        <w:pageBreakBefore w:val="0"/>
        <w:kinsoku/>
        <w:wordWrap w:val="0"/>
        <w:overflowPunct/>
        <w:topLinePunct w:val="0"/>
        <w:bidi w:val="0"/>
        <w:spacing w:line="420" w:lineRule="exact"/>
        <w:ind w:firstLine="425" w:firstLineChars="177"/>
        <w:rPr>
          <w:rFonts w:hint="eastAsia" w:ascii="宋体" w:hAnsi="宋体"/>
          <w:b/>
          <w:bCs/>
          <w:color w:val="auto"/>
          <w:sz w:val="24"/>
          <w:szCs w:val="24"/>
        </w:rPr>
      </w:pPr>
    </w:p>
    <w:p w14:paraId="7695861F">
      <w:pPr>
        <w:pStyle w:val="18"/>
        <w:rPr>
          <w:rFonts w:hint="eastAsia"/>
        </w:rPr>
      </w:pPr>
    </w:p>
    <w:p w14:paraId="425A8A21">
      <w:pPr>
        <w:pageBreakBefore w:val="0"/>
        <w:kinsoku/>
        <w:wordWrap w:val="0"/>
        <w:overflowPunct/>
        <w:topLinePunct w:val="0"/>
        <w:bidi w:val="0"/>
        <w:spacing w:line="420" w:lineRule="exact"/>
        <w:ind w:firstLine="425" w:firstLineChars="177"/>
        <w:rPr>
          <w:rFonts w:ascii="宋体" w:hAnsi="宋体"/>
          <w:b/>
          <w:bCs/>
          <w:color w:val="auto"/>
          <w:sz w:val="24"/>
          <w:szCs w:val="24"/>
        </w:rPr>
      </w:pPr>
      <w:r>
        <w:rPr>
          <w:rFonts w:hint="eastAsia" w:ascii="宋体" w:hAnsi="宋体"/>
          <w:b/>
          <w:bCs/>
          <w:color w:val="auto"/>
          <w:sz w:val="24"/>
          <w:szCs w:val="24"/>
        </w:rPr>
        <w:t>3.3详细评审</w:t>
      </w:r>
    </w:p>
    <w:tbl>
      <w:tblPr>
        <w:tblStyle w:val="19"/>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000"/>
        <w:gridCol w:w="1299"/>
        <w:gridCol w:w="6461"/>
        <w:gridCol w:w="676"/>
      </w:tblGrid>
      <w:tr w14:paraId="3CD3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5DD3C4F1">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序号</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2A4F3C84">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项目</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72AAE3CB">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分值</w:t>
            </w:r>
          </w:p>
        </w:tc>
        <w:tc>
          <w:tcPr>
            <w:tcW w:w="6461" w:type="dxa"/>
            <w:tcBorders>
              <w:top w:val="single" w:color="auto" w:sz="4" w:space="0"/>
              <w:left w:val="single" w:color="auto" w:sz="4" w:space="0"/>
              <w:bottom w:val="single" w:color="auto" w:sz="4" w:space="0"/>
              <w:right w:val="single" w:color="auto" w:sz="4" w:space="0"/>
            </w:tcBorders>
            <w:noWrap w:val="0"/>
            <w:vAlign w:val="center"/>
          </w:tcPr>
          <w:p w14:paraId="6AA9015B">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评分标准</w:t>
            </w:r>
          </w:p>
        </w:tc>
        <w:tc>
          <w:tcPr>
            <w:tcW w:w="676" w:type="dxa"/>
            <w:tcBorders>
              <w:top w:val="single" w:color="auto" w:sz="4" w:space="0"/>
              <w:left w:val="single" w:color="auto" w:sz="4" w:space="0"/>
              <w:bottom w:val="single" w:color="auto" w:sz="4" w:space="0"/>
              <w:right w:val="single" w:color="auto" w:sz="4" w:space="0"/>
            </w:tcBorders>
            <w:noWrap w:val="0"/>
            <w:vAlign w:val="top"/>
          </w:tcPr>
          <w:p w14:paraId="6D88CAA9">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备注</w:t>
            </w:r>
          </w:p>
        </w:tc>
      </w:tr>
      <w:tr w14:paraId="7253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center"/>
          </w:tcPr>
          <w:p w14:paraId="0E264C5C">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1</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46B9285B">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报价部分</w:t>
            </w:r>
          </w:p>
        </w:tc>
        <w:tc>
          <w:tcPr>
            <w:tcW w:w="1299" w:type="dxa"/>
            <w:tcBorders>
              <w:top w:val="single" w:color="auto" w:sz="4" w:space="0"/>
              <w:left w:val="single" w:color="auto" w:sz="4" w:space="0"/>
              <w:bottom w:val="single" w:color="auto" w:sz="4" w:space="0"/>
              <w:right w:val="single" w:color="auto" w:sz="4" w:space="0"/>
            </w:tcBorders>
            <w:noWrap w:val="0"/>
            <w:vAlign w:val="center"/>
          </w:tcPr>
          <w:p w14:paraId="436BC874">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报价</w:t>
            </w:r>
          </w:p>
          <w:p w14:paraId="32ADFC65">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30分</w:t>
            </w:r>
          </w:p>
        </w:tc>
        <w:tc>
          <w:tcPr>
            <w:tcW w:w="6461" w:type="dxa"/>
            <w:tcBorders>
              <w:top w:val="single" w:color="auto" w:sz="4" w:space="0"/>
              <w:left w:val="single" w:color="auto" w:sz="4" w:space="0"/>
              <w:bottom w:val="single" w:color="auto" w:sz="4" w:space="0"/>
              <w:right w:val="single" w:color="auto" w:sz="4" w:space="0"/>
            </w:tcBorders>
            <w:noWrap w:val="0"/>
            <w:vAlign w:val="center"/>
          </w:tcPr>
          <w:p w14:paraId="4D7FA160">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价格分统一采用低价优先法，即满足磋商文件要求且投标价格最低的投标报价为评标基准价，其价格分为满分30分，其他投标供应商的价格分统一按照下列公式计算：</w:t>
            </w:r>
          </w:p>
          <w:p w14:paraId="7F7261CA">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投标报价得分＝（评标基准价/投标报价）×30％×100，</w:t>
            </w:r>
          </w:p>
          <w:p w14:paraId="39A369B6">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1.投标供应商为中小微企业的（监狱企业/残疾人福利性企业视同小型、微型企业），对所投标的小型和微型企业制造的产品的价格给予20%的扣除，用扣除后的价格参与评审。参加投标的中小微企业，应当按照《政府采购促进中小企业发展管理办法》（财库〔2020〕46号）的规定提供《中小企业声明函》（中小企业划型标准详见《关于印发中小企业划型标准规定的通知》工信部联企业〔2011〕300号）。投标供应商为大型企业的不适用本款规定。</w:t>
            </w:r>
          </w:p>
          <w:p w14:paraId="1071BFA0">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2、根据财政部司法部《关于政府采购支持监狱企业发展有关问题的通知》（财库〔2014〕68号）规定，本项目对监狱企业作为投标供应商所提供的本企业生产的产品的价格给予20%的扣除。监狱企业，应当提供由省级以上监狱管理局、戒毒管理局（含新疆生产建设兵团）出具的属于监狱企业的证明文件。</w:t>
            </w:r>
          </w:p>
          <w:p w14:paraId="46C33F40">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3、参加政府采购活动的残疾人福利性单位应当提供《残疾人福利性单位声明函》，未填写残疾人福利性单位声明函的在开标过程中不予认可。</w:t>
            </w:r>
          </w:p>
          <w:p w14:paraId="4260BBB3">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4、同一投标供应商，中小微企业产品和监狱企业产品价格扣除优惠只享受一次，不得重复享受</w:t>
            </w:r>
          </w:p>
          <w:p w14:paraId="0ED2ED41">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例：所投中小微企业产品报价=所投中小微企业产品报价合计×【1-20%】</w:t>
            </w:r>
          </w:p>
          <w:p w14:paraId="6EB9562E">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注：价格分计算保留小数点后二位。在评标过程中，评标小组发现投标人的报价明显低于成本价时或明显低于其他通过初步审查投标人的报价，有可能影响产品质量或者不能诚信履约的，评标小组可向该投标人提出询问，要求该投标人作出书面说明并提供相关证明材料。投标人不能合理说明及不能提供相关证明材料的，评标委员会认定该投标人以低于成本价恶意竞标，其投标作废标处理。</w:t>
            </w:r>
          </w:p>
        </w:tc>
        <w:tc>
          <w:tcPr>
            <w:tcW w:w="676" w:type="dxa"/>
            <w:tcBorders>
              <w:top w:val="single" w:color="auto" w:sz="4" w:space="0"/>
              <w:left w:val="single" w:color="auto" w:sz="4" w:space="0"/>
              <w:bottom w:val="single" w:color="auto" w:sz="4" w:space="0"/>
              <w:right w:val="single" w:color="auto" w:sz="4" w:space="0"/>
            </w:tcBorders>
            <w:noWrap w:val="0"/>
            <w:vAlign w:val="top"/>
          </w:tcPr>
          <w:p w14:paraId="5A1833EC">
            <w:pPr>
              <w:spacing w:line="360" w:lineRule="auto"/>
              <w:ind w:firstLine="410" w:firstLineChars="171"/>
              <w:jc w:val="center"/>
              <w:rPr>
                <w:rFonts w:hint="eastAsia" w:cstheme="minorBidi"/>
                <w:kern w:val="0"/>
                <w:sz w:val="24"/>
                <w:szCs w:val="22"/>
                <w:lang w:val="en-US" w:eastAsia="zh-CN" w:bidi="ar"/>
              </w:rPr>
            </w:pPr>
          </w:p>
        </w:tc>
      </w:tr>
      <w:tr w14:paraId="4341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722" w:type="dxa"/>
            <w:vMerge w:val="restart"/>
            <w:tcBorders>
              <w:left w:val="single" w:color="auto" w:sz="4" w:space="0"/>
              <w:right w:val="single" w:color="auto" w:sz="4" w:space="0"/>
            </w:tcBorders>
            <w:noWrap w:val="0"/>
            <w:vAlign w:val="center"/>
          </w:tcPr>
          <w:p w14:paraId="07488416">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2</w:t>
            </w:r>
          </w:p>
        </w:tc>
        <w:tc>
          <w:tcPr>
            <w:tcW w:w="1000" w:type="dxa"/>
            <w:vMerge w:val="restart"/>
            <w:tcBorders>
              <w:left w:val="single" w:color="auto" w:sz="4" w:space="0"/>
              <w:right w:val="single" w:color="auto" w:sz="4" w:space="0"/>
            </w:tcBorders>
            <w:noWrap w:val="0"/>
            <w:vAlign w:val="center"/>
          </w:tcPr>
          <w:p w14:paraId="636FA399">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商务部分（45分）</w:t>
            </w:r>
          </w:p>
        </w:tc>
        <w:tc>
          <w:tcPr>
            <w:tcW w:w="1299" w:type="dxa"/>
            <w:tcBorders>
              <w:top w:val="single" w:color="auto" w:sz="4" w:space="0"/>
              <w:left w:val="single" w:color="auto" w:sz="4" w:space="0"/>
              <w:right w:val="single" w:color="auto" w:sz="4" w:space="0"/>
            </w:tcBorders>
            <w:noWrap w:val="0"/>
            <w:vAlign w:val="center"/>
          </w:tcPr>
          <w:p w14:paraId="3E617A10">
            <w:pPr>
              <w:spacing w:line="360" w:lineRule="auto"/>
              <w:ind w:firstLine="410" w:firstLineChars="171"/>
              <w:jc w:val="center"/>
              <w:rPr>
                <w:rFonts w:hint="eastAsia" w:cstheme="minorBidi"/>
                <w:kern w:val="0"/>
                <w:sz w:val="24"/>
                <w:szCs w:val="22"/>
                <w:lang w:val="en-US" w:eastAsia="zh-CN" w:bidi="ar"/>
              </w:rPr>
            </w:pPr>
          </w:p>
          <w:p w14:paraId="01447B90">
            <w:pPr>
              <w:spacing w:line="360" w:lineRule="auto"/>
              <w:jc w:val="both"/>
              <w:rPr>
                <w:rFonts w:hint="eastAsia" w:cstheme="minorBidi"/>
                <w:kern w:val="0"/>
                <w:sz w:val="24"/>
                <w:szCs w:val="22"/>
                <w:lang w:val="en-US" w:eastAsia="zh-CN" w:bidi="ar"/>
              </w:rPr>
            </w:pPr>
            <w:r>
              <w:rPr>
                <w:rFonts w:hint="eastAsia" w:cstheme="minorBidi"/>
                <w:kern w:val="0"/>
                <w:sz w:val="24"/>
                <w:szCs w:val="22"/>
                <w:lang w:val="en-US" w:eastAsia="zh-CN" w:bidi="ar"/>
              </w:rPr>
              <w:t>企业业绩（0-2分）</w:t>
            </w:r>
          </w:p>
          <w:p w14:paraId="5A1CF4EB">
            <w:pPr>
              <w:spacing w:line="360" w:lineRule="auto"/>
              <w:ind w:firstLine="410" w:firstLineChars="171"/>
              <w:jc w:val="center"/>
              <w:rPr>
                <w:rFonts w:hint="eastAsia" w:cstheme="minorBidi"/>
                <w:kern w:val="0"/>
                <w:sz w:val="24"/>
                <w:szCs w:val="22"/>
                <w:lang w:val="en-US" w:eastAsia="zh-CN" w:bidi="ar"/>
              </w:rPr>
            </w:pPr>
          </w:p>
        </w:tc>
        <w:tc>
          <w:tcPr>
            <w:tcW w:w="6461" w:type="dxa"/>
            <w:tcBorders>
              <w:top w:val="single" w:color="auto" w:sz="4" w:space="0"/>
              <w:left w:val="single" w:color="auto" w:sz="4" w:space="0"/>
              <w:bottom w:val="single" w:color="auto" w:sz="4" w:space="0"/>
              <w:right w:val="single" w:color="auto" w:sz="4" w:space="0"/>
            </w:tcBorders>
            <w:noWrap w:val="0"/>
            <w:vAlign w:val="center"/>
          </w:tcPr>
          <w:p w14:paraId="5C034722">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提供2022年01月01日以来签订类似业绩的合同，每一项得1分，该项最多得2分。</w:t>
            </w:r>
          </w:p>
          <w:p w14:paraId="2489EBF0">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注：时间以合同签订日期为准，磋商响应文件中附中标通知书或采购合同原件扫描件，没有不得分；</w:t>
            </w:r>
          </w:p>
        </w:tc>
        <w:tc>
          <w:tcPr>
            <w:tcW w:w="676" w:type="dxa"/>
            <w:tcBorders>
              <w:top w:val="single" w:color="auto" w:sz="4" w:space="0"/>
              <w:left w:val="single" w:color="auto" w:sz="4" w:space="0"/>
              <w:bottom w:val="single" w:color="auto" w:sz="4" w:space="0"/>
              <w:right w:val="single" w:color="auto" w:sz="4" w:space="0"/>
            </w:tcBorders>
            <w:noWrap w:val="0"/>
            <w:vAlign w:val="top"/>
          </w:tcPr>
          <w:p w14:paraId="478FD287">
            <w:pPr>
              <w:spacing w:line="360" w:lineRule="auto"/>
              <w:ind w:firstLine="410" w:firstLineChars="171"/>
              <w:rPr>
                <w:rFonts w:hint="eastAsia" w:cstheme="minorBidi"/>
                <w:kern w:val="0"/>
                <w:sz w:val="24"/>
                <w:szCs w:val="22"/>
                <w:lang w:val="en-US" w:eastAsia="zh-CN" w:bidi="ar"/>
              </w:rPr>
            </w:pPr>
          </w:p>
        </w:tc>
      </w:tr>
      <w:tr w14:paraId="276B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6" w:hRule="atLeast"/>
          <w:jc w:val="center"/>
        </w:trPr>
        <w:tc>
          <w:tcPr>
            <w:tcW w:w="722" w:type="dxa"/>
            <w:vMerge w:val="continue"/>
            <w:tcBorders>
              <w:left w:val="single" w:color="auto" w:sz="4" w:space="0"/>
              <w:right w:val="single" w:color="auto" w:sz="4" w:space="0"/>
            </w:tcBorders>
            <w:noWrap w:val="0"/>
            <w:vAlign w:val="center"/>
          </w:tcPr>
          <w:p w14:paraId="22E3BCB1">
            <w:pPr>
              <w:spacing w:line="360" w:lineRule="auto"/>
              <w:ind w:firstLine="410" w:firstLineChars="171"/>
              <w:jc w:val="center"/>
              <w:rPr>
                <w:rFonts w:hint="eastAsia" w:cstheme="minorBidi"/>
                <w:kern w:val="0"/>
                <w:sz w:val="24"/>
                <w:szCs w:val="22"/>
                <w:lang w:val="en-US" w:eastAsia="zh-CN" w:bidi="ar"/>
              </w:rPr>
            </w:pPr>
          </w:p>
        </w:tc>
        <w:tc>
          <w:tcPr>
            <w:tcW w:w="1000" w:type="dxa"/>
            <w:vMerge w:val="continue"/>
            <w:tcBorders>
              <w:left w:val="single" w:color="auto" w:sz="4" w:space="0"/>
              <w:right w:val="single" w:color="auto" w:sz="4" w:space="0"/>
            </w:tcBorders>
            <w:noWrap w:val="0"/>
            <w:vAlign w:val="center"/>
          </w:tcPr>
          <w:p w14:paraId="6B6B5844">
            <w:pPr>
              <w:spacing w:line="360" w:lineRule="auto"/>
              <w:ind w:firstLine="410" w:firstLineChars="171"/>
              <w:jc w:val="center"/>
              <w:rPr>
                <w:rFonts w:hint="eastAsia" w:cstheme="minorBidi"/>
                <w:kern w:val="0"/>
                <w:sz w:val="24"/>
                <w:szCs w:val="22"/>
                <w:lang w:val="en-US" w:eastAsia="zh-CN" w:bidi="ar"/>
              </w:rPr>
            </w:pPr>
          </w:p>
        </w:tc>
        <w:tc>
          <w:tcPr>
            <w:tcW w:w="1299" w:type="dxa"/>
            <w:tcBorders>
              <w:top w:val="single" w:color="auto" w:sz="4" w:space="0"/>
              <w:left w:val="single" w:color="auto" w:sz="4" w:space="0"/>
              <w:right w:val="single" w:color="auto" w:sz="4" w:space="0"/>
            </w:tcBorders>
            <w:noWrap w:val="0"/>
            <w:vAlign w:val="center"/>
          </w:tcPr>
          <w:p w14:paraId="2C852861">
            <w:pPr>
              <w:spacing w:line="360" w:lineRule="auto"/>
              <w:ind w:firstLine="410" w:firstLineChars="171"/>
              <w:jc w:val="center"/>
              <w:rPr>
                <w:rFonts w:hint="eastAsia" w:cstheme="minorBidi"/>
                <w:kern w:val="0"/>
                <w:sz w:val="24"/>
                <w:szCs w:val="22"/>
                <w:lang w:val="en-US" w:eastAsia="zh-CN" w:bidi="ar"/>
              </w:rPr>
            </w:pPr>
          </w:p>
          <w:p w14:paraId="0DB45746">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企业实力(0-8分）</w:t>
            </w:r>
          </w:p>
        </w:tc>
        <w:tc>
          <w:tcPr>
            <w:tcW w:w="6461" w:type="dxa"/>
            <w:tcBorders>
              <w:top w:val="single" w:color="auto" w:sz="4" w:space="0"/>
              <w:left w:val="single" w:color="auto" w:sz="4" w:space="0"/>
              <w:bottom w:val="single" w:color="auto" w:sz="4" w:space="0"/>
              <w:right w:val="single" w:color="auto" w:sz="4" w:space="0"/>
            </w:tcBorders>
            <w:noWrap w:val="0"/>
            <w:vAlign w:val="center"/>
          </w:tcPr>
          <w:p w14:paraId="47E2B662">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1、为保证项目的本地化售后服务，所投LED显示屏品牌应具有五星售后服务认证证书，需提供证书复印件并加盖原厂公章，提供得1分，未提供不计分。</w:t>
            </w:r>
          </w:p>
          <w:p w14:paraId="6DE3FE1C">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2、所投LED显示屏品牌具备质量管理体系认证证书，环境管理体系认证证书，职业健康管理体系认证证书；社会责任管理体系认证证书；知识产权管理体系认证证书；提供证书的得5分，少一项减2分，复印件加盖厂家公章。</w:t>
            </w:r>
          </w:p>
          <w:p w14:paraId="520CB6DE">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3、所投LED显示屏品牌具备信息安全管理体系认证的得2分；提供证书图片或复印件加盖制造商公章，未提供不计分</w:t>
            </w:r>
          </w:p>
        </w:tc>
        <w:tc>
          <w:tcPr>
            <w:tcW w:w="676" w:type="dxa"/>
            <w:tcBorders>
              <w:top w:val="single" w:color="auto" w:sz="4" w:space="0"/>
              <w:left w:val="single" w:color="auto" w:sz="4" w:space="0"/>
              <w:bottom w:val="single" w:color="auto" w:sz="4" w:space="0"/>
              <w:right w:val="single" w:color="auto" w:sz="4" w:space="0"/>
            </w:tcBorders>
            <w:noWrap w:val="0"/>
            <w:vAlign w:val="top"/>
          </w:tcPr>
          <w:p w14:paraId="7F2FFC4D">
            <w:pPr>
              <w:spacing w:line="360" w:lineRule="auto"/>
              <w:ind w:firstLine="410" w:firstLineChars="171"/>
              <w:rPr>
                <w:rFonts w:hint="eastAsia" w:cstheme="minorBidi"/>
                <w:kern w:val="0"/>
                <w:sz w:val="24"/>
                <w:szCs w:val="22"/>
                <w:lang w:val="en-US" w:eastAsia="zh-CN" w:bidi="ar"/>
              </w:rPr>
            </w:pPr>
          </w:p>
        </w:tc>
      </w:tr>
      <w:tr w14:paraId="4F4B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722" w:type="dxa"/>
            <w:vMerge w:val="continue"/>
            <w:tcBorders>
              <w:left w:val="single" w:color="auto" w:sz="4" w:space="0"/>
              <w:right w:val="single" w:color="auto" w:sz="4" w:space="0"/>
            </w:tcBorders>
            <w:noWrap w:val="0"/>
            <w:vAlign w:val="center"/>
          </w:tcPr>
          <w:p w14:paraId="6A4C2B0C">
            <w:pPr>
              <w:spacing w:line="360" w:lineRule="auto"/>
              <w:ind w:firstLine="410" w:firstLineChars="171"/>
              <w:rPr>
                <w:rFonts w:hint="eastAsia" w:cstheme="minorBidi"/>
                <w:kern w:val="0"/>
                <w:sz w:val="24"/>
                <w:szCs w:val="22"/>
                <w:lang w:val="en-US" w:eastAsia="zh-CN" w:bidi="ar"/>
              </w:rPr>
            </w:pPr>
          </w:p>
        </w:tc>
        <w:tc>
          <w:tcPr>
            <w:tcW w:w="1000" w:type="dxa"/>
            <w:vMerge w:val="continue"/>
            <w:tcBorders>
              <w:left w:val="single" w:color="auto" w:sz="4" w:space="0"/>
              <w:right w:val="single" w:color="auto" w:sz="4" w:space="0"/>
            </w:tcBorders>
            <w:noWrap w:val="0"/>
            <w:vAlign w:val="center"/>
          </w:tcPr>
          <w:p w14:paraId="0A155633">
            <w:pPr>
              <w:spacing w:line="360" w:lineRule="auto"/>
              <w:ind w:firstLine="410" w:firstLineChars="171"/>
              <w:rPr>
                <w:rFonts w:hint="eastAsia" w:cstheme="minorBidi"/>
                <w:kern w:val="0"/>
                <w:sz w:val="24"/>
                <w:szCs w:val="22"/>
                <w:lang w:val="en-US" w:eastAsia="zh-CN" w:bidi="ar"/>
              </w:rPr>
            </w:pPr>
          </w:p>
        </w:tc>
        <w:tc>
          <w:tcPr>
            <w:tcW w:w="1299" w:type="dxa"/>
            <w:tcBorders>
              <w:top w:val="single" w:color="auto" w:sz="4" w:space="0"/>
              <w:left w:val="single" w:color="auto" w:sz="4" w:space="0"/>
              <w:right w:val="single" w:color="auto" w:sz="4" w:space="0"/>
            </w:tcBorders>
            <w:noWrap w:val="0"/>
            <w:vAlign w:val="center"/>
          </w:tcPr>
          <w:p w14:paraId="10AE220D">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项目实施方案（0-6分）</w:t>
            </w:r>
          </w:p>
        </w:tc>
        <w:tc>
          <w:tcPr>
            <w:tcW w:w="6461" w:type="dxa"/>
            <w:tcBorders>
              <w:top w:val="single" w:color="auto" w:sz="4" w:space="0"/>
              <w:left w:val="single" w:color="auto" w:sz="4" w:space="0"/>
              <w:bottom w:val="single" w:color="auto" w:sz="4" w:space="0"/>
              <w:right w:val="single" w:color="auto" w:sz="4" w:space="0"/>
            </w:tcBorders>
            <w:noWrap w:val="0"/>
            <w:vAlign w:val="center"/>
          </w:tcPr>
          <w:p w14:paraId="67A97415">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1、根据投标人的项目实施方案（从供货、安装、调试、测试、验收等）进行评价，实施方案全面完整、切合本项目实际、合理可行、针对性强的，得6分；</w:t>
            </w:r>
          </w:p>
          <w:p w14:paraId="6AAAF30C">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2、实施方案较为完整、切合本项目实际、合理可行、有针对性的，得4分；</w:t>
            </w:r>
          </w:p>
          <w:p w14:paraId="3DB3F287">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3、实施方案一般、针对性不强的，得2分；</w:t>
            </w:r>
          </w:p>
          <w:p w14:paraId="2CF8062B">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4、实施方案不完整、不实用的，得1分；</w:t>
            </w:r>
          </w:p>
          <w:p w14:paraId="546B9B9E">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5、未提供或不适用于本项目的不得分。</w:t>
            </w:r>
          </w:p>
        </w:tc>
        <w:tc>
          <w:tcPr>
            <w:tcW w:w="676" w:type="dxa"/>
            <w:tcBorders>
              <w:top w:val="single" w:color="auto" w:sz="4" w:space="0"/>
              <w:left w:val="single" w:color="auto" w:sz="4" w:space="0"/>
              <w:bottom w:val="single" w:color="auto" w:sz="4" w:space="0"/>
              <w:right w:val="single" w:color="auto" w:sz="4" w:space="0"/>
            </w:tcBorders>
            <w:noWrap w:val="0"/>
            <w:vAlign w:val="top"/>
          </w:tcPr>
          <w:p w14:paraId="2C39EB51">
            <w:pPr>
              <w:spacing w:line="360" w:lineRule="auto"/>
              <w:ind w:firstLine="410" w:firstLineChars="171"/>
              <w:rPr>
                <w:rFonts w:hint="eastAsia" w:cstheme="minorBidi"/>
                <w:kern w:val="0"/>
                <w:sz w:val="24"/>
                <w:szCs w:val="22"/>
                <w:lang w:val="en-US" w:eastAsia="zh-CN" w:bidi="ar"/>
              </w:rPr>
            </w:pPr>
          </w:p>
        </w:tc>
      </w:tr>
      <w:tr w14:paraId="0BB5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1" w:hRule="atLeast"/>
          <w:jc w:val="center"/>
        </w:trPr>
        <w:tc>
          <w:tcPr>
            <w:tcW w:w="722" w:type="dxa"/>
            <w:vMerge w:val="continue"/>
            <w:tcBorders>
              <w:left w:val="single" w:color="auto" w:sz="4" w:space="0"/>
              <w:right w:val="single" w:color="auto" w:sz="4" w:space="0"/>
            </w:tcBorders>
            <w:noWrap w:val="0"/>
            <w:vAlign w:val="center"/>
          </w:tcPr>
          <w:p w14:paraId="707EA43D">
            <w:pPr>
              <w:spacing w:line="360" w:lineRule="auto"/>
              <w:ind w:firstLine="410" w:firstLineChars="171"/>
              <w:rPr>
                <w:rFonts w:hint="eastAsia" w:cstheme="minorBidi"/>
                <w:kern w:val="0"/>
                <w:sz w:val="24"/>
                <w:szCs w:val="22"/>
                <w:lang w:val="en-US" w:eastAsia="zh-CN" w:bidi="ar"/>
              </w:rPr>
            </w:pPr>
          </w:p>
        </w:tc>
        <w:tc>
          <w:tcPr>
            <w:tcW w:w="1000" w:type="dxa"/>
            <w:vMerge w:val="continue"/>
            <w:tcBorders>
              <w:left w:val="single" w:color="auto" w:sz="4" w:space="0"/>
              <w:right w:val="single" w:color="auto" w:sz="4" w:space="0"/>
            </w:tcBorders>
            <w:noWrap w:val="0"/>
            <w:vAlign w:val="center"/>
          </w:tcPr>
          <w:p w14:paraId="1CAA8799">
            <w:pPr>
              <w:spacing w:line="360" w:lineRule="auto"/>
              <w:ind w:firstLine="410" w:firstLineChars="171"/>
              <w:rPr>
                <w:rFonts w:hint="eastAsia" w:cstheme="minorBidi"/>
                <w:kern w:val="0"/>
                <w:sz w:val="24"/>
                <w:szCs w:val="22"/>
                <w:lang w:val="en-US" w:eastAsia="zh-CN" w:bidi="ar"/>
              </w:rPr>
            </w:pPr>
          </w:p>
        </w:tc>
        <w:tc>
          <w:tcPr>
            <w:tcW w:w="1299" w:type="dxa"/>
            <w:tcBorders>
              <w:top w:val="single" w:color="auto" w:sz="4" w:space="0"/>
              <w:left w:val="single" w:color="auto" w:sz="4" w:space="0"/>
              <w:right w:val="single" w:color="auto" w:sz="4" w:space="0"/>
            </w:tcBorders>
            <w:noWrap w:val="0"/>
            <w:vAlign w:val="center"/>
          </w:tcPr>
          <w:p w14:paraId="1E9C453B">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培训方案</w:t>
            </w:r>
          </w:p>
          <w:p w14:paraId="4C704310">
            <w:pPr>
              <w:spacing w:line="360" w:lineRule="auto"/>
              <w:jc w:val="center"/>
              <w:rPr>
                <w:rFonts w:hint="eastAsia" w:cstheme="minorBidi"/>
                <w:kern w:val="0"/>
                <w:sz w:val="24"/>
                <w:szCs w:val="22"/>
                <w:lang w:val="zh-CN" w:eastAsia="zh-CN" w:bidi="ar"/>
              </w:rPr>
            </w:pPr>
            <w:r>
              <w:rPr>
                <w:rFonts w:hint="eastAsia" w:cstheme="minorBidi"/>
                <w:kern w:val="0"/>
                <w:sz w:val="24"/>
                <w:szCs w:val="22"/>
                <w:lang w:val="en-US" w:eastAsia="zh-CN" w:bidi="ar"/>
              </w:rPr>
              <w:t>（0-8分）</w:t>
            </w:r>
          </w:p>
        </w:tc>
        <w:tc>
          <w:tcPr>
            <w:tcW w:w="6461" w:type="dxa"/>
            <w:tcBorders>
              <w:top w:val="single" w:color="auto" w:sz="4" w:space="0"/>
              <w:left w:val="single" w:color="auto" w:sz="4" w:space="0"/>
              <w:bottom w:val="single" w:color="auto" w:sz="4" w:space="0"/>
              <w:right w:val="single" w:color="auto" w:sz="4" w:space="0"/>
            </w:tcBorders>
            <w:noWrap w:val="0"/>
            <w:vAlign w:val="center"/>
          </w:tcPr>
          <w:p w14:paraId="52021FF0">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根据投标人提供的培训方案进行综合评分：</w:t>
            </w:r>
          </w:p>
          <w:p w14:paraId="38C8F8BB">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1、内容完整性：供应商提供的培训方案包括但不限于培训内容、培训形式、培训计划、培训效果和培训师资力量等方面全部内容得2分，每缺1项内容扣0.5分扣完为止；</w:t>
            </w:r>
          </w:p>
          <w:p w14:paraId="2D900737">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2、培训方案详尽、符合项目特点，针对性强，确保满足培训效果的得6分；培训方案相对符合项目特点，基本满足培训效果的得4分；培训方案内容薄弱，泛泛而谈，不具有针对性，不贴合项目实际需求的得2分；未提供或不适用于本项目的不得分。</w:t>
            </w:r>
          </w:p>
        </w:tc>
        <w:tc>
          <w:tcPr>
            <w:tcW w:w="676" w:type="dxa"/>
            <w:tcBorders>
              <w:top w:val="single" w:color="auto" w:sz="4" w:space="0"/>
              <w:left w:val="single" w:color="auto" w:sz="4" w:space="0"/>
              <w:bottom w:val="single" w:color="auto" w:sz="4" w:space="0"/>
              <w:right w:val="single" w:color="auto" w:sz="4" w:space="0"/>
            </w:tcBorders>
            <w:noWrap w:val="0"/>
            <w:vAlign w:val="top"/>
          </w:tcPr>
          <w:p w14:paraId="368CEFB1">
            <w:pPr>
              <w:spacing w:line="360" w:lineRule="auto"/>
              <w:ind w:firstLine="410" w:firstLineChars="171"/>
              <w:rPr>
                <w:rFonts w:hint="eastAsia" w:cstheme="minorBidi"/>
                <w:kern w:val="0"/>
                <w:sz w:val="24"/>
                <w:szCs w:val="22"/>
                <w:lang w:val="en-US" w:eastAsia="zh-CN" w:bidi="ar"/>
              </w:rPr>
            </w:pPr>
          </w:p>
        </w:tc>
      </w:tr>
      <w:tr w14:paraId="01EE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722" w:type="dxa"/>
            <w:vMerge w:val="continue"/>
            <w:tcBorders>
              <w:left w:val="single" w:color="auto" w:sz="4" w:space="0"/>
              <w:right w:val="single" w:color="auto" w:sz="4" w:space="0"/>
            </w:tcBorders>
            <w:noWrap w:val="0"/>
            <w:vAlign w:val="center"/>
          </w:tcPr>
          <w:p w14:paraId="5C34F6DE">
            <w:pPr>
              <w:spacing w:line="360" w:lineRule="auto"/>
              <w:ind w:firstLine="410" w:firstLineChars="171"/>
              <w:rPr>
                <w:rFonts w:hint="eastAsia" w:cstheme="minorBidi"/>
                <w:kern w:val="0"/>
                <w:sz w:val="24"/>
                <w:szCs w:val="22"/>
                <w:lang w:val="en-US" w:eastAsia="zh-CN" w:bidi="ar"/>
              </w:rPr>
            </w:pPr>
          </w:p>
        </w:tc>
        <w:tc>
          <w:tcPr>
            <w:tcW w:w="1000" w:type="dxa"/>
            <w:vMerge w:val="continue"/>
            <w:tcBorders>
              <w:left w:val="single" w:color="auto" w:sz="4" w:space="0"/>
              <w:right w:val="single" w:color="auto" w:sz="4" w:space="0"/>
            </w:tcBorders>
            <w:noWrap w:val="0"/>
            <w:vAlign w:val="center"/>
          </w:tcPr>
          <w:p w14:paraId="5646DC95">
            <w:pPr>
              <w:spacing w:line="360" w:lineRule="auto"/>
              <w:ind w:firstLine="410" w:firstLineChars="171"/>
              <w:rPr>
                <w:rFonts w:hint="eastAsia" w:cstheme="minorBidi"/>
                <w:kern w:val="0"/>
                <w:sz w:val="24"/>
                <w:szCs w:val="22"/>
                <w:lang w:val="en-US" w:eastAsia="zh-CN" w:bidi="ar"/>
              </w:rPr>
            </w:pPr>
          </w:p>
        </w:tc>
        <w:tc>
          <w:tcPr>
            <w:tcW w:w="1299" w:type="dxa"/>
            <w:tcBorders>
              <w:top w:val="single" w:color="auto" w:sz="4" w:space="0"/>
              <w:left w:val="single" w:color="auto" w:sz="4" w:space="0"/>
              <w:right w:val="single" w:color="auto" w:sz="4" w:space="0"/>
            </w:tcBorders>
            <w:noWrap w:val="0"/>
            <w:vAlign w:val="center"/>
          </w:tcPr>
          <w:p w14:paraId="237013B0">
            <w:pPr>
              <w:spacing w:line="360" w:lineRule="auto"/>
              <w:jc w:val="center"/>
              <w:rPr>
                <w:rFonts w:hint="eastAsia" w:cstheme="minorBidi"/>
                <w:kern w:val="0"/>
                <w:sz w:val="24"/>
                <w:szCs w:val="22"/>
                <w:lang w:val="en-US" w:eastAsia="zh-CN" w:bidi="ar"/>
              </w:rPr>
            </w:pPr>
            <w:r>
              <w:rPr>
                <w:rFonts w:hint="eastAsia" w:cstheme="minorBidi"/>
                <w:kern w:val="0"/>
                <w:sz w:val="24"/>
                <w:szCs w:val="22"/>
                <w:lang w:val="zh-CN" w:eastAsia="zh-CN" w:bidi="ar"/>
              </w:rPr>
              <w:t>维护方案</w:t>
            </w:r>
            <w:r>
              <w:rPr>
                <w:rFonts w:hint="eastAsia" w:cstheme="minorBidi"/>
                <w:kern w:val="0"/>
                <w:sz w:val="24"/>
                <w:szCs w:val="22"/>
                <w:lang w:val="en-US" w:eastAsia="zh-CN" w:bidi="ar"/>
              </w:rPr>
              <w:t>（0-5分）</w:t>
            </w:r>
          </w:p>
        </w:tc>
        <w:tc>
          <w:tcPr>
            <w:tcW w:w="6461" w:type="dxa"/>
            <w:tcBorders>
              <w:top w:val="single" w:color="auto" w:sz="4" w:space="0"/>
              <w:left w:val="single" w:color="auto" w:sz="4" w:space="0"/>
              <w:bottom w:val="single" w:color="auto" w:sz="4" w:space="0"/>
              <w:right w:val="single" w:color="auto" w:sz="4" w:space="0"/>
            </w:tcBorders>
            <w:noWrap w:val="0"/>
            <w:vAlign w:val="center"/>
          </w:tcPr>
          <w:p w14:paraId="23F946D7">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1、依据供应商提供的维护方案，针对项目情况制定维护方案，具有改正性维护、适应性维护、完整性维护和预防性维护。</w:t>
            </w:r>
          </w:p>
          <w:p w14:paraId="2DF0AE3A">
            <w:pPr>
              <w:spacing w:line="360" w:lineRule="auto"/>
              <w:ind w:firstLine="480" w:firstLineChars="200"/>
              <w:rPr>
                <w:rFonts w:hint="eastAsia" w:cstheme="minorBidi"/>
                <w:kern w:val="0"/>
                <w:sz w:val="24"/>
                <w:szCs w:val="22"/>
                <w:lang w:val="en-US" w:eastAsia="zh-CN" w:bidi="ar"/>
              </w:rPr>
            </w:pPr>
            <w:r>
              <w:rPr>
                <w:rFonts w:hint="eastAsia" w:cstheme="minorBidi"/>
                <w:kern w:val="0"/>
                <w:sz w:val="24"/>
                <w:szCs w:val="22"/>
                <w:lang w:val="en-US" w:eastAsia="zh-CN" w:bidi="ar"/>
              </w:rPr>
              <w:t>2、方案详细、准确，具备可行性的；(得4分)</w:t>
            </w:r>
          </w:p>
          <w:p w14:paraId="1649BA49">
            <w:pPr>
              <w:spacing w:line="360" w:lineRule="auto"/>
              <w:ind w:firstLine="480" w:firstLineChars="200"/>
              <w:rPr>
                <w:rFonts w:hint="eastAsia" w:cstheme="minorBidi"/>
                <w:kern w:val="0"/>
                <w:sz w:val="24"/>
                <w:szCs w:val="22"/>
                <w:lang w:val="en-US" w:eastAsia="zh-CN" w:bidi="ar"/>
              </w:rPr>
            </w:pPr>
            <w:r>
              <w:rPr>
                <w:rFonts w:hint="eastAsia" w:cstheme="minorBidi"/>
                <w:kern w:val="0"/>
                <w:sz w:val="24"/>
                <w:szCs w:val="22"/>
                <w:lang w:val="en-US" w:eastAsia="zh-CN" w:bidi="ar"/>
              </w:rPr>
              <w:t>3、方案比较详细、比较准确，比较具备可行性的；（得2分）</w:t>
            </w:r>
          </w:p>
          <w:p w14:paraId="33BEFAFB">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4、未提供或不适用于本项目的不得分。</w:t>
            </w:r>
          </w:p>
        </w:tc>
        <w:tc>
          <w:tcPr>
            <w:tcW w:w="676" w:type="dxa"/>
            <w:tcBorders>
              <w:top w:val="single" w:color="auto" w:sz="4" w:space="0"/>
              <w:left w:val="single" w:color="auto" w:sz="4" w:space="0"/>
              <w:bottom w:val="single" w:color="auto" w:sz="4" w:space="0"/>
              <w:right w:val="single" w:color="auto" w:sz="4" w:space="0"/>
            </w:tcBorders>
            <w:noWrap w:val="0"/>
            <w:vAlign w:val="top"/>
          </w:tcPr>
          <w:p w14:paraId="078AEBCA">
            <w:pPr>
              <w:spacing w:line="360" w:lineRule="auto"/>
              <w:ind w:firstLine="410" w:firstLineChars="171"/>
              <w:rPr>
                <w:rFonts w:hint="eastAsia" w:cstheme="minorBidi"/>
                <w:kern w:val="0"/>
                <w:sz w:val="24"/>
                <w:szCs w:val="22"/>
                <w:lang w:val="en-US" w:eastAsia="zh-CN" w:bidi="ar"/>
              </w:rPr>
            </w:pPr>
          </w:p>
        </w:tc>
      </w:tr>
      <w:tr w14:paraId="3E14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22" w:type="dxa"/>
            <w:vMerge w:val="continue"/>
            <w:tcBorders>
              <w:left w:val="single" w:color="auto" w:sz="4" w:space="0"/>
              <w:right w:val="single" w:color="auto" w:sz="4" w:space="0"/>
            </w:tcBorders>
            <w:noWrap w:val="0"/>
            <w:vAlign w:val="center"/>
          </w:tcPr>
          <w:p w14:paraId="094A3C97">
            <w:pPr>
              <w:spacing w:line="360" w:lineRule="auto"/>
              <w:ind w:firstLine="410" w:firstLineChars="171"/>
              <w:rPr>
                <w:rFonts w:hint="eastAsia" w:cstheme="minorBidi"/>
                <w:kern w:val="0"/>
                <w:sz w:val="24"/>
                <w:szCs w:val="22"/>
                <w:lang w:val="en-US" w:eastAsia="zh-CN" w:bidi="ar"/>
              </w:rPr>
            </w:pPr>
          </w:p>
        </w:tc>
        <w:tc>
          <w:tcPr>
            <w:tcW w:w="1000" w:type="dxa"/>
            <w:vMerge w:val="continue"/>
            <w:tcBorders>
              <w:left w:val="single" w:color="auto" w:sz="4" w:space="0"/>
              <w:right w:val="single" w:color="auto" w:sz="4" w:space="0"/>
            </w:tcBorders>
            <w:noWrap w:val="0"/>
            <w:vAlign w:val="center"/>
          </w:tcPr>
          <w:p w14:paraId="5DD03FD0">
            <w:pPr>
              <w:spacing w:line="360" w:lineRule="auto"/>
              <w:ind w:firstLine="410" w:firstLineChars="171"/>
              <w:rPr>
                <w:rFonts w:hint="eastAsia" w:cstheme="minorBidi"/>
                <w:kern w:val="0"/>
                <w:sz w:val="24"/>
                <w:szCs w:val="22"/>
                <w:lang w:val="en-US" w:eastAsia="zh-CN" w:bidi="ar"/>
              </w:rPr>
            </w:pPr>
          </w:p>
        </w:tc>
        <w:tc>
          <w:tcPr>
            <w:tcW w:w="1299" w:type="dxa"/>
            <w:tcBorders>
              <w:top w:val="single" w:color="auto" w:sz="4" w:space="0"/>
              <w:left w:val="single" w:color="auto" w:sz="4" w:space="0"/>
              <w:right w:val="single" w:color="auto" w:sz="4" w:space="0"/>
            </w:tcBorders>
            <w:noWrap w:val="0"/>
            <w:vAlign w:val="center"/>
          </w:tcPr>
          <w:p w14:paraId="73A48AC3">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售后能力</w:t>
            </w:r>
          </w:p>
          <w:p w14:paraId="63AB09D0">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（0-10分）</w:t>
            </w:r>
          </w:p>
        </w:tc>
        <w:tc>
          <w:tcPr>
            <w:tcW w:w="6461" w:type="dxa"/>
            <w:tcBorders>
              <w:top w:val="single" w:color="auto" w:sz="4" w:space="0"/>
              <w:left w:val="single" w:color="auto" w:sz="4" w:space="0"/>
              <w:bottom w:val="single" w:color="auto" w:sz="4" w:space="0"/>
              <w:right w:val="single" w:color="auto" w:sz="4" w:space="0"/>
            </w:tcBorders>
            <w:noWrap w:val="0"/>
            <w:vAlign w:val="center"/>
          </w:tcPr>
          <w:p w14:paraId="523C37F9">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根据投标人提供的售后服务方案进行综合评分：</w:t>
            </w:r>
          </w:p>
          <w:p w14:paraId="3E32AF97">
            <w:pPr>
              <w:spacing w:line="360" w:lineRule="auto"/>
              <w:ind w:firstLine="410" w:firstLineChars="171"/>
              <w:jc w:val="left"/>
              <w:rPr>
                <w:rFonts w:hint="eastAsia" w:cstheme="minorBidi"/>
                <w:kern w:val="0"/>
                <w:sz w:val="24"/>
                <w:szCs w:val="22"/>
                <w:lang w:val="en-US" w:eastAsia="zh-CN" w:bidi="ar"/>
              </w:rPr>
            </w:pPr>
            <w:r>
              <w:rPr>
                <w:rFonts w:hint="eastAsia" w:cstheme="minorBidi"/>
                <w:kern w:val="0"/>
                <w:sz w:val="24"/>
                <w:szCs w:val="22"/>
                <w:lang w:val="en-US" w:eastAsia="zh-CN" w:bidi="ar"/>
              </w:rPr>
              <w:t>1、内容完整性：投标人提供的售后服务方案包括但不限于服务体系、服务流程、服务承诺、服务团队、故障响应时间、解决问题时间、保障措施等方面全部内容得4分，每缺1项内容扣0.5分扣完为止；</w:t>
            </w:r>
          </w:p>
          <w:p w14:paraId="4824F850">
            <w:pPr>
              <w:spacing w:line="360" w:lineRule="auto"/>
              <w:ind w:firstLine="410" w:firstLineChars="171"/>
              <w:jc w:val="center"/>
              <w:rPr>
                <w:rFonts w:hint="default" w:cstheme="minorBidi"/>
                <w:kern w:val="0"/>
                <w:sz w:val="24"/>
                <w:szCs w:val="22"/>
                <w:lang w:val="en-US" w:eastAsia="zh-CN" w:bidi="ar"/>
              </w:rPr>
            </w:pPr>
            <w:r>
              <w:rPr>
                <w:rFonts w:hint="eastAsia" w:cstheme="minorBidi"/>
                <w:kern w:val="0"/>
                <w:sz w:val="24"/>
                <w:szCs w:val="22"/>
                <w:lang w:val="en-US" w:eastAsia="zh-CN" w:bidi="ar"/>
              </w:rPr>
              <w:t>2、售后服务方案详尽、针对性强、符合项目特点、满足项目需求得6分；运售 后服务方案有针对性、符合项目特点、基本满足项目要求得4分；售后服务方案编制较差、没有结合项目实际泛泛而谈、基本不满足项目需求的得2分；方案不可行或未提供的不得分。</w:t>
            </w:r>
          </w:p>
        </w:tc>
        <w:tc>
          <w:tcPr>
            <w:tcW w:w="676" w:type="dxa"/>
            <w:tcBorders>
              <w:top w:val="single" w:color="auto" w:sz="4" w:space="0"/>
              <w:left w:val="single" w:color="auto" w:sz="4" w:space="0"/>
              <w:bottom w:val="single" w:color="auto" w:sz="4" w:space="0"/>
              <w:right w:val="single" w:color="auto" w:sz="4" w:space="0"/>
            </w:tcBorders>
            <w:noWrap w:val="0"/>
            <w:vAlign w:val="top"/>
          </w:tcPr>
          <w:p w14:paraId="16E772F6">
            <w:pPr>
              <w:spacing w:line="360" w:lineRule="auto"/>
              <w:ind w:firstLine="410" w:firstLineChars="171"/>
              <w:rPr>
                <w:rFonts w:hint="eastAsia" w:cstheme="minorBidi"/>
                <w:kern w:val="0"/>
                <w:sz w:val="24"/>
                <w:szCs w:val="22"/>
                <w:lang w:val="en-US" w:eastAsia="zh-CN" w:bidi="ar"/>
              </w:rPr>
            </w:pPr>
          </w:p>
        </w:tc>
      </w:tr>
      <w:tr w14:paraId="0C2F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6" w:hRule="atLeast"/>
          <w:jc w:val="center"/>
        </w:trPr>
        <w:tc>
          <w:tcPr>
            <w:tcW w:w="722" w:type="dxa"/>
            <w:tcBorders>
              <w:left w:val="single" w:color="auto" w:sz="4" w:space="0"/>
              <w:right w:val="single" w:color="auto" w:sz="4" w:space="0"/>
            </w:tcBorders>
            <w:noWrap w:val="0"/>
            <w:vAlign w:val="center"/>
          </w:tcPr>
          <w:p w14:paraId="6B807739">
            <w:pPr>
              <w:spacing w:line="360" w:lineRule="auto"/>
              <w:ind w:firstLine="410" w:firstLineChars="171"/>
              <w:rPr>
                <w:rFonts w:hint="eastAsia" w:cstheme="minorBidi"/>
                <w:kern w:val="0"/>
                <w:sz w:val="24"/>
                <w:szCs w:val="22"/>
                <w:lang w:val="en-US" w:eastAsia="zh-CN" w:bidi="ar"/>
              </w:rPr>
            </w:pPr>
          </w:p>
        </w:tc>
        <w:tc>
          <w:tcPr>
            <w:tcW w:w="1000" w:type="dxa"/>
            <w:tcBorders>
              <w:left w:val="single" w:color="auto" w:sz="4" w:space="0"/>
              <w:right w:val="single" w:color="auto" w:sz="4" w:space="0"/>
            </w:tcBorders>
            <w:noWrap w:val="0"/>
            <w:vAlign w:val="center"/>
          </w:tcPr>
          <w:p w14:paraId="7D81BF0B">
            <w:pPr>
              <w:spacing w:line="360" w:lineRule="auto"/>
              <w:ind w:firstLine="410" w:firstLineChars="171"/>
              <w:rPr>
                <w:rFonts w:hint="eastAsia" w:cstheme="minorBidi"/>
                <w:kern w:val="0"/>
                <w:sz w:val="24"/>
                <w:szCs w:val="22"/>
                <w:lang w:val="en-US" w:eastAsia="zh-CN" w:bidi="ar"/>
              </w:rPr>
            </w:pPr>
          </w:p>
        </w:tc>
        <w:tc>
          <w:tcPr>
            <w:tcW w:w="1299" w:type="dxa"/>
            <w:tcBorders>
              <w:top w:val="single" w:color="auto" w:sz="4" w:space="0"/>
              <w:left w:val="single" w:color="auto" w:sz="4" w:space="0"/>
              <w:right w:val="single" w:color="auto" w:sz="4" w:space="0"/>
            </w:tcBorders>
            <w:noWrap w:val="0"/>
            <w:vAlign w:val="center"/>
          </w:tcPr>
          <w:p w14:paraId="1D0BAB3C">
            <w:pPr>
              <w:spacing w:line="360" w:lineRule="auto"/>
              <w:rPr>
                <w:rFonts w:hint="eastAsia" w:cstheme="minorBidi"/>
                <w:kern w:val="0"/>
                <w:sz w:val="24"/>
                <w:szCs w:val="22"/>
                <w:lang w:val="en-US" w:eastAsia="zh-CN" w:bidi="ar"/>
              </w:rPr>
            </w:pPr>
            <w:r>
              <w:rPr>
                <w:rFonts w:hint="eastAsia" w:cstheme="minorBidi"/>
                <w:kern w:val="0"/>
                <w:sz w:val="24"/>
                <w:szCs w:val="22"/>
                <w:lang w:val="en-US" w:eastAsia="zh-CN" w:bidi="ar"/>
              </w:rPr>
              <w:t>优惠承诺（0-6分）</w:t>
            </w:r>
          </w:p>
        </w:tc>
        <w:tc>
          <w:tcPr>
            <w:tcW w:w="6461" w:type="dxa"/>
            <w:tcBorders>
              <w:top w:val="single" w:color="auto" w:sz="4" w:space="0"/>
              <w:left w:val="single" w:color="auto" w:sz="4" w:space="0"/>
              <w:bottom w:val="single" w:color="auto" w:sz="4" w:space="0"/>
              <w:right w:val="single" w:color="auto" w:sz="4" w:space="0"/>
            </w:tcBorders>
            <w:noWrap w:val="0"/>
            <w:vAlign w:val="center"/>
          </w:tcPr>
          <w:p w14:paraId="2C2A0728">
            <w:pPr>
              <w:spacing w:line="360" w:lineRule="auto"/>
              <w:ind w:left="240" w:leftChars="109" w:firstLine="170" w:firstLineChars="71"/>
              <w:rPr>
                <w:rFonts w:hint="eastAsia" w:cstheme="minorBidi"/>
                <w:kern w:val="0"/>
                <w:sz w:val="24"/>
                <w:szCs w:val="22"/>
                <w:lang w:val="en-US" w:eastAsia="zh-CN" w:bidi="ar"/>
              </w:rPr>
            </w:pPr>
            <w:r>
              <w:rPr>
                <w:rFonts w:hint="eastAsia" w:cstheme="minorBidi"/>
                <w:kern w:val="0"/>
                <w:sz w:val="24"/>
                <w:szCs w:val="22"/>
                <w:lang w:val="en-US" w:eastAsia="zh-CN" w:bidi="ar"/>
              </w:rPr>
              <w:t>优惠承诺应是书面的符合项目情况，确保依法律依法规优惠合理，详实可行。</w:t>
            </w:r>
          </w:p>
          <w:p w14:paraId="49E2EE18">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1、依法律依法规，优惠合理，详实可行得6分；</w:t>
            </w:r>
          </w:p>
          <w:p w14:paraId="766D3FA9">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2、依法律依法规，优惠较合理，较详实可行得4分；</w:t>
            </w:r>
          </w:p>
          <w:p w14:paraId="58D69392">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3、依法律依法规，优惠基本合理，基本详实可行得2分；</w:t>
            </w:r>
          </w:p>
          <w:p w14:paraId="43708E3E">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4、未提供或缺项不得分。</w:t>
            </w:r>
          </w:p>
        </w:tc>
        <w:tc>
          <w:tcPr>
            <w:tcW w:w="676" w:type="dxa"/>
            <w:tcBorders>
              <w:top w:val="single" w:color="auto" w:sz="4" w:space="0"/>
              <w:left w:val="single" w:color="auto" w:sz="4" w:space="0"/>
              <w:bottom w:val="single" w:color="auto" w:sz="4" w:space="0"/>
              <w:right w:val="single" w:color="auto" w:sz="4" w:space="0"/>
            </w:tcBorders>
            <w:noWrap w:val="0"/>
            <w:vAlign w:val="top"/>
          </w:tcPr>
          <w:p w14:paraId="2267849F">
            <w:pPr>
              <w:spacing w:line="360" w:lineRule="auto"/>
              <w:ind w:firstLine="410" w:firstLineChars="171"/>
              <w:rPr>
                <w:rFonts w:hint="eastAsia" w:cstheme="minorBidi"/>
                <w:kern w:val="0"/>
                <w:sz w:val="24"/>
                <w:szCs w:val="22"/>
                <w:lang w:val="en-US" w:eastAsia="zh-CN" w:bidi="ar"/>
              </w:rPr>
            </w:pPr>
          </w:p>
        </w:tc>
      </w:tr>
      <w:tr w14:paraId="17B6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0" w:hRule="atLeast"/>
          <w:jc w:val="center"/>
        </w:trPr>
        <w:tc>
          <w:tcPr>
            <w:tcW w:w="722" w:type="dxa"/>
            <w:tcBorders>
              <w:left w:val="single" w:color="auto" w:sz="4" w:space="0"/>
              <w:right w:val="single" w:color="auto" w:sz="4" w:space="0"/>
            </w:tcBorders>
            <w:noWrap w:val="0"/>
            <w:vAlign w:val="center"/>
          </w:tcPr>
          <w:p w14:paraId="20612CC2">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3</w:t>
            </w:r>
          </w:p>
        </w:tc>
        <w:tc>
          <w:tcPr>
            <w:tcW w:w="1000" w:type="dxa"/>
            <w:tcBorders>
              <w:left w:val="single" w:color="auto" w:sz="4" w:space="0"/>
              <w:right w:val="single" w:color="auto" w:sz="4" w:space="0"/>
            </w:tcBorders>
            <w:noWrap w:val="0"/>
            <w:vAlign w:val="center"/>
          </w:tcPr>
          <w:p w14:paraId="01D2A786">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技术部分（25分）</w:t>
            </w:r>
          </w:p>
        </w:tc>
        <w:tc>
          <w:tcPr>
            <w:tcW w:w="1299" w:type="dxa"/>
            <w:tcBorders>
              <w:top w:val="single" w:color="auto" w:sz="4" w:space="0"/>
              <w:left w:val="single" w:color="auto" w:sz="4" w:space="0"/>
              <w:right w:val="single" w:color="auto" w:sz="4" w:space="0"/>
            </w:tcBorders>
            <w:noWrap w:val="0"/>
            <w:vAlign w:val="center"/>
          </w:tcPr>
          <w:p w14:paraId="483B388D">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技术参数（0-25分）</w:t>
            </w:r>
          </w:p>
        </w:tc>
        <w:tc>
          <w:tcPr>
            <w:tcW w:w="6461" w:type="dxa"/>
            <w:tcBorders>
              <w:top w:val="single" w:color="auto" w:sz="4" w:space="0"/>
              <w:left w:val="single" w:color="auto" w:sz="4" w:space="0"/>
              <w:right w:val="single" w:color="auto" w:sz="4" w:space="0"/>
            </w:tcBorders>
            <w:noWrap w:val="0"/>
            <w:vAlign w:val="center"/>
          </w:tcPr>
          <w:p w14:paraId="561DFF04">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投标货物的技术参数、技术性能完全满足竞争性磋商文件要求得基本分25分；</w:t>
            </w:r>
          </w:p>
          <w:p w14:paraId="6962263C">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加★号的为重要参数，每有一项不满足的，在基本分上扣2分，扣完为止。</w:t>
            </w:r>
          </w:p>
          <w:p w14:paraId="6BFD6C11">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其他非实质性要求，每有一项不满足的，在基本分上扣1分，扣完为止；</w:t>
            </w:r>
          </w:p>
          <w:p w14:paraId="7AE4E794">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注：加★技术参数需提供CNAS认可的检测机构出具的检测报告或权威机构出具的产品认证证书作为技术依据，复印件加盖厂家公章；</w:t>
            </w:r>
          </w:p>
        </w:tc>
        <w:tc>
          <w:tcPr>
            <w:tcW w:w="676" w:type="dxa"/>
            <w:tcBorders>
              <w:top w:val="single" w:color="auto" w:sz="4" w:space="0"/>
              <w:left w:val="single" w:color="auto" w:sz="4" w:space="0"/>
              <w:right w:val="single" w:color="auto" w:sz="4" w:space="0"/>
            </w:tcBorders>
            <w:noWrap w:val="0"/>
            <w:vAlign w:val="center"/>
          </w:tcPr>
          <w:p w14:paraId="1DEC9DB2">
            <w:pPr>
              <w:spacing w:line="360" w:lineRule="auto"/>
              <w:ind w:firstLine="410" w:firstLineChars="171"/>
              <w:jc w:val="center"/>
              <w:rPr>
                <w:rFonts w:hint="eastAsia" w:cstheme="minorBidi"/>
                <w:kern w:val="0"/>
                <w:sz w:val="24"/>
                <w:szCs w:val="22"/>
                <w:lang w:val="en-US" w:eastAsia="zh-CN" w:bidi="ar"/>
              </w:rPr>
            </w:pPr>
          </w:p>
        </w:tc>
      </w:tr>
      <w:tr w14:paraId="70A0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22" w:type="dxa"/>
            <w:tcBorders>
              <w:top w:val="single" w:color="auto" w:sz="4" w:space="0"/>
              <w:left w:val="single" w:color="auto" w:sz="4" w:space="0"/>
              <w:bottom w:val="single" w:color="auto" w:sz="4" w:space="0"/>
              <w:right w:val="single" w:color="auto" w:sz="4" w:space="0"/>
            </w:tcBorders>
            <w:noWrap w:val="0"/>
            <w:vAlign w:val="top"/>
          </w:tcPr>
          <w:p w14:paraId="552CAA43">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4</w:t>
            </w:r>
          </w:p>
        </w:tc>
        <w:tc>
          <w:tcPr>
            <w:tcW w:w="1000" w:type="dxa"/>
            <w:tcBorders>
              <w:top w:val="single" w:color="auto" w:sz="4" w:space="0"/>
              <w:left w:val="single" w:color="auto" w:sz="4" w:space="0"/>
              <w:bottom w:val="single" w:color="auto" w:sz="4" w:space="0"/>
              <w:right w:val="single" w:color="auto" w:sz="4" w:space="0"/>
            </w:tcBorders>
            <w:noWrap w:val="0"/>
            <w:vAlign w:val="center"/>
          </w:tcPr>
          <w:p w14:paraId="561108D0">
            <w:pPr>
              <w:spacing w:line="360" w:lineRule="auto"/>
              <w:jc w:val="center"/>
              <w:rPr>
                <w:rFonts w:hint="eastAsia" w:cstheme="minorBidi"/>
                <w:kern w:val="0"/>
                <w:sz w:val="24"/>
                <w:szCs w:val="22"/>
                <w:lang w:val="en-US" w:eastAsia="zh-CN" w:bidi="ar"/>
              </w:rPr>
            </w:pPr>
            <w:r>
              <w:rPr>
                <w:rFonts w:hint="eastAsia" w:cstheme="minorBidi"/>
                <w:kern w:val="0"/>
                <w:sz w:val="24"/>
                <w:szCs w:val="22"/>
                <w:lang w:val="en-US" w:eastAsia="zh-CN" w:bidi="ar"/>
              </w:rPr>
              <w:t>总分</w:t>
            </w:r>
          </w:p>
        </w:tc>
        <w:tc>
          <w:tcPr>
            <w:tcW w:w="1299" w:type="dxa"/>
            <w:tcBorders>
              <w:top w:val="single" w:color="auto" w:sz="4" w:space="0"/>
              <w:left w:val="single" w:color="auto" w:sz="4" w:space="0"/>
              <w:bottom w:val="single" w:color="auto" w:sz="4" w:space="0"/>
              <w:right w:val="single" w:color="auto" w:sz="4" w:space="0"/>
            </w:tcBorders>
            <w:noWrap w:val="0"/>
            <w:vAlign w:val="top"/>
          </w:tcPr>
          <w:p w14:paraId="7218D6BA">
            <w:pPr>
              <w:spacing w:line="360" w:lineRule="auto"/>
              <w:ind w:firstLine="410" w:firstLineChars="171"/>
              <w:jc w:val="center"/>
              <w:rPr>
                <w:rFonts w:hint="eastAsia" w:cstheme="minorBidi"/>
                <w:kern w:val="0"/>
                <w:sz w:val="24"/>
                <w:szCs w:val="22"/>
                <w:lang w:val="en-US" w:eastAsia="zh-CN" w:bidi="ar"/>
              </w:rPr>
            </w:pPr>
            <w:r>
              <w:rPr>
                <w:rFonts w:hint="eastAsia" w:cstheme="minorBidi"/>
                <w:kern w:val="0"/>
                <w:sz w:val="24"/>
                <w:szCs w:val="22"/>
                <w:lang w:val="en-US" w:eastAsia="zh-CN" w:bidi="ar"/>
              </w:rPr>
              <w:t>100分</w:t>
            </w:r>
          </w:p>
        </w:tc>
        <w:tc>
          <w:tcPr>
            <w:tcW w:w="7137" w:type="dxa"/>
            <w:gridSpan w:val="2"/>
            <w:tcBorders>
              <w:top w:val="single" w:color="auto" w:sz="4" w:space="0"/>
              <w:left w:val="single" w:color="auto" w:sz="4" w:space="0"/>
              <w:bottom w:val="single" w:color="auto" w:sz="4" w:space="0"/>
              <w:right w:val="single" w:color="auto" w:sz="4" w:space="0"/>
            </w:tcBorders>
            <w:noWrap w:val="0"/>
            <w:vAlign w:val="top"/>
          </w:tcPr>
          <w:p w14:paraId="5A5E530F">
            <w:pPr>
              <w:spacing w:line="360" w:lineRule="auto"/>
              <w:ind w:firstLine="410" w:firstLineChars="171"/>
              <w:jc w:val="center"/>
              <w:rPr>
                <w:rFonts w:hint="eastAsia" w:cstheme="minorBidi"/>
                <w:kern w:val="0"/>
                <w:sz w:val="24"/>
                <w:szCs w:val="22"/>
                <w:lang w:val="en-US" w:eastAsia="zh-CN" w:bidi="ar"/>
              </w:rPr>
            </w:pPr>
          </w:p>
        </w:tc>
      </w:tr>
    </w:tbl>
    <w:p w14:paraId="6723E64A">
      <w:pPr>
        <w:spacing w:line="360" w:lineRule="auto"/>
        <w:ind w:firstLine="410" w:firstLineChars="171"/>
        <w:rPr>
          <w:rFonts w:hint="eastAsia" w:cstheme="minorBidi"/>
          <w:kern w:val="0"/>
          <w:sz w:val="24"/>
          <w:szCs w:val="22"/>
          <w:lang w:val="en-US" w:eastAsia="zh-CN" w:bidi="ar"/>
        </w:rPr>
      </w:pPr>
    </w:p>
    <w:p w14:paraId="2BC664EA">
      <w:pPr>
        <w:spacing w:line="360" w:lineRule="auto"/>
        <w:ind w:firstLine="410" w:firstLineChars="171"/>
        <w:rPr>
          <w:rFonts w:hint="eastAsia" w:cstheme="minorBidi"/>
          <w:kern w:val="0"/>
          <w:sz w:val="24"/>
          <w:szCs w:val="22"/>
          <w:lang w:val="en-US" w:eastAsia="zh-CN" w:bidi="ar"/>
        </w:rPr>
      </w:pPr>
    </w:p>
    <w:p w14:paraId="743377B3">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4.计分办法</w:t>
      </w:r>
    </w:p>
    <w:p w14:paraId="04D2D31E">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计分过程中按四舍五入的法则，取至小数点后2位，投标供应商的最终得分为所有评委打分的算术平均值，最终结果取至小数点后2位。评标委员会将按投标供应商得分高低排序向采购人推荐前三名为中标候选人。</w:t>
      </w:r>
    </w:p>
    <w:p w14:paraId="40A2A478">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注：所有未进入详细评审的投标作为无效投标，其报价不作为评分依据。</w:t>
      </w:r>
    </w:p>
    <w:p w14:paraId="2AE4BA49">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5.其他事项</w:t>
      </w:r>
    </w:p>
    <w:p w14:paraId="35185B83">
      <w:pPr>
        <w:spacing w:line="360" w:lineRule="auto"/>
        <w:ind w:firstLine="410" w:firstLineChars="171"/>
        <w:rPr>
          <w:rFonts w:hint="eastAsia" w:cstheme="minorBidi"/>
          <w:kern w:val="0"/>
          <w:sz w:val="24"/>
          <w:szCs w:val="22"/>
          <w:lang w:val="en-US" w:eastAsia="zh-CN" w:bidi="ar"/>
        </w:rPr>
      </w:pPr>
      <w:r>
        <w:rPr>
          <w:rFonts w:hint="eastAsia" w:cstheme="minorBidi"/>
          <w:kern w:val="0"/>
          <w:sz w:val="24"/>
          <w:szCs w:val="22"/>
          <w:lang w:val="en-US" w:eastAsia="zh-CN" w:bidi="a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8828049">
      <w:pPr>
        <w:spacing w:line="360" w:lineRule="auto"/>
        <w:ind w:firstLine="547" w:firstLineChars="171"/>
        <w:jc w:val="center"/>
        <w:rPr>
          <w:rFonts w:ascii="宋体" w:hAnsi="宋体"/>
          <w:color w:val="auto"/>
          <w:sz w:val="32"/>
          <w:szCs w:val="40"/>
          <w:highlight w:val="none"/>
        </w:rPr>
      </w:pPr>
      <w:r>
        <w:rPr>
          <w:rFonts w:ascii="宋体" w:hAnsi="宋体"/>
          <w:b/>
          <w:color w:val="auto"/>
          <w:sz w:val="32"/>
          <w:szCs w:val="40"/>
          <w:highlight w:val="none"/>
        </w:rPr>
        <w:t>第</w:t>
      </w:r>
      <w:r>
        <w:rPr>
          <w:rFonts w:hint="eastAsia" w:ascii="宋体" w:hAnsi="宋体" w:eastAsia="宋体"/>
          <w:b/>
          <w:color w:val="auto"/>
          <w:sz w:val="32"/>
          <w:szCs w:val="40"/>
          <w:highlight w:val="none"/>
          <w:lang w:val="en-US" w:eastAsia="zh-CN"/>
        </w:rPr>
        <w:t>五</w:t>
      </w:r>
      <w:r>
        <w:rPr>
          <w:rFonts w:ascii="宋体" w:hAnsi="宋体"/>
          <w:b/>
          <w:color w:val="auto"/>
          <w:sz w:val="32"/>
          <w:szCs w:val="40"/>
          <w:highlight w:val="none"/>
        </w:rPr>
        <w:t xml:space="preserve">章  </w:t>
      </w:r>
      <w:bookmarkStart w:id="56" w:name="_Toc440880256"/>
      <w:bookmarkStart w:id="57" w:name="_Toc301970899"/>
      <w:r>
        <w:rPr>
          <w:rFonts w:ascii="宋体" w:hAnsi="宋体"/>
          <w:b/>
          <w:color w:val="auto"/>
          <w:sz w:val="32"/>
          <w:szCs w:val="40"/>
          <w:highlight w:val="none"/>
        </w:rPr>
        <w:t>合同条款及格式</w:t>
      </w:r>
      <w:bookmarkEnd w:id="56"/>
      <w:bookmarkEnd w:id="57"/>
    </w:p>
    <w:p w14:paraId="64CD28D4">
      <w:pPr>
        <w:widowControl/>
        <w:snapToGrid w:val="0"/>
        <w:spacing w:line="480" w:lineRule="exact"/>
        <w:ind w:firstLine="480" w:firstLineChars="200"/>
        <w:jc w:val="center"/>
        <w:rPr>
          <w:rFonts w:hint="eastAsia"/>
          <w:b/>
          <w:bCs/>
          <w:color w:val="auto"/>
          <w:sz w:val="24"/>
          <w:szCs w:val="24"/>
          <w:highlight w:val="none"/>
        </w:rPr>
      </w:pPr>
      <w:r>
        <w:rPr>
          <w:rFonts w:hint="eastAsia" w:ascii="宋体" w:hAnsi="宋体" w:cs="宋体"/>
          <w:b/>
          <w:color w:val="auto"/>
          <w:sz w:val="24"/>
          <w:szCs w:val="24"/>
          <w:highlight w:val="none"/>
          <w:lang w:bidi="ar"/>
        </w:rPr>
        <w:t>（</w:t>
      </w:r>
      <w:r>
        <w:rPr>
          <w:rFonts w:hint="eastAsia" w:ascii="宋体" w:hAnsi="宋体"/>
          <w:b/>
          <w:bCs/>
          <w:color w:val="auto"/>
          <w:sz w:val="24"/>
          <w:szCs w:val="24"/>
          <w:highlight w:val="none"/>
        </w:rPr>
        <w:t>合同格式仅供参考</w:t>
      </w:r>
      <w:r>
        <w:rPr>
          <w:rFonts w:hint="eastAsia" w:ascii="宋体" w:hAnsi="宋体" w:eastAsia="宋体"/>
          <w:b/>
          <w:bCs/>
          <w:color w:val="auto"/>
          <w:sz w:val="24"/>
          <w:szCs w:val="24"/>
          <w:highlight w:val="none"/>
          <w:lang w:eastAsia="zh-CN"/>
        </w:rPr>
        <w:t>，</w:t>
      </w:r>
      <w:r>
        <w:rPr>
          <w:rFonts w:hint="eastAsia" w:ascii="宋体" w:hAnsi="宋体" w:cs="宋体"/>
          <w:b/>
          <w:bCs/>
          <w:color w:val="auto"/>
          <w:sz w:val="24"/>
          <w:szCs w:val="24"/>
          <w:highlight w:val="none"/>
          <w:lang w:bidi="ar"/>
        </w:rPr>
        <w:t>采购人可根据采购项目的实际情况增减条款和内容）</w:t>
      </w:r>
    </w:p>
    <w:p w14:paraId="05680699">
      <w:pPr>
        <w:pageBreakBefore w:val="0"/>
        <w:kinsoku/>
        <w:wordWrap w:val="0"/>
        <w:overflowPunct/>
        <w:topLinePunct w:val="0"/>
        <w:bidi w:val="0"/>
        <w:spacing w:line="578" w:lineRule="atLeast"/>
        <w:jc w:val="center"/>
        <w:rPr>
          <w:rFonts w:ascii="宋体" w:hAnsi="宋体"/>
          <w:b/>
          <w:color w:val="auto"/>
          <w:sz w:val="24"/>
        </w:rPr>
      </w:pPr>
      <w:r>
        <w:rPr>
          <w:rFonts w:ascii="宋体" w:hAnsi="宋体"/>
          <w:b/>
          <w:color w:val="auto"/>
          <w:sz w:val="24"/>
        </w:rPr>
        <w:t>合同协议书</w:t>
      </w:r>
    </w:p>
    <w:p w14:paraId="680EAA3F">
      <w:pPr>
        <w:pageBreakBefore w:val="0"/>
        <w:kinsoku/>
        <w:wordWrap w:val="0"/>
        <w:overflowPunct/>
        <w:topLinePunct w:val="0"/>
        <w:bidi w:val="0"/>
        <w:spacing w:line="578" w:lineRule="atLeast"/>
        <w:rPr>
          <w:rFonts w:ascii="宋体" w:hAnsi="宋体"/>
          <w:b/>
          <w:color w:val="auto"/>
          <w:sz w:val="24"/>
        </w:rPr>
      </w:pPr>
    </w:p>
    <w:p w14:paraId="64F6641B">
      <w:pPr>
        <w:autoSpaceDE/>
        <w:autoSpaceDN/>
        <w:adjustRightInd/>
        <w:spacing w:line="500" w:lineRule="exact"/>
        <w:ind w:firstLine="420" w:firstLineChars="200"/>
        <w:rPr>
          <w:rFonts w:hint="eastAsia" w:ascii="宋体" w:hAnsi="宋体" w:eastAsia="宋体" w:cs="宋体"/>
          <w:kern w:val="2"/>
          <w:sz w:val="21"/>
          <w:szCs w:val="21"/>
        </w:rPr>
      </w:pPr>
      <w:r>
        <w:rPr>
          <w:rFonts w:hint="eastAsia" w:ascii="宋体" w:hAnsi="宋体" w:eastAsia="宋体" w:cs="宋体"/>
          <w:kern w:val="2"/>
          <w:sz w:val="21"/>
          <w:szCs w:val="21"/>
        </w:rPr>
        <w:t>发包人：</w:t>
      </w:r>
    </w:p>
    <w:p w14:paraId="69F6995D">
      <w:pPr>
        <w:autoSpaceDE/>
        <w:autoSpaceDN/>
        <w:adjustRightInd/>
        <w:spacing w:line="500" w:lineRule="exact"/>
        <w:ind w:firstLine="420" w:firstLineChars="200"/>
        <w:jc w:val="both"/>
        <w:rPr>
          <w:rFonts w:hint="eastAsia" w:ascii="宋体" w:hAnsi="宋体" w:eastAsia="宋体" w:cs="宋体"/>
          <w:kern w:val="2"/>
          <w:sz w:val="21"/>
          <w:szCs w:val="21"/>
        </w:rPr>
      </w:pPr>
      <w:r>
        <w:rPr>
          <w:rFonts w:hint="eastAsia" w:ascii="宋体" w:hAnsi="宋体" w:eastAsia="宋体" w:cs="宋体"/>
          <w:kern w:val="2"/>
          <w:sz w:val="21"/>
          <w:szCs w:val="21"/>
        </w:rPr>
        <w:t>承包人：</w:t>
      </w:r>
    </w:p>
    <w:p w14:paraId="1C77EA84">
      <w:pPr>
        <w:spacing w:line="360" w:lineRule="auto"/>
        <w:ind w:firstLine="420" w:firstLineChars="200"/>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根据《中华人民共和国民法典》和其它相关法律、法规规定，按照招标文件条款和中标人的投标文件及其承诺，双方就</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签订本合同。</w:t>
      </w:r>
    </w:p>
    <w:p w14:paraId="7C35057E">
      <w:pPr>
        <w:autoSpaceDE/>
        <w:autoSpaceDN/>
        <w:adjustRightInd/>
        <w:spacing w:line="500" w:lineRule="exact"/>
        <w:ind w:firstLine="422"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rPr>
        <w:t>一、服务范围和内容</w:t>
      </w:r>
    </w:p>
    <w:p w14:paraId="253EA3E1">
      <w:pPr>
        <w:spacing w:line="360" w:lineRule="auto"/>
        <w:ind w:firstLine="420" w:firstLineChars="200"/>
        <w:contextualSpacing/>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对项目</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eastAsia="zh-CN"/>
        </w:rPr>
        <w:t>。</w:t>
      </w:r>
    </w:p>
    <w:p w14:paraId="6C3F2BC8">
      <w:pPr>
        <w:autoSpaceDE/>
        <w:autoSpaceDN/>
        <w:adjustRightInd/>
        <w:spacing w:line="500" w:lineRule="exact"/>
        <w:ind w:firstLine="422"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rPr>
        <w:t>二、计划服务期</w:t>
      </w:r>
    </w:p>
    <w:p w14:paraId="2B1D9505">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计划服务期为</w:t>
      </w:r>
      <w:r>
        <w:rPr>
          <w:rFonts w:hint="eastAsia" w:ascii="宋体" w:hAnsi="宋体" w:eastAsia="宋体" w:cs="宋体"/>
          <w:sz w:val="21"/>
          <w:szCs w:val="21"/>
          <w:u w:val="single"/>
          <w:lang w:val="zh-CN"/>
        </w:rPr>
        <w:t xml:space="preserve">      </w:t>
      </w:r>
      <w:r>
        <w:rPr>
          <w:rFonts w:hint="eastAsia" w:ascii="宋体" w:hAnsi="宋体" w:eastAsia="宋体" w:cs="宋体"/>
          <w:sz w:val="21"/>
          <w:szCs w:val="21"/>
          <w:lang w:val="zh-CN"/>
        </w:rPr>
        <w:t xml:space="preserve">，自合同签订之日开始计算。 </w:t>
      </w:r>
    </w:p>
    <w:p w14:paraId="17F2B1CE">
      <w:pPr>
        <w:autoSpaceDE/>
        <w:autoSpaceDN/>
        <w:adjustRightInd/>
        <w:spacing w:line="500" w:lineRule="exact"/>
        <w:ind w:firstLine="422"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rPr>
        <w:t>三、合同额及支付办法</w:t>
      </w:r>
    </w:p>
    <w:p w14:paraId="07B05CB1">
      <w:pPr>
        <w:autoSpaceDE/>
        <w:autoSpaceDN/>
        <w:adjustRightInd/>
        <w:spacing w:line="500" w:lineRule="exact"/>
        <w:ind w:firstLine="480"/>
        <w:jc w:val="both"/>
        <w:rPr>
          <w:rFonts w:hint="eastAsia" w:ascii="宋体" w:hAnsi="宋体" w:eastAsia="宋体" w:cs="宋体"/>
          <w:kern w:val="2"/>
          <w:sz w:val="21"/>
          <w:szCs w:val="21"/>
        </w:rPr>
      </w:pPr>
      <w:r>
        <w:rPr>
          <w:rFonts w:hint="eastAsia" w:ascii="宋体" w:hAnsi="宋体" w:eastAsia="宋体" w:cs="宋体"/>
          <w:kern w:val="2"/>
          <w:sz w:val="21"/>
          <w:szCs w:val="21"/>
        </w:rPr>
        <w:t>1.合同额</w:t>
      </w:r>
    </w:p>
    <w:p w14:paraId="67F4A5E3">
      <w:pPr>
        <w:autoSpaceDE/>
        <w:autoSpaceDN/>
        <w:adjustRightInd/>
        <w:spacing w:line="500" w:lineRule="exact"/>
        <w:ind w:firstLine="480"/>
        <w:jc w:val="both"/>
        <w:rPr>
          <w:rFonts w:hint="eastAsia" w:ascii="宋体" w:hAnsi="宋体" w:eastAsia="宋体" w:cs="宋体"/>
          <w:kern w:val="2"/>
          <w:sz w:val="21"/>
          <w:szCs w:val="21"/>
        </w:rPr>
      </w:pPr>
      <w:r>
        <w:rPr>
          <w:rFonts w:hint="eastAsia" w:ascii="宋体" w:hAnsi="宋体" w:eastAsia="宋体" w:cs="宋体"/>
          <w:kern w:val="2"/>
          <w:sz w:val="21"/>
          <w:szCs w:val="21"/>
        </w:rPr>
        <w:t>合同价为</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rPr>
        <w:t>。</w:t>
      </w:r>
    </w:p>
    <w:p w14:paraId="3E00EC78">
      <w:pPr>
        <w:pBdr>
          <w:bottom w:val="dotted" w:color="auto" w:sz="24" w:space="0"/>
        </w:pBdr>
        <w:autoSpaceDE/>
        <w:autoSpaceDN/>
        <w:adjustRightInd/>
        <w:spacing w:line="500" w:lineRule="exact"/>
        <w:ind w:firstLine="48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2.支付方式</w:t>
      </w:r>
    </w:p>
    <w:p w14:paraId="51C8A620">
      <w:pPr>
        <w:autoSpaceDE/>
        <w:autoSpaceDN/>
        <w:adjustRightInd/>
        <w:spacing w:line="500" w:lineRule="exact"/>
        <w:ind w:firstLine="422" w:firstLineChars="200"/>
        <w:jc w:val="both"/>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rPr>
        <w:t>四</w:t>
      </w:r>
      <w:r>
        <w:rPr>
          <w:rFonts w:hint="eastAsia" w:ascii="宋体" w:hAnsi="宋体" w:eastAsia="宋体" w:cs="宋体"/>
          <w:b/>
          <w:kern w:val="2"/>
          <w:sz w:val="21"/>
          <w:szCs w:val="21"/>
          <w:highlight w:val="none"/>
        </w:rPr>
        <w:t>、权利和义务</w:t>
      </w:r>
    </w:p>
    <w:p w14:paraId="1E298CFF">
      <w:pPr>
        <w:widowControl/>
        <w:shd w:val="clear" w:color="auto" w:fill="FCFCFC"/>
        <w:autoSpaceDE/>
        <w:autoSpaceDN/>
        <w:adjustRightInd/>
        <w:spacing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（一）一般责任和义务</w:t>
      </w:r>
    </w:p>
    <w:p w14:paraId="06B15299">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承包人在接到中标通知书并签订合同后，在发包人规定的时间内，根据工作实施方案的总体安排向发包人提交两份进度工作计划，以及为完成</w:t>
      </w:r>
      <w:r>
        <w:rPr>
          <w:rFonts w:hint="eastAsia" w:ascii="宋体" w:hAnsi="宋体" w:eastAsia="宋体" w:cs="宋体"/>
          <w:sz w:val="21"/>
          <w:szCs w:val="21"/>
          <w:lang w:val="zh-CN"/>
        </w:rPr>
        <w:t>本计划而建议采用的措施和说明，作为发包人控制进度的依据。</w:t>
      </w:r>
    </w:p>
    <w:p w14:paraId="77C811E3">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承包人在进行外业时，应采取相应的安全、保卫和环境保护措施。</w:t>
      </w:r>
      <w:r>
        <w:rPr>
          <w:rFonts w:hint="eastAsia" w:ascii="宋体" w:hAnsi="宋体" w:eastAsia="宋体" w:cs="宋体"/>
          <w:sz w:val="21"/>
          <w:szCs w:val="21"/>
          <w:lang w:val="en-US" w:eastAsia="zh-CN"/>
        </w:rPr>
        <w:t>因实施本项目</w:t>
      </w:r>
      <w:r>
        <w:rPr>
          <w:rFonts w:hint="eastAsia" w:ascii="宋体" w:hAnsi="宋体" w:eastAsia="宋体" w:cs="宋体"/>
          <w:sz w:val="21"/>
          <w:szCs w:val="21"/>
          <w:lang w:val="zh-CN"/>
        </w:rPr>
        <w:t>发生的与外业活动有关的人身伤亡、罚款、索赔、损失赔偿、诉讼费用及其他一切责任应由承包人负责。</w:t>
      </w:r>
    </w:p>
    <w:p w14:paraId="7E605D89">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承包人在进行外业时，如造成原有道路、桥梁等设施的损坏或损伤而引起的一切索赔、赔偿、诉讼费用和其他费用，由承包人自行承担。</w:t>
      </w:r>
    </w:p>
    <w:p w14:paraId="7D0B8F62">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（二）发包人权利和义务</w:t>
      </w:r>
    </w:p>
    <w:p w14:paraId="540CAF1F">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zh-CN"/>
        </w:rPr>
        <w:t xml:space="preserve">发包人应严格履行基本建设程序，根据本工程项目的具体情况和技术要求，并按本合同有关规定及时支付服务费。 </w:t>
      </w:r>
    </w:p>
    <w:p w14:paraId="4AE9241C">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发包人应向承包人提供开展工作所需要的发包人所具有的资料、文件等，并对提供的原始资料的可靠性负责。</w:t>
      </w:r>
    </w:p>
    <w:p w14:paraId="336FDBA8">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除合同另有规定外，发包人应保护承包人的投标文件、工作方案、计算软件和专利技术。未经承包人同意，发包人对承包人交付的资料及文件不得擅自修改、复制或向第三方转让或用于本合同以外的项目。</w:t>
      </w:r>
    </w:p>
    <w:p w14:paraId="71BA7A34">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 </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zh-CN"/>
        </w:rPr>
        <w:t>由于执行发包人的书面指令而造成的工作质量事故应由发包人承担责任，但不免除承包人根据本合同规定应负的责任。</w:t>
      </w:r>
    </w:p>
    <w:p w14:paraId="303221F2">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ascii="宋体" w:hAnsi="宋体" w:eastAsia="宋体" w:cs="宋体"/>
          <w:sz w:val="21"/>
          <w:szCs w:val="21"/>
          <w:lang w:val="zh-CN"/>
        </w:rPr>
        <w:t>发包人不得以压低服务费、增加工作量、缩短服务周期等作为中标的条件，不得与中标人再行订立背离合同实质性内容的其它协议。</w:t>
      </w:r>
    </w:p>
    <w:p w14:paraId="60DFB240">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（三）承包人权利和义务</w:t>
      </w:r>
    </w:p>
    <w:p w14:paraId="406C67D5">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zh-CN"/>
        </w:rPr>
        <w:t>承包人应根据本合同工程项目的具体情况，按照国家有关工程建设标准强制性条文、现行技术标准、规范、规程、办法、示例等有关规定，在服务周期内完成本合同工程的工作。</w:t>
      </w:r>
    </w:p>
    <w:p w14:paraId="61BCB599">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人员保证与变更</w:t>
      </w:r>
    </w:p>
    <w:p w14:paraId="281820C4">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1）承包人应安排投标文件中承诺的人员投入工作，并在工作过程中保持人员的相对稳定。</w:t>
      </w:r>
    </w:p>
    <w:p w14:paraId="7A65A072">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如果承包人员不能胜任工作、渎职或从事其它违法活动，发包人有权以书面形式提出更换要求，承包人应立即派出具有同等资历的人员替换；若非因上述原因，承包人有权拒绝。承包人在事先取得发包人的同意后可以更换其他所派驻现场的人员，但应符合合同规定的资历要求，否则，发包人有权拒绝。</w:t>
      </w:r>
    </w:p>
    <w:p w14:paraId="3C44EB05">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 xml:space="preserve">3）承包人的工作进度没有达到承包人投标文件中承诺的进度计划时，发包人有权提出要求增加承包人员，承包人应立即安排，其费用被认为已包含在合同价格之中。 </w:t>
      </w:r>
    </w:p>
    <w:p w14:paraId="6F0A4B20">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4）由于发包人提出加快工作进度，提前完成工作而增加人员时，其费用应另外计列。</w:t>
      </w:r>
    </w:p>
    <w:p w14:paraId="4080F488">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承包人在服务过程中，如果因其采用的技术方案等方面发生侵犯专利权的行为而引起索赔或诉讼，则承包人应承担全部责任，并保障发包人免于承担由此造成的一切损害和损失。</w:t>
      </w:r>
    </w:p>
    <w:p w14:paraId="56957AC1">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zh-CN"/>
        </w:rPr>
        <w:t>承包人除需承担在工作过程中的决策和指导责任外，对其工作范围外的工作不承担任何责任。</w:t>
      </w:r>
    </w:p>
    <w:p w14:paraId="753EC60E">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val="zh-CN"/>
        </w:rPr>
        <w:t>对于承包人在工作过程中发生的人员伤亡，或者造成第三方的人员伤亡，或财产损失，或由此而引起的其它一切损害和损失，发包人均不承担责任。</w:t>
      </w:r>
    </w:p>
    <w:p w14:paraId="4805FF5C">
      <w:pPr>
        <w:autoSpaceDE/>
        <w:autoSpaceDN/>
        <w:adjustRightInd/>
        <w:spacing w:line="500" w:lineRule="exact"/>
        <w:ind w:firstLine="422"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五</w:t>
      </w:r>
      <w:r>
        <w:rPr>
          <w:rFonts w:hint="eastAsia" w:ascii="宋体" w:hAnsi="宋体" w:eastAsia="宋体" w:cs="宋体"/>
          <w:b/>
          <w:kern w:val="2"/>
          <w:sz w:val="21"/>
          <w:szCs w:val="21"/>
        </w:rPr>
        <w:t>、违约责任</w:t>
      </w:r>
    </w:p>
    <w:p w14:paraId="0616B354">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zh-CN"/>
        </w:rPr>
        <w:t>发包人的违约</w:t>
      </w:r>
    </w:p>
    <w:p w14:paraId="0FC083E4">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w:t>
      </w:r>
      <w:r>
        <w:rPr>
          <w:rFonts w:hint="eastAsia" w:ascii="宋体" w:hAnsi="宋体" w:eastAsia="宋体" w:cs="宋体"/>
          <w:sz w:val="21"/>
          <w:szCs w:val="21"/>
        </w:rPr>
        <w:t>由于发包人变更签约项目、规模、条件，或提供的资料不准确，或对其所提交的资料作较大修改，或未按期提供必需的资料、工作条件，而造成的工程返工、停工、窝工或修改资料及文件，发包人应按承包人实际消耗的工作量增付费用；由于发包人方面要求提前完成服务工作而导致增加的人员和费用，应另行计列。</w:t>
      </w:r>
    </w:p>
    <w:p w14:paraId="29B21851">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（2）发包人逾期支付费用的，应偿付逾期的违约金，违约金金额由双方协商确定。</w:t>
      </w:r>
    </w:p>
    <w:p w14:paraId="3106ECC0">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（3）在合同履行期间，发包人要求终止或解除合同的（但并非承包人原因造成），发包人除应按承包人完成的实际工作量支付费用外，还应支付违约金，违约金金额双方另行协商。</w:t>
      </w:r>
    </w:p>
    <w:p w14:paraId="5EFBE675">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承包人的违约</w:t>
      </w:r>
    </w:p>
    <w:p w14:paraId="2AC5A03E">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（1）承包人将服务任务转包，发包人将有权终止合同。</w:t>
      </w:r>
    </w:p>
    <w:p w14:paraId="47DAED8C">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（2）承包人未按照国家及相关部门现行的强制性技术标准、规范和规程进行服务工作，或未根据成果资料进行工程服务工作，造成发包人损失的，损失费用由承包人承担。</w:t>
      </w:r>
    </w:p>
    <w:p w14:paraId="0D278C57">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（3）因乙方自身原因，乙方未能按本合同规定的服务期限提供服务，逾期</w:t>
      </w:r>
      <w:r>
        <w:rPr>
          <w:rFonts w:hint="eastAsia" w:ascii="宋体" w:hAnsi="宋体" w:eastAsia="宋体" w:cs="宋体"/>
          <w:sz w:val="21"/>
          <w:szCs w:val="21"/>
          <w:lang w:val="en-US" w:eastAsia="zh-CN"/>
        </w:rPr>
        <w:t>一</w:t>
      </w:r>
      <w:r>
        <w:rPr>
          <w:rFonts w:hint="eastAsia" w:ascii="宋体" w:hAnsi="宋体" w:eastAsia="宋体" w:cs="宋体"/>
          <w:sz w:val="21"/>
          <w:szCs w:val="21"/>
          <w:lang w:val="zh-CN"/>
        </w:rPr>
        <w:t>个月以上的，甲方有权终止合同，由此造成的甲方经济损失由乙方承担。</w:t>
      </w:r>
    </w:p>
    <w:p w14:paraId="572E17A9">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（4）因工作错误而造成一般质量事故的，承包人除应免收受损失部分的服务费外，承包人还应无偿继续完善服务工作，并承担相当于直接损失部分服务费的赔偿金。</w:t>
      </w:r>
    </w:p>
    <w:p w14:paraId="16877B4F">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（5）所有违约金、赔偿金在承包人服务费中扣除。</w:t>
      </w:r>
    </w:p>
    <w:p w14:paraId="7F63B1ED">
      <w:pPr>
        <w:autoSpaceDE/>
        <w:autoSpaceDN/>
        <w:adjustRightInd/>
        <w:spacing w:line="500" w:lineRule="exact"/>
        <w:ind w:firstLine="422" w:firstLineChars="200"/>
        <w:jc w:val="both"/>
        <w:rPr>
          <w:rFonts w:hint="eastAsia" w:ascii="宋体" w:hAnsi="宋体" w:eastAsia="宋体" w:cs="宋体"/>
          <w:b/>
          <w:kern w:val="2"/>
          <w:sz w:val="21"/>
          <w:szCs w:val="21"/>
          <w:lang w:val="zh-CN"/>
        </w:rPr>
      </w:pPr>
      <w:r>
        <w:rPr>
          <w:rFonts w:hint="eastAsia" w:ascii="宋体" w:hAnsi="宋体" w:eastAsia="宋体" w:cs="宋体"/>
          <w:b/>
          <w:kern w:val="2"/>
          <w:sz w:val="21"/>
          <w:szCs w:val="21"/>
          <w:lang w:val="en-US" w:eastAsia="zh-CN"/>
        </w:rPr>
        <w:t>六</w:t>
      </w:r>
      <w:r>
        <w:rPr>
          <w:rFonts w:hint="eastAsia" w:ascii="宋体" w:hAnsi="宋体" w:eastAsia="宋体" w:cs="宋体"/>
          <w:b/>
          <w:kern w:val="2"/>
          <w:sz w:val="21"/>
          <w:szCs w:val="21"/>
          <w:lang w:val="zh-CN"/>
        </w:rPr>
        <w:t>、</w:t>
      </w:r>
      <w:r>
        <w:rPr>
          <w:rFonts w:hint="eastAsia" w:ascii="宋体" w:hAnsi="宋体" w:eastAsia="宋体" w:cs="宋体"/>
          <w:b/>
          <w:kern w:val="2"/>
          <w:sz w:val="21"/>
          <w:szCs w:val="21"/>
        </w:rPr>
        <w:t>合同的生效、变更与终止</w:t>
      </w:r>
    </w:p>
    <w:p w14:paraId="5F87ABF7">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1.</w:t>
      </w:r>
      <w:r>
        <w:rPr>
          <w:rFonts w:hint="eastAsia" w:ascii="宋体" w:hAnsi="宋体" w:eastAsia="宋体" w:cs="宋体"/>
          <w:sz w:val="21"/>
          <w:szCs w:val="21"/>
          <w:lang w:val="zh-CN"/>
        </w:rPr>
        <w:t>合同的生效</w:t>
      </w:r>
    </w:p>
    <w:p w14:paraId="55458E7B">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合同协议书自双方签字盖章后，所有合同文件生效。承包人工作的开始和完成时间按照合同协议书的规定执行。</w:t>
      </w:r>
    </w:p>
    <w:p w14:paraId="04FF0D14">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2.</w:t>
      </w:r>
      <w:r>
        <w:rPr>
          <w:rFonts w:hint="eastAsia" w:ascii="宋体" w:hAnsi="宋体" w:eastAsia="宋体" w:cs="宋体"/>
          <w:sz w:val="21"/>
          <w:szCs w:val="21"/>
          <w:lang w:val="zh-CN"/>
        </w:rPr>
        <w:t>延误</w:t>
      </w:r>
    </w:p>
    <w:p w14:paraId="6D239F31">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由于不可抗力等因素，导致服务增加和时间延续则：</w:t>
      </w:r>
    </w:p>
    <w:p w14:paraId="1F63CCE3">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（1）承包人应将此情况与可能产生的影响尽快通知发包人，并采取合理措施使损失减至最低；</w:t>
      </w:r>
    </w:p>
    <w:p w14:paraId="2A2E45B0">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（2）服务工作应保持详细原始记录；</w:t>
      </w:r>
    </w:p>
    <w:p w14:paraId="16E507BC">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（3）发包人在与承包人协商后应相应地顺延承包人的工作期限；</w:t>
      </w:r>
    </w:p>
    <w:p w14:paraId="2B58724E">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（4）由于不可抗力等因素，承包人无法履行合同的，承包人可以提出终止合同，并于28天前以书面形式通知发包人，由此造成的损失，应由发包人根据承包人实际完成的工作量予以支付费用。</w:t>
      </w:r>
    </w:p>
    <w:p w14:paraId="57BC8332">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3.</w:t>
      </w:r>
      <w:r>
        <w:rPr>
          <w:rFonts w:hint="eastAsia" w:ascii="宋体" w:hAnsi="宋体" w:eastAsia="宋体" w:cs="宋体"/>
          <w:sz w:val="21"/>
          <w:szCs w:val="21"/>
          <w:lang w:val="zh-CN"/>
        </w:rPr>
        <w:t>变更</w:t>
      </w:r>
    </w:p>
    <w:p w14:paraId="581B0CC9">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除合同另有规定外，承包人应提交变更工程服务文件，此类服务文件的准备和提交应视为已含入报价中，发包人不再另行支付费用。</w:t>
      </w:r>
    </w:p>
    <w:p w14:paraId="58A7DE42">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4.</w:t>
      </w:r>
      <w:r>
        <w:rPr>
          <w:rFonts w:hint="eastAsia" w:ascii="宋体" w:hAnsi="宋体" w:eastAsia="宋体" w:cs="宋体"/>
          <w:sz w:val="21"/>
          <w:szCs w:val="21"/>
          <w:lang w:val="zh-CN"/>
        </w:rPr>
        <w:t>推迟与终止</w:t>
      </w:r>
    </w:p>
    <w:p w14:paraId="2E36AFE0">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（1）发包人可以在至少28天以前以书面通知承包人暂停全部或部分服务工作或终止本合同协议书，一旦收到此类通知，承包人应立即安排停止计划并将费用减到最小。</w:t>
      </w:r>
    </w:p>
    <w:p w14:paraId="3A7153ED">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2）发包人认为承包人无正当理由而未履行本合同规定的责任与义务时，应书面通知承包人，并说明理由。若发包人在21天内没有收到满意的答复，发包人可以发出进一步的通知终止本合同，但此进一步的通知必须在第一个通知发出28天后发出。</w:t>
      </w:r>
    </w:p>
    <w:p w14:paraId="0534718F">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rPr>
        <w:t>5.</w:t>
      </w:r>
      <w:r>
        <w:rPr>
          <w:rFonts w:hint="eastAsia" w:ascii="宋体" w:hAnsi="宋体" w:eastAsia="宋体" w:cs="宋体"/>
          <w:sz w:val="21"/>
          <w:szCs w:val="21"/>
          <w:lang w:val="zh-CN"/>
        </w:rPr>
        <w:t>合同终止不影响权利和责任</w:t>
      </w:r>
    </w:p>
    <w:p w14:paraId="0F2654A7">
      <w:pPr>
        <w:widowControl/>
        <w:shd w:val="clear" w:color="auto" w:fill="FCFCFC"/>
        <w:autoSpaceDE/>
        <w:autoSpaceDN/>
        <w:adjustRightInd/>
        <w:spacing w:line="5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不论何种原因，本合同的终止，不应损害和影响各方应有的权利、索赔要求和应负的责任。</w:t>
      </w:r>
    </w:p>
    <w:p w14:paraId="44F866B1">
      <w:pPr>
        <w:autoSpaceDE/>
        <w:autoSpaceDN/>
        <w:adjustRightInd/>
        <w:spacing w:line="500" w:lineRule="exact"/>
        <w:ind w:firstLine="422" w:firstLineChars="200"/>
        <w:jc w:val="both"/>
        <w:rPr>
          <w:rFonts w:hint="eastAsia" w:ascii="宋体" w:hAnsi="宋体" w:eastAsia="宋体" w:cs="宋体"/>
          <w:b/>
          <w:kern w:val="2"/>
          <w:sz w:val="21"/>
          <w:szCs w:val="21"/>
        </w:rPr>
      </w:pPr>
      <w:r>
        <w:rPr>
          <w:rFonts w:hint="eastAsia" w:ascii="宋体" w:hAnsi="宋体" w:eastAsia="宋体" w:cs="宋体"/>
          <w:b/>
          <w:kern w:val="2"/>
          <w:sz w:val="21"/>
          <w:szCs w:val="21"/>
          <w:lang w:val="en-US" w:eastAsia="zh-CN"/>
        </w:rPr>
        <w:t>七</w:t>
      </w:r>
      <w:r>
        <w:rPr>
          <w:rFonts w:hint="eastAsia" w:ascii="宋体" w:hAnsi="宋体" w:eastAsia="宋体" w:cs="宋体"/>
          <w:b/>
          <w:kern w:val="2"/>
          <w:sz w:val="21"/>
          <w:szCs w:val="21"/>
        </w:rPr>
        <w:t>、争议的解决</w:t>
      </w:r>
    </w:p>
    <w:p w14:paraId="284B2053">
      <w:pPr>
        <w:widowControl/>
        <w:shd w:val="clear" w:color="auto" w:fill="FCFCFC"/>
        <w:autoSpaceDE/>
        <w:autoSpaceDN/>
        <w:adjustRightInd/>
        <w:spacing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lang w:val="zh-CN"/>
        </w:rPr>
        <w:t>本合同在执行过程中，如发生任何争端、纠纷或因违反、终止本合同而引起的对损失损害的任何赔偿，应事先协商，在承包人和发包人之间达成一致意见。如未能达成一</w:t>
      </w:r>
      <w:r>
        <w:rPr>
          <w:rFonts w:hint="eastAsia" w:ascii="宋体" w:hAnsi="宋体" w:eastAsia="宋体" w:cs="宋体"/>
          <w:sz w:val="21"/>
          <w:szCs w:val="21"/>
          <w:highlight w:val="none"/>
          <w:lang w:val="zh-CN"/>
        </w:rPr>
        <w:t>致，可提交项目所在地仲裁委员会仲裁。仲裁决定具有最终法律效力，其仲裁费用由败诉方承担，或按裁决由双方按比例分担。</w:t>
      </w:r>
    </w:p>
    <w:p w14:paraId="48DF92AC">
      <w:pPr>
        <w:autoSpaceDE/>
        <w:autoSpaceDN/>
        <w:adjustRightInd/>
        <w:spacing w:line="500" w:lineRule="exact"/>
        <w:ind w:firstLine="422" w:firstLineChars="200"/>
        <w:jc w:val="both"/>
        <w:rPr>
          <w:rFonts w:hint="eastAsia" w:ascii="宋体" w:hAnsi="宋体" w:eastAsia="宋体" w:cs="宋体"/>
          <w:b/>
          <w:kern w:val="2"/>
          <w:sz w:val="21"/>
          <w:szCs w:val="21"/>
          <w:highlight w:val="none"/>
        </w:rPr>
      </w:pPr>
      <w:r>
        <w:rPr>
          <w:rFonts w:hint="eastAsia" w:ascii="宋体" w:hAnsi="宋体" w:eastAsia="宋体" w:cs="宋体"/>
          <w:b/>
          <w:kern w:val="2"/>
          <w:sz w:val="21"/>
          <w:szCs w:val="21"/>
          <w:highlight w:val="none"/>
          <w:lang w:val="en-US" w:eastAsia="zh-CN"/>
        </w:rPr>
        <w:t>八</w:t>
      </w:r>
      <w:r>
        <w:rPr>
          <w:rFonts w:hint="eastAsia" w:ascii="宋体" w:hAnsi="宋体" w:eastAsia="宋体" w:cs="宋体"/>
          <w:b/>
          <w:kern w:val="2"/>
          <w:sz w:val="21"/>
          <w:szCs w:val="21"/>
          <w:highlight w:val="none"/>
        </w:rPr>
        <w:t>、其它</w:t>
      </w:r>
    </w:p>
    <w:p w14:paraId="6BBD685A">
      <w:pPr>
        <w:widowControl/>
        <w:shd w:val="clear" w:color="auto" w:fill="FCFCFC"/>
        <w:autoSpaceDE/>
        <w:autoSpaceDN/>
        <w:adjustRightInd/>
        <w:spacing w:line="500" w:lineRule="exact"/>
        <w:ind w:firstLine="420" w:firstLineChars="200"/>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zh-CN"/>
        </w:rPr>
        <w:t xml:space="preserve">本合同自双方签字盖章后生效，双方履行完该合同规定的义务及责任后，本合同即行废止。 </w:t>
      </w:r>
    </w:p>
    <w:p w14:paraId="178B65CC">
      <w:pPr>
        <w:autoSpaceDE/>
        <w:autoSpaceDN/>
        <w:adjustRightInd/>
        <w:spacing w:line="500" w:lineRule="exact"/>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2.未尽事宜，由双方协商解决。</w:t>
      </w:r>
    </w:p>
    <w:p w14:paraId="52899D93">
      <w:pPr>
        <w:autoSpaceDE/>
        <w:autoSpaceDN/>
        <w:adjustRightInd/>
        <w:spacing w:line="500" w:lineRule="exact"/>
        <w:ind w:firstLine="420" w:firstLineChars="200"/>
        <w:jc w:val="both"/>
        <w:rPr>
          <w:rFonts w:hint="eastAsia" w:ascii="宋体" w:hAnsi="宋体" w:eastAsia="宋体" w:cs="宋体"/>
          <w:kern w:val="2"/>
          <w:sz w:val="21"/>
          <w:szCs w:val="21"/>
          <w:highlight w:val="none"/>
        </w:rPr>
      </w:pPr>
      <w:r>
        <w:rPr>
          <w:rFonts w:hint="eastAsia" w:ascii="宋体" w:hAnsi="宋体" w:eastAsia="宋体" w:cs="宋体"/>
          <w:kern w:val="2"/>
          <w:sz w:val="21"/>
          <w:szCs w:val="21"/>
          <w:highlight w:val="none"/>
        </w:rPr>
        <w:t>3.本合同正本一式</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份，双方各执</w:t>
      </w:r>
      <w:r>
        <w:rPr>
          <w:rFonts w:hint="eastAsia" w:ascii="宋体" w:hAnsi="宋体" w:eastAsia="宋体" w:cs="宋体"/>
          <w:kern w:val="2"/>
          <w:sz w:val="21"/>
          <w:szCs w:val="21"/>
          <w:highlight w:val="none"/>
          <w:lang w:val="en-US" w:eastAsia="zh-CN"/>
        </w:rPr>
        <w:t xml:space="preserve">    </w:t>
      </w:r>
      <w:r>
        <w:rPr>
          <w:rFonts w:hint="eastAsia" w:ascii="宋体" w:hAnsi="宋体" w:eastAsia="宋体" w:cs="宋体"/>
          <w:kern w:val="2"/>
          <w:sz w:val="21"/>
          <w:szCs w:val="21"/>
          <w:highlight w:val="none"/>
        </w:rPr>
        <w:t>份。</w:t>
      </w:r>
    </w:p>
    <w:p w14:paraId="281794D0">
      <w:pPr>
        <w:adjustRightInd/>
        <w:spacing w:line="480" w:lineRule="auto"/>
        <w:ind w:firstLine="210" w:firstLineChars="100"/>
        <w:jc w:val="both"/>
        <w:rPr>
          <w:rFonts w:hint="eastAsia" w:ascii="宋体" w:hAnsi="宋体" w:eastAsia="宋体" w:cs="宋体"/>
          <w:kern w:val="2"/>
          <w:sz w:val="21"/>
          <w:szCs w:val="21"/>
          <w:lang w:val="zh-CN"/>
        </w:rPr>
      </w:pPr>
      <w:r>
        <w:rPr>
          <w:rFonts w:hint="eastAsia" w:ascii="宋体" w:hAnsi="宋体" w:eastAsia="宋体" w:cs="宋体"/>
          <w:kern w:val="2"/>
          <w:sz w:val="21"/>
          <w:szCs w:val="21"/>
          <w:highlight w:val="none"/>
          <w:lang w:val="zh-CN"/>
        </w:rPr>
        <w:t>发包人：</w:t>
      </w:r>
      <w:r>
        <w:rPr>
          <w:rFonts w:hint="eastAsia" w:ascii="宋体" w:hAnsi="宋体" w:eastAsia="宋体" w:cs="宋体"/>
          <w:kern w:val="2"/>
          <w:sz w:val="21"/>
          <w:szCs w:val="21"/>
          <w:highlight w:val="none"/>
          <w:u w:val="single"/>
          <w:lang w:val="zh-CN"/>
        </w:rPr>
        <w:t xml:space="preserve">      （盖单位章）  </w:t>
      </w:r>
      <w:r>
        <w:rPr>
          <w:rFonts w:hint="eastAsia" w:ascii="宋体" w:hAnsi="宋体" w:eastAsia="宋体" w:cs="宋体"/>
          <w:kern w:val="2"/>
          <w:sz w:val="21"/>
          <w:szCs w:val="21"/>
          <w:highlight w:val="none"/>
          <w:lang w:val="zh-CN"/>
        </w:rPr>
        <w:t xml:space="preserve">                      承包人：</w:t>
      </w:r>
      <w:r>
        <w:rPr>
          <w:rFonts w:hint="eastAsia" w:ascii="宋体" w:hAnsi="宋体" w:eastAsia="宋体" w:cs="宋体"/>
          <w:kern w:val="2"/>
          <w:sz w:val="21"/>
          <w:szCs w:val="21"/>
          <w:highlight w:val="none"/>
          <w:u w:val="single"/>
          <w:lang w:val="zh-CN"/>
        </w:rPr>
        <w:t xml:space="preserve">   （盖</w:t>
      </w:r>
      <w:r>
        <w:rPr>
          <w:rFonts w:hint="eastAsia" w:ascii="宋体" w:hAnsi="宋体" w:eastAsia="宋体" w:cs="宋体"/>
          <w:kern w:val="2"/>
          <w:sz w:val="21"/>
          <w:szCs w:val="21"/>
          <w:u w:val="single"/>
          <w:lang w:val="zh-CN"/>
        </w:rPr>
        <w:t xml:space="preserve">单位章）   </w:t>
      </w:r>
    </w:p>
    <w:p w14:paraId="1E72FD20">
      <w:pPr>
        <w:adjustRightInd/>
        <w:spacing w:line="480" w:lineRule="auto"/>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 xml:space="preserve">    法定代表人：</w:t>
      </w:r>
      <w:r>
        <w:rPr>
          <w:rFonts w:hint="eastAsia" w:ascii="宋体" w:hAnsi="宋体" w:eastAsia="宋体" w:cs="宋体"/>
          <w:kern w:val="2"/>
          <w:sz w:val="21"/>
          <w:szCs w:val="21"/>
          <w:u w:val="single"/>
          <w:lang w:val="zh-CN"/>
        </w:rPr>
        <w:t xml:space="preserve">   （签字）     </w:t>
      </w:r>
      <w:r>
        <w:rPr>
          <w:rFonts w:hint="eastAsia" w:ascii="宋体" w:hAnsi="宋体" w:eastAsia="宋体" w:cs="宋体"/>
          <w:kern w:val="2"/>
          <w:sz w:val="21"/>
          <w:szCs w:val="21"/>
          <w:lang w:val="zh-CN"/>
        </w:rPr>
        <w:t xml:space="preserve">                    法定代表人：</w:t>
      </w:r>
      <w:r>
        <w:rPr>
          <w:rFonts w:hint="eastAsia" w:ascii="宋体" w:hAnsi="宋体" w:eastAsia="宋体" w:cs="宋体"/>
          <w:kern w:val="2"/>
          <w:sz w:val="21"/>
          <w:szCs w:val="21"/>
          <w:u w:val="single"/>
          <w:lang w:val="zh-CN"/>
        </w:rPr>
        <w:t xml:space="preserve">    （签字）  </w:t>
      </w:r>
      <w:r>
        <w:rPr>
          <w:rFonts w:hint="eastAsia" w:ascii="宋体" w:hAnsi="宋体" w:eastAsia="宋体" w:cs="宋体"/>
          <w:kern w:val="2"/>
          <w:sz w:val="21"/>
          <w:szCs w:val="21"/>
          <w:lang w:val="zh-CN"/>
        </w:rPr>
        <w:t xml:space="preserve">   </w:t>
      </w:r>
    </w:p>
    <w:p w14:paraId="54345C90">
      <w:pPr>
        <w:adjustRightInd/>
        <w:spacing w:line="480" w:lineRule="auto"/>
        <w:jc w:val="both"/>
        <w:rPr>
          <w:rFonts w:hint="eastAsia" w:ascii="宋体" w:hAnsi="宋体" w:eastAsia="宋体" w:cs="宋体"/>
          <w:kern w:val="2"/>
          <w:sz w:val="21"/>
          <w:szCs w:val="21"/>
          <w:u w:val="single"/>
          <w:lang w:val="zh-CN"/>
        </w:rPr>
      </w:pPr>
      <w:r>
        <w:rPr>
          <w:rFonts w:hint="eastAsia" w:ascii="宋体" w:hAnsi="宋体" w:eastAsia="宋体" w:cs="宋体"/>
          <w:kern w:val="2"/>
          <w:sz w:val="21"/>
          <w:szCs w:val="21"/>
          <w:lang w:val="zh-CN"/>
        </w:rPr>
        <w:t xml:space="preserve">    或委托代理人：</w:t>
      </w:r>
      <w:r>
        <w:rPr>
          <w:rFonts w:hint="eastAsia" w:ascii="宋体" w:hAnsi="宋体" w:eastAsia="宋体" w:cs="宋体"/>
          <w:kern w:val="2"/>
          <w:sz w:val="21"/>
          <w:szCs w:val="21"/>
          <w:u w:val="single"/>
          <w:lang w:val="zh-CN"/>
        </w:rPr>
        <w:t xml:space="preserve">  （签字）    </w:t>
      </w:r>
      <w:r>
        <w:rPr>
          <w:rFonts w:hint="eastAsia" w:ascii="宋体" w:hAnsi="宋体" w:eastAsia="宋体" w:cs="宋体"/>
          <w:kern w:val="2"/>
          <w:sz w:val="21"/>
          <w:szCs w:val="21"/>
          <w:lang w:val="zh-CN"/>
        </w:rPr>
        <w:t xml:space="preserve">                </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 xml:space="preserve">   或委托代理人：</w:t>
      </w:r>
      <w:r>
        <w:rPr>
          <w:rFonts w:hint="eastAsia" w:ascii="宋体" w:hAnsi="宋体" w:eastAsia="宋体" w:cs="宋体"/>
          <w:kern w:val="2"/>
          <w:sz w:val="21"/>
          <w:szCs w:val="21"/>
          <w:u w:val="single"/>
          <w:lang w:val="zh-CN"/>
        </w:rPr>
        <w:t xml:space="preserve"> （签字）   </w:t>
      </w:r>
    </w:p>
    <w:p w14:paraId="65D98DB4">
      <w:pPr>
        <w:adjustRightInd/>
        <w:spacing w:line="480" w:lineRule="auto"/>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 xml:space="preserve">    地    址：</w:t>
      </w:r>
      <w:r>
        <w:rPr>
          <w:rFonts w:hint="eastAsia" w:ascii="宋体" w:hAnsi="宋体" w:eastAsia="宋体" w:cs="宋体"/>
          <w:kern w:val="2"/>
          <w:sz w:val="21"/>
          <w:szCs w:val="21"/>
          <w:u w:val="single"/>
          <w:lang w:val="zh-CN"/>
        </w:rPr>
        <w:t xml:space="preserve">                  </w:t>
      </w:r>
      <w:r>
        <w:rPr>
          <w:rFonts w:hint="eastAsia" w:ascii="宋体" w:hAnsi="宋体" w:eastAsia="宋体" w:cs="宋体"/>
          <w:kern w:val="2"/>
          <w:sz w:val="21"/>
          <w:szCs w:val="21"/>
          <w:lang w:val="zh-CN"/>
        </w:rPr>
        <w:t xml:space="preserve">                    地    址：</w:t>
      </w:r>
      <w:r>
        <w:rPr>
          <w:rFonts w:hint="eastAsia" w:ascii="宋体" w:hAnsi="宋体" w:eastAsia="宋体" w:cs="宋体"/>
          <w:kern w:val="2"/>
          <w:sz w:val="21"/>
          <w:szCs w:val="21"/>
          <w:u w:val="single"/>
          <w:lang w:val="zh-CN"/>
        </w:rPr>
        <w:t xml:space="preserve">                 </w:t>
      </w:r>
    </w:p>
    <w:p w14:paraId="71CEB78C">
      <w:pPr>
        <w:adjustRightInd/>
        <w:spacing w:line="480" w:lineRule="auto"/>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 xml:space="preserve">    电    话：</w:t>
      </w:r>
      <w:r>
        <w:rPr>
          <w:rFonts w:hint="eastAsia" w:ascii="宋体" w:hAnsi="宋体" w:eastAsia="宋体" w:cs="宋体"/>
          <w:kern w:val="2"/>
          <w:sz w:val="21"/>
          <w:szCs w:val="21"/>
          <w:u w:val="single"/>
          <w:lang w:val="zh-CN"/>
        </w:rPr>
        <w:t xml:space="preserve">                  </w:t>
      </w:r>
      <w:r>
        <w:rPr>
          <w:rFonts w:hint="eastAsia" w:ascii="宋体" w:hAnsi="宋体" w:eastAsia="宋体" w:cs="宋体"/>
          <w:kern w:val="2"/>
          <w:sz w:val="21"/>
          <w:szCs w:val="21"/>
          <w:lang w:val="zh-CN"/>
        </w:rPr>
        <w:t xml:space="preserve">                    电    话：</w:t>
      </w:r>
      <w:r>
        <w:rPr>
          <w:rFonts w:hint="eastAsia" w:ascii="宋体" w:hAnsi="宋体" w:eastAsia="宋体" w:cs="宋体"/>
          <w:kern w:val="2"/>
          <w:sz w:val="21"/>
          <w:szCs w:val="21"/>
          <w:u w:val="single"/>
          <w:lang w:val="zh-CN"/>
        </w:rPr>
        <w:t xml:space="preserve">                 </w:t>
      </w:r>
    </w:p>
    <w:p w14:paraId="3DCB48BA">
      <w:pPr>
        <w:adjustRightInd/>
        <w:spacing w:line="480" w:lineRule="auto"/>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 xml:space="preserve">    传  真：</w:t>
      </w:r>
      <w:r>
        <w:rPr>
          <w:rFonts w:hint="eastAsia" w:ascii="宋体" w:hAnsi="宋体" w:eastAsia="宋体" w:cs="宋体"/>
          <w:kern w:val="2"/>
          <w:sz w:val="21"/>
          <w:szCs w:val="21"/>
          <w:u w:val="single"/>
          <w:lang w:val="zh-CN"/>
        </w:rPr>
        <w:t xml:space="preserve">                  </w:t>
      </w:r>
      <w:r>
        <w:rPr>
          <w:rFonts w:hint="eastAsia" w:ascii="宋体" w:hAnsi="宋体" w:eastAsia="宋体" w:cs="宋体"/>
          <w:kern w:val="2"/>
          <w:sz w:val="21"/>
          <w:szCs w:val="21"/>
          <w:lang w:val="zh-CN"/>
        </w:rPr>
        <w:t xml:space="preserve">                  </w:t>
      </w:r>
      <w:r>
        <w:rPr>
          <w:rFonts w:hint="eastAsia" w:ascii="宋体" w:hAnsi="宋体" w:eastAsia="宋体" w:cs="宋体"/>
          <w:kern w:val="2"/>
          <w:sz w:val="21"/>
          <w:szCs w:val="21"/>
        </w:rPr>
        <w:t xml:space="preserve">   </w:t>
      </w:r>
      <w:r>
        <w:rPr>
          <w:rFonts w:hint="eastAsia" w:ascii="宋体" w:hAnsi="宋体" w:eastAsia="宋体" w:cs="宋体"/>
          <w:kern w:val="2"/>
          <w:sz w:val="21"/>
          <w:szCs w:val="21"/>
          <w:lang w:val="zh-CN"/>
        </w:rPr>
        <w:t xml:space="preserve"> 传    真：</w:t>
      </w:r>
      <w:r>
        <w:rPr>
          <w:rFonts w:hint="eastAsia" w:ascii="宋体" w:hAnsi="宋体" w:eastAsia="宋体" w:cs="宋体"/>
          <w:kern w:val="2"/>
          <w:sz w:val="21"/>
          <w:szCs w:val="21"/>
          <w:u w:val="single"/>
          <w:lang w:val="zh-CN"/>
        </w:rPr>
        <w:t xml:space="preserve">                 </w:t>
      </w:r>
    </w:p>
    <w:p w14:paraId="13FFB35C">
      <w:pPr>
        <w:adjustRightInd/>
        <w:spacing w:line="480" w:lineRule="auto"/>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 xml:space="preserve">    邮政编码：</w:t>
      </w:r>
      <w:r>
        <w:rPr>
          <w:rFonts w:hint="eastAsia" w:ascii="宋体" w:hAnsi="宋体" w:eastAsia="宋体" w:cs="宋体"/>
          <w:kern w:val="2"/>
          <w:sz w:val="21"/>
          <w:szCs w:val="21"/>
          <w:u w:val="single"/>
          <w:lang w:val="zh-CN"/>
        </w:rPr>
        <w:t xml:space="preserve">                  </w:t>
      </w:r>
      <w:r>
        <w:rPr>
          <w:rFonts w:hint="eastAsia" w:ascii="宋体" w:hAnsi="宋体" w:eastAsia="宋体" w:cs="宋体"/>
          <w:kern w:val="2"/>
          <w:sz w:val="21"/>
          <w:szCs w:val="21"/>
          <w:lang w:val="zh-CN"/>
        </w:rPr>
        <w:t xml:space="preserve">                    邮政编码：</w:t>
      </w:r>
      <w:r>
        <w:rPr>
          <w:rFonts w:hint="eastAsia" w:ascii="宋体" w:hAnsi="宋体" w:eastAsia="宋体" w:cs="宋体"/>
          <w:kern w:val="2"/>
          <w:sz w:val="21"/>
          <w:szCs w:val="21"/>
          <w:u w:val="single"/>
          <w:lang w:val="zh-CN"/>
        </w:rPr>
        <w:t xml:space="preserve">                 </w:t>
      </w:r>
    </w:p>
    <w:p w14:paraId="253AFF4C">
      <w:pPr>
        <w:adjustRightInd/>
        <w:spacing w:line="480" w:lineRule="auto"/>
        <w:jc w:val="both"/>
        <w:rPr>
          <w:rFonts w:hint="eastAsia" w:ascii="宋体" w:hAnsi="宋体" w:eastAsia="宋体" w:cs="宋体"/>
          <w:kern w:val="2"/>
          <w:sz w:val="21"/>
          <w:szCs w:val="21"/>
          <w:lang w:val="zh-CN"/>
        </w:rPr>
      </w:pPr>
      <w:r>
        <w:rPr>
          <w:rFonts w:hint="eastAsia" w:ascii="宋体" w:hAnsi="宋体" w:eastAsia="宋体" w:cs="宋体"/>
          <w:kern w:val="2"/>
          <w:sz w:val="21"/>
          <w:szCs w:val="21"/>
          <w:lang w:val="zh-CN"/>
        </w:rPr>
        <w:t xml:space="preserve">    开户银行：</w:t>
      </w:r>
      <w:r>
        <w:rPr>
          <w:rFonts w:hint="eastAsia" w:ascii="宋体" w:hAnsi="宋体" w:eastAsia="宋体" w:cs="宋体"/>
          <w:kern w:val="2"/>
          <w:sz w:val="21"/>
          <w:szCs w:val="21"/>
          <w:u w:val="single"/>
          <w:lang w:val="zh-CN"/>
        </w:rPr>
        <w:t xml:space="preserve">                  </w:t>
      </w:r>
      <w:r>
        <w:rPr>
          <w:rFonts w:hint="eastAsia" w:ascii="宋体" w:hAnsi="宋体" w:eastAsia="宋体" w:cs="宋体"/>
          <w:kern w:val="2"/>
          <w:sz w:val="21"/>
          <w:szCs w:val="21"/>
          <w:lang w:val="zh-CN"/>
        </w:rPr>
        <w:t xml:space="preserve">                   开户银行：</w:t>
      </w:r>
      <w:r>
        <w:rPr>
          <w:rFonts w:hint="eastAsia" w:ascii="宋体" w:hAnsi="宋体" w:eastAsia="宋体" w:cs="宋体"/>
          <w:kern w:val="2"/>
          <w:sz w:val="21"/>
          <w:szCs w:val="21"/>
          <w:u w:val="single"/>
          <w:lang w:val="zh-CN"/>
        </w:rPr>
        <w:t xml:space="preserve">                 </w:t>
      </w:r>
    </w:p>
    <w:p w14:paraId="46AD222A">
      <w:pPr>
        <w:pStyle w:val="12"/>
        <w:spacing w:line="480" w:lineRule="auto"/>
        <w:ind w:left="0" w:leftChars="0" w:firstLine="420" w:firstLineChars="200"/>
        <w:rPr>
          <w:rFonts w:hint="eastAsia" w:ascii="宋体" w:hAnsi="宋体" w:eastAsia="宋体" w:cs="宋体"/>
          <w:color w:val="000000"/>
          <w:sz w:val="21"/>
          <w:szCs w:val="21"/>
        </w:rPr>
      </w:pPr>
      <w:r>
        <w:rPr>
          <w:rFonts w:hint="eastAsia" w:ascii="宋体" w:hAnsi="宋体" w:eastAsia="宋体" w:cs="宋体"/>
          <w:kern w:val="2"/>
          <w:sz w:val="21"/>
          <w:szCs w:val="21"/>
          <w:lang w:val="zh-CN"/>
        </w:rPr>
        <w:t>帐    号：</w:t>
      </w:r>
      <w:r>
        <w:rPr>
          <w:rFonts w:hint="eastAsia" w:ascii="宋体" w:hAnsi="宋体" w:eastAsia="宋体" w:cs="宋体"/>
          <w:kern w:val="2"/>
          <w:sz w:val="21"/>
          <w:szCs w:val="21"/>
          <w:u w:val="single"/>
          <w:lang w:val="zh-CN"/>
        </w:rPr>
        <w:t xml:space="preserve">                  </w:t>
      </w:r>
      <w:r>
        <w:rPr>
          <w:rFonts w:hint="eastAsia" w:ascii="宋体" w:hAnsi="宋体" w:eastAsia="宋体" w:cs="宋体"/>
          <w:kern w:val="2"/>
          <w:sz w:val="21"/>
          <w:szCs w:val="21"/>
          <w:lang w:val="zh-CN"/>
        </w:rPr>
        <w:t xml:space="preserve">                     帐    号：</w:t>
      </w:r>
      <w:r>
        <w:rPr>
          <w:rFonts w:hint="eastAsia" w:ascii="宋体" w:hAnsi="宋体" w:eastAsia="宋体" w:cs="宋体"/>
          <w:kern w:val="2"/>
          <w:sz w:val="21"/>
          <w:szCs w:val="21"/>
          <w:u w:val="single"/>
          <w:lang w:val="zh-CN"/>
        </w:rPr>
        <w:t xml:space="preserve">      </w:t>
      </w:r>
      <w:r>
        <w:rPr>
          <w:rFonts w:hint="eastAsia" w:ascii="宋体" w:hAnsi="宋体" w:eastAsia="宋体" w:cs="宋体"/>
          <w:kern w:val="2"/>
          <w:sz w:val="21"/>
          <w:szCs w:val="21"/>
          <w:u w:val="single"/>
        </w:rPr>
        <w:t xml:space="preserve">   </w:t>
      </w:r>
      <w:r>
        <w:rPr>
          <w:rFonts w:hint="eastAsia" w:ascii="宋体" w:hAnsi="宋体" w:eastAsia="宋体" w:cs="宋体"/>
          <w:kern w:val="2"/>
          <w:sz w:val="21"/>
          <w:szCs w:val="21"/>
          <w:u w:val="single"/>
          <w:lang w:val="zh-CN"/>
        </w:rPr>
        <w:t xml:space="preserve">        </w:t>
      </w:r>
    </w:p>
    <w:p w14:paraId="75D2AAC2">
      <w:pPr>
        <w:pStyle w:val="12"/>
        <w:ind w:left="480"/>
        <w:rPr>
          <w:rFonts w:hint="eastAsia" w:ascii="宋体" w:hAnsi="宋体" w:eastAsia="宋体" w:cs="宋体"/>
          <w:color w:val="000000"/>
          <w:sz w:val="21"/>
          <w:szCs w:val="21"/>
        </w:rPr>
      </w:pPr>
    </w:p>
    <w:p w14:paraId="5283781E">
      <w:pPr>
        <w:pStyle w:val="12"/>
        <w:ind w:left="480"/>
        <w:rPr>
          <w:rFonts w:hint="eastAsia" w:ascii="宋体" w:hAnsi="宋体" w:eastAsia="宋体" w:cs="宋体"/>
          <w:color w:val="000000"/>
          <w:sz w:val="21"/>
          <w:szCs w:val="21"/>
        </w:rPr>
      </w:pPr>
    </w:p>
    <w:p w14:paraId="27ED3BA5">
      <w:pPr>
        <w:pStyle w:val="12"/>
        <w:ind w:left="480"/>
        <w:rPr>
          <w:rFonts w:hint="eastAsia" w:ascii="宋体" w:hAnsi="宋体" w:eastAsia="宋体" w:cs="宋体"/>
          <w:color w:val="000000"/>
          <w:sz w:val="21"/>
          <w:szCs w:val="21"/>
        </w:rPr>
      </w:pPr>
    </w:p>
    <w:p w14:paraId="705BB1B9">
      <w:pP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br w:type="page"/>
      </w:r>
    </w:p>
    <w:p w14:paraId="5398843E">
      <w:pPr>
        <w:pStyle w:val="23"/>
        <w:numPr>
          <w:ilvl w:val="0"/>
          <w:numId w:val="0"/>
        </w:numPr>
        <w:jc w:val="both"/>
        <w:rPr>
          <w:color w:val="auto"/>
          <w:highlight w:val="none"/>
          <w:lang w:eastAsia="zh-CN"/>
        </w:rPr>
      </w:pPr>
    </w:p>
    <w:p w14:paraId="3B38C6D1">
      <w:pPr>
        <w:rPr>
          <w:rFonts w:hint="eastAsia" w:ascii="宋体" w:hAnsi="宋体" w:eastAsia="宋体" w:cs="仿宋"/>
          <w:b/>
          <w:color w:val="auto"/>
          <w:sz w:val="44"/>
          <w:szCs w:val="28"/>
          <w:highlight w:val="none"/>
          <w:lang w:eastAsia="zh-CN"/>
        </w:rPr>
      </w:pPr>
    </w:p>
    <w:p w14:paraId="2DD997B5">
      <w:pPr>
        <w:pStyle w:val="24"/>
        <w:ind w:firstLine="0"/>
        <w:jc w:val="center"/>
        <w:rPr>
          <w:rFonts w:hint="default" w:ascii="宋体" w:hAnsi="宋体" w:eastAsia="宋体" w:cs="仿宋"/>
          <w:b/>
          <w:color w:val="auto"/>
          <w:sz w:val="44"/>
          <w:szCs w:val="28"/>
          <w:highlight w:val="none"/>
          <w:lang w:eastAsia="zh-CN"/>
        </w:rPr>
      </w:pPr>
      <w:r>
        <w:rPr>
          <w:rFonts w:hint="eastAsia" w:ascii="宋体" w:hAnsi="宋体" w:eastAsia="宋体" w:cs="仿宋"/>
          <w:b/>
          <w:color w:val="auto"/>
          <w:sz w:val="44"/>
          <w:szCs w:val="28"/>
          <w:highlight w:val="none"/>
          <w:lang w:eastAsia="zh-CN"/>
        </w:rPr>
        <w:t>第六章</w:t>
      </w:r>
      <w:r>
        <w:rPr>
          <w:rFonts w:hint="eastAsia" w:ascii="宋体" w:hAnsi="宋体" w:eastAsia="宋体" w:cs="仿宋"/>
          <w:b/>
          <w:color w:val="auto"/>
          <w:sz w:val="44"/>
          <w:szCs w:val="28"/>
          <w:highlight w:val="none"/>
          <w:lang w:val="en-US" w:eastAsia="zh-CN"/>
        </w:rPr>
        <w:t xml:space="preserve">  响应</w:t>
      </w:r>
      <w:r>
        <w:rPr>
          <w:rFonts w:ascii="宋体" w:hAnsi="宋体" w:eastAsia="宋体" w:cs="仿宋"/>
          <w:b/>
          <w:color w:val="auto"/>
          <w:sz w:val="44"/>
          <w:szCs w:val="28"/>
          <w:highlight w:val="none"/>
          <w:lang w:eastAsia="zh-CN"/>
        </w:rPr>
        <w:t>文件</w:t>
      </w:r>
      <w:r>
        <w:rPr>
          <w:rFonts w:hint="eastAsia" w:ascii="宋体" w:hAnsi="宋体" w:eastAsia="宋体" w:cs="仿宋"/>
          <w:b/>
          <w:color w:val="auto"/>
          <w:sz w:val="44"/>
          <w:szCs w:val="28"/>
          <w:highlight w:val="none"/>
          <w:lang w:eastAsia="zh-CN"/>
        </w:rPr>
        <w:t>内容及</w:t>
      </w:r>
      <w:r>
        <w:rPr>
          <w:rFonts w:ascii="宋体" w:hAnsi="宋体" w:eastAsia="宋体" w:cs="仿宋"/>
          <w:b/>
          <w:color w:val="auto"/>
          <w:sz w:val="44"/>
          <w:szCs w:val="28"/>
          <w:highlight w:val="none"/>
          <w:lang w:eastAsia="zh-CN"/>
        </w:rPr>
        <w:t>格式</w:t>
      </w:r>
    </w:p>
    <w:p w14:paraId="0E69716D">
      <w:pPr>
        <w:pStyle w:val="24"/>
        <w:tabs>
          <w:tab w:val="left" w:pos="8440"/>
        </w:tabs>
        <w:ind w:firstLine="0"/>
        <w:rPr>
          <w:rFonts w:hint="default" w:ascii="宋体" w:hAnsi="宋体" w:eastAsia="宋体" w:cs="仿宋"/>
          <w:color w:val="auto"/>
          <w:szCs w:val="28"/>
          <w:highlight w:val="none"/>
          <w:lang w:eastAsia="zh-CN"/>
        </w:rPr>
      </w:pPr>
    </w:p>
    <w:p w14:paraId="0DD40ED5">
      <w:pPr>
        <w:pStyle w:val="24"/>
        <w:tabs>
          <w:tab w:val="left" w:pos="8440"/>
        </w:tabs>
        <w:ind w:firstLine="0"/>
        <w:rPr>
          <w:rFonts w:hint="default" w:ascii="宋体" w:hAnsi="宋体" w:eastAsia="宋体" w:cs="仿宋"/>
          <w:color w:val="auto"/>
          <w:szCs w:val="28"/>
          <w:highlight w:val="none"/>
          <w:lang w:eastAsia="zh-CN"/>
        </w:rPr>
      </w:pPr>
    </w:p>
    <w:p w14:paraId="2B121F78">
      <w:pPr>
        <w:spacing w:line="360" w:lineRule="auto"/>
        <w:ind w:right="-506" w:rightChars="-230" w:firstLine="4340" w:firstLineChars="1550"/>
        <w:rPr>
          <w:rFonts w:ascii="宋体" w:hAnsi="宋体" w:cs="仿宋"/>
          <w:color w:val="auto"/>
          <w:sz w:val="28"/>
          <w:szCs w:val="28"/>
          <w:highlight w:val="none"/>
        </w:rPr>
      </w:pPr>
    </w:p>
    <w:p w14:paraId="44CEA596">
      <w:pPr>
        <w:spacing w:line="360" w:lineRule="auto"/>
        <w:ind w:right="-506" w:rightChars="-230"/>
        <w:jc w:val="center"/>
        <w:rPr>
          <w:rFonts w:ascii="宋体" w:hAnsi="宋体" w:cs="仿宋"/>
          <w:color w:val="auto"/>
          <w:sz w:val="28"/>
          <w:szCs w:val="28"/>
          <w:highlight w:val="none"/>
          <w:u w:val="single"/>
        </w:rPr>
      </w:pPr>
      <w:r>
        <w:rPr>
          <w:rFonts w:hint="eastAsia" w:ascii="宋体" w:hAnsi="宋体" w:cs="仿宋"/>
          <w:color w:val="auto"/>
          <w:sz w:val="28"/>
          <w:szCs w:val="28"/>
          <w:highlight w:val="none"/>
          <w:u w:val="single"/>
        </w:rPr>
        <w:t xml:space="preserve">（项目名称） </w:t>
      </w:r>
    </w:p>
    <w:p w14:paraId="0A2AA801">
      <w:pPr>
        <w:pStyle w:val="24"/>
        <w:ind w:firstLine="0"/>
        <w:jc w:val="center"/>
        <w:rPr>
          <w:rFonts w:hint="default" w:ascii="宋体" w:hAnsi="宋体" w:eastAsia="宋体" w:cs="仿宋"/>
          <w:color w:val="auto"/>
          <w:sz w:val="96"/>
          <w:szCs w:val="96"/>
          <w:highlight w:val="none"/>
          <w:lang w:eastAsia="zh-CN"/>
        </w:rPr>
      </w:pPr>
      <w:r>
        <w:rPr>
          <w:rFonts w:hint="eastAsia" w:ascii="宋体" w:hAnsi="宋体" w:eastAsia="宋体" w:cs="仿宋"/>
          <w:color w:val="auto"/>
          <w:sz w:val="96"/>
          <w:szCs w:val="96"/>
          <w:highlight w:val="none"/>
          <w:lang w:eastAsia="zh-CN"/>
        </w:rPr>
        <w:t>磋商响应</w:t>
      </w:r>
      <w:r>
        <w:rPr>
          <w:rFonts w:ascii="宋体" w:hAnsi="宋体" w:eastAsia="宋体" w:cs="仿宋"/>
          <w:color w:val="auto"/>
          <w:sz w:val="96"/>
          <w:szCs w:val="96"/>
          <w:highlight w:val="none"/>
          <w:lang w:eastAsia="zh-CN"/>
        </w:rPr>
        <w:t>文件</w:t>
      </w:r>
      <w:bookmarkStart w:id="58" w:name="_Toc171073042"/>
      <w:bookmarkStart w:id="59" w:name="_Toc171073207"/>
      <w:bookmarkStart w:id="60" w:name="_Toc169921407"/>
      <w:bookmarkStart w:id="61" w:name="_Toc223432387"/>
    </w:p>
    <w:p w14:paraId="72604908">
      <w:pPr>
        <w:spacing w:line="360" w:lineRule="auto"/>
        <w:ind w:right="-506" w:rightChars="-230"/>
        <w:jc w:val="center"/>
        <w:rPr>
          <w:rFonts w:ascii="宋体" w:hAnsi="宋体" w:cs="仿宋"/>
          <w:color w:val="auto"/>
          <w:sz w:val="28"/>
          <w:szCs w:val="28"/>
          <w:highlight w:val="none"/>
        </w:rPr>
      </w:pPr>
    </w:p>
    <w:p w14:paraId="67D2E155">
      <w:pPr>
        <w:spacing w:line="360" w:lineRule="auto"/>
        <w:ind w:right="-506" w:rightChars="-230"/>
        <w:jc w:val="center"/>
        <w:rPr>
          <w:rFonts w:ascii="宋体" w:hAnsi="宋体" w:cs="仿宋"/>
          <w:color w:val="auto"/>
          <w:sz w:val="28"/>
          <w:szCs w:val="28"/>
          <w:highlight w:val="none"/>
        </w:rPr>
      </w:pPr>
    </w:p>
    <w:p w14:paraId="54CE0062">
      <w:pPr>
        <w:spacing w:line="360" w:lineRule="auto"/>
        <w:ind w:left="0" w:leftChars="0" w:right="-506" w:rightChars="-230" w:firstLine="2858" w:firstLineChars="1021"/>
        <w:jc w:val="both"/>
        <w:rPr>
          <w:rFonts w:ascii="宋体" w:hAnsi="宋体" w:cs="仿宋"/>
          <w:b/>
          <w:color w:val="auto"/>
          <w:sz w:val="28"/>
          <w:szCs w:val="28"/>
          <w:highlight w:val="none"/>
          <w:u w:val="single"/>
        </w:rPr>
      </w:pPr>
      <w:r>
        <w:rPr>
          <w:rFonts w:hint="eastAsia" w:ascii="宋体" w:hAnsi="宋体" w:cs="仿宋"/>
          <w:color w:val="auto"/>
          <w:sz w:val="28"/>
          <w:szCs w:val="28"/>
          <w:highlight w:val="none"/>
        </w:rPr>
        <w:t>项目编号:</w:t>
      </w:r>
      <w:r>
        <w:rPr>
          <w:rFonts w:hint="eastAsia" w:ascii="宋体" w:hAnsi="宋体" w:cs="仿宋"/>
          <w:color w:val="auto"/>
          <w:sz w:val="28"/>
          <w:szCs w:val="28"/>
          <w:highlight w:val="none"/>
          <w:u w:val="single"/>
        </w:rPr>
        <w:t xml:space="preserve">     </w:t>
      </w:r>
      <w:r>
        <w:rPr>
          <w:rFonts w:hint="eastAsia" w:ascii="宋体" w:hAnsi="宋体" w:eastAsia="宋体" w:cs="仿宋"/>
          <w:color w:val="auto"/>
          <w:sz w:val="28"/>
          <w:szCs w:val="28"/>
          <w:highlight w:val="none"/>
          <w:u w:val="single"/>
          <w:lang w:val="en-US" w:eastAsia="zh-CN"/>
        </w:rPr>
        <w:t xml:space="preserve">           </w:t>
      </w:r>
      <w:r>
        <w:rPr>
          <w:rFonts w:hint="eastAsia" w:ascii="宋体" w:hAnsi="宋体" w:cs="仿宋"/>
          <w:color w:val="auto"/>
          <w:sz w:val="28"/>
          <w:szCs w:val="28"/>
          <w:highlight w:val="none"/>
          <w:u w:val="single"/>
        </w:rPr>
        <w:t xml:space="preserve">  </w:t>
      </w:r>
    </w:p>
    <w:bookmarkEnd w:id="58"/>
    <w:bookmarkEnd w:id="59"/>
    <w:bookmarkEnd w:id="60"/>
    <w:bookmarkEnd w:id="61"/>
    <w:p w14:paraId="681AA1A4">
      <w:pPr>
        <w:spacing w:line="660" w:lineRule="auto"/>
        <w:rPr>
          <w:rFonts w:ascii="宋体" w:hAnsi="宋体" w:cs="仿宋"/>
          <w:color w:val="auto"/>
          <w:sz w:val="28"/>
          <w:szCs w:val="28"/>
          <w:highlight w:val="none"/>
        </w:rPr>
      </w:pPr>
    </w:p>
    <w:p w14:paraId="4C02004D">
      <w:pPr>
        <w:pStyle w:val="25"/>
        <w:rPr>
          <w:color w:val="auto"/>
          <w:highlight w:val="none"/>
        </w:rPr>
      </w:pPr>
    </w:p>
    <w:p w14:paraId="714CD4DB">
      <w:pPr>
        <w:pStyle w:val="25"/>
        <w:rPr>
          <w:color w:val="auto"/>
          <w:highlight w:val="none"/>
        </w:rPr>
      </w:pPr>
    </w:p>
    <w:p w14:paraId="6C41F91B">
      <w:pPr>
        <w:pStyle w:val="25"/>
        <w:rPr>
          <w:color w:val="auto"/>
          <w:highlight w:val="none"/>
        </w:rPr>
      </w:pPr>
    </w:p>
    <w:p w14:paraId="4DFF09F0">
      <w:pPr>
        <w:pStyle w:val="25"/>
        <w:rPr>
          <w:color w:val="auto"/>
          <w:highlight w:val="none"/>
        </w:rPr>
      </w:pPr>
    </w:p>
    <w:p w14:paraId="0594F849">
      <w:pPr>
        <w:spacing w:line="660" w:lineRule="auto"/>
        <w:ind w:left="770" w:leftChars="350" w:firstLine="537" w:firstLineChars="192"/>
        <w:rPr>
          <w:rFonts w:ascii="宋体" w:hAnsi="宋体" w:cs="仿宋"/>
          <w:color w:val="auto"/>
          <w:sz w:val="28"/>
          <w:szCs w:val="28"/>
          <w:highlight w:val="none"/>
        </w:rPr>
      </w:pPr>
    </w:p>
    <w:p w14:paraId="3D36C153">
      <w:pPr>
        <w:spacing w:line="480" w:lineRule="auto"/>
        <w:ind w:left="770" w:leftChars="350" w:firstLine="540" w:firstLineChars="193"/>
        <w:rPr>
          <w:rFonts w:ascii="宋体" w:hAnsi="宋体" w:cs="仿宋"/>
          <w:color w:val="auto"/>
          <w:sz w:val="28"/>
          <w:szCs w:val="28"/>
          <w:highlight w:val="none"/>
        </w:rPr>
      </w:pPr>
      <w:r>
        <w:rPr>
          <w:rFonts w:hint="eastAsia" w:ascii="宋体" w:hAnsi="宋体" w:cs="仿宋"/>
          <w:color w:val="auto"/>
          <w:sz w:val="28"/>
          <w:szCs w:val="28"/>
          <w:highlight w:val="none"/>
        </w:rPr>
        <w:t xml:space="preserve"> </w:t>
      </w:r>
      <w:r>
        <w:rPr>
          <w:rFonts w:hint="eastAsia" w:ascii="宋体" w:hAnsi="宋体" w:eastAsia="宋体" w:cs="仿宋"/>
          <w:color w:val="auto"/>
          <w:sz w:val="28"/>
          <w:szCs w:val="28"/>
          <w:highlight w:val="none"/>
          <w:lang w:val="en-US" w:eastAsia="zh-CN"/>
        </w:rPr>
        <w:t xml:space="preserve"> </w:t>
      </w:r>
      <w:r>
        <w:rPr>
          <w:rFonts w:hint="eastAsia" w:ascii="宋体" w:hAnsi="宋体" w:cs="仿宋"/>
          <w:color w:val="auto"/>
          <w:sz w:val="28"/>
          <w:szCs w:val="28"/>
          <w:highlight w:val="none"/>
        </w:rPr>
        <w:t>供应商名称：</w:t>
      </w:r>
      <w:r>
        <w:rPr>
          <w:rFonts w:hint="eastAsia" w:ascii="宋体" w:hAnsi="宋体" w:cs="仿宋"/>
          <w:color w:val="auto"/>
          <w:sz w:val="28"/>
          <w:szCs w:val="28"/>
          <w:highlight w:val="none"/>
          <w:u w:val="single"/>
        </w:rPr>
        <w:t xml:space="preserve">                         </w:t>
      </w:r>
      <w:r>
        <w:rPr>
          <w:rFonts w:hint="eastAsia" w:ascii="宋体" w:hAnsi="宋体" w:cs="仿宋"/>
          <w:color w:val="auto"/>
          <w:sz w:val="28"/>
          <w:szCs w:val="28"/>
          <w:highlight w:val="none"/>
        </w:rPr>
        <w:t xml:space="preserve"> （</w:t>
      </w:r>
      <w:r>
        <w:rPr>
          <w:rFonts w:hint="eastAsia" w:ascii="宋体" w:hAnsi="宋体" w:eastAsia="宋体" w:cs="仿宋"/>
          <w:color w:val="auto"/>
          <w:sz w:val="28"/>
          <w:szCs w:val="28"/>
          <w:highlight w:val="none"/>
          <w:lang w:val="en-US" w:eastAsia="zh-CN"/>
        </w:rPr>
        <w:t>企业电</w:t>
      </w:r>
      <w:r>
        <w:rPr>
          <w:rFonts w:hint="eastAsia" w:ascii="宋体" w:hAnsi="宋体" w:cs="仿宋"/>
          <w:color w:val="auto"/>
          <w:sz w:val="28"/>
          <w:szCs w:val="28"/>
          <w:highlight w:val="none"/>
          <w:lang w:val="en-US" w:eastAsia="zh-CN"/>
        </w:rPr>
        <w:t>子签章</w:t>
      </w:r>
      <w:r>
        <w:rPr>
          <w:rFonts w:hint="eastAsia" w:ascii="宋体" w:hAnsi="宋体" w:cs="仿宋"/>
          <w:color w:val="auto"/>
          <w:sz w:val="28"/>
          <w:szCs w:val="28"/>
          <w:highlight w:val="none"/>
        </w:rPr>
        <w:t>）</w:t>
      </w:r>
    </w:p>
    <w:p w14:paraId="77D52D0F">
      <w:pPr>
        <w:spacing w:line="480" w:lineRule="auto"/>
        <w:ind w:left="770" w:leftChars="350" w:firstLine="811" w:firstLineChars="292"/>
        <w:rPr>
          <w:rFonts w:ascii="宋体" w:hAnsi="宋体" w:cs="仿宋"/>
          <w:color w:val="auto"/>
          <w:sz w:val="28"/>
          <w:szCs w:val="28"/>
          <w:highlight w:val="none"/>
        </w:rPr>
      </w:pPr>
      <w:r>
        <w:rPr>
          <w:rFonts w:hint="eastAsia" w:ascii="宋体" w:hAnsi="宋体" w:cs="仿宋"/>
          <w:color w:val="auto"/>
          <w:spacing w:val="-1"/>
          <w:sz w:val="28"/>
          <w:szCs w:val="28"/>
          <w:highlight w:val="none"/>
        </w:rPr>
        <w:t>法定代表人：</w:t>
      </w:r>
      <w:r>
        <w:rPr>
          <w:rFonts w:hint="eastAsia" w:ascii="宋体" w:hAnsi="宋体" w:cs="仿宋"/>
          <w:color w:val="auto"/>
          <w:sz w:val="28"/>
          <w:szCs w:val="28"/>
          <w:highlight w:val="none"/>
          <w:u w:val="single"/>
        </w:rPr>
        <w:t xml:space="preserve">             </w:t>
      </w:r>
      <w:r>
        <w:rPr>
          <w:rFonts w:hint="eastAsia" w:ascii="宋体" w:hAnsi="宋体" w:eastAsia="宋体" w:cs="仿宋"/>
          <w:color w:val="auto"/>
          <w:sz w:val="28"/>
          <w:szCs w:val="28"/>
          <w:highlight w:val="none"/>
          <w:u w:val="single"/>
          <w:lang w:val="en-US" w:eastAsia="zh-CN"/>
        </w:rPr>
        <w:t xml:space="preserve">               </w:t>
      </w:r>
      <w:r>
        <w:rPr>
          <w:rFonts w:hint="eastAsia" w:ascii="宋体" w:hAnsi="宋体" w:cs="仿宋"/>
          <w:color w:val="auto"/>
          <w:sz w:val="28"/>
          <w:szCs w:val="28"/>
          <w:highlight w:val="none"/>
        </w:rPr>
        <w:t>（签章）</w:t>
      </w:r>
    </w:p>
    <w:p w14:paraId="28A6CB9D">
      <w:pPr>
        <w:spacing w:line="480" w:lineRule="auto"/>
        <w:ind w:left="770" w:leftChars="350" w:firstLine="540" w:firstLineChars="193"/>
        <w:jc w:val="center"/>
        <w:rPr>
          <w:rFonts w:ascii="宋体" w:hAnsi="宋体" w:cs="仿宋"/>
          <w:color w:val="auto"/>
          <w:sz w:val="28"/>
          <w:szCs w:val="28"/>
          <w:highlight w:val="none"/>
        </w:rPr>
      </w:pPr>
      <w:r>
        <w:rPr>
          <w:rFonts w:hint="eastAsia" w:ascii="宋体" w:hAnsi="宋体" w:cs="仿宋"/>
          <w:color w:val="auto"/>
          <w:sz w:val="28"/>
          <w:szCs w:val="28"/>
          <w:highlight w:val="none"/>
        </w:rPr>
        <w:t>年   月   日</w:t>
      </w:r>
      <w:bookmarkStart w:id="62" w:name="_Toc171073208"/>
      <w:bookmarkStart w:id="63" w:name="_Toc171073043"/>
      <w:bookmarkStart w:id="64" w:name="_Toc223432388"/>
    </w:p>
    <w:p w14:paraId="76E90726">
      <w:pPr>
        <w:ind w:firstLine="540" w:firstLineChars="193"/>
        <w:rPr>
          <w:rFonts w:ascii="宋体" w:hAnsi="宋体" w:cs="仿宋"/>
          <w:color w:val="auto"/>
          <w:sz w:val="28"/>
          <w:szCs w:val="28"/>
          <w:highlight w:val="none"/>
        </w:rPr>
      </w:pPr>
    </w:p>
    <w:p w14:paraId="5765FC83">
      <w:pPr>
        <w:ind w:firstLine="540" w:firstLineChars="193"/>
        <w:rPr>
          <w:rFonts w:ascii="宋体" w:hAnsi="宋体" w:cs="仿宋"/>
          <w:color w:val="auto"/>
          <w:sz w:val="28"/>
          <w:szCs w:val="28"/>
          <w:highlight w:val="none"/>
        </w:rPr>
      </w:pPr>
    </w:p>
    <w:bookmarkEnd w:id="62"/>
    <w:bookmarkEnd w:id="63"/>
    <w:bookmarkEnd w:id="64"/>
    <w:p w14:paraId="6FB0B85D">
      <w:pPr>
        <w:rPr>
          <w:rFonts w:ascii="宋体" w:hAnsi="宋体" w:cs="仿宋"/>
          <w:b/>
          <w:color w:val="auto"/>
          <w:sz w:val="36"/>
          <w:highlight w:val="none"/>
        </w:rPr>
      </w:pPr>
    </w:p>
    <w:p w14:paraId="4DCF74A2">
      <w:pPr>
        <w:jc w:val="center"/>
        <w:rPr>
          <w:rFonts w:ascii="宋体" w:hAnsi="宋体" w:cs="仿宋"/>
          <w:b/>
          <w:color w:val="auto"/>
          <w:sz w:val="28"/>
          <w:szCs w:val="28"/>
          <w:highlight w:val="none"/>
        </w:rPr>
      </w:pPr>
      <w:bookmarkStart w:id="65" w:name="_Toc440880269"/>
      <w:bookmarkStart w:id="66" w:name="_Toc229285986"/>
      <w:bookmarkStart w:id="67" w:name="_Toc202941485"/>
      <w:bookmarkStart w:id="68" w:name="_Toc222221121"/>
      <w:bookmarkStart w:id="69" w:name="_Toc231573413"/>
      <w:bookmarkStart w:id="70" w:name="_Toc222143876"/>
      <w:bookmarkStart w:id="71" w:name="_Toc301970912"/>
      <w:bookmarkStart w:id="72" w:name="_Toc259707326"/>
      <w:bookmarkStart w:id="73" w:name="_Toc222205088"/>
    </w:p>
    <w:p w14:paraId="75ABEDA7">
      <w:pPr>
        <w:rPr>
          <w:rFonts w:ascii="宋体" w:hAnsi="宋体" w:cs="仿宋"/>
          <w:b/>
          <w:color w:val="auto"/>
          <w:sz w:val="28"/>
          <w:szCs w:val="28"/>
          <w:highlight w:val="none"/>
        </w:rPr>
      </w:pPr>
    </w:p>
    <w:p w14:paraId="60852D9E">
      <w:pPr>
        <w:jc w:val="center"/>
        <w:rPr>
          <w:rFonts w:ascii="宋体" w:hAnsi="宋体" w:cs="仿宋"/>
          <w:b/>
          <w:color w:val="auto"/>
          <w:sz w:val="28"/>
          <w:szCs w:val="28"/>
          <w:highlight w:val="none"/>
        </w:rPr>
      </w:pPr>
      <w:r>
        <w:rPr>
          <w:rFonts w:hint="eastAsia" w:ascii="宋体" w:hAnsi="宋体" w:cs="仿宋"/>
          <w:b/>
          <w:color w:val="auto"/>
          <w:sz w:val="32"/>
          <w:szCs w:val="32"/>
          <w:highlight w:val="none"/>
        </w:rPr>
        <w:t>目  录</w:t>
      </w:r>
      <w:bookmarkEnd w:id="65"/>
      <w:bookmarkEnd w:id="66"/>
      <w:bookmarkEnd w:id="67"/>
      <w:bookmarkEnd w:id="68"/>
      <w:bookmarkEnd w:id="69"/>
      <w:bookmarkEnd w:id="70"/>
      <w:bookmarkEnd w:id="71"/>
      <w:bookmarkEnd w:id="72"/>
      <w:bookmarkEnd w:id="73"/>
    </w:p>
    <w:p w14:paraId="2C88C4A4">
      <w:pPr>
        <w:jc w:val="center"/>
        <w:rPr>
          <w:rFonts w:ascii="宋体" w:hAnsi="宋体" w:cs="仿宋"/>
          <w:color w:val="auto"/>
          <w:sz w:val="28"/>
          <w:szCs w:val="28"/>
          <w:highlight w:val="none"/>
        </w:rPr>
      </w:pPr>
    </w:p>
    <w:p w14:paraId="1173372D">
      <w:pPr>
        <w:numPr>
          <w:ilvl w:val="0"/>
          <w:numId w:val="0"/>
        </w:numPr>
        <w:spacing w:line="600" w:lineRule="atLeast"/>
        <w:rPr>
          <w:rFonts w:ascii="宋体" w:hAnsi="宋体" w:cs="仿宋"/>
          <w:color w:val="auto"/>
          <w:sz w:val="28"/>
          <w:szCs w:val="28"/>
          <w:highlight w:val="none"/>
        </w:rPr>
      </w:pPr>
    </w:p>
    <w:p w14:paraId="2D9CE13B">
      <w:pPr>
        <w:numPr>
          <w:ilvl w:val="0"/>
          <w:numId w:val="6"/>
        </w:numPr>
        <w:wordWrap w:val="0"/>
        <w:spacing w:line="360" w:lineRule="auto"/>
        <w:jc w:val="both"/>
        <w:outlineLvl w:val="2"/>
        <w:rPr>
          <w:rFonts w:hint="eastAsia"/>
          <w:sz w:val="28"/>
          <w:szCs w:val="20"/>
          <w:lang w:val="en-US" w:eastAsia="en-US"/>
        </w:rPr>
      </w:pPr>
      <w:r>
        <w:rPr>
          <w:rFonts w:hint="eastAsia"/>
          <w:sz w:val="28"/>
          <w:szCs w:val="20"/>
          <w:lang w:val="en-US" w:eastAsia="en-US"/>
        </w:rPr>
        <w:t>磋商函及磋商函附录</w:t>
      </w:r>
    </w:p>
    <w:p w14:paraId="2CAFDE9F">
      <w:pPr>
        <w:numPr>
          <w:ilvl w:val="0"/>
          <w:numId w:val="0"/>
        </w:numPr>
        <w:wordWrap w:val="0"/>
        <w:spacing w:line="360" w:lineRule="auto"/>
        <w:jc w:val="both"/>
        <w:outlineLvl w:val="2"/>
        <w:rPr>
          <w:rFonts w:ascii="宋体" w:hAnsi="宋体" w:cs="仿宋"/>
          <w:color w:val="auto"/>
          <w:sz w:val="28"/>
          <w:szCs w:val="28"/>
          <w:highlight w:val="none"/>
        </w:rPr>
      </w:pPr>
      <w:r>
        <w:rPr>
          <w:rFonts w:hint="eastAsia" w:ascii="宋体" w:hAnsi="宋体" w:eastAsia="宋体" w:cs="仿宋"/>
          <w:color w:val="auto"/>
          <w:sz w:val="28"/>
          <w:szCs w:val="28"/>
          <w:highlight w:val="none"/>
          <w:lang w:eastAsia="zh-CN"/>
        </w:rPr>
        <w:t>二、</w:t>
      </w:r>
      <w:r>
        <w:rPr>
          <w:rFonts w:hint="eastAsia" w:ascii="宋体" w:hAnsi="宋体" w:cs="仿宋"/>
          <w:color w:val="auto"/>
          <w:sz w:val="28"/>
          <w:szCs w:val="28"/>
          <w:highlight w:val="none"/>
        </w:rPr>
        <w:t>法定代表人身份证明书</w:t>
      </w:r>
    </w:p>
    <w:p w14:paraId="1CD37D9A">
      <w:pPr>
        <w:pStyle w:val="25"/>
        <w:spacing w:line="600" w:lineRule="atLeast"/>
        <w:rPr>
          <w:rFonts w:hint="eastAsia" w:ascii="宋体" w:hAnsi="宋体" w:cs="仿宋"/>
          <w:color w:val="auto"/>
          <w:sz w:val="28"/>
          <w:szCs w:val="28"/>
          <w:highlight w:val="none"/>
        </w:rPr>
      </w:pPr>
      <w:r>
        <w:rPr>
          <w:rFonts w:hint="eastAsia" w:hAnsi="宋体" w:cs="仿宋"/>
          <w:color w:val="auto"/>
          <w:sz w:val="28"/>
          <w:szCs w:val="28"/>
          <w:highlight w:val="none"/>
          <w:lang w:eastAsia="zh-CN"/>
        </w:rPr>
        <w:t>三</w:t>
      </w:r>
      <w:r>
        <w:rPr>
          <w:rFonts w:hint="eastAsia" w:hAnsi="宋体" w:cs="仿宋"/>
          <w:color w:val="auto"/>
          <w:sz w:val="28"/>
          <w:szCs w:val="28"/>
          <w:highlight w:val="none"/>
        </w:rPr>
        <w:t>、</w:t>
      </w:r>
      <w:r>
        <w:rPr>
          <w:rFonts w:hint="eastAsia" w:ascii="宋体" w:hAnsi="宋体" w:cs="仿宋"/>
          <w:color w:val="auto"/>
          <w:sz w:val="28"/>
          <w:szCs w:val="28"/>
          <w:highlight w:val="none"/>
        </w:rPr>
        <w:t>法定代表人授权书</w:t>
      </w:r>
    </w:p>
    <w:p w14:paraId="47CC020D">
      <w:pPr>
        <w:pStyle w:val="25"/>
        <w:spacing w:line="600" w:lineRule="atLeast"/>
        <w:rPr>
          <w:rFonts w:hint="eastAsia" w:ascii="宋体" w:hAnsi="宋体" w:cs="仿宋"/>
          <w:color w:val="auto"/>
          <w:sz w:val="28"/>
          <w:szCs w:val="28"/>
          <w:highlight w:val="none"/>
          <w:lang w:eastAsia="zh-CN"/>
        </w:rPr>
      </w:pPr>
      <w:r>
        <w:rPr>
          <w:rFonts w:hint="eastAsia" w:hAnsi="宋体" w:cs="仿宋"/>
          <w:color w:val="auto"/>
          <w:sz w:val="28"/>
          <w:szCs w:val="28"/>
          <w:highlight w:val="none"/>
          <w:lang w:eastAsia="zh-CN"/>
        </w:rPr>
        <w:t>四</w:t>
      </w:r>
      <w:r>
        <w:rPr>
          <w:rFonts w:hint="eastAsia" w:ascii="宋体" w:hAnsi="宋体" w:cs="仿宋"/>
          <w:color w:val="auto"/>
          <w:sz w:val="28"/>
          <w:szCs w:val="28"/>
          <w:highlight w:val="none"/>
          <w:lang w:eastAsia="zh-CN"/>
        </w:rPr>
        <w:t>、</w:t>
      </w:r>
      <w:r>
        <w:rPr>
          <w:rFonts w:hint="eastAsia" w:hAnsi="宋体" w:cs="仿宋"/>
          <w:color w:val="auto"/>
          <w:sz w:val="28"/>
          <w:szCs w:val="28"/>
          <w:highlight w:val="none"/>
          <w:lang w:eastAsia="zh-CN"/>
        </w:rPr>
        <w:t>投标</w:t>
      </w:r>
      <w:r>
        <w:rPr>
          <w:rFonts w:hint="eastAsia" w:ascii="宋体" w:hAnsi="宋体" w:cs="仿宋"/>
          <w:color w:val="auto"/>
          <w:sz w:val="28"/>
          <w:szCs w:val="28"/>
          <w:highlight w:val="none"/>
          <w:lang w:eastAsia="zh-CN"/>
        </w:rPr>
        <w:t>承诺书</w:t>
      </w:r>
    </w:p>
    <w:p w14:paraId="1537925B">
      <w:pPr>
        <w:spacing w:line="600" w:lineRule="atLeast"/>
        <w:jc w:val="both"/>
        <w:rPr>
          <w:rFonts w:hint="eastAsia" w:ascii="宋体" w:hAnsi="宋体" w:cs="仿宋"/>
          <w:color w:val="auto"/>
          <w:sz w:val="28"/>
          <w:szCs w:val="28"/>
          <w:highlight w:val="none"/>
        </w:rPr>
      </w:pPr>
      <w:r>
        <w:rPr>
          <w:rFonts w:hint="eastAsia" w:cs="仿宋" w:asciiTheme="majorEastAsia" w:hAnsiTheme="majorEastAsia" w:eastAsiaTheme="majorEastAsia"/>
          <w:color w:val="auto"/>
          <w:sz w:val="28"/>
          <w:szCs w:val="28"/>
          <w:highlight w:val="none"/>
          <w:lang w:eastAsia="zh-CN"/>
        </w:rPr>
        <w:t>五、</w:t>
      </w:r>
      <w:r>
        <w:rPr>
          <w:rFonts w:hint="eastAsia" w:ascii="宋体" w:hAnsi="宋体" w:cs="仿宋"/>
          <w:color w:val="auto"/>
          <w:sz w:val="28"/>
          <w:szCs w:val="28"/>
          <w:highlight w:val="none"/>
        </w:rPr>
        <w:t>资格审查资料</w:t>
      </w:r>
    </w:p>
    <w:p w14:paraId="0FA40148">
      <w:pPr>
        <w:spacing w:line="600" w:lineRule="atLeast"/>
        <w:jc w:val="both"/>
        <w:rPr>
          <w:rFonts w:hint="default" w:ascii="宋体" w:hAnsi="宋体" w:cs="仿宋"/>
          <w:color w:val="auto"/>
          <w:sz w:val="28"/>
          <w:szCs w:val="28"/>
          <w:highlight w:val="none"/>
          <w:lang w:val="en-US"/>
        </w:rPr>
      </w:pPr>
      <w:r>
        <w:rPr>
          <w:rFonts w:hint="eastAsia" w:ascii="宋体" w:hAnsi="宋体" w:eastAsia="宋体" w:cs="仿宋"/>
          <w:color w:val="auto"/>
          <w:sz w:val="28"/>
          <w:szCs w:val="28"/>
          <w:highlight w:val="none"/>
          <w:lang w:eastAsia="zh-CN"/>
        </w:rPr>
        <w:t>六、商务部分及技术部分</w:t>
      </w:r>
    </w:p>
    <w:p w14:paraId="3C8E18A1">
      <w:pPr>
        <w:spacing w:line="600" w:lineRule="atLeast"/>
        <w:rPr>
          <w:rFonts w:ascii="宋体" w:hAnsi="宋体" w:cs="仿宋"/>
          <w:color w:val="auto"/>
          <w:sz w:val="28"/>
          <w:szCs w:val="28"/>
          <w:highlight w:val="none"/>
        </w:rPr>
      </w:pPr>
      <w:r>
        <w:rPr>
          <w:rFonts w:hint="eastAsia" w:ascii="宋体" w:hAnsi="宋体" w:eastAsia="宋体" w:cs="仿宋"/>
          <w:color w:val="auto"/>
          <w:sz w:val="28"/>
          <w:szCs w:val="28"/>
          <w:highlight w:val="none"/>
          <w:lang w:eastAsia="zh-CN"/>
        </w:rPr>
        <w:t>七</w:t>
      </w:r>
      <w:r>
        <w:rPr>
          <w:rFonts w:hint="eastAsia" w:ascii="宋体" w:hAnsi="宋体" w:cs="仿宋"/>
          <w:color w:val="auto"/>
          <w:sz w:val="28"/>
          <w:szCs w:val="28"/>
          <w:highlight w:val="none"/>
        </w:rPr>
        <w:t>、</w:t>
      </w:r>
      <w:r>
        <w:rPr>
          <w:rFonts w:hint="eastAsia"/>
          <w:sz w:val="28"/>
          <w:szCs w:val="28"/>
          <w:lang w:val="en-US"/>
        </w:rPr>
        <w:t>供应商</w:t>
      </w:r>
      <w:r>
        <w:rPr>
          <w:rFonts w:hint="eastAsia"/>
          <w:sz w:val="28"/>
          <w:szCs w:val="28"/>
          <w:lang w:val="en-US" w:eastAsia="en-US"/>
        </w:rPr>
        <w:t>可提交的</w:t>
      </w:r>
      <w:r>
        <w:rPr>
          <w:rFonts w:hint="eastAsia" w:ascii="宋体" w:hAnsi="宋体" w:eastAsia="宋体" w:cs="仿宋"/>
          <w:color w:val="auto"/>
          <w:sz w:val="28"/>
          <w:szCs w:val="28"/>
          <w:highlight w:val="none"/>
          <w:lang w:eastAsia="zh-CN"/>
        </w:rPr>
        <w:t>其他资料</w:t>
      </w:r>
    </w:p>
    <w:p w14:paraId="0E395AA0">
      <w:pPr>
        <w:pStyle w:val="3"/>
        <w:spacing w:line="443" w:lineRule="exact"/>
        <w:ind w:right="17"/>
        <w:rPr>
          <w:rFonts w:ascii="宋体" w:hAnsi="宋体" w:cs="仿宋"/>
          <w:color w:val="auto"/>
          <w:highlight w:val="none"/>
          <w:lang w:eastAsia="zh-CN"/>
        </w:rPr>
      </w:pPr>
    </w:p>
    <w:p w14:paraId="1A3DDB5F">
      <w:pPr>
        <w:pStyle w:val="3"/>
        <w:spacing w:line="443" w:lineRule="exact"/>
        <w:ind w:right="17"/>
        <w:jc w:val="center"/>
        <w:rPr>
          <w:rFonts w:ascii="宋体" w:hAnsi="宋体" w:cs="仿宋"/>
          <w:color w:val="auto"/>
          <w:highlight w:val="none"/>
          <w:lang w:eastAsia="zh-CN"/>
        </w:rPr>
      </w:pPr>
    </w:p>
    <w:p w14:paraId="1B2122F1">
      <w:pPr>
        <w:jc w:val="center"/>
        <w:rPr>
          <w:rFonts w:ascii="宋体" w:hAnsi="宋体" w:cs="仿宋"/>
          <w:color w:val="auto"/>
          <w:sz w:val="28"/>
          <w:szCs w:val="28"/>
          <w:highlight w:val="none"/>
        </w:rPr>
      </w:pPr>
    </w:p>
    <w:p w14:paraId="306380B3">
      <w:pPr>
        <w:pStyle w:val="25"/>
        <w:rPr>
          <w:color w:val="auto"/>
          <w:highlight w:val="none"/>
        </w:rPr>
      </w:pPr>
    </w:p>
    <w:p w14:paraId="0C2C92AD">
      <w:pPr>
        <w:spacing w:before="5"/>
        <w:rPr>
          <w:rFonts w:ascii="宋体" w:hAnsi="宋体" w:cs="仿宋"/>
          <w:color w:val="auto"/>
          <w:sz w:val="19"/>
          <w:szCs w:val="19"/>
          <w:highlight w:val="none"/>
        </w:rPr>
      </w:pPr>
    </w:p>
    <w:p w14:paraId="47B16849">
      <w:pPr>
        <w:rPr>
          <w:rFonts w:hint="eastAsia" w:ascii="宋体" w:hAnsi="宋体" w:cs="仿宋"/>
          <w:color w:val="auto"/>
          <w:highlight w:val="none"/>
          <w:lang w:eastAsia="zh-CN"/>
        </w:rPr>
      </w:pPr>
      <w:r>
        <w:rPr>
          <w:rFonts w:hint="eastAsia" w:ascii="宋体" w:hAnsi="宋体" w:cs="仿宋"/>
          <w:color w:val="auto"/>
          <w:highlight w:val="none"/>
          <w:lang w:eastAsia="zh-CN"/>
        </w:rPr>
        <w:br w:type="page"/>
      </w:r>
    </w:p>
    <w:p w14:paraId="74ED9B62">
      <w:pPr>
        <w:numPr>
          <w:ilvl w:val="0"/>
          <w:numId w:val="7"/>
        </w:numPr>
        <w:wordWrap w:val="0"/>
        <w:spacing w:line="360" w:lineRule="auto"/>
        <w:jc w:val="center"/>
        <w:outlineLvl w:val="2"/>
        <w:rPr>
          <w:rFonts w:hint="eastAsia"/>
          <w:sz w:val="28"/>
          <w:szCs w:val="20"/>
          <w:lang w:val="en-US" w:eastAsia="en-US"/>
        </w:rPr>
      </w:pPr>
      <w:r>
        <w:rPr>
          <w:rFonts w:hint="eastAsia"/>
          <w:sz w:val="28"/>
          <w:szCs w:val="20"/>
          <w:lang w:val="en-US" w:eastAsia="en-US"/>
        </w:rPr>
        <w:t>磋商函及磋商函附录</w:t>
      </w:r>
      <w:bookmarkStart w:id="74" w:name="_Toc488504497"/>
      <w:bookmarkStart w:id="75" w:name="_Toc152042578"/>
      <w:bookmarkStart w:id="76" w:name="_Toc8915"/>
      <w:bookmarkStart w:id="77" w:name="_Toc487498496"/>
      <w:bookmarkStart w:id="78" w:name="_Toc152045789"/>
      <w:bookmarkStart w:id="79" w:name="_Toc318450744"/>
      <w:bookmarkStart w:id="80" w:name="_Toc11855"/>
      <w:bookmarkStart w:id="81" w:name="_Toc455080170"/>
      <w:bookmarkStart w:id="82" w:name="_Toc30581"/>
      <w:bookmarkStart w:id="83" w:name="_Toc26765"/>
      <w:bookmarkStart w:id="84" w:name="_Toc464035571"/>
      <w:bookmarkStart w:id="85" w:name="_Toc23888"/>
      <w:bookmarkStart w:id="86" w:name="_Toc7366_WPSOffice_Level2"/>
      <w:bookmarkStart w:id="87" w:name="_Toc144974858"/>
      <w:bookmarkStart w:id="88" w:name="_Toc18705"/>
      <w:bookmarkStart w:id="89" w:name="_Toc463701092"/>
      <w:bookmarkStart w:id="90" w:name="_Toc26262"/>
    </w:p>
    <w:p w14:paraId="45BE495A">
      <w:pPr>
        <w:numPr>
          <w:ilvl w:val="0"/>
          <w:numId w:val="0"/>
        </w:numPr>
        <w:wordWrap w:val="0"/>
        <w:spacing w:line="360" w:lineRule="auto"/>
        <w:jc w:val="center"/>
        <w:outlineLvl w:val="2"/>
        <w:rPr>
          <w:rFonts w:hint="eastAsia"/>
          <w:sz w:val="28"/>
          <w:szCs w:val="20"/>
          <w:lang w:val="en-US" w:eastAsia="en-US"/>
        </w:rPr>
      </w:pPr>
      <w:r>
        <w:rPr>
          <w:rFonts w:hint="eastAsia"/>
          <w:sz w:val="28"/>
          <w:szCs w:val="20"/>
          <w:lang w:val="en-US" w:eastAsia="en-US"/>
        </w:rPr>
        <w:t>（一）磋商函</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4CB98095">
      <w:pPr>
        <w:pStyle w:val="5"/>
        <w:tabs>
          <w:tab w:val="left" w:pos="1078"/>
          <w:tab w:val="left" w:pos="3009"/>
        </w:tabs>
        <w:spacing w:line="360" w:lineRule="auto"/>
        <w:ind w:left="0" w:leftChars="0" w:right="111" w:firstLine="0" w:firstLineChars="0"/>
        <w:rPr>
          <w:rFonts w:cs="仿宋"/>
          <w:color w:val="auto"/>
          <w:sz w:val="24"/>
          <w:szCs w:val="24"/>
          <w:highlight w:val="none"/>
          <w:lang w:eastAsia="zh-CN"/>
        </w:rPr>
      </w:pPr>
      <w:r>
        <w:rPr>
          <w:rFonts w:hint="eastAsia" w:cs="仿宋"/>
          <w:color w:val="auto"/>
          <w:spacing w:val="-1"/>
          <w:sz w:val="24"/>
          <w:szCs w:val="24"/>
          <w:highlight w:val="none"/>
          <w:lang w:eastAsia="zh-CN"/>
        </w:rPr>
        <w:t>致：</w:t>
      </w:r>
      <w:r>
        <w:rPr>
          <w:rFonts w:hint="eastAsia" w:cs="仿宋"/>
          <w:color w:val="auto"/>
          <w:spacing w:val="-1"/>
          <w:sz w:val="24"/>
          <w:szCs w:val="24"/>
          <w:highlight w:val="none"/>
          <w:u w:val="single" w:color="000000"/>
          <w:lang w:eastAsia="zh-CN"/>
        </w:rPr>
        <w:tab/>
      </w:r>
      <w:r>
        <w:rPr>
          <w:rFonts w:hint="eastAsia" w:cs="仿宋"/>
          <w:color w:val="auto"/>
          <w:spacing w:val="-1"/>
          <w:sz w:val="24"/>
          <w:szCs w:val="24"/>
          <w:highlight w:val="none"/>
          <w:u w:val="single" w:color="000000"/>
          <w:lang w:eastAsia="zh-CN"/>
        </w:rPr>
        <w:t xml:space="preserve">(采购人名称） </w:t>
      </w:r>
      <w:r>
        <w:rPr>
          <w:rFonts w:hint="eastAsia" w:cs="仿宋"/>
          <w:color w:val="auto"/>
          <w:spacing w:val="-1"/>
          <w:sz w:val="24"/>
          <w:szCs w:val="24"/>
          <w:highlight w:val="none"/>
          <w:u w:val="single" w:color="000000"/>
          <w:lang w:eastAsia="zh-CN"/>
        </w:rPr>
        <w:tab/>
      </w:r>
    </w:p>
    <w:p w14:paraId="005EE730">
      <w:pPr>
        <w:pStyle w:val="5"/>
        <w:keepNext w:val="0"/>
        <w:keepLines w:val="0"/>
        <w:pageBreakBefore w:val="0"/>
        <w:widowControl w:val="0"/>
        <w:tabs>
          <w:tab w:val="left" w:pos="4678"/>
          <w:tab w:val="left" w:pos="5381"/>
        </w:tabs>
        <w:kinsoku/>
        <w:wordWrap/>
        <w:overflowPunct/>
        <w:topLinePunct w:val="0"/>
        <w:autoSpaceDE/>
        <w:autoSpaceDN/>
        <w:bidi w:val="0"/>
        <w:adjustRightInd/>
        <w:snapToGrid/>
        <w:spacing w:line="360" w:lineRule="auto"/>
        <w:ind w:right="101" w:firstLine="480" w:firstLineChars="200"/>
        <w:textAlignment w:val="auto"/>
        <w:rPr>
          <w:rFonts w:cs="仿宋"/>
          <w:color w:val="auto"/>
          <w:sz w:val="24"/>
          <w:szCs w:val="24"/>
          <w:highlight w:val="none"/>
          <w:lang w:eastAsia="zh-CN"/>
        </w:rPr>
      </w:pPr>
      <w:r>
        <w:rPr>
          <w:rFonts w:hint="eastAsia"/>
          <w:color w:val="auto"/>
          <w:sz w:val="24"/>
          <w:szCs w:val="24"/>
          <w:highlight w:val="none"/>
          <w:lang w:eastAsia="zh-CN"/>
        </w:rPr>
        <w:t>根据已收到贵方的</w:t>
      </w:r>
      <w:r>
        <w:rPr>
          <w:rFonts w:hint="eastAsia" w:cs="仿宋"/>
          <w:color w:val="auto"/>
          <w:spacing w:val="-1"/>
          <w:sz w:val="24"/>
          <w:szCs w:val="24"/>
          <w:highlight w:val="none"/>
          <w:u w:val="single" w:color="000000"/>
          <w:lang w:eastAsia="zh-CN"/>
        </w:rPr>
        <w:tab/>
      </w:r>
      <w:r>
        <w:rPr>
          <w:rFonts w:hint="eastAsia" w:cs="仿宋"/>
          <w:color w:val="auto"/>
          <w:spacing w:val="-3"/>
          <w:sz w:val="24"/>
          <w:szCs w:val="24"/>
          <w:highlight w:val="none"/>
          <w:u w:val="single" w:color="000000"/>
          <w:lang w:eastAsia="zh-CN"/>
        </w:rPr>
        <w:t>（项目名称）</w:t>
      </w:r>
      <w:r>
        <w:rPr>
          <w:rFonts w:hint="eastAsia" w:cs="仿宋"/>
          <w:color w:val="auto"/>
          <w:spacing w:val="-3"/>
          <w:sz w:val="24"/>
          <w:szCs w:val="24"/>
          <w:highlight w:val="none"/>
          <w:u w:val="none" w:color="auto"/>
          <w:lang w:eastAsia="zh-CN"/>
        </w:rPr>
        <w:t>竞争性磋</w:t>
      </w:r>
      <w:r>
        <w:rPr>
          <w:rFonts w:hint="eastAsia" w:cs="仿宋"/>
          <w:color w:val="auto"/>
          <w:spacing w:val="-3"/>
          <w:sz w:val="24"/>
          <w:szCs w:val="24"/>
          <w:highlight w:val="none"/>
          <w:lang w:eastAsia="zh-CN"/>
        </w:rPr>
        <w:t>商文件，经详细研究，</w:t>
      </w:r>
      <w:r>
        <w:rPr>
          <w:rFonts w:hint="eastAsia" w:cs="仿宋"/>
          <w:color w:val="auto"/>
          <w:sz w:val="24"/>
          <w:szCs w:val="24"/>
          <w:highlight w:val="none"/>
          <w:lang w:eastAsia="zh-CN"/>
        </w:rPr>
        <w:t>我们决定参加该项目的招标采购活动并按要求提交响应文件。我们郑重声明以下诸点并负法律责任:</w:t>
      </w:r>
    </w:p>
    <w:p w14:paraId="77A6CC1C">
      <w:pPr>
        <w:pStyle w:val="5"/>
        <w:keepNext w:val="0"/>
        <w:keepLines w:val="0"/>
        <w:pageBreakBefore w:val="0"/>
        <w:widowControl w:val="0"/>
        <w:kinsoku/>
        <w:wordWrap/>
        <w:overflowPunct/>
        <w:topLinePunct w:val="0"/>
        <w:autoSpaceDE/>
        <w:autoSpaceDN/>
        <w:bidi w:val="0"/>
        <w:adjustRightInd/>
        <w:snapToGrid/>
        <w:spacing w:line="360" w:lineRule="auto"/>
        <w:ind w:right="111" w:firstLine="480" w:firstLineChars="200"/>
        <w:textAlignment w:val="auto"/>
        <w:rPr>
          <w:rFonts w:cs="仿宋"/>
          <w:color w:val="auto"/>
          <w:spacing w:val="-3"/>
          <w:sz w:val="24"/>
          <w:szCs w:val="24"/>
          <w:highlight w:val="none"/>
          <w:lang w:eastAsia="zh-CN"/>
        </w:rPr>
      </w:pPr>
      <w:r>
        <w:rPr>
          <w:rFonts w:hint="eastAsia" w:cs="仿宋"/>
          <w:color w:val="auto"/>
          <w:sz w:val="24"/>
          <w:szCs w:val="24"/>
          <w:highlight w:val="none"/>
          <w:lang w:eastAsia="zh-CN"/>
        </w:rPr>
        <w:t>(1)</w:t>
      </w:r>
      <w:r>
        <w:rPr>
          <w:rFonts w:hint="eastAsia" w:cs="仿宋"/>
          <w:color w:val="auto"/>
          <w:spacing w:val="-3"/>
          <w:sz w:val="24"/>
          <w:szCs w:val="24"/>
          <w:highlight w:val="none"/>
          <w:lang w:eastAsia="zh-CN"/>
        </w:rPr>
        <w:t>愿按照竞争性磋商文件中规定的条款和要求，提供完成竞争性磋商文件规定的全部工作，此次</w:t>
      </w:r>
      <w:r>
        <w:rPr>
          <w:rFonts w:hint="eastAsia"/>
          <w:sz w:val="28"/>
          <w:szCs w:val="28"/>
          <w:lang w:eastAsia="zh-CN"/>
        </w:rPr>
        <w:t>总</w:t>
      </w:r>
      <w:r>
        <w:rPr>
          <w:rFonts w:hint="eastAsia" w:cs="仿宋"/>
          <w:color w:val="auto"/>
          <w:spacing w:val="-3"/>
          <w:sz w:val="24"/>
          <w:szCs w:val="24"/>
          <w:highlight w:val="none"/>
          <w:lang w:eastAsia="zh-CN"/>
        </w:rPr>
        <w:t>报价为（</w:t>
      </w:r>
      <w:r>
        <w:rPr>
          <w:rFonts w:hint="eastAsia" w:cs="仿宋"/>
          <w:color w:val="auto"/>
          <w:spacing w:val="-3"/>
          <w:sz w:val="24"/>
          <w:szCs w:val="24"/>
          <w:highlight w:val="none"/>
          <w:lang w:val="en-US" w:eastAsia="zh-CN"/>
        </w:rPr>
        <w:t>大写</w:t>
      </w:r>
      <w:r>
        <w:rPr>
          <w:rFonts w:hint="eastAsia" w:cs="仿宋"/>
          <w:color w:val="auto"/>
          <w:spacing w:val="-3"/>
          <w:sz w:val="24"/>
          <w:szCs w:val="24"/>
          <w:highlight w:val="none"/>
          <w:u w:val="single"/>
          <w:lang w:val="en-US" w:eastAsia="zh-CN"/>
        </w:rPr>
        <w:t xml:space="preserve">        小写    </w:t>
      </w:r>
      <w:r>
        <w:rPr>
          <w:rFonts w:hint="eastAsia" w:cs="仿宋"/>
          <w:color w:val="auto"/>
          <w:spacing w:val="-3"/>
          <w:sz w:val="24"/>
          <w:szCs w:val="24"/>
          <w:highlight w:val="none"/>
          <w:lang w:eastAsia="zh-CN"/>
        </w:rPr>
        <w:t>），供货期限</w:t>
      </w:r>
      <w:r>
        <w:rPr>
          <w:rFonts w:hint="eastAsia" w:cs="仿宋"/>
          <w:color w:val="auto"/>
          <w:spacing w:val="-3"/>
          <w:sz w:val="24"/>
          <w:szCs w:val="24"/>
          <w:highlight w:val="none"/>
          <w:u w:val="single"/>
          <w:lang w:eastAsia="zh-CN"/>
        </w:rPr>
        <w:t xml:space="preserve">  </w:t>
      </w:r>
      <w:r>
        <w:rPr>
          <w:rFonts w:hint="eastAsia" w:cs="仿宋"/>
          <w:color w:val="auto"/>
          <w:spacing w:val="-3"/>
          <w:sz w:val="24"/>
          <w:szCs w:val="24"/>
          <w:highlight w:val="none"/>
          <w:u w:val="single"/>
          <w:lang w:val="en-US" w:eastAsia="zh-CN"/>
        </w:rPr>
        <w:t xml:space="preserve"> </w:t>
      </w:r>
      <w:r>
        <w:rPr>
          <w:rFonts w:hint="eastAsia" w:cs="仿宋"/>
          <w:color w:val="auto"/>
          <w:spacing w:val="-3"/>
          <w:sz w:val="24"/>
          <w:szCs w:val="24"/>
          <w:highlight w:val="none"/>
          <w:u w:val="single"/>
          <w:lang w:eastAsia="zh-CN"/>
        </w:rPr>
        <w:t xml:space="preserve"> </w:t>
      </w:r>
      <w:r>
        <w:rPr>
          <w:rFonts w:hint="eastAsia" w:cs="仿宋"/>
          <w:color w:val="auto"/>
          <w:spacing w:val="-3"/>
          <w:sz w:val="24"/>
          <w:szCs w:val="24"/>
          <w:highlight w:val="none"/>
          <w:u w:val="single"/>
          <w:lang w:val="en-US" w:eastAsia="zh-CN"/>
        </w:rPr>
        <w:t xml:space="preserve">             </w:t>
      </w:r>
      <w:r>
        <w:rPr>
          <w:rFonts w:hint="eastAsia" w:cs="仿宋"/>
          <w:color w:val="auto"/>
          <w:spacing w:val="-3"/>
          <w:sz w:val="24"/>
          <w:szCs w:val="24"/>
          <w:highlight w:val="none"/>
          <w:u w:val="single"/>
          <w:lang w:eastAsia="zh-CN"/>
        </w:rPr>
        <w:t xml:space="preserve">  </w:t>
      </w:r>
      <w:r>
        <w:rPr>
          <w:rFonts w:hint="eastAsia" w:cs="仿宋"/>
          <w:color w:val="auto"/>
          <w:spacing w:val="-3"/>
          <w:sz w:val="24"/>
          <w:szCs w:val="24"/>
          <w:highlight w:val="none"/>
          <w:lang w:eastAsia="zh-CN"/>
        </w:rPr>
        <w:t xml:space="preserve">。 </w:t>
      </w:r>
    </w:p>
    <w:p w14:paraId="78AB8B24">
      <w:pPr>
        <w:pStyle w:val="5"/>
        <w:keepNext w:val="0"/>
        <w:keepLines w:val="0"/>
        <w:pageBreakBefore w:val="0"/>
        <w:widowControl w:val="0"/>
        <w:kinsoku/>
        <w:wordWrap/>
        <w:overflowPunct/>
        <w:topLinePunct w:val="0"/>
        <w:autoSpaceDE/>
        <w:autoSpaceDN/>
        <w:bidi w:val="0"/>
        <w:adjustRightInd/>
        <w:snapToGrid/>
        <w:spacing w:line="360" w:lineRule="auto"/>
        <w:ind w:right="111" w:firstLine="468" w:firstLineChars="200"/>
        <w:textAlignment w:val="auto"/>
        <w:rPr>
          <w:rFonts w:cs="仿宋"/>
          <w:color w:val="auto"/>
          <w:spacing w:val="-3"/>
          <w:sz w:val="24"/>
          <w:szCs w:val="24"/>
          <w:highlight w:val="none"/>
          <w:lang w:eastAsia="zh-CN"/>
        </w:rPr>
      </w:pPr>
      <w:r>
        <w:rPr>
          <w:rFonts w:hint="eastAsia" w:cs="仿宋"/>
          <w:color w:val="auto"/>
          <w:spacing w:val="-3"/>
          <w:sz w:val="24"/>
          <w:szCs w:val="24"/>
          <w:highlight w:val="none"/>
          <w:lang w:eastAsia="zh-CN"/>
        </w:rPr>
        <w:t>(2)如果我们的响应文件被接受，我们将履行竞争性磋商文件中规定的各项要求。</w:t>
      </w:r>
    </w:p>
    <w:p w14:paraId="025785B8">
      <w:pPr>
        <w:pStyle w:val="5"/>
        <w:keepNext w:val="0"/>
        <w:keepLines w:val="0"/>
        <w:pageBreakBefore w:val="0"/>
        <w:widowControl w:val="0"/>
        <w:kinsoku/>
        <w:wordWrap/>
        <w:overflowPunct/>
        <w:topLinePunct w:val="0"/>
        <w:autoSpaceDE/>
        <w:autoSpaceDN/>
        <w:bidi w:val="0"/>
        <w:adjustRightInd/>
        <w:snapToGrid/>
        <w:spacing w:line="360" w:lineRule="auto"/>
        <w:ind w:right="111" w:firstLine="468" w:firstLineChars="200"/>
        <w:textAlignment w:val="auto"/>
        <w:rPr>
          <w:rFonts w:cs="仿宋"/>
          <w:color w:val="auto"/>
          <w:sz w:val="24"/>
          <w:szCs w:val="24"/>
          <w:highlight w:val="none"/>
          <w:lang w:eastAsia="zh-CN"/>
        </w:rPr>
      </w:pPr>
      <w:r>
        <w:rPr>
          <w:rFonts w:hint="eastAsia" w:cs="仿宋"/>
          <w:color w:val="auto"/>
          <w:spacing w:val="-3"/>
          <w:sz w:val="24"/>
          <w:szCs w:val="24"/>
          <w:highlight w:val="none"/>
          <w:lang w:eastAsia="zh-CN"/>
        </w:rPr>
        <w:t>(3)我们同意本竞争性磋商文件中有关有效期的规定。如果成交，有效期延长至合同终止日</w:t>
      </w:r>
      <w:r>
        <w:rPr>
          <w:rFonts w:hint="eastAsia" w:cs="仿宋"/>
          <w:color w:val="auto"/>
          <w:sz w:val="24"/>
          <w:szCs w:val="24"/>
          <w:highlight w:val="none"/>
          <w:lang w:eastAsia="zh-CN"/>
        </w:rPr>
        <w:t>止。</w:t>
      </w:r>
    </w:p>
    <w:p w14:paraId="0D01BBD2">
      <w:pPr>
        <w:pStyle w:val="5"/>
        <w:keepNext w:val="0"/>
        <w:keepLines w:val="0"/>
        <w:pageBreakBefore w:val="0"/>
        <w:widowControl w:val="0"/>
        <w:kinsoku/>
        <w:wordWrap/>
        <w:overflowPunct/>
        <w:topLinePunct w:val="0"/>
        <w:autoSpaceDE/>
        <w:autoSpaceDN/>
        <w:bidi w:val="0"/>
        <w:adjustRightInd/>
        <w:snapToGrid/>
        <w:spacing w:line="360" w:lineRule="auto"/>
        <w:ind w:right="111" w:firstLine="480" w:firstLineChars="200"/>
        <w:textAlignment w:val="auto"/>
        <w:rPr>
          <w:rFonts w:cs="仿宋"/>
          <w:color w:val="auto"/>
          <w:sz w:val="24"/>
          <w:szCs w:val="24"/>
          <w:highlight w:val="none"/>
          <w:lang w:eastAsia="zh-CN"/>
        </w:rPr>
      </w:pPr>
      <w:r>
        <w:rPr>
          <w:rFonts w:hint="eastAsia" w:cs="仿宋"/>
          <w:color w:val="auto"/>
          <w:sz w:val="24"/>
          <w:szCs w:val="24"/>
          <w:highlight w:val="none"/>
          <w:lang w:eastAsia="zh-CN"/>
        </w:rPr>
        <w:t>(4)我们愿提供竞争性磋商文件中要求的所有文件资料。</w:t>
      </w:r>
    </w:p>
    <w:p w14:paraId="24BF029C">
      <w:pPr>
        <w:pStyle w:val="5"/>
        <w:keepNext w:val="0"/>
        <w:keepLines w:val="0"/>
        <w:pageBreakBefore w:val="0"/>
        <w:widowControl w:val="0"/>
        <w:kinsoku/>
        <w:wordWrap/>
        <w:overflowPunct/>
        <w:topLinePunct w:val="0"/>
        <w:autoSpaceDE/>
        <w:autoSpaceDN/>
        <w:bidi w:val="0"/>
        <w:adjustRightInd/>
        <w:snapToGrid/>
        <w:spacing w:line="360" w:lineRule="auto"/>
        <w:ind w:right="111" w:firstLine="468" w:firstLineChars="200"/>
        <w:textAlignment w:val="auto"/>
        <w:rPr>
          <w:rFonts w:cs="仿宋"/>
          <w:color w:val="auto"/>
          <w:spacing w:val="-3"/>
          <w:sz w:val="24"/>
          <w:szCs w:val="24"/>
          <w:highlight w:val="none"/>
          <w:lang w:eastAsia="zh-CN"/>
        </w:rPr>
      </w:pPr>
      <w:r>
        <w:rPr>
          <w:rFonts w:hint="eastAsia" w:cs="仿宋"/>
          <w:color w:val="auto"/>
          <w:spacing w:val="-3"/>
          <w:sz w:val="24"/>
          <w:szCs w:val="24"/>
          <w:highlight w:val="none"/>
          <w:lang w:eastAsia="zh-CN"/>
        </w:rPr>
        <w:t xml:space="preserve">(5)我们已经详细审核了全部竞争性磋商文件，如有需要澄清的问题，我们同意按竞争性磋商文件规定的时间向采购人提出。逾期不提，我公司同意放弃对这方面有不明及误解的权利。 </w:t>
      </w:r>
    </w:p>
    <w:p w14:paraId="2164498B">
      <w:pPr>
        <w:pStyle w:val="5"/>
        <w:keepNext w:val="0"/>
        <w:keepLines w:val="0"/>
        <w:pageBreakBefore w:val="0"/>
        <w:widowControl w:val="0"/>
        <w:kinsoku/>
        <w:wordWrap/>
        <w:overflowPunct/>
        <w:topLinePunct w:val="0"/>
        <w:autoSpaceDE/>
        <w:autoSpaceDN/>
        <w:bidi w:val="0"/>
        <w:adjustRightInd/>
        <w:snapToGrid/>
        <w:spacing w:line="360" w:lineRule="auto"/>
        <w:ind w:right="111" w:firstLine="468" w:firstLineChars="200"/>
        <w:textAlignment w:val="auto"/>
        <w:rPr>
          <w:rFonts w:cs="仿宋"/>
          <w:color w:val="auto"/>
          <w:spacing w:val="-3"/>
          <w:sz w:val="24"/>
          <w:szCs w:val="24"/>
          <w:highlight w:val="none"/>
          <w:lang w:eastAsia="zh-CN"/>
        </w:rPr>
      </w:pPr>
      <w:r>
        <w:rPr>
          <w:rFonts w:hint="eastAsia" w:cs="仿宋"/>
          <w:color w:val="auto"/>
          <w:spacing w:val="-3"/>
          <w:sz w:val="24"/>
          <w:szCs w:val="24"/>
          <w:highlight w:val="none"/>
          <w:lang w:eastAsia="zh-CN"/>
        </w:rPr>
        <w:t>(6)我们承诺，与采购人聘请的为此项目提供咨询服务及任何附属机构均无关联，非采购人的附属机构。</w:t>
      </w:r>
    </w:p>
    <w:p w14:paraId="520D5C68">
      <w:pPr>
        <w:pStyle w:val="5"/>
        <w:keepNext w:val="0"/>
        <w:keepLines w:val="0"/>
        <w:pageBreakBefore w:val="0"/>
        <w:widowControl w:val="0"/>
        <w:kinsoku/>
        <w:wordWrap/>
        <w:overflowPunct/>
        <w:topLinePunct w:val="0"/>
        <w:autoSpaceDE/>
        <w:autoSpaceDN/>
        <w:bidi w:val="0"/>
        <w:adjustRightInd/>
        <w:snapToGrid/>
        <w:spacing w:line="360" w:lineRule="auto"/>
        <w:ind w:right="111" w:firstLine="468" w:firstLineChars="200"/>
        <w:textAlignment w:val="auto"/>
        <w:rPr>
          <w:rFonts w:cs="仿宋"/>
          <w:color w:val="auto"/>
          <w:sz w:val="24"/>
          <w:szCs w:val="24"/>
          <w:highlight w:val="none"/>
          <w:lang w:eastAsia="zh-CN"/>
        </w:rPr>
      </w:pPr>
      <w:r>
        <w:rPr>
          <w:rFonts w:hint="eastAsia" w:cs="仿宋"/>
          <w:color w:val="auto"/>
          <w:spacing w:val="-3"/>
          <w:sz w:val="24"/>
          <w:szCs w:val="24"/>
          <w:highlight w:val="none"/>
          <w:lang w:eastAsia="zh-CN"/>
        </w:rPr>
        <w:t>(7)我公司同意提供按照采购人可能要求的与其采购响应有关的一切数据或资料，完</w:t>
      </w:r>
      <w:r>
        <w:rPr>
          <w:rFonts w:hint="eastAsia" w:cs="仿宋"/>
          <w:color w:val="auto"/>
          <w:sz w:val="24"/>
          <w:szCs w:val="24"/>
          <w:highlight w:val="none"/>
          <w:lang w:eastAsia="zh-CN"/>
        </w:rPr>
        <w:t>全理解采购人不一定接受最低价的投标或收到的任何投标。</w:t>
      </w:r>
    </w:p>
    <w:p w14:paraId="5268A912">
      <w:pPr>
        <w:pStyle w:val="5"/>
        <w:keepNext w:val="0"/>
        <w:keepLines w:val="0"/>
        <w:pageBreakBefore w:val="0"/>
        <w:widowControl w:val="0"/>
        <w:kinsoku/>
        <w:wordWrap/>
        <w:overflowPunct/>
        <w:topLinePunct w:val="0"/>
        <w:autoSpaceDE/>
        <w:autoSpaceDN/>
        <w:bidi w:val="0"/>
        <w:adjustRightInd/>
        <w:snapToGrid/>
        <w:spacing w:line="360" w:lineRule="auto"/>
        <w:ind w:right="111" w:firstLine="480" w:firstLineChars="200"/>
        <w:textAlignment w:val="auto"/>
        <w:rPr>
          <w:rFonts w:cs="仿宋"/>
          <w:color w:val="auto"/>
          <w:spacing w:val="-3"/>
          <w:sz w:val="24"/>
          <w:szCs w:val="24"/>
          <w:highlight w:val="none"/>
          <w:lang w:eastAsia="zh-CN"/>
        </w:rPr>
      </w:pPr>
      <w:r>
        <w:rPr>
          <w:rFonts w:hint="eastAsia" w:cs="仿宋"/>
          <w:color w:val="auto"/>
          <w:sz w:val="24"/>
          <w:szCs w:val="24"/>
          <w:highlight w:val="none"/>
          <w:lang w:eastAsia="zh-CN"/>
        </w:rPr>
        <w:t>(</w:t>
      </w:r>
      <w:r>
        <w:rPr>
          <w:rFonts w:hint="eastAsia" w:cs="仿宋"/>
          <w:color w:val="auto"/>
          <w:spacing w:val="-3"/>
          <w:sz w:val="24"/>
          <w:szCs w:val="24"/>
          <w:highlight w:val="none"/>
          <w:lang w:eastAsia="zh-CN"/>
        </w:rPr>
        <w:t>8)我们愿按《中华人民共和国合同法》履行自己的全部责任。</w:t>
      </w:r>
    </w:p>
    <w:p w14:paraId="0341A0FE">
      <w:pPr>
        <w:pStyle w:val="8"/>
        <w:keepNext w:val="0"/>
        <w:keepLines w:val="0"/>
        <w:pageBreakBefore w:val="0"/>
        <w:widowControl w:val="0"/>
        <w:tabs>
          <w:tab w:val="left" w:pos="7221"/>
        </w:tabs>
        <w:kinsoku/>
        <w:wordWrap/>
        <w:overflowPunct/>
        <w:topLinePunct w:val="0"/>
        <w:autoSpaceDE/>
        <w:autoSpaceDN/>
        <w:bidi w:val="0"/>
        <w:adjustRightInd/>
        <w:snapToGrid/>
        <w:spacing w:before="36" w:line="240" w:lineRule="exact"/>
        <w:ind w:left="2601"/>
        <w:textAlignment w:val="auto"/>
        <w:rPr>
          <w:rFonts w:ascii="宋体" w:hAnsi="宋体" w:cs="仿宋"/>
          <w:color w:val="auto"/>
          <w:sz w:val="24"/>
          <w:szCs w:val="24"/>
          <w:highlight w:val="none"/>
        </w:rPr>
      </w:pPr>
      <w:r>
        <w:rPr>
          <w:rFonts w:hint="eastAsia" w:ascii="宋体" w:hAnsi="宋体" w:cs="仿宋"/>
          <w:color w:val="auto"/>
          <w:sz w:val="24"/>
          <w:szCs w:val="24"/>
          <w:highlight w:val="none"/>
        </w:rPr>
        <w:t>供应商：</w:t>
      </w:r>
      <w:r>
        <w:rPr>
          <w:rFonts w:hint="eastAsia" w:ascii="宋体" w:hAnsi="宋体" w:cs="仿宋"/>
          <w:color w:val="auto"/>
          <w:spacing w:val="-2"/>
          <w:sz w:val="24"/>
          <w:szCs w:val="24"/>
          <w:highlight w:val="none"/>
          <w:u w:val="single"/>
        </w:rPr>
        <w:t xml:space="preserve">       </w:t>
      </w:r>
      <w:r>
        <w:rPr>
          <w:rFonts w:hint="eastAsia" w:cs="仿宋"/>
          <w:color w:val="auto"/>
          <w:spacing w:val="-2"/>
          <w:sz w:val="24"/>
          <w:szCs w:val="24"/>
          <w:highlight w:val="none"/>
          <w:u w:val="single"/>
          <w:lang w:val="en-US" w:eastAsia="zh-CN"/>
        </w:rPr>
        <w:t xml:space="preserve">      </w:t>
      </w:r>
      <w:r>
        <w:rPr>
          <w:rFonts w:hint="eastAsia" w:ascii="宋体" w:hAnsi="宋体" w:cs="仿宋"/>
          <w:color w:val="auto"/>
          <w:sz w:val="24"/>
          <w:szCs w:val="24"/>
          <w:highlight w:val="none"/>
        </w:rPr>
        <w:t>（</w:t>
      </w:r>
      <w:r>
        <w:rPr>
          <w:rFonts w:hint="eastAsia" w:ascii="宋体" w:hAnsi="宋体" w:eastAsia="宋体" w:cs="宋体"/>
          <w:color w:val="auto"/>
          <w:sz w:val="24"/>
          <w:szCs w:val="24"/>
          <w:lang w:val="en-US" w:eastAsia="zh-CN" w:bidi="ar-SA"/>
        </w:rPr>
        <w:t>企业电子签章</w:t>
      </w:r>
      <w:r>
        <w:rPr>
          <w:rFonts w:hint="eastAsia" w:ascii="宋体" w:hAnsi="宋体" w:cs="仿宋"/>
          <w:color w:val="auto"/>
          <w:sz w:val="24"/>
          <w:szCs w:val="24"/>
          <w:highlight w:val="none"/>
        </w:rPr>
        <w:t>）</w:t>
      </w:r>
    </w:p>
    <w:p w14:paraId="351B8992">
      <w:pPr>
        <w:keepNext w:val="0"/>
        <w:keepLines w:val="0"/>
        <w:pageBreakBefore w:val="0"/>
        <w:widowControl w:val="0"/>
        <w:kinsoku/>
        <w:wordWrap/>
        <w:overflowPunct/>
        <w:topLinePunct w:val="0"/>
        <w:autoSpaceDE/>
        <w:autoSpaceDN/>
        <w:bidi w:val="0"/>
        <w:adjustRightInd/>
        <w:snapToGrid/>
        <w:spacing w:before="13" w:line="240" w:lineRule="exact"/>
        <w:textAlignment w:val="auto"/>
        <w:rPr>
          <w:rFonts w:ascii="宋体" w:hAnsi="宋体" w:cs="仿宋"/>
          <w:color w:val="auto"/>
          <w:sz w:val="24"/>
          <w:szCs w:val="24"/>
          <w:highlight w:val="none"/>
        </w:rPr>
      </w:pPr>
    </w:p>
    <w:p w14:paraId="33BBDF0A">
      <w:pPr>
        <w:pStyle w:val="8"/>
        <w:keepNext w:val="0"/>
        <w:keepLines w:val="0"/>
        <w:pageBreakBefore w:val="0"/>
        <w:widowControl w:val="0"/>
        <w:tabs>
          <w:tab w:val="left" w:pos="7641"/>
        </w:tabs>
        <w:kinsoku/>
        <w:wordWrap/>
        <w:overflowPunct/>
        <w:topLinePunct w:val="0"/>
        <w:autoSpaceDE/>
        <w:autoSpaceDN/>
        <w:bidi w:val="0"/>
        <w:adjustRightInd/>
        <w:snapToGrid/>
        <w:spacing w:before="36" w:line="240" w:lineRule="exact"/>
        <w:ind w:left="2601"/>
        <w:textAlignment w:val="auto"/>
        <w:rPr>
          <w:rFonts w:ascii="宋体" w:hAnsi="宋体" w:cs="仿宋"/>
          <w:color w:val="auto"/>
          <w:sz w:val="24"/>
          <w:szCs w:val="24"/>
          <w:highlight w:val="none"/>
        </w:rPr>
      </w:pPr>
      <w:r>
        <w:rPr>
          <w:rFonts w:hint="eastAsia" w:ascii="宋体" w:hAnsi="宋体" w:cs="仿宋"/>
          <w:color w:val="auto"/>
          <w:sz w:val="24"/>
          <w:szCs w:val="24"/>
          <w:highlight w:val="none"/>
        </w:rPr>
        <w:t>法定代表人或其委托代理人</w:t>
      </w:r>
      <w:r>
        <w:rPr>
          <w:rFonts w:hint="eastAsia" w:ascii="宋体" w:hAnsi="宋体" w:cs="仿宋"/>
          <w:color w:val="auto"/>
          <w:spacing w:val="-2"/>
          <w:sz w:val="24"/>
          <w:szCs w:val="24"/>
          <w:highlight w:val="none"/>
        </w:rPr>
        <w:t>：</w:t>
      </w:r>
      <w:r>
        <w:rPr>
          <w:rFonts w:hint="eastAsia" w:ascii="宋体" w:hAnsi="宋体" w:cs="仿宋"/>
          <w:color w:val="auto"/>
          <w:spacing w:val="-2"/>
          <w:sz w:val="24"/>
          <w:szCs w:val="24"/>
          <w:highlight w:val="none"/>
          <w:u w:val="single"/>
        </w:rPr>
        <w:t xml:space="preserve">                 </w:t>
      </w:r>
      <w:r>
        <w:rPr>
          <w:rFonts w:hint="eastAsia" w:ascii="宋体" w:hAnsi="宋体" w:cs="仿宋"/>
          <w:color w:val="auto"/>
          <w:spacing w:val="-1"/>
          <w:sz w:val="24"/>
          <w:szCs w:val="24"/>
          <w:highlight w:val="none"/>
        </w:rPr>
        <w:t>（</w:t>
      </w:r>
      <w:r>
        <w:rPr>
          <w:rFonts w:hint="eastAsia" w:cs="仿宋"/>
          <w:color w:val="auto"/>
          <w:sz w:val="24"/>
          <w:szCs w:val="24"/>
          <w:highlight w:val="none"/>
          <w:lang w:val="en-US" w:eastAsia="zh-CN"/>
        </w:rPr>
        <w:t>电子</w:t>
      </w:r>
      <w:r>
        <w:rPr>
          <w:rFonts w:hint="eastAsia" w:cs="仿宋"/>
          <w:color w:val="auto"/>
          <w:sz w:val="24"/>
          <w:szCs w:val="24"/>
          <w:highlight w:val="none"/>
          <w:lang w:eastAsia="zh-CN"/>
        </w:rPr>
        <w:t>签章</w:t>
      </w:r>
      <w:r>
        <w:rPr>
          <w:rFonts w:hint="eastAsia" w:ascii="宋体" w:hAnsi="宋体" w:cs="仿宋"/>
          <w:color w:val="auto"/>
          <w:spacing w:val="-1"/>
          <w:sz w:val="24"/>
          <w:szCs w:val="24"/>
          <w:highlight w:val="none"/>
        </w:rPr>
        <w:t>）</w:t>
      </w:r>
    </w:p>
    <w:p w14:paraId="00AAF114">
      <w:pPr>
        <w:keepNext w:val="0"/>
        <w:keepLines w:val="0"/>
        <w:pageBreakBefore w:val="0"/>
        <w:widowControl w:val="0"/>
        <w:kinsoku/>
        <w:wordWrap/>
        <w:overflowPunct/>
        <w:topLinePunct w:val="0"/>
        <w:autoSpaceDE/>
        <w:autoSpaceDN/>
        <w:bidi w:val="0"/>
        <w:adjustRightInd/>
        <w:snapToGrid/>
        <w:spacing w:before="10" w:line="240" w:lineRule="exact"/>
        <w:textAlignment w:val="auto"/>
        <w:rPr>
          <w:rFonts w:ascii="宋体" w:hAnsi="宋体" w:cs="仿宋"/>
          <w:color w:val="auto"/>
          <w:sz w:val="24"/>
          <w:szCs w:val="24"/>
          <w:highlight w:val="none"/>
        </w:rPr>
      </w:pPr>
    </w:p>
    <w:p w14:paraId="79437A87">
      <w:pPr>
        <w:pStyle w:val="8"/>
        <w:keepNext w:val="0"/>
        <w:keepLines w:val="0"/>
        <w:pageBreakBefore w:val="0"/>
        <w:widowControl w:val="0"/>
        <w:tabs>
          <w:tab w:val="left" w:pos="3232"/>
          <w:tab w:val="left" w:pos="8529"/>
        </w:tabs>
        <w:kinsoku/>
        <w:wordWrap/>
        <w:overflowPunct/>
        <w:topLinePunct w:val="0"/>
        <w:autoSpaceDE/>
        <w:autoSpaceDN/>
        <w:bidi w:val="0"/>
        <w:adjustRightInd/>
        <w:snapToGrid/>
        <w:spacing w:before="36" w:line="240" w:lineRule="exact"/>
        <w:ind w:left="2601"/>
        <w:textAlignment w:val="auto"/>
        <w:rPr>
          <w:rFonts w:ascii="宋体" w:hAnsi="宋体" w:cs="仿宋"/>
          <w:color w:val="auto"/>
          <w:sz w:val="24"/>
          <w:szCs w:val="24"/>
          <w:highlight w:val="none"/>
        </w:rPr>
      </w:pPr>
      <w:r>
        <w:rPr>
          <w:rFonts w:hint="eastAsia" w:ascii="宋体" w:hAnsi="宋体" w:cs="仿宋"/>
          <w:color w:val="auto"/>
          <w:sz w:val="24"/>
          <w:szCs w:val="24"/>
          <w:highlight w:val="none"/>
        </w:rPr>
        <w:t>地</w:t>
      </w:r>
      <w:r>
        <w:rPr>
          <w:rFonts w:hint="eastAsia" w:ascii="宋体" w:hAnsi="宋体" w:cs="仿宋"/>
          <w:color w:val="auto"/>
          <w:sz w:val="24"/>
          <w:szCs w:val="24"/>
          <w:highlight w:val="none"/>
        </w:rPr>
        <w:tab/>
      </w:r>
      <w:r>
        <w:rPr>
          <w:rFonts w:hint="eastAsia" w:ascii="宋体" w:hAnsi="宋体" w:cs="仿宋"/>
          <w:color w:val="auto"/>
          <w:sz w:val="24"/>
          <w:szCs w:val="24"/>
          <w:highlight w:val="none"/>
        </w:rPr>
        <w:t>址：</w:t>
      </w:r>
      <w:r>
        <w:rPr>
          <w:rFonts w:hint="eastAsia" w:ascii="宋体" w:hAnsi="宋体" w:cs="仿宋"/>
          <w:color w:val="auto"/>
          <w:sz w:val="24"/>
          <w:szCs w:val="24"/>
          <w:highlight w:val="none"/>
          <w:u w:val="single" w:color="000000"/>
        </w:rPr>
        <w:tab/>
      </w:r>
    </w:p>
    <w:p w14:paraId="3BCBDA6C">
      <w:pPr>
        <w:keepNext w:val="0"/>
        <w:keepLines w:val="0"/>
        <w:pageBreakBefore w:val="0"/>
        <w:widowControl w:val="0"/>
        <w:kinsoku/>
        <w:wordWrap/>
        <w:overflowPunct/>
        <w:topLinePunct w:val="0"/>
        <w:autoSpaceDE/>
        <w:autoSpaceDN/>
        <w:bidi w:val="0"/>
        <w:adjustRightInd/>
        <w:snapToGrid/>
        <w:spacing w:before="4" w:line="240" w:lineRule="exact"/>
        <w:textAlignment w:val="auto"/>
        <w:rPr>
          <w:rFonts w:ascii="宋体" w:hAnsi="宋体" w:cs="仿宋"/>
          <w:color w:val="auto"/>
          <w:sz w:val="24"/>
          <w:szCs w:val="24"/>
          <w:highlight w:val="none"/>
        </w:rPr>
      </w:pPr>
    </w:p>
    <w:p w14:paraId="432AE69E">
      <w:pPr>
        <w:pStyle w:val="8"/>
        <w:keepNext w:val="0"/>
        <w:keepLines w:val="0"/>
        <w:pageBreakBefore w:val="0"/>
        <w:widowControl w:val="0"/>
        <w:tabs>
          <w:tab w:val="left" w:pos="3232"/>
          <w:tab w:val="left" w:pos="8529"/>
        </w:tabs>
        <w:kinsoku/>
        <w:wordWrap/>
        <w:overflowPunct/>
        <w:topLinePunct w:val="0"/>
        <w:autoSpaceDE/>
        <w:autoSpaceDN/>
        <w:bidi w:val="0"/>
        <w:adjustRightInd/>
        <w:snapToGrid/>
        <w:spacing w:before="36" w:line="240" w:lineRule="exact"/>
        <w:ind w:left="2601"/>
        <w:textAlignment w:val="auto"/>
        <w:rPr>
          <w:rFonts w:ascii="宋体" w:hAnsi="宋体" w:cs="仿宋"/>
          <w:color w:val="auto"/>
          <w:sz w:val="24"/>
          <w:szCs w:val="24"/>
          <w:highlight w:val="none"/>
        </w:rPr>
      </w:pPr>
      <w:r>
        <w:rPr>
          <w:rFonts w:hint="eastAsia" w:ascii="宋体" w:hAnsi="宋体" w:cs="仿宋"/>
          <w:color w:val="auto"/>
          <w:sz w:val="24"/>
          <w:szCs w:val="24"/>
          <w:highlight w:val="none"/>
        </w:rPr>
        <w:t>电</w:t>
      </w:r>
      <w:r>
        <w:rPr>
          <w:rFonts w:hint="eastAsia" w:ascii="宋体" w:hAnsi="宋体" w:cs="仿宋"/>
          <w:color w:val="auto"/>
          <w:sz w:val="24"/>
          <w:szCs w:val="24"/>
          <w:highlight w:val="none"/>
        </w:rPr>
        <w:tab/>
      </w:r>
      <w:r>
        <w:rPr>
          <w:rFonts w:hint="eastAsia" w:ascii="宋体" w:hAnsi="宋体" w:cs="仿宋"/>
          <w:color w:val="auto"/>
          <w:sz w:val="24"/>
          <w:szCs w:val="24"/>
          <w:highlight w:val="none"/>
        </w:rPr>
        <w:t>话：</w:t>
      </w:r>
      <w:r>
        <w:rPr>
          <w:rFonts w:hint="eastAsia" w:ascii="宋体" w:hAnsi="宋体" w:cs="仿宋"/>
          <w:color w:val="auto"/>
          <w:sz w:val="24"/>
          <w:szCs w:val="24"/>
          <w:highlight w:val="none"/>
          <w:u w:val="single" w:color="000000"/>
        </w:rPr>
        <w:tab/>
      </w:r>
    </w:p>
    <w:p w14:paraId="73F60B35">
      <w:pPr>
        <w:keepNext w:val="0"/>
        <w:keepLines w:val="0"/>
        <w:pageBreakBefore w:val="0"/>
        <w:widowControl w:val="0"/>
        <w:kinsoku/>
        <w:wordWrap/>
        <w:overflowPunct/>
        <w:topLinePunct w:val="0"/>
        <w:autoSpaceDE/>
        <w:autoSpaceDN/>
        <w:bidi w:val="0"/>
        <w:adjustRightInd/>
        <w:snapToGrid/>
        <w:spacing w:before="2" w:line="240" w:lineRule="exact"/>
        <w:textAlignment w:val="auto"/>
        <w:rPr>
          <w:rFonts w:ascii="宋体" w:hAnsi="宋体" w:cs="仿宋"/>
          <w:color w:val="auto"/>
          <w:sz w:val="24"/>
          <w:szCs w:val="24"/>
          <w:highlight w:val="none"/>
        </w:rPr>
      </w:pPr>
    </w:p>
    <w:p w14:paraId="13F2D914">
      <w:pPr>
        <w:pStyle w:val="8"/>
        <w:keepNext w:val="0"/>
        <w:keepLines w:val="0"/>
        <w:pageBreakBefore w:val="0"/>
        <w:widowControl w:val="0"/>
        <w:tabs>
          <w:tab w:val="left" w:pos="8529"/>
        </w:tabs>
        <w:kinsoku/>
        <w:wordWrap/>
        <w:overflowPunct/>
        <w:topLinePunct w:val="0"/>
        <w:autoSpaceDE/>
        <w:autoSpaceDN/>
        <w:bidi w:val="0"/>
        <w:adjustRightInd/>
        <w:snapToGrid/>
        <w:spacing w:before="36" w:line="240" w:lineRule="exact"/>
        <w:ind w:left="2601"/>
        <w:textAlignment w:val="auto"/>
        <w:rPr>
          <w:rFonts w:ascii="宋体" w:hAnsi="宋体" w:cs="仿宋"/>
          <w:color w:val="auto"/>
          <w:sz w:val="24"/>
          <w:szCs w:val="24"/>
          <w:highlight w:val="none"/>
        </w:rPr>
      </w:pPr>
      <w:r>
        <w:rPr>
          <w:rFonts w:hint="eastAsia" w:ascii="宋体" w:hAnsi="宋体" w:cs="仿宋"/>
          <w:color w:val="auto"/>
          <w:sz w:val="24"/>
          <w:szCs w:val="24"/>
          <w:highlight w:val="none"/>
        </w:rPr>
        <w:t>邮政编码：</w:t>
      </w:r>
      <w:r>
        <w:rPr>
          <w:rFonts w:hint="eastAsia" w:ascii="宋体" w:hAnsi="宋体" w:cs="仿宋"/>
          <w:color w:val="auto"/>
          <w:sz w:val="24"/>
          <w:szCs w:val="24"/>
          <w:highlight w:val="none"/>
          <w:u w:val="single" w:color="000000"/>
        </w:rPr>
        <w:tab/>
      </w:r>
    </w:p>
    <w:p w14:paraId="0A32643D">
      <w:pPr>
        <w:spacing w:before="4"/>
        <w:rPr>
          <w:rFonts w:ascii="宋体" w:hAnsi="宋体" w:cs="仿宋"/>
          <w:color w:val="auto"/>
          <w:sz w:val="24"/>
          <w:szCs w:val="24"/>
          <w:highlight w:val="none"/>
        </w:rPr>
      </w:pPr>
    </w:p>
    <w:p w14:paraId="2709B327">
      <w:pPr>
        <w:pStyle w:val="8"/>
        <w:tabs>
          <w:tab w:val="left" w:pos="631"/>
          <w:tab w:val="left" w:pos="1471"/>
          <w:tab w:val="left" w:pos="2311"/>
        </w:tabs>
        <w:spacing w:before="36"/>
        <w:ind w:right="117"/>
        <w:jc w:val="right"/>
        <w:rPr>
          <w:rFonts w:ascii="宋体" w:hAnsi="宋体" w:cs="仿宋"/>
          <w:color w:val="auto"/>
          <w:sz w:val="24"/>
          <w:szCs w:val="24"/>
          <w:highlight w:val="none"/>
        </w:rPr>
      </w:pPr>
      <w:r>
        <w:rPr>
          <w:rFonts w:hint="eastAsia" w:ascii="宋体" w:hAnsi="宋体" w:cs="仿宋"/>
          <w:color w:val="auto"/>
          <w:sz w:val="24"/>
          <w:szCs w:val="24"/>
          <w:highlight w:val="none"/>
          <w:u w:val="single" w:color="000000"/>
        </w:rPr>
        <w:tab/>
      </w:r>
      <w:r>
        <w:rPr>
          <w:rFonts w:hint="eastAsia" w:ascii="宋体" w:hAnsi="宋体" w:cs="仿宋"/>
          <w:color w:val="auto"/>
          <w:sz w:val="24"/>
          <w:szCs w:val="24"/>
          <w:highlight w:val="none"/>
        </w:rPr>
        <w:t>年</w:t>
      </w:r>
      <w:r>
        <w:rPr>
          <w:rFonts w:hint="eastAsia" w:ascii="宋体" w:hAnsi="宋体" w:cs="仿宋"/>
          <w:color w:val="auto"/>
          <w:sz w:val="24"/>
          <w:szCs w:val="24"/>
          <w:highlight w:val="none"/>
          <w:u w:val="single" w:color="000000"/>
        </w:rPr>
        <w:tab/>
      </w:r>
      <w:r>
        <w:rPr>
          <w:rFonts w:hint="eastAsia" w:ascii="宋体" w:hAnsi="宋体" w:cs="仿宋"/>
          <w:color w:val="auto"/>
          <w:sz w:val="24"/>
          <w:szCs w:val="24"/>
          <w:highlight w:val="none"/>
        </w:rPr>
        <w:t>月</w:t>
      </w:r>
      <w:r>
        <w:rPr>
          <w:rFonts w:hint="eastAsia" w:ascii="宋体" w:hAnsi="宋体" w:cs="仿宋"/>
          <w:color w:val="auto"/>
          <w:sz w:val="24"/>
          <w:szCs w:val="24"/>
          <w:highlight w:val="none"/>
          <w:u w:val="single" w:color="000000"/>
        </w:rPr>
        <w:tab/>
      </w:r>
      <w:r>
        <w:rPr>
          <w:rFonts w:hint="eastAsia" w:ascii="宋体" w:hAnsi="宋体" w:cs="仿宋"/>
          <w:color w:val="auto"/>
          <w:sz w:val="24"/>
          <w:szCs w:val="24"/>
          <w:highlight w:val="none"/>
        </w:rPr>
        <w:t>日</w:t>
      </w:r>
    </w:p>
    <w:p w14:paraId="1288AF01">
      <w:pPr>
        <w:jc w:val="right"/>
        <w:rPr>
          <w:rFonts w:ascii="宋体" w:hAnsi="宋体" w:cs="仿宋"/>
          <w:color w:val="auto"/>
          <w:sz w:val="22"/>
          <w:szCs w:val="22"/>
          <w:highlight w:val="none"/>
        </w:rPr>
        <w:sectPr>
          <w:footerReference r:id="rId8" w:type="default"/>
          <w:pgSz w:w="12240" w:h="15840"/>
          <w:pgMar w:top="1500" w:right="1680" w:bottom="1120" w:left="1060" w:header="737" w:footer="921" w:gutter="0"/>
          <w:pgNumType w:fmt="decimal"/>
          <w:cols w:space="720" w:num="1"/>
        </w:sectPr>
      </w:pPr>
    </w:p>
    <w:p w14:paraId="6BF0C4B9">
      <w:pPr>
        <w:spacing w:before="4"/>
        <w:rPr>
          <w:rFonts w:ascii="宋体" w:hAnsi="宋体" w:cs="仿宋"/>
          <w:color w:val="auto"/>
          <w:sz w:val="28"/>
          <w:szCs w:val="28"/>
          <w:highlight w:val="none"/>
        </w:rPr>
      </w:pPr>
    </w:p>
    <w:p w14:paraId="1A0588CF">
      <w:pPr>
        <w:pStyle w:val="25"/>
        <w:spacing w:line="600" w:lineRule="exact"/>
        <w:ind w:firstLine="652" w:firstLineChars="233"/>
        <w:rPr>
          <w:rFonts w:hint="eastAsia"/>
          <w:sz w:val="28"/>
          <w:szCs w:val="20"/>
        </w:rPr>
      </w:pPr>
      <w:bookmarkStart w:id="91" w:name="_Toc403418420"/>
      <w:bookmarkStart w:id="92" w:name="_Toc216842529"/>
      <w:bookmarkStart w:id="93" w:name="_Toc403418354"/>
      <w:bookmarkStart w:id="94" w:name="_Toc25194"/>
      <w:bookmarkStart w:id="95" w:name="_Toc20293"/>
      <w:bookmarkStart w:id="96" w:name="_Toc14822"/>
      <w:bookmarkStart w:id="97" w:name="_Toc13604_WPSOffice_Level2"/>
      <w:r>
        <w:rPr>
          <w:rFonts w:hint="eastAsia"/>
          <w:sz w:val="28"/>
          <w:szCs w:val="20"/>
        </w:rPr>
        <w:t>（二）</w:t>
      </w:r>
      <w:bookmarkEnd w:id="91"/>
      <w:bookmarkEnd w:id="92"/>
      <w:bookmarkEnd w:id="93"/>
      <w:r>
        <w:rPr>
          <w:rFonts w:hint="eastAsia"/>
          <w:sz w:val="28"/>
          <w:szCs w:val="20"/>
        </w:rPr>
        <w:t>磋商函附录</w:t>
      </w:r>
      <w:bookmarkEnd w:id="94"/>
      <w:bookmarkEnd w:id="95"/>
      <w:bookmarkEnd w:id="96"/>
      <w:bookmarkEnd w:id="97"/>
    </w:p>
    <w:p w14:paraId="40F6A226">
      <w:pPr>
        <w:pStyle w:val="17"/>
        <w:jc w:val="center"/>
        <w:rPr>
          <w:rFonts w:ascii="宋体" w:hAnsi="宋体" w:cs="宋体"/>
          <w:sz w:val="28"/>
          <w:szCs w:val="20"/>
          <w:lang w:val="en-US" w:bidi="zh-CN"/>
        </w:rPr>
      </w:pPr>
      <w:r>
        <w:rPr>
          <w:rFonts w:hint="eastAsia" w:ascii="宋体" w:hAnsi="宋体" w:cs="宋体"/>
          <w:sz w:val="28"/>
          <w:szCs w:val="20"/>
          <w:lang w:val="en-US" w:bidi="zh-CN"/>
        </w:rPr>
        <w:t>1.磋商函附录（一次报价）</w:t>
      </w:r>
    </w:p>
    <w:p w14:paraId="02ABC18F">
      <w:pPr>
        <w:pStyle w:val="4"/>
        <w:numPr>
          <w:ilvl w:val="0"/>
          <w:numId w:val="0"/>
        </w:numPr>
        <w:ind w:leftChars="200"/>
        <w:jc w:val="center"/>
        <w:rPr>
          <w:rFonts w:hint="eastAsia" w:cs="仿宋"/>
          <w:b/>
          <w:bCs/>
          <w:color w:val="auto"/>
          <w:spacing w:val="-1"/>
          <w:sz w:val="21"/>
          <w:szCs w:val="21"/>
          <w:highlight w:val="none"/>
          <w:lang w:val="en-US" w:eastAsia="zh-CN"/>
        </w:rPr>
      </w:pPr>
    </w:p>
    <w:tbl>
      <w:tblPr>
        <w:tblStyle w:val="19"/>
        <w:tblpPr w:leftFromText="180" w:rightFromText="180" w:vertAnchor="text" w:horzAnchor="page" w:tblpX="1789" w:tblpY="145"/>
        <w:tblOverlap w:val="never"/>
        <w:tblW w:w="9288" w:type="dxa"/>
        <w:tblInd w:w="0" w:type="dxa"/>
        <w:tblLayout w:type="fixed"/>
        <w:tblCellMar>
          <w:top w:w="0" w:type="dxa"/>
          <w:left w:w="0" w:type="dxa"/>
          <w:bottom w:w="0" w:type="dxa"/>
          <w:right w:w="0" w:type="dxa"/>
        </w:tblCellMar>
      </w:tblPr>
      <w:tblGrid>
        <w:gridCol w:w="2628"/>
        <w:gridCol w:w="4255"/>
        <w:gridCol w:w="1168"/>
        <w:gridCol w:w="1237"/>
      </w:tblGrid>
      <w:tr w14:paraId="55181609">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noWrap w:val="0"/>
            <w:vAlign w:val="top"/>
          </w:tcPr>
          <w:p w14:paraId="3437BEB9">
            <w:pPr>
              <w:pStyle w:val="27"/>
              <w:spacing w:before="137"/>
              <w:jc w:val="center"/>
              <w:rPr>
                <w:rFonts w:ascii="宋体" w:hAnsi="宋体" w:eastAsia="宋体" w:cs="仿宋"/>
                <w:color w:val="auto"/>
                <w:sz w:val="22"/>
                <w:szCs w:val="22"/>
                <w:highlight w:val="none"/>
              </w:rPr>
            </w:pPr>
            <w:r>
              <w:rPr>
                <w:rFonts w:hint="eastAsia" w:ascii="宋体" w:hAnsi="宋体" w:eastAsia="宋体" w:cs="仿宋"/>
                <w:color w:val="auto"/>
                <w:sz w:val="22"/>
                <w:szCs w:val="22"/>
                <w:highlight w:val="none"/>
              </w:rPr>
              <w:t>项目名称</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top"/>
          </w:tcPr>
          <w:p w14:paraId="6D4918FC">
            <w:pPr>
              <w:rPr>
                <w:rFonts w:ascii="宋体" w:hAnsi="宋体" w:cs="仿宋"/>
                <w:color w:val="auto"/>
                <w:sz w:val="22"/>
                <w:szCs w:val="22"/>
                <w:highlight w:val="none"/>
              </w:rPr>
            </w:pPr>
          </w:p>
        </w:tc>
      </w:tr>
      <w:tr w14:paraId="05238881">
        <w:tblPrEx>
          <w:tblCellMar>
            <w:top w:w="0" w:type="dxa"/>
            <w:left w:w="0" w:type="dxa"/>
            <w:bottom w:w="0" w:type="dxa"/>
            <w:right w:w="0" w:type="dxa"/>
          </w:tblCellMar>
        </w:tblPrEx>
        <w:trPr>
          <w:trHeight w:val="777" w:hRule="exact"/>
        </w:trPr>
        <w:tc>
          <w:tcPr>
            <w:tcW w:w="2628" w:type="dxa"/>
            <w:tcBorders>
              <w:top w:val="single" w:color="000000" w:sz="4" w:space="0"/>
              <w:left w:val="single" w:color="000000" w:sz="4" w:space="0"/>
              <w:bottom w:val="single" w:color="000000" w:sz="4" w:space="0"/>
              <w:right w:val="single" w:color="000000" w:sz="4" w:space="0"/>
            </w:tcBorders>
            <w:noWrap w:val="0"/>
            <w:vAlign w:val="top"/>
          </w:tcPr>
          <w:p w14:paraId="7C0BBF5F">
            <w:pPr>
              <w:pStyle w:val="27"/>
              <w:spacing w:before="136"/>
              <w:jc w:val="center"/>
              <w:rPr>
                <w:rFonts w:hint="default" w:ascii="宋体" w:hAnsi="宋体" w:eastAsia="宋体" w:cs="仿宋"/>
                <w:color w:val="auto"/>
                <w:sz w:val="22"/>
                <w:szCs w:val="22"/>
                <w:highlight w:val="none"/>
                <w:lang w:val="en-US" w:eastAsia="zh-CN"/>
              </w:rPr>
            </w:pPr>
            <w:r>
              <w:rPr>
                <w:rFonts w:hint="eastAsia" w:ascii="宋体" w:hAnsi="宋体" w:eastAsia="宋体" w:cs="仿宋"/>
                <w:color w:val="auto"/>
                <w:sz w:val="22"/>
                <w:szCs w:val="22"/>
                <w:highlight w:val="none"/>
                <w:lang w:eastAsia="zh-CN"/>
              </w:rPr>
              <w:t>供应商</w:t>
            </w:r>
            <w:r>
              <w:rPr>
                <w:rFonts w:hint="eastAsia" w:ascii="宋体" w:hAnsi="宋体" w:eastAsia="宋体" w:cs="仿宋"/>
                <w:color w:val="auto"/>
                <w:sz w:val="22"/>
                <w:szCs w:val="22"/>
                <w:highlight w:val="none"/>
              </w:rPr>
              <w:t>名称</w:t>
            </w:r>
            <w:r>
              <w:rPr>
                <w:rFonts w:hint="eastAsia" w:ascii="宋体" w:hAnsi="宋体" w:eastAsia="宋体" w:cs="仿宋"/>
                <w:color w:val="auto"/>
                <w:sz w:val="22"/>
                <w:szCs w:val="22"/>
                <w:highlight w:val="none"/>
                <w:lang w:val="en-US" w:eastAsia="zh-CN"/>
              </w:rPr>
              <w:t>及统一社会信用代码</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top"/>
          </w:tcPr>
          <w:p w14:paraId="4692CE80">
            <w:pPr>
              <w:rPr>
                <w:rFonts w:ascii="宋体" w:hAnsi="宋体" w:cs="仿宋"/>
                <w:color w:val="auto"/>
                <w:sz w:val="22"/>
                <w:szCs w:val="22"/>
                <w:highlight w:val="none"/>
              </w:rPr>
            </w:pPr>
          </w:p>
        </w:tc>
      </w:tr>
      <w:tr w14:paraId="4939B469">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noWrap w:val="0"/>
            <w:vAlign w:val="top"/>
          </w:tcPr>
          <w:p w14:paraId="221ED61F">
            <w:pPr>
              <w:pStyle w:val="27"/>
              <w:spacing w:before="136"/>
              <w:jc w:val="center"/>
              <w:rPr>
                <w:rFonts w:hint="default" w:ascii="宋体" w:hAnsi="宋体" w:eastAsia="宋体" w:cs="仿宋"/>
                <w:color w:val="auto"/>
                <w:sz w:val="22"/>
                <w:szCs w:val="22"/>
                <w:highlight w:val="none"/>
                <w:lang w:val="en-US"/>
              </w:rPr>
            </w:pPr>
            <w:r>
              <w:rPr>
                <w:rFonts w:hint="eastAsia" w:ascii="宋体" w:hAnsi="宋体" w:eastAsia="宋体" w:cs="仿宋"/>
                <w:color w:val="auto"/>
                <w:sz w:val="22"/>
                <w:szCs w:val="22"/>
                <w:highlight w:val="none"/>
                <w:lang w:eastAsia="zh-CN"/>
              </w:rPr>
              <w:t>供应商</w:t>
            </w:r>
            <w:r>
              <w:rPr>
                <w:rFonts w:hint="eastAsia" w:ascii="宋体" w:hAnsi="宋体" w:eastAsia="宋体" w:cs="仿宋"/>
                <w:color w:val="auto"/>
                <w:sz w:val="22"/>
                <w:szCs w:val="22"/>
                <w:highlight w:val="none"/>
                <w:lang w:val="en-US" w:eastAsia="zh-CN"/>
              </w:rPr>
              <w:t>地址</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top"/>
          </w:tcPr>
          <w:p w14:paraId="626ECCD6">
            <w:pPr>
              <w:rPr>
                <w:rFonts w:ascii="宋体" w:hAnsi="宋体" w:cs="仿宋"/>
                <w:color w:val="auto"/>
                <w:sz w:val="22"/>
                <w:szCs w:val="22"/>
                <w:highlight w:val="none"/>
              </w:rPr>
            </w:pPr>
          </w:p>
        </w:tc>
      </w:tr>
      <w:tr w14:paraId="373CBB97">
        <w:tblPrEx>
          <w:tblCellMar>
            <w:top w:w="0" w:type="dxa"/>
            <w:left w:w="0" w:type="dxa"/>
            <w:bottom w:w="0" w:type="dxa"/>
            <w:right w:w="0" w:type="dxa"/>
          </w:tblCellMar>
        </w:tblPrEx>
        <w:trPr>
          <w:trHeight w:val="682" w:hRule="exact"/>
        </w:trPr>
        <w:tc>
          <w:tcPr>
            <w:tcW w:w="2628" w:type="dxa"/>
            <w:tcBorders>
              <w:top w:val="single" w:color="000000" w:sz="4" w:space="0"/>
              <w:left w:val="single" w:color="000000" w:sz="4" w:space="0"/>
              <w:bottom w:val="single" w:color="000000" w:sz="4" w:space="0"/>
              <w:right w:val="single" w:color="000000" w:sz="4" w:space="0"/>
            </w:tcBorders>
            <w:noWrap w:val="0"/>
            <w:vAlign w:val="top"/>
          </w:tcPr>
          <w:p w14:paraId="0E7E0FF9">
            <w:pPr>
              <w:pStyle w:val="27"/>
              <w:spacing w:before="135"/>
              <w:jc w:val="center"/>
              <w:rPr>
                <w:rFonts w:hint="eastAsia" w:ascii="宋体" w:hAnsi="宋体" w:eastAsia="宋体" w:cs="仿宋"/>
                <w:color w:val="auto"/>
                <w:sz w:val="22"/>
                <w:szCs w:val="22"/>
                <w:highlight w:val="none"/>
                <w:lang w:eastAsia="zh-CN"/>
              </w:rPr>
            </w:pPr>
            <w:r>
              <w:rPr>
                <w:rFonts w:hint="eastAsia" w:ascii="宋体" w:hAnsi="宋体" w:eastAsia="宋体" w:cs="仿宋"/>
                <w:color w:val="auto"/>
                <w:sz w:val="22"/>
                <w:szCs w:val="22"/>
                <w:highlight w:val="none"/>
                <w:lang w:eastAsia="zh-CN"/>
              </w:rPr>
              <w:t>投标</w:t>
            </w:r>
            <w:r>
              <w:rPr>
                <w:rFonts w:hint="eastAsia" w:ascii="宋体" w:hAnsi="宋体" w:eastAsia="宋体" w:cs="仿宋"/>
                <w:color w:val="auto"/>
                <w:sz w:val="22"/>
                <w:szCs w:val="22"/>
                <w:highlight w:val="none"/>
              </w:rPr>
              <w:t>报价</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top"/>
          </w:tcPr>
          <w:p w14:paraId="478E8F73">
            <w:pPr>
              <w:rPr>
                <w:rFonts w:hint="eastAsia" w:cs="仿宋"/>
                <w:color w:val="auto"/>
                <w:spacing w:val="-3"/>
                <w:sz w:val="22"/>
                <w:szCs w:val="22"/>
                <w:highlight w:val="none"/>
                <w:lang w:val="en-US" w:eastAsia="zh-CN"/>
              </w:rPr>
            </w:pPr>
            <w:r>
              <w:rPr>
                <w:rFonts w:hint="eastAsia" w:cs="仿宋"/>
                <w:color w:val="auto"/>
                <w:spacing w:val="-3"/>
                <w:sz w:val="22"/>
                <w:szCs w:val="22"/>
                <w:highlight w:val="none"/>
                <w:lang w:val="en-US" w:eastAsia="zh-CN"/>
              </w:rPr>
              <w:t xml:space="preserve">大写：        </w:t>
            </w:r>
          </w:p>
          <w:p w14:paraId="6C8BAD96">
            <w:pPr>
              <w:rPr>
                <w:rFonts w:hint="default" w:ascii="宋体" w:hAnsi="宋体" w:cs="仿宋"/>
                <w:color w:val="auto"/>
                <w:sz w:val="22"/>
                <w:szCs w:val="22"/>
                <w:highlight w:val="none"/>
                <w:lang w:val="en-US"/>
              </w:rPr>
            </w:pPr>
            <w:r>
              <w:rPr>
                <w:rFonts w:hint="eastAsia" w:cs="仿宋"/>
                <w:color w:val="auto"/>
                <w:spacing w:val="-3"/>
                <w:sz w:val="22"/>
                <w:szCs w:val="22"/>
                <w:highlight w:val="none"/>
                <w:lang w:val="en-US" w:eastAsia="zh-CN"/>
              </w:rPr>
              <w:t>小写：</w:t>
            </w:r>
          </w:p>
        </w:tc>
      </w:tr>
      <w:tr w14:paraId="064DD438">
        <w:tblPrEx>
          <w:tblCellMar>
            <w:top w:w="0" w:type="dxa"/>
            <w:left w:w="0" w:type="dxa"/>
            <w:bottom w:w="0" w:type="dxa"/>
            <w:right w:w="0" w:type="dxa"/>
          </w:tblCellMar>
        </w:tblPrEx>
        <w:trPr>
          <w:trHeight w:val="970" w:hRule="exact"/>
        </w:trPr>
        <w:tc>
          <w:tcPr>
            <w:tcW w:w="2628" w:type="dxa"/>
            <w:tcBorders>
              <w:top w:val="single" w:color="000000" w:sz="4" w:space="0"/>
              <w:left w:val="single" w:color="000000" w:sz="4" w:space="0"/>
              <w:bottom w:val="single" w:color="000000" w:sz="4" w:space="0"/>
              <w:right w:val="single" w:color="000000" w:sz="4" w:space="0"/>
            </w:tcBorders>
            <w:noWrap w:val="0"/>
            <w:vAlign w:val="center"/>
          </w:tcPr>
          <w:p w14:paraId="650C82D4">
            <w:pPr>
              <w:pStyle w:val="11"/>
              <w:widowControl/>
              <w:spacing w:line="360" w:lineRule="auto"/>
              <w:jc w:val="center"/>
              <w:rPr>
                <w:rFonts w:hint="default" w:ascii="宋体" w:hAnsi="宋体" w:eastAsia="宋体" w:cs="仿宋"/>
                <w:b w:val="0"/>
                <w:bCs w:val="0"/>
                <w:color w:val="auto"/>
                <w:sz w:val="22"/>
                <w:szCs w:val="22"/>
                <w:highlight w:val="none"/>
                <w:lang w:val="en-US" w:eastAsia="zh-CN"/>
              </w:rPr>
            </w:pPr>
            <w:r>
              <w:rPr>
                <w:rFonts w:hint="eastAsia" w:hAnsi="宋体" w:eastAsia="宋体" w:cs="宋体"/>
                <w:b w:val="0"/>
                <w:bCs w:val="0"/>
                <w:color w:val="auto"/>
                <w:sz w:val="22"/>
                <w:szCs w:val="22"/>
                <w:lang w:val="en-US" w:eastAsia="zh-CN" w:bidi="ar"/>
              </w:rPr>
              <w:t>项目负责人</w:t>
            </w:r>
          </w:p>
        </w:tc>
        <w:tc>
          <w:tcPr>
            <w:tcW w:w="4255" w:type="dxa"/>
            <w:tcBorders>
              <w:top w:val="single" w:color="000000" w:sz="4" w:space="0"/>
              <w:left w:val="single" w:color="000000" w:sz="4" w:space="0"/>
              <w:bottom w:val="single" w:color="000000" w:sz="4" w:space="0"/>
              <w:right w:val="single" w:color="000000" w:sz="4" w:space="0"/>
            </w:tcBorders>
            <w:noWrap w:val="0"/>
            <w:vAlign w:val="center"/>
          </w:tcPr>
          <w:p w14:paraId="3C5325EF">
            <w:pPr>
              <w:pStyle w:val="11"/>
              <w:widowControl/>
              <w:spacing w:line="360" w:lineRule="auto"/>
              <w:jc w:val="left"/>
              <w:rPr>
                <w:rFonts w:hint="eastAsia" w:hAnsi="宋体" w:cs="宋体"/>
                <w:b w:val="0"/>
                <w:bCs w:val="0"/>
                <w:color w:val="auto"/>
                <w:sz w:val="22"/>
                <w:szCs w:val="22"/>
                <w:lang w:val="en-US" w:eastAsia="zh-CN" w:bidi="ar"/>
              </w:rPr>
            </w:pPr>
            <w:r>
              <w:rPr>
                <w:rFonts w:hint="eastAsia" w:hAnsi="宋体" w:cs="宋体"/>
                <w:b w:val="0"/>
                <w:bCs w:val="0"/>
                <w:color w:val="auto"/>
                <w:sz w:val="22"/>
                <w:szCs w:val="22"/>
                <w:lang w:val="en-US" w:eastAsia="zh-CN" w:bidi="ar"/>
              </w:rPr>
              <w:t>姓名：</w:t>
            </w:r>
          </w:p>
          <w:p w14:paraId="67BF5834">
            <w:pPr>
              <w:pStyle w:val="11"/>
              <w:widowControl/>
              <w:spacing w:line="360" w:lineRule="auto"/>
              <w:jc w:val="left"/>
              <w:rPr>
                <w:rFonts w:ascii="宋体" w:hAnsi="宋体" w:cs="仿宋"/>
                <w:color w:val="auto"/>
                <w:sz w:val="22"/>
                <w:szCs w:val="22"/>
                <w:highlight w:val="none"/>
              </w:rPr>
            </w:pPr>
            <w:r>
              <w:rPr>
                <w:rFonts w:hint="eastAsia" w:hAnsi="宋体" w:cs="宋体"/>
                <w:b w:val="0"/>
                <w:bCs w:val="0"/>
                <w:color w:val="auto"/>
                <w:sz w:val="22"/>
                <w:szCs w:val="22"/>
                <w:lang w:val="en-US" w:eastAsia="zh-CN" w:bidi="ar"/>
              </w:rPr>
              <w:t>身份证号码：</w:t>
            </w:r>
          </w:p>
        </w:tc>
        <w:tc>
          <w:tcPr>
            <w:tcW w:w="1168" w:type="dxa"/>
            <w:tcBorders>
              <w:top w:val="single" w:color="000000" w:sz="4" w:space="0"/>
              <w:left w:val="single" w:color="000000" w:sz="4" w:space="0"/>
              <w:bottom w:val="single" w:color="000000" w:sz="4" w:space="0"/>
              <w:right w:val="single" w:color="000000" w:sz="4" w:space="0"/>
            </w:tcBorders>
            <w:noWrap w:val="0"/>
            <w:vAlign w:val="center"/>
          </w:tcPr>
          <w:p w14:paraId="3CBF0839">
            <w:pPr>
              <w:pStyle w:val="11"/>
              <w:widowControl/>
              <w:spacing w:line="360" w:lineRule="auto"/>
              <w:jc w:val="left"/>
              <w:rPr>
                <w:rFonts w:hint="default" w:ascii="宋体" w:hAnsi="宋体" w:eastAsia="华文宋体" w:cs="仿宋"/>
                <w:color w:val="auto"/>
                <w:sz w:val="22"/>
                <w:szCs w:val="22"/>
                <w:highlight w:val="none"/>
                <w:lang w:val="en-US" w:eastAsia="zh-CN"/>
              </w:rPr>
            </w:pPr>
            <w:r>
              <w:rPr>
                <w:rFonts w:hint="eastAsia" w:hAnsi="宋体" w:cs="仿宋"/>
                <w:color w:val="auto"/>
                <w:sz w:val="22"/>
                <w:szCs w:val="22"/>
                <w:highlight w:val="none"/>
                <w:lang w:val="en-US" w:eastAsia="zh-CN"/>
              </w:rPr>
              <w:t>联系方式</w:t>
            </w:r>
          </w:p>
        </w:tc>
        <w:tc>
          <w:tcPr>
            <w:tcW w:w="1237" w:type="dxa"/>
            <w:tcBorders>
              <w:top w:val="single" w:color="000000" w:sz="4" w:space="0"/>
              <w:left w:val="single" w:color="000000" w:sz="4" w:space="0"/>
              <w:bottom w:val="single" w:color="000000" w:sz="4" w:space="0"/>
              <w:right w:val="single" w:color="000000" w:sz="4" w:space="0"/>
            </w:tcBorders>
            <w:noWrap w:val="0"/>
            <w:vAlign w:val="center"/>
          </w:tcPr>
          <w:p w14:paraId="7897AB79">
            <w:pPr>
              <w:pStyle w:val="11"/>
              <w:widowControl/>
              <w:spacing w:line="360" w:lineRule="auto"/>
              <w:jc w:val="left"/>
              <w:rPr>
                <w:rFonts w:ascii="宋体" w:hAnsi="宋体" w:cs="仿宋"/>
                <w:color w:val="auto"/>
                <w:sz w:val="22"/>
                <w:szCs w:val="22"/>
                <w:highlight w:val="none"/>
              </w:rPr>
            </w:pPr>
          </w:p>
        </w:tc>
      </w:tr>
      <w:tr w14:paraId="2C801600">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noWrap w:val="0"/>
            <w:vAlign w:val="top"/>
          </w:tcPr>
          <w:p w14:paraId="5D272D35">
            <w:pPr>
              <w:pStyle w:val="27"/>
              <w:spacing w:before="136"/>
              <w:jc w:val="center"/>
              <w:rPr>
                <w:rFonts w:hint="default" w:ascii="宋体" w:hAnsi="宋体" w:eastAsia="宋体" w:cs="仿宋"/>
                <w:color w:val="auto"/>
                <w:sz w:val="22"/>
                <w:szCs w:val="22"/>
                <w:highlight w:val="none"/>
                <w:lang w:val="en-US" w:eastAsia="zh-CN"/>
              </w:rPr>
            </w:pPr>
            <w:r>
              <w:rPr>
                <w:rFonts w:hint="eastAsia" w:ascii="宋体" w:hAnsi="宋体"/>
                <w:color w:val="auto"/>
                <w:kern w:val="0"/>
                <w:sz w:val="22"/>
                <w:szCs w:val="22"/>
              </w:rPr>
              <w:t>供货期限</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top"/>
          </w:tcPr>
          <w:p w14:paraId="1E8DDF3D">
            <w:pPr>
              <w:pStyle w:val="27"/>
              <w:spacing w:before="136"/>
              <w:ind w:left="710"/>
              <w:rPr>
                <w:rFonts w:ascii="宋体" w:hAnsi="宋体" w:eastAsia="宋体" w:cs="仿宋"/>
                <w:color w:val="auto"/>
                <w:sz w:val="22"/>
                <w:szCs w:val="22"/>
                <w:highlight w:val="none"/>
              </w:rPr>
            </w:pPr>
          </w:p>
        </w:tc>
      </w:tr>
      <w:tr w14:paraId="06617481">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noWrap w:val="0"/>
            <w:vAlign w:val="top"/>
          </w:tcPr>
          <w:p w14:paraId="5582E1C9">
            <w:pPr>
              <w:pStyle w:val="27"/>
              <w:spacing w:before="136"/>
              <w:jc w:val="center"/>
              <w:rPr>
                <w:rFonts w:ascii="宋体" w:hAnsi="宋体" w:eastAsia="宋体" w:cs="仿宋"/>
                <w:color w:val="auto"/>
                <w:sz w:val="22"/>
                <w:szCs w:val="22"/>
                <w:highlight w:val="none"/>
              </w:rPr>
            </w:pPr>
            <w:r>
              <w:rPr>
                <w:rFonts w:hint="eastAsia" w:ascii="宋体" w:hAnsi="宋体"/>
                <w:color w:val="auto"/>
                <w:kern w:val="0"/>
                <w:sz w:val="22"/>
                <w:szCs w:val="22"/>
              </w:rPr>
              <w:t>供货地点</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top"/>
          </w:tcPr>
          <w:p w14:paraId="78A6D7A6">
            <w:pPr>
              <w:pStyle w:val="27"/>
              <w:spacing w:before="136"/>
              <w:ind w:left="710"/>
              <w:rPr>
                <w:rFonts w:ascii="宋体" w:hAnsi="宋体" w:eastAsia="宋体" w:cs="仿宋"/>
                <w:color w:val="auto"/>
                <w:sz w:val="22"/>
                <w:szCs w:val="22"/>
                <w:highlight w:val="none"/>
              </w:rPr>
            </w:pPr>
          </w:p>
        </w:tc>
      </w:tr>
      <w:tr w14:paraId="3D11B2BA">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noWrap w:val="0"/>
            <w:vAlign w:val="top"/>
          </w:tcPr>
          <w:p w14:paraId="632DC228">
            <w:pPr>
              <w:pStyle w:val="27"/>
              <w:spacing w:before="136"/>
              <w:jc w:val="center"/>
              <w:rPr>
                <w:rFonts w:hint="eastAsia" w:ascii="宋体" w:hAnsi="宋体" w:eastAsia="宋体" w:cs="仿宋"/>
                <w:color w:val="auto"/>
                <w:sz w:val="22"/>
                <w:szCs w:val="22"/>
                <w:highlight w:val="none"/>
                <w:lang w:eastAsia="zh-CN"/>
              </w:rPr>
            </w:pPr>
            <w:r>
              <w:rPr>
                <w:rFonts w:hint="eastAsia" w:ascii="宋体" w:hAnsi="宋体" w:eastAsia="宋体" w:cs="仿宋"/>
                <w:color w:val="auto"/>
                <w:sz w:val="22"/>
                <w:szCs w:val="22"/>
                <w:highlight w:val="none"/>
                <w:lang w:eastAsia="zh-CN"/>
              </w:rPr>
              <w:t>质量要求</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top"/>
          </w:tcPr>
          <w:p w14:paraId="26101C3C">
            <w:pPr>
              <w:pStyle w:val="27"/>
              <w:spacing w:before="136"/>
              <w:ind w:left="710"/>
              <w:rPr>
                <w:rFonts w:ascii="宋体" w:hAnsi="宋体" w:eastAsia="宋体" w:cs="仿宋"/>
                <w:color w:val="auto"/>
                <w:sz w:val="22"/>
                <w:szCs w:val="22"/>
                <w:highlight w:val="none"/>
              </w:rPr>
            </w:pPr>
          </w:p>
        </w:tc>
      </w:tr>
      <w:tr w14:paraId="4FB5F39B">
        <w:tblPrEx>
          <w:tblCellMar>
            <w:top w:w="0" w:type="dxa"/>
            <w:left w:w="0" w:type="dxa"/>
            <w:bottom w:w="0" w:type="dxa"/>
            <w:right w:w="0" w:type="dxa"/>
          </w:tblCellMar>
        </w:tblPrEx>
        <w:trPr>
          <w:trHeight w:val="577" w:hRule="exact"/>
        </w:trPr>
        <w:tc>
          <w:tcPr>
            <w:tcW w:w="2628" w:type="dxa"/>
            <w:tcBorders>
              <w:top w:val="single" w:color="000000" w:sz="4" w:space="0"/>
              <w:left w:val="single" w:color="000000" w:sz="4" w:space="0"/>
              <w:bottom w:val="single" w:color="000000" w:sz="4" w:space="0"/>
              <w:right w:val="single" w:color="000000" w:sz="4" w:space="0"/>
            </w:tcBorders>
            <w:noWrap w:val="0"/>
            <w:vAlign w:val="top"/>
          </w:tcPr>
          <w:p w14:paraId="7E5536E8">
            <w:pPr>
              <w:pStyle w:val="27"/>
              <w:spacing w:before="136"/>
              <w:jc w:val="center"/>
              <w:rPr>
                <w:rFonts w:hint="eastAsia" w:ascii="宋体" w:hAnsi="宋体" w:eastAsia="宋体" w:cs="仿宋"/>
                <w:color w:val="auto"/>
                <w:sz w:val="22"/>
                <w:szCs w:val="22"/>
                <w:highlight w:val="none"/>
                <w:lang w:eastAsia="zh-CN"/>
              </w:rPr>
            </w:pPr>
            <w:r>
              <w:rPr>
                <w:rFonts w:hint="eastAsia" w:ascii="宋体" w:hAnsi="宋体"/>
                <w:color w:val="auto"/>
                <w:kern w:val="0"/>
                <w:sz w:val="22"/>
                <w:szCs w:val="22"/>
              </w:rPr>
              <w:t>投标有效期</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top"/>
          </w:tcPr>
          <w:p w14:paraId="5919C97C">
            <w:pPr>
              <w:pStyle w:val="27"/>
              <w:spacing w:before="136"/>
              <w:ind w:left="710"/>
              <w:rPr>
                <w:rFonts w:ascii="宋体" w:hAnsi="宋体" w:eastAsia="宋体" w:cs="仿宋"/>
                <w:color w:val="auto"/>
                <w:sz w:val="22"/>
                <w:szCs w:val="22"/>
                <w:highlight w:val="none"/>
              </w:rPr>
            </w:pPr>
          </w:p>
        </w:tc>
      </w:tr>
      <w:tr w14:paraId="643D7715">
        <w:tblPrEx>
          <w:tblCellMar>
            <w:top w:w="0" w:type="dxa"/>
            <w:left w:w="0" w:type="dxa"/>
            <w:bottom w:w="0" w:type="dxa"/>
            <w:right w:w="0" w:type="dxa"/>
          </w:tblCellMar>
        </w:tblPrEx>
        <w:trPr>
          <w:trHeight w:val="1182" w:hRule="exact"/>
        </w:trPr>
        <w:tc>
          <w:tcPr>
            <w:tcW w:w="2628" w:type="dxa"/>
            <w:tcBorders>
              <w:top w:val="single" w:color="000000" w:sz="4" w:space="0"/>
              <w:left w:val="single" w:color="000000" w:sz="4" w:space="0"/>
              <w:bottom w:val="single" w:color="000000" w:sz="4" w:space="0"/>
              <w:right w:val="single" w:color="000000" w:sz="4" w:space="0"/>
            </w:tcBorders>
            <w:noWrap w:val="0"/>
            <w:vAlign w:val="top"/>
          </w:tcPr>
          <w:p w14:paraId="3EADFC64">
            <w:pPr>
              <w:pStyle w:val="27"/>
              <w:rPr>
                <w:rFonts w:ascii="宋体" w:hAnsi="宋体" w:eastAsia="宋体" w:cs="仿宋"/>
                <w:b/>
                <w:bCs/>
                <w:color w:val="auto"/>
                <w:sz w:val="22"/>
                <w:szCs w:val="22"/>
                <w:highlight w:val="none"/>
              </w:rPr>
            </w:pPr>
          </w:p>
          <w:p w14:paraId="28B0A814">
            <w:pPr>
              <w:pStyle w:val="27"/>
              <w:rPr>
                <w:rFonts w:ascii="宋体" w:hAnsi="宋体" w:eastAsia="宋体" w:cs="仿宋"/>
                <w:b/>
                <w:bCs/>
                <w:color w:val="auto"/>
                <w:sz w:val="22"/>
                <w:szCs w:val="22"/>
                <w:highlight w:val="none"/>
              </w:rPr>
            </w:pPr>
          </w:p>
          <w:p w14:paraId="054009DD">
            <w:pPr>
              <w:pStyle w:val="27"/>
              <w:spacing w:before="9"/>
              <w:rPr>
                <w:rFonts w:ascii="宋体" w:hAnsi="宋体" w:eastAsia="宋体" w:cs="仿宋"/>
                <w:b/>
                <w:bCs/>
                <w:color w:val="auto"/>
                <w:sz w:val="22"/>
                <w:szCs w:val="22"/>
                <w:highlight w:val="none"/>
              </w:rPr>
            </w:pPr>
          </w:p>
          <w:p w14:paraId="45B7605D">
            <w:pPr>
              <w:pStyle w:val="27"/>
              <w:spacing w:line="338" w:lineRule="auto"/>
              <w:ind w:left="530" w:right="286" w:hanging="240"/>
              <w:jc w:val="center"/>
              <w:rPr>
                <w:rFonts w:hint="eastAsia" w:ascii="宋体" w:hAnsi="宋体" w:eastAsia="宋体" w:cs="仿宋"/>
                <w:color w:val="auto"/>
                <w:sz w:val="22"/>
                <w:szCs w:val="22"/>
                <w:highlight w:val="none"/>
                <w:lang w:eastAsia="zh-CN"/>
              </w:rPr>
            </w:pPr>
            <w:r>
              <w:rPr>
                <w:rFonts w:hint="eastAsia" w:ascii="宋体" w:hAnsi="宋体" w:eastAsia="宋体" w:cs="仿宋"/>
                <w:color w:val="auto"/>
                <w:sz w:val="22"/>
                <w:szCs w:val="22"/>
                <w:highlight w:val="none"/>
                <w:lang w:val="en-US" w:eastAsia="zh-CN"/>
              </w:rPr>
              <w:t>备注</w:t>
            </w:r>
          </w:p>
        </w:tc>
        <w:tc>
          <w:tcPr>
            <w:tcW w:w="6660" w:type="dxa"/>
            <w:gridSpan w:val="3"/>
            <w:tcBorders>
              <w:top w:val="single" w:color="000000" w:sz="4" w:space="0"/>
              <w:left w:val="single" w:color="000000" w:sz="4" w:space="0"/>
              <w:bottom w:val="single" w:color="000000" w:sz="4" w:space="0"/>
              <w:right w:val="single" w:color="000000" w:sz="4" w:space="0"/>
            </w:tcBorders>
            <w:noWrap w:val="0"/>
            <w:vAlign w:val="top"/>
          </w:tcPr>
          <w:p w14:paraId="44D169E5">
            <w:pPr>
              <w:rPr>
                <w:rFonts w:ascii="宋体" w:hAnsi="宋体" w:cs="仿宋"/>
                <w:color w:val="auto"/>
                <w:sz w:val="22"/>
                <w:szCs w:val="22"/>
                <w:highlight w:val="none"/>
              </w:rPr>
            </w:pPr>
          </w:p>
        </w:tc>
      </w:tr>
    </w:tbl>
    <w:p w14:paraId="5EE8E0EA">
      <w:pPr>
        <w:pStyle w:val="5"/>
        <w:tabs>
          <w:tab w:val="left" w:pos="8023"/>
          <w:tab w:val="left" w:pos="8468"/>
        </w:tabs>
        <w:spacing w:before="162" w:line="336" w:lineRule="auto"/>
        <w:ind w:left="4238" w:right="101"/>
        <w:rPr>
          <w:rFonts w:hint="eastAsia" w:cs="仿宋"/>
          <w:color w:val="auto"/>
          <w:sz w:val="22"/>
          <w:szCs w:val="22"/>
          <w:highlight w:val="none"/>
          <w:lang w:eastAsia="zh-CN"/>
        </w:rPr>
      </w:pPr>
      <w:r>
        <w:rPr>
          <w:rFonts w:hint="eastAsia" w:cs="仿宋"/>
          <w:color w:val="auto"/>
          <w:sz w:val="22"/>
          <w:szCs w:val="22"/>
          <w:highlight w:val="none"/>
          <w:lang w:eastAsia="zh-CN"/>
        </w:rPr>
        <w:t>供应商：（</w:t>
      </w:r>
      <w:r>
        <w:rPr>
          <w:rFonts w:hint="eastAsia" w:ascii="宋体" w:hAnsi="宋体" w:eastAsia="宋体" w:cs="宋体"/>
          <w:color w:val="auto"/>
          <w:sz w:val="22"/>
          <w:szCs w:val="22"/>
          <w:lang w:val="en-US" w:eastAsia="zh-CN" w:bidi="ar-SA"/>
        </w:rPr>
        <w:t>企业电子签章</w:t>
      </w:r>
      <w:r>
        <w:rPr>
          <w:rFonts w:hint="eastAsia" w:cs="仿宋"/>
          <w:color w:val="auto"/>
          <w:sz w:val="22"/>
          <w:szCs w:val="22"/>
          <w:highlight w:val="none"/>
          <w:lang w:eastAsia="zh-CN"/>
        </w:rPr>
        <w:t xml:space="preserve">） </w:t>
      </w:r>
    </w:p>
    <w:p w14:paraId="4AE81EFA">
      <w:pPr>
        <w:pStyle w:val="5"/>
        <w:tabs>
          <w:tab w:val="left" w:pos="8023"/>
          <w:tab w:val="left" w:pos="8468"/>
        </w:tabs>
        <w:spacing w:before="162" w:line="336" w:lineRule="auto"/>
        <w:ind w:left="4238" w:right="101"/>
        <w:rPr>
          <w:rFonts w:cs="仿宋"/>
          <w:color w:val="auto"/>
          <w:sz w:val="22"/>
          <w:szCs w:val="22"/>
          <w:highlight w:val="none"/>
          <w:lang w:eastAsia="zh-CN"/>
        </w:rPr>
      </w:pPr>
      <w:r>
        <w:rPr>
          <w:rFonts w:hint="eastAsia" w:cs="仿宋"/>
          <w:color w:val="auto"/>
          <w:spacing w:val="-1"/>
          <w:sz w:val="22"/>
          <w:szCs w:val="22"/>
          <w:highlight w:val="none"/>
          <w:lang w:eastAsia="zh-CN"/>
        </w:rPr>
        <w:t>法定代表人或其委托代理人：</w:t>
      </w:r>
      <w:r>
        <w:rPr>
          <w:rFonts w:hint="eastAsia" w:cs="仿宋"/>
          <w:color w:val="auto"/>
          <w:sz w:val="22"/>
          <w:szCs w:val="22"/>
          <w:highlight w:val="none"/>
          <w:lang w:eastAsia="zh-CN"/>
        </w:rPr>
        <w:t>（</w:t>
      </w:r>
      <w:r>
        <w:rPr>
          <w:rFonts w:hint="eastAsia" w:cs="仿宋"/>
          <w:color w:val="auto"/>
          <w:sz w:val="22"/>
          <w:szCs w:val="22"/>
          <w:highlight w:val="none"/>
          <w:lang w:val="en-US" w:eastAsia="zh-CN"/>
        </w:rPr>
        <w:t>电子</w:t>
      </w:r>
      <w:r>
        <w:rPr>
          <w:rFonts w:hint="eastAsia" w:cs="仿宋"/>
          <w:color w:val="auto"/>
          <w:sz w:val="22"/>
          <w:szCs w:val="22"/>
          <w:highlight w:val="none"/>
          <w:lang w:eastAsia="zh-CN"/>
        </w:rPr>
        <w:t>签章）</w:t>
      </w:r>
    </w:p>
    <w:p w14:paraId="40B7FF9C">
      <w:pPr>
        <w:pStyle w:val="5"/>
        <w:tabs>
          <w:tab w:val="left" w:pos="6398"/>
          <w:tab w:val="left" w:pos="7718"/>
          <w:tab w:val="left" w:pos="9038"/>
        </w:tabs>
        <w:spacing w:before="29"/>
        <w:ind w:left="5438"/>
        <w:rPr>
          <w:rFonts w:cs="仿宋"/>
          <w:color w:val="auto"/>
          <w:sz w:val="22"/>
          <w:szCs w:val="22"/>
          <w:highlight w:val="none"/>
          <w:lang w:eastAsia="zh-CN"/>
        </w:rPr>
      </w:pPr>
      <w:r>
        <w:rPr>
          <w:rFonts w:hint="eastAsia" w:cs="仿宋"/>
          <w:color w:val="auto"/>
          <w:sz w:val="22"/>
          <w:szCs w:val="22"/>
          <w:highlight w:val="none"/>
          <w:u w:val="single" w:color="000000"/>
          <w:lang w:eastAsia="zh-CN"/>
        </w:rPr>
        <w:tab/>
      </w:r>
      <w:r>
        <w:rPr>
          <w:rFonts w:hint="eastAsia" w:cs="仿宋"/>
          <w:color w:val="auto"/>
          <w:spacing w:val="-1"/>
          <w:sz w:val="22"/>
          <w:szCs w:val="22"/>
          <w:highlight w:val="none"/>
          <w:lang w:eastAsia="zh-CN"/>
        </w:rPr>
        <w:t>年</w:t>
      </w:r>
      <w:r>
        <w:rPr>
          <w:rFonts w:hint="eastAsia" w:cs="仿宋"/>
          <w:color w:val="auto"/>
          <w:spacing w:val="-1"/>
          <w:sz w:val="22"/>
          <w:szCs w:val="22"/>
          <w:highlight w:val="none"/>
          <w:u w:val="single" w:color="000000"/>
          <w:lang w:eastAsia="zh-CN"/>
        </w:rPr>
        <w:tab/>
      </w:r>
      <w:r>
        <w:rPr>
          <w:rFonts w:hint="eastAsia" w:cs="仿宋"/>
          <w:color w:val="auto"/>
          <w:spacing w:val="-1"/>
          <w:sz w:val="22"/>
          <w:szCs w:val="22"/>
          <w:highlight w:val="none"/>
          <w:lang w:eastAsia="zh-CN"/>
        </w:rPr>
        <w:t>月</w:t>
      </w:r>
      <w:r>
        <w:rPr>
          <w:rFonts w:hint="eastAsia" w:cs="仿宋"/>
          <w:color w:val="auto"/>
          <w:spacing w:val="-1"/>
          <w:sz w:val="22"/>
          <w:szCs w:val="22"/>
          <w:highlight w:val="none"/>
          <w:u w:val="single"/>
          <w:lang w:val="en-US" w:eastAsia="zh-CN"/>
        </w:rPr>
        <w:t xml:space="preserve">     </w:t>
      </w:r>
      <w:r>
        <w:rPr>
          <w:rFonts w:hint="eastAsia" w:cs="仿宋"/>
          <w:color w:val="auto"/>
          <w:sz w:val="22"/>
          <w:szCs w:val="22"/>
          <w:highlight w:val="none"/>
          <w:lang w:eastAsia="zh-CN"/>
        </w:rPr>
        <w:t>日</w:t>
      </w:r>
    </w:p>
    <w:p w14:paraId="672573A9">
      <w:pPr>
        <w:rPr>
          <w:rFonts w:ascii="宋体" w:hAnsi="宋体" w:cs="仿宋"/>
          <w:b/>
          <w:bCs/>
          <w:color w:val="auto"/>
          <w:sz w:val="22"/>
          <w:szCs w:val="22"/>
          <w:highlight w:val="none"/>
        </w:rPr>
      </w:pPr>
    </w:p>
    <w:p w14:paraId="792DC987">
      <w:pPr>
        <w:spacing w:before="1"/>
        <w:rPr>
          <w:rFonts w:ascii="宋体" w:hAnsi="宋体" w:cs="仿宋"/>
          <w:b/>
          <w:bCs/>
          <w:color w:val="auto"/>
          <w:sz w:val="21"/>
          <w:szCs w:val="21"/>
          <w:highlight w:val="none"/>
        </w:rPr>
      </w:pPr>
    </w:p>
    <w:p w14:paraId="70153725">
      <w:pPr>
        <w:rPr>
          <w:rFonts w:ascii="宋体" w:hAnsi="宋体" w:cs="仿宋"/>
          <w:color w:val="auto"/>
          <w:sz w:val="21"/>
          <w:szCs w:val="21"/>
          <w:highlight w:val="none"/>
        </w:rPr>
      </w:pPr>
    </w:p>
    <w:p w14:paraId="7F5D2BB9">
      <w:pPr>
        <w:rPr>
          <w:rFonts w:hint="eastAsia" w:cs="仿宋" w:asciiTheme="majorEastAsia" w:hAnsiTheme="majorEastAsia" w:eastAsiaTheme="majorEastAsia"/>
          <w:b/>
          <w:bCs/>
          <w:color w:val="auto"/>
          <w:sz w:val="21"/>
          <w:szCs w:val="21"/>
          <w:highlight w:val="none"/>
          <w:lang w:eastAsia="zh-CN"/>
        </w:rPr>
      </w:pPr>
      <w:r>
        <w:rPr>
          <w:rFonts w:hint="eastAsia" w:cs="仿宋" w:asciiTheme="majorEastAsia" w:hAnsiTheme="majorEastAsia" w:eastAsiaTheme="majorEastAsia"/>
          <w:b/>
          <w:bCs/>
          <w:color w:val="auto"/>
          <w:sz w:val="21"/>
          <w:szCs w:val="21"/>
          <w:highlight w:val="none"/>
          <w:lang w:eastAsia="zh-CN"/>
        </w:rPr>
        <w:br w:type="page"/>
      </w:r>
    </w:p>
    <w:p w14:paraId="25FE4592">
      <w:pPr>
        <w:numPr>
          <w:ilvl w:val="0"/>
          <w:numId w:val="0"/>
        </w:numPr>
        <w:jc w:val="center"/>
        <w:rPr>
          <w:rFonts w:hint="eastAsia" w:ascii="宋体" w:hAnsi="宋体" w:cs="仿宋"/>
          <w:b/>
          <w:bCs/>
          <w:color w:val="auto"/>
          <w:sz w:val="21"/>
          <w:szCs w:val="21"/>
          <w:highlight w:val="none"/>
          <w:lang w:eastAsia="zh-CN"/>
        </w:rPr>
        <w:sectPr>
          <w:headerReference r:id="rId9" w:type="default"/>
          <w:footerReference r:id="rId10" w:type="default"/>
          <w:pgSz w:w="12240" w:h="15840"/>
          <w:pgMar w:top="1400" w:right="1720" w:bottom="1120" w:left="1720" w:header="794" w:footer="921" w:gutter="0"/>
          <w:pgNumType w:fmt="decimal"/>
          <w:cols w:space="720" w:num="1"/>
        </w:sectPr>
      </w:pPr>
    </w:p>
    <w:p w14:paraId="74DFD295">
      <w:pPr>
        <w:rPr>
          <w:sz w:val="28"/>
          <w:szCs w:val="28"/>
        </w:rPr>
      </w:pPr>
      <w:r>
        <w:rPr>
          <w:rFonts w:hint="eastAsia" w:ascii="宋体"/>
          <w:kern w:val="0"/>
          <w:sz w:val="28"/>
          <w:szCs w:val="28"/>
        </w:rPr>
        <w:t>2.报价明细表</w:t>
      </w:r>
    </w:p>
    <w:p w14:paraId="20209110">
      <w:pPr>
        <w:jc w:val="left"/>
        <w:rPr>
          <w:rFonts w:hint="eastAsia" w:ascii="宋体"/>
          <w:sz w:val="28"/>
          <w:szCs w:val="28"/>
        </w:rPr>
      </w:pPr>
      <w:r>
        <w:rPr>
          <w:rFonts w:hint="eastAsia" w:ascii="宋体"/>
          <w:sz w:val="28"/>
          <w:szCs w:val="28"/>
        </w:rPr>
        <w:t>项目名称：</w:t>
      </w:r>
    </w:p>
    <w:p w14:paraId="0CDEFA07">
      <w:pPr>
        <w:wordWrap w:val="0"/>
        <w:spacing w:before="38"/>
        <w:ind w:right="909"/>
        <w:jc w:val="both"/>
        <w:rPr>
          <w:rFonts w:hint="eastAsia" w:ascii="宋体"/>
          <w:sz w:val="28"/>
          <w:szCs w:val="28"/>
        </w:rPr>
      </w:pPr>
      <w:r>
        <w:rPr>
          <w:rFonts w:hint="eastAsia" w:ascii="宋体"/>
          <w:sz w:val="28"/>
          <w:szCs w:val="28"/>
        </w:rPr>
        <w:t>项目编号：</w:t>
      </w:r>
    </w:p>
    <w:p w14:paraId="2CE996CD">
      <w:pPr>
        <w:wordWrap w:val="0"/>
        <w:spacing w:before="38"/>
        <w:ind w:right="909"/>
        <w:jc w:val="center"/>
        <w:rPr>
          <w:rFonts w:hint="eastAsia" w:ascii="宋体"/>
          <w:sz w:val="28"/>
          <w:szCs w:val="28"/>
        </w:rPr>
      </w:pPr>
    </w:p>
    <w:tbl>
      <w:tblPr>
        <w:tblStyle w:val="19"/>
        <w:tblW w:w="10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991"/>
        <w:gridCol w:w="1390"/>
        <w:gridCol w:w="945"/>
        <w:gridCol w:w="945"/>
        <w:gridCol w:w="760"/>
        <w:gridCol w:w="1069"/>
        <w:gridCol w:w="1386"/>
        <w:gridCol w:w="1326"/>
        <w:gridCol w:w="24"/>
        <w:gridCol w:w="842"/>
        <w:gridCol w:w="24"/>
      </w:tblGrid>
      <w:tr w14:paraId="0406A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514" w:type="dxa"/>
            <w:noWrap w:val="0"/>
            <w:vAlign w:val="center"/>
          </w:tcPr>
          <w:p w14:paraId="25F1BE36">
            <w:pPr>
              <w:spacing w:line="300" w:lineRule="exact"/>
              <w:jc w:val="center"/>
              <w:rPr>
                <w:rFonts w:hint="eastAsia" w:ascii="宋体" w:hAnsi="宋体"/>
                <w:b w:val="0"/>
                <w:bCs/>
                <w:sz w:val="28"/>
                <w:szCs w:val="28"/>
              </w:rPr>
            </w:pPr>
            <w:r>
              <w:rPr>
                <w:rFonts w:hint="eastAsia" w:ascii="宋体" w:hAnsi="宋体"/>
                <w:b w:val="0"/>
                <w:bCs/>
                <w:sz w:val="28"/>
                <w:szCs w:val="28"/>
              </w:rPr>
              <w:t>序号</w:t>
            </w:r>
          </w:p>
        </w:tc>
        <w:tc>
          <w:tcPr>
            <w:tcW w:w="991" w:type="dxa"/>
            <w:noWrap w:val="0"/>
            <w:vAlign w:val="center"/>
          </w:tcPr>
          <w:p w14:paraId="69FAE0F7">
            <w:pPr>
              <w:spacing w:line="300" w:lineRule="exact"/>
              <w:jc w:val="center"/>
              <w:rPr>
                <w:rFonts w:hint="eastAsia" w:ascii="宋体" w:hAnsi="宋体"/>
                <w:b w:val="0"/>
                <w:bCs/>
                <w:sz w:val="28"/>
                <w:szCs w:val="28"/>
              </w:rPr>
            </w:pPr>
            <w:r>
              <w:rPr>
                <w:rFonts w:hint="eastAsia"/>
                <w:b w:val="0"/>
                <w:bCs/>
                <w:sz w:val="28"/>
                <w:szCs w:val="28"/>
                <w:lang w:eastAsia="zh-CN"/>
              </w:rPr>
              <w:t>货物</w:t>
            </w:r>
            <w:r>
              <w:rPr>
                <w:rFonts w:hint="eastAsia" w:ascii="宋体" w:hAnsi="宋体"/>
                <w:b w:val="0"/>
                <w:bCs/>
                <w:sz w:val="28"/>
                <w:szCs w:val="28"/>
              </w:rPr>
              <w:t>名称</w:t>
            </w:r>
          </w:p>
        </w:tc>
        <w:tc>
          <w:tcPr>
            <w:tcW w:w="1390" w:type="dxa"/>
            <w:noWrap w:val="0"/>
            <w:vAlign w:val="center"/>
          </w:tcPr>
          <w:p w14:paraId="25CC983F">
            <w:pPr>
              <w:spacing w:line="300" w:lineRule="exact"/>
              <w:jc w:val="center"/>
              <w:rPr>
                <w:rFonts w:hint="eastAsia" w:ascii="宋体" w:hAnsi="宋体"/>
                <w:b w:val="0"/>
                <w:bCs/>
                <w:sz w:val="28"/>
                <w:szCs w:val="28"/>
              </w:rPr>
            </w:pPr>
            <w:r>
              <w:rPr>
                <w:rFonts w:hint="eastAsia" w:ascii="宋体" w:hAnsi="宋体"/>
                <w:b w:val="0"/>
                <w:bCs/>
                <w:sz w:val="28"/>
                <w:szCs w:val="28"/>
              </w:rPr>
              <w:t>品牌</w:t>
            </w:r>
          </w:p>
        </w:tc>
        <w:tc>
          <w:tcPr>
            <w:tcW w:w="945" w:type="dxa"/>
            <w:noWrap w:val="0"/>
            <w:vAlign w:val="center"/>
          </w:tcPr>
          <w:p w14:paraId="43700FCC">
            <w:pPr>
              <w:spacing w:line="300" w:lineRule="exact"/>
              <w:jc w:val="center"/>
              <w:rPr>
                <w:rFonts w:hint="eastAsia" w:ascii="宋体" w:hAnsi="宋体"/>
                <w:b w:val="0"/>
                <w:bCs/>
                <w:sz w:val="28"/>
                <w:szCs w:val="28"/>
              </w:rPr>
            </w:pPr>
            <w:r>
              <w:rPr>
                <w:rFonts w:hint="eastAsia" w:ascii="宋体" w:hAnsi="宋体" w:eastAsia="宋体" w:cs="Times New Roman"/>
                <w:szCs w:val="21"/>
              </w:rPr>
              <w:t>生产厂家</w:t>
            </w:r>
          </w:p>
        </w:tc>
        <w:tc>
          <w:tcPr>
            <w:tcW w:w="945" w:type="dxa"/>
            <w:noWrap w:val="0"/>
            <w:vAlign w:val="center"/>
          </w:tcPr>
          <w:p w14:paraId="5DCEA2A8">
            <w:pPr>
              <w:spacing w:line="300" w:lineRule="exact"/>
              <w:jc w:val="center"/>
              <w:rPr>
                <w:rFonts w:hint="eastAsia" w:ascii="宋体" w:hAnsi="宋体" w:eastAsia="宋体"/>
                <w:b w:val="0"/>
                <w:bCs/>
                <w:sz w:val="28"/>
                <w:szCs w:val="28"/>
                <w:lang w:val="en-US" w:eastAsia="zh-CN"/>
              </w:rPr>
            </w:pPr>
            <w:r>
              <w:rPr>
                <w:rFonts w:hint="eastAsia"/>
                <w:b w:val="0"/>
                <w:bCs/>
                <w:sz w:val="28"/>
                <w:szCs w:val="28"/>
                <w:lang w:val="en-US" w:eastAsia="zh-CN"/>
              </w:rPr>
              <w:t>参数</w:t>
            </w:r>
          </w:p>
        </w:tc>
        <w:tc>
          <w:tcPr>
            <w:tcW w:w="760" w:type="dxa"/>
            <w:noWrap w:val="0"/>
            <w:vAlign w:val="center"/>
          </w:tcPr>
          <w:p w14:paraId="3E20590F">
            <w:pPr>
              <w:spacing w:line="300" w:lineRule="exact"/>
              <w:jc w:val="center"/>
              <w:rPr>
                <w:rFonts w:hint="eastAsia" w:ascii="宋体" w:hAnsi="宋体"/>
                <w:b w:val="0"/>
                <w:bCs/>
                <w:sz w:val="28"/>
                <w:szCs w:val="28"/>
              </w:rPr>
            </w:pPr>
            <w:r>
              <w:rPr>
                <w:rFonts w:hint="eastAsia" w:ascii="宋体" w:hAnsi="宋体"/>
                <w:b w:val="0"/>
                <w:bCs/>
                <w:sz w:val="28"/>
                <w:szCs w:val="28"/>
              </w:rPr>
              <w:t>单位</w:t>
            </w:r>
          </w:p>
        </w:tc>
        <w:tc>
          <w:tcPr>
            <w:tcW w:w="1069" w:type="dxa"/>
            <w:noWrap w:val="0"/>
            <w:vAlign w:val="center"/>
          </w:tcPr>
          <w:p w14:paraId="48826070">
            <w:pPr>
              <w:spacing w:line="300" w:lineRule="exact"/>
              <w:jc w:val="center"/>
              <w:rPr>
                <w:rFonts w:hint="eastAsia" w:ascii="宋体" w:hAnsi="宋体"/>
                <w:b w:val="0"/>
                <w:bCs/>
                <w:sz w:val="28"/>
                <w:szCs w:val="28"/>
              </w:rPr>
            </w:pPr>
            <w:r>
              <w:rPr>
                <w:rFonts w:hint="eastAsia" w:ascii="宋体" w:hAnsi="宋体"/>
                <w:b w:val="0"/>
                <w:bCs/>
                <w:sz w:val="28"/>
                <w:szCs w:val="28"/>
              </w:rPr>
              <w:t>数量</w:t>
            </w:r>
          </w:p>
        </w:tc>
        <w:tc>
          <w:tcPr>
            <w:tcW w:w="1386" w:type="dxa"/>
            <w:noWrap w:val="0"/>
            <w:vAlign w:val="center"/>
          </w:tcPr>
          <w:p w14:paraId="59C1A3C9">
            <w:pPr>
              <w:spacing w:line="300" w:lineRule="exact"/>
              <w:jc w:val="center"/>
              <w:rPr>
                <w:rFonts w:hint="eastAsia" w:ascii="宋体" w:hAnsi="宋体"/>
                <w:b w:val="0"/>
                <w:bCs/>
                <w:sz w:val="28"/>
                <w:szCs w:val="28"/>
              </w:rPr>
            </w:pPr>
            <w:r>
              <w:rPr>
                <w:rFonts w:hint="eastAsia" w:ascii="宋体" w:hAnsi="宋体"/>
                <w:b w:val="0"/>
                <w:bCs/>
                <w:sz w:val="28"/>
                <w:szCs w:val="28"/>
              </w:rPr>
              <w:t>单价（元）</w:t>
            </w:r>
          </w:p>
        </w:tc>
        <w:tc>
          <w:tcPr>
            <w:tcW w:w="1350" w:type="dxa"/>
            <w:gridSpan w:val="2"/>
            <w:noWrap w:val="0"/>
            <w:vAlign w:val="center"/>
          </w:tcPr>
          <w:p w14:paraId="334DEB53">
            <w:pPr>
              <w:spacing w:line="300" w:lineRule="exact"/>
              <w:jc w:val="center"/>
              <w:rPr>
                <w:rFonts w:hint="eastAsia" w:ascii="宋体" w:hAnsi="宋体"/>
                <w:b w:val="0"/>
                <w:bCs/>
                <w:sz w:val="28"/>
                <w:szCs w:val="28"/>
              </w:rPr>
            </w:pPr>
            <w:r>
              <w:rPr>
                <w:rFonts w:hint="eastAsia" w:ascii="宋体" w:hAnsi="宋体"/>
                <w:b w:val="0"/>
                <w:bCs/>
                <w:sz w:val="28"/>
                <w:szCs w:val="28"/>
              </w:rPr>
              <w:t>小计（元）</w:t>
            </w:r>
          </w:p>
        </w:tc>
        <w:tc>
          <w:tcPr>
            <w:tcW w:w="866" w:type="dxa"/>
            <w:gridSpan w:val="2"/>
            <w:noWrap w:val="0"/>
            <w:vAlign w:val="center"/>
          </w:tcPr>
          <w:p w14:paraId="49EC753D">
            <w:pPr>
              <w:spacing w:line="300" w:lineRule="exact"/>
              <w:jc w:val="center"/>
              <w:rPr>
                <w:rFonts w:hint="eastAsia" w:ascii="宋体" w:hAnsi="宋体" w:eastAsia="宋体"/>
                <w:b w:val="0"/>
                <w:bCs/>
                <w:sz w:val="28"/>
                <w:szCs w:val="28"/>
                <w:lang w:eastAsia="zh-CN"/>
              </w:rPr>
            </w:pPr>
            <w:r>
              <w:rPr>
                <w:rFonts w:hint="eastAsia"/>
                <w:b w:val="0"/>
                <w:bCs/>
                <w:sz w:val="28"/>
                <w:szCs w:val="28"/>
                <w:lang w:eastAsia="zh-CN"/>
              </w:rPr>
              <w:t>备注</w:t>
            </w:r>
          </w:p>
        </w:tc>
      </w:tr>
      <w:tr w14:paraId="101A0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noWrap w:val="0"/>
            <w:vAlign w:val="center"/>
          </w:tcPr>
          <w:p w14:paraId="707947F8">
            <w:pPr>
              <w:spacing w:line="300" w:lineRule="exact"/>
              <w:jc w:val="center"/>
              <w:rPr>
                <w:rFonts w:hint="eastAsia" w:ascii="宋体" w:hAnsi="宋体"/>
                <w:b w:val="0"/>
                <w:bCs/>
                <w:sz w:val="28"/>
                <w:szCs w:val="28"/>
              </w:rPr>
            </w:pPr>
            <w:r>
              <w:rPr>
                <w:rFonts w:hint="eastAsia" w:ascii="宋体" w:hAnsi="宋体"/>
                <w:b w:val="0"/>
                <w:bCs/>
                <w:sz w:val="28"/>
                <w:szCs w:val="28"/>
              </w:rPr>
              <w:t>1</w:t>
            </w:r>
          </w:p>
        </w:tc>
        <w:tc>
          <w:tcPr>
            <w:tcW w:w="991" w:type="dxa"/>
            <w:noWrap w:val="0"/>
            <w:vAlign w:val="top"/>
          </w:tcPr>
          <w:p w14:paraId="3688F7AD">
            <w:pPr>
              <w:jc w:val="left"/>
              <w:rPr>
                <w:rFonts w:ascii="宋体" w:hAnsi="宋体"/>
                <w:b w:val="0"/>
                <w:bCs/>
                <w:color w:val="000000"/>
                <w:kern w:val="0"/>
                <w:sz w:val="28"/>
                <w:szCs w:val="28"/>
              </w:rPr>
            </w:pPr>
          </w:p>
        </w:tc>
        <w:tc>
          <w:tcPr>
            <w:tcW w:w="1390" w:type="dxa"/>
            <w:noWrap w:val="0"/>
            <w:vAlign w:val="center"/>
          </w:tcPr>
          <w:p w14:paraId="2AC68A5A">
            <w:pPr>
              <w:spacing w:line="300" w:lineRule="exact"/>
              <w:jc w:val="center"/>
              <w:rPr>
                <w:rFonts w:hint="default" w:ascii="宋体" w:hAnsi="宋体" w:eastAsia="宋体" w:cs="宋体"/>
                <w:b w:val="0"/>
                <w:bCs/>
                <w:sz w:val="28"/>
                <w:szCs w:val="28"/>
                <w:lang w:val="en-US" w:eastAsia="zh-CN"/>
              </w:rPr>
            </w:pPr>
          </w:p>
        </w:tc>
        <w:tc>
          <w:tcPr>
            <w:tcW w:w="945" w:type="dxa"/>
            <w:noWrap w:val="0"/>
            <w:vAlign w:val="center"/>
          </w:tcPr>
          <w:p w14:paraId="56355F49">
            <w:pPr>
              <w:spacing w:line="300" w:lineRule="exact"/>
              <w:jc w:val="center"/>
              <w:rPr>
                <w:rFonts w:hint="default" w:ascii="宋体" w:hAnsi="宋体" w:eastAsia="宋体" w:cs="宋体"/>
                <w:b w:val="0"/>
                <w:bCs/>
                <w:sz w:val="28"/>
                <w:szCs w:val="28"/>
                <w:lang w:val="en-US" w:eastAsia="zh-CN"/>
              </w:rPr>
            </w:pPr>
          </w:p>
        </w:tc>
        <w:tc>
          <w:tcPr>
            <w:tcW w:w="945" w:type="dxa"/>
            <w:noWrap w:val="0"/>
            <w:vAlign w:val="center"/>
          </w:tcPr>
          <w:p w14:paraId="251220B8">
            <w:pPr>
              <w:spacing w:line="300" w:lineRule="exact"/>
              <w:jc w:val="center"/>
              <w:rPr>
                <w:rFonts w:hint="eastAsia" w:cs="宋体"/>
                <w:b w:val="0"/>
                <w:bCs/>
                <w:sz w:val="28"/>
                <w:szCs w:val="28"/>
                <w:lang w:val="en-US" w:eastAsia="zh-CN"/>
              </w:rPr>
            </w:pPr>
          </w:p>
        </w:tc>
        <w:tc>
          <w:tcPr>
            <w:tcW w:w="760" w:type="dxa"/>
            <w:noWrap w:val="0"/>
            <w:vAlign w:val="center"/>
          </w:tcPr>
          <w:p w14:paraId="739ABA7B">
            <w:pPr>
              <w:spacing w:line="300" w:lineRule="exact"/>
              <w:jc w:val="center"/>
              <w:rPr>
                <w:rFonts w:hint="default" w:ascii="宋体" w:hAnsi="宋体" w:eastAsia="宋体" w:cs="宋体"/>
                <w:b w:val="0"/>
                <w:bCs/>
                <w:sz w:val="28"/>
                <w:szCs w:val="28"/>
                <w:lang w:val="en-US" w:eastAsia="zh-CN"/>
              </w:rPr>
            </w:pPr>
          </w:p>
        </w:tc>
        <w:tc>
          <w:tcPr>
            <w:tcW w:w="1069" w:type="dxa"/>
            <w:noWrap w:val="0"/>
            <w:vAlign w:val="center"/>
          </w:tcPr>
          <w:p w14:paraId="67F31FD5">
            <w:pPr>
              <w:spacing w:line="300" w:lineRule="exact"/>
              <w:jc w:val="center"/>
              <w:rPr>
                <w:rFonts w:hint="eastAsia" w:ascii="宋体" w:hAnsi="宋体" w:eastAsia="宋体" w:cs="宋体"/>
                <w:b w:val="0"/>
                <w:bCs/>
                <w:sz w:val="28"/>
                <w:szCs w:val="28"/>
                <w:lang w:val="en-US" w:eastAsia="zh-CN"/>
              </w:rPr>
            </w:pPr>
          </w:p>
        </w:tc>
        <w:tc>
          <w:tcPr>
            <w:tcW w:w="1386" w:type="dxa"/>
            <w:noWrap w:val="0"/>
            <w:vAlign w:val="center"/>
          </w:tcPr>
          <w:p w14:paraId="0B35FB78">
            <w:pPr>
              <w:spacing w:line="300" w:lineRule="exact"/>
              <w:jc w:val="center"/>
              <w:rPr>
                <w:rFonts w:ascii="宋体" w:hAnsi="宋体" w:cs="宋体"/>
                <w:b w:val="0"/>
                <w:bCs/>
                <w:sz w:val="28"/>
                <w:szCs w:val="28"/>
              </w:rPr>
            </w:pPr>
          </w:p>
        </w:tc>
        <w:tc>
          <w:tcPr>
            <w:tcW w:w="1350" w:type="dxa"/>
            <w:gridSpan w:val="2"/>
            <w:noWrap w:val="0"/>
            <w:vAlign w:val="center"/>
          </w:tcPr>
          <w:p w14:paraId="00C5D5A3">
            <w:pPr>
              <w:spacing w:line="300" w:lineRule="exact"/>
              <w:jc w:val="center"/>
              <w:rPr>
                <w:rFonts w:ascii="宋体" w:hAnsi="宋体" w:cs="宋体"/>
                <w:b w:val="0"/>
                <w:bCs/>
                <w:sz w:val="28"/>
                <w:szCs w:val="28"/>
              </w:rPr>
            </w:pPr>
          </w:p>
        </w:tc>
        <w:tc>
          <w:tcPr>
            <w:tcW w:w="866" w:type="dxa"/>
            <w:gridSpan w:val="2"/>
            <w:noWrap w:val="0"/>
            <w:vAlign w:val="center"/>
          </w:tcPr>
          <w:p w14:paraId="0B0BA65B">
            <w:pPr>
              <w:spacing w:line="300" w:lineRule="exact"/>
              <w:jc w:val="center"/>
              <w:rPr>
                <w:rFonts w:ascii="宋体" w:hAnsi="宋体"/>
                <w:b w:val="0"/>
                <w:bCs/>
                <w:sz w:val="28"/>
                <w:szCs w:val="28"/>
              </w:rPr>
            </w:pPr>
          </w:p>
        </w:tc>
      </w:tr>
      <w:tr w14:paraId="4CD5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14" w:type="dxa"/>
            <w:noWrap w:val="0"/>
            <w:vAlign w:val="center"/>
          </w:tcPr>
          <w:p w14:paraId="673B783B">
            <w:pPr>
              <w:spacing w:line="300" w:lineRule="exact"/>
              <w:jc w:val="center"/>
              <w:rPr>
                <w:rFonts w:hint="eastAsia" w:ascii="宋体" w:hAnsi="宋体"/>
                <w:b w:val="0"/>
                <w:bCs/>
                <w:sz w:val="28"/>
                <w:szCs w:val="28"/>
              </w:rPr>
            </w:pPr>
            <w:r>
              <w:rPr>
                <w:rFonts w:hint="eastAsia" w:ascii="宋体" w:hAnsi="宋体"/>
                <w:b w:val="0"/>
                <w:bCs/>
                <w:sz w:val="28"/>
                <w:szCs w:val="28"/>
              </w:rPr>
              <w:t>2</w:t>
            </w:r>
          </w:p>
        </w:tc>
        <w:tc>
          <w:tcPr>
            <w:tcW w:w="991" w:type="dxa"/>
            <w:noWrap w:val="0"/>
            <w:vAlign w:val="top"/>
          </w:tcPr>
          <w:p w14:paraId="424C4EA9">
            <w:pPr>
              <w:jc w:val="left"/>
              <w:rPr>
                <w:rFonts w:ascii="宋体" w:hAnsi="宋体"/>
                <w:b w:val="0"/>
                <w:bCs/>
                <w:color w:val="000000"/>
                <w:kern w:val="0"/>
                <w:sz w:val="28"/>
                <w:szCs w:val="28"/>
              </w:rPr>
            </w:pPr>
          </w:p>
        </w:tc>
        <w:tc>
          <w:tcPr>
            <w:tcW w:w="1390" w:type="dxa"/>
            <w:noWrap w:val="0"/>
            <w:vAlign w:val="center"/>
          </w:tcPr>
          <w:p w14:paraId="50F2D563">
            <w:pPr>
              <w:spacing w:line="300" w:lineRule="exact"/>
              <w:jc w:val="center"/>
              <w:rPr>
                <w:rFonts w:ascii="宋体" w:hAnsi="宋体" w:cs="宋体"/>
                <w:b w:val="0"/>
                <w:bCs/>
                <w:sz w:val="28"/>
                <w:szCs w:val="28"/>
              </w:rPr>
            </w:pPr>
          </w:p>
        </w:tc>
        <w:tc>
          <w:tcPr>
            <w:tcW w:w="945" w:type="dxa"/>
            <w:noWrap w:val="0"/>
            <w:vAlign w:val="center"/>
          </w:tcPr>
          <w:p w14:paraId="0573A306">
            <w:pPr>
              <w:spacing w:line="300" w:lineRule="exact"/>
              <w:jc w:val="center"/>
              <w:rPr>
                <w:rFonts w:ascii="宋体" w:hAnsi="宋体" w:cs="宋体"/>
                <w:b w:val="0"/>
                <w:bCs/>
                <w:sz w:val="28"/>
                <w:szCs w:val="28"/>
              </w:rPr>
            </w:pPr>
          </w:p>
        </w:tc>
        <w:tc>
          <w:tcPr>
            <w:tcW w:w="945" w:type="dxa"/>
            <w:noWrap w:val="0"/>
            <w:vAlign w:val="center"/>
          </w:tcPr>
          <w:p w14:paraId="2DF3067E">
            <w:pPr>
              <w:spacing w:line="300" w:lineRule="exact"/>
              <w:jc w:val="center"/>
              <w:rPr>
                <w:rFonts w:ascii="宋体" w:hAnsi="宋体" w:cs="宋体"/>
                <w:b w:val="0"/>
                <w:bCs/>
                <w:sz w:val="28"/>
                <w:szCs w:val="28"/>
              </w:rPr>
            </w:pPr>
          </w:p>
        </w:tc>
        <w:tc>
          <w:tcPr>
            <w:tcW w:w="760" w:type="dxa"/>
            <w:noWrap w:val="0"/>
            <w:vAlign w:val="center"/>
          </w:tcPr>
          <w:p w14:paraId="1A0738ED">
            <w:pPr>
              <w:spacing w:line="300" w:lineRule="exact"/>
              <w:jc w:val="center"/>
              <w:rPr>
                <w:rFonts w:hint="eastAsia" w:ascii="宋体" w:hAnsi="宋体" w:eastAsia="宋体" w:cs="宋体"/>
                <w:b w:val="0"/>
                <w:bCs/>
                <w:sz w:val="28"/>
                <w:szCs w:val="28"/>
                <w:lang w:eastAsia="zh-CN"/>
              </w:rPr>
            </w:pPr>
          </w:p>
        </w:tc>
        <w:tc>
          <w:tcPr>
            <w:tcW w:w="1069" w:type="dxa"/>
            <w:noWrap w:val="0"/>
            <w:vAlign w:val="center"/>
          </w:tcPr>
          <w:p w14:paraId="7D59FF1B">
            <w:pPr>
              <w:spacing w:line="300" w:lineRule="exact"/>
              <w:jc w:val="center"/>
              <w:rPr>
                <w:rFonts w:hint="eastAsia" w:ascii="宋体" w:hAnsi="宋体" w:eastAsia="宋体" w:cs="宋体"/>
                <w:b w:val="0"/>
                <w:bCs/>
                <w:sz w:val="28"/>
                <w:szCs w:val="28"/>
                <w:lang w:val="en-US" w:eastAsia="zh-CN"/>
              </w:rPr>
            </w:pPr>
          </w:p>
        </w:tc>
        <w:tc>
          <w:tcPr>
            <w:tcW w:w="1386" w:type="dxa"/>
            <w:noWrap w:val="0"/>
            <w:vAlign w:val="center"/>
          </w:tcPr>
          <w:p w14:paraId="07572E56">
            <w:pPr>
              <w:spacing w:line="300" w:lineRule="exact"/>
              <w:jc w:val="center"/>
              <w:rPr>
                <w:rFonts w:ascii="宋体" w:hAnsi="宋体" w:cs="宋体"/>
                <w:b w:val="0"/>
                <w:bCs/>
                <w:sz w:val="28"/>
                <w:szCs w:val="28"/>
              </w:rPr>
            </w:pPr>
          </w:p>
        </w:tc>
        <w:tc>
          <w:tcPr>
            <w:tcW w:w="1350" w:type="dxa"/>
            <w:gridSpan w:val="2"/>
            <w:noWrap w:val="0"/>
            <w:vAlign w:val="center"/>
          </w:tcPr>
          <w:p w14:paraId="6618A1E2">
            <w:pPr>
              <w:spacing w:line="300" w:lineRule="exact"/>
              <w:jc w:val="center"/>
              <w:rPr>
                <w:rFonts w:ascii="宋体" w:hAnsi="宋体" w:cs="宋体"/>
                <w:b w:val="0"/>
                <w:bCs/>
                <w:sz w:val="28"/>
                <w:szCs w:val="28"/>
              </w:rPr>
            </w:pPr>
          </w:p>
        </w:tc>
        <w:tc>
          <w:tcPr>
            <w:tcW w:w="866" w:type="dxa"/>
            <w:gridSpan w:val="2"/>
            <w:noWrap w:val="0"/>
            <w:vAlign w:val="center"/>
          </w:tcPr>
          <w:p w14:paraId="3C4DD85E">
            <w:pPr>
              <w:spacing w:line="300" w:lineRule="exact"/>
              <w:jc w:val="center"/>
              <w:rPr>
                <w:rFonts w:ascii="宋体" w:hAnsi="宋体" w:cs="宋体"/>
                <w:b w:val="0"/>
                <w:bCs/>
                <w:sz w:val="28"/>
                <w:szCs w:val="28"/>
              </w:rPr>
            </w:pPr>
          </w:p>
        </w:tc>
      </w:tr>
      <w:tr w14:paraId="457BE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969" w:hRule="atLeast"/>
          <w:jc w:val="center"/>
        </w:trPr>
        <w:tc>
          <w:tcPr>
            <w:tcW w:w="1505" w:type="dxa"/>
            <w:gridSpan w:val="2"/>
            <w:noWrap w:val="0"/>
            <w:vAlign w:val="center"/>
          </w:tcPr>
          <w:p w14:paraId="15F75D96">
            <w:pPr>
              <w:spacing w:line="300" w:lineRule="exact"/>
              <w:jc w:val="center"/>
              <w:rPr>
                <w:rFonts w:hint="eastAsia" w:ascii="宋体" w:hAnsi="宋体"/>
                <w:b w:val="0"/>
                <w:bCs/>
                <w:sz w:val="28"/>
                <w:szCs w:val="28"/>
              </w:rPr>
            </w:pPr>
            <w:r>
              <w:rPr>
                <w:rFonts w:hint="eastAsia" w:ascii="宋体" w:hAnsi="宋体"/>
                <w:b w:val="0"/>
                <w:bCs/>
                <w:sz w:val="28"/>
                <w:szCs w:val="28"/>
              </w:rPr>
              <w:t>合计（元）</w:t>
            </w:r>
          </w:p>
        </w:tc>
        <w:tc>
          <w:tcPr>
            <w:tcW w:w="7821" w:type="dxa"/>
            <w:gridSpan w:val="7"/>
            <w:noWrap w:val="0"/>
            <w:vAlign w:val="center"/>
          </w:tcPr>
          <w:p w14:paraId="00E151A1">
            <w:pPr>
              <w:spacing w:line="300" w:lineRule="exact"/>
              <w:jc w:val="left"/>
              <w:rPr>
                <w:rFonts w:hint="eastAsia" w:ascii="宋体" w:hAnsi="宋体" w:cs="宋体"/>
                <w:b w:val="0"/>
                <w:bCs/>
                <w:sz w:val="28"/>
                <w:szCs w:val="28"/>
              </w:rPr>
            </w:pPr>
            <w:r>
              <w:rPr>
                <w:rFonts w:hint="eastAsia" w:ascii="宋体" w:hAnsi="宋体" w:cs="宋体"/>
                <w:b w:val="0"/>
                <w:bCs/>
                <w:sz w:val="28"/>
                <w:szCs w:val="28"/>
              </w:rPr>
              <w:t>大写：</w:t>
            </w:r>
          </w:p>
          <w:p w14:paraId="60E2867D">
            <w:pPr>
              <w:spacing w:line="300" w:lineRule="exact"/>
              <w:jc w:val="left"/>
              <w:rPr>
                <w:rFonts w:ascii="宋体" w:hAnsi="宋体" w:cs="宋体"/>
                <w:b w:val="0"/>
                <w:bCs/>
                <w:sz w:val="28"/>
                <w:szCs w:val="28"/>
              </w:rPr>
            </w:pPr>
            <w:r>
              <w:rPr>
                <w:rFonts w:hint="eastAsia" w:ascii="宋体" w:hAnsi="宋体" w:cs="宋体"/>
                <w:b w:val="0"/>
                <w:bCs/>
                <w:sz w:val="28"/>
                <w:szCs w:val="28"/>
              </w:rPr>
              <w:t>小写：</w:t>
            </w:r>
          </w:p>
        </w:tc>
        <w:tc>
          <w:tcPr>
            <w:tcW w:w="866" w:type="dxa"/>
            <w:gridSpan w:val="2"/>
            <w:noWrap w:val="0"/>
            <w:vAlign w:val="center"/>
          </w:tcPr>
          <w:p w14:paraId="71210177">
            <w:pPr>
              <w:spacing w:line="300" w:lineRule="exact"/>
              <w:jc w:val="center"/>
              <w:rPr>
                <w:rFonts w:ascii="宋体" w:hAnsi="宋体" w:cs="宋体"/>
                <w:b w:val="0"/>
                <w:bCs/>
                <w:sz w:val="28"/>
                <w:szCs w:val="28"/>
              </w:rPr>
            </w:pPr>
          </w:p>
        </w:tc>
      </w:tr>
    </w:tbl>
    <w:p w14:paraId="0405C77E">
      <w:pPr>
        <w:wordWrap w:val="0"/>
        <w:spacing w:before="38"/>
        <w:ind w:right="909"/>
        <w:jc w:val="center"/>
        <w:rPr>
          <w:rFonts w:hint="eastAsia" w:ascii="宋体"/>
          <w:sz w:val="28"/>
          <w:szCs w:val="28"/>
        </w:rPr>
      </w:pPr>
    </w:p>
    <w:p w14:paraId="571D545F">
      <w:pPr>
        <w:wordWrap w:val="0"/>
        <w:spacing w:before="38"/>
        <w:ind w:right="909"/>
        <w:jc w:val="center"/>
        <w:rPr>
          <w:rFonts w:hint="eastAsia" w:ascii="宋体"/>
          <w:sz w:val="28"/>
          <w:szCs w:val="28"/>
        </w:rPr>
      </w:pPr>
    </w:p>
    <w:p w14:paraId="4CED8A9D">
      <w:pPr>
        <w:wordWrap w:val="0"/>
        <w:spacing w:before="38"/>
        <w:ind w:right="909"/>
        <w:jc w:val="center"/>
        <w:rPr>
          <w:rFonts w:hint="eastAsia" w:ascii="宋体"/>
          <w:sz w:val="28"/>
          <w:szCs w:val="28"/>
        </w:rPr>
      </w:pPr>
    </w:p>
    <w:p w14:paraId="6A88A9E6">
      <w:pPr>
        <w:wordWrap w:val="0"/>
        <w:spacing w:before="38"/>
        <w:ind w:right="909"/>
        <w:jc w:val="center"/>
        <w:rPr>
          <w:rFonts w:hint="eastAsia" w:ascii="宋体"/>
          <w:sz w:val="28"/>
          <w:szCs w:val="28"/>
        </w:rPr>
      </w:pPr>
    </w:p>
    <w:p w14:paraId="08D243CD">
      <w:pPr>
        <w:wordWrap w:val="0"/>
        <w:spacing w:before="38"/>
        <w:ind w:right="909"/>
        <w:jc w:val="center"/>
        <w:rPr>
          <w:rFonts w:hint="eastAsia" w:ascii="宋体"/>
          <w:sz w:val="28"/>
          <w:szCs w:val="28"/>
        </w:rPr>
      </w:pPr>
    </w:p>
    <w:p w14:paraId="6D8B5279">
      <w:pPr>
        <w:wordWrap w:val="0"/>
        <w:spacing w:before="38"/>
        <w:ind w:right="909"/>
        <w:jc w:val="center"/>
        <w:rPr>
          <w:rFonts w:hint="eastAsia" w:ascii="宋体"/>
          <w:sz w:val="28"/>
          <w:szCs w:val="28"/>
        </w:rPr>
      </w:pPr>
    </w:p>
    <w:p w14:paraId="436C2703">
      <w:pPr>
        <w:spacing w:line="360" w:lineRule="auto"/>
        <w:jc w:val="left"/>
        <w:rPr>
          <w:rFonts w:hint="eastAsia" w:ascii="宋体"/>
          <w:kern w:val="0"/>
          <w:sz w:val="28"/>
          <w:szCs w:val="28"/>
        </w:rPr>
      </w:pPr>
      <w:r>
        <w:rPr>
          <w:rFonts w:hint="eastAsia" w:ascii="宋体"/>
          <w:kern w:val="0"/>
          <w:sz w:val="28"/>
          <w:szCs w:val="28"/>
        </w:rPr>
        <w:t>供应商：（</w:t>
      </w:r>
      <w:r>
        <w:rPr>
          <w:rFonts w:hint="eastAsia" w:ascii="宋体" w:eastAsia="宋体"/>
          <w:kern w:val="0"/>
          <w:sz w:val="28"/>
          <w:szCs w:val="28"/>
          <w:lang w:eastAsia="zh-CN"/>
        </w:rPr>
        <w:t>企业</w:t>
      </w:r>
      <w:r>
        <w:rPr>
          <w:rFonts w:hint="eastAsia"/>
          <w:kern w:val="0"/>
          <w:sz w:val="28"/>
          <w:szCs w:val="28"/>
          <w:lang w:eastAsia="zh-CN"/>
        </w:rPr>
        <w:t>电子</w:t>
      </w:r>
      <w:r>
        <w:rPr>
          <w:rFonts w:hint="eastAsia" w:ascii="宋体" w:cs="宋体"/>
          <w:sz w:val="28"/>
          <w:szCs w:val="28"/>
        </w:rPr>
        <w:t>签章</w:t>
      </w:r>
      <w:r>
        <w:rPr>
          <w:rFonts w:hint="eastAsia" w:ascii="宋体"/>
          <w:kern w:val="0"/>
          <w:sz w:val="28"/>
          <w:szCs w:val="28"/>
        </w:rPr>
        <w:t>）</w:t>
      </w:r>
    </w:p>
    <w:p w14:paraId="736A26FD">
      <w:pPr>
        <w:pStyle w:val="8"/>
        <w:widowControl/>
        <w:spacing w:line="600" w:lineRule="exact"/>
        <w:jc w:val="left"/>
        <w:rPr>
          <w:sz w:val="28"/>
          <w:szCs w:val="28"/>
        </w:rPr>
      </w:pPr>
      <w:r>
        <w:rPr>
          <w:rFonts w:hint="eastAsia" w:ascii="宋体"/>
          <w:sz w:val="28"/>
          <w:szCs w:val="28"/>
        </w:rPr>
        <w:t>法定代表人：</w:t>
      </w:r>
      <w:r>
        <w:rPr>
          <w:rFonts w:hint="eastAsia" w:ascii="宋体" w:cs="宋体"/>
          <w:sz w:val="28"/>
          <w:szCs w:val="28"/>
        </w:rPr>
        <w:t>（</w:t>
      </w:r>
      <w:r>
        <w:rPr>
          <w:rFonts w:hint="eastAsia"/>
          <w:kern w:val="0"/>
          <w:sz w:val="28"/>
          <w:szCs w:val="28"/>
          <w:lang w:eastAsia="zh-CN"/>
        </w:rPr>
        <w:t>电子</w:t>
      </w:r>
      <w:r>
        <w:rPr>
          <w:rFonts w:hint="eastAsia" w:ascii="宋体" w:cs="宋体"/>
          <w:sz w:val="28"/>
          <w:szCs w:val="28"/>
        </w:rPr>
        <w:t>签章）</w:t>
      </w:r>
    </w:p>
    <w:p w14:paraId="57186399">
      <w:pPr>
        <w:wordWrap w:val="0"/>
        <w:spacing w:before="38"/>
        <w:ind w:right="909" w:firstLine="5600" w:firstLineChars="2000"/>
        <w:jc w:val="both"/>
        <w:rPr>
          <w:rFonts w:hint="eastAsia"/>
          <w:color w:val="auto"/>
          <w:sz w:val="28"/>
          <w:szCs w:val="28"/>
        </w:rPr>
      </w:pPr>
    </w:p>
    <w:p w14:paraId="33E8AFDF">
      <w:pPr>
        <w:wordWrap w:val="0"/>
        <w:spacing w:before="38"/>
        <w:ind w:right="909"/>
        <w:jc w:val="both"/>
        <w:rPr>
          <w:rFonts w:hint="eastAsia" w:ascii="宋体"/>
          <w:sz w:val="28"/>
          <w:szCs w:val="28"/>
        </w:rPr>
      </w:pPr>
      <w:r>
        <w:rPr>
          <w:rFonts w:hint="eastAsia"/>
          <w:color w:val="auto"/>
          <w:sz w:val="28"/>
          <w:szCs w:val="28"/>
        </w:rPr>
        <w:t>日期：</w:t>
      </w:r>
      <w:r>
        <w:rPr>
          <w:rFonts w:hint="eastAsia"/>
          <w:color w:val="auto"/>
          <w:sz w:val="28"/>
          <w:szCs w:val="28"/>
          <w:lang w:val="en-US" w:eastAsia="zh-CN"/>
        </w:rPr>
        <w:t xml:space="preserve">    </w:t>
      </w:r>
      <w:r>
        <w:rPr>
          <w:rFonts w:hint="eastAsia"/>
          <w:sz w:val="28"/>
          <w:szCs w:val="24"/>
        </w:rPr>
        <w:t>年   月   日</w:t>
      </w:r>
    </w:p>
    <w:p w14:paraId="7E16F902">
      <w:pPr>
        <w:wordWrap w:val="0"/>
        <w:spacing w:before="38"/>
        <w:ind w:right="909"/>
        <w:jc w:val="center"/>
        <w:rPr>
          <w:rFonts w:hint="eastAsia" w:ascii="宋体" w:eastAsia="宋体"/>
          <w:sz w:val="28"/>
          <w:szCs w:val="28"/>
        </w:rPr>
      </w:pPr>
    </w:p>
    <w:p w14:paraId="3FF0A110">
      <w:pPr>
        <w:numPr>
          <w:ilvl w:val="0"/>
          <w:numId w:val="0"/>
        </w:numPr>
        <w:jc w:val="center"/>
        <w:rPr>
          <w:rFonts w:hint="eastAsia" w:ascii="宋体" w:hAnsi="宋体" w:cs="仿宋"/>
          <w:b/>
          <w:bCs/>
          <w:color w:val="auto"/>
          <w:sz w:val="21"/>
          <w:szCs w:val="21"/>
          <w:highlight w:val="none"/>
          <w:lang w:eastAsia="zh-CN"/>
        </w:rPr>
        <w:sectPr>
          <w:pgSz w:w="12240" w:h="15840"/>
          <w:pgMar w:top="1400" w:right="1720" w:bottom="1120" w:left="1720" w:header="794" w:footer="921" w:gutter="0"/>
          <w:pgNumType w:fmt="decimal"/>
          <w:cols w:space="720" w:num="1"/>
        </w:sectPr>
      </w:pPr>
    </w:p>
    <w:p w14:paraId="1737EAC1">
      <w:pPr>
        <w:pStyle w:val="29"/>
        <w:numPr>
          <w:ilvl w:val="0"/>
          <w:numId w:val="8"/>
        </w:numPr>
        <w:ind w:left="0"/>
        <w:jc w:val="both"/>
        <w:rPr>
          <w:rFonts w:hint="eastAsia" w:ascii="宋体" w:hAnsi="宋体" w:eastAsia="宋体" w:cs="宋体"/>
          <w:b w:val="0"/>
          <w:bCs w:val="0"/>
          <w:kern w:val="0"/>
          <w:sz w:val="28"/>
          <w:szCs w:val="28"/>
          <w:lang w:val="zh-CN" w:eastAsia="zh-CN" w:bidi="zh-CN"/>
        </w:rPr>
      </w:pPr>
      <w:bookmarkStart w:id="98" w:name="_Toc464814119"/>
      <w:bookmarkStart w:id="99" w:name="_Toc9538"/>
      <w:bookmarkStart w:id="100" w:name="_Toc358213385"/>
      <w:bookmarkStart w:id="101" w:name="_Toc30992"/>
      <w:bookmarkStart w:id="102" w:name="_Toc17292_WPSOffice_Level2"/>
      <w:r>
        <w:rPr>
          <w:rFonts w:hint="eastAsia" w:ascii="宋体" w:hAnsi="宋体" w:eastAsia="宋体" w:cs="宋体"/>
          <w:b w:val="0"/>
          <w:bCs w:val="0"/>
          <w:kern w:val="0"/>
          <w:sz w:val="28"/>
          <w:szCs w:val="28"/>
          <w:lang w:val="zh-CN" w:eastAsia="zh-CN" w:bidi="zh-CN"/>
        </w:rPr>
        <w:t>技术偏离表</w:t>
      </w:r>
      <w:bookmarkEnd w:id="98"/>
      <w:bookmarkEnd w:id="99"/>
      <w:bookmarkEnd w:id="100"/>
      <w:bookmarkEnd w:id="101"/>
      <w:bookmarkEnd w:id="102"/>
    </w:p>
    <w:tbl>
      <w:tblPr>
        <w:tblStyle w:val="19"/>
        <w:tblpPr w:leftFromText="180" w:rightFromText="180" w:vertAnchor="text" w:horzAnchor="page" w:tblpXSpec="center" w:tblpY="661"/>
        <w:tblOverlap w:val="never"/>
        <w:tblW w:w="85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2"/>
        <w:gridCol w:w="1137"/>
        <w:gridCol w:w="2509"/>
        <w:gridCol w:w="2425"/>
        <w:gridCol w:w="1744"/>
      </w:tblGrid>
      <w:tr w14:paraId="6FEE0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14:paraId="4D43E3EF">
            <w:pPr>
              <w:snapToGrid w:val="0"/>
              <w:spacing w:before="312" w:beforeLines="100" w:after="312" w:afterLines="100" w:line="360" w:lineRule="auto"/>
              <w:jc w:val="center"/>
              <w:rPr>
                <w:rFonts w:ascii="宋体" w:hAnsi="宋体" w:eastAsia="宋体" w:cs="宋体"/>
                <w:szCs w:val="21"/>
              </w:rPr>
            </w:pPr>
            <w:r>
              <w:rPr>
                <w:rFonts w:hint="eastAsia" w:ascii="宋体" w:hAnsi="宋体" w:eastAsia="宋体" w:cs="宋体"/>
                <w:szCs w:val="21"/>
              </w:rPr>
              <w:t>序号</w:t>
            </w:r>
          </w:p>
        </w:tc>
        <w:tc>
          <w:tcPr>
            <w:tcW w:w="1137" w:type="dxa"/>
            <w:vAlign w:val="center"/>
          </w:tcPr>
          <w:p w14:paraId="408C19B9">
            <w:pPr>
              <w:snapToGrid w:val="0"/>
              <w:spacing w:before="156" w:beforeLines="50" w:after="156" w:afterLines="50" w:line="360" w:lineRule="auto"/>
              <w:jc w:val="center"/>
              <w:rPr>
                <w:rFonts w:ascii="宋体" w:hAnsi="宋体" w:eastAsia="宋体" w:cs="宋体"/>
                <w:szCs w:val="21"/>
              </w:rPr>
            </w:pPr>
            <w:r>
              <w:rPr>
                <w:rFonts w:hint="eastAsia" w:ascii="宋体" w:hAnsi="宋体" w:eastAsia="宋体" w:cs="宋体"/>
                <w:szCs w:val="21"/>
              </w:rPr>
              <w:t>货物名称</w:t>
            </w:r>
          </w:p>
        </w:tc>
        <w:tc>
          <w:tcPr>
            <w:tcW w:w="2509" w:type="dxa"/>
            <w:vAlign w:val="center"/>
          </w:tcPr>
          <w:p w14:paraId="59C39623">
            <w:pPr>
              <w:snapToGrid w:val="0"/>
              <w:spacing w:before="156" w:beforeLines="50" w:after="156" w:afterLines="50" w:line="360" w:lineRule="auto"/>
              <w:jc w:val="center"/>
              <w:rPr>
                <w:rFonts w:ascii="宋体" w:hAnsi="宋体" w:eastAsia="宋体" w:cs="宋体"/>
                <w:szCs w:val="21"/>
              </w:rPr>
            </w:pPr>
            <w:r>
              <w:rPr>
                <w:rFonts w:hint="eastAsia" w:ascii="宋体" w:hAnsi="宋体" w:eastAsia="宋体" w:cs="宋体"/>
                <w:szCs w:val="21"/>
              </w:rPr>
              <w:t>磋商文件技术需求</w:t>
            </w:r>
          </w:p>
        </w:tc>
        <w:tc>
          <w:tcPr>
            <w:tcW w:w="2425" w:type="dxa"/>
            <w:vAlign w:val="center"/>
          </w:tcPr>
          <w:p w14:paraId="3F63A4F1">
            <w:pPr>
              <w:snapToGrid w:val="0"/>
              <w:spacing w:before="156" w:beforeLines="50" w:after="156" w:afterLines="50" w:line="360" w:lineRule="auto"/>
              <w:jc w:val="center"/>
              <w:rPr>
                <w:rFonts w:ascii="宋体" w:hAnsi="宋体" w:eastAsia="宋体" w:cs="宋体"/>
                <w:b/>
                <w:szCs w:val="21"/>
              </w:rPr>
            </w:pPr>
            <w:r>
              <w:rPr>
                <w:rFonts w:hint="eastAsia" w:ascii="宋体" w:hAnsi="宋体" w:eastAsia="宋体" w:cs="宋体"/>
                <w:szCs w:val="21"/>
              </w:rPr>
              <w:t>响应文件的技术参数</w:t>
            </w:r>
          </w:p>
        </w:tc>
        <w:tc>
          <w:tcPr>
            <w:tcW w:w="1744" w:type="dxa"/>
            <w:vAlign w:val="center"/>
          </w:tcPr>
          <w:p w14:paraId="6CBB7E6D">
            <w:pPr>
              <w:snapToGrid w:val="0"/>
              <w:spacing w:before="156" w:beforeLines="50" w:after="156" w:afterLines="50" w:line="360" w:lineRule="auto"/>
              <w:jc w:val="center"/>
              <w:rPr>
                <w:rFonts w:ascii="宋体" w:hAnsi="宋体" w:eastAsia="宋体" w:cs="宋体"/>
                <w:szCs w:val="21"/>
              </w:rPr>
            </w:pPr>
            <w:r>
              <w:rPr>
                <w:rFonts w:hint="eastAsia" w:ascii="宋体" w:hAnsi="宋体" w:eastAsia="宋体" w:cs="宋体"/>
                <w:szCs w:val="21"/>
              </w:rPr>
              <w:t>偏差说明</w:t>
            </w:r>
          </w:p>
        </w:tc>
      </w:tr>
      <w:tr w14:paraId="70C5B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14:paraId="19044362">
            <w:pPr>
              <w:snapToGrid w:val="0"/>
              <w:spacing w:before="312" w:beforeLines="100" w:after="312" w:afterLines="100" w:line="360" w:lineRule="auto"/>
              <w:jc w:val="center"/>
              <w:rPr>
                <w:rFonts w:ascii="宋体" w:hAnsi="宋体" w:eastAsia="宋体" w:cs="宋体"/>
                <w:szCs w:val="21"/>
              </w:rPr>
            </w:pPr>
            <w:r>
              <w:rPr>
                <w:rFonts w:hint="eastAsia" w:ascii="宋体" w:hAnsi="宋体" w:eastAsia="宋体" w:cs="宋体"/>
                <w:szCs w:val="21"/>
              </w:rPr>
              <w:t>1</w:t>
            </w:r>
          </w:p>
        </w:tc>
        <w:tc>
          <w:tcPr>
            <w:tcW w:w="1137" w:type="dxa"/>
            <w:vAlign w:val="center"/>
          </w:tcPr>
          <w:p w14:paraId="5399C16B">
            <w:pPr>
              <w:spacing w:line="360" w:lineRule="auto"/>
              <w:jc w:val="center"/>
              <w:rPr>
                <w:rFonts w:ascii="宋体" w:hAnsi="宋体" w:eastAsia="宋体" w:cs="宋体"/>
                <w:szCs w:val="21"/>
              </w:rPr>
            </w:pPr>
          </w:p>
        </w:tc>
        <w:tc>
          <w:tcPr>
            <w:tcW w:w="2509" w:type="dxa"/>
            <w:vAlign w:val="center"/>
          </w:tcPr>
          <w:p w14:paraId="4C9E1643">
            <w:pPr>
              <w:spacing w:line="360" w:lineRule="auto"/>
              <w:jc w:val="center"/>
              <w:rPr>
                <w:rFonts w:ascii="宋体" w:hAnsi="宋体" w:eastAsia="宋体" w:cs="宋体"/>
                <w:szCs w:val="21"/>
              </w:rPr>
            </w:pPr>
          </w:p>
        </w:tc>
        <w:tc>
          <w:tcPr>
            <w:tcW w:w="2425" w:type="dxa"/>
            <w:vAlign w:val="center"/>
          </w:tcPr>
          <w:p w14:paraId="67C8F3DC">
            <w:pPr>
              <w:spacing w:line="360" w:lineRule="auto"/>
              <w:jc w:val="center"/>
              <w:rPr>
                <w:rFonts w:ascii="宋体" w:hAnsi="宋体" w:eastAsia="宋体" w:cs="宋体"/>
                <w:szCs w:val="21"/>
              </w:rPr>
            </w:pPr>
          </w:p>
        </w:tc>
        <w:tc>
          <w:tcPr>
            <w:tcW w:w="1744" w:type="dxa"/>
            <w:vAlign w:val="center"/>
          </w:tcPr>
          <w:p w14:paraId="234031DD">
            <w:pPr>
              <w:spacing w:line="360" w:lineRule="auto"/>
              <w:jc w:val="center"/>
              <w:rPr>
                <w:rFonts w:ascii="宋体" w:hAnsi="宋体" w:eastAsia="宋体" w:cs="宋体"/>
                <w:szCs w:val="21"/>
              </w:rPr>
            </w:pPr>
          </w:p>
        </w:tc>
      </w:tr>
      <w:tr w14:paraId="4D6C6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14:paraId="6C118659">
            <w:pPr>
              <w:snapToGrid w:val="0"/>
              <w:spacing w:before="312" w:beforeLines="100" w:after="312" w:afterLines="100" w:line="360" w:lineRule="auto"/>
              <w:jc w:val="center"/>
              <w:rPr>
                <w:rFonts w:ascii="宋体" w:hAnsi="宋体" w:eastAsia="宋体" w:cs="宋体"/>
                <w:szCs w:val="21"/>
              </w:rPr>
            </w:pPr>
            <w:r>
              <w:rPr>
                <w:rFonts w:hint="eastAsia" w:ascii="宋体" w:hAnsi="宋体" w:eastAsia="宋体" w:cs="宋体"/>
                <w:szCs w:val="21"/>
              </w:rPr>
              <w:t>2</w:t>
            </w:r>
          </w:p>
        </w:tc>
        <w:tc>
          <w:tcPr>
            <w:tcW w:w="1137" w:type="dxa"/>
            <w:vAlign w:val="center"/>
          </w:tcPr>
          <w:p w14:paraId="775C0355">
            <w:pPr>
              <w:spacing w:line="360" w:lineRule="auto"/>
              <w:jc w:val="center"/>
              <w:rPr>
                <w:rFonts w:ascii="宋体" w:hAnsi="宋体" w:eastAsia="宋体" w:cs="宋体"/>
                <w:szCs w:val="21"/>
              </w:rPr>
            </w:pPr>
          </w:p>
        </w:tc>
        <w:tc>
          <w:tcPr>
            <w:tcW w:w="2509" w:type="dxa"/>
            <w:vAlign w:val="center"/>
          </w:tcPr>
          <w:p w14:paraId="1FF8CF96">
            <w:pPr>
              <w:spacing w:line="360" w:lineRule="auto"/>
              <w:jc w:val="center"/>
              <w:rPr>
                <w:rFonts w:ascii="宋体" w:hAnsi="宋体" w:eastAsia="宋体" w:cs="宋体"/>
                <w:szCs w:val="21"/>
              </w:rPr>
            </w:pPr>
          </w:p>
        </w:tc>
        <w:tc>
          <w:tcPr>
            <w:tcW w:w="2425" w:type="dxa"/>
            <w:vAlign w:val="center"/>
          </w:tcPr>
          <w:p w14:paraId="27408323">
            <w:pPr>
              <w:spacing w:line="360" w:lineRule="auto"/>
              <w:jc w:val="center"/>
              <w:rPr>
                <w:rFonts w:ascii="宋体" w:hAnsi="宋体" w:eastAsia="宋体" w:cs="宋体"/>
                <w:szCs w:val="21"/>
              </w:rPr>
            </w:pPr>
          </w:p>
        </w:tc>
        <w:tc>
          <w:tcPr>
            <w:tcW w:w="1744" w:type="dxa"/>
            <w:vAlign w:val="center"/>
          </w:tcPr>
          <w:p w14:paraId="70F3A0CA">
            <w:pPr>
              <w:spacing w:line="360" w:lineRule="auto"/>
              <w:jc w:val="center"/>
              <w:rPr>
                <w:rFonts w:ascii="宋体" w:hAnsi="宋体" w:eastAsia="宋体" w:cs="宋体"/>
                <w:szCs w:val="21"/>
              </w:rPr>
            </w:pPr>
          </w:p>
        </w:tc>
      </w:tr>
      <w:tr w14:paraId="5B7097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02" w:type="dxa"/>
            <w:vAlign w:val="center"/>
          </w:tcPr>
          <w:p w14:paraId="5287BCFB">
            <w:pPr>
              <w:snapToGrid w:val="0"/>
              <w:spacing w:before="312" w:beforeLines="100" w:after="312" w:afterLines="100" w:line="360" w:lineRule="auto"/>
              <w:jc w:val="center"/>
              <w:rPr>
                <w:rFonts w:ascii="宋体" w:hAnsi="宋体" w:eastAsia="宋体" w:cs="宋体"/>
                <w:szCs w:val="21"/>
              </w:rPr>
            </w:pPr>
            <w:r>
              <w:rPr>
                <w:rFonts w:ascii="Arial" w:hAnsi="Arial" w:eastAsia="宋体" w:cs="Arial"/>
                <w:szCs w:val="21"/>
              </w:rPr>
              <w:t>…</w:t>
            </w:r>
          </w:p>
        </w:tc>
        <w:tc>
          <w:tcPr>
            <w:tcW w:w="1137" w:type="dxa"/>
            <w:vAlign w:val="center"/>
          </w:tcPr>
          <w:p w14:paraId="3C69C14D">
            <w:pPr>
              <w:spacing w:line="360" w:lineRule="auto"/>
              <w:jc w:val="center"/>
              <w:rPr>
                <w:rFonts w:ascii="宋体" w:hAnsi="宋体" w:eastAsia="宋体" w:cs="宋体"/>
                <w:szCs w:val="21"/>
              </w:rPr>
            </w:pPr>
          </w:p>
        </w:tc>
        <w:tc>
          <w:tcPr>
            <w:tcW w:w="2509" w:type="dxa"/>
            <w:vAlign w:val="center"/>
          </w:tcPr>
          <w:p w14:paraId="402971D4">
            <w:pPr>
              <w:spacing w:line="360" w:lineRule="auto"/>
              <w:jc w:val="center"/>
              <w:rPr>
                <w:rFonts w:ascii="宋体" w:hAnsi="宋体" w:eastAsia="宋体" w:cs="宋体"/>
                <w:szCs w:val="21"/>
              </w:rPr>
            </w:pPr>
          </w:p>
        </w:tc>
        <w:tc>
          <w:tcPr>
            <w:tcW w:w="2425" w:type="dxa"/>
            <w:vAlign w:val="center"/>
          </w:tcPr>
          <w:p w14:paraId="1100971A">
            <w:pPr>
              <w:spacing w:line="360" w:lineRule="auto"/>
              <w:jc w:val="center"/>
              <w:rPr>
                <w:rFonts w:ascii="宋体" w:hAnsi="宋体" w:eastAsia="宋体" w:cs="宋体"/>
                <w:szCs w:val="21"/>
              </w:rPr>
            </w:pPr>
          </w:p>
        </w:tc>
        <w:tc>
          <w:tcPr>
            <w:tcW w:w="1744" w:type="dxa"/>
            <w:vAlign w:val="center"/>
          </w:tcPr>
          <w:p w14:paraId="5EB1860D">
            <w:pPr>
              <w:spacing w:line="360" w:lineRule="auto"/>
              <w:jc w:val="center"/>
              <w:rPr>
                <w:rFonts w:ascii="宋体" w:hAnsi="宋体" w:eastAsia="宋体" w:cs="宋体"/>
                <w:szCs w:val="21"/>
              </w:rPr>
            </w:pPr>
          </w:p>
        </w:tc>
      </w:tr>
    </w:tbl>
    <w:p w14:paraId="10FB11E9">
      <w:pPr>
        <w:pStyle w:val="29"/>
        <w:numPr>
          <w:ilvl w:val="0"/>
          <w:numId w:val="0"/>
        </w:numPr>
        <w:jc w:val="both"/>
        <w:rPr>
          <w:rFonts w:hint="eastAsia" w:ascii="宋体" w:hAnsi="宋体" w:eastAsia="宋体" w:cs="宋体"/>
          <w:b w:val="0"/>
          <w:bCs w:val="0"/>
          <w:kern w:val="0"/>
          <w:sz w:val="28"/>
          <w:szCs w:val="28"/>
          <w:lang w:val="zh-CN" w:eastAsia="zh-CN" w:bidi="zh-CN"/>
        </w:rPr>
      </w:pPr>
    </w:p>
    <w:p w14:paraId="06825754">
      <w:pPr>
        <w:pStyle w:val="29"/>
        <w:numPr>
          <w:ilvl w:val="0"/>
          <w:numId w:val="0"/>
        </w:numPr>
        <w:jc w:val="both"/>
        <w:rPr>
          <w:rFonts w:hint="eastAsia" w:ascii="宋体" w:hAnsi="宋体" w:eastAsia="宋体" w:cs="宋体"/>
          <w:b w:val="0"/>
          <w:bCs w:val="0"/>
          <w:kern w:val="0"/>
          <w:sz w:val="28"/>
          <w:szCs w:val="28"/>
          <w:lang w:val="zh-CN" w:eastAsia="zh-CN" w:bidi="zh-CN"/>
        </w:rPr>
      </w:pPr>
    </w:p>
    <w:p w14:paraId="010273BE">
      <w:pPr>
        <w:numPr>
          <w:ilvl w:val="0"/>
          <w:numId w:val="0"/>
        </w:numPr>
        <w:jc w:val="center"/>
        <w:rPr>
          <w:rFonts w:hint="eastAsia" w:ascii="宋体" w:hAnsi="宋体" w:cs="仿宋"/>
          <w:b/>
          <w:bCs/>
          <w:color w:val="auto"/>
          <w:sz w:val="21"/>
          <w:szCs w:val="21"/>
          <w:highlight w:val="none"/>
          <w:lang w:eastAsia="zh-CN"/>
        </w:rPr>
      </w:pPr>
    </w:p>
    <w:p w14:paraId="3C90BFAC">
      <w:pPr>
        <w:adjustRightInd w:val="0"/>
        <w:snapToGrid w:val="0"/>
        <w:spacing w:line="360" w:lineRule="auto"/>
        <w:ind w:firstLine="480" w:firstLineChars="200"/>
        <w:rPr>
          <w:rFonts w:ascii="宋体" w:hAnsi="宋体" w:eastAsia="宋体" w:cs="宋体"/>
          <w:szCs w:val="21"/>
        </w:rPr>
      </w:pPr>
      <w:r>
        <w:rPr>
          <w:rFonts w:hint="eastAsia" w:ascii="宋体" w:hAnsi="宋体" w:eastAsia="宋体" w:cs="Times New Roman"/>
          <w:sz w:val="24"/>
          <w:szCs w:val="21"/>
        </w:rPr>
        <w:t>注：</w:t>
      </w:r>
      <w:r>
        <w:rPr>
          <w:rFonts w:hint="eastAsia" w:ascii="宋体" w:hAnsi="宋体" w:eastAsia="宋体" w:cs="宋体"/>
          <w:szCs w:val="21"/>
        </w:rPr>
        <w:t>1. 供应商需按磋商文件第三章“采购需求”条款的要求逐条填写，列出所投产品或服务的具体技术指标，并辅以详细解释。除“满足”项目外，必须在偏差说明一栏中对偏差予以详细说明。</w:t>
      </w:r>
    </w:p>
    <w:p w14:paraId="1815FB3C">
      <w:pPr>
        <w:adjustRightInd w:val="0"/>
        <w:snapToGrid w:val="0"/>
        <w:spacing w:line="360" w:lineRule="auto"/>
        <w:ind w:firstLine="440" w:firstLineChars="200"/>
        <w:rPr>
          <w:rFonts w:ascii="宋体" w:hAnsi="宋体" w:eastAsia="宋体" w:cs="宋体"/>
          <w:szCs w:val="21"/>
        </w:rPr>
      </w:pPr>
      <w:r>
        <w:rPr>
          <w:rFonts w:hint="eastAsia" w:ascii="宋体" w:hAnsi="宋体" w:eastAsia="宋体" w:cs="宋体"/>
          <w:szCs w:val="21"/>
        </w:rPr>
        <w:t>2. 供应商可根据其响应内容进一步细化上述表格，并可增添其它表格或说明以便进一步明确响应内容。</w:t>
      </w:r>
    </w:p>
    <w:p w14:paraId="48900BDB">
      <w:pPr>
        <w:numPr>
          <w:ilvl w:val="0"/>
          <w:numId w:val="0"/>
        </w:numPr>
        <w:jc w:val="center"/>
        <w:rPr>
          <w:rFonts w:hint="eastAsia" w:ascii="宋体" w:hAnsi="宋体" w:cs="仿宋"/>
          <w:b/>
          <w:bCs/>
          <w:color w:val="auto"/>
          <w:sz w:val="21"/>
          <w:szCs w:val="21"/>
          <w:highlight w:val="none"/>
          <w:lang w:eastAsia="zh-CN"/>
        </w:rPr>
      </w:pPr>
      <w:r>
        <w:rPr>
          <w:rFonts w:hint="eastAsia" w:ascii="宋体" w:hAnsi="宋体" w:eastAsia="宋体" w:cs="宋体"/>
          <w:szCs w:val="21"/>
        </w:rPr>
        <w:t>3.未按要求填写，可能会造成不良后果，供应商自行承担。</w:t>
      </w:r>
    </w:p>
    <w:p w14:paraId="0BF5B372">
      <w:pPr>
        <w:numPr>
          <w:ilvl w:val="0"/>
          <w:numId w:val="0"/>
        </w:numPr>
        <w:jc w:val="center"/>
        <w:rPr>
          <w:rFonts w:hint="eastAsia" w:ascii="宋体" w:hAnsi="宋体" w:cs="仿宋"/>
          <w:b/>
          <w:bCs/>
          <w:color w:val="auto"/>
          <w:sz w:val="21"/>
          <w:szCs w:val="21"/>
          <w:highlight w:val="none"/>
          <w:lang w:eastAsia="zh-CN"/>
        </w:rPr>
      </w:pPr>
    </w:p>
    <w:p w14:paraId="2203E954">
      <w:pPr>
        <w:numPr>
          <w:ilvl w:val="0"/>
          <w:numId w:val="0"/>
        </w:numPr>
        <w:jc w:val="center"/>
        <w:rPr>
          <w:rFonts w:hint="eastAsia" w:ascii="宋体" w:hAnsi="宋体" w:cs="仿宋"/>
          <w:b/>
          <w:bCs/>
          <w:color w:val="auto"/>
          <w:sz w:val="21"/>
          <w:szCs w:val="21"/>
          <w:highlight w:val="none"/>
          <w:lang w:eastAsia="zh-CN"/>
        </w:rPr>
      </w:pPr>
    </w:p>
    <w:p w14:paraId="3D7B7F6D">
      <w:pPr>
        <w:numPr>
          <w:ilvl w:val="0"/>
          <w:numId w:val="0"/>
        </w:numPr>
        <w:jc w:val="center"/>
        <w:rPr>
          <w:rFonts w:hint="eastAsia" w:ascii="宋体" w:hAnsi="宋体" w:cs="仿宋"/>
          <w:b/>
          <w:bCs/>
          <w:color w:val="auto"/>
          <w:sz w:val="21"/>
          <w:szCs w:val="21"/>
          <w:highlight w:val="none"/>
          <w:lang w:eastAsia="zh-CN"/>
        </w:rPr>
      </w:pPr>
    </w:p>
    <w:p w14:paraId="04C8E772">
      <w:pPr>
        <w:numPr>
          <w:ilvl w:val="0"/>
          <w:numId w:val="0"/>
        </w:numPr>
        <w:jc w:val="center"/>
        <w:rPr>
          <w:rFonts w:hint="eastAsia" w:ascii="宋体" w:hAnsi="宋体" w:cs="仿宋"/>
          <w:b/>
          <w:bCs/>
          <w:color w:val="auto"/>
          <w:sz w:val="21"/>
          <w:szCs w:val="21"/>
          <w:highlight w:val="none"/>
          <w:lang w:eastAsia="zh-CN"/>
        </w:rPr>
      </w:pPr>
    </w:p>
    <w:p w14:paraId="5BB8B095">
      <w:pPr>
        <w:numPr>
          <w:ilvl w:val="0"/>
          <w:numId w:val="0"/>
        </w:numPr>
        <w:jc w:val="center"/>
        <w:rPr>
          <w:rFonts w:hint="eastAsia" w:ascii="宋体" w:hAnsi="宋体" w:cs="仿宋"/>
          <w:b/>
          <w:bCs/>
          <w:color w:val="auto"/>
          <w:sz w:val="21"/>
          <w:szCs w:val="21"/>
          <w:highlight w:val="none"/>
          <w:lang w:eastAsia="zh-CN"/>
        </w:rPr>
      </w:pPr>
    </w:p>
    <w:p w14:paraId="2B0CDC4A">
      <w:pPr>
        <w:numPr>
          <w:ilvl w:val="0"/>
          <w:numId w:val="0"/>
        </w:numPr>
        <w:jc w:val="center"/>
        <w:rPr>
          <w:rFonts w:hint="eastAsia" w:ascii="宋体" w:hAnsi="宋体" w:cs="仿宋"/>
          <w:b/>
          <w:bCs/>
          <w:color w:val="auto"/>
          <w:sz w:val="21"/>
          <w:szCs w:val="21"/>
          <w:highlight w:val="none"/>
          <w:lang w:eastAsia="zh-CN"/>
        </w:rPr>
      </w:pPr>
    </w:p>
    <w:p w14:paraId="3A9D4CF3">
      <w:pPr>
        <w:numPr>
          <w:ilvl w:val="0"/>
          <w:numId w:val="0"/>
        </w:numPr>
        <w:jc w:val="center"/>
        <w:rPr>
          <w:rFonts w:hint="eastAsia" w:ascii="宋体" w:hAnsi="宋体" w:cs="仿宋"/>
          <w:b/>
          <w:bCs/>
          <w:color w:val="auto"/>
          <w:sz w:val="21"/>
          <w:szCs w:val="21"/>
          <w:highlight w:val="none"/>
          <w:lang w:eastAsia="zh-CN"/>
        </w:rPr>
      </w:pPr>
    </w:p>
    <w:p w14:paraId="32EEF175">
      <w:pPr>
        <w:numPr>
          <w:ilvl w:val="0"/>
          <w:numId w:val="0"/>
        </w:numPr>
        <w:jc w:val="center"/>
        <w:rPr>
          <w:rFonts w:hint="eastAsia" w:ascii="宋体" w:hAnsi="宋体" w:cs="仿宋"/>
          <w:b/>
          <w:bCs/>
          <w:color w:val="auto"/>
          <w:sz w:val="21"/>
          <w:szCs w:val="21"/>
          <w:highlight w:val="none"/>
          <w:lang w:eastAsia="zh-CN"/>
        </w:rPr>
      </w:pPr>
    </w:p>
    <w:p w14:paraId="74FBD1C3">
      <w:pPr>
        <w:numPr>
          <w:ilvl w:val="0"/>
          <w:numId w:val="0"/>
        </w:numPr>
        <w:jc w:val="center"/>
        <w:rPr>
          <w:rFonts w:hint="eastAsia" w:ascii="宋体" w:hAnsi="宋体" w:cs="仿宋"/>
          <w:b/>
          <w:bCs/>
          <w:color w:val="auto"/>
          <w:sz w:val="21"/>
          <w:szCs w:val="21"/>
          <w:highlight w:val="none"/>
          <w:lang w:eastAsia="zh-CN"/>
        </w:rPr>
      </w:pPr>
    </w:p>
    <w:p w14:paraId="205D78A7">
      <w:pPr>
        <w:numPr>
          <w:ilvl w:val="0"/>
          <w:numId w:val="0"/>
        </w:numPr>
        <w:jc w:val="center"/>
        <w:rPr>
          <w:rFonts w:hint="eastAsia" w:ascii="宋体" w:hAnsi="宋体" w:cs="仿宋"/>
          <w:b/>
          <w:bCs/>
          <w:color w:val="auto"/>
          <w:sz w:val="21"/>
          <w:szCs w:val="21"/>
          <w:highlight w:val="none"/>
          <w:lang w:eastAsia="zh-CN"/>
        </w:rPr>
      </w:pPr>
    </w:p>
    <w:p w14:paraId="25A299C8">
      <w:pPr>
        <w:numPr>
          <w:ilvl w:val="0"/>
          <w:numId w:val="0"/>
        </w:numPr>
        <w:jc w:val="center"/>
        <w:rPr>
          <w:rFonts w:hint="eastAsia" w:ascii="宋体" w:hAnsi="宋体" w:cs="仿宋"/>
          <w:b/>
          <w:bCs/>
          <w:color w:val="auto"/>
          <w:sz w:val="21"/>
          <w:szCs w:val="21"/>
          <w:highlight w:val="none"/>
          <w:lang w:eastAsia="zh-CN"/>
        </w:rPr>
      </w:pPr>
    </w:p>
    <w:p w14:paraId="7845F03A">
      <w:pPr>
        <w:numPr>
          <w:ilvl w:val="0"/>
          <w:numId w:val="0"/>
        </w:numPr>
        <w:jc w:val="center"/>
        <w:rPr>
          <w:rFonts w:hint="eastAsia" w:ascii="宋体" w:hAnsi="宋体" w:cs="仿宋"/>
          <w:b/>
          <w:bCs/>
          <w:color w:val="auto"/>
          <w:sz w:val="21"/>
          <w:szCs w:val="21"/>
          <w:highlight w:val="none"/>
          <w:lang w:eastAsia="zh-CN"/>
        </w:rPr>
      </w:pPr>
    </w:p>
    <w:p w14:paraId="3674D417">
      <w:pPr>
        <w:numPr>
          <w:ilvl w:val="0"/>
          <w:numId w:val="0"/>
        </w:numPr>
        <w:jc w:val="center"/>
        <w:rPr>
          <w:rFonts w:hint="eastAsia" w:ascii="宋体" w:hAnsi="宋体" w:cs="仿宋"/>
          <w:b/>
          <w:bCs/>
          <w:color w:val="auto"/>
          <w:sz w:val="21"/>
          <w:szCs w:val="21"/>
          <w:highlight w:val="none"/>
          <w:lang w:eastAsia="zh-CN"/>
        </w:rPr>
      </w:pPr>
    </w:p>
    <w:p w14:paraId="0A93C4E2">
      <w:pPr>
        <w:numPr>
          <w:ilvl w:val="0"/>
          <w:numId w:val="0"/>
        </w:numPr>
        <w:jc w:val="center"/>
        <w:rPr>
          <w:rFonts w:hint="eastAsia" w:ascii="宋体" w:hAnsi="宋体" w:cs="仿宋"/>
          <w:b/>
          <w:bCs/>
          <w:color w:val="auto"/>
          <w:sz w:val="21"/>
          <w:szCs w:val="21"/>
          <w:highlight w:val="none"/>
          <w:lang w:eastAsia="zh-CN"/>
        </w:rPr>
      </w:pPr>
    </w:p>
    <w:p w14:paraId="7520EB61">
      <w:pPr>
        <w:numPr>
          <w:ilvl w:val="0"/>
          <w:numId w:val="0"/>
        </w:numPr>
        <w:jc w:val="center"/>
        <w:rPr>
          <w:rFonts w:hint="eastAsia" w:ascii="宋体" w:hAnsi="宋体" w:cs="仿宋"/>
          <w:b/>
          <w:bCs/>
          <w:color w:val="auto"/>
          <w:sz w:val="21"/>
          <w:szCs w:val="21"/>
          <w:highlight w:val="none"/>
          <w:lang w:eastAsia="zh-CN"/>
        </w:rPr>
      </w:pPr>
    </w:p>
    <w:p w14:paraId="13D3EF06">
      <w:pPr>
        <w:numPr>
          <w:ilvl w:val="0"/>
          <w:numId w:val="0"/>
        </w:numPr>
        <w:jc w:val="center"/>
        <w:rPr>
          <w:rFonts w:hint="eastAsia" w:ascii="宋体" w:hAnsi="宋体" w:cs="仿宋"/>
          <w:b/>
          <w:bCs/>
          <w:color w:val="auto"/>
          <w:sz w:val="21"/>
          <w:szCs w:val="21"/>
          <w:highlight w:val="none"/>
          <w:lang w:eastAsia="zh-CN"/>
        </w:rPr>
      </w:pPr>
    </w:p>
    <w:p w14:paraId="3FA11C10">
      <w:pPr>
        <w:numPr>
          <w:ilvl w:val="0"/>
          <w:numId w:val="0"/>
        </w:numPr>
        <w:jc w:val="center"/>
        <w:rPr>
          <w:rFonts w:hint="eastAsia" w:ascii="宋体" w:hAnsi="宋体" w:cs="仿宋"/>
          <w:b/>
          <w:bCs/>
          <w:color w:val="auto"/>
          <w:sz w:val="21"/>
          <w:szCs w:val="21"/>
          <w:highlight w:val="none"/>
          <w:lang w:eastAsia="zh-CN"/>
        </w:rPr>
      </w:pPr>
    </w:p>
    <w:p w14:paraId="5AC304FE">
      <w:pPr>
        <w:numPr>
          <w:ilvl w:val="0"/>
          <w:numId w:val="0"/>
        </w:numPr>
        <w:jc w:val="center"/>
        <w:rPr>
          <w:rFonts w:hint="eastAsia" w:ascii="宋体" w:hAnsi="宋体" w:cs="仿宋"/>
          <w:b/>
          <w:bCs/>
          <w:color w:val="auto"/>
          <w:sz w:val="21"/>
          <w:szCs w:val="21"/>
          <w:highlight w:val="none"/>
          <w:lang w:eastAsia="zh-CN"/>
        </w:rPr>
      </w:pPr>
    </w:p>
    <w:p w14:paraId="7D5F4954">
      <w:pPr>
        <w:numPr>
          <w:ilvl w:val="0"/>
          <w:numId w:val="0"/>
        </w:numPr>
        <w:jc w:val="center"/>
        <w:rPr>
          <w:rFonts w:hint="eastAsia" w:ascii="宋体" w:hAnsi="宋体" w:cs="仿宋"/>
          <w:b/>
          <w:bCs/>
          <w:color w:val="auto"/>
          <w:sz w:val="21"/>
          <w:szCs w:val="21"/>
          <w:highlight w:val="none"/>
          <w:lang w:eastAsia="zh-CN"/>
        </w:rPr>
      </w:pPr>
    </w:p>
    <w:p w14:paraId="398B3EDE">
      <w:pPr>
        <w:numPr>
          <w:ilvl w:val="0"/>
          <w:numId w:val="0"/>
        </w:numPr>
        <w:jc w:val="center"/>
        <w:rPr>
          <w:rFonts w:hint="eastAsia" w:ascii="宋体" w:hAnsi="宋体" w:cs="仿宋"/>
          <w:b/>
          <w:bCs/>
          <w:color w:val="auto"/>
          <w:sz w:val="21"/>
          <w:szCs w:val="21"/>
          <w:highlight w:val="none"/>
          <w:lang w:eastAsia="zh-CN"/>
        </w:rPr>
      </w:pPr>
    </w:p>
    <w:p w14:paraId="7360777F">
      <w:pPr>
        <w:numPr>
          <w:ilvl w:val="0"/>
          <w:numId w:val="0"/>
        </w:numPr>
        <w:jc w:val="center"/>
        <w:rPr>
          <w:rFonts w:hint="eastAsia" w:ascii="宋体" w:hAnsi="宋体" w:cs="仿宋"/>
          <w:b/>
          <w:bCs/>
          <w:color w:val="auto"/>
          <w:sz w:val="21"/>
          <w:szCs w:val="21"/>
          <w:highlight w:val="none"/>
          <w:lang w:eastAsia="zh-CN"/>
        </w:rPr>
      </w:pPr>
    </w:p>
    <w:p w14:paraId="11D0DC74">
      <w:pPr>
        <w:numPr>
          <w:ilvl w:val="0"/>
          <w:numId w:val="0"/>
        </w:numPr>
        <w:jc w:val="center"/>
        <w:rPr>
          <w:rFonts w:hint="eastAsia" w:cs="仿宋"/>
          <w:b/>
          <w:bCs/>
          <w:color w:val="auto"/>
          <w:sz w:val="21"/>
          <w:szCs w:val="21"/>
          <w:highlight w:val="none"/>
          <w:lang w:eastAsia="zh-CN"/>
        </w:rPr>
      </w:pPr>
      <w:r>
        <w:rPr>
          <w:rFonts w:hint="eastAsia" w:ascii="宋体" w:hAnsi="宋体" w:cs="仿宋"/>
          <w:b/>
          <w:bCs/>
          <w:color w:val="auto"/>
          <w:sz w:val="21"/>
          <w:szCs w:val="21"/>
          <w:highlight w:val="none"/>
          <w:lang w:eastAsia="zh-CN"/>
        </w:rPr>
        <w:t>二、</w:t>
      </w:r>
      <w:r>
        <w:rPr>
          <w:rFonts w:hint="eastAsia" w:cs="仿宋"/>
          <w:b/>
          <w:bCs/>
          <w:color w:val="auto"/>
          <w:sz w:val="21"/>
          <w:szCs w:val="21"/>
          <w:highlight w:val="none"/>
          <w:lang w:eastAsia="zh-CN"/>
        </w:rPr>
        <w:t>法定代表人身份证明</w:t>
      </w:r>
    </w:p>
    <w:p w14:paraId="05A2B6CC">
      <w:pPr>
        <w:numPr>
          <w:ilvl w:val="0"/>
          <w:numId w:val="0"/>
        </w:numPr>
        <w:rPr>
          <w:rFonts w:hint="eastAsia" w:ascii="宋体" w:hAnsi="宋体" w:cs="仿宋"/>
          <w:color w:val="auto"/>
          <w:spacing w:val="-1"/>
          <w:sz w:val="21"/>
          <w:szCs w:val="21"/>
          <w:highlight w:val="none"/>
        </w:rPr>
      </w:pPr>
    </w:p>
    <w:p w14:paraId="414E38D4">
      <w:pPr>
        <w:numPr>
          <w:ilvl w:val="0"/>
          <w:numId w:val="0"/>
        </w:numPr>
        <w:rPr>
          <w:rFonts w:hint="eastAsia" w:ascii="宋体" w:hAnsi="宋体" w:cs="仿宋"/>
          <w:color w:val="auto"/>
          <w:spacing w:val="-1"/>
          <w:sz w:val="21"/>
          <w:szCs w:val="21"/>
          <w:highlight w:val="none"/>
        </w:rPr>
      </w:pPr>
    </w:p>
    <w:p w14:paraId="38B269BA">
      <w:pPr>
        <w:numPr>
          <w:ilvl w:val="0"/>
          <w:numId w:val="0"/>
        </w:numPr>
        <w:spacing w:line="360" w:lineRule="auto"/>
        <w:rPr>
          <w:rFonts w:ascii="宋体" w:hAnsi="宋体" w:cs="仿宋"/>
          <w:color w:val="auto"/>
          <w:spacing w:val="-1"/>
          <w:sz w:val="22"/>
          <w:szCs w:val="22"/>
          <w:highlight w:val="none"/>
          <w:u w:val="single"/>
        </w:rPr>
      </w:pPr>
      <w:r>
        <w:rPr>
          <w:rFonts w:hint="eastAsia" w:ascii="宋体" w:hAnsi="宋体" w:cs="仿宋"/>
          <w:color w:val="auto"/>
          <w:spacing w:val="-1"/>
          <w:sz w:val="22"/>
          <w:szCs w:val="22"/>
          <w:highlight w:val="none"/>
        </w:rPr>
        <w:t>供应商名称：</w:t>
      </w:r>
      <w:r>
        <w:rPr>
          <w:rFonts w:hint="eastAsia" w:ascii="宋体" w:hAnsi="宋体" w:cs="仿宋"/>
          <w:color w:val="auto"/>
          <w:spacing w:val="-1"/>
          <w:sz w:val="22"/>
          <w:szCs w:val="22"/>
          <w:highlight w:val="none"/>
          <w:u w:val="single"/>
        </w:rPr>
        <w:t xml:space="preserve">                                             </w:t>
      </w:r>
    </w:p>
    <w:p w14:paraId="5D8AD505">
      <w:pPr>
        <w:pStyle w:val="25"/>
        <w:spacing w:line="360" w:lineRule="auto"/>
        <w:rPr>
          <w:color w:val="auto"/>
          <w:sz w:val="22"/>
          <w:szCs w:val="22"/>
          <w:highlight w:val="none"/>
          <w:u w:val="single"/>
        </w:rPr>
      </w:pPr>
      <w:r>
        <w:rPr>
          <w:rFonts w:hint="eastAsia"/>
          <w:color w:val="auto"/>
          <w:sz w:val="22"/>
          <w:szCs w:val="22"/>
          <w:highlight w:val="none"/>
        </w:rPr>
        <w:t>单位性质：</w:t>
      </w:r>
      <w:r>
        <w:rPr>
          <w:rFonts w:hint="eastAsia"/>
          <w:color w:val="auto"/>
          <w:sz w:val="22"/>
          <w:szCs w:val="22"/>
          <w:highlight w:val="none"/>
          <w:u w:val="single"/>
        </w:rPr>
        <w:t xml:space="preserve">                                               </w:t>
      </w:r>
    </w:p>
    <w:p w14:paraId="3600DCC8">
      <w:pPr>
        <w:pStyle w:val="25"/>
        <w:spacing w:line="360" w:lineRule="auto"/>
        <w:rPr>
          <w:rFonts w:hAnsi="宋体" w:cs="仿宋"/>
          <w:color w:val="auto"/>
          <w:sz w:val="22"/>
          <w:szCs w:val="22"/>
          <w:highlight w:val="none"/>
          <w:u w:val="single"/>
        </w:rPr>
      </w:pPr>
      <w:r>
        <w:rPr>
          <w:rFonts w:hint="eastAsia" w:hAnsi="宋体" w:cs="仿宋"/>
          <w:color w:val="auto"/>
          <w:sz w:val="22"/>
          <w:szCs w:val="22"/>
          <w:highlight w:val="none"/>
        </w:rPr>
        <w:t>地址：</w:t>
      </w:r>
      <w:r>
        <w:rPr>
          <w:rFonts w:hint="eastAsia" w:hAnsi="宋体" w:cs="仿宋"/>
          <w:color w:val="auto"/>
          <w:sz w:val="22"/>
          <w:szCs w:val="22"/>
          <w:highlight w:val="none"/>
          <w:u w:val="single"/>
        </w:rPr>
        <w:t xml:space="preserve">                                                   </w:t>
      </w:r>
    </w:p>
    <w:p w14:paraId="3C6BE1CE">
      <w:pPr>
        <w:pStyle w:val="25"/>
        <w:spacing w:line="360" w:lineRule="auto"/>
        <w:rPr>
          <w:rFonts w:hAnsi="宋体" w:cs="仿宋"/>
          <w:color w:val="auto"/>
          <w:spacing w:val="-1"/>
          <w:sz w:val="22"/>
          <w:szCs w:val="22"/>
          <w:highlight w:val="none"/>
          <w:u w:val="single"/>
        </w:rPr>
      </w:pPr>
      <w:r>
        <w:rPr>
          <w:rFonts w:hint="eastAsia" w:hAnsi="宋体" w:cs="仿宋"/>
          <w:color w:val="auto"/>
          <w:spacing w:val="-1"/>
          <w:sz w:val="22"/>
          <w:szCs w:val="22"/>
          <w:highlight w:val="none"/>
        </w:rPr>
        <w:t>成立时间：</w:t>
      </w:r>
      <w:r>
        <w:rPr>
          <w:rFonts w:hint="eastAsia" w:hAnsi="宋体" w:cs="仿宋"/>
          <w:color w:val="auto"/>
          <w:spacing w:val="-1"/>
          <w:sz w:val="22"/>
          <w:szCs w:val="22"/>
          <w:highlight w:val="none"/>
          <w:u w:val="single"/>
        </w:rPr>
        <w:t xml:space="preserve">              年              月              日</w:t>
      </w:r>
    </w:p>
    <w:p w14:paraId="329F6127">
      <w:pPr>
        <w:pStyle w:val="25"/>
        <w:spacing w:line="360" w:lineRule="auto"/>
        <w:rPr>
          <w:rFonts w:hAnsi="宋体" w:cs="仿宋"/>
          <w:color w:val="auto"/>
          <w:sz w:val="22"/>
          <w:szCs w:val="22"/>
          <w:highlight w:val="none"/>
          <w:u w:val="single"/>
        </w:rPr>
      </w:pPr>
      <w:r>
        <w:rPr>
          <w:rFonts w:hint="eastAsia" w:hAnsi="宋体" w:cs="仿宋"/>
          <w:color w:val="auto"/>
          <w:sz w:val="22"/>
          <w:szCs w:val="22"/>
          <w:highlight w:val="none"/>
        </w:rPr>
        <w:t>经营期限：</w:t>
      </w:r>
      <w:r>
        <w:rPr>
          <w:rFonts w:hint="eastAsia" w:hAnsi="宋体" w:cs="仿宋"/>
          <w:color w:val="auto"/>
          <w:sz w:val="22"/>
          <w:szCs w:val="22"/>
          <w:highlight w:val="none"/>
          <w:u w:val="single"/>
        </w:rPr>
        <w:t xml:space="preserve">                                               </w:t>
      </w:r>
    </w:p>
    <w:p w14:paraId="2C50639E">
      <w:pPr>
        <w:pStyle w:val="25"/>
        <w:spacing w:line="360" w:lineRule="auto"/>
        <w:rPr>
          <w:rFonts w:hAnsi="宋体" w:cs="仿宋"/>
          <w:color w:val="auto"/>
          <w:sz w:val="22"/>
          <w:szCs w:val="22"/>
          <w:highlight w:val="none"/>
          <w:u w:val="single"/>
        </w:rPr>
      </w:pPr>
      <w:r>
        <w:rPr>
          <w:rFonts w:hint="eastAsia" w:hAnsi="宋体" w:cs="仿宋"/>
          <w:color w:val="auto"/>
          <w:sz w:val="22"/>
          <w:szCs w:val="22"/>
          <w:highlight w:val="none"/>
        </w:rPr>
        <w:t>姓名</w:t>
      </w:r>
      <w:r>
        <w:rPr>
          <w:rFonts w:hint="eastAsia" w:hAnsi="宋体" w:cs="仿宋"/>
          <w:color w:val="auto"/>
          <w:spacing w:val="-1"/>
          <w:sz w:val="22"/>
          <w:szCs w:val="22"/>
          <w:highlight w:val="none"/>
        </w:rPr>
        <w:t>：</w:t>
      </w:r>
      <w:r>
        <w:rPr>
          <w:rFonts w:hint="eastAsia" w:hAnsi="宋体" w:cs="仿宋"/>
          <w:color w:val="auto"/>
          <w:spacing w:val="-1"/>
          <w:sz w:val="22"/>
          <w:szCs w:val="22"/>
          <w:highlight w:val="none"/>
          <w:u w:val="single"/>
        </w:rPr>
        <w:t xml:space="preserve">          </w:t>
      </w:r>
      <w:r>
        <w:rPr>
          <w:rFonts w:hint="eastAsia" w:hAnsi="宋体" w:cs="仿宋"/>
          <w:color w:val="auto"/>
          <w:spacing w:val="-1"/>
          <w:sz w:val="22"/>
          <w:szCs w:val="22"/>
          <w:highlight w:val="none"/>
        </w:rPr>
        <w:t>性别：</w:t>
      </w:r>
      <w:r>
        <w:rPr>
          <w:rFonts w:hint="eastAsia" w:hAnsi="宋体" w:cs="仿宋"/>
          <w:color w:val="auto"/>
          <w:spacing w:val="-1"/>
          <w:sz w:val="22"/>
          <w:szCs w:val="22"/>
          <w:highlight w:val="none"/>
          <w:u w:val="single"/>
        </w:rPr>
        <w:t xml:space="preserve">          </w:t>
      </w:r>
      <w:r>
        <w:rPr>
          <w:rFonts w:hint="eastAsia" w:hAnsi="宋体" w:cs="仿宋"/>
          <w:color w:val="auto"/>
          <w:spacing w:val="-1"/>
          <w:sz w:val="22"/>
          <w:szCs w:val="22"/>
          <w:highlight w:val="none"/>
        </w:rPr>
        <w:t>年龄：</w:t>
      </w:r>
      <w:r>
        <w:rPr>
          <w:rFonts w:hint="eastAsia" w:hAnsi="宋体" w:cs="仿宋"/>
          <w:color w:val="auto"/>
          <w:spacing w:val="-1"/>
          <w:sz w:val="22"/>
          <w:szCs w:val="22"/>
          <w:highlight w:val="none"/>
          <w:u w:val="single"/>
        </w:rPr>
        <w:t xml:space="preserve">          </w:t>
      </w:r>
      <w:r>
        <w:rPr>
          <w:rFonts w:hint="eastAsia" w:hAnsi="宋体" w:cs="仿宋"/>
          <w:color w:val="auto"/>
          <w:sz w:val="22"/>
          <w:szCs w:val="22"/>
          <w:highlight w:val="none"/>
        </w:rPr>
        <w:t>职务：</w:t>
      </w:r>
      <w:r>
        <w:rPr>
          <w:rFonts w:hint="eastAsia" w:hAnsi="宋体" w:cs="仿宋"/>
          <w:color w:val="auto"/>
          <w:sz w:val="22"/>
          <w:szCs w:val="22"/>
          <w:highlight w:val="none"/>
          <w:u w:val="single"/>
        </w:rPr>
        <w:t xml:space="preserve">        </w:t>
      </w:r>
    </w:p>
    <w:p w14:paraId="291DFD3D">
      <w:pPr>
        <w:pStyle w:val="25"/>
        <w:spacing w:line="360" w:lineRule="auto"/>
        <w:rPr>
          <w:rFonts w:hAnsi="宋体" w:cs="仿宋"/>
          <w:color w:val="auto"/>
          <w:spacing w:val="-1"/>
          <w:sz w:val="22"/>
          <w:szCs w:val="22"/>
          <w:highlight w:val="none"/>
        </w:rPr>
      </w:pPr>
      <w:r>
        <w:rPr>
          <w:rFonts w:hint="eastAsia" w:hAnsi="宋体" w:cs="仿宋"/>
          <w:color w:val="auto"/>
          <w:spacing w:val="-1"/>
          <w:sz w:val="22"/>
          <w:szCs w:val="22"/>
          <w:highlight w:val="none"/>
        </w:rPr>
        <w:t>系</w:t>
      </w:r>
      <w:r>
        <w:rPr>
          <w:rFonts w:hint="eastAsia" w:hAnsi="宋体" w:cs="仿宋"/>
          <w:color w:val="auto"/>
          <w:spacing w:val="-1"/>
          <w:sz w:val="22"/>
          <w:szCs w:val="22"/>
          <w:highlight w:val="none"/>
          <w:u w:val="single"/>
        </w:rPr>
        <w:t xml:space="preserve">                      </w:t>
      </w:r>
      <w:r>
        <w:rPr>
          <w:rFonts w:hint="eastAsia" w:hAnsi="宋体" w:cs="仿宋"/>
          <w:color w:val="auto"/>
          <w:spacing w:val="-1"/>
          <w:sz w:val="22"/>
          <w:szCs w:val="22"/>
          <w:highlight w:val="none"/>
        </w:rPr>
        <w:t>（供应商名称）的法定代表人。</w:t>
      </w:r>
    </w:p>
    <w:p w14:paraId="5B8D177F">
      <w:pPr>
        <w:spacing w:line="360" w:lineRule="auto"/>
        <w:ind w:left="122" w:right="1034"/>
        <w:rPr>
          <w:rFonts w:ascii="宋体" w:hAnsi="宋体" w:cs="仿宋"/>
          <w:color w:val="auto"/>
          <w:sz w:val="22"/>
          <w:szCs w:val="22"/>
          <w:highlight w:val="none"/>
        </w:rPr>
      </w:pPr>
    </w:p>
    <w:p w14:paraId="5473DB9B">
      <w:pPr>
        <w:spacing w:line="360" w:lineRule="auto"/>
        <w:ind w:left="122" w:right="1034"/>
        <w:rPr>
          <w:rFonts w:ascii="宋体" w:hAnsi="宋体" w:cs="仿宋"/>
          <w:color w:val="auto"/>
          <w:sz w:val="22"/>
          <w:szCs w:val="22"/>
          <w:highlight w:val="none"/>
        </w:rPr>
      </w:pPr>
    </w:p>
    <w:p w14:paraId="4582B6D1">
      <w:pPr>
        <w:spacing w:line="360" w:lineRule="auto"/>
        <w:ind w:left="122" w:right="1034"/>
        <w:rPr>
          <w:rFonts w:ascii="宋体" w:hAnsi="宋体" w:cs="仿宋"/>
          <w:color w:val="auto"/>
          <w:sz w:val="22"/>
          <w:szCs w:val="22"/>
          <w:highlight w:val="none"/>
        </w:rPr>
      </w:pPr>
      <w:r>
        <w:rPr>
          <w:rFonts w:hint="eastAsia" w:ascii="宋体" w:hAnsi="宋体" w:cs="仿宋"/>
          <w:color w:val="auto"/>
          <w:sz w:val="22"/>
          <w:szCs w:val="22"/>
          <w:highlight w:val="none"/>
        </w:rPr>
        <w:t>附：法定代表人身份证复印件</w:t>
      </w:r>
    </w:p>
    <w:p w14:paraId="66378BE0">
      <w:pPr>
        <w:spacing w:line="360" w:lineRule="auto"/>
        <w:ind w:left="118" w:right="161"/>
        <w:outlineLvl w:val="7"/>
        <w:rPr>
          <w:rFonts w:ascii="宋体" w:hAnsi="宋体" w:cs="仿宋"/>
          <w:color w:val="auto"/>
          <w:sz w:val="22"/>
          <w:szCs w:val="22"/>
          <w:highlight w:val="none"/>
        </w:rPr>
      </w:pPr>
      <w:r>
        <w:rPr>
          <w:rFonts w:hint="eastAsia" w:ascii="宋体" w:hAnsi="宋体" w:cs="仿宋"/>
          <w:color w:val="auto"/>
          <w:sz w:val="22"/>
          <w:szCs w:val="22"/>
          <w:highlight w:val="none"/>
        </w:rPr>
        <w:t>特此证明</w:t>
      </w:r>
    </w:p>
    <w:p w14:paraId="3243BF0B">
      <w:pPr>
        <w:tabs>
          <w:tab w:val="left" w:pos="7918"/>
        </w:tabs>
        <w:spacing w:line="360" w:lineRule="auto"/>
        <w:jc w:val="right"/>
        <w:outlineLvl w:val="7"/>
        <w:rPr>
          <w:rFonts w:hint="eastAsia" w:ascii="宋体" w:hAnsi="宋体" w:cs="仿宋"/>
          <w:color w:val="auto"/>
          <w:sz w:val="22"/>
          <w:szCs w:val="22"/>
          <w:highlight w:val="none"/>
        </w:rPr>
      </w:pPr>
    </w:p>
    <w:p w14:paraId="08157FE6">
      <w:pPr>
        <w:tabs>
          <w:tab w:val="left" w:pos="7918"/>
        </w:tabs>
        <w:jc w:val="right"/>
        <w:outlineLvl w:val="7"/>
        <w:rPr>
          <w:rFonts w:hint="eastAsia" w:ascii="宋体" w:hAnsi="宋体" w:cs="仿宋"/>
          <w:color w:val="auto"/>
          <w:sz w:val="22"/>
          <w:szCs w:val="22"/>
          <w:highlight w:val="none"/>
        </w:rPr>
      </w:pPr>
    </w:p>
    <w:p w14:paraId="1B2CD43B">
      <w:pPr>
        <w:tabs>
          <w:tab w:val="left" w:pos="7918"/>
        </w:tabs>
        <w:jc w:val="right"/>
        <w:outlineLvl w:val="7"/>
        <w:rPr>
          <w:rFonts w:hint="eastAsia" w:ascii="宋体" w:hAnsi="宋体" w:cs="仿宋"/>
          <w:color w:val="auto"/>
          <w:sz w:val="22"/>
          <w:szCs w:val="22"/>
          <w:highlight w:val="none"/>
        </w:rPr>
      </w:pPr>
    </w:p>
    <w:p w14:paraId="6A3B3474">
      <w:pPr>
        <w:tabs>
          <w:tab w:val="left" w:pos="7918"/>
        </w:tabs>
        <w:jc w:val="right"/>
        <w:outlineLvl w:val="7"/>
        <w:rPr>
          <w:rFonts w:hint="eastAsia" w:ascii="宋体" w:hAnsi="宋体" w:cs="仿宋"/>
          <w:color w:val="auto"/>
          <w:sz w:val="22"/>
          <w:szCs w:val="22"/>
          <w:highlight w:val="none"/>
        </w:rPr>
      </w:pPr>
    </w:p>
    <w:p w14:paraId="687C1387">
      <w:pPr>
        <w:tabs>
          <w:tab w:val="left" w:pos="7918"/>
        </w:tabs>
        <w:jc w:val="right"/>
        <w:outlineLvl w:val="7"/>
        <w:rPr>
          <w:rFonts w:hint="eastAsia" w:ascii="宋体" w:hAnsi="宋体" w:cs="仿宋"/>
          <w:color w:val="auto"/>
          <w:sz w:val="22"/>
          <w:szCs w:val="22"/>
          <w:highlight w:val="none"/>
        </w:rPr>
      </w:pPr>
    </w:p>
    <w:p w14:paraId="2AB18364">
      <w:pPr>
        <w:tabs>
          <w:tab w:val="left" w:pos="7918"/>
        </w:tabs>
        <w:jc w:val="right"/>
        <w:outlineLvl w:val="7"/>
        <w:rPr>
          <w:rFonts w:hint="eastAsia" w:ascii="宋体" w:hAnsi="宋体" w:cs="仿宋"/>
          <w:color w:val="auto"/>
          <w:sz w:val="22"/>
          <w:szCs w:val="22"/>
          <w:highlight w:val="none"/>
        </w:rPr>
      </w:pPr>
    </w:p>
    <w:p w14:paraId="4F3E7434">
      <w:pPr>
        <w:tabs>
          <w:tab w:val="left" w:pos="7918"/>
        </w:tabs>
        <w:jc w:val="right"/>
        <w:outlineLvl w:val="7"/>
        <w:rPr>
          <w:rFonts w:hint="eastAsia" w:ascii="宋体" w:hAnsi="宋体" w:cs="仿宋"/>
          <w:color w:val="auto"/>
          <w:sz w:val="22"/>
          <w:szCs w:val="22"/>
          <w:highlight w:val="none"/>
        </w:rPr>
      </w:pPr>
    </w:p>
    <w:p w14:paraId="205CAEB8">
      <w:pPr>
        <w:tabs>
          <w:tab w:val="left" w:pos="7918"/>
        </w:tabs>
        <w:jc w:val="right"/>
        <w:outlineLvl w:val="7"/>
        <w:rPr>
          <w:rFonts w:hint="eastAsia" w:ascii="宋体" w:hAnsi="宋体" w:cs="仿宋"/>
          <w:color w:val="auto"/>
          <w:sz w:val="22"/>
          <w:szCs w:val="22"/>
          <w:highlight w:val="none"/>
        </w:rPr>
      </w:pPr>
    </w:p>
    <w:p w14:paraId="04643F3A">
      <w:pPr>
        <w:tabs>
          <w:tab w:val="left" w:pos="7918"/>
        </w:tabs>
        <w:jc w:val="right"/>
        <w:outlineLvl w:val="7"/>
        <w:rPr>
          <w:rFonts w:hint="eastAsia" w:ascii="宋体" w:hAnsi="宋体" w:cs="仿宋"/>
          <w:color w:val="auto"/>
          <w:sz w:val="22"/>
          <w:szCs w:val="22"/>
          <w:highlight w:val="none"/>
        </w:rPr>
      </w:pPr>
    </w:p>
    <w:p w14:paraId="5C1E9D7E">
      <w:pPr>
        <w:tabs>
          <w:tab w:val="left" w:pos="7918"/>
        </w:tabs>
        <w:jc w:val="right"/>
        <w:outlineLvl w:val="7"/>
        <w:rPr>
          <w:rFonts w:ascii="宋体" w:hAnsi="宋体" w:cs="仿宋"/>
          <w:color w:val="auto"/>
          <w:sz w:val="22"/>
          <w:szCs w:val="22"/>
          <w:highlight w:val="none"/>
        </w:rPr>
      </w:pPr>
      <w:r>
        <w:rPr>
          <w:rFonts w:hint="eastAsia" w:ascii="宋体" w:hAnsi="宋体" w:cs="仿宋"/>
          <w:color w:val="auto"/>
          <w:sz w:val="22"/>
          <w:szCs w:val="22"/>
          <w:highlight w:val="none"/>
        </w:rPr>
        <w:t>供应商：</w:t>
      </w:r>
      <w:r>
        <w:rPr>
          <w:rFonts w:hint="eastAsia" w:ascii="宋体" w:hAnsi="宋体" w:cs="仿宋"/>
          <w:color w:val="auto"/>
          <w:sz w:val="22"/>
          <w:szCs w:val="22"/>
          <w:highlight w:val="none"/>
          <w:u w:val="single" w:color="000000"/>
        </w:rPr>
        <w:t xml:space="preserve">               </w:t>
      </w:r>
      <w:r>
        <w:rPr>
          <w:rFonts w:hint="eastAsia" w:ascii="宋体" w:hAnsi="宋体" w:cs="仿宋"/>
          <w:color w:val="auto"/>
          <w:sz w:val="22"/>
          <w:szCs w:val="22"/>
          <w:highlight w:val="none"/>
        </w:rPr>
        <w:t>（</w:t>
      </w:r>
      <w:r>
        <w:rPr>
          <w:rFonts w:hint="eastAsia" w:ascii="宋体" w:hAnsi="宋体" w:eastAsia="宋体" w:cs="宋体"/>
          <w:color w:val="auto"/>
          <w:sz w:val="22"/>
          <w:szCs w:val="22"/>
          <w:lang w:val="en-US" w:eastAsia="zh-CN" w:bidi="ar-SA"/>
        </w:rPr>
        <w:t>企业电子签章</w:t>
      </w:r>
      <w:r>
        <w:rPr>
          <w:rFonts w:hint="eastAsia" w:ascii="宋体" w:hAnsi="宋体" w:cs="仿宋"/>
          <w:color w:val="auto"/>
          <w:sz w:val="22"/>
          <w:szCs w:val="22"/>
          <w:highlight w:val="none"/>
        </w:rPr>
        <w:t>）</w:t>
      </w:r>
    </w:p>
    <w:p w14:paraId="32280C6B">
      <w:pPr>
        <w:pStyle w:val="25"/>
        <w:jc w:val="right"/>
        <w:rPr>
          <w:rFonts w:hint="eastAsia"/>
          <w:color w:val="auto"/>
          <w:sz w:val="22"/>
          <w:szCs w:val="22"/>
          <w:highlight w:val="none"/>
          <w:u w:val="single"/>
        </w:rPr>
      </w:pPr>
    </w:p>
    <w:p w14:paraId="78FEF1DD">
      <w:pPr>
        <w:pStyle w:val="25"/>
        <w:jc w:val="right"/>
        <w:rPr>
          <w:color w:val="auto"/>
          <w:sz w:val="22"/>
          <w:szCs w:val="22"/>
          <w:highlight w:val="none"/>
          <w:u w:val="single"/>
        </w:rPr>
      </w:pPr>
      <w:r>
        <w:rPr>
          <w:rFonts w:hint="eastAsia"/>
          <w:color w:val="auto"/>
          <w:sz w:val="22"/>
          <w:szCs w:val="22"/>
          <w:highlight w:val="none"/>
          <w:u w:val="single"/>
        </w:rPr>
        <w:t xml:space="preserve">       年      月      日</w:t>
      </w:r>
    </w:p>
    <w:p w14:paraId="7E05ADD7">
      <w:pPr>
        <w:pStyle w:val="25"/>
        <w:rPr>
          <w:color w:val="auto"/>
          <w:sz w:val="22"/>
          <w:szCs w:val="22"/>
          <w:highlight w:val="none"/>
        </w:rPr>
      </w:pPr>
    </w:p>
    <w:p w14:paraId="210972CE">
      <w:pPr>
        <w:rPr>
          <w:rFonts w:hint="eastAsia" w:ascii="宋体" w:hAnsi="宋体" w:cs="仿宋"/>
          <w:b/>
          <w:bCs/>
          <w:color w:val="auto"/>
          <w:sz w:val="22"/>
          <w:szCs w:val="22"/>
          <w:highlight w:val="none"/>
          <w:lang w:eastAsia="zh-CN"/>
        </w:rPr>
      </w:pPr>
    </w:p>
    <w:p w14:paraId="34FE2C4A">
      <w:pPr>
        <w:rPr>
          <w:rFonts w:hint="eastAsia" w:ascii="宋体" w:hAnsi="宋体" w:cs="仿宋"/>
          <w:b/>
          <w:bCs/>
          <w:color w:val="auto"/>
          <w:sz w:val="22"/>
          <w:szCs w:val="22"/>
          <w:highlight w:val="none"/>
          <w:lang w:eastAsia="zh-CN"/>
        </w:rPr>
      </w:pPr>
      <w:r>
        <w:rPr>
          <w:rFonts w:hint="eastAsia" w:ascii="宋体" w:hAnsi="宋体" w:cs="仿宋"/>
          <w:b/>
          <w:bCs/>
          <w:color w:val="auto"/>
          <w:sz w:val="22"/>
          <w:szCs w:val="22"/>
          <w:highlight w:val="none"/>
          <w:lang w:eastAsia="zh-CN"/>
        </w:rPr>
        <w:br w:type="page"/>
      </w:r>
    </w:p>
    <w:p w14:paraId="41C6DD13">
      <w:pPr>
        <w:pStyle w:val="18"/>
        <w:rPr>
          <w:rFonts w:hint="eastAsia"/>
          <w:lang w:eastAsia="zh-CN"/>
        </w:rPr>
      </w:pPr>
    </w:p>
    <w:p w14:paraId="7717D08F">
      <w:pPr>
        <w:spacing w:line="360" w:lineRule="auto"/>
        <w:jc w:val="center"/>
        <w:rPr>
          <w:rFonts w:hint="eastAsia" w:ascii="宋体" w:hAnsi="宋体" w:cs="仿宋"/>
          <w:b/>
          <w:bCs/>
          <w:color w:val="auto"/>
          <w:sz w:val="21"/>
          <w:szCs w:val="21"/>
          <w:highlight w:val="none"/>
          <w:lang w:eastAsia="zh-CN"/>
        </w:rPr>
      </w:pPr>
      <w:r>
        <w:rPr>
          <w:rFonts w:hint="eastAsia" w:ascii="宋体" w:hAnsi="宋体" w:cs="仿宋"/>
          <w:b/>
          <w:bCs/>
          <w:color w:val="auto"/>
          <w:sz w:val="21"/>
          <w:szCs w:val="21"/>
          <w:highlight w:val="none"/>
          <w:lang w:eastAsia="zh-CN"/>
        </w:rPr>
        <w:t>三、法定代表人授权委托书</w:t>
      </w:r>
    </w:p>
    <w:p w14:paraId="57245EB8">
      <w:pPr>
        <w:rPr>
          <w:rFonts w:ascii="宋体" w:hAnsi="宋体" w:cs="仿宋"/>
          <w:b/>
          <w:bCs/>
          <w:color w:val="auto"/>
          <w:sz w:val="21"/>
          <w:szCs w:val="21"/>
          <w:highlight w:val="none"/>
        </w:rPr>
      </w:pPr>
    </w:p>
    <w:p w14:paraId="2A5CB407">
      <w:pPr>
        <w:spacing w:before="4"/>
        <w:rPr>
          <w:rFonts w:ascii="宋体" w:hAnsi="宋体" w:cs="仿宋"/>
          <w:b/>
          <w:bCs/>
          <w:color w:val="auto"/>
          <w:sz w:val="21"/>
          <w:szCs w:val="21"/>
          <w:highlight w:val="none"/>
        </w:rPr>
      </w:pPr>
    </w:p>
    <w:p w14:paraId="7FF073D3">
      <w:pPr>
        <w:pStyle w:val="8"/>
        <w:tabs>
          <w:tab w:val="left" w:pos="2421"/>
          <w:tab w:val="left" w:pos="5585"/>
        </w:tabs>
        <w:ind w:firstLine="440" w:firstLineChars="200"/>
        <w:rPr>
          <w:rFonts w:ascii="宋体" w:hAnsi="宋体" w:cs="仿宋"/>
          <w:color w:val="auto"/>
          <w:sz w:val="22"/>
          <w:szCs w:val="22"/>
          <w:highlight w:val="none"/>
        </w:rPr>
      </w:pPr>
      <w:r>
        <w:rPr>
          <w:rFonts w:hint="eastAsia" w:ascii="宋体" w:hAnsi="宋体" w:cs="仿宋"/>
          <w:color w:val="auto"/>
          <w:sz w:val="22"/>
          <w:szCs w:val="22"/>
          <w:highlight w:val="none"/>
        </w:rPr>
        <w:t>本人</w:t>
      </w:r>
      <w:r>
        <w:rPr>
          <w:rFonts w:hint="eastAsia" w:ascii="宋体" w:hAnsi="宋体" w:cs="仿宋"/>
          <w:color w:val="auto"/>
          <w:sz w:val="22"/>
          <w:szCs w:val="22"/>
          <w:highlight w:val="none"/>
          <w:u w:val="single" w:color="000000"/>
        </w:rPr>
        <w:tab/>
      </w:r>
      <w:r>
        <w:rPr>
          <w:rFonts w:hint="eastAsia" w:ascii="宋体" w:hAnsi="宋体" w:cs="仿宋"/>
          <w:color w:val="auto"/>
          <w:spacing w:val="-1"/>
          <w:sz w:val="22"/>
          <w:szCs w:val="22"/>
          <w:highlight w:val="none"/>
        </w:rPr>
        <w:t>（姓名）系</w:t>
      </w:r>
      <w:r>
        <w:rPr>
          <w:rFonts w:hint="eastAsia" w:ascii="宋体" w:hAnsi="宋体" w:cs="仿宋"/>
          <w:color w:val="auto"/>
          <w:spacing w:val="-1"/>
          <w:sz w:val="22"/>
          <w:szCs w:val="22"/>
          <w:highlight w:val="none"/>
          <w:u w:val="single" w:color="000000"/>
        </w:rPr>
        <w:tab/>
      </w:r>
      <w:r>
        <w:rPr>
          <w:rFonts w:hint="eastAsia" w:ascii="宋体" w:hAnsi="宋体" w:cs="仿宋"/>
          <w:color w:val="auto"/>
          <w:spacing w:val="-1"/>
          <w:sz w:val="22"/>
          <w:szCs w:val="22"/>
          <w:highlight w:val="none"/>
        </w:rPr>
        <w:t>（供应商名称）的法定代表人（单</w:t>
      </w:r>
      <w:r>
        <w:rPr>
          <w:rFonts w:hint="eastAsia" w:ascii="宋体" w:hAnsi="宋体" w:cs="仿宋"/>
          <w:color w:val="auto"/>
          <w:spacing w:val="-13"/>
          <w:sz w:val="22"/>
          <w:szCs w:val="22"/>
          <w:highlight w:val="none"/>
        </w:rPr>
        <w:t>位负责人），现委托</w:t>
      </w:r>
      <w:r>
        <w:rPr>
          <w:rFonts w:hint="eastAsia" w:ascii="宋体" w:hAnsi="宋体" w:cs="仿宋"/>
          <w:color w:val="auto"/>
          <w:spacing w:val="-13"/>
          <w:sz w:val="22"/>
          <w:szCs w:val="22"/>
          <w:highlight w:val="none"/>
          <w:u w:val="single"/>
        </w:rPr>
        <w:tab/>
      </w:r>
      <w:r>
        <w:rPr>
          <w:rFonts w:hint="eastAsia" w:ascii="宋体" w:hAnsi="宋体" w:cs="仿宋"/>
          <w:color w:val="auto"/>
          <w:sz w:val="22"/>
          <w:szCs w:val="22"/>
          <w:highlight w:val="none"/>
          <w:u w:val="single"/>
        </w:rPr>
        <w:t>（姓名）</w:t>
      </w:r>
      <w:r>
        <w:rPr>
          <w:rFonts w:hint="eastAsia" w:ascii="宋体" w:hAnsi="宋体" w:cs="仿宋"/>
          <w:color w:val="auto"/>
          <w:sz w:val="22"/>
          <w:szCs w:val="22"/>
          <w:highlight w:val="none"/>
        </w:rPr>
        <w:t>为我方代理人。代理人根据授权，以我方名义签署、</w:t>
      </w:r>
      <w:r>
        <w:rPr>
          <w:rFonts w:hint="eastAsia" w:ascii="宋体" w:hAnsi="宋体" w:cs="仿宋"/>
          <w:color w:val="auto"/>
          <w:spacing w:val="-1"/>
          <w:sz w:val="22"/>
          <w:szCs w:val="22"/>
          <w:highlight w:val="none"/>
        </w:rPr>
        <w:t>澄清确认、递交、撤回、修改</w:t>
      </w:r>
      <w:r>
        <w:rPr>
          <w:rFonts w:hint="eastAsia" w:ascii="宋体" w:hAnsi="宋体" w:cs="仿宋"/>
          <w:color w:val="auto"/>
          <w:sz w:val="22"/>
          <w:szCs w:val="22"/>
          <w:highlight w:val="none"/>
          <w:u w:val="single"/>
        </w:rPr>
        <w:t>（项目名称）</w:t>
      </w:r>
      <w:r>
        <w:rPr>
          <w:rFonts w:hint="eastAsia" w:cs="仿宋"/>
          <w:color w:val="auto"/>
          <w:sz w:val="22"/>
          <w:szCs w:val="22"/>
          <w:highlight w:val="none"/>
          <w:u w:val="single"/>
          <w:lang w:eastAsia="zh-CN"/>
        </w:rPr>
        <w:t>响应</w:t>
      </w:r>
      <w:r>
        <w:rPr>
          <w:rFonts w:hint="eastAsia" w:ascii="宋体" w:hAnsi="宋体" w:cs="仿宋"/>
          <w:color w:val="auto"/>
          <w:spacing w:val="-1"/>
          <w:sz w:val="22"/>
          <w:szCs w:val="22"/>
          <w:highlight w:val="none"/>
        </w:rPr>
        <w:t>文件、签订合同和处理有关事宜，其法律</w:t>
      </w:r>
      <w:r>
        <w:rPr>
          <w:rFonts w:hint="eastAsia" w:ascii="宋体" w:hAnsi="宋体" w:cs="仿宋"/>
          <w:color w:val="auto"/>
          <w:sz w:val="22"/>
          <w:szCs w:val="22"/>
          <w:highlight w:val="none"/>
        </w:rPr>
        <w:t>后果由我方承担。</w:t>
      </w:r>
    </w:p>
    <w:p w14:paraId="4043DC63">
      <w:pPr>
        <w:pStyle w:val="8"/>
        <w:tabs>
          <w:tab w:val="left" w:pos="3566"/>
        </w:tabs>
        <w:spacing w:before="36"/>
        <w:rPr>
          <w:rFonts w:ascii="宋体" w:hAnsi="宋体" w:cs="仿宋"/>
          <w:color w:val="auto"/>
          <w:sz w:val="22"/>
          <w:szCs w:val="22"/>
          <w:highlight w:val="none"/>
        </w:rPr>
      </w:pPr>
      <w:r>
        <w:rPr>
          <w:rFonts w:hint="eastAsia" w:ascii="宋体" w:hAnsi="宋体" w:cs="仿宋"/>
          <w:color w:val="auto"/>
          <w:spacing w:val="-2"/>
          <w:sz w:val="22"/>
          <w:szCs w:val="22"/>
          <w:highlight w:val="none"/>
        </w:rPr>
        <w:t>委托期限：</w:t>
      </w:r>
      <w:r>
        <w:rPr>
          <w:rFonts w:hint="eastAsia" w:ascii="宋体" w:hAnsi="宋体" w:cs="仿宋"/>
          <w:color w:val="auto"/>
          <w:spacing w:val="-2"/>
          <w:sz w:val="22"/>
          <w:szCs w:val="22"/>
          <w:highlight w:val="none"/>
          <w:u w:val="single" w:color="000000"/>
        </w:rPr>
        <w:tab/>
      </w:r>
      <w:r>
        <w:rPr>
          <w:rFonts w:hint="eastAsia" w:ascii="宋体" w:hAnsi="宋体" w:cs="仿宋"/>
          <w:color w:val="auto"/>
          <w:sz w:val="22"/>
          <w:szCs w:val="22"/>
          <w:highlight w:val="none"/>
        </w:rPr>
        <w:t>。</w:t>
      </w:r>
    </w:p>
    <w:p w14:paraId="333310E6">
      <w:pPr>
        <w:spacing w:before="10"/>
        <w:rPr>
          <w:rFonts w:ascii="宋体" w:hAnsi="宋体" w:cs="仿宋"/>
          <w:color w:val="auto"/>
          <w:sz w:val="22"/>
          <w:szCs w:val="22"/>
          <w:highlight w:val="none"/>
        </w:rPr>
      </w:pPr>
    </w:p>
    <w:p w14:paraId="0CAA32D4">
      <w:pPr>
        <w:pStyle w:val="8"/>
        <w:spacing w:before="36"/>
        <w:ind w:firstLine="419"/>
        <w:rPr>
          <w:rFonts w:ascii="宋体" w:hAnsi="宋体" w:cs="仿宋"/>
          <w:color w:val="auto"/>
          <w:sz w:val="22"/>
          <w:szCs w:val="22"/>
          <w:highlight w:val="none"/>
        </w:rPr>
      </w:pPr>
      <w:r>
        <w:rPr>
          <w:rFonts w:hint="eastAsia" w:ascii="宋体" w:hAnsi="宋体" w:cs="仿宋"/>
          <w:color w:val="auto"/>
          <w:sz w:val="22"/>
          <w:szCs w:val="22"/>
          <w:highlight w:val="none"/>
        </w:rPr>
        <w:t>代理人无转委托权。</w:t>
      </w:r>
    </w:p>
    <w:p w14:paraId="46C9CA09">
      <w:pPr>
        <w:rPr>
          <w:rFonts w:ascii="宋体" w:hAnsi="宋体" w:cs="仿宋"/>
          <w:color w:val="auto"/>
          <w:sz w:val="22"/>
          <w:szCs w:val="22"/>
          <w:highlight w:val="none"/>
        </w:rPr>
      </w:pPr>
    </w:p>
    <w:p w14:paraId="55C50439">
      <w:pPr>
        <w:spacing w:before="4"/>
        <w:rPr>
          <w:rFonts w:ascii="宋体" w:hAnsi="宋体" w:cs="仿宋"/>
          <w:color w:val="auto"/>
          <w:sz w:val="22"/>
          <w:szCs w:val="22"/>
          <w:highlight w:val="none"/>
        </w:rPr>
      </w:pPr>
    </w:p>
    <w:p w14:paraId="1DB9A797">
      <w:pPr>
        <w:pStyle w:val="8"/>
        <w:rPr>
          <w:rFonts w:hint="default" w:ascii="宋体" w:hAnsi="宋体" w:eastAsia="宋体" w:cs="仿宋"/>
          <w:color w:val="auto"/>
          <w:sz w:val="22"/>
          <w:szCs w:val="22"/>
          <w:highlight w:val="none"/>
          <w:lang w:val="en-US" w:eastAsia="zh-CN"/>
        </w:rPr>
      </w:pPr>
      <w:r>
        <w:rPr>
          <w:rFonts w:hint="eastAsia" w:ascii="宋体" w:hAnsi="宋体" w:cs="仿宋"/>
          <w:color w:val="auto"/>
          <w:sz w:val="22"/>
          <w:szCs w:val="22"/>
          <w:highlight w:val="none"/>
        </w:rPr>
        <w:t>附：法定代表人身份证复印件及委托代理人身份证复印件</w:t>
      </w:r>
      <w:r>
        <w:rPr>
          <w:rFonts w:hint="eastAsia" w:cs="仿宋"/>
          <w:color w:val="auto"/>
          <w:sz w:val="22"/>
          <w:szCs w:val="22"/>
          <w:highlight w:val="none"/>
          <w:lang w:eastAsia="zh-CN"/>
        </w:rPr>
        <w:t>，</w:t>
      </w:r>
      <w:r>
        <w:rPr>
          <w:rFonts w:hint="eastAsia" w:cs="仿宋"/>
          <w:color w:val="auto"/>
          <w:sz w:val="22"/>
          <w:szCs w:val="22"/>
          <w:highlight w:val="none"/>
          <w:lang w:val="en-US" w:eastAsia="zh-CN"/>
        </w:rPr>
        <w:t>且提供</w:t>
      </w:r>
      <w:r>
        <w:rPr>
          <w:rFonts w:hint="eastAsia" w:ascii="宋体" w:hAnsi="宋体" w:cs="仿宋"/>
          <w:color w:val="auto"/>
          <w:sz w:val="22"/>
          <w:szCs w:val="22"/>
          <w:highlight w:val="none"/>
        </w:rPr>
        <w:t>委托代理人</w:t>
      </w:r>
      <w:r>
        <w:rPr>
          <w:rFonts w:hint="eastAsia" w:cs="Times New Roman" w:asciiTheme="minorEastAsia" w:hAnsiTheme="minorEastAsia" w:eastAsiaTheme="minorEastAsia"/>
          <w:color w:val="auto"/>
          <w:sz w:val="22"/>
          <w:szCs w:val="22"/>
          <w:lang w:val="en-US" w:eastAsia="zh-CN"/>
        </w:rPr>
        <w:t>近三个月社保缴纳证明材料</w:t>
      </w:r>
    </w:p>
    <w:p w14:paraId="57F778C3">
      <w:pPr>
        <w:rPr>
          <w:rFonts w:ascii="宋体" w:hAnsi="宋体" w:cs="仿宋"/>
          <w:color w:val="auto"/>
          <w:sz w:val="22"/>
          <w:szCs w:val="22"/>
          <w:highlight w:val="none"/>
        </w:rPr>
      </w:pPr>
    </w:p>
    <w:p w14:paraId="23815BBC">
      <w:pPr>
        <w:spacing w:before="4"/>
        <w:rPr>
          <w:rFonts w:ascii="宋体" w:hAnsi="宋体" w:cs="仿宋"/>
          <w:color w:val="auto"/>
          <w:sz w:val="22"/>
          <w:szCs w:val="22"/>
          <w:highlight w:val="none"/>
        </w:rPr>
      </w:pPr>
    </w:p>
    <w:p w14:paraId="631D053C">
      <w:pPr>
        <w:rPr>
          <w:rFonts w:ascii="宋体" w:hAnsi="宋体" w:cs="仿宋"/>
          <w:color w:val="auto"/>
          <w:sz w:val="22"/>
          <w:szCs w:val="22"/>
          <w:highlight w:val="none"/>
        </w:rPr>
      </w:pPr>
    </w:p>
    <w:p w14:paraId="6EBFE39D">
      <w:pPr>
        <w:spacing w:before="9"/>
        <w:rPr>
          <w:rFonts w:ascii="宋体" w:hAnsi="宋体" w:cs="仿宋"/>
          <w:color w:val="auto"/>
          <w:sz w:val="22"/>
          <w:szCs w:val="22"/>
          <w:highlight w:val="none"/>
        </w:rPr>
      </w:pPr>
    </w:p>
    <w:p w14:paraId="5205851E">
      <w:pPr>
        <w:pStyle w:val="8"/>
        <w:tabs>
          <w:tab w:val="left" w:pos="3216"/>
          <w:tab w:val="left" w:pos="3636"/>
          <w:tab w:val="left" w:pos="7241"/>
        </w:tabs>
        <w:ind w:left="2793"/>
        <w:rPr>
          <w:rFonts w:ascii="宋体" w:hAnsi="宋体" w:cs="仿宋"/>
          <w:color w:val="auto"/>
          <w:sz w:val="22"/>
          <w:szCs w:val="22"/>
          <w:highlight w:val="none"/>
        </w:rPr>
      </w:pPr>
      <w:r>
        <w:rPr>
          <w:rFonts w:hint="eastAsia" w:ascii="宋体" w:hAnsi="宋体" w:cs="仿宋"/>
          <w:color w:val="auto"/>
          <w:sz w:val="22"/>
          <w:szCs w:val="22"/>
          <w:highlight w:val="none"/>
        </w:rPr>
        <w:t>供应商</w:t>
      </w:r>
      <w:r>
        <w:rPr>
          <w:rFonts w:hint="eastAsia" w:ascii="宋体" w:hAnsi="宋体" w:cs="仿宋"/>
          <w:color w:val="auto"/>
          <w:spacing w:val="-3"/>
          <w:sz w:val="22"/>
          <w:szCs w:val="22"/>
          <w:highlight w:val="none"/>
        </w:rPr>
        <w:t>：</w:t>
      </w:r>
      <w:r>
        <w:rPr>
          <w:rFonts w:hint="eastAsia" w:ascii="宋体" w:hAnsi="宋体" w:cs="仿宋"/>
          <w:color w:val="auto"/>
          <w:spacing w:val="-3"/>
          <w:sz w:val="22"/>
          <w:szCs w:val="22"/>
          <w:highlight w:val="none"/>
          <w:u w:val="single" w:color="000000"/>
        </w:rPr>
        <w:tab/>
      </w:r>
      <w:r>
        <w:rPr>
          <w:rFonts w:hint="eastAsia" w:ascii="宋体" w:hAnsi="宋体" w:cs="仿宋"/>
          <w:color w:val="auto"/>
          <w:sz w:val="22"/>
          <w:szCs w:val="22"/>
          <w:highlight w:val="none"/>
        </w:rPr>
        <w:t>（</w:t>
      </w:r>
      <w:r>
        <w:rPr>
          <w:rFonts w:hint="eastAsia" w:cs="仿宋"/>
          <w:color w:val="auto"/>
          <w:sz w:val="22"/>
          <w:szCs w:val="22"/>
          <w:highlight w:val="none"/>
          <w:lang w:val="en-US" w:eastAsia="zh-CN"/>
        </w:rPr>
        <w:t>企业电子签章</w:t>
      </w:r>
      <w:r>
        <w:rPr>
          <w:rFonts w:hint="eastAsia" w:ascii="宋体" w:hAnsi="宋体" w:cs="仿宋"/>
          <w:color w:val="auto"/>
          <w:sz w:val="22"/>
          <w:szCs w:val="22"/>
          <w:highlight w:val="none"/>
        </w:rPr>
        <w:t>）</w:t>
      </w:r>
    </w:p>
    <w:p w14:paraId="3BC60D5A">
      <w:pPr>
        <w:pStyle w:val="8"/>
        <w:tabs>
          <w:tab w:val="left" w:pos="7661"/>
        </w:tabs>
        <w:spacing w:before="36"/>
        <w:ind w:left="2791"/>
        <w:rPr>
          <w:rFonts w:ascii="宋体" w:hAnsi="宋体" w:cs="仿宋"/>
          <w:color w:val="auto"/>
          <w:sz w:val="22"/>
          <w:szCs w:val="22"/>
          <w:highlight w:val="none"/>
        </w:rPr>
      </w:pPr>
      <w:r>
        <w:rPr>
          <w:rFonts w:hint="eastAsia" w:ascii="宋体" w:hAnsi="宋体" w:cs="仿宋"/>
          <w:color w:val="auto"/>
          <w:spacing w:val="-10"/>
          <w:sz w:val="22"/>
          <w:szCs w:val="22"/>
          <w:highlight w:val="none"/>
        </w:rPr>
        <w:t>法定代表人：</w:t>
      </w:r>
      <w:r>
        <w:rPr>
          <w:rFonts w:hint="eastAsia" w:ascii="宋体" w:hAnsi="宋体" w:cs="仿宋"/>
          <w:color w:val="auto"/>
          <w:spacing w:val="-10"/>
          <w:sz w:val="22"/>
          <w:szCs w:val="22"/>
          <w:highlight w:val="none"/>
          <w:u w:val="single"/>
        </w:rPr>
        <w:t xml:space="preserve">                               </w:t>
      </w:r>
      <w:r>
        <w:rPr>
          <w:rFonts w:hint="eastAsia" w:ascii="宋体" w:hAnsi="宋体" w:cs="仿宋"/>
          <w:color w:val="auto"/>
          <w:sz w:val="22"/>
          <w:szCs w:val="22"/>
          <w:highlight w:val="none"/>
        </w:rPr>
        <w:t>（</w:t>
      </w:r>
      <w:r>
        <w:rPr>
          <w:rFonts w:hint="eastAsia" w:cs="仿宋"/>
          <w:color w:val="auto"/>
          <w:sz w:val="22"/>
          <w:szCs w:val="22"/>
          <w:highlight w:val="none"/>
          <w:lang w:val="en-US" w:eastAsia="zh-CN"/>
        </w:rPr>
        <w:t>电子</w:t>
      </w:r>
      <w:r>
        <w:rPr>
          <w:rFonts w:hint="eastAsia" w:ascii="宋体" w:hAnsi="宋体" w:cs="仿宋"/>
          <w:color w:val="auto"/>
          <w:sz w:val="22"/>
          <w:szCs w:val="22"/>
          <w:highlight w:val="none"/>
        </w:rPr>
        <w:t>签章）</w:t>
      </w:r>
    </w:p>
    <w:p w14:paraId="31E35CA4">
      <w:pPr>
        <w:pStyle w:val="8"/>
        <w:tabs>
          <w:tab w:val="left" w:pos="8549"/>
        </w:tabs>
        <w:spacing w:before="36"/>
        <w:ind w:left="2793"/>
        <w:rPr>
          <w:rFonts w:ascii="宋体" w:hAnsi="宋体" w:cs="仿宋"/>
          <w:color w:val="auto"/>
          <w:sz w:val="22"/>
          <w:szCs w:val="22"/>
          <w:highlight w:val="none"/>
        </w:rPr>
      </w:pPr>
      <w:r>
        <w:rPr>
          <w:rFonts w:hint="eastAsia" w:ascii="宋体" w:hAnsi="宋体" w:cs="仿宋"/>
          <w:color w:val="auto"/>
          <w:sz w:val="22"/>
          <w:szCs w:val="22"/>
          <w:highlight w:val="none"/>
        </w:rPr>
        <w:t>身份证号码：</w:t>
      </w:r>
      <w:r>
        <w:rPr>
          <w:rFonts w:hint="eastAsia" w:ascii="宋体" w:hAnsi="宋体" w:cs="仿宋"/>
          <w:color w:val="auto"/>
          <w:sz w:val="22"/>
          <w:szCs w:val="22"/>
          <w:highlight w:val="none"/>
          <w:u w:val="single" w:color="000000"/>
        </w:rPr>
        <w:tab/>
      </w:r>
    </w:p>
    <w:p w14:paraId="23EDAEE2">
      <w:pPr>
        <w:pStyle w:val="8"/>
        <w:tabs>
          <w:tab w:val="left" w:pos="7661"/>
        </w:tabs>
        <w:spacing w:before="36"/>
        <w:ind w:left="2793"/>
        <w:rPr>
          <w:rFonts w:ascii="宋体" w:hAnsi="宋体" w:cs="仿宋"/>
          <w:color w:val="auto"/>
          <w:sz w:val="22"/>
          <w:szCs w:val="22"/>
          <w:highlight w:val="none"/>
        </w:rPr>
      </w:pPr>
      <w:r>
        <w:rPr>
          <w:rFonts w:hint="eastAsia" w:ascii="宋体" w:hAnsi="宋体" w:cs="仿宋"/>
          <w:color w:val="auto"/>
          <w:spacing w:val="-2"/>
          <w:sz w:val="22"/>
          <w:szCs w:val="22"/>
          <w:highlight w:val="none"/>
        </w:rPr>
        <w:t>委托代理人：</w:t>
      </w:r>
      <w:r>
        <w:rPr>
          <w:rFonts w:hint="eastAsia" w:ascii="宋体" w:hAnsi="宋体" w:cs="仿宋"/>
          <w:color w:val="auto"/>
          <w:spacing w:val="-2"/>
          <w:sz w:val="22"/>
          <w:szCs w:val="22"/>
          <w:highlight w:val="none"/>
          <w:u w:val="single"/>
        </w:rPr>
        <w:t xml:space="preserve">                           </w:t>
      </w:r>
      <w:r>
        <w:rPr>
          <w:rFonts w:hint="eastAsia" w:ascii="宋体" w:hAnsi="宋体" w:cs="仿宋"/>
          <w:color w:val="auto"/>
          <w:spacing w:val="-1"/>
          <w:sz w:val="22"/>
          <w:szCs w:val="22"/>
          <w:highlight w:val="none"/>
        </w:rPr>
        <w:t>（</w:t>
      </w:r>
      <w:r>
        <w:rPr>
          <w:rFonts w:hint="eastAsia" w:cs="仿宋"/>
          <w:color w:val="auto"/>
          <w:sz w:val="22"/>
          <w:szCs w:val="22"/>
          <w:highlight w:val="none"/>
          <w:lang w:val="en-US" w:eastAsia="zh-CN"/>
        </w:rPr>
        <w:t>电子</w:t>
      </w:r>
      <w:r>
        <w:rPr>
          <w:rFonts w:hint="eastAsia" w:ascii="宋体" w:hAnsi="宋体" w:cs="仿宋"/>
          <w:color w:val="auto"/>
          <w:spacing w:val="-1"/>
          <w:sz w:val="22"/>
          <w:szCs w:val="22"/>
          <w:highlight w:val="none"/>
        </w:rPr>
        <w:t>签</w:t>
      </w:r>
      <w:r>
        <w:rPr>
          <w:rFonts w:hint="eastAsia" w:ascii="宋体" w:hAnsi="宋体" w:cs="仿宋"/>
          <w:color w:val="auto"/>
          <w:sz w:val="22"/>
          <w:szCs w:val="22"/>
          <w:highlight w:val="none"/>
        </w:rPr>
        <w:t>章</w:t>
      </w:r>
      <w:r>
        <w:rPr>
          <w:rFonts w:hint="eastAsia" w:ascii="宋体" w:hAnsi="宋体" w:cs="仿宋"/>
          <w:color w:val="auto"/>
          <w:spacing w:val="-1"/>
          <w:sz w:val="22"/>
          <w:szCs w:val="22"/>
          <w:highlight w:val="none"/>
        </w:rPr>
        <w:t>）</w:t>
      </w:r>
    </w:p>
    <w:p w14:paraId="398E3E9A">
      <w:pPr>
        <w:pStyle w:val="8"/>
        <w:tabs>
          <w:tab w:val="left" w:pos="8070"/>
        </w:tabs>
        <w:spacing w:before="36"/>
        <w:ind w:left="2793"/>
        <w:rPr>
          <w:rFonts w:ascii="宋体" w:hAnsi="宋体" w:cs="仿宋"/>
          <w:color w:val="auto"/>
          <w:sz w:val="22"/>
          <w:szCs w:val="22"/>
          <w:highlight w:val="none"/>
          <w:u w:val="single" w:color="000000"/>
        </w:rPr>
      </w:pPr>
      <w:r>
        <w:rPr>
          <w:rFonts w:hint="eastAsia" w:ascii="宋体" w:hAnsi="宋体" w:cs="仿宋"/>
          <w:color w:val="auto"/>
          <w:sz w:val="22"/>
          <w:szCs w:val="22"/>
          <w:highlight w:val="none"/>
        </w:rPr>
        <w:t>身份证号码：</w:t>
      </w:r>
      <w:r>
        <w:rPr>
          <w:rFonts w:hint="eastAsia" w:ascii="宋体" w:hAnsi="宋体" w:cs="仿宋"/>
          <w:color w:val="auto"/>
          <w:sz w:val="22"/>
          <w:szCs w:val="22"/>
          <w:highlight w:val="none"/>
          <w:u w:val="single" w:color="000000"/>
        </w:rPr>
        <w:tab/>
      </w:r>
      <w:bookmarkStart w:id="103" w:name="五、产品规格一览表"/>
      <w:bookmarkEnd w:id="103"/>
    </w:p>
    <w:p w14:paraId="3106378F">
      <w:pPr>
        <w:pStyle w:val="8"/>
        <w:tabs>
          <w:tab w:val="left" w:pos="8070"/>
        </w:tabs>
        <w:spacing w:before="36"/>
        <w:ind w:left="2793"/>
        <w:rPr>
          <w:rFonts w:ascii="宋体" w:hAnsi="宋体" w:cs="仿宋"/>
          <w:color w:val="auto"/>
          <w:sz w:val="22"/>
          <w:szCs w:val="22"/>
          <w:highlight w:val="none"/>
        </w:rPr>
      </w:pPr>
      <w:r>
        <w:rPr>
          <w:rFonts w:hint="eastAsia" w:ascii="宋体" w:hAnsi="宋体" w:cs="仿宋"/>
          <w:bCs/>
          <w:color w:val="auto"/>
          <w:sz w:val="22"/>
          <w:szCs w:val="22"/>
          <w:highlight w:val="none"/>
        </w:rPr>
        <w:t>日期：</w:t>
      </w:r>
      <w:r>
        <w:rPr>
          <w:rFonts w:hint="eastAsia" w:ascii="宋体" w:hAnsi="宋体" w:cs="仿宋"/>
          <w:color w:val="auto"/>
          <w:sz w:val="22"/>
          <w:szCs w:val="22"/>
          <w:highlight w:val="none"/>
        </w:rPr>
        <w:br w:type="page"/>
      </w:r>
    </w:p>
    <w:p w14:paraId="4094C06E">
      <w:pPr>
        <w:widowControl/>
        <w:jc w:val="center"/>
        <w:outlineLvl w:val="0"/>
        <w:rPr>
          <w:rFonts w:hint="eastAsia" w:ascii="宋体" w:hAnsi="宋体" w:cs="仿宋"/>
          <w:b/>
          <w:bCs/>
          <w:color w:val="auto"/>
          <w:sz w:val="21"/>
          <w:szCs w:val="21"/>
          <w:highlight w:val="none"/>
          <w:lang w:eastAsia="zh-CN"/>
        </w:rPr>
      </w:pPr>
    </w:p>
    <w:p w14:paraId="15B9694E">
      <w:pPr>
        <w:rPr>
          <w:rFonts w:hint="eastAsia" w:ascii="宋体" w:hAnsi="宋体" w:cs="仿宋"/>
          <w:b/>
          <w:bCs/>
          <w:color w:val="auto"/>
          <w:sz w:val="21"/>
          <w:szCs w:val="21"/>
          <w:highlight w:val="none"/>
          <w:lang w:eastAsia="zh-CN"/>
        </w:rPr>
      </w:pPr>
    </w:p>
    <w:p w14:paraId="70A8FBBB">
      <w:pPr>
        <w:spacing w:line="360" w:lineRule="auto"/>
        <w:jc w:val="center"/>
        <w:rPr>
          <w:rFonts w:hint="eastAsia" w:ascii="宋体" w:hAnsi="宋体" w:cs="仿宋"/>
          <w:b/>
          <w:bCs/>
          <w:color w:val="auto"/>
          <w:sz w:val="21"/>
          <w:szCs w:val="21"/>
          <w:highlight w:val="none"/>
          <w:lang w:val="en-US" w:eastAsia="zh-CN"/>
        </w:rPr>
      </w:pPr>
      <w:r>
        <w:rPr>
          <w:rFonts w:hint="eastAsia" w:ascii="宋体" w:hAnsi="宋体" w:cs="仿宋"/>
          <w:b/>
          <w:bCs/>
          <w:color w:val="auto"/>
          <w:sz w:val="21"/>
          <w:szCs w:val="21"/>
          <w:highlight w:val="none"/>
          <w:lang w:val="en-US" w:eastAsia="zh-CN"/>
        </w:rPr>
        <w:t>四、</w:t>
      </w:r>
      <w:r>
        <w:rPr>
          <w:rFonts w:hint="eastAsia" w:ascii="宋体" w:hAnsi="宋体" w:eastAsia="宋体" w:cs="仿宋"/>
          <w:b/>
          <w:bCs/>
          <w:color w:val="auto"/>
          <w:sz w:val="21"/>
          <w:szCs w:val="21"/>
          <w:highlight w:val="none"/>
          <w:lang w:val="en-US" w:eastAsia="zh-CN"/>
        </w:rPr>
        <w:t>投标</w:t>
      </w:r>
      <w:r>
        <w:rPr>
          <w:rFonts w:hint="eastAsia" w:ascii="宋体" w:hAnsi="宋体" w:cs="仿宋"/>
          <w:b/>
          <w:bCs/>
          <w:color w:val="auto"/>
          <w:sz w:val="21"/>
          <w:szCs w:val="21"/>
          <w:highlight w:val="none"/>
          <w:lang w:val="en-US" w:eastAsia="zh-CN"/>
        </w:rPr>
        <w:t>承诺函</w:t>
      </w:r>
    </w:p>
    <w:p w14:paraId="57E63BFA">
      <w:pPr>
        <w:widowControl/>
        <w:jc w:val="center"/>
        <w:rPr>
          <w:rFonts w:hint="eastAsia" w:ascii="宋体" w:hAnsi="宋体" w:cs="宋体" w:eastAsiaTheme="minorEastAsia"/>
          <w:color w:val="auto"/>
          <w:sz w:val="21"/>
          <w:szCs w:val="21"/>
          <w:lang w:val="en-US" w:eastAsia="zh-CN" w:bidi="ar-SA"/>
        </w:rPr>
      </w:pPr>
    </w:p>
    <w:p w14:paraId="5AD040C4">
      <w:pPr>
        <w:widowControl/>
        <w:spacing w:line="480" w:lineRule="auto"/>
        <w:jc w:val="left"/>
        <w:rPr>
          <w:rFonts w:hint="default"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 xml:space="preserve">致：      </w:t>
      </w:r>
    </w:p>
    <w:p w14:paraId="56B27C81">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我方已充分了解了</w:t>
      </w:r>
      <w:r>
        <w:rPr>
          <w:rFonts w:hint="eastAsia" w:ascii="宋体" w:hAnsi="宋体" w:eastAsia="宋体" w:cs="宋体"/>
          <w:color w:val="auto"/>
          <w:sz w:val="22"/>
          <w:szCs w:val="22"/>
          <w:u w:val="single"/>
          <w:lang w:val="en-US" w:eastAsia="zh-CN" w:bidi="ar-SA"/>
        </w:rPr>
        <w:t xml:space="preserve">            </w:t>
      </w:r>
      <w:r>
        <w:rPr>
          <w:rFonts w:hint="eastAsia" w:ascii="宋体" w:hAnsi="宋体" w:eastAsia="宋体" w:cs="宋体"/>
          <w:color w:val="auto"/>
          <w:sz w:val="22"/>
          <w:szCs w:val="22"/>
          <w:lang w:val="en-US" w:eastAsia="zh-CN" w:bidi="ar-SA"/>
        </w:rPr>
        <w:t>（项目名称）</w:t>
      </w:r>
      <w:r>
        <w:rPr>
          <w:rFonts w:hint="eastAsia" w:ascii="宋体" w:hAnsi="宋体" w:eastAsia="宋体" w:cs="宋体"/>
          <w:color w:val="auto"/>
          <w:sz w:val="22"/>
          <w:szCs w:val="22"/>
          <w:u w:val="single"/>
          <w:lang w:val="en-US" w:eastAsia="zh-CN" w:bidi="ar-SA"/>
        </w:rPr>
        <w:t xml:space="preserve">            </w:t>
      </w:r>
      <w:r>
        <w:rPr>
          <w:rFonts w:hint="eastAsia" w:ascii="宋体" w:hAnsi="宋体" w:eastAsia="宋体" w:cs="宋体"/>
          <w:color w:val="auto"/>
          <w:sz w:val="22"/>
          <w:szCs w:val="22"/>
          <w:lang w:val="en-US" w:eastAsia="zh-CN" w:bidi="ar-SA"/>
        </w:rPr>
        <w:t>（项目编号）的竞争性磋商文件，愿意遵照本项目《竞争性磋商文件》、《中华人民共和国政府采购法》等有关规定参与竞标，并承诺如下：</w:t>
      </w:r>
    </w:p>
    <w:p w14:paraId="693FD829">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1、我方承诺将严格按照“公开、公平、公正和诚实信用原则”参与本项目竞标活动。</w:t>
      </w:r>
    </w:p>
    <w:p w14:paraId="0FEA8E02">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2、我方承诺在磋商有效期内不撤销响应性文件；</w:t>
      </w:r>
    </w:p>
    <w:p w14:paraId="7CC692BB">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3、我方承诺在响应性文件及对三门峡市公共资源交易供应商市场主体信息库中提供的材料真实有效；</w:t>
      </w:r>
    </w:p>
    <w:p w14:paraId="1077AE51">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4、我方承诺绝不与采购人、其他磋商供应商或者代理机构恶意串通的投标；</w:t>
      </w:r>
    </w:p>
    <w:p w14:paraId="3D3B02F7">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5、我方承诺绝不以他人的名义投标、串通投标、以行贿手段谋取中标或者以其他弄虚作假方式投标；</w:t>
      </w:r>
    </w:p>
    <w:p w14:paraId="3D31611D">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6、我方承诺绝不采取不正当手段谋取中标；</w:t>
      </w:r>
    </w:p>
    <w:p w14:paraId="7C495C84">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7、如我方中标，我方承诺在收到成交通知书后，在成交通知书规定的期限内，根据竞争性磋商文件、我方的谈判响应文件及有关澄清承诺书的要求，与采购人订立书面合同，并按照合同约定承担完成合同的责任和义务；</w:t>
      </w:r>
    </w:p>
    <w:p w14:paraId="34587F93">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8、如我方违反此约定，愿意承担对本项目造成的一切经济损失，并同时依法承担相应法律责任。</w:t>
      </w:r>
    </w:p>
    <w:p w14:paraId="347F855B">
      <w:pPr>
        <w:keepNext w:val="0"/>
        <w:keepLines w:val="0"/>
        <w:pageBreakBefore w:val="0"/>
        <w:widowControl/>
        <w:kinsoku/>
        <w:wordWrap/>
        <w:overflowPunct/>
        <w:topLinePunct w:val="0"/>
        <w:autoSpaceDE/>
        <w:autoSpaceDN/>
        <w:bidi w:val="0"/>
        <w:adjustRightInd/>
        <w:snapToGrid/>
        <w:spacing w:line="360" w:lineRule="auto"/>
        <w:ind w:firstLine="440" w:firstLineChars="200"/>
        <w:jc w:val="left"/>
        <w:textAlignment w:val="auto"/>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 xml:space="preserve"> </w:t>
      </w:r>
    </w:p>
    <w:p w14:paraId="2ACC49A4">
      <w:pPr>
        <w:widowControl/>
        <w:spacing w:line="480" w:lineRule="auto"/>
        <w:ind w:left="0" w:leftChars="0" w:firstLine="4147" w:firstLineChars="1885"/>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供应商：（企业电子签章）</w:t>
      </w:r>
    </w:p>
    <w:p w14:paraId="59C53FFC">
      <w:pPr>
        <w:widowControl/>
        <w:spacing w:line="480" w:lineRule="auto"/>
        <w:ind w:left="0" w:leftChars="0" w:firstLine="4147" w:firstLineChars="1885"/>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法定代表人：（</w:t>
      </w:r>
      <w:r>
        <w:rPr>
          <w:rFonts w:hint="eastAsia" w:cs="仿宋"/>
          <w:color w:val="auto"/>
          <w:sz w:val="22"/>
          <w:szCs w:val="22"/>
          <w:highlight w:val="none"/>
          <w:lang w:val="en-US" w:eastAsia="zh-CN"/>
        </w:rPr>
        <w:t>电子</w:t>
      </w:r>
      <w:r>
        <w:rPr>
          <w:rFonts w:hint="eastAsia" w:ascii="宋体" w:hAnsi="宋体" w:eastAsia="宋体" w:cs="宋体"/>
          <w:color w:val="auto"/>
          <w:sz w:val="22"/>
          <w:szCs w:val="22"/>
          <w:lang w:val="en-US" w:eastAsia="zh-CN" w:bidi="ar-SA"/>
        </w:rPr>
        <w:t>签章）</w:t>
      </w:r>
    </w:p>
    <w:p w14:paraId="2EAD5053">
      <w:pPr>
        <w:widowControl/>
        <w:spacing w:line="480" w:lineRule="auto"/>
        <w:ind w:left="0" w:leftChars="0" w:firstLine="4147" w:firstLineChars="1885"/>
        <w:jc w:val="left"/>
        <w:rPr>
          <w:rFonts w:hint="eastAsia" w:ascii="宋体" w:hAnsi="宋体" w:eastAsia="宋体" w:cs="宋体"/>
          <w:color w:val="auto"/>
          <w:sz w:val="22"/>
          <w:szCs w:val="22"/>
          <w:lang w:val="en-US" w:eastAsia="zh-CN" w:bidi="ar-SA"/>
        </w:rPr>
      </w:pPr>
      <w:r>
        <w:rPr>
          <w:rFonts w:hint="eastAsia" w:ascii="宋体" w:hAnsi="宋体" w:eastAsia="宋体" w:cs="宋体"/>
          <w:color w:val="auto"/>
          <w:sz w:val="22"/>
          <w:szCs w:val="22"/>
          <w:lang w:val="en-US" w:eastAsia="zh-CN" w:bidi="ar-SA"/>
        </w:rPr>
        <w:t>日期：    年  月  日</w:t>
      </w:r>
    </w:p>
    <w:p w14:paraId="52D4AE05">
      <w:pPr>
        <w:rPr>
          <w:rFonts w:hint="eastAsia" w:ascii="宋体" w:hAnsi="宋体" w:cs="仿宋"/>
          <w:b/>
          <w:bCs/>
          <w:color w:val="auto"/>
          <w:sz w:val="22"/>
          <w:szCs w:val="22"/>
          <w:highlight w:val="none"/>
          <w:lang w:eastAsia="zh-CN"/>
        </w:rPr>
      </w:pPr>
      <w:r>
        <w:rPr>
          <w:rFonts w:hint="eastAsia" w:ascii="宋体" w:hAnsi="宋体" w:cs="仿宋"/>
          <w:b/>
          <w:bCs/>
          <w:color w:val="auto"/>
          <w:sz w:val="22"/>
          <w:szCs w:val="22"/>
          <w:highlight w:val="none"/>
          <w:lang w:eastAsia="zh-CN"/>
        </w:rPr>
        <w:br w:type="page"/>
      </w:r>
    </w:p>
    <w:p w14:paraId="50F33D90">
      <w:pPr>
        <w:jc w:val="center"/>
        <w:rPr>
          <w:rFonts w:cs="仿宋" w:asciiTheme="majorEastAsia" w:hAnsiTheme="majorEastAsia" w:eastAsiaTheme="majorEastAsia"/>
          <w:color w:val="auto"/>
          <w:sz w:val="21"/>
          <w:szCs w:val="21"/>
          <w:highlight w:val="none"/>
          <w:lang w:eastAsia="zh-CN"/>
        </w:rPr>
      </w:pPr>
    </w:p>
    <w:p w14:paraId="708A5598">
      <w:pPr>
        <w:rPr>
          <w:rFonts w:hint="eastAsia" w:ascii="微软雅黑" w:hAnsi="微软雅黑" w:eastAsia="微软雅黑" w:cs="宋体"/>
          <w:b/>
          <w:color w:val="auto"/>
          <w:sz w:val="21"/>
          <w:szCs w:val="21"/>
          <w:highlight w:val="none"/>
        </w:rPr>
      </w:pPr>
    </w:p>
    <w:p w14:paraId="4133FF4B">
      <w:pPr>
        <w:spacing w:line="360" w:lineRule="auto"/>
        <w:jc w:val="center"/>
        <w:rPr>
          <w:rFonts w:hint="eastAsia" w:ascii="宋体" w:hAnsi="宋体" w:cs="仿宋"/>
          <w:b/>
          <w:bCs/>
          <w:color w:val="auto"/>
          <w:sz w:val="21"/>
          <w:szCs w:val="21"/>
          <w:highlight w:val="none"/>
          <w:lang w:eastAsia="zh-CN"/>
        </w:rPr>
      </w:pPr>
    </w:p>
    <w:p w14:paraId="0F1CE12F">
      <w:pPr>
        <w:spacing w:line="360" w:lineRule="auto"/>
        <w:jc w:val="center"/>
        <w:rPr>
          <w:rFonts w:hint="eastAsia" w:ascii="宋体" w:hAnsi="宋体" w:cs="仿宋"/>
          <w:b/>
          <w:bCs/>
          <w:color w:val="auto"/>
          <w:sz w:val="21"/>
          <w:szCs w:val="21"/>
          <w:highlight w:val="none"/>
          <w:lang w:val="en-US" w:eastAsia="zh-CN"/>
        </w:rPr>
      </w:pPr>
      <w:r>
        <w:rPr>
          <w:rFonts w:hint="eastAsia" w:ascii="宋体" w:hAnsi="宋体" w:cs="仿宋"/>
          <w:b/>
          <w:bCs/>
          <w:color w:val="auto"/>
          <w:sz w:val="21"/>
          <w:szCs w:val="21"/>
          <w:highlight w:val="none"/>
          <w:lang w:val="en-US" w:eastAsia="zh-CN"/>
        </w:rPr>
        <w:t>五、资格审查资料</w:t>
      </w:r>
    </w:p>
    <w:p w14:paraId="5D565A55">
      <w:pPr>
        <w:rPr>
          <w:rFonts w:ascii="宋体" w:hAnsi="宋体" w:cs="仿宋"/>
          <w:b/>
          <w:bCs/>
          <w:color w:val="auto"/>
          <w:sz w:val="21"/>
          <w:szCs w:val="21"/>
          <w:highlight w:val="none"/>
        </w:rPr>
      </w:pPr>
      <w:r>
        <w:rPr>
          <w:rFonts w:hint="eastAsia" w:ascii="宋体" w:hAnsi="宋体" w:cs="仿宋"/>
          <w:b/>
          <w:bCs/>
          <w:color w:val="auto"/>
          <w:sz w:val="21"/>
          <w:szCs w:val="21"/>
          <w:highlight w:val="none"/>
        </w:rPr>
        <w:t>（一）基本情况表</w:t>
      </w:r>
    </w:p>
    <w:tbl>
      <w:tblPr>
        <w:tblStyle w:val="19"/>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28"/>
        <w:gridCol w:w="1900"/>
        <w:gridCol w:w="1551"/>
        <w:gridCol w:w="1119"/>
        <w:gridCol w:w="1132"/>
        <w:gridCol w:w="235"/>
        <w:gridCol w:w="1679"/>
      </w:tblGrid>
      <w:tr w14:paraId="7887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65" w:hRule="atLeast"/>
          <w:jc w:val="center"/>
        </w:trPr>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3BC1FD5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供应商名称</w:t>
            </w:r>
          </w:p>
        </w:tc>
        <w:tc>
          <w:tcPr>
            <w:tcW w:w="76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DE9022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r>
      <w:tr w14:paraId="0BA6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5" w:hRule="atLeast"/>
          <w:jc w:val="center"/>
        </w:trPr>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78A98B28">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注册地址</w:t>
            </w:r>
          </w:p>
        </w:tc>
        <w:tc>
          <w:tcPr>
            <w:tcW w:w="457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00B79E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c>
          <w:tcPr>
            <w:tcW w:w="13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8BFED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邮政编码</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430AD49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r>
      <w:tr w14:paraId="3050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1" w:hRule="atLeast"/>
          <w:jc w:val="center"/>
        </w:trPr>
        <w:tc>
          <w:tcPr>
            <w:tcW w:w="18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86D095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联系方式</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6B3B2D5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联系人</w:t>
            </w: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34119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c>
          <w:tcPr>
            <w:tcW w:w="13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9A76B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电话</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5D5BAE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r>
      <w:tr w14:paraId="518F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8" w:hRule="atLeast"/>
          <w:jc w:val="center"/>
        </w:trPr>
        <w:tc>
          <w:tcPr>
            <w:tcW w:w="18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4F538FB">
            <w:pPr>
              <w:keepNext w:val="0"/>
              <w:keepLines w:val="0"/>
              <w:suppressLineNumbers w:val="0"/>
              <w:spacing w:before="0" w:beforeAutospacing="0" w:after="0" w:afterAutospacing="0"/>
              <w:ind w:left="0" w:right="0"/>
              <w:rPr>
                <w:rFonts w:hint="default" w:ascii="Times New Roman" w:hAnsi="Times New Roman" w:cs="Times New Roman"/>
                <w:color w:val="auto"/>
                <w:sz w:val="22"/>
                <w:szCs w:val="22"/>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75FD4EA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传真</w:t>
            </w: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862296">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c>
          <w:tcPr>
            <w:tcW w:w="13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9949A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网址</w:t>
            </w:r>
          </w:p>
        </w:tc>
        <w:tc>
          <w:tcPr>
            <w:tcW w:w="1679" w:type="dxa"/>
            <w:tcBorders>
              <w:top w:val="single" w:color="auto" w:sz="4" w:space="0"/>
              <w:left w:val="single" w:color="auto" w:sz="4" w:space="0"/>
              <w:bottom w:val="single" w:color="auto" w:sz="4" w:space="0"/>
              <w:right w:val="single" w:color="auto" w:sz="4" w:space="0"/>
            </w:tcBorders>
            <w:shd w:val="clear" w:color="auto" w:fill="auto"/>
            <w:vAlign w:val="center"/>
          </w:tcPr>
          <w:p w14:paraId="14CF488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r>
      <w:tr w14:paraId="383D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7" w:hRule="atLeast"/>
          <w:jc w:val="center"/>
        </w:trPr>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6705B03A">
            <w:pPr>
              <w:keepNext w:val="0"/>
              <w:keepLines w:val="0"/>
              <w:widowControl w:val="0"/>
              <w:suppressLineNumbers w:val="0"/>
              <w:spacing w:before="0" w:beforeAutospacing="0" w:after="0" w:afterAutospacing="0" w:line="360" w:lineRule="auto"/>
              <w:ind w:left="0" w:right="0"/>
              <w:jc w:val="both"/>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企业类型</w:t>
            </w:r>
          </w:p>
        </w:tc>
        <w:tc>
          <w:tcPr>
            <w:tcW w:w="76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AE825F4">
            <w:pPr>
              <w:keepNext w:val="0"/>
              <w:keepLines w:val="0"/>
              <w:widowControl w:val="0"/>
              <w:suppressLineNumbers w:val="0"/>
              <w:tabs>
                <w:tab w:val="left" w:pos="4776"/>
              </w:tabs>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r>
      <w:tr w14:paraId="41A8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5B77CFD7">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法定代表人</w:t>
            </w:r>
          </w:p>
        </w:tc>
        <w:tc>
          <w:tcPr>
            <w:tcW w:w="1900" w:type="dxa"/>
            <w:tcBorders>
              <w:top w:val="single" w:color="auto" w:sz="4" w:space="0"/>
              <w:left w:val="single" w:color="auto" w:sz="4" w:space="0"/>
              <w:bottom w:val="single" w:color="auto" w:sz="4" w:space="0"/>
              <w:right w:val="single" w:color="auto" w:sz="4" w:space="0"/>
            </w:tcBorders>
            <w:shd w:val="clear" w:color="auto" w:fill="auto"/>
            <w:vAlign w:val="center"/>
          </w:tcPr>
          <w:p w14:paraId="4440DDB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姓名</w:t>
            </w:r>
          </w:p>
        </w:tc>
        <w:tc>
          <w:tcPr>
            <w:tcW w:w="26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CBE07B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14:paraId="1ED9607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电话</w:t>
            </w: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27FF7F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r>
      <w:tr w14:paraId="453B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44DC70A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成立时间</w:t>
            </w:r>
          </w:p>
        </w:tc>
        <w:tc>
          <w:tcPr>
            <w:tcW w:w="34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8AC547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c>
          <w:tcPr>
            <w:tcW w:w="416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16EE5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员工总人数：</w:t>
            </w:r>
          </w:p>
        </w:tc>
      </w:tr>
      <w:tr w14:paraId="5AA6F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0BCD9D15">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营业执照号</w:t>
            </w:r>
          </w:p>
        </w:tc>
        <w:tc>
          <w:tcPr>
            <w:tcW w:w="76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076047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r>
      <w:tr w14:paraId="55A53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4D362C4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注册资金</w:t>
            </w:r>
          </w:p>
        </w:tc>
        <w:tc>
          <w:tcPr>
            <w:tcW w:w="34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5BC21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c>
          <w:tcPr>
            <w:tcW w:w="22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3F08E4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开户银行</w:t>
            </w:r>
          </w:p>
        </w:tc>
        <w:tc>
          <w:tcPr>
            <w:tcW w:w="191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0940E6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r>
      <w:tr w14:paraId="28E3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39DEFC24">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账号</w:t>
            </w:r>
          </w:p>
        </w:tc>
        <w:tc>
          <w:tcPr>
            <w:tcW w:w="76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D754B51">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r>
      <w:tr w14:paraId="5956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828" w:type="dxa"/>
            <w:tcBorders>
              <w:top w:val="single" w:color="auto" w:sz="4" w:space="0"/>
              <w:left w:val="single" w:color="auto" w:sz="4" w:space="0"/>
              <w:bottom w:val="single" w:color="auto" w:sz="4" w:space="0"/>
              <w:right w:val="single" w:color="auto" w:sz="4" w:space="0"/>
            </w:tcBorders>
            <w:shd w:val="clear" w:color="auto" w:fill="auto"/>
            <w:vAlign w:val="center"/>
          </w:tcPr>
          <w:p w14:paraId="1CF3CCF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经营范围备注</w:t>
            </w:r>
          </w:p>
        </w:tc>
        <w:tc>
          <w:tcPr>
            <w:tcW w:w="761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5BE72CF">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2"/>
                <w:szCs w:val="22"/>
                <w:highlight w:val="none"/>
                <w:lang w:val="en-US"/>
              </w:rPr>
            </w:pPr>
          </w:p>
        </w:tc>
      </w:tr>
    </w:tbl>
    <w:p w14:paraId="19D9F2D5">
      <w:pPr>
        <w:rPr>
          <w:rFonts w:ascii="宋体" w:hAnsi="宋体" w:cs="仿宋"/>
          <w:b/>
          <w:color w:val="auto"/>
          <w:sz w:val="22"/>
          <w:szCs w:val="22"/>
          <w:highlight w:val="none"/>
        </w:rPr>
      </w:pPr>
      <w:r>
        <w:rPr>
          <w:rFonts w:hint="eastAsia" w:ascii="宋体" w:hAnsi="宋体" w:cs="仿宋"/>
          <w:b/>
          <w:color w:val="auto"/>
          <w:sz w:val="22"/>
          <w:szCs w:val="22"/>
          <w:highlight w:val="none"/>
        </w:rPr>
        <w:t>注：此表后应附营业执照等企业证件。</w:t>
      </w:r>
    </w:p>
    <w:p w14:paraId="1691626B">
      <w:pPr>
        <w:pStyle w:val="5"/>
        <w:tabs>
          <w:tab w:val="left" w:pos="8023"/>
          <w:tab w:val="left" w:pos="8468"/>
        </w:tabs>
        <w:spacing w:before="162" w:line="336" w:lineRule="auto"/>
        <w:ind w:left="4238" w:right="101"/>
        <w:rPr>
          <w:rFonts w:cs="仿宋"/>
          <w:color w:val="auto"/>
          <w:sz w:val="22"/>
          <w:szCs w:val="22"/>
          <w:highlight w:val="none"/>
          <w:lang w:eastAsia="zh-CN"/>
        </w:rPr>
      </w:pPr>
      <w:r>
        <w:rPr>
          <w:rFonts w:hint="eastAsia" w:cs="仿宋"/>
          <w:color w:val="auto"/>
          <w:sz w:val="22"/>
          <w:szCs w:val="22"/>
          <w:highlight w:val="none"/>
          <w:lang w:eastAsia="zh-CN"/>
        </w:rPr>
        <w:t>供应商：（</w:t>
      </w:r>
      <w:r>
        <w:rPr>
          <w:rFonts w:hint="eastAsia" w:ascii="宋体" w:hAnsi="宋体" w:eastAsia="宋体" w:cs="宋体"/>
          <w:color w:val="auto"/>
          <w:sz w:val="22"/>
          <w:szCs w:val="22"/>
          <w:lang w:val="en-US" w:eastAsia="zh-CN" w:bidi="ar-SA"/>
        </w:rPr>
        <w:t>企业电子签章</w:t>
      </w:r>
      <w:r>
        <w:rPr>
          <w:rFonts w:hint="eastAsia" w:cs="仿宋"/>
          <w:color w:val="auto"/>
          <w:sz w:val="22"/>
          <w:szCs w:val="22"/>
          <w:highlight w:val="none"/>
          <w:lang w:eastAsia="zh-CN"/>
        </w:rPr>
        <w:t>）</w:t>
      </w:r>
    </w:p>
    <w:p w14:paraId="70045E25">
      <w:pPr>
        <w:pStyle w:val="5"/>
        <w:tabs>
          <w:tab w:val="left" w:pos="8023"/>
          <w:tab w:val="left" w:pos="8468"/>
        </w:tabs>
        <w:spacing w:before="162" w:line="336" w:lineRule="auto"/>
        <w:ind w:left="4238" w:right="101"/>
        <w:rPr>
          <w:rFonts w:cs="仿宋"/>
          <w:color w:val="auto"/>
          <w:sz w:val="22"/>
          <w:szCs w:val="22"/>
          <w:highlight w:val="none"/>
          <w:lang w:eastAsia="zh-CN"/>
        </w:rPr>
      </w:pPr>
      <w:r>
        <w:rPr>
          <w:rFonts w:hint="eastAsia" w:cs="仿宋"/>
          <w:color w:val="auto"/>
          <w:spacing w:val="-1"/>
          <w:sz w:val="22"/>
          <w:szCs w:val="22"/>
          <w:highlight w:val="none"/>
          <w:lang w:eastAsia="zh-CN"/>
        </w:rPr>
        <w:t>法定代表人或其委托代理人：</w:t>
      </w:r>
      <w:r>
        <w:rPr>
          <w:rFonts w:hint="eastAsia" w:cs="仿宋"/>
          <w:color w:val="auto"/>
          <w:sz w:val="22"/>
          <w:szCs w:val="22"/>
          <w:highlight w:val="none"/>
          <w:lang w:eastAsia="zh-CN"/>
        </w:rPr>
        <w:t>（</w:t>
      </w:r>
      <w:r>
        <w:rPr>
          <w:rFonts w:hint="eastAsia" w:cs="仿宋"/>
          <w:color w:val="auto"/>
          <w:sz w:val="22"/>
          <w:szCs w:val="22"/>
          <w:highlight w:val="none"/>
          <w:lang w:val="en-US" w:eastAsia="zh-CN"/>
        </w:rPr>
        <w:t>电子</w:t>
      </w:r>
      <w:r>
        <w:rPr>
          <w:rFonts w:hint="eastAsia" w:cs="仿宋"/>
          <w:color w:val="auto"/>
          <w:sz w:val="22"/>
          <w:szCs w:val="22"/>
          <w:highlight w:val="none"/>
          <w:lang w:eastAsia="zh-CN"/>
        </w:rPr>
        <w:t>签章）</w:t>
      </w:r>
    </w:p>
    <w:p w14:paraId="77B8E207">
      <w:pPr>
        <w:pStyle w:val="5"/>
        <w:tabs>
          <w:tab w:val="left" w:pos="6398"/>
          <w:tab w:val="left" w:pos="7718"/>
          <w:tab w:val="left" w:pos="9038"/>
        </w:tabs>
        <w:spacing w:before="29"/>
        <w:ind w:left="5438"/>
        <w:rPr>
          <w:rFonts w:cs="仿宋"/>
          <w:color w:val="auto"/>
          <w:sz w:val="22"/>
          <w:szCs w:val="22"/>
          <w:highlight w:val="none"/>
          <w:lang w:eastAsia="zh-CN"/>
        </w:rPr>
      </w:pPr>
      <w:r>
        <w:rPr>
          <w:rFonts w:hint="eastAsia" w:cs="仿宋"/>
          <w:color w:val="auto"/>
          <w:sz w:val="22"/>
          <w:szCs w:val="22"/>
          <w:highlight w:val="none"/>
          <w:u w:val="single" w:color="000000"/>
          <w:lang w:eastAsia="zh-CN"/>
        </w:rPr>
        <w:tab/>
      </w:r>
      <w:r>
        <w:rPr>
          <w:rFonts w:hint="eastAsia" w:cs="仿宋"/>
          <w:color w:val="auto"/>
          <w:spacing w:val="-1"/>
          <w:sz w:val="22"/>
          <w:szCs w:val="22"/>
          <w:highlight w:val="none"/>
          <w:lang w:eastAsia="zh-CN"/>
        </w:rPr>
        <w:t>年</w:t>
      </w:r>
      <w:r>
        <w:rPr>
          <w:rFonts w:hint="eastAsia" w:cs="仿宋"/>
          <w:color w:val="auto"/>
          <w:spacing w:val="-1"/>
          <w:sz w:val="22"/>
          <w:szCs w:val="22"/>
          <w:highlight w:val="none"/>
          <w:u w:val="single" w:color="000000"/>
          <w:lang w:eastAsia="zh-CN"/>
        </w:rPr>
        <w:tab/>
      </w:r>
      <w:r>
        <w:rPr>
          <w:rFonts w:hint="eastAsia" w:cs="仿宋"/>
          <w:color w:val="auto"/>
          <w:spacing w:val="-1"/>
          <w:sz w:val="22"/>
          <w:szCs w:val="22"/>
          <w:highlight w:val="none"/>
          <w:lang w:eastAsia="zh-CN"/>
        </w:rPr>
        <w:t>月</w:t>
      </w:r>
      <w:r>
        <w:rPr>
          <w:rFonts w:hint="eastAsia" w:cs="仿宋"/>
          <w:color w:val="auto"/>
          <w:spacing w:val="-1"/>
          <w:sz w:val="22"/>
          <w:szCs w:val="22"/>
          <w:highlight w:val="none"/>
          <w:u w:val="single" w:color="000000"/>
          <w:lang w:eastAsia="zh-CN"/>
        </w:rPr>
        <w:tab/>
      </w:r>
      <w:r>
        <w:rPr>
          <w:rFonts w:hint="eastAsia" w:cs="仿宋"/>
          <w:color w:val="auto"/>
          <w:sz w:val="22"/>
          <w:szCs w:val="22"/>
          <w:highlight w:val="none"/>
          <w:lang w:eastAsia="zh-CN"/>
        </w:rPr>
        <w:t>日</w:t>
      </w:r>
    </w:p>
    <w:p w14:paraId="30041844">
      <w:pPr>
        <w:rPr>
          <w:rFonts w:hint="eastAsia" w:cs="仿宋"/>
          <w:b/>
          <w:bCs/>
          <w:color w:val="auto"/>
          <w:sz w:val="21"/>
          <w:szCs w:val="21"/>
          <w:highlight w:val="none"/>
          <w:lang w:eastAsia="zh-CN"/>
        </w:rPr>
      </w:pPr>
      <w:r>
        <w:rPr>
          <w:rFonts w:hint="eastAsia" w:cs="仿宋"/>
          <w:b/>
          <w:bCs/>
          <w:color w:val="auto"/>
          <w:sz w:val="22"/>
          <w:szCs w:val="22"/>
          <w:highlight w:val="none"/>
          <w:lang w:eastAsia="zh-CN"/>
        </w:rPr>
        <w:br w:type="page"/>
      </w:r>
    </w:p>
    <w:p w14:paraId="485A9AA4">
      <w:pPr>
        <w:pStyle w:val="4"/>
        <w:spacing w:line="363" w:lineRule="exact"/>
        <w:ind w:right="113"/>
        <w:jc w:val="center"/>
        <w:rPr>
          <w:rFonts w:cs="仿宋"/>
          <w:b/>
          <w:bCs/>
          <w:color w:val="auto"/>
          <w:sz w:val="21"/>
          <w:szCs w:val="21"/>
          <w:highlight w:val="none"/>
          <w:lang w:eastAsia="zh-CN"/>
        </w:rPr>
      </w:pPr>
      <w:r>
        <w:rPr>
          <w:rFonts w:hint="eastAsia" w:cs="仿宋"/>
          <w:b/>
          <w:bCs/>
          <w:color w:val="auto"/>
          <w:sz w:val="21"/>
          <w:szCs w:val="21"/>
          <w:highlight w:val="none"/>
          <w:lang w:eastAsia="zh-CN"/>
        </w:rPr>
        <w:t>（二）</w:t>
      </w:r>
      <w:r>
        <w:rPr>
          <w:rFonts w:hint="eastAsia" w:cs="仿宋"/>
          <w:b/>
          <w:bCs/>
          <w:color w:val="auto"/>
          <w:sz w:val="21"/>
          <w:szCs w:val="21"/>
          <w:highlight w:val="none"/>
          <w:lang w:val="en-US" w:eastAsia="zh-CN"/>
        </w:rPr>
        <w:t>其他资格要求的审查资料</w:t>
      </w:r>
    </w:p>
    <w:p w14:paraId="780A7447">
      <w:pPr>
        <w:spacing w:before="3"/>
        <w:jc w:val="center"/>
        <w:rPr>
          <w:rFonts w:hint="eastAsia" w:ascii="宋体" w:hAnsi="宋体" w:cs="仿宋"/>
          <w:b w:val="0"/>
          <w:bCs w:val="0"/>
          <w:color w:val="auto"/>
          <w:sz w:val="21"/>
          <w:szCs w:val="21"/>
          <w:highlight w:val="none"/>
        </w:rPr>
      </w:pPr>
    </w:p>
    <w:p w14:paraId="6BECD9AA">
      <w:pPr>
        <w:spacing w:before="3"/>
        <w:jc w:val="center"/>
        <w:rPr>
          <w:rFonts w:hint="eastAsia" w:ascii="宋体" w:hAnsi="宋体" w:cs="仿宋"/>
          <w:b w:val="0"/>
          <w:bCs w:val="0"/>
          <w:color w:val="auto"/>
          <w:sz w:val="21"/>
          <w:szCs w:val="21"/>
          <w:highlight w:val="none"/>
        </w:rPr>
      </w:pPr>
      <w:r>
        <w:rPr>
          <w:rFonts w:hint="eastAsia" w:ascii="宋体" w:hAnsi="宋体" w:cs="仿宋"/>
          <w:b w:val="0"/>
          <w:bCs w:val="0"/>
          <w:color w:val="auto"/>
          <w:sz w:val="21"/>
          <w:szCs w:val="21"/>
          <w:highlight w:val="none"/>
        </w:rPr>
        <w:t>（格式自拟，应逐页加盖企业电子签章）</w:t>
      </w:r>
    </w:p>
    <w:p w14:paraId="40721B08">
      <w:pPr>
        <w:bidi w:val="0"/>
        <w:rPr>
          <w:rFonts w:hint="eastAsia" w:asciiTheme="minorHAnsi" w:hAnsiTheme="minorHAnsi" w:eastAsiaTheme="minorHAnsi" w:cstheme="minorBidi"/>
          <w:sz w:val="22"/>
          <w:szCs w:val="22"/>
          <w:lang w:val="en-US" w:eastAsia="en-US" w:bidi="ar-SA"/>
        </w:rPr>
      </w:pPr>
    </w:p>
    <w:p w14:paraId="5B85FA52">
      <w:pPr>
        <w:bidi w:val="0"/>
        <w:rPr>
          <w:rFonts w:hint="eastAsia"/>
          <w:lang w:val="en-US" w:eastAsia="en-US"/>
        </w:rPr>
      </w:pPr>
    </w:p>
    <w:p w14:paraId="6F7551E1">
      <w:pPr>
        <w:bidi w:val="0"/>
        <w:rPr>
          <w:rFonts w:hint="eastAsia"/>
          <w:lang w:val="en-US" w:eastAsia="en-US"/>
        </w:rPr>
      </w:pPr>
    </w:p>
    <w:p w14:paraId="2DE4ABA9">
      <w:pPr>
        <w:bidi w:val="0"/>
        <w:rPr>
          <w:rFonts w:hint="eastAsia"/>
          <w:lang w:val="en-US" w:eastAsia="en-US"/>
        </w:rPr>
      </w:pPr>
    </w:p>
    <w:p w14:paraId="630389CA">
      <w:pPr>
        <w:bidi w:val="0"/>
        <w:rPr>
          <w:rFonts w:hint="eastAsia"/>
          <w:lang w:val="en-US" w:eastAsia="en-US"/>
        </w:rPr>
      </w:pPr>
    </w:p>
    <w:p w14:paraId="68417B61">
      <w:pPr>
        <w:bidi w:val="0"/>
        <w:rPr>
          <w:rFonts w:hint="eastAsia"/>
          <w:lang w:val="en-US" w:eastAsia="en-US"/>
        </w:rPr>
      </w:pPr>
    </w:p>
    <w:p w14:paraId="43CB2F88">
      <w:pPr>
        <w:bidi w:val="0"/>
        <w:rPr>
          <w:rFonts w:hint="eastAsia"/>
          <w:lang w:val="en-US" w:eastAsia="en-US"/>
        </w:rPr>
      </w:pPr>
    </w:p>
    <w:p w14:paraId="3681D776">
      <w:pPr>
        <w:bidi w:val="0"/>
        <w:rPr>
          <w:rFonts w:hint="eastAsia"/>
          <w:lang w:val="en-US" w:eastAsia="en-US"/>
        </w:rPr>
      </w:pPr>
    </w:p>
    <w:p w14:paraId="4E2C42D3">
      <w:pPr>
        <w:bidi w:val="0"/>
        <w:rPr>
          <w:rFonts w:hint="eastAsia"/>
          <w:lang w:val="en-US" w:eastAsia="en-US"/>
        </w:rPr>
      </w:pPr>
    </w:p>
    <w:p w14:paraId="095BB32D">
      <w:pPr>
        <w:bidi w:val="0"/>
        <w:rPr>
          <w:rFonts w:hint="eastAsia"/>
          <w:lang w:val="en-US" w:eastAsia="en-US"/>
        </w:rPr>
      </w:pPr>
    </w:p>
    <w:p w14:paraId="4D6FC270">
      <w:pPr>
        <w:bidi w:val="0"/>
        <w:rPr>
          <w:rFonts w:hint="eastAsia"/>
          <w:lang w:val="en-US" w:eastAsia="en-US"/>
        </w:rPr>
      </w:pPr>
    </w:p>
    <w:p w14:paraId="73F1FCDD">
      <w:pPr>
        <w:bidi w:val="0"/>
        <w:rPr>
          <w:rFonts w:hint="eastAsia"/>
          <w:lang w:val="en-US" w:eastAsia="en-US"/>
        </w:rPr>
      </w:pPr>
    </w:p>
    <w:p w14:paraId="2FFAB631">
      <w:pPr>
        <w:bidi w:val="0"/>
        <w:rPr>
          <w:rFonts w:hint="eastAsia"/>
          <w:lang w:val="en-US" w:eastAsia="en-US"/>
        </w:rPr>
      </w:pPr>
    </w:p>
    <w:p w14:paraId="61FCB165">
      <w:pPr>
        <w:tabs>
          <w:tab w:val="center" w:pos="4400"/>
        </w:tabs>
        <w:bidi w:val="0"/>
        <w:jc w:val="left"/>
        <w:rPr>
          <w:rFonts w:hint="eastAsia" w:ascii="宋体" w:hAnsi="宋体" w:cs="仿宋"/>
          <w:b w:val="0"/>
          <w:bCs w:val="0"/>
          <w:color w:val="auto"/>
          <w:sz w:val="21"/>
          <w:szCs w:val="21"/>
          <w:highlight w:val="none"/>
        </w:rPr>
      </w:pPr>
      <w:r>
        <w:rPr>
          <w:rFonts w:hint="eastAsia" w:eastAsia="宋体"/>
          <w:lang w:val="en-US" w:eastAsia="zh-CN"/>
        </w:rPr>
        <w:tab/>
      </w:r>
    </w:p>
    <w:p w14:paraId="356134A5">
      <w:pPr>
        <w:jc w:val="center"/>
        <w:rPr>
          <w:rFonts w:hint="eastAsia" w:ascii="宋体" w:hAnsi="宋体" w:cs="仿宋"/>
          <w:b/>
          <w:bCs/>
          <w:color w:val="auto"/>
          <w:sz w:val="21"/>
          <w:szCs w:val="21"/>
          <w:highlight w:val="none"/>
          <w:lang w:val="en-US" w:eastAsia="zh-CN"/>
        </w:rPr>
      </w:pPr>
      <w:r>
        <w:rPr>
          <w:rFonts w:hint="eastAsia" w:ascii="微软雅黑" w:hAnsi="微软雅黑" w:eastAsia="微软雅黑" w:cs="宋体"/>
          <w:b/>
          <w:color w:val="auto"/>
          <w:sz w:val="21"/>
          <w:szCs w:val="21"/>
          <w:highlight w:val="none"/>
        </w:rPr>
        <w:br w:type="page"/>
      </w:r>
      <w:r>
        <w:rPr>
          <w:rFonts w:hint="eastAsia" w:ascii="微软雅黑" w:hAnsi="微软雅黑" w:eastAsia="微软雅黑" w:cs="宋体"/>
          <w:b/>
          <w:color w:val="auto"/>
          <w:sz w:val="21"/>
          <w:szCs w:val="21"/>
          <w:highlight w:val="none"/>
          <w:lang w:eastAsia="zh-CN"/>
        </w:rPr>
        <w:t>六</w:t>
      </w:r>
      <w:r>
        <w:rPr>
          <w:rFonts w:hint="eastAsia" w:ascii="宋体" w:hAnsi="宋体" w:cs="仿宋"/>
          <w:b/>
          <w:bCs/>
          <w:color w:val="auto"/>
          <w:sz w:val="21"/>
          <w:szCs w:val="21"/>
          <w:highlight w:val="none"/>
          <w:lang w:val="en-US" w:eastAsia="zh-CN"/>
        </w:rPr>
        <w:t>、商务部分及技术部分</w:t>
      </w:r>
    </w:p>
    <w:p w14:paraId="1056F6BE">
      <w:pPr>
        <w:jc w:val="center"/>
        <w:rPr>
          <w:rFonts w:hint="eastAsia" w:ascii="宋体" w:hAnsi="宋体" w:cs="仿宋"/>
          <w:b w:val="0"/>
          <w:bCs w:val="0"/>
          <w:color w:val="auto"/>
          <w:sz w:val="21"/>
          <w:szCs w:val="21"/>
          <w:highlight w:val="none"/>
        </w:rPr>
      </w:pPr>
    </w:p>
    <w:p w14:paraId="76C74C63">
      <w:pPr>
        <w:jc w:val="center"/>
        <w:rPr>
          <w:rFonts w:ascii="宋体" w:hAnsi="宋体" w:cs="仿宋"/>
          <w:b w:val="0"/>
          <w:bCs w:val="0"/>
          <w:color w:val="auto"/>
          <w:sz w:val="21"/>
          <w:szCs w:val="21"/>
          <w:highlight w:val="none"/>
        </w:rPr>
      </w:pPr>
      <w:r>
        <w:rPr>
          <w:rFonts w:hint="eastAsia" w:ascii="宋体" w:hAnsi="宋体" w:cs="仿宋"/>
          <w:b w:val="0"/>
          <w:bCs w:val="0"/>
          <w:color w:val="auto"/>
          <w:sz w:val="21"/>
          <w:szCs w:val="21"/>
          <w:highlight w:val="none"/>
        </w:rPr>
        <w:t>（格式自拟，应逐页加盖企业电子签章）</w:t>
      </w:r>
    </w:p>
    <w:p w14:paraId="3442C232">
      <w:pPr>
        <w:jc w:val="center"/>
        <w:rPr>
          <w:rFonts w:ascii="宋体" w:hAnsi="宋体" w:cs="仿宋"/>
          <w:color w:val="auto"/>
          <w:sz w:val="21"/>
          <w:szCs w:val="21"/>
          <w:highlight w:val="none"/>
          <w:lang w:eastAsia="zh-CN"/>
        </w:rPr>
      </w:pPr>
      <w:bookmarkStart w:id="104" w:name="八、投标保证金"/>
      <w:bookmarkEnd w:id="104"/>
      <w:r>
        <w:rPr>
          <w:rFonts w:hint="eastAsia" w:ascii="宋体" w:hAnsi="宋体" w:cs="仿宋"/>
          <w:color w:val="auto"/>
          <w:sz w:val="21"/>
          <w:szCs w:val="21"/>
          <w:highlight w:val="none"/>
          <w:lang w:eastAsia="zh-CN"/>
        </w:rPr>
        <w:br w:type="page"/>
      </w:r>
    </w:p>
    <w:p w14:paraId="38314EB8">
      <w:pPr>
        <w:rPr>
          <w:rFonts w:ascii="宋体" w:hAnsi="宋体" w:cs="仿宋"/>
          <w:color w:val="auto"/>
          <w:sz w:val="21"/>
          <w:szCs w:val="21"/>
          <w:highlight w:val="none"/>
        </w:rPr>
      </w:pPr>
    </w:p>
    <w:p w14:paraId="77C3B96C">
      <w:pPr>
        <w:spacing w:line="360" w:lineRule="auto"/>
        <w:jc w:val="center"/>
        <w:rPr>
          <w:rFonts w:hint="eastAsia" w:ascii="宋体" w:hAnsi="宋体" w:cs="仿宋"/>
          <w:b/>
          <w:bCs/>
          <w:color w:val="auto"/>
          <w:sz w:val="21"/>
          <w:szCs w:val="21"/>
          <w:highlight w:val="none"/>
          <w:lang w:val="en-US" w:eastAsia="zh-CN"/>
        </w:rPr>
      </w:pPr>
      <w:bookmarkStart w:id="105" w:name="九、售后服务计划书"/>
      <w:bookmarkEnd w:id="105"/>
      <w:r>
        <w:rPr>
          <w:rFonts w:hint="eastAsia" w:ascii="宋体" w:hAnsi="宋体" w:cs="仿宋"/>
          <w:b/>
          <w:bCs/>
          <w:color w:val="auto"/>
          <w:sz w:val="21"/>
          <w:szCs w:val="21"/>
          <w:highlight w:val="none"/>
          <w:lang w:val="en-US" w:eastAsia="zh-CN"/>
        </w:rPr>
        <w:t>七、供应商</w:t>
      </w:r>
      <w:r>
        <w:rPr>
          <w:rFonts w:hint="eastAsia" w:ascii="宋体" w:hAnsi="宋体" w:cs="仿宋"/>
          <w:b/>
          <w:bCs/>
          <w:color w:val="auto"/>
          <w:sz w:val="21"/>
          <w:szCs w:val="21"/>
          <w:highlight w:val="none"/>
          <w:lang w:val="en-US" w:eastAsia="en-US"/>
        </w:rPr>
        <w:t>可提交的其他资料</w:t>
      </w:r>
    </w:p>
    <w:p w14:paraId="16927A86">
      <w:pPr>
        <w:spacing w:line="360" w:lineRule="auto"/>
        <w:jc w:val="center"/>
        <w:rPr>
          <w:rFonts w:hint="eastAsia" w:ascii="宋体" w:hAnsi="宋体" w:cs="仿宋"/>
          <w:b w:val="0"/>
          <w:bCs w:val="0"/>
          <w:color w:val="auto"/>
          <w:sz w:val="21"/>
          <w:szCs w:val="21"/>
          <w:highlight w:val="none"/>
        </w:rPr>
      </w:pPr>
    </w:p>
    <w:p w14:paraId="53D7E49B">
      <w:pPr>
        <w:spacing w:line="360" w:lineRule="auto"/>
        <w:jc w:val="center"/>
        <w:rPr>
          <w:rFonts w:hint="eastAsia" w:ascii="宋体" w:hAnsi="宋体" w:eastAsia="宋体" w:cs="仿宋"/>
          <w:b w:val="0"/>
          <w:bCs w:val="0"/>
          <w:color w:val="auto"/>
          <w:sz w:val="21"/>
          <w:szCs w:val="21"/>
          <w:highlight w:val="none"/>
          <w:lang w:eastAsia="zh-CN"/>
        </w:rPr>
        <w:sectPr>
          <w:pgSz w:w="12240" w:h="15840"/>
          <w:pgMar w:top="1400" w:right="1720" w:bottom="1120" w:left="1720" w:header="794" w:footer="921" w:gutter="0"/>
          <w:pgNumType w:fmt="decimal"/>
          <w:cols w:space="720" w:num="1"/>
        </w:sectPr>
      </w:pPr>
      <w:r>
        <w:rPr>
          <w:rFonts w:hint="eastAsia" w:ascii="宋体" w:hAnsi="宋体" w:eastAsia="宋体" w:cs="仿宋"/>
          <w:b w:val="0"/>
          <w:bCs w:val="0"/>
          <w:color w:val="auto"/>
          <w:sz w:val="21"/>
          <w:szCs w:val="21"/>
          <w:highlight w:val="none"/>
          <w:lang w:eastAsia="zh-CN"/>
        </w:rPr>
        <w:t>（</w:t>
      </w:r>
      <w:r>
        <w:rPr>
          <w:rFonts w:hint="eastAsia" w:ascii="宋体" w:hAnsi="宋体" w:cs="仿宋"/>
          <w:b w:val="0"/>
          <w:bCs w:val="0"/>
          <w:color w:val="auto"/>
          <w:sz w:val="21"/>
          <w:szCs w:val="21"/>
          <w:highlight w:val="none"/>
        </w:rPr>
        <w:t>供应商认为应附的其它相关资料</w:t>
      </w:r>
      <w:r>
        <w:rPr>
          <w:rFonts w:hint="eastAsia" w:ascii="宋体" w:hAnsi="宋体" w:eastAsia="宋体" w:cs="仿宋"/>
          <w:b w:val="0"/>
          <w:bCs w:val="0"/>
          <w:color w:val="auto"/>
          <w:sz w:val="21"/>
          <w:szCs w:val="21"/>
          <w:highlight w:val="none"/>
          <w:lang w:eastAsia="zh-CN"/>
        </w:rPr>
        <w:t>，格式自拟，应逐页加盖企业电子签章）</w:t>
      </w:r>
    </w:p>
    <w:p w14:paraId="6D29C33C">
      <w:r>
        <w:t>附件：</w:t>
      </w:r>
    </w:p>
    <w:p w14:paraId="7633C2B7">
      <w:pPr>
        <w:spacing w:line="360" w:lineRule="auto"/>
        <w:jc w:val="center"/>
        <w:rPr>
          <w:rFonts w:ascii="宋体" w:hAnsi="宋体" w:cs="宋体"/>
          <w:kern w:val="0"/>
          <w:sz w:val="28"/>
          <w:szCs w:val="28"/>
        </w:rPr>
      </w:pPr>
      <w:r>
        <w:rPr>
          <w:rFonts w:hint="eastAsia" w:ascii="宋体" w:hAnsi="宋体" w:eastAsia="宋体" w:cs="宋体"/>
          <w:kern w:val="0"/>
          <w:sz w:val="28"/>
          <w:szCs w:val="28"/>
        </w:rPr>
        <w:t>中小企业声明函</w:t>
      </w:r>
    </w:p>
    <w:p w14:paraId="3AC1D24E">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中小企业声明函（货物）</w:t>
      </w:r>
    </w:p>
    <w:p w14:paraId="38ADBC80">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本公司（联合体）郑重声明，根据《政府采购促进中小企业发展管理办法》（财库﹝2020﹞46 号）的规定，本公司（联合体）参加</w:t>
      </w:r>
      <w:r>
        <w:rPr>
          <w:rFonts w:hint="eastAsia" w:ascii="宋体" w:hAnsi="宋体" w:eastAsia="宋体" w:cs="宋体"/>
          <w:sz w:val="24"/>
          <w:szCs w:val="20"/>
          <w:u w:val="single"/>
        </w:rPr>
        <w:t>（单位名称）</w:t>
      </w:r>
      <w:r>
        <w:rPr>
          <w:rFonts w:hint="eastAsia" w:ascii="宋体" w:hAnsi="宋体" w:eastAsia="宋体" w:cs="宋体"/>
          <w:sz w:val="24"/>
          <w:szCs w:val="20"/>
        </w:rPr>
        <w:t>的</w:t>
      </w:r>
      <w:r>
        <w:rPr>
          <w:rFonts w:hint="eastAsia" w:ascii="宋体" w:hAnsi="宋体" w:eastAsia="宋体" w:cs="宋体"/>
          <w:sz w:val="24"/>
          <w:szCs w:val="20"/>
          <w:u w:val="single"/>
        </w:rPr>
        <w:t>（项目名称）</w:t>
      </w:r>
      <w:r>
        <w:rPr>
          <w:rFonts w:hint="eastAsia" w:ascii="宋体" w:hAnsi="宋体" w:eastAsia="宋体" w:cs="宋体"/>
          <w:sz w:val="24"/>
          <w:szCs w:val="20"/>
        </w:rPr>
        <w:t>采购活动，提供的货物全部由符合政策要求的中小企业制造。相关企业（含联合体中的中小企业、签订分包意向协议的中小企业）的具体情况如下：</w:t>
      </w:r>
    </w:p>
    <w:p w14:paraId="7C253CE2">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 xml:space="preserve">1. </w:t>
      </w:r>
      <w:r>
        <w:rPr>
          <w:rFonts w:hint="eastAsia" w:ascii="宋体" w:hAnsi="宋体" w:eastAsia="宋体" w:cs="宋体"/>
          <w:sz w:val="24"/>
          <w:szCs w:val="20"/>
          <w:u w:val="single"/>
        </w:rPr>
        <w:t xml:space="preserve">（标的名称） </w:t>
      </w:r>
      <w:r>
        <w:rPr>
          <w:rFonts w:hint="eastAsia" w:ascii="宋体" w:hAnsi="宋体" w:eastAsia="宋体" w:cs="宋体"/>
          <w:sz w:val="24"/>
          <w:szCs w:val="20"/>
        </w:rPr>
        <w:t>，属于</w:t>
      </w:r>
      <w:r>
        <w:rPr>
          <w:rFonts w:hint="eastAsia" w:ascii="宋体" w:hAnsi="宋体" w:eastAsia="宋体" w:cs="宋体"/>
          <w:sz w:val="24"/>
          <w:szCs w:val="20"/>
          <w:u w:val="single"/>
        </w:rPr>
        <w:t>（采购文件中明确的所属行业）行业</w:t>
      </w:r>
      <w:r>
        <w:rPr>
          <w:rFonts w:hint="eastAsia" w:ascii="宋体" w:hAnsi="宋体" w:eastAsia="宋体" w:cs="宋体"/>
          <w:sz w:val="24"/>
          <w:szCs w:val="20"/>
        </w:rPr>
        <w:t>；制造商为</w:t>
      </w:r>
      <w:r>
        <w:rPr>
          <w:rFonts w:hint="eastAsia" w:ascii="宋体" w:hAnsi="宋体" w:eastAsia="宋体" w:cs="宋体"/>
          <w:sz w:val="24"/>
          <w:szCs w:val="20"/>
          <w:u w:val="single"/>
        </w:rPr>
        <w:t>（企业名称），</w:t>
      </w:r>
      <w:r>
        <w:rPr>
          <w:rFonts w:hint="eastAsia" w:ascii="宋体" w:hAnsi="宋体" w:eastAsia="宋体" w:cs="宋体"/>
          <w:sz w:val="24"/>
          <w:szCs w:val="20"/>
        </w:rPr>
        <w:t>从业人员</w:t>
      </w:r>
      <w:r>
        <w:rPr>
          <w:rFonts w:hint="eastAsia" w:ascii="宋体" w:hAnsi="宋体" w:eastAsia="宋体" w:cs="宋体"/>
          <w:sz w:val="24"/>
          <w:szCs w:val="20"/>
          <w:u w:val="single"/>
        </w:rPr>
        <w:t xml:space="preserve">     </w:t>
      </w:r>
      <w:r>
        <w:rPr>
          <w:rFonts w:hint="eastAsia" w:ascii="宋体" w:hAnsi="宋体" w:eastAsia="宋体" w:cs="宋体"/>
          <w:sz w:val="24"/>
          <w:szCs w:val="20"/>
        </w:rPr>
        <w:t>人，营业收入为</w:t>
      </w:r>
      <w:r>
        <w:rPr>
          <w:rFonts w:hint="eastAsia" w:ascii="宋体" w:hAnsi="宋体" w:eastAsia="宋体" w:cs="宋体"/>
          <w:sz w:val="24"/>
          <w:szCs w:val="20"/>
          <w:u w:val="single"/>
        </w:rPr>
        <w:t xml:space="preserve">     </w:t>
      </w:r>
      <w:r>
        <w:rPr>
          <w:rFonts w:hint="eastAsia" w:ascii="宋体" w:hAnsi="宋体" w:eastAsia="宋体" w:cs="宋体"/>
          <w:sz w:val="24"/>
          <w:szCs w:val="20"/>
        </w:rPr>
        <w:t>万元，资产总额为</w:t>
      </w:r>
      <w:r>
        <w:rPr>
          <w:rFonts w:hint="eastAsia" w:ascii="宋体" w:hAnsi="宋体" w:eastAsia="宋体" w:cs="宋体"/>
          <w:sz w:val="24"/>
          <w:szCs w:val="20"/>
          <w:u w:val="single"/>
        </w:rPr>
        <w:t xml:space="preserve">    </w:t>
      </w:r>
      <w:r>
        <w:rPr>
          <w:rFonts w:hint="eastAsia" w:ascii="宋体" w:hAnsi="宋体" w:eastAsia="宋体" w:cs="宋体"/>
          <w:sz w:val="24"/>
          <w:szCs w:val="20"/>
        </w:rPr>
        <w:t>万元</w:t>
      </w:r>
      <w:r>
        <w:rPr>
          <w:rFonts w:hint="eastAsia" w:ascii="宋体" w:hAnsi="宋体" w:eastAsia="宋体" w:cs="宋体"/>
          <w:sz w:val="24"/>
          <w:szCs w:val="20"/>
          <w:vertAlign w:val="superscript"/>
        </w:rPr>
        <w:t>1</w:t>
      </w:r>
      <w:r>
        <w:rPr>
          <w:rFonts w:hint="eastAsia" w:ascii="宋体" w:hAnsi="宋体" w:eastAsia="宋体" w:cs="宋体"/>
          <w:sz w:val="24"/>
          <w:szCs w:val="20"/>
        </w:rPr>
        <w:t>，属于</w:t>
      </w:r>
      <w:r>
        <w:rPr>
          <w:rFonts w:hint="eastAsia" w:ascii="宋体" w:hAnsi="宋体" w:eastAsia="宋体" w:cs="宋体"/>
          <w:sz w:val="24"/>
          <w:szCs w:val="20"/>
          <w:u w:val="single"/>
        </w:rPr>
        <w:t>（中型企业、小型企业、微型企业）</w:t>
      </w:r>
      <w:r>
        <w:rPr>
          <w:rFonts w:hint="eastAsia" w:ascii="宋体" w:hAnsi="宋体" w:eastAsia="宋体" w:cs="宋体"/>
          <w:sz w:val="24"/>
          <w:szCs w:val="20"/>
        </w:rPr>
        <w:t>；</w:t>
      </w:r>
    </w:p>
    <w:p w14:paraId="3B9DA7C2">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 xml:space="preserve">2. </w:t>
      </w:r>
      <w:r>
        <w:rPr>
          <w:rFonts w:hint="eastAsia" w:ascii="宋体" w:hAnsi="宋体" w:eastAsia="宋体" w:cs="宋体"/>
          <w:sz w:val="24"/>
          <w:szCs w:val="20"/>
          <w:u w:val="single"/>
        </w:rPr>
        <w:t xml:space="preserve">（标的名称） </w:t>
      </w:r>
      <w:r>
        <w:rPr>
          <w:rFonts w:hint="eastAsia" w:ascii="宋体" w:hAnsi="宋体" w:eastAsia="宋体" w:cs="宋体"/>
          <w:sz w:val="24"/>
          <w:szCs w:val="20"/>
        </w:rPr>
        <w:t>，属于</w:t>
      </w:r>
      <w:r>
        <w:rPr>
          <w:rFonts w:hint="eastAsia" w:ascii="宋体" w:hAnsi="宋体" w:eastAsia="宋体" w:cs="宋体"/>
          <w:sz w:val="24"/>
          <w:szCs w:val="20"/>
          <w:u w:val="single"/>
        </w:rPr>
        <w:t>（采购文件中明确的所属行业）行业</w:t>
      </w:r>
      <w:r>
        <w:rPr>
          <w:rFonts w:hint="eastAsia" w:ascii="宋体" w:hAnsi="宋体" w:eastAsia="宋体" w:cs="宋体"/>
          <w:sz w:val="24"/>
          <w:szCs w:val="20"/>
        </w:rPr>
        <w:t>；制造商为</w:t>
      </w:r>
      <w:r>
        <w:rPr>
          <w:rFonts w:hint="eastAsia" w:ascii="宋体" w:hAnsi="宋体" w:eastAsia="宋体" w:cs="宋体"/>
          <w:sz w:val="24"/>
          <w:szCs w:val="20"/>
          <w:u w:val="single"/>
        </w:rPr>
        <w:t>（企业名称）</w:t>
      </w:r>
      <w:r>
        <w:rPr>
          <w:rFonts w:hint="eastAsia" w:ascii="宋体" w:hAnsi="宋体" w:eastAsia="宋体" w:cs="宋体"/>
          <w:sz w:val="24"/>
          <w:szCs w:val="20"/>
        </w:rPr>
        <w:t>，从业人员</w:t>
      </w:r>
      <w:r>
        <w:rPr>
          <w:rFonts w:hint="eastAsia" w:ascii="宋体" w:hAnsi="宋体" w:eastAsia="宋体" w:cs="宋体"/>
          <w:sz w:val="24"/>
          <w:szCs w:val="20"/>
          <w:u w:val="single"/>
        </w:rPr>
        <w:t xml:space="preserve">     </w:t>
      </w:r>
      <w:r>
        <w:rPr>
          <w:rFonts w:hint="eastAsia" w:ascii="宋体" w:hAnsi="宋体" w:eastAsia="宋体" w:cs="宋体"/>
          <w:sz w:val="24"/>
          <w:szCs w:val="20"/>
        </w:rPr>
        <w:t>人，营业收入为</w:t>
      </w:r>
      <w:r>
        <w:rPr>
          <w:rFonts w:hint="eastAsia" w:ascii="宋体" w:hAnsi="宋体" w:eastAsia="宋体" w:cs="宋体"/>
          <w:sz w:val="24"/>
          <w:szCs w:val="20"/>
          <w:u w:val="single"/>
        </w:rPr>
        <w:t xml:space="preserve">     </w:t>
      </w:r>
      <w:r>
        <w:rPr>
          <w:rFonts w:hint="eastAsia" w:ascii="宋体" w:hAnsi="宋体" w:eastAsia="宋体" w:cs="宋体"/>
          <w:sz w:val="24"/>
          <w:szCs w:val="20"/>
        </w:rPr>
        <w:t>万元，资产总额为</w:t>
      </w:r>
      <w:r>
        <w:rPr>
          <w:rFonts w:hint="eastAsia" w:ascii="宋体" w:hAnsi="宋体" w:eastAsia="宋体" w:cs="宋体"/>
          <w:sz w:val="24"/>
          <w:szCs w:val="20"/>
          <w:u w:val="single"/>
        </w:rPr>
        <w:t xml:space="preserve">      </w:t>
      </w:r>
      <w:r>
        <w:rPr>
          <w:rFonts w:hint="eastAsia" w:ascii="宋体" w:hAnsi="宋体" w:eastAsia="宋体" w:cs="宋体"/>
          <w:sz w:val="24"/>
          <w:szCs w:val="20"/>
        </w:rPr>
        <w:t>万元，属于</w:t>
      </w:r>
      <w:r>
        <w:rPr>
          <w:rFonts w:hint="eastAsia" w:ascii="宋体" w:hAnsi="宋体" w:eastAsia="宋体" w:cs="宋体"/>
          <w:sz w:val="24"/>
          <w:szCs w:val="20"/>
          <w:u w:val="single"/>
        </w:rPr>
        <w:t>（中型企业、小型企业、微型企业）</w:t>
      </w:r>
      <w:r>
        <w:rPr>
          <w:rFonts w:hint="eastAsia" w:ascii="宋体" w:hAnsi="宋体" w:eastAsia="宋体" w:cs="宋体"/>
          <w:sz w:val="24"/>
          <w:szCs w:val="20"/>
        </w:rPr>
        <w:t>；</w:t>
      </w:r>
    </w:p>
    <w:p w14:paraId="2A39887B">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w:t>
      </w:r>
    </w:p>
    <w:p w14:paraId="7C35A9B3">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以上企业，不属于大企业的分支机构，不存在控股股东为大企业的情形，也不存在与大企业的负责人为同一人的情形。</w:t>
      </w:r>
    </w:p>
    <w:p w14:paraId="31BC421F">
      <w:pPr>
        <w:snapToGrid w:val="0"/>
        <w:spacing w:line="360" w:lineRule="auto"/>
        <w:ind w:right="482" w:firstLine="480" w:firstLineChars="200"/>
        <w:jc w:val="left"/>
        <w:rPr>
          <w:rFonts w:ascii="宋体" w:hAnsi="宋体" w:eastAsia="宋体" w:cs="宋体"/>
          <w:sz w:val="24"/>
          <w:szCs w:val="20"/>
        </w:rPr>
      </w:pPr>
      <w:r>
        <w:rPr>
          <w:rFonts w:hint="eastAsia" w:ascii="宋体" w:hAnsi="宋体" w:eastAsia="宋体" w:cs="宋体"/>
          <w:sz w:val="24"/>
          <w:szCs w:val="20"/>
        </w:rPr>
        <w:t>本企业对上述声明内容的真实性负责。如有虚假，将依法承担相应责任。</w:t>
      </w:r>
    </w:p>
    <w:p w14:paraId="1E41701D">
      <w:pPr>
        <w:snapToGrid w:val="0"/>
        <w:spacing w:line="360" w:lineRule="auto"/>
        <w:ind w:right="482" w:firstLine="5527" w:firstLineChars="2303"/>
        <w:jc w:val="left"/>
        <w:rPr>
          <w:rFonts w:ascii="宋体" w:hAnsi="宋体" w:eastAsia="宋体" w:cs="宋体"/>
          <w:sz w:val="24"/>
          <w:szCs w:val="20"/>
        </w:rPr>
      </w:pPr>
      <w:r>
        <w:rPr>
          <w:rFonts w:hint="eastAsia" w:ascii="宋体" w:hAnsi="宋体" w:eastAsia="宋体" w:cs="宋体"/>
          <w:sz w:val="24"/>
          <w:szCs w:val="20"/>
        </w:rPr>
        <w:t>企业名称（盖章）：</w:t>
      </w:r>
    </w:p>
    <w:p w14:paraId="4F76BBA3">
      <w:pPr>
        <w:snapToGrid w:val="0"/>
        <w:spacing w:line="360" w:lineRule="auto"/>
        <w:ind w:right="482" w:firstLine="5527" w:firstLineChars="2303"/>
        <w:jc w:val="left"/>
        <w:rPr>
          <w:rFonts w:ascii="宋体" w:hAnsi="宋体" w:eastAsia="宋体" w:cs="宋体"/>
          <w:sz w:val="24"/>
          <w:szCs w:val="20"/>
        </w:rPr>
      </w:pPr>
      <w:r>
        <w:rPr>
          <w:rFonts w:hint="eastAsia" w:ascii="宋体" w:hAnsi="宋体" w:eastAsia="宋体" w:cs="宋体"/>
          <w:sz w:val="24"/>
          <w:szCs w:val="20"/>
        </w:rPr>
        <w:t>日期：</w:t>
      </w:r>
    </w:p>
    <w:p w14:paraId="19093169">
      <w:pPr>
        <w:spacing w:line="400" w:lineRule="exact"/>
        <w:jc w:val="left"/>
        <w:rPr>
          <w:rFonts w:ascii="宋体" w:hAnsi="宋体" w:eastAsia="宋体" w:cs="宋体"/>
          <w:b/>
          <w:bCs/>
          <w:sz w:val="24"/>
          <w:szCs w:val="20"/>
        </w:rPr>
      </w:pPr>
      <w:r>
        <w:rPr>
          <w:rFonts w:hint="eastAsia" w:ascii="宋体" w:hAnsi="宋体" w:eastAsia="宋体" w:cs="宋体"/>
          <w:b/>
          <w:bCs/>
          <w:sz w:val="24"/>
          <w:szCs w:val="20"/>
        </w:rPr>
        <w:t>注：1、从业人员、营业收入、资产总额填报上一年度数据，无上一年度数据的新成立企业可不填报。</w:t>
      </w:r>
    </w:p>
    <w:p w14:paraId="10B950C7">
      <w:pPr>
        <w:spacing w:line="400" w:lineRule="exact"/>
        <w:ind w:firstLine="630"/>
        <w:jc w:val="left"/>
        <w:rPr>
          <w:rFonts w:ascii="宋体" w:hAnsi="Calibri" w:eastAsia="宋体" w:cs="Times New Roman"/>
          <w:sz w:val="32"/>
          <w:szCs w:val="24"/>
        </w:rPr>
      </w:pPr>
      <w:r>
        <w:rPr>
          <w:rFonts w:hint="eastAsia" w:ascii="宋体" w:hAnsi="宋体" w:eastAsia="宋体" w:cs="宋体"/>
          <w:b/>
          <w:bCs/>
          <w:sz w:val="24"/>
          <w:szCs w:val="20"/>
        </w:rPr>
        <w:t>2、中小企业划分标准见工业和信息化部国家统计局国家发展和改革委员财政部《关于印发中小企业划型标准规定的通知》（工信部联企业【2011】300号）。</w:t>
      </w:r>
    </w:p>
    <w:p w14:paraId="305CAEA5">
      <w:pPr>
        <w:spacing w:line="400" w:lineRule="exact"/>
        <w:ind w:right="111"/>
        <w:jc w:val="left"/>
        <w:outlineLvl w:val="7"/>
        <w:rPr>
          <w:rFonts w:ascii="宋体" w:hAnsi="宋体" w:eastAsia="宋体" w:cs="宋体"/>
          <w:b/>
          <w:bCs/>
          <w:kern w:val="0"/>
          <w:sz w:val="22"/>
          <w:szCs w:val="24"/>
        </w:rPr>
      </w:pPr>
    </w:p>
    <w:p w14:paraId="4A389703">
      <w:pPr>
        <w:spacing w:line="360" w:lineRule="auto"/>
        <w:jc w:val="center"/>
        <w:rPr>
          <w:rFonts w:hint="eastAsia" w:ascii="宋体" w:hAnsi="宋体" w:eastAsia="宋体" w:cs="仿宋"/>
          <w:b w:val="0"/>
          <w:bCs w:val="0"/>
          <w:color w:val="auto"/>
          <w:sz w:val="21"/>
          <w:szCs w:val="21"/>
          <w:highlight w:val="none"/>
          <w:lang w:eastAsia="zh-CN"/>
        </w:rPr>
      </w:pPr>
      <w:r>
        <w:rPr>
          <w:rFonts w:hint="eastAsia" w:ascii="宋体" w:hAnsi="宋体" w:eastAsia="宋体" w:cs="宋体"/>
          <w:b/>
          <w:bCs/>
          <w:kern w:val="0"/>
          <w:sz w:val="22"/>
          <w:szCs w:val="24"/>
        </w:rPr>
        <w:t>备注：供应商提供声明函内容不实的，属于提供虚假材料谋取中标，依照《中华人民共和国政府采购法》等国家有关规定追究相应责任。</w:t>
      </w:r>
    </w:p>
    <w:p w14:paraId="3753BE97">
      <w:pPr>
        <w:jc w:val="center"/>
        <w:rPr>
          <w:rFonts w:hint="eastAsia" w:ascii="宋体" w:hAnsi="宋体" w:eastAsia="宋体" w:cs="宋体"/>
          <w:b/>
          <w:bCs/>
          <w:kern w:val="0"/>
          <w:sz w:val="28"/>
          <w:szCs w:val="28"/>
        </w:rPr>
      </w:pPr>
    </w:p>
    <w:p w14:paraId="4364E940">
      <w:pPr>
        <w:jc w:val="center"/>
        <w:rPr>
          <w:rFonts w:ascii="宋体" w:hAnsi="宋体" w:eastAsia="Calibri" w:cs="宋体"/>
          <w:kern w:val="0"/>
          <w:sz w:val="28"/>
          <w:szCs w:val="28"/>
        </w:rPr>
      </w:pPr>
      <w:r>
        <w:rPr>
          <w:rFonts w:hint="eastAsia" w:ascii="宋体" w:hAnsi="宋体" w:eastAsia="宋体" w:cs="宋体"/>
          <w:b/>
          <w:bCs/>
          <w:kern w:val="0"/>
          <w:sz w:val="28"/>
          <w:szCs w:val="28"/>
        </w:rPr>
        <w:t>残疾人福利性单位声明函（如需）</w:t>
      </w:r>
    </w:p>
    <w:p w14:paraId="115513D8">
      <w:pPr>
        <w:spacing w:line="360" w:lineRule="auto"/>
        <w:ind w:firstLine="504" w:firstLineChars="200"/>
        <w:jc w:val="left"/>
        <w:rPr>
          <w:rFonts w:ascii="宋体" w:hAnsi="宋体" w:eastAsia="Calibri" w:cs="宋体"/>
          <w:spacing w:val="6"/>
          <w:kern w:val="0"/>
          <w:sz w:val="24"/>
          <w:szCs w:val="24"/>
        </w:rPr>
      </w:pPr>
      <w:r>
        <w:rPr>
          <w:rFonts w:hint="eastAsia" w:ascii="宋体" w:hAnsi="宋体" w:eastAsia="Calibri" w:cs="宋体"/>
          <w:spacing w:val="6"/>
          <w:kern w:val="0"/>
          <w:sz w:val="24"/>
          <w:szCs w:val="24"/>
        </w:rPr>
        <w:t>本单位郑重声明，根据《财政部民政部中国残疾人联合会关于促进残疾人就业政府采购政策的通知》（财库</w:t>
      </w:r>
      <w:r>
        <w:rPr>
          <w:rFonts w:hint="eastAsia" w:ascii="宋体" w:hAnsi="宋体" w:eastAsia="Calibri" w:cs="宋体"/>
          <w:kern w:val="0"/>
          <w:sz w:val="24"/>
          <w:szCs w:val="24"/>
        </w:rPr>
        <w:t>〔2017〕 141</w:t>
      </w:r>
      <w:r>
        <w:rPr>
          <w:rFonts w:hint="eastAsia" w:ascii="宋体" w:hAnsi="宋体" w:eastAsia="Calibri" w:cs="宋体"/>
          <w:spacing w:val="6"/>
          <w:kern w:val="0"/>
          <w:sz w:val="24"/>
          <w:szCs w:val="24"/>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7E705E9">
      <w:pPr>
        <w:spacing w:line="360" w:lineRule="auto"/>
        <w:ind w:firstLine="504" w:firstLineChars="200"/>
        <w:jc w:val="left"/>
        <w:rPr>
          <w:rFonts w:ascii="宋体" w:hAnsi="宋体" w:eastAsia="Calibri" w:cs="宋体"/>
          <w:spacing w:val="6"/>
          <w:kern w:val="0"/>
          <w:sz w:val="24"/>
          <w:szCs w:val="24"/>
        </w:rPr>
      </w:pPr>
      <w:r>
        <w:rPr>
          <w:rFonts w:hint="eastAsia" w:ascii="宋体" w:hAnsi="宋体" w:eastAsia="Calibri" w:cs="宋体"/>
          <w:spacing w:val="6"/>
          <w:kern w:val="0"/>
          <w:sz w:val="24"/>
          <w:szCs w:val="24"/>
        </w:rPr>
        <w:t>本单位对上述声明的真实性负责。如有虚假，将依法承担相应责任。</w:t>
      </w:r>
    </w:p>
    <w:p w14:paraId="0C1C3BF8">
      <w:pPr>
        <w:tabs>
          <w:tab w:val="left" w:pos="4860"/>
        </w:tabs>
        <w:spacing w:line="360" w:lineRule="auto"/>
        <w:ind w:right="1560" w:firstLine="3528" w:firstLineChars="1400"/>
        <w:jc w:val="both"/>
        <w:rPr>
          <w:rFonts w:ascii="宋体" w:hAnsi="宋体" w:eastAsia="Calibri" w:cs="宋体"/>
          <w:spacing w:val="6"/>
          <w:kern w:val="0"/>
          <w:sz w:val="24"/>
          <w:szCs w:val="24"/>
        </w:rPr>
      </w:pPr>
      <w:r>
        <w:rPr>
          <w:rFonts w:hint="eastAsia" w:ascii="宋体" w:hAnsi="宋体" w:eastAsia="Calibri" w:cs="宋体"/>
          <w:spacing w:val="6"/>
          <w:kern w:val="0"/>
          <w:sz w:val="24"/>
          <w:szCs w:val="24"/>
        </w:rPr>
        <w:t>单位名称（盖章）：</w:t>
      </w:r>
    </w:p>
    <w:p w14:paraId="32355B68">
      <w:pPr>
        <w:tabs>
          <w:tab w:val="left" w:pos="4860"/>
        </w:tabs>
        <w:spacing w:line="360" w:lineRule="auto"/>
        <w:ind w:right="1560" w:firstLine="504" w:firstLineChars="200"/>
        <w:jc w:val="center"/>
        <w:rPr>
          <w:rFonts w:ascii="宋体" w:hAnsi="宋体" w:eastAsia="Calibri" w:cs="宋体"/>
          <w:spacing w:val="6"/>
          <w:kern w:val="0"/>
          <w:sz w:val="24"/>
          <w:szCs w:val="24"/>
        </w:rPr>
      </w:pPr>
      <w:r>
        <w:rPr>
          <w:rFonts w:hint="eastAsia" w:ascii="宋体" w:hAnsi="宋体" w:eastAsia="Calibri" w:cs="宋体"/>
          <w:spacing w:val="6"/>
          <w:kern w:val="0"/>
          <w:sz w:val="24"/>
          <w:szCs w:val="24"/>
        </w:rPr>
        <w:t>日期：</w:t>
      </w:r>
    </w:p>
    <w:p w14:paraId="4400751B">
      <w:pPr>
        <w:tabs>
          <w:tab w:val="left" w:pos="840"/>
        </w:tabs>
        <w:autoSpaceDE w:val="0"/>
        <w:autoSpaceDN w:val="0"/>
        <w:adjustRightInd w:val="0"/>
        <w:spacing w:line="360" w:lineRule="auto"/>
        <w:jc w:val="center"/>
        <w:rPr>
          <w:rFonts w:ascii="宋体" w:hAnsi="宋体" w:eastAsia="Calibri" w:cs="宋体"/>
          <w:b/>
          <w:kern w:val="0"/>
          <w:sz w:val="24"/>
          <w:szCs w:val="24"/>
        </w:rPr>
      </w:pPr>
    </w:p>
    <w:p w14:paraId="60995BDB">
      <w:pPr>
        <w:spacing w:line="360" w:lineRule="auto"/>
        <w:jc w:val="left"/>
        <w:rPr>
          <w:rFonts w:ascii="宋体" w:hAnsi="宋体" w:eastAsia="Calibri" w:cs="宋体"/>
          <w:kern w:val="0"/>
          <w:sz w:val="24"/>
          <w:szCs w:val="24"/>
        </w:rPr>
      </w:pPr>
      <w:r>
        <w:rPr>
          <w:rFonts w:hint="eastAsia" w:ascii="宋体" w:hAnsi="宋体" w:eastAsia="宋体" w:cs="宋体"/>
          <w:b/>
          <w:kern w:val="0"/>
          <w:sz w:val="24"/>
          <w:szCs w:val="24"/>
        </w:rPr>
        <w:t>（提醒：如</w:t>
      </w:r>
      <w:r>
        <w:rPr>
          <w:rFonts w:hint="eastAsia" w:ascii="宋体" w:hAnsi="宋体" w:eastAsia="宋体" w:cs="宋体"/>
          <w:b/>
          <w:spacing w:val="10"/>
          <w:kern w:val="0"/>
          <w:sz w:val="24"/>
          <w:szCs w:val="24"/>
        </w:rPr>
        <w:t>果</w:t>
      </w:r>
      <w:r>
        <w:rPr>
          <w:rFonts w:hint="eastAsia" w:ascii="宋体" w:hAnsi="宋体" w:eastAsia="宋体" w:cs="宋体"/>
          <w:b/>
          <w:spacing w:val="10"/>
          <w:kern w:val="0"/>
          <w:sz w:val="24"/>
          <w:szCs w:val="24"/>
          <w:lang w:eastAsia="zh-CN"/>
        </w:rPr>
        <w:t>供应商</w:t>
      </w:r>
      <w:r>
        <w:rPr>
          <w:rFonts w:hint="eastAsia" w:ascii="宋体" w:hAnsi="宋体" w:eastAsia="宋体" w:cs="宋体"/>
          <w:b/>
          <w:spacing w:val="10"/>
          <w:kern w:val="0"/>
          <w:sz w:val="24"/>
          <w:szCs w:val="24"/>
        </w:rPr>
        <w:t>不是残疾人福利性单位</w:t>
      </w:r>
      <w:r>
        <w:rPr>
          <w:rFonts w:hint="eastAsia" w:ascii="宋体" w:hAnsi="宋体" w:eastAsia="宋体" w:cs="宋体"/>
          <w:b/>
          <w:kern w:val="0"/>
          <w:sz w:val="24"/>
          <w:szCs w:val="24"/>
        </w:rPr>
        <w:t>，则不需要提供《残疾人福利性单位声明函》。否则，因此导致虚假投标的后果由</w:t>
      </w:r>
      <w:r>
        <w:rPr>
          <w:rFonts w:hint="eastAsia" w:ascii="宋体" w:hAnsi="宋体" w:eastAsia="宋体" w:cs="宋体"/>
          <w:b/>
          <w:kern w:val="0"/>
          <w:sz w:val="24"/>
          <w:szCs w:val="24"/>
          <w:lang w:eastAsia="zh-CN"/>
        </w:rPr>
        <w:t>供应商</w:t>
      </w:r>
      <w:r>
        <w:rPr>
          <w:rFonts w:hint="eastAsia" w:ascii="宋体" w:hAnsi="宋体" w:eastAsia="宋体" w:cs="宋体"/>
          <w:b/>
          <w:kern w:val="0"/>
          <w:sz w:val="24"/>
          <w:szCs w:val="24"/>
        </w:rPr>
        <w:t>自行承担。）</w:t>
      </w:r>
    </w:p>
    <w:p w14:paraId="7665D299">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《财政部民政部中国残疾人联合会关于促进残疾人就业政府采购政策的通知》（财库（2017〔141〕号）的规定：</w:t>
      </w:r>
    </w:p>
    <w:p w14:paraId="3B4D22F4">
      <w:pPr>
        <w:spacing w:line="360" w:lineRule="auto"/>
        <w:ind w:firstLine="480" w:firstLineChars="200"/>
        <w:jc w:val="left"/>
        <w:rPr>
          <w:rFonts w:ascii="宋体" w:hAnsi="宋体" w:eastAsia="Calibri" w:cs="宋体"/>
          <w:kern w:val="0"/>
          <w:sz w:val="24"/>
          <w:szCs w:val="24"/>
        </w:rPr>
      </w:pPr>
      <w:r>
        <w:rPr>
          <w:rFonts w:hint="eastAsia" w:ascii="宋体" w:hAnsi="宋体" w:eastAsia="Calibri" w:cs="宋体"/>
          <w:kern w:val="0"/>
          <w:sz w:val="24"/>
          <w:szCs w:val="24"/>
        </w:rPr>
        <w:t>1. 享受政府采购支持政策的残疾人福利性单位应当同时满足以下条件：</w:t>
      </w:r>
    </w:p>
    <w:p w14:paraId="1942CFB9">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（1）安置的残疾人占本单位在职职工人数的比例不低于25%（含25%），并且安置的残疾人人数不少于10人（含10人）；</w:t>
      </w:r>
    </w:p>
    <w:p w14:paraId="3327A0F5">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（2）依法与安置的每位残疾人签订了一年以上（含一年）的劳动合同或服务协议；</w:t>
      </w:r>
    </w:p>
    <w:p w14:paraId="1256AC0D">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（3）为安置的每位残疾人按月足额缴纳了基本养老保险、基本医疗保险、失业保险、工伤保险和生育保险等社会保险费；</w:t>
      </w:r>
    </w:p>
    <w:p w14:paraId="2213286B">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（4）通过银行等金融机构向安置的每位残疾人，按月支付了不低于单位所在区县适用的经省级人民政府批准的月最低工资标准的工资；</w:t>
      </w:r>
    </w:p>
    <w:p w14:paraId="54026577">
      <w:pPr>
        <w:spacing w:line="360" w:lineRule="auto"/>
        <w:jc w:val="left"/>
        <w:rPr>
          <w:rFonts w:ascii="宋体" w:hAnsi="宋体" w:eastAsia="Calibri" w:cs="宋体"/>
          <w:kern w:val="0"/>
          <w:sz w:val="24"/>
          <w:szCs w:val="24"/>
        </w:rPr>
      </w:pPr>
      <w:r>
        <w:rPr>
          <w:rFonts w:hint="eastAsia" w:ascii="宋体" w:hAnsi="宋体" w:eastAsia="Calibri" w:cs="宋体"/>
          <w:kern w:val="0"/>
          <w:sz w:val="24"/>
          <w:szCs w:val="24"/>
        </w:rPr>
        <w:t>（5）提供本单位制造的货物、承担的工程或者服务（以下简称产品），或者提供其他残疾人福利性单位制造的货物（不包括使用非残疾人福利性单位注册商标的货物）。</w:t>
      </w:r>
    </w:p>
    <w:p w14:paraId="7AFB62D7">
      <w:pPr>
        <w:spacing w:line="360" w:lineRule="auto"/>
        <w:ind w:right="111"/>
        <w:jc w:val="left"/>
        <w:outlineLvl w:val="7"/>
        <w:rPr>
          <w:rFonts w:ascii="Calibri" w:hAnsi="Calibri" w:eastAsia="Calibri" w:cs="宋体"/>
          <w:kern w:val="0"/>
          <w:sz w:val="22"/>
        </w:rPr>
      </w:pPr>
      <w:r>
        <w:rPr>
          <w:rFonts w:hint="eastAsia" w:ascii="宋体" w:hAnsi="宋体" w:eastAsia="Calibri" w:cs="宋体"/>
          <w:kern w:val="0"/>
          <w:sz w:val="24"/>
          <w:szCs w:val="24"/>
        </w:rPr>
        <w:t>2.中标人为残疾人福利性单位的，采购人或者其委托的采购代理机构应当随中标、成交结果同时公告其《残疾人福利性单位声明函》，接受社会监督。</w:t>
      </w:r>
      <w:r>
        <w:rPr>
          <w:rFonts w:ascii="Calibri" w:hAnsi="Calibri" w:eastAsia="Calibri" w:cs="宋体"/>
          <w:kern w:val="0"/>
          <w:sz w:val="22"/>
        </w:rPr>
        <w:br w:type="page"/>
      </w:r>
    </w:p>
    <w:p w14:paraId="064FEDF1">
      <w:pPr>
        <w:spacing w:line="360" w:lineRule="auto"/>
        <w:ind w:right="111"/>
        <w:jc w:val="left"/>
        <w:outlineLvl w:val="7"/>
        <w:rPr>
          <w:rFonts w:ascii="宋体" w:hAnsi="宋体" w:eastAsia="宋体" w:cs="宋体"/>
          <w:kern w:val="0"/>
          <w:sz w:val="24"/>
          <w:szCs w:val="24"/>
        </w:rPr>
        <w:sectPr>
          <w:footerReference r:id="rId11" w:type="default"/>
          <w:pgSz w:w="12240" w:h="15840"/>
          <w:pgMar w:top="1500" w:right="1680" w:bottom="1120" w:left="1720" w:header="737" w:footer="921" w:gutter="0"/>
          <w:cols w:space="720" w:num="1"/>
        </w:sectPr>
      </w:pPr>
    </w:p>
    <w:p w14:paraId="72BB9309">
      <w:pPr>
        <w:spacing w:line="500" w:lineRule="exact"/>
        <w:jc w:val="center"/>
        <w:rPr>
          <w:rFonts w:ascii="宋体" w:hAnsi="宋体" w:eastAsia="Calibri" w:cs="宋体"/>
          <w:b/>
          <w:bCs/>
          <w:kern w:val="0"/>
          <w:sz w:val="28"/>
          <w:szCs w:val="28"/>
        </w:rPr>
      </w:pPr>
      <w:bookmarkStart w:id="106" w:name="二、投标报价"/>
      <w:bookmarkEnd w:id="106"/>
      <w:r>
        <w:rPr>
          <w:rFonts w:hint="eastAsia" w:ascii="宋体" w:hAnsi="宋体" w:eastAsia="宋体" w:cs="宋体"/>
          <w:b/>
          <w:kern w:val="0"/>
          <w:sz w:val="28"/>
          <w:szCs w:val="28"/>
        </w:rPr>
        <w:t>监狱企业证明文件（如需）</w:t>
      </w:r>
    </w:p>
    <w:p w14:paraId="2104A354">
      <w:pPr>
        <w:ind w:left="122"/>
        <w:jc w:val="left"/>
        <w:rPr>
          <w:rFonts w:ascii="宋体" w:hAnsi="宋体" w:eastAsia="宋体" w:cs="宋体"/>
          <w:b/>
          <w:kern w:val="0"/>
          <w:sz w:val="28"/>
          <w:szCs w:val="28"/>
        </w:rPr>
      </w:pPr>
    </w:p>
    <w:p w14:paraId="49FA8616">
      <w:r>
        <w:rPr>
          <w:rFonts w:hint="eastAsia" w:ascii="宋体" w:hAnsi="宋体" w:eastAsia="Calibri" w:cs="宋体"/>
          <w:kern w:val="0"/>
          <w:sz w:val="24"/>
          <w:szCs w:val="24"/>
        </w:rPr>
        <w:t>（监狱企业参加政府采购活动时，应当提供由省级以上监狱管理局、戒毒管理局(含新疆生产建设兵团)出具的属于监狱企业的证明文件。在投标文件中提供复印件。</w:t>
      </w:r>
    </w:p>
    <w:p w14:paraId="04BE8B34">
      <w:pPr>
        <w:spacing w:line="360" w:lineRule="auto"/>
        <w:jc w:val="center"/>
        <w:rPr>
          <w:rFonts w:ascii="宋体" w:hAnsi="宋体" w:cs="仿宋"/>
          <w:b/>
          <w:bCs/>
          <w:color w:val="auto"/>
          <w:sz w:val="21"/>
          <w:szCs w:val="21"/>
          <w:highlight w:val="none"/>
        </w:rPr>
      </w:pPr>
    </w:p>
    <w:p w14:paraId="242E9551">
      <w:pPr>
        <w:rPr>
          <w:rFonts w:hint="eastAsia"/>
          <w:color w:val="auto"/>
          <w:sz w:val="21"/>
          <w:szCs w:val="21"/>
          <w:highlight w:val="none"/>
        </w:rPr>
      </w:pPr>
    </w:p>
    <w:p w14:paraId="68FB5FF6">
      <w:pPr>
        <w:rPr>
          <w:color w:val="auto"/>
          <w:sz w:val="21"/>
          <w:szCs w:val="21"/>
          <w:highlight w:val="none"/>
          <w:lang w:eastAsia="zh-CN"/>
        </w:rPr>
      </w:pPr>
    </w:p>
    <w:p w14:paraId="3F082B77"/>
    <w:sectPr>
      <w:pgSz w:w="12240" w:h="15840"/>
      <w:pgMar w:top="1400" w:right="1720" w:bottom="1120" w:left="1720" w:header="794" w:footer="9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C690">
    <w:pPr>
      <w:spacing w:line="14"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EA6A5">
    <w:pPr>
      <w:pStyle w:val="11"/>
      <w:rPr>
        <w:rFonts w:hint="default"/>
        <w:sz w:val="21"/>
        <w:szCs w:val="18"/>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1EAD1">
                          <w:pPr>
                            <w:pStyle w:val="1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D01EAD1">
                    <w:pPr>
                      <w:pStyle w:val="13"/>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sz w:val="21"/>
        <w:szCs w:val="18"/>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525C">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5255D">
                          <w:pPr>
                            <w:pStyle w:val="13"/>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CA5255D">
                    <w:pPr>
                      <w:pStyle w:val="13"/>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F581B">
    <w:pPr>
      <w:spacing w:line="14" w:lineRule="auto"/>
      <w:rPr>
        <w:sz w:val="20"/>
        <w:szCs w:val="20"/>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37795">
                          <w:pPr>
                            <w:pStyle w:val="13"/>
                          </w:pPr>
                          <w:r>
                            <w:fldChar w:fldCharType="begin"/>
                          </w:r>
                          <w:r>
                            <w:instrText xml:space="preserve"> PAGE  \* MERGEFORMAT </w:instrText>
                          </w:r>
                          <w:r>
                            <w:fldChar w:fldCharType="separate"/>
                          </w:r>
                          <w:r>
                            <w:t>- 34 -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0A37795">
                    <w:pPr>
                      <w:pStyle w:val="13"/>
                    </w:pPr>
                    <w:r>
                      <w:fldChar w:fldCharType="begin"/>
                    </w:r>
                    <w:r>
                      <w:instrText xml:space="preserve"> PAGE  \* MERGEFORMAT </w:instrText>
                    </w:r>
                    <w:r>
                      <w:fldChar w:fldCharType="separate"/>
                    </w:r>
                    <w:r>
                      <w:t>- 34 -</w:t>
                    </w:r>
                    <w:r>
                      <w:fldChar w:fldCharType="end"/>
                    </w:r>
                  </w:p>
                </w:txbxContent>
              </v:textbox>
            </v:shape>
          </w:pict>
        </mc:Fallback>
      </mc:AlternateContent>
    </w:r>
    <w:r>
      <w:rPr>
        <w:lang w:eastAsia="zh-CN"/>
      </w:rPr>
      <mc:AlternateContent>
        <mc:Choice Requires="wps">
          <w:drawing>
            <wp:anchor distT="0" distB="0" distL="114300" distR="114300" simplePos="0" relativeHeight="251660288" behindDoc="1" locked="0" layoutInCell="1" allowOverlap="1">
              <wp:simplePos x="0" y="0"/>
              <wp:positionH relativeFrom="page">
                <wp:posOffset>3806825</wp:posOffset>
              </wp:positionH>
              <wp:positionV relativeFrom="page">
                <wp:posOffset>9333230</wp:posOffset>
              </wp:positionV>
              <wp:extent cx="133350"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33350" cy="139700"/>
                      </a:xfrm>
                      <a:prstGeom prst="rect">
                        <a:avLst/>
                      </a:prstGeom>
                      <a:noFill/>
                      <a:ln w="9525">
                        <a:noFill/>
                      </a:ln>
                      <a:effectLst/>
                    </wps:spPr>
                    <wps:txbx>
                      <w:txbxContent>
                        <w:p w14:paraId="1CFF1082">
                          <w:pPr>
                            <w:spacing w:line="203" w:lineRule="exact"/>
                            <w:rPr>
                              <w:rFonts w:ascii="Calibri" w:hAnsi="Calibri" w:eastAsia="Calibri" w:cs="Calibri"/>
                              <w:sz w:val="18"/>
                              <w:szCs w:val="18"/>
                            </w:rPr>
                          </w:pPr>
                        </w:p>
                      </w:txbxContent>
                    </wps:txbx>
                    <wps:bodyPr lIns="0" tIns="0" rIns="0" bIns="0" upright="1"/>
                  </wps:wsp>
                </a:graphicData>
              </a:graphic>
            </wp:anchor>
          </w:drawing>
        </mc:Choice>
        <mc:Fallback>
          <w:pict>
            <v:shape id="文本框 1" o:spid="_x0000_s1026" o:spt="202" type="#_x0000_t202" style="position:absolute;left:0pt;margin-left:299.75pt;margin-top:734.9pt;height:11pt;width:10.5pt;mso-position-horizontal-relative:page;mso-position-vertical-relative:page;z-index:-251656192;mso-width-relative:page;mso-height-relative:page;" filled="f" stroked="f" coordsize="21600,21600" o:gfxdata="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Z1JnZAAAADQEAAA8AAAAAAAAAAQAgAAAAIgAAAGRycy9k&#10;b3ducmV2LnhtbFBLAQIUABQAAAAIAIdO4kCu+5TvyAEAAIgDAAAOAAAAAAAAAAEAIAAAACgBAABk&#10;cnMvZTJvRG9jLnhtbFBLBQYAAAAABgAGAFkBAABiBQAAAAA=&#10;">
              <v:fill on="f" focussize="0,0"/>
              <v:stroke on="f"/>
              <v:imagedata o:title=""/>
              <o:lock v:ext="edit" aspectratio="f"/>
              <v:textbox inset="0mm,0mm,0mm,0mm">
                <w:txbxContent>
                  <w:p w14:paraId="1CFF1082">
                    <w:pPr>
                      <w:spacing w:line="203" w:lineRule="exact"/>
                      <w:rPr>
                        <w:rFonts w:ascii="Calibri" w:hAnsi="Calibri" w:eastAsia="Calibri" w:cs="Calibri"/>
                        <w:sz w:val="18"/>
                        <w:szCs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363848"/>
      <w:docPartObj>
        <w:docPartGallery w:val="autotext"/>
      </w:docPartObj>
    </w:sdtPr>
    <w:sdtContent>
      <w:p w14:paraId="0D6A026A">
        <w:pPr>
          <w:pStyle w:val="13"/>
          <w:jc w:val="center"/>
        </w:pPr>
        <w:r>
          <w:fldChar w:fldCharType="begin"/>
        </w:r>
        <w:r>
          <w:instrText xml:space="preserve">PAGE   \* MERGEFORMAT</w:instrText>
        </w:r>
        <w:r>
          <w:fldChar w:fldCharType="separate"/>
        </w:r>
        <w:r>
          <w:rPr>
            <w:lang w:val="zh-CN"/>
          </w:rPr>
          <w:t>58</w:t>
        </w:r>
        <w:r>
          <w:fldChar w:fldCharType="end"/>
        </w:r>
      </w:p>
    </w:sdtContent>
  </w:sdt>
  <w:p w14:paraId="36EB5E12">
    <w:pPr>
      <w:pStyle w:val="11"/>
      <w:rPr>
        <w:szCs w:val="18"/>
      </w:rPr>
    </w:pPr>
  </w:p>
  <w:p w14:paraId="7E84AFE7"/>
  <w:p w14:paraId="435D292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C650A">
    <w:pPr>
      <w:pStyle w:val="14"/>
      <w:pBdr>
        <w:bottom w:val="none" w:color="auto" w:sz="0" w:space="2"/>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FBF5F">
    <w:pPr>
      <w:pStyle w:val="14"/>
      <w:pBdr>
        <w:bottom w:val="none" w:color="auto" w:sz="0"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8A44C">
    <w:pPr>
      <w:pStyle w:val="14"/>
      <w:pBdr>
        <w:bottom w:val="none" w:color="auto" w:sz="0" w:space="1"/>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A9750">
    <w:pPr>
      <w:pStyle w:val="14"/>
      <w:pBdr>
        <w:bottom w:val="none" w:color="auto" w:sz="0" w:space="1"/>
      </w:pBdr>
      <w:jc w:val="right"/>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C0D19"/>
    <w:multiLevelType w:val="singleLevel"/>
    <w:tmpl w:val="8BFC0D19"/>
    <w:lvl w:ilvl="0" w:tentative="0">
      <w:start w:val="1"/>
      <w:numFmt w:val="decimal"/>
      <w:suff w:val="nothing"/>
      <w:lvlText w:val="%1、"/>
      <w:lvlJc w:val="left"/>
    </w:lvl>
  </w:abstractNum>
  <w:abstractNum w:abstractNumId="1">
    <w:nsid w:val="9D45825A"/>
    <w:multiLevelType w:val="singleLevel"/>
    <w:tmpl w:val="9D45825A"/>
    <w:lvl w:ilvl="0" w:tentative="0">
      <w:start w:val="1"/>
      <w:numFmt w:val="chineseCounting"/>
      <w:suff w:val="nothing"/>
      <w:lvlText w:val="%1、"/>
      <w:lvlJc w:val="left"/>
      <w:rPr>
        <w:rFonts w:hint="eastAsia"/>
      </w:rPr>
    </w:lvl>
  </w:abstractNum>
  <w:abstractNum w:abstractNumId="2">
    <w:nsid w:val="ABE46B3D"/>
    <w:multiLevelType w:val="singleLevel"/>
    <w:tmpl w:val="ABE46B3D"/>
    <w:lvl w:ilvl="0" w:tentative="0">
      <w:start w:val="3"/>
      <w:numFmt w:val="decimal"/>
      <w:lvlText w:val="%1."/>
      <w:lvlJc w:val="left"/>
      <w:pPr>
        <w:tabs>
          <w:tab w:val="left" w:pos="312"/>
        </w:tabs>
      </w:pPr>
    </w:lvl>
  </w:abstractNum>
  <w:abstractNum w:abstractNumId="3">
    <w:nsid w:val="029B8A35"/>
    <w:multiLevelType w:val="singleLevel"/>
    <w:tmpl w:val="029B8A35"/>
    <w:lvl w:ilvl="0" w:tentative="0">
      <w:start w:val="2"/>
      <w:numFmt w:val="decimal"/>
      <w:suff w:val="space"/>
      <w:lvlText w:val="%1."/>
      <w:lvlJc w:val="left"/>
    </w:lvl>
  </w:abstractNum>
  <w:abstractNum w:abstractNumId="4">
    <w:nsid w:val="1C6EB78B"/>
    <w:multiLevelType w:val="singleLevel"/>
    <w:tmpl w:val="1C6EB78B"/>
    <w:lvl w:ilvl="0" w:tentative="0">
      <w:start w:val="10"/>
      <w:numFmt w:val="chineseCounting"/>
      <w:suff w:val="nothing"/>
      <w:lvlText w:val="%1、"/>
      <w:lvlJc w:val="left"/>
      <w:pPr>
        <w:ind w:left="20"/>
      </w:pPr>
      <w:rPr>
        <w:rFonts w:hint="eastAsia"/>
      </w:rPr>
    </w:lvl>
  </w:abstractNum>
  <w:abstractNum w:abstractNumId="5">
    <w:nsid w:val="4A7DACAC"/>
    <w:multiLevelType w:val="multilevel"/>
    <w:tmpl w:val="4A7DACAC"/>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032B8D0"/>
    <w:multiLevelType w:val="singleLevel"/>
    <w:tmpl w:val="5032B8D0"/>
    <w:lvl w:ilvl="0" w:tentative="0">
      <w:start w:val="7"/>
      <w:numFmt w:val="chineseCounting"/>
      <w:suff w:val="nothing"/>
      <w:lvlText w:val="%1、"/>
      <w:lvlJc w:val="left"/>
      <w:rPr>
        <w:rFonts w:hint="eastAsia"/>
      </w:rPr>
    </w:lvl>
  </w:abstractNum>
  <w:abstractNum w:abstractNumId="7">
    <w:nsid w:val="5A97D38B"/>
    <w:multiLevelType w:val="singleLevel"/>
    <w:tmpl w:val="5A97D38B"/>
    <w:lvl w:ilvl="0" w:tentative="0">
      <w:start w:val="1"/>
      <w:numFmt w:val="chineseCounting"/>
      <w:suff w:val="nothing"/>
      <w:lvlText w:val="%1、"/>
      <w:lvlJc w:val="left"/>
      <w:rPr>
        <w:rFonts w:hint="eastAsia"/>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enforcement="1" w:cryptProviderType="rsaFull" w:cryptAlgorithmClass="hash" w:cryptAlgorithmType="typeAny" w:cryptAlgorithmSid="4" w:cryptSpinCount="0" w:hash="2wFF9yg4J2qVOAkVmWqiBm3i1fs=" w:salt="ZKzvbIujEQA+5nLhNmVGH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12741"/>
    <w:rsid w:val="01A56261"/>
    <w:rsid w:val="0798292D"/>
    <w:rsid w:val="080C47F6"/>
    <w:rsid w:val="09502F56"/>
    <w:rsid w:val="0BAD643E"/>
    <w:rsid w:val="0C7927C4"/>
    <w:rsid w:val="0D766F40"/>
    <w:rsid w:val="1299596E"/>
    <w:rsid w:val="12E84200"/>
    <w:rsid w:val="130868CE"/>
    <w:rsid w:val="150F1F18"/>
    <w:rsid w:val="1557566D"/>
    <w:rsid w:val="1CB92BD4"/>
    <w:rsid w:val="1DE101C9"/>
    <w:rsid w:val="1E1C7453"/>
    <w:rsid w:val="1F5A0233"/>
    <w:rsid w:val="205B4263"/>
    <w:rsid w:val="20AD5FD5"/>
    <w:rsid w:val="217860F5"/>
    <w:rsid w:val="21937A2C"/>
    <w:rsid w:val="231004D1"/>
    <w:rsid w:val="250046DC"/>
    <w:rsid w:val="25697422"/>
    <w:rsid w:val="267455A2"/>
    <w:rsid w:val="283130A7"/>
    <w:rsid w:val="285907B1"/>
    <w:rsid w:val="29493C20"/>
    <w:rsid w:val="29C9048F"/>
    <w:rsid w:val="2B2F0B72"/>
    <w:rsid w:val="2BC929C8"/>
    <w:rsid w:val="2BD41390"/>
    <w:rsid w:val="2DE75388"/>
    <w:rsid w:val="2F556561"/>
    <w:rsid w:val="30F73B34"/>
    <w:rsid w:val="31280191"/>
    <w:rsid w:val="3143321D"/>
    <w:rsid w:val="317A6513"/>
    <w:rsid w:val="36806379"/>
    <w:rsid w:val="377306FD"/>
    <w:rsid w:val="3947637E"/>
    <w:rsid w:val="3AA03FB1"/>
    <w:rsid w:val="3C101F4E"/>
    <w:rsid w:val="3DCC0802"/>
    <w:rsid w:val="3F424B14"/>
    <w:rsid w:val="409B265E"/>
    <w:rsid w:val="416E0749"/>
    <w:rsid w:val="43DD3139"/>
    <w:rsid w:val="44F77F37"/>
    <w:rsid w:val="47CD78D6"/>
    <w:rsid w:val="48736484"/>
    <w:rsid w:val="494B58A1"/>
    <w:rsid w:val="4A3F57C1"/>
    <w:rsid w:val="4A4450A2"/>
    <w:rsid w:val="4E4B0538"/>
    <w:rsid w:val="4E7D7508"/>
    <w:rsid w:val="53C03E02"/>
    <w:rsid w:val="55452810"/>
    <w:rsid w:val="56D57BC4"/>
    <w:rsid w:val="577B1F6C"/>
    <w:rsid w:val="589B1450"/>
    <w:rsid w:val="591744C4"/>
    <w:rsid w:val="5C980EC6"/>
    <w:rsid w:val="5ED30E8D"/>
    <w:rsid w:val="5F255966"/>
    <w:rsid w:val="601C6864"/>
    <w:rsid w:val="60307032"/>
    <w:rsid w:val="60693C27"/>
    <w:rsid w:val="607061BC"/>
    <w:rsid w:val="60DB227B"/>
    <w:rsid w:val="61E17290"/>
    <w:rsid w:val="61F626E5"/>
    <w:rsid w:val="62D5160C"/>
    <w:rsid w:val="62EE1882"/>
    <w:rsid w:val="664B39FF"/>
    <w:rsid w:val="666B5E4F"/>
    <w:rsid w:val="6AE306AA"/>
    <w:rsid w:val="6B8754D9"/>
    <w:rsid w:val="6D5E05FA"/>
    <w:rsid w:val="744877CF"/>
    <w:rsid w:val="75041948"/>
    <w:rsid w:val="76EA2DC0"/>
    <w:rsid w:val="77D01FB6"/>
    <w:rsid w:val="79206F6D"/>
    <w:rsid w:val="7A6F5AB6"/>
    <w:rsid w:val="7B1E128A"/>
    <w:rsid w:val="7C881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keepLines/>
      <w:spacing w:before="260" w:after="260" w:line="416" w:lineRule="auto"/>
      <w:jc w:val="both"/>
      <w:outlineLvl w:val="1"/>
    </w:pPr>
    <w:rPr>
      <w:rFonts w:ascii="Arial" w:hAnsi="Arial" w:eastAsia="黑体" w:cs="Times New Roman"/>
      <w:b/>
      <w:bCs/>
      <w:kern w:val="2"/>
      <w:sz w:val="32"/>
      <w:szCs w:val="32"/>
      <w:lang w:eastAsia="zh-CN"/>
    </w:rPr>
  </w:style>
  <w:style w:type="paragraph" w:styleId="3">
    <w:name w:val="heading 3"/>
    <w:basedOn w:val="1"/>
    <w:next w:val="1"/>
    <w:unhideWhenUsed/>
    <w:qFormat/>
    <w:uiPriority w:val="0"/>
    <w:pPr>
      <w:ind w:left="118"/>
      <w:outlineLvl w:val="2"/>
    </w:pPr>
    <w:rPr>
      <w:rFonts w:ascii="宋体" w:hAnsi="宋体" w:eastAsia="宋体"/>
      <w:b/>
      <w:bCs/>
      <w:sz w:val="30"/>
      <w:szCs w:val="30"/>
    </w:rPr>
  </w:style>
  <w:style w:type="paragraph" w:styleId="4">
    <w:name w:val="heading 4"/>
    <w:basedOn w:val="1"/>
    <w:next w:val="1"/>
    <w:unhideWhenUsed/>
    <w:qFormat/>
    <w:uiPriority w:val="0"/>
    <w:pPr>
      <w:ind w:left="118"/>
      <w:outlineLvl w:val="3"/>
    </w:pPr>
    <w:rPr>
      <w:rFonts w:ascii="宋体" w:hAnsi="宋体" w:eastAsia="宋体"/>
      <w:sz w:val="30"/>
      <w:szCs w:val="30"/>
    </w:rPr>
  </w:style>
  <w:style w:type="paragraph" w:styleId="5">
    <w:name w:val="heading 8"/>
    <w:basedOn w:val="1"/>
    <w:next w:val="1"/>
    <w:semiHidden/>
    <w:unhideWhenUsed/>
    <w:qFormat/>
    <w:uiPriority w:val="0"/>
    <w:pPr>
      <w:ind w:left="118"/>
      <w:outlineLvl w:val="7"/>
    </w:pPr>
    <w:rPr>
      <w:rFonts w:ascii="宋体" w:hAnsi="宋体" w:eastAsia="宋体"/>
      <w:sz w:val="24"/>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toa heading"/>
    <w:basedOn w:val="1"/>
    <w:next w:val="1"/>
    <w:unhideWhenUsed/>
    <w:qFormat/>
    <w:uiPriority w:val="99"/>
    <w:pPr>
      <w:spacing w:before="120"/>
    </w:pPr>
    <w:rPr>
      <w:rFonts w:ascii="Arial" w:hAnsi="Arial" w:cs="Arial"/>
      <w:sz w:val="24"/>
    </w:rPr>
  </w:style>
  <w:style w:type="paragraph" w:styleId="7">
    <w:name w:val="annotation text"/>
    <w:basedOn w:val="1"/>
    <w:qFormat/>
    <w:uiPriority w:val="0"/>
    <w:rPr>
      <w:sz w:val="20"/>
    </w:rPr>
  </w:style>
  <w:style w:type="paragraph" w:styleId="8">
    <w:name w:val="Body Text"/>
    <w:basedOn w:val="1"/>
    <w:qFormat/>
    <w:uiPriority w:val="0"/>
    <w:pPr>
      <w:ind w:left="122"/>
    </w:pPr>
    <w:rPr>
      <w:rFonts w:ascii="宋体" w:hAnsi="宋体" w:eastAsia="宋体"/>
      <w:sz w:val="21"/>
      <w:szCs w:val="21"/>
    </w:rPr>
  </w:style>
  <w:style w:type="paragraph" w:styleId="9">
    <w:name w:val="Body Text Indent"/>
    <w:basedOn w:val="1"/>
    <w:next w:val="10"/>
    <w:qFormat/>
    <w:uiPriority w:val="0"/>
    <w:pPr>
      <w:spacing w:after="120"/>
      <w:ind w:left="420" w:leftChars="200"/>
    </w:pPr>
  </w:style>
  <w:style w:type="paragraph" w:styleId="10">
    <w:name w:val="envelope return"/>
    <w:basedOn w:val="1"/>
    <w:semiHidden/>
    <w:qFormat/>
    <w:uiPriority w:val="0"/>
    <w:pPr>
      <w:snapToGrid w:val="0"/>
      <w:spacing w:after="200" w:line="276" w:lineRule="auto"/>
    </w:pPr>
    <w:rPr>
      <w:rFonts w:ascii="Arial" w:hAnsi="Arial" w:cs="Arial"/>
      <w:sz w:val="22"/>
      <w:szCs w:val="22"/>
      <w:lang w:eastAsia="en-US" w:bidi="en-US"/>
    </w:rPr>
  </w:style>
  <w:style w:type="paragraph" w:styleId="11">
    <w:name w:val="Plain Text"/>
    <w:basedOn w:val="1"/>
    <w:qFormat/>
    <w:uiPriority w:val="0"/>
    <w:rPr>
      <w:rFonts w:ascii="宋体" w:hAnsi="Courier New" w:eastAsia="华文宋体" w:cs="Times New Roman"/>
      <w:sz w:val="28"/>
    </w:rPr>
  </w:style>
  <w:style w:type="paragraph" w:styleId="12">
    <w:name w:val="Body Text Indent 2"/>
    <w:basedOn w:val="1"/>
    <w:qFormat/>
    <w:uiPriority w:val="0"/>
    <w:pPr>
      <w:ind w:firstLine="630"/>
    </w:pPr>
    <w:rPr>
      <w:rFonts w:ascii="宋体" w:hAnsi="Calibri" w:eastAsia="宋体" w:cs="Times New Roman"/>
      <w:sz w:val="32"/>
      <w:szCs w:val="24"/>
    </w:rPr>
  </w:style>
  <w:style w:type="paragraph" w:styleId="13">
    <w:name w:val="footer"/>
    <w:basedOn w:val="1"/>
    <w:qFormat/>
    <w:uiPriority w:val="0"/>
    <w:pPr>
      <w:tabs>
        <w:tab w:val="center" w:pos="4153"/>
        <w:tab w:val="right" w:pos="8306"/>
      </w:tabs>
      <w:snapToGrid w:val="0"/>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before="570"/>
      <w:ind w:left="122"/>
    </w:pPr>
    <w:rPr>
      <w:rFonts w:ascii="宋体" w:hAnsi="宋体" w:eastAsia="宋体"/>
      <w:sz w:val="30"/>
      <w:szCs w:val="30"/>
    </w:rPr>
  </w:style>
  <w:style w:type="paragraph" w:styleId="16">
    <w:name w:val="Body Text 2"/>
    <w:basedOn w:val="1"/>
    <w:next w:val="11"/>
    <w:qFormat/>
    <w:uiPriority w:val="0"/>
    <w:pPr>
      <w:spacing w:line="480" w:lineRule="auto"/>
    </w:pPr>
  </w:style>
  <w:style w:type="paragraph" w:styleId="17">
    <w:name w:val="Body Text First Indent"/>
    <w:basedOn w:val="8"/>
    <w:qFormat/>
    <w:uiPriority w:val="0"/>
    <w:pPr>
      <w:spacing w:after="0"/>
      <w:ind w:firstLine="420" w:firstLineChars="100"/>
    </w:pPr>
    <w:rPr>
      <w:rFonts w:ascii="Calibri" w:hAnsi="Calibri"/>
      <w:lang w:val="en-US" w:eastAsia="zh-CN"/>
    </w:rPr>
  </w:style>
  <w:style w:type="paragraph" w:styleId="18">
    <w:name w:val="Body Text First Indent 2"/>
    <w:basedOn w:val="9"/>
    <w:next w:val="17"/>
    <w:qFormat/>
    <w:uiPriority w:val="99"/>
    <w:pPr>
      <w:widowControl w:val="0"/>
      <w:spacing w:line="240" w:lineRule="auto"/>
      <w:ind w:firstLine="420" w:firstLineChars="200"/>
      <w:jc w:val="both"/>
    </w:pPr>
    <w:rPr>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Quote"/>
    <w:basedOn w:val="1"/>
    <w:next w:val="1"/>
    <w:autoRedefine/>
    <w:qFormat/>
    <w:uiPriority w:val="99"/>
    <w:pPr>
      <w:ind w:left="864" w:right="864"/>
      <w:jc w:val="center"/>
    </w:pPr>
    <w:rPr>
      <w:rFonts w:ascii="Times New Roman" w:hAnsi="Times New Roman" w:cs="Times New Roman"/>
      <w:i/>
      <w:iCs/>
      <w:color w:val="404040"/>
      <w:szCs w:val="21"/>
    </w:rPr>
  </w:style>
  <w:style w:type="paragraph" w:customStyle="1" w:styleId="23">
    <w:name w:val="标题2"/>
    <w:basedOn w:val="2"/>
    <w:next w:val="1"/>
    <w:qFormat/>
    <w:uiPriority w:val="0"/>
    <w:pPr>
      <w:snapToGrid w:val="0"/>
      <w:spacing w:line="360" w:lineRule="auto"/>
      <w:ind w:left="0" w:leftChars="0" w:firstLine="1001" w:firstLineChars="200"/>
      <w:jc w:val="left"/>
    </w:pPr>
    <w:rPr>
      <w:rFonts w:eastAsia="仿宋_GB2312"/>
    </w:rPr>
  </w:style>
  <w:style w:type="paragraph" w:customStyle="1" w:styleId="24">
    <w:name w:val="文档正文"/>
    <w:basedOn w:val="1"/>
    <w:qFormat/>
    <w:uiPriority w:val="0"/>
    <w:pPr>
      <w:spacing w:line="480" w:lineRule="atLeast"/>
      <w:ind w:firstLine="567"/>
      <w:textAlignment w:val="baseline"/>
    </w:pPr>
    <w:rPr>
      <w:rFonts w:hint="eastAsia" w:ascii="仿宋_GB2312" w:eastAsia="仿宋_GB2312"/>
      <w:sz w:val="28"/>
      <w:szCs w:val="24"/>
    </w:rPr>
  </w:style>
  <w:style w:type="paragraph" w:customStyle="1" w:styleId="25">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6">
    <w:name w:val="大标题"/>
    <w:basedOn w:val="1"/>
    <w:next w:val="18"/>
    <w:autoRedefine/>
    <w:qFormat/>
    <w:uiPriority w:val="0"/>
    <w:pPr>
      <w:pageBreakBefore/>
      <w:spacing w:after="200" w:line="720" w:lineRule="auto"/>
      <w:jc w:val="center"/>
      <w:outlineLvl w:val="0"/>
    </w:pPr>
    <w:rPr>
      <w:rFonts w:ascii="黑体" w:eastAsia="黑体"/>
      <w:sz w:val="32"/>
      <w:szCs w:val="30"/>
      <w:lang w:eastAsia="en-US" w:bidi="en-US"/>
    </w:rPr>
  </w:style>
  <w:style w:type="paragraph" w:customStyle="1" w:styleId="27">
    <w:name w:val="Table Paragraph"/>
    <w:basedOn w:val="1"/>
    <w:qFormat/>
    <w:uiPriority w:val="1"/>
  </w:style>
  <w:style w:type="paragraph" w:customStyle="1" w:styleId="28">
    <w:name w:val="Body Text First Indent1"/>
    <w:basedOn w:val="8"/>
    <w:autoRedefine/>
    <w:qFormat/>
    <w:uiPriority w:val="0"/>
    <w:pPr>
      <w:autoSpaceDE w:val="0"/>
      <w:autoSpaceDN w:val="0"/>
      <w:spacing w:after="0"/>
      <w:ind w:firstLine="420"/>
      <w:jc w:val="left"/>
    </w:pPr>
    <w:rPr>
      <w:rFonts w:ascii="宋体" w:hAnsi="宋体" w:eastAsia="等线" w:cs="宋体"/>
      <w:kern w:val="0"/>
      <w:szCs w:val="20"/>
      <w:lang w:val="zh-CN" w:bidi="zh-CN"/>
    </w:rPr>
  </w:style>
  <w:style w:type="paragraph" w:customStyle="1" w:styleId="29">
    <w:name w:val="样式 标题 2 + Times New Roman 四号 非加粗 段前: 5 磅 段后: 0 磅 行距: 固定值 20..."/>
    <w:basedOn w:val="2"/>
    <w:qFormat/>
    <w:uiPriority w:val="0"/>
    <w:pPr>
      <w:spacing w:before="100" w:line="400" w:lineRule="exact"/>
    </w:pPr>
    <w:rPr>
      <w:rFonts w:ascii="Times New Roman" w:hAnsi="Times New Roman"/>
      <w:sz w:val="28"/>
      <w:szCs w:val="20"/>
    </w:rPr>
  </w:style>
  <w:style w:type="character" w:customStyle="1" w:styleId="30">
    <w:name w:val="font31"/>
    <w:basedOn w:val="21"/>
    <w:qFormat/>
    <w:uiPriority w:val="0"/>
    <w:rPr>
      <w:rFonts w:ascii="宋体" w:hAnsi="宋体" w:eastAsia="宋体" w:cs="宋体"/>
      <w:color w:val="000000"/>
      <w:sz w:val="28"/>
      <w:szCs w:val="28"/>
      <w:u w:val="none"/>
    </w:rPr>
  </w:style>
  <w:style w:type="character" w:customStyle="1" w:styleId="31">
    <w:name w:val="font81"/>
    <w:basedOn w:val="21"/>
    <w:qFormat/>
    <w:uiPriority w:val="0"/>
    <w:rPr>
      <w:rFonts w:hint="default" w:ascii="Arial" w:hAnsi="Arial" w:cs="Arial"/>
      <w:color w:val="000000"/>
      <w:sz w:val="19"/>
      <w:szCs w:val="19"/>
      <w:u w:val="none"/>
    </w:rPr>
  </w:style>
  <w:style w:type="character" w:customStyle="1" w:styleId="32">
    <w:name w:val="font61"/>
    <w:basedOn w:val="21"/>
    <w:qFormat/>
    <w:uiPriority w:val="0"/>
    <w:rPr>
      <w:rFonts w:ascii="宋体" w:hAnsi="宋体" w:eastAsia="宋体" w:cs="宋体"/>
      <w:color w:val="000000"/>
      <w:sz w:val="24"/>
      <w:szCs w:val="24"/>
      <w:u w:val="none"/>
    </w:rPr>
  </w:style>
  <w:style w:type="character" w:customStyle="1" w:styleId="33">
    <w:name w:val="font91"/>
    <w:basedOn w:val="21"/>
    <w:qFormat/>
    <w:uiPriority w:val="0"/>
    <w:rPr>
      <w:rFonts w:hint="default" w:ascii="Arial" w:hAnsi="Arial" w:cs="Arial"/>
      <w:color w:val="000000"/>
      <w:sz w:val="24"/>
      <w:szCs w:val="24"/>
      <w:u w:val="none"/>
    </w:rPr>
  </w:style>
  <w:style w:type="character" w:customStyle="1" w:styleId="34">
    <w:name w:val="font101"/>
    <w:basedOn w:val="21"/>
    <w:qFormat/>
    <w:uiPriority w:val="0"/>
    <w:rPr>
      <w:rFonts w:ascii="宋体" w:hAnsi="宋体" w:eastAsia="宋体" w:cs="宋体"/>
      <w:b/>
      <w:bCs/>
      <w:color w:val="000000"/>
      <w:sz w:val="24"/>
      <w:szCs w:val="24"/>
      <w:u w:val="none"/>
    </w:rPr>
  </w:style>
  <w:style w:type="character" w:customStyle="1" w:styleId="35">
    <w:name w:val="font112"/>
    <w:basedOn w:val="21"/>
    <w:qFormat/>
    <w:uiPriority w:val="0"/>
    <w:rPr>
      <w:rFonts w:hint="default" w:ascii="Arial" w:hAnsi="Arial" w:cs="Arial"/>
      <w:color w:val="000000"/>
      <w:sz w:val="12"/>
      <w:szCs w:val="12"/>
      <w:u w:val="none"/>
    </w:rPr>
  </w:style>
  <w:style w:type="character" w:customStyle="1" w:styleId="36">
    <w:name w:val="font121"/>
    <w:basedOn w:val="21"/>
    <w:qFormat/>
    <w:uiPriority w:val="0"/>
    <w:rPr>
      <w:rFonts w:hint="default" w:ascii="Arial" w:hAnsi="Arial" w:cs="Arial"/>
      <w:color w:val="000000"/>
      <w:sz w:val="13"/>
      <w:szCs w:val="13"/>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63</Pages>
  <Words>1795</Words>
  <Characters>2340</Characters>
  <Lines>0</Lines>
  <Paragraphs>0</Paragraphs>
  <TotalTime>5</TotalTime>
  <ScaleCrop>false</ScaleCrop>
  <LinksUpToDate>false</LinksUpToDate>
  <CharactersWithSpaces>2355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2025-03-27T06:22:00Z</dcterms:created>
  <dc:creator>Administrator</dc:creator>
  <cp:lastModifiedBy>L~G~Q</cp:lastModifiedBy>
  <dcterms:modified xsi:type="dcterms:W3CDTF">2025-04-30T09:26:55Z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eyJoZGlkIjoiNTBjZjMyZDk5ODMxODFiMmE3MjIxOGY2ZGFiYWIzNzgiLCJ1c2VySWQiOiI0NTAwMjgwMDMifQ==</vt:lpwstr>
  </property>
  <property fmtid="{D5CDD505-2E9C-101B-9397-08002B2CF9AE}" pid="4" name="ICV">
    <vt:lpwstr>0ED17DD0CB654C0CA736DBE57CD7C2CF_13</vt:lpwstr>
  </property>
</Properties>
</file>