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ED42EB">
      <w:pPr>
        <w:pStyle w:val="11"/>
      </w:pPr>
      <w:bookmarkStart w:id="538" w:name="_GoBack"/>
      <w:bookmarkEnd w:id="538"/>
    </w:p>
    <w:p w14:paraId="7A52CAA8">
      <w:pPr>
        <w:wordWrap w:val="0"/>
        <w:topLinePunct/>
        <w:spacing w:line="360" w:lineRule="auto"/>
        <w:jc w:val="center"/>
        <w:rPr>
          <w:rFonts w:ascii="宋体" w:hAnsi="宋体" w:eastAsia="宋体" w:cs="宋体"/>
          <w:b/>
          <w:sz w:val="72"/>
          <w:szCs w:val="72"/>
        </w:rPr>
      </w:pPr>
      <w:r>
        <w:rPr>
          <w:rFonts w:hint="eastAsia" w:ascii="宋体" w:hAnsi="宋体" w:eastAsia="宋体" w:cs="宋体"/>
          <w:b/>
          <w:bCs/>
          <w:sz w:val="48"/>
          <w:szCs w:val="48"/>
        </w:rPr>
        <w:t>卢氏县滨河路及沿线区域排水防涝设施提升改造项目（监理服务项目）</w:t>
      </w:r>
    </w:p>
    <w:p w14:paraId="28EF2A2C">
      <w:pPr>
        <w:wordWrap w:val="0"/>
        <w:topLinePunct/>
        <w:spacing w:line="360" w:lineRule="auto"/>
        <w:jc w:val="center"/>
        <w:rPr>
          <w:rFonts w:hint="eastAsia" w:ascii="宋体" w:hAnsi="宋体" w:eastAsia="宋体" w:cs="宋体"/>
          <w:b/>
          <w:sz w:val="56"/>
          <w:szCs w:val="56"/>
        </w:rPr>
      </w:pPr>
    </w:p>
    <w:p w14:paraId="47F1690C">
      <w:pPr>
        <w:wordWrap w:val="0"/>
        <w:topLinePunct/>
        <w:spacing w:line="360" w:lineRule="auto"/>
        <w:jc w:val="center"/>
        <w:rPr>
          <w:rFonts w:hint="eastAsia" w:ascii="宋体" w:hAnsi="宋体" w:eastAsia="宋体" w:cs="宋体"/>
          <w:b/>
          <w:sz w:val="56"/>
          <w:szCs w:val="56"/>
        </w:rPr>
      </w:pPr>
    </w:p>
    <w:p w14:paraId="5F092E51">
      <w:pPr>
        <w:wordWrap w:val="0"/>
        <w:topLinePunct/>
        <w:spacing w:line="360" w:lineRule="auto"/>
        <w:jc w:val="center"/>
        <w:rPr>
          <w:rFonts w:ascii="宋体" w:hAnsi="宋体" w:eastAsia="宋体" w:cs="宋体"/>
          <w:b/>
          <w:sz w:val="56"/>
          <w:szCs w:val="56"/>
        </w:rPr>
      </w:pPr>
      <w:r>
        <w:rPr>
          <w:rFonts w:hint="eastAsia" w:ascii="宋体" w:hAnsi="宋体" w:eastAsia="宋体" w:cs="宋体"/>
          <w:b/>
          <w:sz w:val="56"/>
          <w:szCs w:val="56"/>
        </w:rPr>
        <w:t>竞争性磋商文件</w:t>
      </w:r>
    </w:p>
    <w:p w14:paraId="1402A78D">
      <w:pPr>
        <w:wordWrap w:val="0"/>
        <w:topLinePunct/>
        <w:spacing w:line="360" w:lineRule="auto"/>
        <w:ind w:firstLine="1600" w:firstLineChars="500"/>
        <w:rPr>
          <w:rFonts w:ascii="宋体" w:hAnsi="宋体" w:eastAsia="宋体" w:cs="宋体"/>
          <w:szCs w:val="21"/>
        </w:rPr>
      </w:pPr>
      <w:r>
        <w:rPr>
          <w:rFonts w:hint="eastAsia" w:ascii="宋体" w:hAnsi="宋体" w:eastAsia="宋体" w:cs="宋体"/>
          <w:b/>
          <w:sz w:val="32"/>
          <w:szCs w:val="32"/>
        </w:rPr>
        <w:t xml:space="preserve">       </w:t>
      </w:r>
    </w:p>
    <w:p w14:paraId="128BD08C">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firstLine="640" w:firstLineChars="200"/>
        <w:jc w:val="left"/>
        <w:rPr>
          <w:rFonts w:ascii="微软雅黑" w:hAnsi="微软雅黑" w:eastAsia="微软雅黑" w:cs="微软雅黑"/>
          <w:color w:val="3D4B64"/>
          <w:sz w:val="21"/>
          <w:szCs w:val="21"/>
        </w:rPr>
      </w:pPr>
      <w:r>
        <w:rPr>
          <w:rFonts w:hint="eastAsia" w:ascii="宋体" w:hAnsi="宋体" w:eastAsia="宋体" w:cs="宋体"/>
          <w:b/>
          <w:sz w:val="32"/>
          <w:szCs w:val="21"/>
        </w:rPr>
        <w:t>项目编号：</w:t>
      </w:r>
      <w:r>
        <w:rPr>
          <w:rFonts w:hint="eastAsia" w:ascii="宋体" w:hAnsi="宋体" w:eastAsia="宋体" w:cs="宋体"/>
          <w:b/>
          <w:sz w:val="32"/>
          <w:szCs w:val="21"/>
          <w:lang w:val="en-US" w:eastAsia="zh-CN"/>
        </w:rPr>
        <w:t>三卢竞磋采购-2025-49、LSGZ[2025]138-ZC096</w:t>
      </w:r>
    </w:p>
    <w:p w14:paraId="49228A9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jc w:val="left"/>
        <w:rPr>
          <w:rFonts w:hint="eastAsia" w:ascii="宋体" w:hAnsi="宋体" w:eastAsia="宋体" w:cs="宋体"/>
          <w:b/>
          <w:sz w:val="32"/>
          <w:szCs w:val="21"/>
          <w:lang w:val="en-US" w:eastAsia="zh-CN"/>
        </w:rPr>
      </w:pPr>
    </w:p>
    <w:p w14:paraId="1ABD7A2F">
      <w:pPr>
        <w:wordWrap w:val="0"/>
        <w:topLinePunct/>
        <w:spacing w:line="360" w:lineRule="auto"/>
        <w:jc w:val="both"/>
        <w:rPr>
          <w:rFonts w:ascii="宋体" w:hAnsi="宋体" w:eastAsia="宋体" w:cs="宋体"/>
          <w:b/>
          <w:sz w:val="32"/>
          <w:szCs w:val="21"/>
        </w:rPr>
      </w:pPr>
      <w:r>
        <w:rPr>
          <w:rFonts w:hint="eastAsia" w:ascii="宋体" w:hAnsi="宋体" w:eastAsia="宋体" w:cs="宋体"/>
          <w:b/>
          <w:sz w:val="32"/>
          <w:szCs w:val="21"/>
        </w:rPr>
        <w:t xml:space="preserve">  </w:t>
      </w:r>
    </w:p>
    <w:p w14:paraId="75AAACA6">
      <w:pPr>
        <w:wordWrap w:val="0"/>
        <w:topLinePunct/>
        <w:rPr>
          <w:rFonts w:ascii="宋体" w:hAnsi="宋体" w:eastAsia="宋体" w:cs="宋体"/>
          <w:szCs w:val="21"/>
        </w:rPr>
      </w:pPr>
    </w:p>
    <w:p w14:paraId="0CF1427A">
      <w:pPr>
        <w:wordWrap w:val="0"/>
        <w:topLinePunct/>
        <w:spacing w:line="360" w:lineRule="auto"/>
        <w:jc w:val="center"/>
        <w:rPr>
          <w:rFonts w:ascii="宋体" w:hAnsi="宋体" w:eastAsia="宋体" w:cs="宋体"/>
          <w:sz w:val="24"/>
          <w:szCs w:val="21"/>
        </w:rPr>
      </w:pPr>
      <w:r>
        <w:rPr>
          <w:rFonts w:cs="Times New Roman"/>
          <w:sz w:val="32"/>
          <w:szCs w:val="32"/>
          <w:lang w:eastAsia="zh-CN"/>
        </w:rPr>
        <w:drawing>
          <wp:inline distT="0" distB="0" distL="114300" distR="114300">
            <wp:extent cx="2140585" cy="2228850"/>
            <wp:effectExtent l="0" t="0" r="12065" b="0"/>
            <wp:docPr id="3" name="图片 1" descr="06215ed34cd9c9ba29c1414619d11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06215ed34cd9c9ba29c1414619d11f2"/>
                    <pic:cNvPicPr>
                      <a:picLocks noChangeAspect="1"/>
                    </pic:cNvPicPr>
                  </pic:nvPicPr>
                  <pic:blipFill>
                    <a:blip r:embed="rId8"/>
                    <a:stretch>
                      <a:fillRect/>
                    </a:stretch>
                  </pic:blipFill>
                  <pic:spPr>
                    <a:xfrm>
                      <a:off x="0" y="0"/>
                      <a:ext cx="2140585" cy="2228850"/>
                    </a:xfrm>
                    <a:prstGeom prst="rect">
                      <a:avLst/>
                    </a:prstGeom>
                    <a:noFill/>
                    <a:ln>
                      <a:noFill/>
                    </a:ln>
                  </pic:spPr>
                </pic:pic>
              </a:graphicData>
            </a:graphic>
          </wp:inline>
        </w:drawing>
      </w:r>
    </w:p>
    <w:p w14:paraId="26D0EC41">
      <w:pPr>
        <w:wordWrap w:val="0"/>
        <w:topLinePunct/>
        <w:spacing w:line="360" w:lineRule="auto"/>
        <w:jc w:val="distribute"/>
        <w:rPr>
          <w:rFonts w:ascii="宋体" w:hAnsi="宋体" w:eastAsia="宋体" w:cs="宋体"/>
          <w:b/>
          <w:spacing w:val="14"/>
          <w:w w:val="97"/>
          <w:sz w:val="32"/>
          <w:szCs w:val="32"/>
        </w:rPr>
      </w:pPr>
      <w:r>
        <w:rPr>
          <w:rFonts w:hint="eastAsia" w:ascii="宋体" w:hAnsi="宋体" w:eastAsia="宋体" w:cs="宋体"/>
          <w:b/>
          <w:sz w:val="32"/>
          <w:szCs w:val="32"/>
        </w:rPr>
        <w:t xml:space="preserve">     </w:t>
      </w:r>
    </w:p>
    <w:p w14:paraId="292DF937">
      <w:pPr>
        <w:wordWrap w:val="0"/>
        <w:topLinePunct/>
        <w:spacing w:before="312" w:beforeLines="100" w:after="312" w:afterLines="100" w:line="300" w:lineRule="auto"/>
        <w:jc w:val="center"/>
        <w:rPr>
          <w:rFonts w:hint="eastAsia" w:ascii="宋体" w:hAnsi="宋体" w:eastAsia="宋体" w:cs="宋体"/>
          <w:b/>
          <w:spacing w:val="14"/>
          <w:w w:val="97"/>
          <w:sz w:val="32"/>
          <w:szCs w:val="32"/>
        </w:rPr>
      </w:pPr>
      <w:r>
        <w:rPr>
          <w:rFonts w:hint="eastAsia" w:ascii="宋体" w:hAnsi="宋体" w:eastAsia="宋体" w:cs="宋体"/>
          <w:b/>
          <w:spacing w:val="14"/>
          <w:w w:val="97"/>
          <w:sz w:val="32"/>
          <w:szCs w:val="32"/>
        </w:rPr>
        <w:t>招标人：卢氏县住房和城乡建设局</w:t>
      </w:r>
    </w:p>
    <w:p w14:paraId="452DF2A0">
      <w:pPr>
        <w:wordWrap w:val="0"/>
        <w:topLinePunct/>
        <w:spacing w:before="312" w:beforeLines="100" w:after="312" w:afterLines="100" w:line="300" w:lineRule="auto"/>
        <w:jc w:val="center"/>
        <w:rPr>
          <w:rFonts w:hint="eastAsia" w:ascii="宋体" w:hAnsi="宋体" w:eastAsia="宋体" w:cs="宋体"/>
          <w:b/>
          <w:spacing w:val="14"/>
          <w:w w:val="97"/>
          <w:sz w:val="32"/>
          <w:szCs w:val="32"/>
        </w:rPr>
      </w:pPr>
      <w:r>
        <w:rPr>
          <w:rFonts w:hint="eastAsia" w:ascii="宋体" w:hAnsi="宋体" w:eastAsia="宋体" w:cs="宋体"/>
          <w:b/>
          <w:spacing w:val="14"/>
          <w:w w:val="97"/>
          <w:sz w:val="32"/>
          <w:szCs w:val="32"/>
        </w:rPr>
        <w:t>招标代理机构：中伟诚工程管理有限公司</w:t>
      </w:r>
    </w:p>
    <w:p w14:paraId="69F0F494">
      <w:pPr>
        <w:wordWrap w:val="0"/>
        <w:topLinePunct/>
        <w:spacing w:before="312" w:beforeLines="100" w:after="312" w:afterLines="100" w:line="300" w:lineRule="auto"/>
        <w:jc w:val="center"/>
        <w:rPr>
          <w:rFonts w:ascii="宋体" w:hAnsi="宋体" w:eastAsia="宋体" w:cs="Courier New"/>
          <w:b/>
          <w:bCs/>
          <w:sz w:val="28"/>
          <w:szCs w:val="28"/>
        </w:rPr>
        <w:sectPr>
          <w:pgSz w:w="11907" w:h="16840"/>
          <w:pgMar w:top="1134" w:right="1134" w:bottom="1134" w:left="1134" w:header="777" w:footer="641" w:gutter="0"/>
          <w:cols w:space="0" w:num="1"/>
          <w:docGrid w:type="linesAndChars" w:linePitch="312" w:charSpace="0"/>
        </w:sectPr>
      </w:pPr>
      <w:r>
        <w:rPr>
          <w:rFonts w:hint="eastAsia" w:ascii="宋体" w:hAnsi="宋体" w:eastAsia="宋体" w:cs="宋体"/>
          <w:b/>
          <w:spacing w:val="14"/>
          <w:w w:val="97"/>
          <w:sz w:val="32"/>
          <w:szCs w:val="32"/>
        </w:rPr>
        <w:t>编制日期：二〇二五年</w:t>
      </w:r>
      <w:r>
        <w:rPr>
          <w:rFonts w:hint="eastAsia" w:ascii="宋体" w:hAnsi="宋体" w:eastAsia="宋体" w:cs="宋体"/>
          <w:b/>
          <w:spacing w:val="14"/>
          <w:w w:val="97"/>
          <w:sz w:val="32"/>
          <w:szCs w:val="32"/>
          <w:lang w:eastAsia="zh-CN"/>
        </w:rPr>
        <w:t>六</w:t>
      </w:r>
      <w:r>
        <w:rPr>
          <w:rFonts w:hint="eastAsia" w:ascii="宋体" w:hAnsi="宋体" w:eastAsia="宋体" w:cs="宋体"/>
          <w:b/>
          <w:spacing w:val="14"/>
          <w:w w:val="97"/>
          <w:sz w:val="32"/>
          <w:szCs w:val="32"/>
        </w:rPr>
        <w:t>月</w:t>
      </w:r>
    </w:p>
    <w:p w14:paraId="2380F8BE">
      <w:pPr>
        <w:wordWrap w:val="0"/>
        <w:topLinePunct/>
        <w:spacing w:before="240" w:beforeLines="100" w:after="240" w:afterLines="100" w:line="300" w:lineRule="auto"/>
        <w:jc w:val="center"/>
        <w:rPr>
          <w:rFonts w:ascii="宋体" w:hAnsi="宋体" w:eastAsia="宋体" w:cs="Courier New"/>
          <w:b/>
          <w:bCs/>
          <w:sz w:val="32"/>
          <w:szCs w:val="32"/>
        </w:rPr>
      </w:pPr>
      <w:r>
        <w:rPr>
          <w:rFonts w:hint="eastAsia" w:ascii="宋体" w:hAnsi="宋体" w:eastAsia="宋体" w:cs="Courier New"/>
          <w:b/>
          <w:bCs/>
          <w:sz w:val="40"/>
          <w:szCs w:val="40"/>
        </w:rPr>
        <w:t>目  录</w:t>
      </w:r>
    </w:p>
    <w:p w14:paraId="160816B8">
      <w:pPr>
        <w:tabs>
          <w:tab w:val="left" w:pos="1050"/>
          <w:tab w:val="right" w:leader="dot" w:pos="9629"/>
        </w:tabs>
        <w:wordWrap w:val="0"/>
        <w:topLinePunct/>
        <w:spacing w:line="480" w:lineRule="auto"/>
        <w:jc w:val="left"/>
        <w:rPr>
          <w:rFonts w:ascii="宋体" w:hAnsi="宋体" w:eastAsia="宋体" w:cs="Times New Roman"/>
          <w:sz w:val="28"/>
          <w:szCs w:val="28"/>
        </w:rPr>
      </w:pPr>
      <w:bookmarkStart w:id="0" w:name="_Toc15390"/>
      <w:r>
        <w:rPr>
          <w:rFonts w:ascii="宋体" w:hAnsi="宋体" w:eastAsia="宋体" w:cs="宋体"/>
          <w:sz w:val="28"/>
          <w:szCs w:val="28"/>
        </w:rPr>
        <w:fldChar w:fldCharType="begin"/>
      </w:r>
      <w:r>
        <w:rPr>
          <w:rFonts w:ascii="宋体" w:hAnsi="宋体" w:eastAsia="宋体" w:cs="宋体"/>
          <w:sz w:val="28"/>
          <w:szCs w:val="28"/>
        </w:rPr>
        <w:instrText xml:space="preserve">TOC \o "1-2" \h \u </w:instrText>
      </w:r>
      <w:r>
        <w:rPr>
          <w:rFonts w:ascii="宋体" w:hAnsi="宋体" w:eastAsia="宋体" w:cs="宋体"/>
          <w:sz w:val="28"/>
          <w:szCs w:val="28"/>
        </w:rPr>
        <w:fldChar w:fldCharType="separate"/>
      </w:r>
      <w:r>
        <w:fldChar w:fldCharType="begin"/>
      </w:r>
      <w:r>
        <w:instrText xml:space="preserve"> HYPERLINK \l "_Toc23774424" </w:instrText>
      </w:r>
      <w:r>
        <w:fldChar w:fldCharType="separate"/>
      </w:r>
      <w:r>
        <w:rPr>
          <w:rFonts w:hint="eastAsia" w:ascii="宋体" w:hAnsi="宋体" w:eastAsia="宋体" w:cs="宋体"/>
          <w:b/>
          <w:sz w:val="28"/>
          <w:szCs w:val="28"/>
        </w:rPr>
        <w:t>第一章</w:t>
      </w:r>
      <w:r>
        <w:rPr>
          <w:rFonts w:ascii="宋体" w:hAnsi="宋体" w:eastAsia="宋体" w:cs="Times New Roman"/>
          <w:sz w:val="28"/>
          <w:szCs w:val="28"/>
        </w:rPr>
        <w:tab/>
      </w:r>
      <w:r>
        <w:rPr>
          <w:rFonts w:hint="eastAsia" w:ascii="宋体" w:hAnsi="宋体" w:eastAsia="宋体" w:cs="Times New Roman"/>
          <w:b/>
          <w:bCs/>
          <w:sz w:val="28"/>
          <w:szCs w:val="28"/>
        </w:rPr>
        <w:t>竞争性磋商公告</w:t>
      </w:r>
      <w:r>
        <w:rPr>
          <w:rFonts w:ascii="宋体" w:hAnsi="宋体" w:eastAsia="宋体" w:cs="宋体"/>
          <w:sz w:val="28"/>
          <w:szCs w:val="28"/>
        </w:rPr>
        <w:tab/>
      </w:r>
      <w:r>
        <w:rPr>
          <w:rFonts w:ascii="宋体" w:hAnsi="宋体" w:eastAsia="宋体" w:cs="宋体"/>
          <w:sz w:val="28"/>
          <w:szCs w:val="28"/>
        </w:rPr>
        <w:fldChar w:fldCharType="begin"/>
      </w:r>
      <w:r>
        <w:rPr>
          <w:rFonts w:ascii="宋体" w:hAnsi="宋体" w:eastAsia="宋体" w:cs="宋体"/>
          <w:sz w:val="28"/>
          <w:szCs w:val="28"/>
        </w:rPr>
        <w:instrText xml:space="preserve"> PAGEREF _Toc23774424 \h </w:instrText>
      </w:r>
      <w:r>
        <w:rPr>
          <w:rFonts w:ascii="宋体" w:hAnsi="宋体" w:eastAsia="宋体" w:cs="宋体"/>
          <w:sz w:val="28"/>
          <w:szCs w:val="28"/>
        </w:rPr>
        <w:fldChar w:fldCharType="separate"/>
      </w:r>
      <w:r>
        <w:rPr>
          <w:rFonts w:ascii="宋体" w:hAnsi="宋体" w:eastAsia="宋体" w:cs="宋体"/>
          <w:sz w:val="28"/>
          <w:szCs w:val="28"/>
        </w:rPr>
        <w:t>3</w:t>
      </w:r>
      <w:r>
        <w:rPr>
          <w:rFonts w:ascii="宋体" w:hAnsi="宋体" w:eastAsia="宋体" w:cs="宋体"/>
          <w:sz w:val="28"/>
          <w:szCs w:val="28"/>
        </w:rPr>
        <w:fldChar w:fldCharType="end"/>
      </w:r>
      <w:r>
        <w:rPr>
          <w:rFonts w:ascii="宋体" w:hAnsi="宋体" w:eastAsia="宋体" w:cs="宋体"/>
          <w:sz w:val="28"/>
          <w:szCs w:val="28"/>
        </w:rPr>
        <w:fldChar w:fldCharType="end"/>
      </w:r>
    </w:p>
    <w:p w14:paraId="5EAEA84B">
      <w:pPr>
        <w:tabs>
          <w:tab w:val="left" w:pos="1050"/>
          <w:tab w:val="right" w:leader="dot" w:pos="9629"/>
        </w:tabs>
        <w:wordWrap w:val="0"/>
        <w:topLinePunct/>
        <w:spacing w:line="480" w:lineRule="auto"/>
        <w:jc w:val="left"/>
        <w:rPr>
          <w:rFonts w:ascii="宋体" w:hAnsi="宋体" w:eastAsia="宋体" w:cs="Times New Roman"/>
          <w:sz w:val="28"/>
          <w:szCs w:val="28"/>
        </w:rPr>
      </w:pPr>
      <w:r>
        <w:fldChar w:fldCharType="begin"/>
      </w:r>
      <w:r>
        <w:instrText xml:space="preserve"> HYPERLINK \l "_Toc23774425" </w:instrText>
      </w:r>
      <w:r>
        <w:fldChar w:fldCharType="separate"/>
      </w:r>
      <w:r>
        <w:rPr>
          <w:rFonts w:hint="eastAsia" w:ascii="宋体" w:hAnsi="宋体" w:eastAsia="宋体" w:cs="宋体"/>
          <w:b/>
          <w:sz w:val="28"/>
          <w:szCs w:val="28"/>
        </w:rPr>
        <w:t>第二章</w:t>
      </w:r>
      <w:r>
        <w:rPr>
          <w:rFonts w:ascii="宋体" w:hAnsi="宋体" w:eastAsia="宋体" w:cs="Times New Roman"/>
          <w:sz w:val="28"/>
          <w:szCs w:val="28"/>
        </w:rPr>
        <w:tab/>
      </w:r>
      <w:r>
        <w:rPr>
          <w:rFonts w:hint="eastAsia" w:ascii="宋体" w:hAnsi="宋体" w:eastAsia="宋体" w:cs="宋体"/>
          <w:b/>
          <w:bCs/>
          <w:sz w:val="28"/>
          <w:szCs w:val="28"/>
        </w:rPr>
        <w:t>供应商须知</w:t>
      </w:r>
      <w:r>
        <w:rPr>
          <w:rFonts w:ascii="宋体" w:hAnsi="宋体" w:eastAsia="宋体" w:cs="宋体"/>
          <w:sz w:val="28"/>
          <w:szCs w:val="28"/>
        </w:rPr>
        <w:tab/>
      </w:r>
      <w:r>
        <w:rPr>
          <w:rFonts w:ascii="宋体" w:hAnsi="宋体" w:eastAsia="宋体" w:cs="宋体"/>
          <w:sz w:val="28"/>
          <w:szCs w:val="28"/>
        </w:rPr>
        <w:t>7</w:t>
      </w:r>
      <w:r>
        <w:rPr>
          <w:rFonts w:ascii="宋体" w:hAnsi="宋体" w:eastAsia="宋体" w:cs="宋体"/>
          <w:sz w:val="28"/>
          <w:szCs w:val="28"/>
        </w:rPr>
        <w:fldChar w:fldCharType="end"/>
      </w:r>
    </w:p>
    <w:p w14:paraId="49500A46">
      <w:pPr>
        <w:tabs>
          <w:tab w:val="left" w:pos="1050"/>
          <w:tab w:val="right" w:leader="dot" w:pos="9629"/>
        </w:tabs>
        <w:wordWrap w:val="0"/>
        <w:topLinePunct/>
        <w:spacing w:line="480" w:lineRule="auto"/>
        <w:jc w:val="left"/>
        <w:rPr>
          <w:rFonts w:ascii="宋体" w:hAnsi="宋体" w:eastAsia="宋体" w:cs="Times New Roman"/>
          <w:sz w:val="28"/>
          <w:szCs w:val="28"/>
        </w:rPr>
      </w:pPr>
      <w:r>
        <w:fldChar w:fldCharType="begin"/>
      </w:r>
      <w:r>
        <w:instrText xml:space="preserve"> HYPERLINK \l "_Toc23774436" </w:instrText>
      </w:r>
      <w:r>
        <w:fldChar w:fldCharType="separate"/>
      </w:r>
      <w:r>
        <w:rPr>
          <w:rFonts w:hint="eastAsia" w:ascii="宋体" w:hAnsi="宋体" w:eastAsia="宋体" w:cs="宋体"/>
          <w:b/>
          <w:bCs/>
          <w:sz w:val="28"/>
          <w:szCs w:val="28"/>
        </w:rPr>
        <w:t>第三章</w:t>
      </w:r>
      <w:r>
        <w:rPr>
          <w:rFonts w:ascii="宋体" w:hAnsi="宋体" w:eastAsia="宋体" w:cs="Times New Roman"/>
          <w:sz w:val="28"/>
          <w:szCs w:val="28"/>
        </w:rPr>
        <w:tab/>
      </w:r>
      <w:r>
        <w:rPr>
          <w:rFonts w:hint="eastAsia" w:ascii="宋体" w:hAnsi="宋体" w:eastAsia="宋体" w:cs="宋体"/>
          <w:b/>
          <w:bCs/>
          <w:sz w:val="28"/>
          <w:szCs w:val="28"/>
        </w:rPr>
        <w:t>评审办法</w:t>
      </w:r>
      <w:r>
        <w:rPr>
          <w:rFonts w:ascii="宋体" w:hAnsi="宋体" w:eastAsia="宋体" w:cs="宋体"/>
          <w:sz w:val="28"/>
          <w:szCs w:val="28"/>
        </w:rPr>
        <w:tab/>
      </w:r>
      <w:r>
        <w:rPr>
          <w:rFonts w:ascii="宋体" w:hAnsi="宋体" w:eastAsia="宋体" w:cs="宋体"/>
          <w:sz w:val="28"/>
          <w:szCs w:val="28"/>
        </w:rPr>
        <w:fldChar w:fldCharType="begin"/>
      </w:r>
      <w:r>
        <w:rPr>
          <w:rFonts w:ascii="宋体" w:hAnsi="宋体" w:eastAsia="宋体" w:cs="宋体"/>
          <w:sz w:val="28"/>
          <w:szCs w:val="28"/>
        </w:rPr>
        <w:instrText xml:space="preserve"> PAGEREF _Toc23774436 \h </w:instrText>
      </w:r>
      <w:r>
        <w:rPr>
          <w:rFonts w:ascii="宋体" w:hAnsi="宋体" w:eastAsia="宋体" w:cs="宋体"/>
          <w:sz w:val="28"/>
          <w:szCs w:val="28"/>
        </w:rPr>
        <w:fldChar w:fldCharType="separate"/>
      </w:r>
      <w:r>
        <w:rPr>
          <w:rFonts w:ascii="宋体" w:hAnsi="宋体" w:eastAsia="宋体" w:cs="宋体"/>
          <w:sz w:val="28"/>
          <w:szCs w:val="28"/>
        </w:rPr>
        <w:t>26</w:t>
      </w:r>
      <w:r>
        <w:rPr>
          <w:rFonts w:ascii="宋体" w:hAnsi="宋体" w:eastAsia="宋体" w:cs="宋体"/>
          <w:sz w:val="28"/>
          <w:szCs w:val="28"/>
        </w:rPr>
        <w:fldChar w:fldCharType="end"/>
      </w:r>
      <w:r>
        <w:rPr>
          <w:rFonts w:ascii="宋体" w:hAnsi="宋体" w:eastAsia="宋体" w:cs="宋体"/>
          <w:sz w:val="28"/>
          <w:szCs w:val="28"/>
        </w:rPr>
        <w:fldChar w:fldCharType="end"/>
      </w:r>
    </w:p>
    <w:p w14:paraId="48DE67F3">
      <w:pPr>
        <w:tabs>
          <w:tab w:val="left" w:pos="1050"/>
          <w:tab w:val="right" w:leader="dot" w:pos="9629"/>
        </w:tabs>
        <w:wordWrap w:val="0"/>
        <w:topLinePunct/>
        <w:spacing w:line="480" w:lineRule="auto"/>
        <w:jc w:val="left"/>
        <w:rPr>
          <w:rFonts w:ascii="宋体" w:hAnsi="宋体" w:eastAsia="宋体" w:cs="Times New Roman"/>
          <w:sz w:val="28"/>
          <w:szCs w:val="28"/>
        </w:rPr>
      </w:pPr>
      <w:r>
        <w:fldChar w:fldCharType="begin"/>
      </w:r>
      <w:r>
        <w:instrText xml:space="preserve"> HYPERLINK \l "_Toc23774437" </w:instrText>
      </w:r>
      <w:r>
        <w:fldChar w:fldCharType="separate"/>
      </w:r>
      <w:r>
        <w:rPr>
          <w:rFonts w:hint="eastAsia" w:ascii="宋体" w:hAnsi="宋体" w:eastAsia="宋体" w:cs="宋体"/>
          <w:b/>
          <w:bCs/>
          <w:sz w:val="28"/>
          <w:szCs w:val="28"/>
        </w:rPr>
        <w:t>第四章</w:t>
      </w:r>
      <w:r>
        <w:rPr>
          <w:rFonts w:ascii="宋体" w:hAnsi="宋体" w:eastAsia="宋体" w:cs="Times New Roman"/>
          <w:sz w:val="28"/>
          <w:szCs w:val="28"/>
        </w:rPr>
        <w:tab/>
      </w:r>
      <w:r>
        <w:rPr>
          <w:rFonts w:hint="eastAsia" w:ascii="宋体" w:hAnsi="宋体" w:eastAsia="宋体" w:cs="宋体"/>
          <w:b/>
          <w:bCs/>
          <w:sz w:val="28"/>
          <w:szCs w:val="28"/>
        </w:rPr>
        <w:t>合同条款及格式</w:t>
      </w:r>
      <w:r>
        <w:rPr>
          <w:rFonts w:ascii="宋体" w:hAnsi="宋体" w:eastAsia="宋体" w:cs="宋体"/>
          <w:sz w:val="28"/>
          <w:szCs w:val="28"/>
        </w:rPr>
        <w:tab/>
      </w:r>
      <w:r>
        <w:rPr>
          <w:rFonts w:ascii="宋体" w:hAnsi="宋体" w:eastAsia="宋体" w:cs="宋体"/>
          <w:sz w:val="28"/>
          <w:szCs w:val="28"/>
        </w:rPr>
        <w:fldChar w:fldCharType="begin"/>
      </w:r>
      <w:r>
        <w:rPr>
          <w:rFonts w:ascii="宋体" w:hAnsi="宋体" w:eastAsia="宋体" w:cs="宋体"/>
          <w:sz w:val="28"/>
          <w:szCs w:val="28"/>
        </w:rPr>
        <w:instrText xml:space="preserve"> PAGEREF _Toc23774437 \h </w:instrText>
      </w:r>
      <w:r>
        <w:rPr>
          <w:rFonts w:ascii="宋体" w:hAnsi="宋体" w:eastAsia="宋体" w:cs="宋体"/>
          <w:sz w:val="28"/>
          <w:szCs w:val="28"/>
        </w:rPr>
        <w:fldChar w:fldCharType="separate"/>
      </w:r>
      <w:r>
        <w:rPr>
          <w:rFonts w:ascii="宋体" w:hAnsi="宋体" w:eastAsia="宋体" w:cs="宋体"/>
          <w:sz w:val="28"/>
          <w:szCs w:val="28"/>
        </w:rPr>
        <w:t>35</w:t>
      </w:r>
      <w:r>
        <w:rPr>
          <w:rFonts w:ascii="宋体" w:hAnsi="宋体" w:eastAsia="宋体" w:cs="宋体"/>
          <w:sz w:val="28"/>
          <w:szCs w:val="28"/>
        </w:rPr>
        <w:fldChar w:fldCharType="end"/>
      </w:r>
      <w:r>
        <w:rPr>
          <w:rFonts w:ascii="宋体" w:hAnsi="宋体" w:eastAsia="宋体" w:cs="宋体"/>
          <w:sz w:val="28"/>
          <w:szCs w:val="28"/>
        </w:rPr>
        <w:fldChar w:fldCharType="end"/>
      </w:r>
    </w:p>
    <w:p w14:paraId="1C0FF579">
      <w:pPr>
        <w:tabs>
          <w:tab w:val="left" w:pos="1050"/>
          <w:tab w:val="right" w:leader="dot" w:pos="9629"/>
        </w:tabs>
        <w:wordWrap w:val="0"/>
        <w:topLinePunct/>
        <w:spacing w:line="480" w:lineRule="auto"/>
        <w:jc w:val="left"/>
        <w:rPr>
          <w:rFonts w:ascii="宋体" w:hAnsi="宋体" w:eastAsia="宋体" w:cs="Times New Roman"/>
          <w:sz w:val="28"/>
          <w:szCs w:val="28"/>
        </w:rPr>
      </w:pPr>
      <w:r>
        <w:fldChar w:fldCharType="begin"/>
      </w:r>
      <w:r>
        <w:instrText xml:space="preserve"> HYPERLINK \l "_Toc23774491" </w:instrText>
      </w:r>
      <w:r>
        <w:fldChar w:fldCharType="separate"/>
      </w:r>
      <w:r>
        <w:rPr>
          <w:rFonts w:hint="eastAsia" w:ascii="宋体" w:hAnsi="宋体" w:eastAsia="宋体" w:cs="宋体"/>
          <w:b/>
          <w:bCs/>
          <w:sz w:val="28"/>
          <w:szCs w:val="28"/>
        </w:rPr>
        <w:t>第</w:t>
      </w:r>
      <w:r>
        <w:rPr>
          <w:rFonts w:hint="eastAsia" w:ascii="宋体" w:hAnsi="宋体" w:eastAsia="宋体" w:cs="宋体"/>
          <w:b/>
          <w:bCs/>
          <w:sz w:val="28"/>
          <w:szCs w:val="28"/>
          <w:lang w:eastAsia="zh-CN"/>
        </w:rPr>
        <w:t>五</w:t>
      </w:r>
      <w:r>
        <w:rPr>
          <w:rFonts w:hint="eastAsia" w:ascii="宋体" w:hAnsi="宋体" w:eastAsia="宋体" w:cs="宋体"/>
          <w:b/>
          <w:bCs/>
          <w:sz w:val="28"/>
          <w:szCs w:val="28"/>
        </w:rPr>
        <w:t>章</w:t>
      </w:r>
      <w:r>
        <w:rPr>
          <w:rFonts w:ascii="宋体" w:hAnsi="宋体" w:eastAsia="宋体" w:cs="Times New Roman"/>
          <w:sz w:val="28"/>
          <w:szCs w:val="28"/>
        </w:rPr>
        <w:tab/>
      </w:r>
      <w:r>
        <w:rPr>
          <w:rFonts w:hint="eastAsia" w:ascii="宋体" w:hAnsi="宋体" w:eastAsia="宋体" w:cs="宋体"/>
          <w:b/>
          <w:bCs/>
          <w:sz w:val="28"/>
          <w:szCs w:val="28"/>
        </w:rPr>
        <w:t>响应文件格式</w:t>
      </w:r>
      <w:r>
        <w:rPr>
          <w:rFonts w:ascii="宋体" w:hAnsi="宋体" w:eastAsia="宋体" w:cs="宋体"/>
          <w:sz w:val="28"/>
          <w:szCs w:val="28"/>
        </w:rPr>
        <w:tab/>
      </w:r>
      <w:r>
        <w:rPr>
          <w:rFonts w:ascii="宋体" w:hAnsi="宋体" w:eastAsia="宋体" w:cs="宋体"/>
          <w:sz w:val="28"/>
          <w:szCs w:val="28"/>
        </w:rPr>
        <w:fldChar w:fldCharType="begin"/>
      </w:r>
      <w:r>
        <w:rPr>
          <w:rFonts w:ascii="宋体" w:hAnsi="宋体" w:eastAsia="宋体" w:cs="宋体"/>
          <w:sz w:val="28"/>
          <w:szCs w:val="28"/>
        </w:rPr>
        <w:instrText xml:space="preserve"> PAGEREF _Toc23774491 \h </w:instrText>
      </w:r>
      <w:r>
        <w:rPr>
          <w:rFonts w:ascii="宋体" w:hAnsi="宋体" w:eastAsia="宋体" w:cs="宋体"/>
          <w:sz w:val="28"/>
          <w:szCs w:val="28"/>
        </w:rPr>
        <w:fldChar w:fldCharType="separate"/>
      </w:r>
      <w:r>
        <w:rPr>
          <w:rFonts w:ascii="宋体" w:hAnsi="宋体" w:eastAsia="宋体" w:cs="宋体"/>
          <w:sz w:val="28"/>
          <w:szCs w:val="28"/>
        </w:rPr>
        <w:t>53</w:t>
      </w:r>
      <w:r>
        <w:rPr>
          <w:rFonts w:ascii="宋体" w:hAnsi="宋体" w:eastAsia="宋体" w:cs="宋体"/>
          <w:sz w:val="28"/>
          <w:szCs w:val="28"/>
        </w:rPr>
        <w:fldChar w:fldCharType="end"/>
      </w:r>
      <w:r>
        <w:rPr>
          <w:rFonts w:ascii="宋体" w:hAnsi="宋体" w:eastAsia="宋体" w:cs="宋体"/>
          <w:sz w:val="28"/>
          <w:szCs w:val="28"/>
        </w:rPr>
        <w:fldChar w:fldCharType="end"/>
      </w:r>
    </w:p>
    <w:p w14:paraId="6374582E">
      <w:pPr>
        <w:wordWrap w:val="0"/>
        <w:topLinePunct/>
        <w:spacing w:line="300" w:lineRule="auto"/>
        <w:jc w:val="left"/>
        <w:rPr>
          <w:rFonts w:ascii="宋体" w:hAnsi="宋体" w:eastAsia="宋体" w:cs="宋体"/>
          <w:szCs w:val="21"/>
        </w:rPr>
      </w:pPr>
      <w:r>
        <w:rPr>
          <w:rFonts w:ascii="宋体" w:hAnsi="宋体" w:eastAsia="宋体" w:cs="宋体"/>
          <w:sz w:val="28"/>
          <w:szCs w:val="28"/>
        </w:rPr>
        <w:fldChar w:fldCharType="end"/>
      </w:r>
    </w:p>
    <w:p w14:paraId="56AF1521">
      <w:pPr>
        <w:spacing w:line="348" w:lineRule="auto"/>
        <w:ind w:firstLine="643" w:firstLineChars="200"/>
        <w:jc w:val="center"/>
        <w:rPr>
          <w:rFonts w:ascii="宋体" w:hAnsi="宋体" w:eastAsia="宋体" w:cs="宋体"/>
          <w:b/>
          <w:sz w:val="24"/>
          <w:szCs w:val="24"/>
        </w:rPr>
      </w:pPr>
      <w:r>
        <w:rPr>
          <w:rFonts w:hint="eastAsia" w:ascii="宋体" w:hAnsi="宋体" w:eastAsia="宋体" w:cs="宋体"/>
          <w:b/>
          <w:bCs/>
          <w:sz w:val="32"/>
          <w:szCs w:val="32"/>
        </w:rPr>
        <w:br w:type="page"/>
      </w:r>
      <w:bookmarkEnd w:id="0"/>
      <w:bookmarkStart w:id="1" w:name="_Toc23774424"/>
      <w:bookmarkStart w:id="2" w:name="_Toc410126998"/>
      <w:r>
        <w:rPr>
          <w:rFonts w:hint="eastAsia" w:ascii="宋体" w:hAnsi="宋体" w:eastAsia="宋体" w:cs="宋体"/>
          <w:b/>
          <w:bCs/>
          <w:sz w:val="30"/>
          <w:szCs w:val="30"/>
        </w:rPr>
        <w:t xml:space="preserve">第一章  </w:t>
      </w:r>
      <w:r>
        <w:rPr>
          <w:rFonts w:hint="eastAsia" w:ascii="宋体" w:hAnsi="宋体" w:eastAsia="宋体" w:cs="宋体"/>
          <w:b/>
          <w:sz w:val="30"/>
          <w:szCs w:val="30"/>
        </w:rPr>
        <w:t>竞争性磋商公告</w:t>
      </w:r>
      <w:bookmarkEnd w:id="1"/>
    </w:p>
    <w:p w14:paraId="70DE19FC">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ascii="宋体" w:hAnsi="宋体" w:eastAsia="宋体" w:cs="宋体"/>
          <w:sz w:val="24"/>
          <w:szCs w:val="24"/>
        </w:rPr>
      </w:pPr>
      <w:bookmarkStart w:id="3" w:name="OLE_LINK1"/>
      <w:r>
        <w:rPr>
          <w:rFonts w:hint="eastAsia" w:ascii="宋体" w:hAnsi="宋体" w:eastAsia="宋体" w:cs="宋体"/>
          <w:sz w:val="24"/>
          <w:szCs w:val="24"/>
        </w:rPr>
        <w:t>卢氏县滨河路及沿线区域排水防涝设施提升改造项目（监理服务项目）已经有关部门批准建设。本项目已具备招标条件，中伟诚工程管理有限公司受卢氏县住房和城乡建设局委托，现对该项目进行</w:t>
      </w:r>
      <w:r>
        <w:rPr>
          <w:rFonts w:hint="eastAsia" w:ascii="宋体" w:hAnsi="宋体" w:eastAsia="宋体" w:cs="宋体"/>
          <w:sz w:val="24"/>
          <w:szCs w:val="24"/>
          <w:lang w:eastAsia="zh-CN"/>
        </w:rPr>
        <w:t>竞争性磋商，</w:t>
      </w:r>
      <w:r>
        <w:rPr>
          <w:rFonts w:hint="eastAsia" w:ascii="宋体" w:hAnsi="宋体" w:eastAsia="宋体" w:cs="宋体"/>
          <w:sz w:val="24"/>
          <w:szCs w:val="24"/>
        </w:rPr>
        <w:t>欢迎符合条件的供应商参加。</w:t>
      </w:r>
    </w:p>
    <w:p w14:paraId="51026132">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lang w:eastAsia="zh-CN"/>
        </w:rPr>
        <w:t>一</w:t>
      </w:r>
      <w:r>
        <w:rPr>
          <w:rFonts w:hint="eastAsia" w:ascii="宋体" w:hAnsi="宋体" w:eastAsia="宋体" w:cs="宋体"/>
          <w:sz w:val="24"/>
          <w:szCs w:val="24"/>
        </w:rPr>
        <w:t>、项目概况</w:t>
      </w:r>
    </w:p>
    <w:p w14:paraId="21B550E3">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1、项目名称：</w:t>
      </w:r>
      <w:r>
        <w:rPr>
          <w:rFonts w:hint="eastAsia" w:ascii="宋体" w:hAnsi="宋体" w:eastAsia="宋体" w:cs="宋体"/>
          <w:sz w:val="24"/>
          <w:szCs w:val="24"/>
          <w:lang w:eastAsia="zh-CN"/>
        </w:rPr>
        <w:t>卢氏县滨河路及沿线区域排水防涝设施提升改造项目（监理服务项目）</w:t>
      </w:r>
    </w:p>
    <w:p w14:paraId="26D5F75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left="0" w:right="0" w:firstLine="480" w:firstLineChars="200"/>
        <w:jc w:val="left"/>
        <w:rPr>
          <w:rFonts w:ascii="微软雅黑" w:hAnsi="微软雅黑" w:eastAsia="微软雅黑" w:cs="微软雅黑"/>
          <w:color w:val="3D4B64"/>
          <w:sz w:val="21"/>
          <w:szCs w:val="21"/>
        </w:rPr>
      </w:pPr>
      <w:r>
        <w:rPr>
          <w:rFonts w:hint="eastAsia" w:ascii="宋体" w:hAnsi="宋体" w:eastAsia="宋体" w:cs="宋体"/>
          <w:sz w:val="24"/>
          <w:szCs w:val="24"/>
        </w:rPr>
        <w:t>2、项目编号：</w:t>
      </w:r>
      <w:r>
        <w:rPr>
          <w:rFonts w:hint="eastAsia" w:ascii="宋体" w:hAnsi="宋体" w:eastAsia="宋体" w:cs="宋体"/>
          <w:sz w:val="24"/>
          <w:szCs w:val="24"/>
          <w:lang w:val="en-US" w:eastAsia="zh-CN"/>
        </w:rPr>
        <w:t>三卢竞磋采购-2025-49、LSGZ[2025]138-ZC096</w:t>
      </w:r>
    </w:p>
    <w:p w14:paraId="248E50AC">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项目概况：本项目为卢氏县滨河路及沿线区域排水防涝设施提升改造项目（监理服务项目），位于卢氏县城区滨河路，工程主要建设内容：滨河路沿线铺设污水管网，西起淇河路，沿现状滨河路北侧敷设，东至新建路，WS-55~WS65-1,污水主管道管径d800；西起虢都路，沿现状滨河路北侧敷设，东至扁鹊路，WS-91~WS112,污水主管道管径d1000；西起虢都路，沿现状滨河路北侧敷设，东至扁鹊路，WS112~WS134,污水主管道管径d1000；西起虢都路，沿现状滨河路北侧敷设，东至扁鹊路，WS134~WS155,污水主管道管径d1000；</w:t>
      </w:r>
    </w:p>
    <w:p w14:paraId="5D589847">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w:t>
      </w:r>
      <w:r>
        <w:rPr>
          <w:rFonts w:hint="eastAsia" w:ascii="宋体" w:hAnsi="宋体" w:eastAsia="宋体" w:cs="宋体"/>
          <w:sz w:val="24"/>
          <w:szCs w:val="24"/>
          <w:lang w:eastAsia="zh-CN"/>
        </w:rPr>
        <w:t>服务</w:t>
      </w:r>
      <w:r>
        <w:rPr>
          <w:rFonts w:hint="eastAsia" w:ascii="宋体" w:hAnsi="宋体" w:eastAsia="宋体" w:cs="宋体"/>
          <w:sz w:val="24"/>
          <w:szCs w:val="24"/>
        </w:rPr>
        <w:t>地点：卢氏县城区滨河路；</w:t>
      </w:r>
    </w:p>
    <w:p w14:paraId="2306D173">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rPr>
        <w:t>5、磋商范围：</w:t>
      </w:r>
      <w:r>
        <w:rPr>
          <w:rFonts w:hint="eastAsia" w:ascii="宋体" w:hAnsi="宋体" w:eastAsia="宋体" w:cs="宋体"/>
          <w:kern w:val="0"/>
          <w:sz w:val="24"/>
          <w:szCs w:val="24"/>
          <w:lang w:val="en-US" w:eastAsia="zh-CN"/>
        </w:rPr>
        <w:t>建设项目施工标施工期及缺陷责任期阶段全过程监理及服务；</w:t>
      </w:r>
    </w:p>
    <w:p w14:paraId="687776EF">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ascii="宋体" w:hAnsi="宋体" w:eastAsia="宋体" w:cs="宋体"/>
          <w:sz w:val="24"/>
          <w:szCs w:val="24"/>
        </w:rPr>
      </w:pPr>
      <w:r>
        <w:rPr>
          <w:rFonts w:ascii="宋体" w:hAnsi="宋体" w:eastAsia="宋体" w:cs="宋体"/>
          <w:sz w:val="24"/>
          <w:szCs w:val="24"/>
        </w:rPr>
        <w:t>6</w:t>
      </w:r>
      <w:r>
        <w:rPr>
          <w:rFonts w:hint="eastAsia" w:ascii="宋体" w:hAnsi="宋体" w:eastAsia="宋体" w:cs="宋体"/>
          <w:sz w:val="24"/>
          <w:szCs w:val="24"/>
        </w:rPr>
        <w:t>、资金来源：</w:t>
      </w:r>
      <w:r>
        <w:rPr>
          <w:rFonts w:hint="eastAsia" w:ascii="宋体" w:hAnsi="宋体" w:eastAsia="宋体" w:cs="宋体"/>
          <w:sz w:val="24"/>
          <w:szCs w:val="24"/>
          <w:lang w:eastAsia="zh-CN"/>
        </w:rPr>
        <w:t>财政资金</w:t>
      </w:r>
      <w:r>
        <w:rPr>
          <w:rFonts w:hint="eastAsia" w:ascii="宋体" w:hAnsi="宋体" w:eastAsia="宋体" w:cs="宋体"/>
          <w:sz w:val="24"/>
          <w:szCs w:val="24"/>
        </w:rPr>
        <w:t>，已落实。</w:t>
      </w:r>
    </w:p>
    <w:p w14:paraId="14832751">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rPr>
        <w:t>7、标段划分：本项目</w:t>
      </w:r>
      <w:r>
        <w:rPr>
          <w:rFonts w:hint="eastAsia" w:ascii="宋体" w:hAnsi="宋体" w:eastAsia="宋体" w:cs="宋体"/>
          <w:sz w:val="24"/>
          <w:szCs w:val="24"/>
          <w:lang w:eastAsia="zh-CN"/>
        </w:rPr>
        <w:t>不</w:t>
      </w:r>
      <w:r>
        <w:rPr>
          <w:rFonts w:hint="eastAsia" w:ascii="宋体" w:hAnsi="宋体" w:eastAsia="宋体" w:cs="宋体"/>
          <w:sz w:val="24"/>
          <w:szCs w:val="24"/>
        </w:rPr>
        <w:t>划分标段；</w:t>
      </w:r>
    </w:p>
    <w:p w14:paraId="71ED8825">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cs="宋体" w:eastAsiaTheme="minorEastAsia"/>
          <w:sz w:val="24"/>
          <w:szCs w:val="24"/>
          <w:lang w:eastAsia="zh-CN"/>
        </w:rPr>
      </w:pPr>
      <w:r>
        <w:rPr>
          <w:rFonts w:ascii="宋体" w:hAnsi="宋体" w:eastAsia="宋体" w:cs="宋体"/>
          <w:sz w:val="24"/>
          <w:szCs w:val="24"/>
        </w:rPr>
        <w:t>8</w:t>
      </w:r>
      <w:r>
        <w:rPr>
          <w:rFonts w:hint="eastAsia" w:ascii="宋体" w:hAnsi="宋体" w:eastAsia="宋体" w:cs="宋体"/>
          <w:sz w:val="24"/>
          <w:szCs w:val="24"/>
        </w:rPr>
        <w:t>、</w:t>
      </w:r>
      <w:r>
        <w:rPr>
          <w:rFonts w:hint="eastAsia" w:ascii="宋体" w:hAnsi="宋体" w:cs="宋体"/>
          <w:kern w:val="0"/>
          <w:sz w:val="24"/>
        </w:rPr>
        <w:t>预算金额：</w:t>
      </w:r>
      <w:r>
        <w:rPr>
          <w:rFonts w:hint="eastAsia" w:ascii="宋体" w:hAnsi="宋体"/>
          <w:sz w:val="24"/>
        </w:rPr>
        <w:t>￥</w:t>
      </w:r>
      <w:r>
        <w:rPr>
          <w:rFonts w:hint="eastAsia" w:ascii="宋体" w:hAnsi="宋体" w:cs="宋体"/>
          <w:kern w:val="0"/>
          <w:sz w:val="24"/>
          <w:lang w:val="en-US" w:eastAsia="zh-CN"/>
        </w:rPr>
        <w:t>430481.79</w:t>
      </w:r>
      <w:r>
        <w:rPr>
          <w:rFonts w:hint="eastAsia" w:ascii="宋体" w:hAnsi="宋体" w:cs="宋体"/>
          <w:sz w:val="24"/>
        </w:rPr>
        <w:t>元</w:t>
      </w:r>
      <w:r>
        <w:rPr>
          <w:rFonts w:hint="eastAsia" w:ascii="宋体" w:hAnsi="宋体" w:cs="宋体"/>
          <w:sz w:val="24"/>
          <w:lang w:eastAsia="zh-CN"/>
        </w:rPr>
        <w:t>；</w:t>
      </w:r>
    </w:p>
    <w:p w14:paraId="5F3BB1A9">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lang w:eastAsia="zh-CN"/>
        </w:rPr>
      </w:pPr>
      <w:r>
        <w:rPr>
          <w:rFonts w:ascii="宋体" w:hAnsi="宋体" w:eastAsia="宋体" w:cs="宋体"/>
          <w:sz w:val="24"/>
          <w:szCs w:val="24"/>
        </w:rPr>
        <w:t>9</w:t>
      </w:r>
      <w:r>
        <w:rPr>
          <w:rFonts w:hint="eastAsia" w:ascii="宋体" w:hAnsi="宋体" w:eastAsia="宋体" w:cs="宋体"/>
          <w:sz w:val="24"/>
          <w:szCs w:val="24"/>
        </w:rPr>
        <w:t>、监理周期：同施工工期及缺陷责任期</w:t>
      </w:r>
      <w:r>
        <w:rPr>
          <w:rFonts w:hint="eastAsia" w:ascii="宋体" w:hAnsi="宋体" w:eastAsia="宋体" w:cs="宋体"/>
          <w:sz w:val="24"/>
          <w:szCs w:val="24"/>
          <w:lang w:eastAsia="zh-CN"/>
        </w:rPr>
        <w:t>；</w:t>
      </w:r>
    </w:p>
    <w:p w14:paraId="796763DC">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lang w:val="en-US" w:eastAsia="zh-CN"/>
        </w:rPr>
      </w:pPr>
      <w:r>
        <w:rPr>
          <w:rFonts w:ascii="宋体" w:hAnsi="宋体" w:eastAsia="宋体" w:cs="宋体"/>
          <w:sz w:val="24"/>
          <w:szCs w:val="24"/>
        </w:rPr>
        <w:t>10</w:t>
      </w:r>
      <w:r>
        <w:rPr>
          <w:rFonts w:hint="eastAsia" w:ascii="宋体" w:hAnsi="宋体" w:eastAsia="宋体" w:cs="宋体"/>
          <w:sz w:val="24"/>
          <w:szCs w:val="24"/>
        </w:rPr>
        <w:t>、</w:t>
      </w:r>
      <w:r>
        <w:rPr>
          <w:rFonts w:hint="eastAsia" w:ascii="宋体" w:hAnsi="宋体" w:eastAsia="宋体" w:cs="宋体"/>
          <w:sz w:val="24"/>
          <w:szCs w:val="24"/>
          <w:lang w:eastAsia="zh-CN"/>
        </w:rPr>
        <w:t>质量标准</w:t>
      </w:r>
      <w:r>
        <w:rPr>
          <w:rFonts w:hint="eastAsia" w:ascii="宋体" w:hAnsi="宋体" w:eastAsia="宋体" w:cs="宋体"/>
          <w:sz w:val="24"/>
          <w:szCs w:val="24"/>
        </w:rPr>
        <w:t>：</w:t>
      </w:r>
      <w:r>
        <w:rPr>
          <w:rFonts w:hint="eastAsia" w:ascii="宋体" w:hAnsi="宋体" w:eastAsia="宋体" w:cs="宋体"/>
          <w:sz w:val="24"/>
          <w:szCs w:val="24"/>
          <w:lang w:val="en-US" w:eastAsia="zh-CN"/>
        </w:rPr>
        <w:t>符合相关国家、行业及地方现行相关法律法规、规范及技术标准；</w:t>
      </w:r>
    </w:p>
    <w:p w14:paraId="58BEA01E">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lang w:eastAsia="zh-CN"/>
        </w:rPr>
        <w:t>二</w:t>
      </w:r>
      <w:r>
        <w:rPr>
          <w:rFonts w:hint="eastAsia" w:ascii="宋体" w:hAnsi="宋体" w:eastAsia="宋体" w:cs="宋体"/>
          <w:sz w:val="24"/>
          <w:szCs w:val="24"/>
        </w:rPr>
        <w:t>、供应商资格要求</w:t>
      </w:r>
    </w:p>
    <w:p w14:paraId="724BC663">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、满足《中华人民共和国政府采购法》第二十二条规定；</w:t>
      </w:r>
    </w:p>
    <w:p w14:paraId="759873F0">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2、在中国境内注册具有独立法人资格，持有国家工商行政管理部门核发的真实有效的企业法人营业执照；</w:t>
      </w:r>
    </w:p>
    <w:p w14:paraId="18720F98">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3、投标人须具备市政公用工程监理乙级及以上资质或工程监理综合资质，并在人员、设备、资金等方面具备相应的能力；</w:t>
      </w:r>
    </w:p>
    <w:p w14:paraId="3F0764CB">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4、拟派项目总监须具有市政公用工程专业国家注册监理工程师资格证书；在本单位签订劳动合同（提供劳动合同），已参加社会保险（提供近半年连续三个月社保证明）；</w:t>
      </w:r>
    </w:p>
    <w:p w14:paraId="39418ADC">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5、拟派项目总监代表、现场监理人员须提供与本单位签订的劳动合同（提供劳动合同），已参加社会保险（提供近半年连续三个月社保证明）；</w:t>
      </w:r>
    </w:p>
    <w:p w14:paraId="622D4EBC">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6、具有良好的财务状况且没有处于被责令停业：投标人须提供近三年任意一年的经第三方审计机构出具的审计报告,投标人成立不满一年的提供最近一月的财务报表；</w:t>
      </w:r>
    </w:p>
    <w:p w14:paraId="0D34FB3F">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7、投标人出具无行贿犯罪记录在中国裁判文书网自行查询或自行承诺（查询/承诺对象为企业、法定代表人、项目总监）（查询日期必须在公告发布之后开标时间以前）；</w:t>
      </w:r>
    </w:p>
    <w:p w14:paraId="205F5A7D">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8、投标人自行出具本企业无商业贿赂和不正当竞争行为承诺书，格式自拟；</w:t>
      </w:r>
    </w:p>
    <w:p w14:paraId="2710A2CC">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9、根据《关于在政府采购活动中查询及使用信用记录有关问题的通知》(财库[2016]125号)和豫财购【2016】15号的规定，企业没有被列入“信用中国”网站的“失信被执行人”、“重大税收违法失信主体”及“中国政府采购网”网站的“政府采购严重违法失信行为记录名单”的响应人；（查询渠道：“信用中国”网站（www.creditchina.gov.cn）、中国政府采购网（www.ccgp.gov.cn）；提供网站的查询信息截图；(注：査询时间必须是公告发布以后开标时间以前并提供网站查询网页截图，查询结果清晰可见)；</w:t>
      </w:r>
    </w:p>
    <w:p w14:paraId="17B75174">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10、</w:t>
      </w:r>
      <w:r>
        <w:rPr>
          <w:rFonts w:hint="eastAsia" w:ascii="宋体" w:hAnsi="宋体" w:cs="宋体"/>
          <w:sz w:val="24"/>
          <w:szCs w:val="24"/>
        </w:rPr>
        <w:t>本次磋商不接受联合体</w:t>
      </w:r>
      <w:r>
        <w:rPr>
          <w:rFonts w:hint="eastAsia" w:ascii="宋体" w:hAnsi="宋体" w:eastAsia="宋体" w:cs="宋体"/>
          <w:kern w:val="0"/>
          <w:sz w:val="24"/>
          <w:szCs w:val="24"/>
          <w:lang w:val="en-US" w:eastAsia="zh-CN"/>
        </w:rPr>
        <w:t>；</w:t>
      </w:r>
    </w:p>
    <w:p w14:paraId="1E4ED9A0">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11、本次招标实行资格后审。</w:t>
      </w:r>
    </w:p>
    <w:p w14:paraId="274BA369">
      <w:pPr>
        <w:widowControl/>
        <w:spacing w:line="360" w:lineRule="auto"/>
        <w:ind w:firstLine="480" w:firstLineChars="200"/>
        <w:rPr>
          <w:rFonts w:hint="eastAsia" w:ascii="宋体" w:hAnsi="宋体" w:cs="宋体"/>
          <w:sz w:val="24"/>
          <w:szCs w:val="24"/>
        </w:rPr>
      </w:pPr>
      <w:r>
        <w:rPr>
          <w:rFonts w:hint="eastAsia" w:ascii="宋体" w:hAnsi="宋体" w:eastAsia="宋体" w:cs="宋体"/>
          <w:kern w:val="0"/>
          <w:sz w:val="24"/>
          <w:szCs w:val="24"/>
          <w:lang w:val="en-US" w:eastAsia="zh-CN"/>
        </w:rPr>
        <w:t>注：被列入失信被执行人及重大税收违法失信主体的企业做无效标处理。招标人或代理机构有权对投标人信用记录进行甄别和复查；</w:t>
      </w:r>
    </w:p>
    <w:p w14:paraId="4EF44EDF">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ascii="宋体" w:hAnsi="宋体" w:eastAsia="宋体" w:cs="宋体"/>
          <w:sz w:val="24"/>
          <w:szCs w:val="24"/>
        </w:rPr>
      </w:pPr>
      <w:r>
        <w:rPr>
          <w:rFonts w:hint="eastAsia" w:ascii="宋体" w:hAnsi="宋体" w:eastAsia="宋体" w:cs="宋体"/>
          <w:sz w:val="24"/>
          <w:szCs w:val="24"/>
          <w:lang w:eastAsia="zh-CN"/>
        </w:rPr>
        <w:t>三</w:t>
      </w:r>
      <w:r>
        <w:rPr>
          <w:rFonts w:hint="eastAsia" w:ascii="宋体" w:hAnsi="宋体" w:eastAsia="宋体" w:cs="宋体"/>
          <w:sz w:val="24"/>
          <w:szCs w:val="24"/>
        </w:rPr>
        <w:t>、磋商文件的获取方式</w:t>
      </w:r>
    </w:p>
    <w:bookmarkEnd w:id="3"/>
    <w:p w14:paraId="717CCBBC">
      <w:pPr>
        <w:widowControl/>
        <w:spacing w:line="360" w:lineRule="auto"/>
        <w:ind w:firstLine="480" w:firstLineChars="200"/>
        <w:rPr>
          <w:rFonts w:hint="eastAsia" w:ascii="宋体" w:hAnsi="宋体" w:eastAsia="宋体" w:cs="宋体"/>
          <w:color w:val="auto"/>
          <w:kern w:val="0"/>
          <w:sz w:val="24"/>
          <w:szCs w:val="24"/>
          <w:lang w:val="en-US" w:eastAsia="zh-CN"/>
        </w:rPr>
      </w:pPr>
      <w:bookmarkStart w:id="4" w:name="_Toc270604573"/>
      <w:bookmarkStart w:id="5" w:name="_Toc23774425"/>
      <w:bookmarkStart w:id="6" w:name="_Toc1254"/>
      <w:r>
        <w:rPr>
          <w:rFonts w:hint="eastAsia" w:ascii="宋体" w:hAnsi="宋体" w:eastAsia="宋体" w:cs="宋体"/>
          <w:color w:val="auto"/>
          <w:kern w:val="0"/>
          <w:sz w:val="24"/>
          <w:szCs w:val="24"/>
          <w:lang w:val="en-US" w:eastAsia="zh-CN"/>
        </w:rPr>
        <w:t>1、时间：2025年06月26日08时00分至2025年07月09日08时40分；</w:t>
      </w:r>
    </w:p>
    <w:p w14:paraId="4DF55BCE">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2、地点：三门峡市公共资源交易中心电子交易系统；</w:t>
      </w:r>
    </w:p>
    <w:p w14:paraId="4D8B42E0">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3、方式：本项目没有报名环节，投标人凭CA数字证书通过三门峡市公共资源交易中心网（网址：</w:t>
      </w:r>
      <w:r>
        <w:rPr>
          <w:rFonts w:hint="eastAsia" w:ascii="宋体" w:hAnsi="宋体" w:eastAsia="宋体" w:cs="宋体"/>
          <w:kern w:val="0"/>
          <w:sz w:val="24"/>
          <w:szCs w:val="24"/>
          <w:lang w:val="en-US" w:eastAsia="zh-CN"/>
        </w:rPr>
        <w:fldChar w:fldCharType="begin"/>
      </w:r>
      <w:r>
        <w:rPr>
          <w:rFonts w:hint="eastAsia" w:ascii="宋体" w:hAnsi="宋体" w:eastAsia="宋体" w:cs="宋体"/>
          <w:kern w:val="0"/>
          <w:sz w:val="24"/>
          <w:szCs w:val="24"/>
          <w:lang w:val="en-US" w:eastAsia="zh-CN"/>
        </w:rPr>
        <w:instrText xml:space="preserve"> HYPERLINK "http://gzjy.smx.gov.cn），点击交易平台选择\“市场主体登录\”，在所参与项目右侧点击参与投标，即可直接下载本项目招标文件；" </w:instrText>
      </w:r>
      <w:r>
        <w:rPr>
          <w:rFonts w:hint="eastAsia" w:ascii="宋体" w:hAnsi="宋体" w:eastAsia="宋体" w:cs="宋体"/>
          <w:kern w:val="0"/>
          <w:sz w:val="24"/>
          <w:szCs w:val="24"/>
          <w:lang w:val="en-US" w:eastAsia="zh-CN"/>
        </w:rPr>
        <w:fldChar w:fldCharType="separate"/>
      </w:r>
      <w:r>
        <w:rPr>
          <w:rFonts w:hint="eastAsia" w:ascii="宋体" w:hAnsi="宋体" w:eastAsia="宋体" w:cs="宋体"/>
          <w:kern w:val="0"/>
          <w:sz w:val="24"/>
          <w:szCs w:val="24"/>
          <w:lang w:val="en-US" w:eastAsia="zh-CN"/>
        </w:rPr>
        <w:t>http://gzjy.smx.gov.cn），点击交易平台选择“市场主体登录”，在所参与项目右侧点击参与投标，即可直接下载本项目磋商文件；</w:t>
      </w:r>
      <w:r>
        <w:rPr>
          <w:rFonts w:hint="eastAsia" w:ascii="宋体" w:hAnsi="宋体" w:eastAsia="宋体" w:cs="宋体"/>
          <w:kern w:val="0"/>
          <w:sz w:val="24"/>
          <w:szCs w:val="24"/>
          <w:lang w:val="en-US" w:eastAsia="zh-CN"/>
        </w:rPr>
        <w:fldChar w:fldCharType="end"/>
      </w:r>
    </w:p>
    <w:p w14:paraId="0B1F7B11">
      <w:pPr>
        <w:widowControl/>
        <w:spacing w:line="360" w:lineRule="auto"/>
        <w:ind w:firstLine="480" w:firstLineChars="200"/>
        <w:jc w:val="left"/>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办理CA证书：http://gzjy.smx.gov.cn/fwzn/004003/20201019/a8fae6a0-baed-499b-bb50-8ecc8828a2ca.html</w:t>
      </w:r>
    </w:p>
    <w:p w14:paraId="67DEB0CE">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本项目为不见面开标项目，开标当日，投标人无需到开标现场参加开标会议，供应商应当在投标截止时间前，登陆不见面开标大厅选择登陆三门峡市公共资源电子招投标系统进行登陆,在线准时参加开标活动并进行投标文件解密等。每位投标人的解密时间为开标时间起30分钟内完成。因投标人原因未能解密、解密失败或解密超时的将被拒绝；</w:t>
      </w:r>
    </w:p>
    <w:p w14:paraId="376F9500">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5、本项目为全电子招标，不再收取磋商文件费用。</w:t>
      </w:r>
    </w:p>
    <w:p w14:paraId="05191EB2">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四、投标资料的提交</w:t>
      </w:r>
    </w:p>
    <w:p w14:paraId="6DBC80B6">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本项目实行资格后审，审查内容以投标截止时间前在三门峡市公共资源交易平台上传的投标文件为准。规定时间外上传或更改的信息不作为评标依据。投标人对投标文件信息的真实性、有效性、清晰可辩性负责，否则，由此造成应得分而未得分或资格审查不合格等情况的，由供应商承担责任。同时，投标人应及时完善主体库。</w:t>
      </w:r>
    </w:p>
    <w:p w14:paraId="35CB8400">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五、投标截止时间（开标时间）及地点</w:t>
      </w:r>
    </w:p>
    <w:p w14:paraId="18A382A0">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1、投标文件递交截止时间及开标时间：2025年07月09日08时40分；</w:t>
      </w:r>
    </w:p>
    <w:p w14:paraId="6499CEAF">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2、开标地点：卢氏县公共资源交易中心四楼第二开标室</w:t>
      </w:r>
    </w:p>
    <w:p w14:paraId="7A8D2DE5">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3、评标地点：卢氏县公共资源交易中心二楼第二评标室</w:t>
      </w:r>
    </w:p>
    <w:p w14:paraId="34FDF031">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六、其他事项</w:t>
      </w:r>
    </w:p>
    <w:p w14:paraId="1DCEEEF1">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投标人应仔细阅读操作手册，在本公告中要求的截止时间前完成投标保证金的缴纳、绑定、网上投标等工作。并充分考虑人为操作和银行异地跨行转账到账的时间等因素，因投标人操作不当等问题造成的无法下载磋商文件、无法投标、无法开标等一切后果，由投标人自行承担；</w:t>
      </w:r>
    </w:p>
    <w:p w14:paraId="78BF3E5C">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2、开标所发生的一切费用由各投标人自行承担，并承担相应的风险和责任；</w:t>
      </w:r>
    </w:p>
    <w:p w14:paraId="67E9A9AA">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3、投标人递交的资料和投标文件不论中标与否均不予退还；</w:t>
      </w:r>
    </w:p>
    <w:p w14:paraId="3A260C36">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温馨提示：本项目为电子化、无纸化交易项目，开标时不再接受任何纸质资料，为保证您能开标成功，请需仔细阅读磋商文件和三门峡市公共资源交易中心官网业务办理指南。</w:t>
      </w:r>
    </w:p>
    <w:p w14:paraId="14B2F69A">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七、发布公告媒介</w:t>
      </w:r>
    </w:p>
    <w:p w14:paraId="2138C141">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本次招标公告同时在《中国招标投标公共服务平台》、《河南省政府采购网》、《河南省电子招标投标公共服务平台》、《三门峡市公共资源交易中心网》发布。</w:t>
      </w:r>
    </w:p>
    <w:p w14:paraId="400C271B">
      <w:pPr>
        <w:widowControl/>
        <w:numPr>
          <w:ilvl w:val="0"/>
          <w:numId w:val="1"/>
        </w:numPr>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联系方式</w:t>
      </w:r>
    </w:p>
    <w:p w14:paraId="49A301B4">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监督单位：卢氏县住房和城乡建设局纪检监察室</w:t>
      </w:r>
    </w:p>
    <w:p w14:paraId="5051E6E3">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联系人：范清泉</w:t>
      </w:r>
    </w:p>
    <w:p w14:paraId="0CBCF737">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电话：0398-2250639、15516226665</w:t>
      </w:r>
    </w:p>
    <w:p w14:paraId="08D0FBD8">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地址：卢氏县翰林路中段</w:t>
      </w:r>
    </w:p>
    <w:p w14:paraId="01EFC525">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招标人：卢氏县住房和城乡建设局</w:t>
      </w:r>
    </w:p>
    <w:p w14:paraId="2D09E3F1">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联系人：田龙</w:t>
      </w:r>
    </w:p>
    <w:p w14:paraId="70385012">
      <w:pPr>
        <w:widowControl/>
        <w:spacing w:line="360" w:lineRule="auto"/>
        <w:ind w:firstLine="480" w:firstLineChars="20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电话：0398-2257556、13639821126</w:t>
      </w:r>
    </w:p>
    <w:p w14:paraId="22CBE8E6">
      <w:pPr>
        <w:widowControl/>
        <w:spacing w:line="360" w:lineRule="auto"/>
        <w:ind w:firstLine="480" w:firstLineChars="200"/>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地址：卢氏县翰林路中段</w:t>
      </w:r>
    </w:p>
    <w:p w14:paraId="52923996">
      <w:pPr>
        <w:spacing w:beforeAutospacing="0" w:afterAutospacing="0" w:line="360" w:lineRule="auto"/>
        <w:ind w:firstLine="480" w:firstLineChars="200"/>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招标代理机构：中伟诚工程管理有限公司</w:t>
      </w:r>
    </w:p>
    <w:p w14:paraId="200E824E">
      <w:pPr>
        <w:spacing w:beforeAutospacing="0" w:afterAutospacing="0" w:line="360" w:lineRule="auto"/>
        <w:ind w:firstLine="480" w:firstLineChars="200"/>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联系人：张凯丽</w:t>
      </w:r>
    </w:p>
    <w:p w14:paraId="4072BF2F">
      <w:pPr>
        <w:spacing w:beforeAutospacing="0" w:afterAutospacing="0" w:line="360" w:lineRule="auto"/>
        <w:ind w:firstLine="480" w:firstLineChars="200"/>
        <w:rPr>
          <w:rFonts w:hint="eastAsia" w:ascii="宋体" w:hAnsi="宋体" w:cs="Times New Roman"/>
          <w:color w:val="auto"/>
          <w:sz w:val="24"/>
          <w:szCs w:val="24"/>
          <w:lang w:val="en-US" w:eastAsia="zh-CN"/>
        </w:rPr>
      </w:pPr>
      <w:r>
        <w:rPr>
          <w:rFonts w:hint="default" w:ascii="宋体" w:hAnsi="宋体" w:eastAsia="宋体" w:cs="Times New Roman"/>
          <w:color w:val="auto"/>
          <w:sz w:val="24"/>
          <w:szCs w:val="24"/>
          <w:lang w:val="en-US" w:eastAsia="zh-CN"/>
        </w:rPr>
        <w:t>电话：</w:t>
      </w:r>
      <w:r>
        <w:rPr>
          <w:rFonts w:hint="eastAsia" w:ascii="宋体" w:hAnsi="宋体" w:cs="Times New Roman"/>
          <w:color w:val="auto"/>
          <w:sz w:val="24"/>
          <w:szCs w:val="24"/>
          <w:lang w:val="en-US" w:eastAsia="zh-CN"/>
        </w:rPr>
        <w:t>15139802041、</w:t>
      </w:r>
      <w:r>
        <w:rPr>
          <w:rFonts w:hint="default" w:ascii="宋体" w:hAnsi="宋体" w:eastAsia="宋体" w:cs="Times New Roman"/>
          <w:color w:val="auto"/>
          <w:sz w:val="24"/>
          <w:szCs w:val="24"/>
          <w:lang w:val="en-US" w:eastAsia="zh-CN"/>
        </w:rPr>
        <w:t>13643982722</w:t>
      </w:r>
    </w:p>
    <w:p w14:paraId="319B428F">
      <w:pPr>
        <w:spacing w:beforeAutospacing="0" w:afterAutospacing="0" w:line="360" w:lineRule="auto"/>
        <w:ind w:firstLine="480" w:firstLineChars="200"/>
        <w:rPr>
          <w:rFonts w:hint="default" w:ascii="宋体" w:hAnsi="宋体" w:eastAsia="宋体" w:cs="Times New Roman"/>
          <w:color w:val="auto"/>
          <w:sz w:val="24"/>
          <w:szCs w:val="24"/>
          <w:lang w:val="en-US" w:eastAsia="zh-CN"/>
        </w:rPr>
      </w:pPr>
      <w:r>
        <w:rPr>
          <w:rFonts w:hint="default" w:ascii="宋体" w:hAnsi="宋体" w:eastAsia="宋体" w:cs="Times New Roman"/>
          <w:color w:val="auto"/>
          <w:sz w:val="24"/>
          <w:szCs w:val="24"/>
          <w:lang w:val="en-US" w:eastAsia="zh-CN"/>
        </w:rPr>
        <w:t>地址：河南自贸试验区郑州片区（郑东）金水东路88-1号1号楼3层307</w:t>
      </w:r>
    </w:p>
    <w:p w14:paraId="3DFACB1E">
      <w:pPr>
        <w:pStyle w:val="2"/>
        <w:rPr>
          <w:rFonts w:hint="default"/>
          <w:lang w:val="en-US" w:eastAsia="zh-CN"/>
        </w:rPr>
      </w:pPr>
    </w:p>
    <w:p w14:paraId="247FE61A">
      <w:pPr>
        <w:rPr>
          <w:rFonts w:ascii="宋体" w:hAnsi="宋体" w:eastAsia="宋体" w:cs="Courier New"/>
          <w:b/>
          <w:bCs/>
          <w:sz w:val="30"/>
          <w:szCs w:val="30"/>
        </w:rPr>
      </w:pPr>
      <w:r>
        <w:rPr>
          <w:rFonts w:hint="eastAsia" w:ascii="宋体" w:hAnsi="宋体" w:eastAsia="宋体" w:cs="Courier New"/>
          <w:b/>
          <w:bCs/>
          <w:sz w:val="30"/>
          <w:szCs w:val="30"/>
        </w:rPr>
        <w:br w:type="page"/>
      </w:r>
    </w:p>
    <w:p w14:paraId="26F3013C">
      <w:pPr>
        <w:numPr>
          <w:ilvl w:val="0"/>
          <w:numId w:val="2"/>
        </w:numPr>
        <w:wordWrap w:val="0"/>
        <w:topLinePunct/>
        <w:spacing w:before="240" w:beforeLines="100" w:after="240" w:afterLines="100" w:line="400" w:lineRule="exact"/>
        <w:jc w:val="center"/>
        <w:outlineLvl w:val="0"/>
        <w:rPr>
          <w:rFonts w:ascii="宋体" w:hAnsi="宋体" w:eastAsia="宋体" w:cs="Courier New"/>
          <w:b/>
          <w:bCs/>
          <w:sz w:val="30"/>
          <w:szCs w:val="30"/>
        </w:rPr>
      </w:pPr>
      <w:r>
        <w:rPr>
          <w:rFonts w:hint="eastAsia" w:ascii="宋体" w:hAnsi="宋体" w:eastAsia="宋体" w:cs="Courier New"/>
          <w:b/>
          <w:bCs/>
          <w:sz w:val="30"/>
          <w:szCs w:val="30"/>
        </w:rPr>
        <w:t xml:space="preserve"> 供应商须知</w:t>
      </w:r>
      <w:bookmarkEnd w:id="2"/>
      <w:bookmarkEnd w:id="4"/>
      <w:bookmarkEnd w:id="5"/>
      <w:bookmarkEnd w:id="6"/>
      <w:bookmarkStart w:id="7" w:name="_Toc18978"/>
      <w:bookmarkStart w:id="8" w:name="_Toc13329"/>
      <w:bookmarkStart w:id="9" w:name="_Toc23774426"/>
    </w:p>
    <w:p w14:paraId="19AE48AA">
      <w:pPr>
        <w:wordWrap w:val="0"/>
        <w:topLinePunct/>
        <w:spacing w:before="240" w:beforeLines="100" w:after="240" w:afterLines="100" w:line="400" w:lineRule="exact"/>
        <w:jc w:val="center"/>
        <w:outlineLvl w:val="0"/>
        <w:rPr>
          <w:rFonts w:ascii="宋体" w:hAnsi="宋体" w:eastAsia="宋体" w:cs="宋体"/>
          <w:b/>
          <w:bCs/>
          <w:sz w:val="28"/>
          <w:szCs w:val="28"/>
        </w:rPr>
      </w:pPr>
      <w:r>
        <w:rPr>
          <w:rFonts w:hint="eastAsia" w:ascii="宋体" w:hAnsi="宋体" w:eastAsia="宋体" w:cs="Times New Roman"/>
          <w:kern w:val="44"/>
          <w:sz w:val="28"/>
          <w:szCs w:val="28"/>
        </w:rPr>
        <w:t>供应商须知前附表</w:t>
      </w:r>
      <w:bookmarkEnd w:id="7"/>
      <w:bookmarkEnd w:id="8"/>
      <w:bookmarkEnd w:id="9"/>
    </w:p>
    <w:tbl>
      <w:tblPr>
        <w:tblStyle w:val="16"/>
        <w:tblW w:w="94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2072"/>
        <w:gridCol w:w="6447"/>
      </w:tblGrid>
      <w:tr w14:paraId="35DA9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21A3605E">
            <w:pPr>
              <w:spacing w:line="500" w:lineRule="exact"/>
              <w:jc w:val="center"/>
              <w:rPr>
                <w:rFonts w:asciiTheme="minorEastAsia" w:hAnsiTheme="minorEastAsia" w:cstheme="minorEastAsia"/>
                <w:b/>
                <w:bCs/>
                <w:sz w:val="24"/>
                <w:szCs w:val="24"/>
              </w:rPr>
            </w:pPr>
            <w:r>
              <w:rPr>
                <w:rFonts w:hint="eastAsia" w:asciiTheme="minorEastAsia" w:hAnsiTheme="minorEastAsia" w:cstheme="minorEastAsia"/>
                <w:b/>
                <w:bCs/>
                <w:sz w:val="24"/>
                <w:szCs w:val="24"/>
              </w:rPr>
              <w:t>序号</w:t>
            </w:r>
          </w:p>
        </w:tc>
        <w:tc>
          <w:tcPr>
            <w:tcW w:w="2072" w:type="dxa"/>
            <w:vAlign w:val="center"/>
          </w:tcPr>
          <w:p w14:paraId="30ECAABC">
            <w:pPr>
              <w:spacing w:line="500" w:lineRule="exact"/>
              <w:jc w:val="center"/>
              <w:rPr>
                <w:rFonts w:asciiTheme="minorEastAsia" w:hAnsiTheme="minorEastAsia" w:cstheme="minorEastAsia"/>
                <w:b/>
                <w:bCs/>
                <w:sz w:val="24"/>
                <w:szCs w:val="24"/>
              </w:rPr>
            </w:pPr>
            <w:r>
              <w:rPr>
                <w:rFonts w:hint="eastAsia" w:asciiTheme="minorEastAsia" w:hAnsiTheme="minorEastAsia" w:cstheme="minorEastAsia"/>
                <w:b/>
                <w:bCs/>
                <w:sz w:val="24"/>
                <w:szCs w:val="24"/>
              </w:rPr>
              <w:t>条 款 名 称</w:t>
            </w:r>
          </w:p>
        </w:tc>
        <w:tc>
          <w:tcPr>
            <w:tcW w:w="6447" w:type="dxa"/>
            <w:vAlign w:val="center"/>
          </w:tcPr>
          <w:p w14:paraId="0E93AAAE">
            <w:pPr>
              <w:spacing w:line="500" w:lineRule="exact"/>
              <w:jc w:val="center"/>
              <w:rPr>
                <w:rFonts w:asciiTheme="minorEastAsia" w:hAnsiTheme="minorEastAsia" w:cstheme="minorEastAsia"/>
                <w:b/>
                <w:bCs/>
                <w:sz w:val="24"/>
                <w:szCs w:val="24"/>
              </w:rPr>
            </w:pPr>
            <w:r>
              <w:rPr>
                <w:rFonts w:hint="eastAsia" w:asciiTheme="minorEastAsia" w:hAnsiTheme="minorEastAsia" w:cstheme="minorEastAsia"/>
                <w:b/>
                <w:bCs/>
                <w:sz w:val="24"/>
                <w:szCs w:val="24"/>
              </w:rPr>
              <w:t>编 列 内 容</w:t>
            </w:r>
          </w:p>
        </w:tc>
      </w:tr>
      <w:tr w14:paraId="7D745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27C66F74">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1.1</w:t>
            </w:r>
          </w:p>
        </w:tc>
        <w:tc>
          <w:tcPr>
            <w:tcW w:w="2072" w:type="dxa"/>
            <w:vAlign w:val="center"/>
          </w:tcPr>
          <w:p w14:paraId="4082312B">
            <w:pPr>
              <w:spacing w:line="500" w:lineRule="exact"/>
              <w:jc w:val="center"/>
              <w:rPr>
                <w:rFonts w:hint="eastAsia" w:asciiTheme="minorEastAsia" w:hAnsiTheme="minorEastAsia" w:cstheme="minorEastAsia"/>
                <w:sz w:val="24"/>
                <w:szCs w:val="24"/>
              </w:rPr>
            </w:pPr>
            <w:r>
              <w:rPr>
                <w:rFonts w:hint="eastAsia"/>
                <w:sz w:val="24"/>
                <w:szCs w:val="24"/>
                <w:lang w:eastAsia="zh-CN"/>
              </w:rPr>
              <w:t>监督单位</w:t>
            </w:r>
          </w:p>
        </w:tc>
        <w:tc>
          <w:tcPr>
            <w:tcW w:w="6447" w:type="dxa"/>
            <w:vAlign w:val="center"/>
          </w:tcPr>
          <w:p w14:paraId="504C7676">
            <w:pPr>
              <w:spacing w:line="500" w:lineRule="exac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监督单位：卢氏县住房和城乡建设局纪检监察室</w:t>
            </w:r>
          </w:p>
          <w:p w14:paraId="282C9E79">
            <w:pPr>
              <w:spacing w:line="500" w:lineRule="exac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联系人：范清泉</w:t>
            </w:r>
          </w:p>
          <w:p w14:paraId="5EBF3A77">
            <w:pPr>
              <w:spacing w:line="500" w:lineRule="exac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电话：0398-2250639、15516226665</w:t>
            </w:r>
          </w:p>
          <w:p w14:paraId="07A1A87D">
            <w:pPr>
              <w:spacing w:line="500" w:lineRule="exac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地址：卢氏县翰林路中段</w:t>
            </w:r>
          </w:p>
        </w:tc>
      </w:tr>
      <w:tr w14:paraId="253C5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4BD1C68F">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1.</w:t>
            </w:r>
            <w:r>
              <w:rPr>
                <w:rFonts w:hint="eastAsia" w:asciiTheme="minorEastAsia" w:hAnsiTheme="minorEastAsia" w:cstheme="minorEastAsia"/>
                <w:sz w:val="24"/>
                <w:szCs w:val="24"/>
                <w:lang w:val="en-US" w:eastAsia="zh-CN"/>
              </w:rPr>
              <w:t>2</w:t>
            </w:r>
          </w:p>
        </w:tc>
        <w:tc>
          <w:tcPr>
            <w:tcW w:w="2072" w:type="dxa"/>
            <w:vAlign w:val="center"/>
          </w:tcPr>
          <w:p w14:paraId="7B4C4CC5">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采购人</w:t>
            </w:r>
          </w:p>
        </w:tc>
        <w:tc>
          <w:tcPr>
            <w:tcW w:w="6447" w:type="dxa"/>
            <w:vAlign w:val="center"/>
          </w:tcPr>
          <w:p w14:paraId="7DE82040">
            <w:pPr>
              <w:spacing w:line="500" w:lineRule="exac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招标人：卢氏县住房和城乡建设局</w:t>
            </w:r>
          </w:p>
          <w:p w14:paraId="18421B18">
            <w:pPr>
              <w:spacing w:line="500" w:lineRule="exac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联系人：田龙</w:t>
            </w:r>
          </w:p>
          <w:p w14:paraId="7C6DDD14">
            <w:pPr>
              <w:spacing w:line="500" w:lineRule="exac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电话：0398-2257556、13639821126</w:t>
            </w:r>
          </w:p>
          <w:p w14:paraId="23A197F2">
            <w:pPr>
              <w:spacing w:line="500" w:lineRule="exact"/>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地址：卢氏县翰林路中段</w:t>
            </w:r>
          </w:p>
        </w:tc>
      </w:tr>
      <w:tr w14:paraId="4EDA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2DD6E402">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1.</w:t>
            </w:r>
            <w:r>
              <w:rPr>
                <w:rFonts w:hint="eastAsia" w:asciiTheme="minorEastAsia" w:hAnsiTheme="minorEastAsia" w:cstheme="minorEastAsia"/>
                <w:sz w:val="24"/>
                <w:szCs w:val="24"/>
                <w:lang w:val="en-US" w:eastAsia="zh-CN"/>
              </w:rPr>
              <w:t>3</w:t>
            </w:r>
          </w:p>
        </w:tc>
        <w:tc>
          <w:tcPr>
            <w:tcW w:w="2072" w:type="dxa"/>
            <w:vAlign w:val="center"/>
          </w:tcPr>
          <w:p w14:paraId="0197BA6F">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代理机构</w:t>
            </w:r>
          </w:p>
        </w:tc>
        <w:tc>
          <w:tcPr>
            <w:tcW w:w="6447" w:type="dxa"/>
            <w:vAlign w:val="center"/>
          </w:tcPr>
          <w:p w14:paraId="401DB2AD">
            <w:pPr>
              <w:spacing w:line="500" w:lineRule="exact"/>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招标代理机构：中伟诚工程管理有限公司</w:t>
            </w:r>
          </w:p>
          <w:p w14:paraId="10DC5A82">
            <w:pPr>
              <w:spacing w:line="500" w:lineRule="exact"/>
              <w:rPr>
                <w:rFonts w:hint="default"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联系人：张凯丽</w:t>
            </w:r>
          </w:p>
          <w:p w14:paraId="34FDE878">
            <w:pPr>
              <w:spacing w:line="500" w:lineRule="exact"/>
              <w:rPr>
                <w:rFonts w:hint="eastAsia" w:asciiTheme="minorEastAsia" w:hAnsiTheme="minorEastAsia" w:cstheme="minorEastAsia"/>
                <w:sz w:val="24"/>
                <w:szCs w:val="24"/>
                <w:lang w:val="en-US" w:eastAsia="zh-CN"/>
              </w:rPr>
            </w:pPr>
            <w:r>
              <w:rPr>
                <w:rFonts w:hint="default" w:asciiTheme="minorEastAsia" w:hAnsiTheme="minorEastAsia" w:cstheme="minorEastAsia"/>
                <w:sz w:val="24"/>
                <w:szCs w:val="24"/>
                <w:lang w:val="en-US" w:eastAsia="zh-CN"/>
              </w:rPr>
              <w:t>电话：</w:t>
            </w:r>
            <w:r>
              <w:rPr>
                <w:rFonts w:hint="eastAsia" w:asciiTheme="minorEastAsia" w:hAnsiTheme="minorEastAsia" w:cstheme="minorEastAsia"/>
                <w:sz w:val="24"/>
                <w:szCs w:val="24"/>
                <w:lang w:val="en-US" w:eastAsia="zh-CN"/>
              </w:rPr>
              <w:t>15139802041、</w:t>
            </w:r>
            <w:r>
              <w:rPr>
                <w:rFonts w:hint="default" w:asciiTheme="minorEastAsia" w:hAnsiTheme="minorEastAsia" w:cstheme="minorEastAsia"/>
                <w:sz w:val="24"/>
                <w:szCs w:val="24"/>
                <w:lang w:val="en-US" w:eastAsia="zh-CN"/>
              </w:rPr>
              <w:t>13643982722</w:t>
            </w:r>
          </w:p>
          <w:p w14:paraId="40998CCB">
            <w:pPr>
              <w:spacing w:line="500" w:lineRule="exact"/>
              <w:rPr>
                <w:rFonts w:asciiTheme="minorEastAsia" w:hAnsiTheme="minorEastAsia" w:cstheme="minorEastAsia"/>
                <w:sz w:val="24"/>
                <w:szCs w:val="24"/>
              </w:rPr>
            </w:pPr>
            <w:r>
              <w:rPr>
                <w:rFonts w:hint="default" w:asciiTheme="minorEastAsia" w:hAnsiTheme="minorEastAsia" w:cstheme="minorEastAsia"/>
                <w:sz w:val="24"/>
                <w:szCs w:val="24"/>
                <w:lang w:val="en-US" w:eastAsia="zh-CN"/>
              </w:rPr>
              <w:t>地址：河南自贸试验区郑州片区（郑东）金水东路88-1号1号楼3层307</w:t>
            </w:r>
          </w:p>
        </w:tc>
      </w:tr>
      <w:tr w14:paraId="38569C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74" w:type="dxa"/>
            <w:vAlign w:val="center"/>
          </w:tcPr>
          <w:p w14:paraId="61C137C1">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1.4</w:t>
            </w:r>
          </w:p>
        </w:tc>
        <w:tc>
          <w:tcPr>
            <w:tcW w:w="2072" w:type="dxa"/>
            <w:vAlign w:val="center"/>
          </w:tcPr>
          <w:p w14:paraId="30E4402E">
            <w:pPr>
              <w:spacing w:line="50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项目名称</w:t>
            </w:r>
          </w:p>
        </w:tc>
        <w:tc>
          <w:tcPr>
            <w:tcW w:w="6447" w:type="dxa"/>
            <w:vAlign w:val="center"/>
          </w:tcPr>
          <w:p w14:paraId="6B307A6A">
            <w:pPr>
              <w:keepNext w:val="0"/>
              <w:keepLines w:val="0"/>
              <w:pageBreakBefore w:val="0"/>
              <w:widowControl w:val="0"/>
              <w:kinsoku/>
              <w:overflowPunct/>
              <w:autoSpaceDE/>
              <w:autoSpaceDN/>
              <w:bidi w:val="0"/>
              <w:adjustRightInd/>
              <w:snapToGrid/>
              <w:spacing w:line="480" w:lineRule="exact"/>
              <w:textAlignment w:val="auto"/>
              <w:rPr>
                <w:rFonts w:hint="eastAsia" w:asciiTheme="minorEastAsia" w:hAnsiTheme="minorEastAsia" w:cstheme="minorEastAsia"/>
                <w:sz w:val="24"/>
                <w:szCs w:val="24"/>
              </w:rPr>
            </w:pPr>
            <w:r>
              <w:rPr>
                <w:rFonts w:hint="eastAsia" w:ascii="宋体" w:hAnsi="宋体" w:eastAsia="宋体" w:cs="宋体"/>
                <w:sz w:val="24"/>
                <w:szCs w:val="24"/>
                <w:lang w:eastAsia="zh-CN"/>
              </w:rPr>
              <w:t>卢氏县滨河路及沿线区域排水防涝设施提升改造项目（监理服务项目）</w:t>
            </w:r>
          </w:p>
        </w:tc>
      </w:tr>
      <w:tr w14:paraId="005FF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974" w:type="dxa"/>
            <w:vAlign w:val="center"/>
          </w:tcPr>
          <w:p w14:paraId="5E65196E">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1.</w:t>
            </w:r>
            <w:r>
              <w:rPr>
                <w:rFonts w:hint="eastAsia" w:asciiTheme="minorEastAsia" w:hAnsiTheme="minorEastAsia" w:cstheme="minorEastAsia"/>
                <w:sz w:val="24"/>
                <w:szCs w:val="24"/>
                <w:lang w:val="en-US" w:eastAsia="zh-CN"/>
              </w:rPr>
              <w:t>5</w:t>
            </w:r>
          </w:p>
        </w:tc>
        <w:tc>
          <w:tcPr>
            <w:tcW w:w="2072" w:type="dxa"/>
            <w:vAlign w:val="center"/>
          </w:tcPr>
          <w:p w14:paraId="6AFCA59C">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lang w:eastAsia="zh-CN"/>
              </w:rPr>
              <w:t>项目</w:t>
            </w:r>
            <w:r>
              <w:rPr>
                <w:rFonts w:hint="eastAsia" w:asciiTheme="minorEastAsia" w:hAnsiTheme="minorEastAsia" w:cstheme="minorEastAsia"/>
                <w:sz w:val="24"/>
                <w:szCs w:val="24"/>
              </w:rPr>
              <w:t>编号</w:t>
            </w:r>
          </w:p>
        </w:tc>
        <w:tc>
          <w:tcPr>
            <w:tcW w:w="6447" w:type="dxa"/>
            <w:vAlign w:val="center"/>
          </w:tcPr>
          <w:p w14:paraId="562373D5">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90" w:lineRule="atLeast"/>
              <w:ind w:right="0"/>
              <w:jc w:val="left"/>
              <w:rPr>
                <w:rFonts w:asciiTheme="minorEastAsia" w:hAnsiTheme="minorEastAsia" w:cstheme="minorEastAsia"/>
                <w:sz w:val="24"/>
                <w:szCs w:val="24"/>
              </w:rPr>
            </w:pPr>
            <w:r>
              <w:rPr>
                <w:rFonts w:hint="eastAsia" w:ascii="宋体" w:hAnsi="宋体" w:eastAsia="宋体" w:cs="宋体"/>
                <w:sz w:val="24"/>
                <w:szCs w:val="24"/>
                <w:lang w:val="en-US" w:eastAsia="zh-CN"/>
              </w:rPr>
              <w:t>三卢竞磋采购-2025-49、LSGZ[2025]138-ZC096</w:t>
            </w:r>
          </w:p>
        </w:tc>
      </w:tr>
      <w:tr w14:paraId="71196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vAlign w:val="center"/>
          </w:tcPr>
          <w:p w14:paraId="2410353E">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1.</w:t>
            </w:r>
            <w:r>
              <w:rPr>
                <w:rFonts w:hint="eastAsia" w:asciiTheme="minorEastAsia" w:hAnsiTheme="minorEastAsia" w:cstheme="minorEastAsia"/>
                <w:sz w:val="24"/>
                <w:szCs w:val="24"/>
                <w:lang w:val="en-US" w:eastAsia="zh-CN"/>
              </w:rPr>
              <w:t>6</w:t>
            </w:r>
          </w:p>
        </w:tc>
        <w:tc>
          <w:tcPr>
            <w:tcW w:w="2072" w:type="dxa"/>
            <w:vAlign w:val="center"/>
          </w:tcPr>
          <w:p w14:paraId="74348DAB">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项目概况</w:t>
            </w:r>
          </w:p>
        </w:tc>
        <w:tc>
          <w:tcPr>
            <w:tcW w:w="6447" w:type="dxa"/>
            <w:vAlign w:val="center"/>
          </w:tcPr>
          <w:p w14:paraId="45A73FA9">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asciiTheme="minorEastAsia" w:hAnsiTheme="minorEastAsia" w:cstheme="minorEastAsia"/>
                <w:sz w:val="24"/>
                <w:szCs w:val="24"/>
              </w:rPr>
            </w:pPr>
            <w:r>
              <w:rPr>
                <w:rFonts w:hint="eastAsia" w:ascii="宋体" w:hAnsi="宋体" w:eastAsia="宋体" w:cs="宋体"/>
                <w:sz w:val="24"/>
                <w:szCs w:val="24"/>
              </w:rPr>
              <w:t>本项目为卢氏县滨河路及沿线区域排水防涝设施提升改造项目（监理服务项目），位于卢氏县城区滨河路，工程主要建设内容：滨河路沿线铺设污水管网，西起淇河路，沿现状滨河路北侧敷设，东至新建路，WS-55~WS65-1,污水主管道管径d800；西起虢都路，沿现状滨河路北侧敷设，东至扁鹊路，WS-91~WS112,污水主管道管径d1000；西起虢都路，沿现状滨河路北侧敷设，东至扁鹊路，WS112~WS134,污水主管道管径d1000；西起虢都路，沿现状滨河路北侧敷设，东至扁鹊路，WS134~WS155,污水主管道管径d1000；</w:t>
            </w:r>
          </w:p>
        </w:tc>
      </w:tr>
      <w:tr w14:paraId="01BD2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974" w:type="dxa"/>
            <w:vAlign w:val="center"/>
          </w:tcPr>
          <w:p w14:paraId="52BE264C">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1.</w:t>
            </w:r>
            <w:r>
              <w:rPr>
                <w:rFonts w:hint="eastAsia" w:asciiTheme="minorEastAsia" w:hAnsiTheme="minorEastAsia" w:cstheme="minorEastAsia"/>
                <w:sz w:val="24"/>
                <w:szCs w:val="24"/>
                <w:lang w:val="en-US" w:eastAsia="zh-CN"/>
              </w:rPr>
              <w:t>7</w:t>
            </w:r>
          </w:p>
        </w:tc>
        <w:tc>
          <w:tcPr>
            <w:tcW w:w="2072" w:type="dxa"/>
            <w:vAlign w:val="center"/>
          </w:tcPr>
          <w:p w14:paraId="76561A0B">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资金来源</w:t>
            </w:r>
            <w:r>
              <w:rPr>
                <w:rFonts w:hint="eastAsia"/>
                <w:sz w:val="24"/>
                <w:szCs w:val="24"/>
                <w:lang w:eastAsia="zh-CN"/>
              </w:rPr>
              <w:t>及落实情况</w:t>
            </w:r>
          </w:p>
        </w:tc>
        <w:tc>
          <w:tcPr>
            <w:tcW w:w="6447" w:type="dxa"/>
            <w:vAlign w:val="center"/>
          </w:tcPr>
          <w:p w14:paraId="5E1A99AF">
            <w:pPr>
              <w:spacing w:line="500" w:lineRule="exact"/>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财政资金，已落实</w:t>
            </w:r>
          </w:p>
        </w:tc>
      </w:tr>
      <w:tr w14:paraId="0E91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vAlign w:val="center"/>
          </w:tcPr>
          <w:p w14:paraId="44263318">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1.</w:t>
            </w:r>
            <w:r>
              <w:rPr>
                <w:rFonts w:hint="eastAsia" w:asciiTheme="minorEastAsia" w:hAnsiTheme="minorEastAsia" w:cstheme="minorEastAsia"/>
                <w:sz w:val="24"/>
                <w:szCs w:val="24"/>
                <w:lang w:val="en-US" w:eastAsia="zh-CN"/>
              </w:rPr>
              <w:t>8</w:t>
            </w:r>
          </w:p>
        </w:tc>
        <w:tc>
          <w:tcPr>
            <w:tcW w:w="2072" w:type="dxa"/>
            <w:vAlign w:val="center"/>
          </w:tcPr>
          <w:p w14:paraId="5D5DE219">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预算金额</w:t>
            </w:r>
          </w:p>
        </w:tc>
        <w:tc>
          <w:tcPr>
            <w:tcW w:w="6447" w:type="dxa"/>
            <w:vAlign w:val="center"/>
          </w:tcPr>
          <w:p w14:paraId="24B355C3">
            <w:pPr>
              <w:spacing w:line="360" w:lineRule="auto"/>
              <w:rPr>
                <w:rFonts w:ascii="宋体" w:hAnsi="宋体"/>
                <w:sz w:val="24"/>
              </w:rPr>
            </w:pPr>
            <w:r>
              <w:rPr>
                <w:rFonts w:hint="eastAsia" w:ascii="宋体" w:hAnsi="宋体"/>
                <w:sz w:val="24"/>
              </w:rPr>
              <w:t>￥</w:t>
            </w:r>
            <w:r>
              <w:rPr>
                <w:rFonts w:hint="eastAsia" w:ascii="宋体" w:hAnsi="宋体" w:cs="宋体"/>
                <w:kern w:val="0"/>
                <w:sz w:val="24"/>
                <w:lang w:val="en-US" w:eastAsia="zh-CN"/>
              </w:rPr>
              <w:t>430481.79</w:t>
            </w:r>
            <w:r>
              <w:rPr>
                <w:rFonts w:hint="eastAsia" w:ascii="宋体" w:hAnsi="宋体" w:cs="宋体"/>
                <w:sz w:val="24"/>
              </w:rPr>
              <w:t>元。</w:t>
            </w:r>
          </w:p>
          <w:p w14:paraId="6F6B222A">
            <w:pPr>
              <w:spacing w:line="500" w:lineRule="exact"/>
              <w:rPr>
                <w:rFonts w:asciiTheme="minorEastAsia" w:hAnsiTheme="minorEastAsia" w:cstheme="minorEastAsia"/>
                <w:sz w:val="24"/>
                <w:szCs w:val="24"/>
              </w:rPr>
            </w:pPr>
            <w:r>
              <w:rPr>
                <w:rFonts w:hint="eastAsia" w:ascii="宋体" w:hAnsi="宋体"/>
                <w:kern w:val="0"/>
                <w:sz w:val="24"/>
              </w:rPr>
              <w:t>供应商报价不得超出采购预算，否则予以废标处理。若所有供应商的报价均超过预算价，则采购人有权重新组织采购。</w:t>
            </w:r>
          </w:p>
        </w:tc>
      </w:tr>
      <w:tr w14:paraId="13979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vAlign w:val="center"/>
          </w:tcPr>
          <w:p w14:paraId="06BB0458">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1.</w:t>
            </w:r>
            <w:r>
              <w:rPr>
                <w:rFonts w:hint="eastAsia" w:asciiTheme="minorEastAsia" w:hAnsiTheme="minorEastAsia" w:cstheme="minorEastAsia"/>
                <w:sz w:val="24"/>
                <w:szCs w:val="24"/>
                <w:lang w:val="en-US" w:eastAsia="zh-CN"/>
              </w:rPr>
              <w:t>9</w:t>
            </w:r>
          </w:p>
        </w:tc>
        <w:tc>
          <w:tcPr>
            <w:tcW w:w="2072" w:type="dxa"/>
            <w:vAlign w:val="center"/>
          </w:tcPr>
          <w:p w14:paraId="379A2BBF">
            <w:pPr>
              <w:spacing w:line="5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lang w:eastAsia="zh-CN"/>
              </w:rPr>
              <w:t>服务地点</w:t>
            </w:r>
          </w:p>
        </w:tc>
        <w:tc>
          <w:tcPr>
            <w:tcW w:w="6447" w:type="dxa"/>
          </w:tcPr>
          <w:p w14:paraId="1D8CAAD1">
            <w:pPr>
              <w:spacing w:line="500" w:lineRule="exact"/>
              <w:rPr>
                <w:rFonts w:asciiTheme="minorEastAsia" w:hAnsiTheme="minorEastAsia" w:cstheme="minorEastAsia"/>
                <w:sz w:val="24"/>
                <w:szCs w:val="24"/>
              </w:rPr>
            </w:pPr>
            <w:r>
              <w:rPr>
                <w:rFonts w:hint="eastAsia" w:ascii="宋体" w:hAnsi="宋体" w:eastAsia="宋体" w:cs="宋体"/>
                <w:sz w:val="24"/>
                <w:szCs w:val="24"/>
              </w:rPr>
              <w:t>卢氏县城区滨河路</w:t>
            </w:r>
          </w:p>
        </w:tc>
      </w:tr>
      <w:tr w14:paraId="3687F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8" w:hRule="atLeast"/>
          <w:jc w:val="center"/>
        </w:trPr>
        <w:tc>
          <w:tcPr>
            <w:tcW w:w="974" w:type="dxa"/>
            <w:vAlign w:val="center"/>
          </w:tcPr>
          <w:p w14:paraId="02265AA9">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2.0</w:t>
            </w:r>
          </w:p>
        </w:tc>
        <w:tc>
          <w:tcPr>
            <w:tcW w:w="2072" w:type="dxa"/>
            <w:vAlign w:val="center"/>
          </w:tcPr>
          <w:p w14:paraId="52AC2A71">
            <w:pPr>
              <w:spacing w:line="500" w:lineRule="exact"/>
              <w:jc w:val="center"/>
              <w:rPr>
                <w:rFonts w:asciiTheme="minorEastAsia" w:hAnsiTheme="minorEastAsia" w:cstheme="minorEastAsia"/>
                <w:sz w:val="24"/>
                <w:szCs w:val="24"/>
              </w:rPr>
            </w:pPr>
            <w:r>
              <w:rPr>
                <w:rFonts w:hint="eastAsia" w:asciiTheme="minorEastAsia" w:hAnsiTheme="minorEastAsia" w:cstheme="minorEastAsia"/>
                <w:bCs/>
                <w:sz w:val="24"/>
                <w:szCs w:val="24"/>
              </w:rPr>
              <w:t>磋商范围</w:t>
            </w:r>
          </w:p>
        </w:tc>
        <w:tc>
          <w:tcPr>
            <w:tcW w:w="6447" w:type="dxa"/>
          </w:tcPr>
          <w:p w14:paraId="3127B094">
            <w:pPr>
              <w:spacing w:line="500" w:lineRule="exact"/>
              <w:rPr>
                <w:rFonts w:asciiTheme="minorEastAsia" w:hAnsiTheme="minorEastAsia" w:cstheme="minorEastAsia"/>
                <w:sz w:val="24"/>
                <w:szCs w:val="24"/>
              </w:rPr>
            </w:pPr>
            <w:r>
              <w:rPr>
                <w:rFonts w:hint="eastAsia" w:ascii="宋体" w:hAnsi="宋体" w:eastAsia="宋体" w:cs="宋体"/>
                <w:color w:val="auto"/>
                <w:kern w:val="0"/>
                <w:sz w:val="24"/>
                <w:szCs w:val="24"/>
                <w:lang w:val="en-US" w:eastAsia="zh-CN"/>
              </w:rPr>
              <w:t>建设项目施工标施工期及缺陷责任期阶段全过程监理及服务</w:t>
            </w:r>
            <w:r>
              <w:rPr>
                <w:rFonts w:hint="eastAsia"/>
                <w:color w:val="auto"/>
                <w:kern w:val="2"/>
                <w:sz w:val="24"/>
                <w:szCs w:val="24"/>
                <w:lang w:eastAsia="zh-CN"/>
              </w:rPr>
              <w:t>；</w:t>
            </w:r>
          </w:p>
        </w:tc>
      </w:tr>
      <w:tr w14:paraId="5D546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vAlign w:val="center"/>
          </w:tcPr>
          <w:p w14:paraId="4276F0C5">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1</w:t>
            </w:r>
          </w:p>
        </w:tc>
        <w:tc>
          <w:tcPr>
            <w:tcW w:w="2072" w:type="dxa"/>
            <w:vAlign w:val="center"/>
          </w:tcPr>
          <w:p w14:paraId="689A5DA2">
            <w:pPr>
              <w:spacing w:line="50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rPr>
              <w:t>监理周期</w:t>
            </w:r>
          </w:p>
        </w:tc>
        <w:tc>
          <w:tcPr>
            <w:tcW w:w="6447" w:type="dxa"/>
          </w:tcPr>
          <w:p w14:paraId="5D9351F9">
            <w:pPr>
              <w:spacing w:line="500" w:lineRule="exact"/>
              <w:rPr>
                <w:rFonts w:hint="eastAsia" w:asciiTheme="minorEastAsia" w:hAnsiTheme="minorEastAsia" w:cstheme="minorEastAsia"/>
                <w:sz w:val="24"/>
                <w:szCs w:val="24"/>
              </w:rPr>
            </w:pPr>
            <w:r>
              <w:rPr>
                <w:rFonts w:hint="eastAsia" w:ascii="宋体" w:hAnsi="宋体" w:eastAsia="宋体" w:cs="宋体"/>
                <w:sz w:val="24"/>
                <w:szCs w:val="24"/>
              </w:rPr>
              <w:t>同施工工期及缺陷责任期</w:t>
            </w:r>
            <w:r>
              <w:rPr>
                <w:rFonts w:hint="eastAsia"/>
                <w:color w:val="auto"/>
                <w:kern w:val="2"/>
                <w:sz w:val="24"/>
                <w:szCs w:val="24"/>
                <w:lang w:eastAsia="zh-CN"/>
              </w:rPr>
              <w:t>；</w:t>
            </w:r>
          </w:p>
        </w:tc>
      </w:tr>
      <w:tr w14:paraId="357D9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974" w:type="dxa"/>
            <w:vAlign w:val="center"/>
          </w:tcPr>
          <w:p w14:paraId="136C0001">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2</w:t>
            </w:r>
          </w:p>
        </w:tc>
        <w:tc>
          <w:tcPr>
            <w:tcW w:w="2072" w:type="dxa"/>
            <w:vAlign w:val="center"/>
          </w:tcPr>
          <w:p w14:paraId="672C75B5">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质量标准</w:t>
            </w:r>
          </w:p>
        </w:tc>
        <w:tc>
          <w:tcPr>
            <w:tcW w:w="6447" w:type="dxa"/>
            <w:vAlign w:val="bottom"/>
          </w:tcPr>
          <w:p w14:paraId="69AAF3E5">
            <w:pPr>
              <w:spacing w:line="500" w:lineRule="exact"/>
              <w:rPr>
                <w:rFonts w:asciiTheme="minorEastAsia" w:hAnsiTheme="minorEastAsia" w:cstheme="minorEastAsia"/>
                <w:sz w:val="24"/>
                <w:szCs w:val="24"/>
              </w:rPr>
            </w:pPr>
            <w:r>
              <w:rPr>
                <w:rFonts w:hint="eastAsia"/>
                <w:color w:val="auto"/>
                <w:kern w:val="2"/>
                <w:sz w:val="24"/>
                <w:szCs w:val="24"/>
                <w:lang w:eastAsia="zh-CN"/>
              </w:rPr>
              <w:t>符合相关国家、行业及地方现行相关法律法规、规范及技术标准；</w:t>
            </w:r>
          </w:p>
        </w:tc>
      </w:tr>
      <w:tr w14:paraId="7A86E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611E5B89">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3</w:t>
            </w:r>
          </w:p>
        </w:tc>
        <w:tc>
          <w:tcPr>
            <w:tcW w:w="2072" w:type="dxa"/>
            <w:vAlign w:val="center"/>
          </w:tcPr>
          <w:p w14:paraId="27F7FBC9">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供应商资质条件</w:t>
            </w:r>
          </w:p>
        </w:tc>
        <w:tc>
          <w:tcPr>
            <w:tcW w:w="6447" w:type="dxa"/>
          </w:tcPr>
          <w:p w14:paraId="122BB095">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、满足《中华人民共和国政府采购法》第二十二条规定；</w:t>
            </w:r>
          </w:p>
          <w:p w14:paraId="0C113576">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2、在中国境内注册具有独立法人资格，持有国家工商行政管理部门核发的真实有效的企业法人营业执照；</w:t>
            </w:r>
          </w:p>
          <w:p w14:paraId="060BCD9E">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3、投标人须具备市政公用工程监理乙级及以上资质或工程监理综合资质，并在人员、设备、资金等方面具备相应的能力；</w:t>
            </w:r>
          </w:p>
          <w:p w14:paraId="10A9EFCA">
            <w:pPr>
              <w:keepNext w:val="0"/>
              <w:keepLines w:val="0"/>
              <w:pageBreakBefore w:val="0"/>
              <w:widowControl w:val="0"/>
              <w:kinsoku/>
              <w:overflowPunct/>
              <w:autoSpaceDE/>
              <w:autoSpaceDN/>
              <w:bidi w:val="0"/>
              <w:adjustRightInd/>
              <w:snapToGrid/>
              <w:spacing w:line="48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4、拟派项目总监须具有市政公用工程专业国家注册监理工程师资格证书；在本单位签订劳动合同（提供劳动合同），已参加社会保险（提供近半年连续三个月社保证明）；</w:t>
            </w:r>
          </w:p>
          <w:p w14:paraId="60BBADCC">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5、拟派项目总监代表、现场监理人员须提供与本单位签订的劳动合同（提供劳动合同），已参加社会保险（提供近半年连续三个月社保证明）；</w:t>
            </w:r>
          </w:p>
          <w:p w14:paraId="5A3081AA">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6、具有良好的财务状况且没有处于被责令停业：投标人须提供近三年任意一年的经第三方审计机构出具的审计报告,投标人成立不满一年的提供最近一月的财务报表；</w:t>
            </w:r>
          </w:p>
          <w:p w14:paraId="5180AAFA">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7、投标人出具无行贿犯罪记录在中国裁判文书网自行查询或自行承诺（查询/承诺对象为企业、法定代表人、项目总监）（查询日期必须在公告发布之后开标时间以前）；</w:t>
            </w:r>
          </w:p>
          <w:p w14:paraId="40A1C4B6">
            <w:pPr>
              <w:widowControl/>
              <w:spacing w:line="360" w:lineRule="auto"/>
              <w:ind w:firstLine="480" w:firstLineChars="200"/>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8、投标人自行出具本企业无商业贿赂和不正当竞争行为承诺书，格式自拟；</w:t>
            </w:r>
          </w:p>
          <w:p w14:paraId="2F6A8D6A">
            <w:pPr>
              <w:widowControl/>
              <w:spacing w:line="360" w:lineRule="auto"/>
              <w:ind w:firstLine="480" w:firstLineChars="200"/>
              <w:rPr>
                <w:rFonts w:hint="eastAsia" w:ascii="宋体" w:hAnsi="宋体" w:cs="宋体"/>
                <w:sz w:val="28"/>
                <w:szCs w:val="28"/>
              </w:rPr>
            </w:pPr>
            <w:r>
              <w:rPr>
                <w:rFonts w:hint="eastAsia" w:ascii="宋体" w:hAnsi="宋体" w:eastAsia="宋体" w:cs="宋体"/>
                <w:kern w:val="0"/>
                <w:sz w:val="24"/>
                <w:szCs w:val="24"/>
                <w:lang w:val="en-US" w:eastAsia="zh-CN"/>
              </w:rPr>
              <w:t>9、根据《关于在政府采购活动中查询及使用信用记录有关问题的通知》(财库[2016]125号)和豫财购【2016】15号的规定，企业没有被列入“信用中国”网站的“失信被执行人”、“重大税收违法失信主体”及“中国政府采购网”网站的“政府采购严重违法失信行为记录名单”的响应人；（查询渠道：“信用中国”网站（www.creditchina.gov.cn）、中国政府采购网（www.ccgp.gov.cn）；提供网站的查询信息截图；(注：査询时间必须是公告发布以后开标时间以前并提供网站查询网页截图，查询结果清晰可见)；</w:t>
            </w:r>
          </w:p>
        </w:tc>
      </w:tr>
      <w:tr w14:paraId="5EFF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18B033F8">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4</w:t>
            </w:r>
          </w:p>
        </w:tc>
        <w:tc>
          <w:tcPr>
            <w:tcW w:w="2072" w:type="dxa"/>
            <w:vAlign w:val="center"/>
          </w:tcPr>
          <w:p w14:paraId="6E9DF4B6">
            <w:pPr>
              <w:spacing w:line="500" w:lineRule="exact"/>
              <w:jc w:val="both"/>
              <w:rPr>
                <w:rFonts w:asciiTheme="minorEastAsia" w:hAnsiTheme="minorEastAsia" w:cstheme="minorEastAsia"/>
                <w:sz w:val="24"/>
                <w:szCs w:val="24"/>
              </w:rPr>
            </w:pPr>
            <w:r>
              <w:rPr>
                <w:rFonts w:hint="eastAsia" w:asciiTheme="minorEastAsia" w:hAnsiTheme="minorEastAsia" w:cstheme="minorEastAsia"/>
                <w:sz w:val="24"/>
                <w:szCs w:val="24"/>
              </w:rPr>
              <w:t>是否接受联合体参加磋商</w:t>
            </w:r>
          </w:p>
        </w:tc>
        <w:tc>
          <w:tcPr>
            <w:tcW w:w="6447" w:type="dxa"/>
            <w:vAlign w:val="center"/>
          </w:tcPr>
          <w:p w14:paraId="00245C7A">
            <w:pPr>
              <w:spacing w:line="500" w:lineRule="exact"/>
              <w:jc w:val="left"/>
              <w:rPr>
                <w:rFonts w:asciiTheme="minorEastAsia" w:hAnsiTheme="minorEastAsia" w:cstheme="minorEastAsia"/>
                <w:sz w:val="24"/>
                <w:szCs w:val="24"/>
              </w:rPr>
            </w:pPr>
            <w:r>
              <w:rPr>
                <w:rFonts w:hint="eastAsia" w:asciiTheme="minorEastAsia" w:hAnsiTheme="minorEastAsia" w:cstheme="minorEastAsia"/>
                <w:sz w:val="24"/>
                <w:szCs w:val="24"/>
              </w:rPr>
              <w:t>不接受</w:t>
            </w:r>
          </w:p>
        </w:tc>
      </w:tr>
      <w:tr w14:paraId="1B5E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74" w:type="dxa"/>
            <w:vAlign w:val="center"/>
          </w:tcPr>
          <w:p w14:paraId="0F019FBD">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5</w:t>
            </w:r>
          </w:p>
        </w:tc>
        <w:tc>
          <w:tcPr>
            <w:tcW w:w="2072" w:type="dxa"/>
            <w:vAlign w:val="center"/>
          </w:tcPr>
          <w:p w14:paraId="0E37B858">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现场考察</w:t>
            </w:r>
          </w:p>
        </w:tc>
        <w:tc>
          <w:tcPr>
            <w:tcW w:w="6447" w:type="dxa"/>
            <w:vAlign w:val="center"/>
          </w:tcPr>
          <w:p w14:paraId="1968E7B2">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不组织</w:t>
            </w:r>
          </w:p>
        </w:tc>
      </w:tr>
      <w:tr w14:paraId="20892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974" w:type="dxa"/>
            <w:vAlign w:val="center"/>
          </w:tcPr>
          <w:p w14:paraId="36E31D37">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6</w:t>
            </w:r>
          </w:p>
        </w:tc>
        <w:tc>
          <w:tcPr>
            <w:tcW w:w="2072" w:type="dxa"/>
            <w:vAlign w:val="center"/>
          </w:tcPr>
          <w:p w14:paraId="22063DDD">
            <w:pPr>
              <w:spacing w:line="500" w:lineRule="exact"/>
              <w:ind w:left="38" w:leftChars="18"/>
              <w:jc w:val="center"/>
              <w:rPr>
                <w:rFonts w:asciiTheme="minorEastAsia" w:hAnsiTheme="minorEastAsia" w:cstheme="minorEastAsia"/>
                <w:sz w:val="24"/>
                <w:szCs w:val="24"/>
              </w:rPr>
            </w:pPr>
            <w:r>
              <w:rPr>
                <w:rFonts w:hint="eastAsia" w:asciiTheme="minorEastAsia" w:hAnsiTheme="minorEastAsia" w:cstheme="minorEastAsia"/>
                <w:sz w:val="24"/>
                <w:szCs w:val="24"/>
              </w:rPr>
              <w:t>答 疑 会</w:t>
            </w:r>
          </w:p>
        </w:tc>
        <w:tc>
          <w:tcPr>
            <w:tcW w:w="6447" w:type="dxa"/>
            <w:vAlign w:val="center"/>
          </w:tcPr>
          <w:p w14:paraId="69F58F7B">
            <w:pPr>
              <w:tabs>
                <w:tab w:val="left" w:pos="720"/>
                <w:tab w:val="left" w:pos="1904"/>
              </w:tabs>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不召开</w:t>
            </w:r>
          </w:p>
        </w:tc>
      </w:tr>
      <w:tr w14:paraId="04CC5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74" w:type="dxa"/>
            <w:vAlign w:val="center"/>
          </w:tcPr>
          <w:p w14:paraId="680BEE0B">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7</w:t>
            </w:r>
          </w:p>
        </w:tc>
        <w:tc>
          <w:tcPr>
            <w:tcW w:w="2072" w:type="dxa"/>
            <w:vAlign w:val="center"/>
          </w:tcPr>
          <w:p w14:paraId="4A7D1425">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分包</w:t>
            </w:r>
          </w:p>
        </w:tc>
        <w:tc>
          <w:tcPr>
            <w:tcW w:w="6447" w:type="dxa"/>
            <w:vAlign w:val="center"/>
          </w:tcPr>
          <w:p w14:paraId="466F01DE">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不允许</w:t>
            </w:r>
          </w:p>
        </w:tc>
      </w:tr>
      <w:tr w14:paraId="49210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Align w:val="center"/>
          </w:tcPr>
          <w:p w14:paraId="6C81AE60">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8</w:t>
            </w:r>
          </w:p>
        </w:tc>
        <w:tc>
          <w:tcPr>
            <w:tcW w:w="2072" w:type="dxa"/>
            <w:vAlign w:val="center"/>
          </w:tcPr>
          <w:p w14:paraId="7F427AE8">
            <w:pPr>
              <w:spacing w:line="500" w:lineRule="exact"/>
              <w:jc w:val="center"/>
              <w:rPr>
                <w:rFonts w:asciiTheme="minorEastAsia" w:hAnsiTheme="minorEastAsia" w:cstheme="minorEastAsia"/>
                <w:sz w:val="24"/>
                <w:szCs w:val="24"/>
              </w:rPr>
            </w:pPr>
            <w:r>
              <w:rPr>
                <w:rFonts w:hint="eastAsia" w:asciiTheme="minorEastAsia" w:hAnsiTheme="minorEastAsia" w:cstheme="minorEastAsia"/>
                <w:kern w:val="0"/>
                <w:sz w:val="24"/>
                <w:szCs w:val="24"/>
              </w:rPr>
              <w:t>实质性偏差</w:t>
            </w:r>
          </w:p>
        </w:tc>
        <w:tc>
          <w:tcPr>
            <w:tcW w:w="6447" w:type="dxa"/>
            <w:vAlign w:val="center"/>
          </w:tcPr>
          <w:p w14:paraId="2717A318">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不允许</w:t>
            </w:r>
          </w:p>
        </w:tc>
      </w:tr>
      <w:tr w14:paraId="153D5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Align w:val="center"/>
          </w:tcPr>
          <w:p w14:paraId="09222EB1">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2.</w:t>
            </w:r>
            <w:r>
              <w:rPr>
                <w:rFonts w:hint="eastAsia" w:asciiTheme="minorEastAsia" w:hAnsiTheme="minorEastAsia" w:cstheme="minorEastAsia"/>
                <w:sz w:val="24"/>
                <w:szCs w:val="24"/>
                <w:lang w:val="en-US" w:eastAsia="zh-CN"/>
              </w:rPr>
              <w:t>9</w:t>
            </w:r>
          </w:p>
        </w:tc>
        <w:tc>
          <w:tcPr>
            <w:tcW w:w="2072" w:type="dxa"/>
            <w:vAlign w:val="center"/>
          </w:tcPr>
          <w:p w14:paraId="51B25AB2">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是否接受选择性报价方案</w:t>
            </w:r>
          </w:p>
        </w:tc>
        <w:tc>
          <w:tcPr>
            <w:tcW w:w="6447" w:type="dxa"/>
            <w:vAlign w:val="center"/>
          </w:tcPr>
          <w:p w14:paraId="7C7BF4F9">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不接受：首次响应文件只允许一个报价方案</w:t>
            </w:r>
          </w:p>
        </w:tc>
      </w:tr>
      <w:tr w14:paraId="092D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Align w:val="center"/>
          </w:tcPr>
          <w:p w14:paraId="24DDE3B1">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0</w:t>
            </w:r>
          </w:p>
        </w:tc>
        <w:tc>
          <w:tcPr>
            <w:tcW w:w="2072" w:type="dxa"/>
            <w:vAlign w:val="center"/>
          </w:tcPr>
          <w:p w14:paraId="3F9A11F8">
            <w:pPr>
              <w:pStyle w:val="44"/>
              <w:spacing w:line="360" w:lineRule="exact"/>
              <w:ind w:firstLine="240" w:firstLineChars="100"/>
              <w:jc w:val="both"/>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en-US" w:bidi="ar-SA"/>
              </w:rPr>
              <w:t>报价</w:t>
            </w:r>
          </w:p>
        </w:tc>
        <w:tc>
          <w:tcPr>
            <w:tcW w:w="6447" w:type="dxa"/>
            <w:vAlign w:val="center"/>
          </w:tcPr>
          <w:p w14:paraId="49954E28">
            <w:pPr>
              <w:pStyle w:val="44"/>
              <w:spacing w:line="360" w:lineRule="exact"/>
              <w:jc w:val="both"/>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kern w:val="0"/>
                <w:sz w:val="24"/>
                <w:szCs w:val="24"/>
                <w:lang w:val="en-US" w:eastAsia="en-US" w:bidi="ar-SA"/>
              </w:rPr>
              <w:t>本次竞争性磋商采取两轮报价：第一轮报价直接填报于磋商响应文件中，开标后远程进行唱标，初步审查通过后进行第二轮报价，第二轮报价远程填报。供应商所报总价为履行本项目</w:t>
            </w:r>
            <w:r>
              <w:rPr>
                <w:rFonts w:hint="eastAsia" w:ascii="宋体" w:hAnsi="宋体" w:eastAsia="宋体" w:cs="宋体"/>
                <w:kern w:val="0"/>
                <w:sz w:val="24"/>
                <w:szCs w:val="24"/>
                <w:lang w:val="en-US" w:eastAsia="zh-CN" w:bidi="ar-SA"/>
              </w:rPr>
              <w:t>采购</w:t>
            </w:r>
            <w:r>
              <w:rPr>
                <w:rFonts w:hint="eastAsia" w:ascii="宋体" w:hAnsi="宋体" w:eastAsia="宋体" w:cs="宋体"/>
                <w:kern w:val="0"/>
                <w:sz w:val="24"/>
                <w:szCs w:val="24"/>
                <w:lang w:val="en-US" w:eastAsia="en-US" w:bidi="ar-SA"/>
              </w:rPr>
              <w:t>内容等所有费用。</w:t>
            </w:r>
          </w:p>
        </w:tc>
      </w:tr>
      <w:tr w14:paraId="4CA55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Align w:val="center"/>
          </w:tcPr>
          <w:p w14:paraId="6A35D377">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1</w:t>
            </w:r>
          </w:p>
        </w:tc>
        <w:tc>
          <w:tcPr>
            <w:tcW w:w="2072" w:type="dxa"/>
            <w:vAlign w:val="center"/>
          </w:tcPr>
          <w:p w14:paraId="04220A5E">
            <w:pPr>
              <w:pStyle w:val="44"/>
              <w:spacing w:line="36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构成竞争性磋商文件的其他材料</w:t>
            </w:r>
          </w:p>
        </w:tc>
        <w:tc>
          <w:tcPr>
            <w:tcW w:w="6447" w:type="dxa"/>
            <w:vAlign w:val="center"/>
          </w:tcPr>
          <w:p w14:paraId="01CA48DC">
            <w:pPr>
              <w:pStyle w:val="44"/>
              <w:spacing w:line="360" w:lineRule="exact"/>
              <w:ind w:firstLine="240" w:firstLineChars="1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en-US" w:bidi="ar-SA"/>
              </w:rPr>
              <w:t>采购人在招标期间发出的有编号的补遗书和其它有效正式函件等均是竞争性磋商文件的组成部分。</w:t>
            </w:r>
          </w:p>
        </w:tc>
      </w:tr>
      <w:tr w14:paraId="0043B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jc w:val="center"/>
        </w:trPr>
        <w:tc>
          <w:tcPr>
            <w:tcW w:w="974" w:type="dxa"/>
            <w:vMerge w:val="restart"/>
            <w:vAlign w:val="center"/>
          </w:tcPr>
          <w:p w14:paraId="28A29029">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2</w:t>
            </w:r>
          </w:p>
        </w:tc>
        <w:tc>
          <w:tcPr>
            <w:tcW w:w="2072" w:type="dxa"/>
            <w:vMerge w:val="restart"/>
            <w:vAlign w:val="center"/>
          </w:tcPr>
          <w:p w14:paraId="4BB3A6FF">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供应商要求澄清竞争性磋商文件</w:t>
            </w:r>
          </w:p>
        </w:tc>
        <w:tc>
          <w:tcPr>
            <w:tcW w:w="6447" w:type="dxa"/>
            <w:vAlign w:val="center"/>
          </w:tcPr>
          <w:p w14:paraId="2D1F9158">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时间：提交首次响应文件截止时间前</w:t>
            </w:r>
            <w:r>
              <w:rPr>
                <w:rFonts w:hint="eastAsia" w:asciiTheme="minorEastAsia" w:hAnsiTheme="minorEastAsia" w:cstheme="minorEastAsia"/>
                <w:sz w:val="24"/>
                <w:szCs w:val="24"/>
                <w:u w:val="single"/>
              </w:rPr>
              <w:t>5</w:t>
            </w:r>
            <w:r>
              <w:rPr>
                <w:rFonts w:hint="eastAsia" w:asciiTheme="minorEastAsia" w:hAnsiTheme="minorEastAsia" w:cstheme="minorEastAsia"/>
                <w:sz w:val="24"/>
                <w:szCs w:val="24"/>
              </w:rPr>
              <w:t>日</w:t>
            </w:r>
          </w:p>
        </w:tc>
      </w:tr>
      <w:tr w14:paraId="4770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974" w:type="dxa"/>
            <w:vMerge w:val="continue"/>
            <w:vAlign w:val="center"/>
          </w:tcPr>
          <w:p w14:paraId="0B17C037">
            <w:pPr>
              <w:spacing w:line="500" w:lineRule="exact"/>
              <w:jc w:val="center"/>
              <w:rPr>
                <w:rFonts w:asciiTheme="minorEastAsia" w:hAnsiTheme="minorEastAsia" w:cstheme="minorEastAsia"/>
                <w:sz w:val="24"/>
                <w:szCs w:val="24"/>
              </w:rPr>
            </w:pPr>
          </w:p>
        </w:tc>
        <w:tc>
          <w:tcPr>
            <w:tcW w:w="2072" w:type="dxa"/>
            <w:vMerge w:val="continue"/>
            <w:vAlign w:val="center"/>
          </w:tcPr>
          <w:p w14:paraId="76DDD86D">
            <w:pPr>
              <w:spacing w:line="500" w:lineRule="exact"/>
              <w:jc w:val="center"/>
              <w:rPr>
                <w:rFonts w:asciiTheme="minorEastAsia" w:hAnsiTheme="minorEastAsia" w:cstheme="minorEastAsia"/>
                <w:sz w:val="24"/>
                <w:szCs w:val="24"/>
              </w:rPr>
            </w:pPr>
          </w:p>
        </w:tc>
        <w:tc>
          <w:tcPr>
            <w:tcW w:w="6447" w:type="dxa"/>
            <w:vAlign w:val="center"/>
          </w:tcPr>
          <w:p w14:paraId="2792778B">
            <w:pPr>
              <w:spacing w:line="500" w:lineRule="exact"/>
              <w:ind w:left="2280" w:hanging="2280" w:hangingChars="950"/>
              <w:jc w:val="left"/>
              <w:rPr>
                <w:rFonts w:asciiTheme="minorEastAsia" w:hAnsiTheme="minorEastAsia" w:cstheme="minorEastAsia"/>
                <w:sz w:val="24"/>
                <w:szCs w:val="24"/>
              </w:rPr>
            </w:pPr>
            <w:r>
              <w:rPr>
                <w:rFonts w:hint="eastAsia" w:asciiTheme="minorEastAsia" w:hAnsiTheme="minorEastAsia" w:cstheme="minorEastAsia"/>
                <w:sz w:val="24"/>
                <w:szCs w:val="24"/>
              </w:rPr>
              <w:t>形式：在三门峡市公共资源电子招标投标交易平台提出</w:t>
            </w:r>
          </w:p>
        </w:tc>
      </w:tr>
      <w:tr w14:paraId="0D4FF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restart"/>
            <w:vAlign w:val="center"/>
          </w:tcPr>
          <w:p w14:paraId="291BD7BD">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3</w:t>
            </w:r>
          </w:p>
        </w:tc>
        <w:tc>
          <w:tcPr>
            <w:tcW w:w="2072" w:type="dxa"/>
            <w:vMerge w:val="restart"/>
            <w:vAlign w:val="center"/>
          </w:tcPr>
          <w:p w14:paraId="1F10CE01">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供应商确认收到竞争性磋商文件澄清</w:t>
            </w:r>
          </w:p>
        </w:tc>
        <w:tc>
          <w:tcPr>
            <w:tcW w:w="6447" w:type="dxa"/>
            <w:vAlign w:val="center"/>
          </w:tcPr>
          <w:p w14:paraId="4854E671">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时间：在收到相应澄清文件后24小时内</w:t>
            </w:r>
          </w:p>
        </w:tc>
      </w:tr>
      <w:tr w14:paraId="3ECF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continue"/>
            <w:vAlign w:val="center"/>
          </w:tcPr>
          <w:p w14:paraId="47B7D77A">
            <w:pPr>
              <w:spacing w:line="500" w:lineRule="exact"/>
              <w:jc w:val="center"/>
              <w:rPr>
                <w:rFonts w:asciiTheme="minorEastAsia" w:hAnsiTheme="minorEastAsia" w:cstheme="minorEastAsia"/>
                <w:sz w:val="24"/>
                <w:szCs w:val="24"/>
              </w:rPr>
            </w:pPr>
          </w:p>
        </w:tc>
        <w:tc>
          <w:tcPr>
            <w:tcW w:w="2072" w:type="dxa"/>
            <w:vMerge w:val="continue"/>
            <w:vAlign w:val="center"/>
          </w:tcPr>
          <w:p w14:paraId="517C0F21">
            <w:pPr>
              <w:spacing w:line="500" w:lineRule="exact"/>
              <w:jc w:val="center"/>
              <w:rPr>
                <w:rFonts w:asciiTheme="minorEastAsia" w:hAnsiTheme="minorEastAsia" w:cstheme="minorEastAsia"/>
                <w:sz w:val="24"/>
                <w:szCs w:val="24"/>
              </w:rPr>
            </w:pPr>
          </w:p>
        </w:tc>
        <w:tc>
          <w:tcPr>
            <w:tcW w:w="6447" w:type="dxa"/>
            <w:vAlign w:val="center"/>
          </w:tcPr>
          <w:p w14:paraId="1956B4CC">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形式：</w:t>
            </w:r>
            <w:r>
              <w:rPr>
                <w:rFonts w:hint="eastAsia" w:asciiTheme="minorEastAsia" w:hAnsiTheme="minorEastAsia" w:cstheme="minorEastAsia"/>
                <w:kern w:val="0"/>
                <w:sz w:val="24"/>
                <w:szCs w:val="24"/>
              </w:rPr>
              <w:t>在</w:t>
            </w:r>
            <w:r>
              <w:rPr>
                <w:rFonts w:hint="eastAsia" w:asciiTheme="minorEastAsia" w:hAnsiTheme="minorEastAsia" w:cstheme="minorEastAsia"/>
                <w:sz w:val="24"/>
                <w:szCs w:val="24"/>
              </w:rPr>
              <w:t>三门峡市公共资源电子招标投标交易平台</w:t>
            </w:r>
            <w:r>
              <w:rPr>
                <w:rFonts w:hint="eastAsia" w:asciiTheme="minorEastAsia" w:hAnsiTheme="minorEastAsia" w:cstheme="minorEastAsia"/>
                <w:kern w:val="0"/>
                <w:sz w:val="24"/>
                <w:szCs w:val="24"/>
              </w:rPr>
              <w:t>进行回复确认</w:t>
            </w:r>
          </w:p>
        </w:tc>
      </w:tr>
      <w:tr w14:paraId="3B5A9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restart"/>
            <w:vAlign w:val="center"/>
          </w:tcPr>
          <w:p w14:paraId="4E07BD33">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4</w:t>
            </w:r>
          </w:p>
        </w:tc>
        <w:tc>
          <w:tcPr>
            <w:tcW w:w="2072" w:type="dxa"/>
            <w:vMerge w:val="restart"/>
            <w:vAlign w:val="center"/>
          </w:tcPr>
          <w:p w14:paraId="41C629F4">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供应商确认收到竞争性磋商文件修改</w:t>
            </w:r>
          </w:p>
        </w:tc>
        <w:tc>
          <w:tcPr>
            <w:tcW w:w="6447" w:type="dxa"/>
            <w:vAlign w:val="center"/>
          </w:tcPr>
          <w:p w14:paraId="4CA218A7">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时间：在收到相应修改文件后 24 小时内</w:t>
            </w:r>
          </w:p>
        </w:tc>
      </w:tr>
      <w:tr w14:paraId="7179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974" w:type="dxa"/>
            <w:vMerge w:val="continue"/>
            <w:vAlign w:val="center"/>
          </w:tcPr>
          <w:p w14:paraId="46AF3500">
            <w:pPr>
              <w:spacing w:line="500" w:lineRule="exact"/>
              <w:jc w:val="center"/>
              <w:rPr>
                <w:rFonts w:asciiTheme="minorEastAsia" w:hAnsiTheme="minorEastAsia" w:cstheme="minorEastAsia"/>
                <w:sz w:val="24"/>
                <w:szCs w:val="24"/>
              </w:rPr>
            </w:pPr>
          </w:p>
        </w:tc>
        <w:tc>
          <w:tcPr>
            <w:tcW w:w="2072" w:type="dxa"/>
            <w:vMerge w:val="continue"/>
            <w:vAlign w:val="center"/>
          </w:tcPr>
          <w:p w14:paraId="5D985948">
            <w:pPr>
              <w:spacing w:line="500" w:lineRule="exact"/>
              <w:jc w:val="center"/>
              <w:rPr>
                <w:rFonts w:asciiTheme="minorEastAsia" w:hAnsiTheme="minorEastAsia" w:cstheme="minorEastAsia"/>
                <w:sz w:val="24"/>
                <w:szCs w:val="24"/>
              </w:rPr>
            </w:pPr>
          </w:p>
        </w:tc>
        <w:tc>
          <w:tcPr>
            <w:tcW w:w="6447" w:type="dxa"/>
            <w:vAlign w:val="center"/>
          </w:tcPr>
          <w:p w14:paraId="491165C1">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形式：</w:t>
            </w:r>
            <w:r>
              <w:rPr>
                <w:rFonts w:hint="eastAsia" w:asciiTheme="minorEastAsia" w:hAnsiTheme="minorEastAsia" w:cstheme="minorEastAsia"/>
                <w:kern w:val="0"/>
                <w:sz w:val="24"/>
                <w:szCs w:val="24"/>
              </w:rPr>
              <w:t>在</w:t>
            </w:r>
            <w:r>
              <w:rPr>
                <w:rFonts w:hint="eastAsia" w:asciiTheme="minorEastAsia" w:hAnsiTheme="minorEastAsia" w:cstheme="minorEastAsia"/>
                <w:sz w:val="24"/>
                <w:szCs w:val="24"/>
              </w:rPr>
              <w:t>三门峡市公共资源电子招标投标交易平台</w:t>
            </w:r>
            <w:r>
              <w:rPr>
                <w:rFonts w:hint="eastAsia" w:asciiTheme="minorEastAsia" w:hAnsiTheme="minorEastAsia" w:cstheme="minorEastAsia"/>
                <w:kern w:val="0"/>
                <w:sz w:val="24"/>
                <w:szCs w:val="24"/>
              </w:rPr>
              <w:t>进行回复确认</w:t>
            </w:r>
          </w:p>
        </w:tc>
      </w:tr>
      <w:tr w14:paraId="4C925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974" w:type="dxa"/>
            <w:vAlign w:val="center"/>
          </w:tcPr>
          <w:p w14:paraId="032B4185">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5</w:t>
            </w:r>
          </w:p>
        </w:tc>
        <w:tc>
          <w:tcPr>
            <w:tcW w:w="2072" w:type="dxa"/>
            <w:vAlign w:val="center"/>
          </w:tcPr>
          <w:p w14:paraId="57845C1B">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磋商有效期</w:t>
            </w:r>
          </w:p>
        </w:tc>
        <w:tc>
          <w:tcPr>
            <w:tcW w:w="6447" w:type="dxa"/>
          </w:tcPr>
          <w:p w14:paraId="33971984">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响应文件递交截止之日起</w:t>
            </w:r>
            <w:r>
              <w:rPr>
                <w:rFonts w:hint="eastAsia" w:asciiTheme="minorEastAsia" w:hAnsiTheme="minorEastAsia" w:cstheme="minorEastAsia"/>
                <w:sz w:val="24"/>
                <w:szCs w:val="24"/>
                <w:u w:val="single"/>
              </w:rPr>
              <w:t xml:space="preserve"> 60</w:t>
            </w:r>
            <w:r>
              <w:rPr>
                <w:rFonts w:hint="eastAsia" w:asciiTheme="minorEastAsia" w:hAnsiTheme="minorEastAsia" w:cstheme="minorEastAsia"/>
                <w:sz w:val="24"/>
                <w:szCs w:val="24"/>
              </w:rPr>
              <w:t>日历天</w:t>
            </w:r>
          </w:p>
        </w:tc>
      </w:tr>
      <w:tr w14:paraId="7263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974" w:type="dxa"/>
            <w:vAlign w:val="center"/>
          </w:tcPr>
          <w:p w14:paraId="5B09E212">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6</w:t>
            </w:r>
          </w:p>
        </w:tc>
        <w:tc>
          <w:tcPr>
            <w:tcW w:w="2072" w:type="dxa"/>
            <w:vAlign w:val="center"/>
          </w:tcPr>
          <w:p w14:paraId="5C9ADC28">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磋商保证金</w:t>
            </w:r>
          </w:p>
        </w:tc>
        <w:tc>
          <w:tcPr>
            <w:tcW w:w="6447" w:type="dxa"/>
          </w:tcPr>
          <w:p w14:paraId="443FD132">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根据《河南省财政厅关于优化政府采购营商环境有关问题的通知》（豫财购[2020]4号）第6条的规定，磋商保证金不再收取。</w:t>
            </w:r>
          </w:p>
        </w:tc>
      </w:tr>
      <w:tr w14:paraId="7CD3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974" w:type="dxa"/>
            <w:vAlign w:val="center"/>
          </w:tcPr>
          <w:p w14:paraId="7CD64A0A">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3.</w:t>
            </w:r>
            <w:r>
              <w:rPr>
                <w:rFonts w:hint="eastAsia" w:asciiTheme="minorEastAsia" w:hAnsiTheme="minorEastAsia" w:cstheme="minorEastAsia"/>
                <w:sz w:val="24"/>
                <w:szCs w:val="24"/>
                <w:lang w:val="en-US" w:eastAsia="zh-CN"/>
              </w:rPr>
              <w:t>7</w:t>
            </w:r>
          </w:p>
        </w:tc>
        <w:tc>
          <w:tcPr>
            <w:tcW w:w="2072" w:type="dxa"/>
            <w:vAlign w:val="center"/>
          </w:tcPr>
          <w:p w14:paraId="50D044FA">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磋商文件费</w:t>
            </w:r>
          </w:p>
        </w:tc>
        <w:tc>
          <w:tcPr>
            <w:tcW w:w="6447" w:type="dxa"/>
            <w:vAlign w:val="center"/>
          </w:tcPr>
          <w:p w14:paraId="5D3498AC">
            <w:pPr>
              <w:spacing w:line="500" w:lineRule="exact"/>
              <w:jc w:val="left"/>
              <w:rPr>
                <w:rFonts w:asciiTheme="minorEastAsia" w:hAnsiTheme="minorEastAsia" w:cstheme="minorEastAsia"/>
                <w:sz w:val="24"/>
                <w:szCs w:val="24"/>
              </w:rPr>
            </w:pPr>
            <w:r>
              <w:rPr>
                <w:rFonts w:hint="eastAsia" w:asciiTheme="minorEastAsia" w:hAnsiTheme="minorEastAsia" w:cstheme="minorEastAsia"/>
                <w:sz w:val="24"/>
                <w:szCs w:val="24"/>
              </w:rPr>
              <w:t>本项目为全电子采购，不再收取磋商文件费用</w:t>
            </w:r>
          </w:p>
        </w:tc>
      </w:tr>
      <w:tr w14:paraId="75E1F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2179E555">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3.8</w:t>
            </w:r>
          </w:p>
        </w:tc>
        <w:tc>
          <w:tcPr>
            <w:tcW w:w="2072" w:type="dxa"/>
            <w:vAlign w:val="center"/>
          </w:tcPr>
          <w:p w14:paraId="7A758BA3">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电子化响应文件的签章</w:t>
            </w:r>
          </w:p>
        </w:tc>
        <w:tc>
          <w:tcPr>
            <w:tcW w:w="6447" w:type="dxa"/>
            <w:vAlign w:val="center"/>
          </w:tcPr>
          <w:p w14:paraId="348BD4F3">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磋商响应供应商在进行电子化磋商响应文件签章时，竞争性磋商文件中要求磋商响应供应商盖章的，以签盖单位章为准；要求法定代表人签章的，以签盖法定代表人签章为准。</w:t>
            </w:r>
          </w:p>
        </w:tc>
      </w:tr>
      <w:tr w14:paraId="6CB26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70F1F307">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3.9</w:t>
            </w:r>
          </w:p>
        </w:tc>
        <w:tc>
          <w:tcPr>
            <w:tcW w:w="2072" w:type="dxa"/>
            <w:vAlign w:val="center"/>
          </w:tcPr>
          <w:p w14:paraId="193E8D72">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电子化响应文件的格式及上传投标</w:t>
            </w:r>
          </w:p>
        </w:tc>
        <w:tc>
          <w:tcPr>
            <w:tcW w:w="6447" w:type="dxa"/>
            <w:vAlign w:val="center"/>
          </w:tcPr>
          <w:p w14:paraId="38C3A3FF">
            <w:pPr>
              <w:wordWrap w:val="0"/>
              <w:topLinePunct/>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供应商所上传的电子化响应文件，应是通过中心投标文件制作系统制作的（投标文件制作工具下载地址：https://download.bqpoint.com/download/downloaddetail.html?SourceFrom=Ztb&amp;ZtbSoftXiaQuCode=1506&amp;ZtbSoftType=tballinclusive）。</w:t>
            </w:r>
          </w:p>
        </w:tc>
      </w:tr>
      <w:tr w14:paraId="0729C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7CE0FFD6">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4.0</w:t>
            </w:r>
          </w:p>
        </w:tc>
        <w:tc>
          <w:tcPr>
            <w:tcW w:w="2072" w:type="dxa"/>
            <w:vAlign w:val="center"/>
          </w:tcPr>
          <w:p w14:paraId="4C085493">
            <w:pPr>
              <w:spacing w:line="500" w:lineRule="exact"/>
              <w:jc w:val="center"/>
              <w:rPr>
                <w:rFonts w:asciiTheme="minorEastAsia" w:hAnsiTheme="minorEastAsia" w:cstheme="minorEastAsia"/>
                <w:color w:val="auto"/>
                <w:sz w:val="24"/>
                <w:szCs w:val="24"/>
              </w:rPr>
            </w:pPr>
            <w:r>
              <w:rPr>
                <w:rFonts w:hint="eastAsia" w:asciiTheme="minorEastAsia" w:hAnsiTheme="minorEastAsia" w:cstheme="minorEastAsia"/>
                <w:color w:val="auto"/>
                <w:sz w:val="24"/>
                <w:szCs w:val="24"/>
              </w:rPr>
              <w:t>响应文件递交截止时间</w:t>
            </w:r>
          </w:p>
        </w:tc>
        <w:tc>
          <w:tcPr>
            <w:tcW w:w="6447" w:type="dxa"/>
            <w:vAlign w:val="center"/>
          </w:tcPr>
          <w:p w14:paraId="646A4613">
            <w:pPr>
              <w:spacing w:line="500" w:lineRule="exact"/>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cstheme="minorEastAsia"/>
                <w:color w:val="auto"/>
                <w:sz w:val="24"/>
                <w:szCs w:val="24"/>
              </w:rPr>
              <w:t>202</w:t>
            </w:r>
            <w:r>
              <w:rPr>
                <w:rFonts w:hint="eastAsia" w:asciiTheme="minorEastAsia" w:hAnsiTheme="minorEastAsia" w:cstheme="minorEastAsia"/>
                <w:color w:val="auto"/>
                <w:sz w:val="24"/>
                <w:szCs w:val="24"/>
                <w:lang w:val="en-US" w:eastAsia="zh-CN"/>
              </w:rPr>
              <w:t>5</w:t>
            </w:r>
            <w:r>
              <w:rPr>
                <w:rFonts w:hint="eastAsia" w:asciiTheme="minorEastAsia" w:hAnsiTheme="minorEastAsia" w:cstheme="minorEastAsia"/>
                <w:color w:val="auto"/>
                <w:sz w:val="24"/>
                <w:szCs w:val="24"/>
              </w:rPr>
              <w:t>年</w:t>
            </w:r>
            <w:r>
              <w:rPr>
                <w:rFonts w:hint="eastAsia" w:asciiTheme="minorEastAsia" w:hAnsiTheme="minorEastAsia" w:cstheme="minorEastAsia"/>
                <w:color w:val="auto"/>
                <w:sz w:val="24"/>
                <w:szCs w:val="24"/>
                <w:lang w:val="en-US" w:eastAsia="zh-CN"/>
              </w:rPr>
              <w:t>07</w:t>
            </w:r>
            <w:r>
              <w:rPr>
                <w:rFonts w:hint="eastAsia" w:asciiTheme="minorEastAsia" w:hAnsiTheme="minorEastAsia" w:cstheme="minorEastAsia"/>
                <w:color w:val="auto"/>
                <w:sz w:val="24"/>
                <w:szCs w:val="24"/>
              </w:rPr>
              <w:t>月</w:t>
            </w:r>
            <w:r>
              <w:rPr>
                <w:rFonts w:hint="eastAsia" w:asciiTheme="minorEastAsia" w:hAnsiTheme="minorEastAsia" w:cstheme="minorEastAsia"/>
                <w:color w:val="auto"/>
                <w:sz w:val="24"/>
                <w:szCs w:val="24"/>
                <w:lang w:val="en-US" w:eastAsia="zh-CN"/>
              </w:rPr>
              <w:t>09</w:t>
            </w:r>
            <w:r>
              <w:rPr>
                <w:rFonts w:hint="eastAsia" w:asciiTheme="minorEastAsia" w:hAnsiTheme="minorEastAsia" w:cstheme="minorEastAsia"/>
                <w:color w:val="auto"/>
                <w:sz w:val="24"/>
                <w:szCs w:val="24"/>
              </w:rPr>
              <w:t>日8时</w:t>
            </w:r>
            <w:r>
              <w:rPr>
                <w:rFonts w:hint="eastAsia" w:asciiTheme="minorEastAsia" w:hAnsiTheme="minorEastAsia" w:cstheme="minorEastAsia"/>
                <w:color w:val="auto"/>
                <w:sz w:val="24"/>
                <w:szCs w:val="24"/>
                <w:lang w:val="en-US" w:eastAsia="zh-CN"/>
              </w:rPr>
              <w:t>4</w:t>
            </w:r>
            <w:r>
              <w:rPr>
                <w:rFonts w:hint="eastAsia" w:asciiTheme="minorEastAsia" w:hAnsiTheme="minorEastAsia" w:cstheme="minorEastAsia"/>
                <w:color w:val="auto"/>
                <w:sz w:val="24"/>
                <w:szCs w:val="24"/>
              </w:rPr>
              <w:t>0分</w:t>
            </w:r>
            <w:r>
              <w:rPr>
                <w:rFonts w:hint="eastAsia" w:asciiTheme="minorEastAsia" w:hAnsiTheme="minorEastAsia" w:cstheme="minorEastAsia"/>
                <w:color w:val="auto"/>
                <w:sz w:val="24"/>
                <w:szCs w:val="24"/>
                <w:lang w:eastAsia="zh-CN"/>
              </w:rPr>
              <w:t>。</w:t>
            </w:r>
          </w:p>
        </w:tc>
      </w:tr>
      <w:tr w14:paraId="746C8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74" w:type="dxa"/>
            <w:vAlign w:val="center"/>
          </w:tcPr>
          <w:p w14:paraId="44A57D47">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4.1</w:t>
            </w:r>
          </w:p>
        </w:tc>
        <w:tc>
          <w:tcPr>
            <w:tcW w:w="2072" w:type="dxa"/>
            <w:vAlign w:val="center"/>
          </w:tcPr>
          <w:p w14:paraId="7B59F2A9">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响应文件递交地点</w:t>
            </w:r>
          </w:p>
        </w:tc>
        <w:tc>
          <w:tcPr>
            <w:tcW w:w="6447" w:type="dxa"/>
            <w:vAlign w:val="center"/>
          </w:tcPr>
          <w:p w14:paraId="5D5EB90D">
            <w:pPr>
              <w:spacing w:line="500" w:lineRule="exact"/>
              <w:jc w:val="left"/>
              <w:rPr>
                <w:rFonts w:asciiTheme="minorEastAsia" w:hAnsiTheme="minorEastAsia" w:cstheme="minorEastAsia"/>
                <w:sz w:val="24"/>
                <w:szCs w:val="24"/>
              </w:rPr>
            </w:pPr>
            <w:r>
              <w:rPr>
                <w:rFonts w:hint="eastAsia" w:asciiTheme="minorEastAsia" w:hAnsiTheme="minorEastAsia" w:cstheme="minorEastAsia"/>
                <w:bCs/>
                <w:sz w:val="24"/>
                <w:szCs w:val="24"/>
              </w:rPr>
              <w:t>上传至三门峡市公共资源交易中心系统</w:t>
            </w:r>
          </w:p>
        </w:tc>
      </w:tr>
      <w:tr w14:paraId="21BDA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74" w:type="dxa"/>
            <w:vAlign w:val="center"/>
          </w:tcPr>
          <w:p w14:paraId="51B3EC84">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4.2</w:t>
            </w:r>
          </w:p>
        </w:tc>
        <w:tc>
          <w:tcPr>
            <w:tcW w:w="2072" w:type="dxa"/>
            <w:vAlign w:val="center"/>
          </w:tcPr>
          <w:p w14:paraId="08D8A5DC">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是否退还响应文件</w:t>
            </w:r>
          </w:p>
        </w:tc>
        <w:tc>
          <w:tcPr>
            <w:tcW w:w="6447" w:type="dxa"/>
            <w:vAlign w:val="center"/>
          </w:tcPr>
          <w:p w14:paraId="70B48FC5">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否</w:t>
            </w:r>
          </w:p>
        </w:tc>
      </w:tr>
      <w:tr w14:paraId="528DF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74" w:type="dxa"/>
            <w:vAlign w:val="center"/>
          </w:tcPr>
          <w:p w14:paraId="70EC23E4">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4.3</w:t>
            </w:r>
          </w:p>
        </w:tc>
        <w:tc>
          <w:tcPr>
            <w:tcW w:w="2072" w:type="dxa"/>
            <w:vAlign w:val="center"/>
          </w:tcPr>
          <w:p w14:paraId="0C1B209C">
            <w:pPr>
              <w:spacing w:line="50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rPr>
              <w:t>近年完成的类似项目的年份要求</w:t>
            </w:r>
          </w:p>
        </w:tc>
        <w:tc>
          <w:tcPr>
            <w:tcW w:w="6447" w:type="dxa"/>
            <w:vAlign w:val="center"/>
          </w:tcPr>
          <w:p w14:paraId="276179BF">
            <w:pPr>
              <w:spacing w:line="500" w:lineRule="exact"/>
              <w:jc w:val="both"/>
              <w:rPr>
                <w:rFonts w:hint="eastAsia" w:asciiTheme="minorEastAsia" w:hAnsiTheme="minorEastAsia" w:cstheme="minorEastAsia"/>
                <w:sz w:val="24"/>
                <w:szCs w:val="24"/>
              </w:rPr>
            </w:pPr>
            <w:r>
              <w:rPr>
                <w:rFonts w:hint="eastAsia" w:asciiTheme="minorEastAsia" w:hAnsiTheme="minorEastAsia" w:cstheme="minorEastAsia"/>
                <w:sz w:val="24"/>
                <w:szCs w:val="24"/>
                <w:lang w:val="en-US" w:eastAsia="en-US"/>
              </w:rPr>
              <w:t>近3年（20</w:t>
            </w:r>
            <w:r>
              <w:rPr>
                <w:rFonts w:hint="eastAsia" w:asciiTheme="minorEastAsia" w:hAnsiTheme="minorEastAsia" w:cstheme="minorEastAsia"/>
                <w:sz w:val="24"/>
                <w:szCs w:val="24"/>
                <w:lang w:val="en-US" w:eastAsia="zh-CN"/>
              </w:rPr>
              <w:t>22</w:t>
            </w:r>
            <w:r>
              <w:rPr>
                <w:rFonts w:hint="eastAsia" w:asciiTheme="minorEastAsia" w:hAnsiTheme="minorEastAsia" w:cstheme="minorEastAsia"/>
                <w:sz w:val="24"/>
                <w:szCs w:val="24"/>
                <w:lang w:val="en-US" w:eastAsia="en-US"/>
              </w:rPr>
              <w:t>年1月1日至今）</w:t>
            </w:r>
          </w:p>
        </w:tc>
      </w:tr>
      <w:tr w14:paraId="34F3B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74" w:type="dxa"/>
            <w:vAlign w:val="center"/>
          </w:tcPr>
          <w:p w14:paraId="0D81E670">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4.4</w:t>
            </w:r>
          </w:p>
        </w:tc>
        <w:tc>
          <w:tcPr>
            <w:tcW w:w="2072" w:type="dxa"/>
            <w:vAlign w:val="center"/>
          </w:tcPr>
          <w:p w14:paraId="11E38E9A">
            <w:pPr>
              <w:widowControl/>
              <w:spacing w:line="360" w:lineRule="auto"/>
              <w:rPr>
                <w:rFonts w:hint="eastAsia" w:asciiTheme="minorEastAsia" w:hAnsiTheme="minorEastAsia" w:cstheme="minorEastAsia"/>
                <w:sz w:val="24"/>
                <w:szCs w:val="24"/>
              </w:rPr>
            </w:pPr>
            <w:r>
              <w:rPr>
                <w:rFonts w:hint="eastAsia" w:ascii="宋体" w:hAnsi="宋体" w:eastAsia="宋体" w:cs="宋体"/>
                <w:kern w:val="0"/>
                <w:sz w:val="24"/>
                <w:szCs w:val="24"/>
                <w:lang w:val="en-US" w:eastAsia="zh-CN"/>
              </w:rPr>
              <w:t>近年财务状况的年份要求</w:t>
            </w:r>
          </w:p>
        </w:tc>
        <w:tc>
          <w:tcPr>
            <w:tcW w:w="6447" w:type="dxa"/>
            <w:vAlign w:val="center"/>
          </w:tcPr>
          <w:p w14:paraId="1C10728B">
            <w:pPr>
              <w:widowControl/>
              <w:spacing w:line="360" w:lineRule="auto"/>
              <w:rPr>
                <w:rFonts w:hint="eastAsia" w:asciiTheme="minorEastAsia" w:hAnsiTheme="minorEastAsia" w:cstheme="minorEastAsia"/>
                <w:sz w:val="24"/>
                <w:szCs w:val="24"/>
              </w:rPr>
            </w:pPr>
            <w:r>
              <w:rPr>
                <w:rFonts w:hint="eastAsia" w:ascii="宋体" w:hAnsi="宋体" w:eastAsia="宋体" w:cs="宋体"/>
                <w:kern w:val="0"/>
                <w:sz w:val="24"/>
                <w:szCs w:val="24"/>
                <w:lang w:val="en-US" w:eastAsia="zh-CN"/>
              </w:rPr>
              <w:t>近三年（2022年至2024年）任意一年</w:t>
            </w:r>
          </w:p>
        </w:tc>
      </w:tr>
      <w:tr w14:paraId="44DD7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0E7484F7">
            <w:pPr>
              <w:widowControl/>
              <w:spacing w:line="360" w:lineRule="auto"/>
              <w:ind w:firstLine="240" w:firstLineChars="100"/>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4.5</w:t>
            </w:r>
          </w:p>
        </w:tc>
        <w:tc>
          <w:tcPr>
            <w:tcW w:w="2072" w:type="dxa"/>
            <w:vAlign w:val="center"/>
          </w:tcPr>
          <w:p w14:paraId="03B135BB">
            <w:pPr>
              <w:spacing w:line="500" w:lineRule="exact"/>
              <w:jc w:val="center"/>
              <w:rPr>
                <w:rFonts w:asciiTheme="minorEastAsia" w:hAnsiTheme="minorEastAsia" w:cstheme="minorEastAsia"/>
                <w:sz w:val="24"/>
                <w:szCs w:val="24"/>
              </w:rPr>
            </w:pPr>
            <w:r>
              <w:rPr>
                <w:rFonts w:hint="eastAsia" w:asciiTheme="minorEastAsia" w:hAnsiTheme="minorEastAsia" w:cstheme="minorEastAsia"/>
                <w:kern w:val="0"/>
                <w:sz w:val="24"/>
                <w:szCs w:val="24"/>
              </w:rPr>
              <w:t>竞争性磋商时间和地点</w:t>
            </w:r>
          </w:p>
        </w:tc>
        <w:tc>
          <w:tcPr>
            <w:tcW w:w="6447" w:type="dxa"/>
          </w:tcPr>
          <w:p w14:paraId="3A40FD11">
            <w:pPr>
              <w:wordWrap w:val="0"/>
              <w:topLinePunct/>
              <w:autoSpaceDE w:val="0"/>
              <w:autoSpaceDN w:val="0"/>
              <w:adjustRightInd w:val="0"/>
              <w:spacing w:line="500" w:lineRule="exact"/>
              <w:jc w:val="left"/>
              <w:rPr>
                <w:rFonts w:asciiTheme="minorEastAsia" w:hAnsiTheme="minorEastAsia" w:cstheme="minorEastAsia"/>
                <w:color w:val="auto"/>
                <w:kern w:val="0"/>
                <w:sz w:val="24"/>
                <w:szCs w:val="24"/>
              </w:rPr>
            </w:pPr>
            <w:r>
              <w:rPr>
                <w:rFonts w:hint="eastAsia" w:asciiTheme="minorEastAsia" w:hAnsiTheme="minorEastAsia" w:cstheme="minorEastAsia"/>
                <w:color w:val="auto"/>
                <w:kern w:val="0"/>
                <w:sz w:val="24"/>
                <w:szCs w:val="24"/>
              </w:rPr>
              <w:t>磋商时间：202</w:t>
            </w:r>
            <w:r>
              <w:rPr>
                <w:rFonts w:hint="eastAsia" w:asciiTheme="minorEastAsia" w:hAnsiTheme="minorEastAsia" w:cstheme="minorEastAsia"/>
                <w:color w:val="auto"/>
                <w:kern w:val="0"/>
                <w:sz w:val="24"/>
                <w:szCs w:val="24"/>
                <w:lang w:val="en-US" w:eastAsia="zh-CN"/>
              </w:rPr>
              <w:t>5</w:t>
            </w:r>
            <w:r>
              <w:rPr>
                <w:rFonts w:hint="eastAsia" w:asciiTheme="minorEastAsia" w:hAnsiTheme="minorEastAsia" w:cstheme="minorEastAsia"/>
                <w:color w:val="auto"/>
                <w:kern w:val="0"/>
                <w:sz w:val="24"/>
                <w:szCs w:val="24"/>
              </w:rPr>
              <w:t>年</w:t>
            </w:r>
            <w:r>
              <w:rPr>
                <w:rFonts w:hint="eastAsia" w:asciiTheme="minorEastAsia" w:hAnsiTheme="minorEastAsia" w:cstheme="minorEastAsia"/>
                <w:color w:val="auto"/>
                <w:kern w:val="0"/>
                <w:sz w:val="24"/>
                <w:szCs w:val="24"/>
                <w:lang w:val="en-US" w:eastAsia="zh-CN"/>
              </w:rPr>
              <w:t>07</w:t>
            </w:r>
            <w:r>
              <w:rPr>
                <w:rFonts w:hint="eastAsia" w:asciiTheme="minorEastAsia" w:hAnsiTheme="minorEastAsia" w:cstheme="minorEastAsia"/>
                <w:color w:val="auto"/>
                <w:kern w:val="0"/>
                <w:sz w:val="24"/>
                <w:szCs w:val="24"/>
              </w:rPr>
              <w:t>月</w:t>
            </w:r>
            <w:r>
              <w:rPr>
                <w:rFonts w:hint="eastAsia" w:asciiTheme="minorEastAsia" w:hAnsiTheme="minorEastAsia" w:cstheme="minorEastAsia"/>
                <w:color w:val="auto"/>
                <w:kern w:val="0"/>
                <w:sz w:val="24"/>
                <w:szCs w:val="24"/>
                <w:lang w:val="en-US" w:eastAsia="zh-CN"/>
              </w:rPr>
              <w:t>09</w:t>
            </w:r>
            <w:r>
              <w:rPr>
                <w:rFonts w:hint="eastAsia" w:asciiTheme="minorEastAsia" w:hAnsiTheme="minorEastAsia" w:cstheme="minorEastAsia"/>
                <w:color w:val="auto"/>
                <w:kern w:val="0"/>
                <w:sz w:val="24"/>
                <w:szCs w:val="24"/>
              </w:rPr>
              <w:t>日8时</w:t>
            </w:r>
            <w:r>
              <w:rPr>
                <w:rFonts w:hint="eastAsia" w:asciiTheme="minorEastAsia" w:hAnsiTheme="minorEastAsia" w:cstheme="minorEastAsia"/>
                <w:color w:val="auto"/>
                <w:kern w:val="0"/>
                <w:sz w:val="24"/>
                <w:szCs w:val="24"/>
                <w:lang w:val="en-US" w:eastAsia="zh-CN"/>
              </w:rPr>
              <w:t>4</w:t>
            </w:r>
            <w:r>
              <w:rPr>
                <w:rFonts w:hint="eastAsia" w:asciiTheme="minorEastAsia" w:hAnsiTheme="minorEastAsia" w:cstheme="minorEastAsia"/>
                <w:color w:val="auto"/>
                <w:kern w:val="0"/>
                <w:sz w:val="24"/>
                <w:szCs w:val="24"/>
              </w:rPr>
              <w:t>0分</w:t>
            </w:r>
          </w:p>
          <w:p w14:paraId="250D862C">
            <w:pPr>
              <w:spacing w:line="500" w:lineRule="exact"/>
              <w:rPr>
                <w:rFonts w:hint="eastAsia" w:asciiTheme="minorEastAsia" w:hAnsiTheme="minorEastAsia" w:cstheme="minorEastAsia"/>
                <w:color w:val="auto"/>
                <w:kern w:val="0"/>
                <w:sz w:val="24"/>
                <w:szCs w:val="24"/>
              </w:rPr>
            </w:pPr>
            <w:r>
              <w:rPr>
                <w:rFonts w:hint="eastAsia" w:asciiTheme="minorEastAsia" w:hAnsiTheme="minorEastAsia" w:cstheme="minorEastAsia"/>
                <w:color w:val="auto"/>
                <w:kern w:val="0"/>
                <w:sz w:val="24"/>
                <w:szCs w:val="24"/>
              </w:rPr>
              <w:t>开标地点：卢氏县公共资源交易中心四楼第</w:t>
            </w:r>
            <w:r>
              <w:rPr>
                <w:rFonts w:hint="eastAsia" w:asciiTheme="minorEastAsia" w:hAnsiTheme="minorEastAsia" w:cstheme="minorEastAsia"/>
                <w:color w:val="auto"/>
                <w:kern w:val="0"/>
                <w:sz w:val="24"/>
                <w:szCs w:val="24"/>
                <w:lang w:val="en-US" w:eastAsia="zh-CN"/>
              </w:rPr>
              <w:t>二</w:t>
            </w:r>
            <w:r>
              <w:rPr>
                <w:rFonts w:hint="eastAsia" w:asciiTheme="minorEastAsia" w:hAnsiTheme="minorEastAsia" w:cstheme="minorEastAsia"/>
                <w:color w:val="auto"/>
                <w:kern w:val="0"/>
                <w:sz w:val="24"/>
                <w:szCs w:val="24"/>
              </w:rPr>
              <w:t>开标室；</w:t>
            </w:r>
          </w:p>
          <w:p w14:paraId="312AE107">
            <w:pPr>
              <w:spacing w:line="500" w:lineRule="exact"/>
              <w:rPr>
                <w:rFonts w:asciiTheme="minorEastAsia" w:hAnsiTheme="minorEastAsia" w:cstheme="minorEastAsia"/>
                <w:sz w:val="24"/>
                <w:szCs w:val="24"/>
              </w:rPr>
            </w:pPr>
            <w:r>
              <w:rPr>
                <w:rFonts w:hint="eastAsia" w:asciiTheme="minorEastAsia" w:hAnsiTheme="minorEastAsia" w:cstheme="minorEastAsia"/>
                <w:color w:val="auto"/>
                <w:kern w:val="0"/>
                <w:sz w:val="24"/>
                <w:szCs w:val="24"/>
              </w:rPr>
              <w:t>评标地点：卢氏县公共资源交易中心二楼第</w:t>
            </w:r>
            <w:r>
              <w:rPr>
                <w:rFonts w:hint="eastAsia" w:asciiTheme="minorEastAsia" w:hAnsiTheme="minorEastAsia" w:cstheme="minorEastAsia"/>
                <w:color w:val="auto"/>
                <w:kern w:val="0"/>
                <w:sz w:val="24"/>
                <w:szCs w:val="24"/>
                <w:lang w:eastAsia="zh-CN"/>
              </w:rPr>
              <w:t>二</w:t>
            </w:r>
            <w:r>
              <w:rPr>
                <w:rFonts w:hint="eastAsia" w:asciiTheme="minorEastAsia" w:hAnsiTheme="minorEastAsia" w:cstheme="minorEastAsia"/>
                <w:color w:val="auto"/>
                <w:kern w:val="0"/>
                <w:sz w:val="24"/>
                <w:szCs w:val="24"/>
              </w:rPr>
              <w:t>评标室。</w:t>
            </w:r>
          </w:p>
        </w:tc>
      </w:tr>
      <w:tr w14:paraId="03496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43E47453">
            <w:pPr>
              <w:spacing w:line="500" w:lineRule="exact"/>
              <w:jc w:val="center"/>
              <w:rPr>
                <w:rFonts w:hint="default" w:asciiTheme="minorEastAsia" w:hAnsiTheme="minorEastAsia" w:cstheme="minorEastAsia"/>
                <w:sz w:val="24"/>
                <w:szCs w:val="24"/>
                <w:lang w:val="en-US"/>
              </w:rPr>
            </w:pPr>
            <w:r>
              <w:rPr>
                <w:rFonts w:hint="eastAsia" w:asciiTheme="minorEastAsia" w:hAnsiTheme="minorEastAsia" w:cstheme="minorEastAsia"/>
                <w:sz w:val="24"/>
                <w:szCs w:val="24"/>
              </w:rPr>
              <w:t>4.</w:t>
            </w:r>
            <w:r>
              <w:rPr>
                <w:rFonts w:hint="eastAsia" w:asciiTheme="minorEastAsia" w:hAnsiTheme="minorEastAsia" w:cstheme="minorEastAsia"/>
                <w:sz w:val="24"/>
                <w:szCs w:val="24"/>
                <w:lang w:val="en-US" w:eastAsia="zh-CN"/>
              </w:rPr>
              <w:t>6</w:t>
            </w:r>
          </w:p>
        </w:tc>
        <w:tc>
          <w:tcPr>
            <w:tcW w:w="2072" w:type="dxa"/>
            <w:vAlign w:val="center"/>
          </w:tcPr>
          <w:p w14:paraId="60AC42A5">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磋商小组的组建</w:t>
            </w:r>
          </w:p>
        </w:tc>
        <w:tc>
          <w:tcPr>
            <w:tcW w:w="6447" w:type="dxa"/>
          </w:tcPr>
          <w:p w14:paraId="5DA7A235">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磋商小组由采购人代表和评审专家共3人以上单数组成，其中评审专家人数不得少于磋商小组成员总数的2/3。</w:t>
            </w:r>
          </w:p>
          <w:p w14:paraId="412A7068">
            <w:pPr>
              <w:spacing w:line="500" w:lineRule="exact"/>
              <w:rPr>
                <w:rFonts w:hint="eastAsia" w:asciiTheme="minorEastAsia" w:hAnsiTheme="minorEastAsia" w:eastAsiaTheme="minorEastAsia" w:cstheme="minorEastAsia"/>
                <w:sz w:val="24"/>
                <w:szCs w:val="24"/>
                <w:lang w:eastAsia="zh-CN"/>
              </w:rPr>
            </w:pPr>
            <w:r>
              <w:rPr>
                <w:rFonts w:hint="eastAsia" w:asciiTheme="minorEastAsia" w:hAnsiTheme="minorEastAsia" w:cstheme="minorEastAsia"/>
                <w:sz w:val="24"/>
                <w:szCs w:val="24"/>
              </w:rPr>
              <w:t>磋商小组组建方式：磋商小组成员为3人，采购人代表1人，其余专家2人从</w:t>
            </w:r>
            <w:r>
              <w:rPr>
                <w:rFonts w:hint="eastAsia" w:ascii="宋体" w:hAnsi="宋体" w:cs="宋体"/>
                <w:sz w:val="24"/>
                <w:szCs w:val="24"/>
              </w:rPr>
              <w:t>河南省政府采购评标专家库中随机抽取。（采购人代表无评标劳务费用）</w:t>
            </w:r>
            <w:r>
              <w:rPr>
                <w:rFonts w:hint="eastAsia" w:ascii="宋体" w:hAnsi="宋体" w:cs="宋体"/>
                <w:sz w:val="24"/>
                <w:szCs w:val="24"/>
                <w:lang w:eastAsia="zh-CN"/>
              </w:rPr>
              <w:t>。</w:t>
            </w:r>
          </w:p>
        </w:tc>
      </w:tr>
      <w:tr w14:paraId="1E6C3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16238D5A">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4.7</w:t>
            </w:r>
          </w:p>
        </w:tc>
        <w:tc>
          <w:tcPr>
            <w:tcW w:w="2072" w:type="dxa"/>
            <w:vAlign w:val="center"/>
          </w:tcPr>
          <w:p w14:paraId="0D573239">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付款方式</w:t>
            </w:r>
          </w:p>
        </w:tc>
        <w:tc>
          <w:tcPr>
            <w:tcW w:w="6447" w:type="dxa"/>
          </w:tcPr>
          <w:p w14:paraId="3FD7E992">
            <w:pPr>
              <w:spacing w:line="500" w:lineRule="exact"/>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color w:val="auto"/>
                <w:sz w:val="24"/>
                <w:szCs w:val="24"/>
              </w:rPr>
              <w:t>按照项目进度付款，合同签订后支付合同价款的30%，完成项目进度80%并出具阶段性验收报告后10日内支付到合同价款的60%，竣工验收合格并出具报告后10日内拨付合同价款的80%资金，提交完整结算资料后，审计报告完成后</w:t>
            </w:r>
            <w:r>
              <w:rPr>
                <w:rFonts w:hint="eastAsia" w:asciiTheme="minorEastAsia" w:hAnsiTheme="minorEastAsia" w:cstheme="minorEastAsia"/>
                <w:color w:val="auto"/>
                <w:sz w:val="24"/>
                <w:szCs w:val="24"/>
                <w:lang w:val="en-US" w:eastAsia="zh-CN"/>
              </w:rPr>
              <w:t>10</w:t>
            </w:r>
            <w:r>
              <w:rPr>
                <w:rFonts w:hint="eastAsia" w:asciiTheme="minorEastAsia" w:hAnsiTheme="minorEastAsia" w:cstheme="minorEastAsia"/>
                <w:color w:val="auto"/>
                <w:sz w:val="24"/>
                <w:szCs w:val="24"/>
              </w:rPr>
              <w:t xml:space="preserve">日内支付到审计确定全部项目款的97%资金，剩余3%为质量保证金，质保期一年，待质保期满后，经有关部门复验合格、无质量问题，予以付清(无息)。 </w:t>
            </w:r>
            <w:r>
              <w:rPr>
                <w:rFonts w:hint="eastAsia" w:asciiTheme="minorEastAsia" w:hAnsiTheme="minorEastAsia" w:cstheme="minorEastAsia"/>
                <w:color w:val="auto"/>
                <w:sz w:val="24"/>
                <w:szCs w:val="24"/>
                <w:lang w:val="en-US" w:eastAsia="zh-CN"/>
              </w:rPr>
              <w:t xml:space="preserve"> </w:t>
            </w:r>
          </w:p>
        </w:tc>
      </w:tr>
      <w:tr w14:paraId="58531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4" w:type="dxa"/>
            <w:vAlign w:val="center"/>
          </w:tcPr>
          <w:p w14:paraId="6CB00CD4">
            <w:pPr>
              <w:spacing w:line="500" w:lineRule="exact"/>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4.</w:t>
            </w:r>
            <w:r>
              <w:rPr>
                <w:rFonts w:hint="eastAsia" w:asciiTheme="minorEastAsia" w:hAnsiTheme="minorEastAsia" w:cstheme="minorEastAsia"/>
                <w:sz w:val="24"/>
                <w:szCs w:val="24"/>
                <w:lang w:val="en-US" w:eastAsia="zh-CN"/>
              </w:rPr>
              <w:t>8</w:t>
            </w:r>
          </w:p>
        </w:tc>
        <w:tc>
          <w:tcPr>
            <w:tcW w:w="2072" w:type="dxa"/>
            <w:vAlign w:val="center"/>
          </w:tcPr>
          <w:p w14:paraId="1F0EE9C9">
            <w:pPr>
              <w:spacing w:line="500" w:lineRule="exact"/>
              <w:jc w:val="center"/>
              <w:rPr>
                <w:rFonts w:asciiTheme="minorEastAsia" w:hAnsiTheme="minorEastAsia" w:cstheme="minorEastAsia"/>
                <w:sz w:val="24"/>
                <w:szCs w:val="24"/>
              </w:rPr>
            </w:pPr>
            <w:r>
              <w:rPr>
                <w:rFonts w:hint="eastAsia" w:asciiTheme="minorEastAsia" w:hAnsiTheme="minorEastAsia" w:cstheme="minorEastAsia"/>
                <w:sz w:val="24"/>
                <w:szCs w:val="24"/>
              </w:rPr>
              <w:t>是否授权磋商小组确定成交人</w:t>
            </w:r>
          </w:p>
        </w:tc>
        <w:tc>
          <w:tcPr>
            <w:tcW w:w="6447" w:type="dxa"/>
            <w:vAlign w:val="center"/>
          </w:tcPr>
          <w:p w14:paraId="59A5F351">
            <w:pPr>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否，推荐的成交候选人数：3名</w:t>
            </w:r>
          </w:p>
        </w:tc>
      </w:tr>
      <w:tr w14:paraId="5382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4" w:hRule="atLeast"/>
          <w:jc w:val="center"/>
        </w:trPr>
        <w:tc>
          <w:tcPr>
            <w:tcW w:w="974" w:type="dxa"/>
            <w:vAlign w:val="center"/>
          </w:tcPr>
          <w:p w14:paraId="5194B25C">
            <w:pPr>
              <w:spacing w:line="50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rPr>
              <w:t>4.</w:t>
            </w:r>
            <w:r>
              <w:rPr>
                <w:rFonts w:hint="eastAsia" w:asciiTheme="minorEastAsia" w:hAnsiTheme="minorEastAsia" w:cstheme="minorEastAsia"/>
                <w:sz w:val="24"/>
                <w:szCs w:val="24"/>
                <w:lang w:val="en-US" w:eastAsia="zh-CN"/>
              </w:rPr>
              <w:t>9</w:t>
            </w:r>
          </w:p>
        </w:tc>
        <w:tc>
          <w:tcPr>
            <w:tcW w:w="8519" w:type="dxa"/>
            <w:gridSpan w:val="2"/>
            <w:vAlign w:val="center"/>
          </w:tcPr>
          <w:p w14:paraId="1CA57B07">
            <w:pPr>
              <w:wordWrap w:val="0"/>
              <w:topLinePunct/>
              <w:spacing w:line="500" w:lineRule="exact"/>
              <w:rPr>
                <w:rFonts w:asciiTheme="minorEastAsia" w:hAnsiTheme="minorEastAsia" w:cstheme="minorEastAsia"/>
                <w:sz w:val="24"/>
                <w:szCs w:val="24"/>
              </w:rPr>
            </w:pPr>
            <w:r>
              <w:rPr>
                <w:rFonts w:hint="eastAsia" w:asciiTheme="minorEastAsia" w:hAnsiTheme="minorEastAsia" w:cstheme="minorEastAsia"/>
                <w:sz w:val="24"/>
                <w:szCs w:val="24"/>
              </w:rPr>
              <w:t>成交人与采购人签订合同后，将合同原件扫描件报采购代理机构备案。</w:t>
            </w:r>
          </w:p>
        </w:tc>
      </w:tr>
      <w:tr w14:paraId="3178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74" w:type="dxa"/>
            <w:vAlign w:val="center"/>
          </w:tcPr>
          <w:p w14:paraId="29B090CA">
            <w:pPr>
              <w:spacing w:line="500" w:lineRule="exact"/>
              <w:jc w:val="center"/>
              <w:rPr>
                <w:rFonts w:hint="default" w:asciiTheme="minorEastAsia" w:hAnsiTheme="minorEastAsia" w:eastAsiaTheme="minorEastAsia" w:cstheme="minorEastAsia"/>
                <w:kern w:val="0"/>
                <w:sz w:val="24"/>
                <w:szCs w:val="24"/>
                <w:lang w:val="en-US" w:eastAsia="zh-CN"/>
              </w:rPr>
            </w:pPr>
            <w:r>
              <w:rPr>
                <w:rFonts w:hint="eastAsia" w:asciiTheme="minorEastAsia" w:hAnsiTheme="minorEastAsia" w:cstheme="minorEastAsia"/>
                <w:sz w:val="24"/>
                <w:szCs w:val="24"/>
                <w:lang w:val="en-US" w:eastAsia="zh-CN"/>
              </w:rPr>
              <w:t>5.0</w:t>
            </w:r>
          </w:p>
        </w:tc>
        <w:tc>
          <w:tcPr>
            <w:tcW w:w="2072" w:type="dxa"/>
            <w:vAlign w:val="center"/>
          </w:tcPr>
          <w:p w14:paraId="2D5C06DE">
            <w:pPr>
              <w:wordWrap w:val="0"/>
              <w:topLinePunct/>
              <w:spacing w:line="500" w:lineRule="exact"/>
              <w:jc w:val="center"/>
              <w:rPr>
                <w:rFonts w:hint="eastAsia" w:asciiTheme="minorEastAsia" w:hAnsiTheme="minorEastAsia" w:cstheme="minorEastAsia"/>
                <w:sz w:val="24"/>
                <w:szCs w:val="24"/>
              </w:rPr>
            </w:pPr>
            <w:r>
              <w:rPr>
                <w:rFonts w:hint="eastAsia" w:asciiTheme="minorEastAsia" w:hAnsiTheme="minorEastAsia" w:cstheme="minorEastAsia"/>
                <w:sz w:val="24"/>
                <w:szCs w:val="24"/>
                <w:lang w:val="en-US" w:eastAsia="zh-CN"/>
              </w:rPr>
              <w:t xml:space="preserve">合同签订时间 </w:t>
            </w:r>
          </w:p>
        </w:tc>
        <w:tc>
          <w:tcPr>
            <w:tcW w:w="6447" w:type="dxa"/>
            <w:vAlign w:val="center"/>
          </w:tcPr>
          <w:p w14:paraId="0EC52A7D">
            <w:pPr>
              <w:spacing w:line="500" w:lineRule="exac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按《三门峡市财政局关于市本级政府采购合同备案管理工作的通知》（三财购[2021]9号）文要求，集中采购目录以外政府采购项目，原则上自中标通知书发出之日起2个工作日内与中标（成交）供应商按照采购文件确定的事项与供应商签订政府采购合同，所签订的合同不得对竞争性磋商文件确定的事项和成交人响应文件作实质性修改。</w:t>
            </w:r>
          </w:p>
        </w:tc>
      </w:tr>
      <w:tr w14:paraId="409A1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vAlign w:val="center"/>
          </w:tcPr>
          <w:p w14:paraId="4F2C97AB">
            <w:pPr>
              <w:spacing w:line="500" w:lineRule="exact"/>
              <w:jc w:val="center"/>
              <w:rPr>
                <w:rFonts w:hint="default" w:asciiTheme="minorEastAsia" w:hAnsiTheme="minorEastAsia" w:eastAsiaTheme="minorEastAsia" w:cstheme="minorEastAsia"/>
                <w:kern w:val="0"/>
                <w:sz w:val="24"/>
                <w:szCs w:val="24"/>
                <w:lang w:val="en-US" w:eastAsia="zh-CN"/>
              </w:rPr>
            </w:pPr>
            <w:r>
              <w:rPr>
                <w:rFonts w:hint="eastAsia" w:asciiTheme="minorEastAsia" w:hAnsiTheme="minorEastAsia" w:cstheme="minorEastAsia"/>
                <w:kern w:val="0"/>
                <w:sz w:val="24"/>
                <w:szCs w:val="24"/>
                <w:lang w:val="en-US" w:eastAsia="zh-CN"/>
              </w:rPr>
              <w:t>5.1</w:t>
            </w:r>
          </w:p>
        </w:tc>
        <w:tc>
          <w:tcPr>
            <w:tcW w:w="2072" w:type="dxa"/>
            <w:vAlign w:val="center"/>
          </w:tcPr>
          <w:p w14:paraId="212952F7">
            <w:pPr>
              <w:wordWrap w:val="0"/>
              <w:topLinePunct/>
              <w:spacing w:line="500" w:lineRule="exact"/>
              <w:jc w:val="center"/>
              <w:rPr>
                <w:rFonts w:hint="eastAsia" w:asciiTheme="minorEastAsia" w:hAnsiTheme="minorEastAsia" w:cstheme="minorEastAsia"/>
                <w:sz w:val="24"/>
                <w:szCs w:val="24"/>
                <w:lang w:val="en-US" w:eastAsia="zh-CN"/>
              </w:rPr>
            </w:pPr>
            <w:r>
              <w:rPr>
                <w:rFonts w:hint="eastAsia" w:ascii="宋体" w:hAnsi="宋体" w:eastAsia="宋体" w:cs="宋体"/>
                <w:sz w:val="24"/>
                <w:szCs w:val="24"/>
                <w:highlight w:val="none"/>
              </w:rPr>
              <w:t>代理服务费</w:t>
            </w:r>
          </w:p>
        </w:tc>
        <w:tc>
          <w:tcPr>
            <w:tcW w:w="6447" w:type="dxa"/>
            <w:vAlign w:val="center"/>
          </w:tcPr>
          <w:p w14:paraId="41573476">
            <w:pPr>
              <w:pStyle w:val="44"/>
              <w:spacing w:line="360" w:lineRule="exact"/>
              <w:ind w:firstLine="240" w:firstLineChars="100"/>
              <w:rPr>
                <w:rFonts w:hint="eastAsia" w:asciiTheme="minorEastAsia" w:hAnsiTheme="minorEastAsia" w:eastAsiaTheme="minorEastAsia" w:cstheme="minorEastAsia"/>
                <w:kern w:val="2"/>
                <w:sz w:val="24"/>
                <w:szCs w:val="24"/>
                <w:lang w:val="en-US" w:eastAsia="en-US" w:bidi="ar-SA"/>
              </w:rPr>
            </w:pPr>
            <w:r>
              <w:rPr>
                <w:rFonts w:hint="eastAsia" w:asciiTheme="minorEastAsia" w:hAnsiTheme="minorEastAsia" w:eastAsiaTheme="minorEastAsia" w:cstheme="minorEastAsia"/>
                <w:kern w:val="2"/>
                <w:sz w:val="24"/>
                <w:szCs w:val="24"/>
                <w:lang w:val="en-US" w:eastAsia="zh-CN" w:bidi="ar-SA"/>
              </w:rPr>
              <w:t>1.</w:t>
            </w:r>
            <w:r>
              <w:rPr>
                <w:rFonts w:hint="eastAsia" w:asciiTheme="minorEastAsia" w:hAnsiTheme="minorEastAsia" w:eastAsiaTheme="minorEastAsia" w:cstheme="minorEastAsia"/>
                <w:kern w:val="2"/>
                <w:sz w:val="24"/>
                <w:szCs w:val="24"/>
                <w:lang w:val="en-US" w:eastAsia="en-US" w:bidi="ar-SA"/>
              </w:rPr>
              <w:t>招标代理服务收费参照豫招协[2023]002号河南省招标投标协会关于印发《河南省招标代理服务收费指导意见》规定的收费标准收取</w:t>
            </w:r>
            <w:r>
              <w:rPr>
                <w:rFonts w:hint="eastAsia" w:asciiTheme="minorEastAsia" w:hAnsiTheme="minorEastAsia" w:eastAsiaTheme="minorEastAsia" w:cstheme="minorEastAsia"/>
                <w:kern w:val="2"/>
                <w:sz w:val="24"/>
                <w:szCs w:val="24"/>
                <w:lang w:val="en-US" w:eastAsia="zh-CN" w:bidi="ar-SA"/>
              </w:rPr>
              <w:t>成交</w:t>
            </w:r>
            <w:r>
              <w:rPr>
                <w:rFonts w:hint="eastAsia" w:asciiTheme="minorEastAsia" w:hAnsiTheme="minorEastAsia" w:eastAsiaTheme="minorEastAsia" w:cstheme="minorEastAsia"/>
                <w:kern w:val="2"/>
                <w:sz w:val="24"/>
                <w:szCs w:val="24"/>
                <w:lang w:val="en-US" w:eastAsia="en-US" w:bidi="ar-SA"/>
              </w:rPr>
              <w:t>服务费，领取</w:t>
            </w:r>
            <w:r>
              <w:rPr>
                <w:rFonts w:hint="eastAsia" w:asciiTheme="minorEastAsia" w:hAnsiTheme="minorEastAsia" w:eastAsiaTheme="minorEastAsia" w:cstheme="minorEastAsia"/>
                <w:kern w:val="2"/>
                <w:sz w:val="24"/>
                <w:szCs w:val="24"/>
                <w:lang w:val="en-US" w:eastAsia="zh-CN" w:bidi="ar-SA"/>
              </w:rPr>
              <w:t>成交</w:t>
            </w:r>
            <w:r>
              <w:rPr>
                <w:rFonts w:hint="eastAsia" w:asciiTheme="minorEastAsia" w:hAnsiTheme="minorEastAsia" w:eastAsiaTheme="minorEastAsia" w:cstheme="minorEastAsia"/>
                <w:kern w:val="2"/>
                <w:sz w:val="24"/>
                <w:szCs w:val="24"/>
                <w:lang w:val="en-US" w:eastAsia="en-US" w:bidi="ar-SA"/>
              </w:rPr>
              <w:t>通知书时</w:t>
            </w:r>
            <w:r>
              <w:rPr>
                <w:rFonts w:hint="eastAsia" w:asciiTheme="minorEastAsia" w:hAnsiTheme="minorEastAsia" w:eastAsiaTheme="minorEastAsia" w:cstheme="minorEastAsia"/>
                <w:kern w:val="2"/>
                <w:sz w:val="24"/>
                <w:szCs w:val="24"/>
                <w:lang w:val="en-US" w:eastAsia="zh-CN" w:bidi="ar-SA"/>
              </w:rPr>
              <w:t>由成交（中标）人向代理机构</w:t>
            </w:r>
            <w:r>
              <w:rPr>
                <w:rFonts w:hint="eastAsia" w:asciiTheme="minorEastAsia" w:hAnsiTheme="minorEastAsia" w:eastAsiaTheme="minorEastAsia" w:cstheme="minorEastAsia"/>
                <w:kern w:val="2"/>
                <w:sz w:val="24"/>
                <w:szCs w:val="24"/>
                <w:lang w:val="en-US" w:eastAsia="en-US" w:bidi="ar-SA"/>
              </w:rPr>
              <w:t>一次性支付。</w:t>
            </w:r>
          </w:p>
          <w:p w14:paraId="087A86EB">
            <w:pPr>
              <w:spacing w:line="500" w:lineRule="exact"/>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zh-CN" w:bidi="ar-SA"/>
              </w:rPr>
              <w:t>2.中标（成交）供应商在领取中标通知书时，须提供投标文件（上传稿）纸质资料两套，需加盖单位公章，胶装成册。</w:t>
            </w:r>
          </w:p>
        </w:tc>
      </w:tr>
      <w:tr w14:paraId="6CA6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974" w:type="dxa"/>
            <w:vAlign w:val="center"/>
          </w:tcPr>
          <w:p w14:paraId="09B09374">
            <w:pPr>
              <w:spacing w:line="500" w:lineRule="exact"/>
              <w:jc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sz w:val="24"/>
                <w:szCs w:val="24"/>
                <w:lang w:val="en-US" w:eastAsia="zh-CN"/>
              </w:rPr>
              <w:t>5.2</w:t>
            </w:r>
          </w:p>
        </w:tc>
        <w:tc>
          <w:tcPr>
            <w:tcW w:w="2072" w:type="dxa"/>
            <w:vAlign w:val="center"/>
          </w:tcPr>
          <w:p w14:paraId="030C4321">
            <w:pPr>
              <w:pStyle w:val="44"/>
              <w:spacing w:line="360" w:lineRule="exact"/>
              <w:jc w:val="center"/>
              <w:rPr>
                <w:rFonts w:hint="eastAsia" w:asciiTheme="minorEastAsia" w:hAnsiTheme="minorEastAsia" w:eastAsiaTheme="minorEastAsia" w:cstheme="minorEastAsia"/>
                <w:kern w:val="2"/>
                <w:sz w:val="24"/>
                <w:szCs w:val="24"/>
                <w:lang w:val="en-US" w:eastAsia="en-US" w:bidi="ar-SA"/>
              </w:rPr>
            </w:pPr>
            <w:r>
              <w:rPr>
                <w:rFonts w:hint="eastAsia" w:asciiTheme="minorEastAsia" w:hAnsiTheme="minorEastAsia" w:eastAsiaTheme="minorEastAsia" w:cstheme="minorEastAsia"/>
                <w:kern w:val="2"/>
                <w:sz w:val="24"/>
                <w:szCs w:val="24"/>
                <w:lang w:val="en-US" w:eastAsia="en-US" w:bidi="ar-SA"/>
              </w:rPr>
              <w:t>需要补充的其他内容</w:t>
            </w:r>
          </w:p>
        </w:tc>
        <w:tc>
          <w:tcPr>
            <w:tcW w:w="6447" w:type="dxa"/>
            <w:vAlign w:val="center"/>
          </w:tcPr>
          <w:p w14:paraId="7379D381">
            <w:pPr>
              <w:pStyle w:val="44"/>
              <w:spacing w:line="360" w:lineRule="exact"/>
              <w:ind w:firstLine="240" w:firstLineChars="100"/>
              <w:rPr>
                <w:rFonts w:hint="eastAsia" w:asciiTheme="minorEastAsia" w:hAnsiTheme="minorEastAsia" w:eastAsiaTheme="minorEastAsia" w:cstheme="minorEastAsia"/>
                <w:kern w:val="2"/>
                <w:sz w:val="24"/>
                <w:szCs w:val="24"/>
                <w:lang w:val="en-US" w:eastAsia="en-US" w:bidi="ar-SA"/>
              </w:rPr>
            </w:pPr>
            <w:r>
              <w:rPr>
                <w:rFonts w:hint="eastAsia" w:asciiTheme="minorEastAsia" w:hAnsiTheme="minorEastAsia" w:eastAsiaTheme="minorEastAsia" w:cstheme="minorEastAsia"/>
                <w:kern w:val="2"/>
                <w:sz w:val="24"/>
                <w:szCs w:val="24"/>
                <w:lang w:val="en-US" w:eastAsia="en-US" w:bidi="ar-SA"/>
              </w:rPr>
              <w:t>电子化</w:t>
            </w:r>
            <w:r>
              <w:rPr>
                <w:rFonts w:hint="eastAsia" w:asciiTheme="minorEastAsia" w:hAnsiTheme="minorEastAsia" w:eastAsiaTheme="minorEastAsia" w:cstheme="minorEastAsia"/>
                <w:kern w:val="2"/>
                <w:sz w:val="24"/>
                <w:szCs w:val="24"/>
                <w:lang w:val="en-US" w:eastAsia="zh-CN" w:bidi="ar-SA"/>
              </w:rPr>
              <w:t>磋商</w:t>
            </w:r>
            <w:r>
              <w:rPr>
                <w:rFonts w:hint="eastAsia" w:asciiTheme="minorEastAsia" w:hAnsiTheme="minorEastAsia" w:eastAsiaTheme="minorEastAsia" w:cstheme="minorEastAsia"/>
                <w:kern w:val="2"/>
                <w:sz w:val="24"/>
                <w:szCs w:val="24"/>
                <w:lang w:val="en-US" w:eastAsia="en-US" w:bidi="ar-SA"/>
              </w:rPr>
              <w:t>响应文件应在投标截止时间前成功上传至三门峡市公共资源电子化交易系统。至投标截止时间止，仍未上传成功的电子化</w:t>
            </w:r>
            <w:r>
              <w:rPr>
                <w:rFonts w:hint="eastAsia" w:asciiTheme="minorEastAsia" w:hAnsiTheme="minorEastAsia" w:eastAsiaTheme="minorEastAsia" w:cstheme="minorEastAsia"/>
                <w:kern w:val="2"/>
                <w:sz w:val="24"/>
                <w:szCs w:val="24"/>
                <w:lang w:val="en-US" w:eastAsia="zh-CN" w:bidi="ar-SA"/>
              </w:rPr>
              <w:t>磋商</w:t>
            </w:r>
            <w:r>
              <w:rPr>
                <w:rFonts w:hint="eastAsia" w:asciiTheme="minorEastAsia" w:hAnsiTheme="minorEastAsia" w:eastAsiaTheme="minorEastAsia" w:cstheme="minorEastAsia"/>
                <w:kern w:val="2"/>
                <w:sz w:val="24"/>
                <w:szCs w:val="24"/>
                <w:lang w:val="en-US" w:eastAsia="en-US" w:bidi="ar-SA"/>
              </w:rPr>
              <w:t>响应文件，将不予接受。</w:t>
            </w:r>
          </w:p>
        </w:tc>
      </w:tr>
      <w:tr w14:paraId="3482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vAlign w:val="center"/>
          </w:tcPr>
          <w:p w14:paraId="1EB019DA">
            <w:pPr>
              <w:pStyle w:val="44"/>
              <w:wordWrap w:val="0"/>
              <w:spacing w:line="360" w:lineRule="exact"/>
              <w:jc w:val="center"/>
              <w:rPr>
                <w:rFonts w:hint="default" w:asciiTheme="minorEastAsia" w:hAnsiTheme="minorEastAsia" w:eastAsiaTheme="minorEastAsia" w:cstheme="minorEastAsia"/>
                <w:kern w:val="2"/>
                <w:sz w:val="24"/>
                <w:szCs w:val="24"/>
                <w:lang w:val="en-US" w:eastAsia="zh-CN" w:bidi="ar-SA"/>
              </w:rPr>
            </w:pPr>
            <w:r>
              <w:rPr>
                <w:rFonts w:hint="eastAsia" w:asciiTheme="minorEastAsia" w:hAnsiTheme="minorEastAsia" w:cstheme="minorEastAsia"/>
                <w:kern w:val="2"/>
                <w:sz w:val="24"/>
                <w:szCs w:val="24"/>
                <w:lang w:val="en-US" w:eastAsia="zh-CN" w:bidi="ar-SA"/>
              </w:rPr>
              <w:t>5.3</w:t>
            </w:r>
          </w:p>
        </w:tc>
        <w:tc>
          <w:tcPr>
            <w:tcW w:w="2072" w:type="dxa"/>
            <w:vAlign w:val="center"/>
          </w:tcPr>
          <w:p w14:paraId="3A572E77">
            <w:pPr>
              <w:pStyle w:val="44"/>
              <w:spacing w:line="360" w:lineRule="exact"/>
              <w:jc w:val="center"/>
              <w:rPr>
                <w:rFonts w:hint="eastAsia" w:asciiTheme="minorEastAsia" w:hAnsiTheme="minorEastAsia" w:eastAsiaTheme="minorEastAsia" w:cstheme="minorEastAsia"/>
                <w:kern w:val="2"/>
                <w:sz w:val="24"/>
                <w:szCs w:val="24"/>
                <w:lang w:val="en-US" w:eastAsia="en-US" w:bidi="ar-SA"/>
              </w:rPr>
            </w:pPr>
            <w:r>
              <w:rPr>
                <w:rFonts w:hint="eastAsia" w:asciiTheme="minorEastAsia" w:hAnsiTheme="minorEastAsia" w:eastAsiaTheme="minorEastAsia" w:cstheme="minorEastAsia"/>
                <w:kern w:val="2"/>
                <w:sz w:val="24"/>
                <w:szCs w:val="24"/>
                <w:lang w:val="en-US" w:eastAsia="en-US" w:bidi="ar-SA"/>
              </w:rPr>
              <w:t>是否实行计算机辅助评标</w:t>
            </w:r>
          </w:p>
        </w:tc>
        <w:tc>
          <w:tcPr>
            <w:tcW w:w="6447" w:type="dxa"/>
            <w:vAlign w:val="center"/>
          </w:tcPr>
          <w:p w14:paraId="210965F0">
            <w:pPr>
              <w:pStyle w:val="44"/>
              <w:spacing w:line="360" w:lineRule="exact"/>
              <w:ind w:firstLine="240" w:firstLineChars="100"/>
              <w:rPr>
                <w:rFonts w:hint="eastAsia" w:asciiTheme="minorEastAsia" w:hAnsiTheme="minorEastAsia" w:eastAsiaTheme="minorEastAsia" w:cstheme="minorEastAsia"/>
                <w:kern w:val="2"/>
                <w:sz w:val="24"/>
                <w:szCs w:val="24"/>
                <w:lang w:val="en-US" w:eastAsia="zh-CN" w:bidi="ar-SA"/>
              </w:rPr>
            </w:pPr>
            <w:r>
              <w:rPr>
                <w:rFonts w:hint="eastAsia" w:asciiTheme="minorEastAsia" w:hAnsiTheme="minorEastAsia" w:eastAsiaTheme="minorEastAsia" w:cstheme="minorEastAsia"/>
                <w:kern w:val="2"/>
                <w:sz w:val="24"/>
                <w:szCs w:val="24"/>
                <w:lang w:val="en-US" w:eastAsia="en-US" w:bidi="ar-SA"/>
              </w:rPr>
              <w:t>是</w:t>
            </w:r>
          </w:p>
        </w:tc>
      </w:tr>
      <w:tr w14:paraId="03D0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vAlign w:val="center"/>
          </w:tcPr>
          <w:p w14:paraId="24E9DD53">
            <w:pPr>
              <w:pStyle w:val="44"/>
              <w:wordWrap w:val="0"/>
              <w:spacing w:line="360" w:lineRule="exact"/>
              <w:jc w:val="center"/>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kern w:val="2"/>
                <w:sz w:val="24"/>
                <w:szCs w:val="24"/>
                <w:lang w:val="en-US" w:eastAsia="zh-CN" w:bidi="ar-SA"/>
              </w:rPr>
              <w:t>5.4</w:t>
            </w:r>
          </w:p>
        </w:tc>
        <w:tc>
          <w:tcPr>
            <w:tcW w:w="2072" w:type="dxa"/>
            <w:vAlign w:val="center"/>
          </w:tcPr>
          <w:p w14:paraId="0CDA6045">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供应商代表出席开标会</w:t>
            </w:r>
          </w:p>
        </w:tc>
        <w:tc>
          <w:tcPr>
            <w:tcW w:w="6447" w:type="dxa"/>
            <w:vAlign w:val="center"/>
          </w:tcPr>
          <w:p w14:paraId="349FE1F3">
            <w:pPr>
              <w:spacing w:line="500" w:lineRule="exact"/>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en-US"/>
              </w:rPr>
              <w:t>本项目为不见面开标项目，开标当日，供应商无需到开标现场参加开标会议，供应商应当在投标截止时间前，登陆不见面开标大厅选择登陆三门峡市公共资源电子招投标系统进行登陆（网址为http://t.cn/A6huPROa）,在线准时参加开标活动并进行投标文件解密等。每位供应商的解密时间为开标时间起30分钟内完成。未按时解密的其投标将被否决。因供应商原因未能解密、解密失败或解密超时的将被拒绝。</w:t>
            </w:r>
          </w:p>
        </w:tc>
      </w:tr>
      <w:tr w14:paraId="2482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vAlign w:val="center"/>
          </w:tcPr>
          <w:p w14:paraId="7D2C593C">
            <w:pPr>
              <w:spacing w:line="500" w:lineRule="exact"/>
              <w:ind w:firstLine="240" w:firstLineChars="1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5.5</w:t>
            </w:r>
          </w:p>
        </w:tc>
        <w:tc>
          <w:tcPr>
            <w:tcW w:w="2072" w:type="dxa"/>
            <w:vAlign w:val="center"/>
          </w:tcPr>
          <w:p w14:paraId="37A5CE3E">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lang w:eastAsia="zh-CN"/>
              </w:rPr>
              <w:t>成交</w:t>
            </w:r>
            <w:r>
              <w:rPr>
                <w:rFonts w:hint="eastAsia" w:asciiTheme="minorEastAsia" w:hAnsiTheme="minorEastAsia" w:cstheme="minorEastAsia"/>
                <w:sz w:val="24"/>
                <w:szCs w:val="24"/>
              </w:rPr>
              <w:t>公</w:t>
            </w:r>
            <w:r>
              <w:rPr>
                <w:rFonts w:hint="eastAsia" w:asciiTheme="minorEastAsia" w:hAnsiTheme="minorEastAsia" w:cstheme="minorEastAsia"/>
                <w:sz w:val="24"/>
                <w:szCs w:val="24"/>
                <w:lang w:eastAsia="zh-CN"/>
              </w:rPr>
              <w:t>告</w:t>
            </w:r>
          </w:p>
        </w:tc>
        <w:tc>
          <w:tcPr>
            <w:tcW w:w="6447" w:type="dxa"/>
            <w:vAlign w:val="center"/>
          </w:tcPr>
          <w:p w14:paraId="4036876B">
            <w:pPr>
              <w:spacing w:line="500" w:lineRule="exact"/>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en-US"/>
              </w:rPr>
              <w:t>在《河南省电子招标投标公共服务平台》、《河南省政府采购网》、《三门峡市公共资源交易中心网》</w:t>
            </w:r>
            <w:r>
              <w:rPr>
                <w:rFonts w:hint="eastAsia" w:asciiTheme="minorEastAsia" w:hAnsiTheme="minorEastAsia" w:cstheme="minorEastAsia"/>
                <w:sz w:val="24"/>
                <w:szCs w:val="24"/>
                <w:lang w:val="en-US" w:eastAsia="zh-CN"/>
              </w:rPr>
              <w:t>、</w:t>
            </w:r>
            <w:r>
              <w:rPr>
                <w:rFonts w:hint="eastAsia" w:ascii="宋体" w:hAnsi="宋体" w:eastAsia="宋体" w:cs="宋体"/>
                <w:kern w:val="0"/>
                <w:sz w:val="24"/>
                <w:szCs w:val="24"/>
                <w:lang w:val="en-US" w:eastAsia="zh-CN"/>
              </w:rPr>
              <w:t>《中国招标投标公共服务平台》</w:t>
            </w:r>
            <w:r>
              <w:rPr>
                <w:rFonts w:hint="eastAsia" w:asciiTheme="minorEastAsia" w:hAnsiTheme="minorEastAsia" w:cstheme="minorEastAsia"/>
                <w:sz w:val="24"/>
                <w:szCs w:val="24"/>
                <w:lang w:val="en-US" w:eastAsia="en-US"/>
              </w:rPr>
              <w:t>同时进行公告，公示期</w:t>
            </w:r>
            <w:r>
              <w:rPr>
                <w:rFonts w:hint="eastAsia" w:asciiTheme="minorEastAsia" w:hAnsiTheme="minorEastAsia" w:cstheme="minorEastAsia"/>
                <w:sz w:val="24"/>
                <w:szCs w:val="24"/>
                <w:lang w:val="en-US" w:eastAsia="zh-CN"/>
              </w:rPr>
              <w:t>为七</w:t>
            </w:r>
            <w:r>
              <w:rPr>
                <w:rFonts w:hint="eastAsia" w:asciiTheme="minorEastAsia" w:hAnsiTheme="minorEastAsia" w:cstheme="minorEastAsia"/>
                <w:sz w:val="24"/>
                <w:szCs w:val="24"/>
                <w:lang w:val="en-US" w:eastAsia="en-US"/>
              </w:rPr>
              <w:t>个工作日。</w:t>
            </w:r>
          </w:p>
        </w:tc>
      </w:tr>
      <w:tr w14:paraId="260CE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vAlign w:val="center"/>
          </w:tcPr>
          <w:p w14:paraId="7A438697">
            <w:pPr>
              <w:spacing w:line="500" w:lineRule="exact"/>
              <w:ind w:firstLine="240" w:firstLineChars="1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5.6</w:t>
            </w:r>
          </w:p>
        </w:tc>
        <w:tc>
          <w:tcPr>
            <w:tcW w:w="2072" w:type="dxa"/>
            <w:vAlign w:val="center"/>
          </w:tcPr>
          <w:p w14:paraId="53BA182A">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知识产权</w:t>
            </w:r>
          </w:p>
        </w:tc>
        <w:tc>
          <w:tcPr>
            <w:tcW w:w="6447" w:type="dxa"/>
            <w:vAlign w:val="center"/>
          </w:tcPr>
          <w:p w14:paraId="23410715">
            <w:pPr>
              <w:spacing w:line="500" w:lineRule="exact"/>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en-US"/>
              </w:rPr>
              <w:t>构成本竞争性</w:t>
            </w:r>
            <w:r>
              <w:rPr>
                <w:rFonts w:hint="eastAsia" w:asciiTheme="minorEastAsia" w:hAnsiTheme="minorEastAsia" w:cstheme="minorEastAsia"/>
                <w:sz w:val="24"/>
                <w:szCs w:val="24"/>
                <w:lang w:val="en-US" w:eastAsia="zh-CN"/>
              </w:rPr>
              <w:t>磋商</w:t>
            </w:r>
            <w:r>
              <w:rPr>
                <w:rFonts w:hint="eastAsia" w:asciiTheme="minorEastAsia" w:hAnsiTheme="minorEastAsia" w:cstheme="minorEastAsia"/>
                <w:sz w:val="24"/>
                <w:szCs w:val="24"/>
                <w:lang w:val="en-US" w:eastAsia="en-US"/>
              </w:rPr>
              <w:t>文件各个组成部分的文件，未经采购人书面同意，供应商不得擅自复印和用于非本招标项目所需的其他目的。采购人全部或者部分使用未成交人磋商响应文件中的技术成果或技术方案时，需征得其书面同意，并不得擅自复印或提供给第三人。</w:t>
            </w:r>
          </w:p>
        </w:tc>
      </w:tr>
      <w:tr w14:paraId="751E0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vAlign w:val="center"/>
          </w:tcPr>
          <w:p w14:paraId="4B0C2FB3">
            <w:pPr>
              <w:spacing w:line="500" w:lineRule="exact"/>
              <w:ind w:firstLine="240" w:firstLineChars="1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5.7</w:t>
            </w:r>
          </w:p>
        </w:tc>
        <w:tc>
          <w:tcPr>
            <w:tcW w:w="2072" w:type="dxa"/>
            <w:vAlign w:val="center"/>
          </w:tcPr>
          <w:p w14:paraId="0EDB74AD">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解释权</w:t>
            </w:r>
          </w:p>
        </w:tc>
        <w:tc>
          <w:tcPr>
            <w:tcW w:w="6447" w:type="dxa"/>
            <w:vAlign w:val="center"/>
          </w:tcPr>
          <w:p w14:paraId="65DD098E">
            <w:pPr>
              <w:spacing w:line="500" w:lineRule="exact"/>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en-US"/>
              </w:rPr>
              <w:t>构成本磋商文件的各个组成文件应互为解释，互为说明；如有不明确或不一致，按磋商公告、供应商须知、评标办法、磋商文件格式的先后顺序解释；同一组成文件中就同一事项的规定或约定不一致的，以编排顺序在后者为准；同一组成文件不同版本之间有不一致的，以形成时间在后者为准。按本款前述规定仍不能形成结论的，由采购人负责解释。</w:t>
            </w:r>
          </w:p>
        </w:tc>
      </w:tr>
      <w:tr w14:paraId="02EEC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vAlign w:val="center"/>
          </w:tcPr>
          <w:p w14:paraId="6F4225A9">
            <w:pPr>
              <w:spacing w:line="500" w:lineRule="exact"/>
              <w:ind w:firstLine="240" w:firstLineChars="100"/>
              <w:jc w:val="left"/>
              <w:rPr>
                <w:rFonts w:hint="default"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zh-CN"/>
              </w:rPr>
              <w:t>5.8</w:t>
            </w:r>
          </w:p>
        </w:tc>
        <w:tc>
          <w:tcPr>
            <w:tcW w:w="2072" w:type="dxa"/>
            <w:vAlign w:val="center"/>
          </w:tcPr>
          <w:p w14:paraId="6279B4B0">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lang w:val="en-US" w:eastAsia="en-US"/>
              </w:rPr>
              <w:t>无效标条件</w:t>
            </w:r>
          </w:p>
        </w:tc>
        <w:tc>
          <w:tcPr>
            <w:tcW w:w="6447" w:type="dxa"/>
            <w:vAlign w:val="center"/>
          </w:tcPr>
          <w:p w14:paraId="7E61C6DB">
            <w:pPr>
              <w:spacing w:line="500" w:lineRule="exact"/>
              <w:jc w:val="left"/>
              <w:rPr>
                <w:rFonts w:hint="eastAsia" w:asciiTheme="minorEastAsia" w:hAnsiTheme="minorEastAsia" w:cstheme="minorEastAsia"/>
                <w:sz w:val="24"/>
                <w:szCs w:val="24"/>
                <w:lang w:val="en-US" w:eastAsia="en-US"/>
              </w:rPr>
            </w:pPr>
            <w:r>
              <w:rPr>
                <w:rFonts w:hint="eastAsia" w:asciiTheme="minorEastAsia" w:hAnsiTheme="minorEastAsia" w:cstheme="minorEastAsia"/>
                <w:sz w:val="24"/>
                <w:szCs w:val="24"/>
                <w:lang w:val="en-US" w:eastAsia="en-US"/>
              </w:rPr>
              <w:t>投标供应商资格条件不符合国家有关规定和</w:t>
            </w:r>
            <w:r>
              <w:rPr>
                <w:rFonts w:hint="eastAsia" w:asciiTheme="minorEastAsia" w:hAnsiTheme="minorEastAsia" w:cstheme="minorEastAsia"/>
                <w:sz w:val="24"/>
                <w:szCs w:val="24"/>
                <w:lang w:val="en-US" w:eastAsia="zh-CN"/>
              </w:rPr>
              <w:t>磋商</w:t>
            </w:r>
            <w:r>
              <w:rPr>
                <w:rFonts w:hint="eastAsia" w:asciiTheme="minorEastAsia" w:hAnsiTheme="minorEastAsia" w:cstheme="minorEastAsia"/>
                <w:sz w:val="24"/>
                <w:szCs w:val="24"/>
                <w:lang w:val="en-US" w:eastAsia="en-US"/>
              </w:rPr>
              <w:t>文件要求的；</w:t>
            </w:r>
          </w:p>
          <w:p w14:paraId="04CE5B82">
            <w:pPr>
              <w:spacing w:line="500" w:lineRule="exact"/>
              <w:jc w:val="left"/>
              <w:rPr>
                <w:rFonts w:hint="eastAsia" w:asciiTheme="minorEastAsia" w:hAnsiTheme="minorEastAsia" w:cstheme="minorEastAsia"/>
                <w:sz w:val="24"/>
                <w:szCs w:val="24"/>
                <w:lang w:val="en-US" w:eastAsia="en-US"/>
              </w:rPr>
            </w:pPr>
            <w:r>
              <w:rPr>
                <w:rFonts w:hint="eastAsia" w:asciiTheme="minorEastAsia" w:hAnsiTheme="minorEastAsia" w:cstheme="minorEastAsia"/>
                <w:sz w:val="24"/>
                <w:szCs w:val="24"/>
                <w:lang w:val="en-US" w:eastAsia="en-US"/>
              </w:rPr>
              <w:t>2、没有按照</w:t>
            </w:r>
            <w:r>
              <w:rPr>
                <w:rFonts w:hint="eastAsia" w:asciiTheme="minorEastAsia" w:hAnsiTheme="minorEastAsia" w:cstheme="minorEastAsia"/>
                <w:sz w:val="24"/>
                <w:szCs w:val="24"/>
                <w:lang w:val="en-US" w:eastAsia="zh-CN"/>
              </w:rPr>
              <w:t>磋商文件</w:t>
            </w:r>
            <w:r>
              <w:rPr>
                <w:rFonts w:hint="eastAsia" w:asciiTheme="minorEastAsia" w:hAnsiTheme="minorEastAsia" w:cstheme="minorEastAsia"/>
                <w:sz w:val="24"/>
                <w:szCs w:val="24"/>
                <w:lang w:val="en-US" w:eastAsia="en-US"/>
              </w:rPr>
              <w:t>要求提供投标承诺函；</w:t>
            </w:r>
          </w:p>
          <w:p w14:paraId="6CD36180">
            <w:pPr>
              <w:spacing w:line="500" w:lineRule="exact"/>
              <w:jc w:val="left"/>
              <w:rPr>
                <w:rFonts w:hint="eastAsia" w:asciiTheme="minorEastAsia" w:hAnsiTheme="minorEastAsia" w:cstheme="minorEastAsia"/>
                <w:sz w:val="24"/>
                <w:szCs w:val="24"/>
                <w:lang w:val="en-US" w:eastAsia="en-US"/>
              </w:rPr>
            </w:pPr>
            <w:r>
              <w:rPr>
                <w:rFonts w:hint="eastAsia" w:asciiTheme="minorEastAsia" w:hAnsiTheme="minorEastAsia" w:cstheme="minorEastAsia"/>
                <w:sz w:val="24"/>
                <w:szCs w:val="24"/>
                <w:lang w:val="en-US" w:eastAsia="en-US"/>
              </w:rPr>
              <w:t>3、电子化投标文件附有采购人不能接受的条件的；</w:t>
            </w:r>
          </w:p>
          <w:p w14:paraId="0F700822">
            <w:pPr>
              <w:spacing w:line="500" w:lineRule="exact"/>
              <w:jc w:val="left"/>
              <w:rPr>
                <w:rFonts w:hint="eastAsia" w:asciiTheme="minorEastAsia" w:hAnsiTheme="minorEastAsia" w:cstheme="minorEastAsia"/>
                <w:sz w:val="24"/>
                <w:szCs w:val="24"/>
                <w:lang w:val="en-US" w:eastAsia="en-US"/>
              </w:rPr>
            </w:pPr>
            <w:r>
              <w:rPr>
                <w:rFonts w:hint="eastAsia" w:asciiTheme="minorEastAsia" w:hAnsiTheme="minorEastAsia" w:cstheme="minorEastAsia"/>
                <w:sz w:val="24"/>
                <w:szCs w:val="24"/>
                <w:lang w:val="en-US" w:eastAsia="en-US"/>
              </w:rPr>
              <w:t>4、投标报价低于成本、高于</w:t>
            </w:r>
            <w:r>
              <w:rPr>
                <w:rFonts w:hint="eastAsia" w:asciiTheme="minorEastAsia" w:hAnsiTheme="minorEastAsia" w:cstheme="minorEastAsia"/>
                <w:sz w:val="24"/>
                <w:szCs w:val="24"/>
                <w:lang w:val="en-US" w:eastAsia="zh-CN"/>
              </w:rPr>
              <w:t>磋商文件</w:t>
            </w:r>
            <w:r>
              <w:rPr>
                <w:rFonts w:hint="eastAsia" w:asciiTheme="minorEastAsia" w:hAnsiTheme="minorEastAsia" w:cstheme="minorEastAsia"/>
                <w:sz w:val="24"/>
                <w:szCs w:val="24"/>
                <w:lang w:val="en-US" w:eastAsia="en-US"/>
              </w:rPr>
              <w:t>设定的最高投标限价；</w:t>
            </w:r>
          </w:p>
          <w:p w14:paraId="1F77BFD9">
            <w:pPr>
              <w:spacing w:line="500" w:lineRule="exact"/>
              <w:jc w:val="left"/>
              <w:rPr>
                <w:rFonts w:hint="eastAsia" w:asciiTheme="minorEastAsia" w:hAnsiTheme="minorEastAsia" w:cstheme="minorEastAsia"/>
                <w:sz w:val="24"/>
                <w:szCs w:val="24"/>
                <w:lang w:val="en-US" w:eastAsia="en-US"/>
              </w:rPr>
            </w:pPr>
            <w:r>
              <w:rPr>
                <w:rFonts w:hint="eastAsia" w:asciiTheme="minorEastAsia" w:hAnsiTheme="minorEastAsia" w:cstheme="minorEastAsia"/>
                <w:sz w:val="24"/>
                <w:szCs w:val="24"/>
                <w:lang w:val="en-US" w:eastAsia="en-US"/>
              </w:rPr>
              <w:t>5、以他人的名义投标、串通投标、以行贿手段谋取中标或者以其他弄虚作假方式投标的；</w:t>
            </w:r>
          </w:p>
          <w:p w14:paraId="6828EB8C">
            <w:pPr>
              <w:spacing w:line="500" w:lineRule="exact"/>
              <w:jc w:val="left"/>
              <w:rPr>
                <w:rFonts w:hint="eastAsia" w:asciiTheme="minorEastAsia" w:hAnsiTheme="minorEastAsia" w:cstheme="minorEastAsia"/>
                <w:sz w:val="24"/>
                <w:szCs w:val="24"/>
                <w:lang w:val="en-US" w:eastAsia="en-US"/>
              </w:rPr>
            </w:pPr>
            <w:r>
              <w:rPr>
                <w:rFonts w:hint="eastAsia" w:asciiTheme="minorEastAsia" w:hAnsiTheme="minorEastAsia" w:cstheme="minorEastAsia"/>
                <w:sz w:val="24"/>
                <w:szCs w:val="24"/>
                <w:lang w:val="en-US" w:eastAsia="en-US"/>
              </w:rPr>
              <w:t>6、采取不正当手段谋取中标的；</w:t>
            </w:r>
          </w:p>
          <w:p w14:paraId="73F714E2">
            <w:pPr>
              <w:spacing w:line="500" w:lineRule="exact"/>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en-US"/>
              </w:rPr>
              <w:t xml:space="preserve">7、法律、法规规定的其他情况。 </w:t>
            </w:r>
          </w:p>
        </w:tc>
      </w:tr>
      <w:tr w14:paraId="0B12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974" w:type="dxa"/>
            <w:vAlign w:val="center"/>
          </w:tcPr>
          <w:p w14:paraId="1F4FC76B">
            <w:pPr>
              <w:spacing w:line="500" w:lineRule="exact"/>
              <w:ind w:firstLine="240" w:firstLineChars="100"/>
              <w:jc w:val="left"/>
              <w:rPr>
                <w:rFonts w:hint="default"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5.9</w:t>
            </w:r>
          </w:p>
        </w:tc>
        <w:tc>
          <w:tcPr>
            <w:tcW w:w="2072" w:type="dxa"/>
            <w:vAlign w:val="center"/>
          </w:tcPr>
          <w:p w14:paraId="06DDCB82">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重新招标的其他情形</w:t>
            </w:r>
          </w:p>
        </w:tc>
        <w:tc>
          <w:tcPr>
            <w:tcW w:w="6447" w:type="dxa"/>
            <w:vAlign w:val="center"/>
          </w:tcPr>
          <w:p w14:paraId="2D504EFD">
            <w:pPr>
              <w:spacing w:line="500" w:lineRule="exact"/>
              <w:jc w:val="left"/>
              <w:rPr>
                <w:rFonts w:hint="eastAsia" w:asciiTheme="minorEastAsia" w:hAnsiTheme="minorEastAsia" w:cstheme="minorEastAsia"/>
                <w:sz w:val="24"/>
                <w:szCs w:val="24"/>
                <w:lang w:val="en-US" w:eastAsia="zh-CN"/>
              </w:rPr>
            </w:pPr>
            <w:r>
              <w:rPr>
                <w:rFonts w:hint="eastAsia" w:asciiTheme="minorEastAsia" w:hAnsiTheme="minorEastAsia" w:cstheme="minorEastAsia"/>
                <w:sz w:val="24"/>
                <w:szCs w:val="24"/>
                <w:lang w:val="en-US" w:eastAsia="en-US"/>
              </w:rPr>
              <w:t>除响应人须知正文规定的情形外，除非已经产生</w:t>
            </w:r>
            <w:r>
              <w:rPr>
                <w:rFonts w:hint="eastAsia" w:asciiTheme="minorEastAsia" w:hAnsiTheme="minorEastAsia" w:cstheme="minorEastAsia"/>
                <w:sz w:val="24"/>
                <w:szCs w:val="24"/>
                <w:lang w:val="en-US" w:eastAsia="zh-CN"/>
              </w:rPr>
              <w:t>成交</w:t>
            </w:r>
            <w:r>
              <w:rPr>
                <w:rFonts w:hint="eastAsia" w:asciiTheme="minorEastAsia" w:hAnsiTheme="minorEastAsia" w:cstheme="minorEastAsia"/>
                <w:sz w:val="24"/>
                <w:szCs w:val="24"/>
                <w:lang w:val="en-US" w:eastAsia="en-US"/>
              </w:rPr>
              <w:t>候选人，在磋商有效期内同意延长磋商有效期的响应人少于三个的，采购人应当依法重新招标。</w:t>
            </w:r>
          </w:p>
        </w:tc>
      </w:tr>
      <w:tr w14:paraId="278E8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9493" w:type="dxa"/>
            <w:gridSpan w:val="3"/>
            <w:vAlign w:val="center"/>
          </w:tcPr>
          <w:p w14:paraId="6B8399CA">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本项目为电子化交易项目，磋商响应文件是供应商、供应商（以下简称“供应商”）通过中心磋商响应文件制作系统制作，并经过电子签章和加密后生成的电子版磋商响应文件。供应商投标时，不须提交纸质文件资料。</w:t>
            </w:r>
          </w:p>
          <w:p w14:paraId="7DB01B05">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电子化磋商响应文件具体制作教材请供应商通过CA证书登录三门峡市公共资源电子化交易系统在 “交易智库”中下载操作流程。</w:t>
            </w:r>
          </w:p>
          <w:p w14:paraId="5D414F61">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温馨提示：本项目为电子化、无纸化交易项目，投标时不接受任何纸质资料，为保证您能投标成功，请需仔细阅读以下条款。</w:t>
            </w:r>
          </w:p>
          <w:p w14:paraId="3916AF86">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一、电子化投标</w:t>
            </w:r>
          </w:p>
          <w:p w14:paraId="7226ADAA">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（一）电子化磋商响应文件的签章</w:t>
            </w:r>
          </w:p>
          <w:p w14:paraId="0F9884CB">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1、供应商在生成电子化磋商响应文件后，应对电子化磋商响应文件进行签章，未进行签章的视为无效投标。</w:t>
            </w:r>
          </w:p>
          <w:p w14:paraId="729CCDDC">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2、磋商文件中要求法定代表人或授权委托人签字或盖章的，供应商在进行电子化磋商响应文件签章时，以签盖法定代表人签章为准。电子化磋商响应文件具体制作教材请供应商通过CA证书登录三门峡市公共资源电子化交易系统在右上角“交易智库”中查看。电子化磋商响应文件工具请点击http://t.cn/A6ZvtVob进行下载。</w:t>
            </w:r>
          </w:p>
          <w:p w14:paraId="57D488E6">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（二）电子化磋商响应文件的格式及上传投标</w:t>
            </w:r>
          </w:p>
          <w:p w14:paraId="4DF69B0B">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1、供应商所上传的电子化磋商响应文件，应是通过中心磋商响应文件制作系统制作的（磋商响应文件制作工具下载地址：http://t.cn/A6ZvtVob），经过签章和加密后生成的电子版磋商响应文件。其中包含用于磋商响应文件上传的主文件（后缀为.smxtf）和用于应急补救的磋商响应文件备份文件（后缀为.nsmxtf）。备份文件主要用于电子化开标出现技术问题后的补救，请供应商随身携带。</w:t>
            </w:r>
          </w:p>
          <w:p w14:paraId="12B5ACB2">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注：供应商投报多个标段的，需要每个标段单独制作电子磋商响应文件。</w:t>
            </w:r>
          </w:p>
          <w:p w14:paraId="2CFFEFEB">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2、电子化磋商响应文件应在投标截止时间前成功上传至三门峡市公共资源电子化交易系统。至投标截止时间止，仍未上传成功的电子化磋商响应文件将不予接收。</w:t>
            </w:r>
          </w:p>
          <w:p w14:paraId="33C43BFE">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注：如按照电子化投标操作教材制作完成的电子化磋商响应文件无法上传的，供应商应在投标截止时间前尽早的联系中心技术人员，以便有充分的时间进行处理。供应商应充分考虑到处理技术问题和上传数据等工作所需的时间问题，磋商响应文件未在投标截止时间前成功上传的，其磋商响应文件不予接收。</w:t>
            </w:r>
          </w:p>
          <w:p w14:paraId="3F60CF0E">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技术联系电话：400-998-0000</w:t>
            </w:r>
          </w:p>
          <w:p w14:paraId="6197619B">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（三）电子化项目开标、解密、唱标、评标</w:t>
            </w:r>
          </w:p>
          <w:p w14:paraId="242001D9">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1、本项目采用电子化、无纸化进行招标，开标当日，供应商无需到开标现场参加开标会议，供应商应当在投标截止时间前，登陆不见面开标大厅选择登陆三门峡市公共资源电子招投标系统进行登陆,在线准时参加开标活动并进行磋商响应文件解密等。</w:t>
            </w:r>
          </w:p>
          <w:p w14:paraId="151AA5A4">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2、电子化磋商响应文件采用一次加密方式。开标时，由供应商使用CA证书，在规定时间内对其电子化磋商响应文件进行解密。每位供应商的解密时间为开标时间起30分钟内，如在规定时间内未完成解密的，其磋商响应文件不予开标、唱标。</w:t>
            </w:r>
          </w:p>
          <w:p w14:paraId="199C8335">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3、电子化磋商响应文件解密异常的处理</w:t>
            </w:r>
          </w:p>
          <w:p w14:paraId="35BA5BF7">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如出现供应商的电子磋商响应文件无法解密等异常情况，供应商应及时致电中介服务机构说明。磋商响应文件异常，按以下步骤进行处理：</w:t>
            </w:r>
          </w:p>
          <w:p w14:paraId="29A646CD">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（1）首先由技术人员进行问题排查。</w:t>
            </w:r>
          </w:p>
          <w:p w14:paraId="54F76F1A">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（2）经技术人员排查后，是供应商文件自身问题导致磋商响应文件无法解密的，该磋商响应文件将不予接收、解密和唱标。开标会议继续进行。</w:t>
            </w:r>
          </w:p>
          <w:p w14:paraId="3A092042">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3）经技术人员排查后，如果是电子化交易系统问题造成磋商响应文件无法解密的，将由技术人员对问题进行处理。如短时间内问题无法解决的，将由中介服务机构向监督部门申请，经监督部门同意后，暂停开标会议，待问题解决后继续开标。</w:t>
            </w:r>
          </w:p>
          <w:p w14:paraId="547F2F23">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4、待所有供应商磋商响应文件解密完成后，由中介服务机构操作，对所有已解密磋商响应文件进行唱标。</w:t>
            </w:r>
          </w:p>
          <w:p w14:paraId="661ECA0A">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供应商应保证在开标期间电话、电脑、网络能够正常工作，供应商因停电、电脑病毒、网络堵塞等原因，未在规定的解密时间内对磋商响应文件进行解密的，其磋商响应文件不予接收、唱标。</w:t>
            </w:r>
          </w:p>
          <w:p w14:paraId="53B1C7B7">
            <w:pPr>
              <w:spacing w:line="500" w:lineRule="exact"/>
              <w:jc w:val="left"/>
              <w:rPr>
                <w:rFonts w:hint="eastAsia" w:asciiTheme="minorEastAsia" w:hAnsiTheme="minorEastAsia" w:cstheme="minorEastAsia"/>
                <w:sz w:val="24"/>
                <w:szCs w:val="24"/>
                <w:lang w:val="en-US" w:eastAsia="zh-CN"/>
              </w:rPr>
            </w:pPr>
            <w:r>
              <w:rPr>
                <w:rFonts w:hint="eastAsia" w:ascii="宋体" w:hAnsi="宋体" w:eastAsia="宋体" w:cs="宋体"/>
                <w:bCs/>
                <w:color w:val="000000"/>
                <w:sz w:val="21"/>
                <w:szCs w:val="21"/>
                <w:lang w:val="en-US" w:eastAsia="zh-CN"/>
              </w:rPr>
              <w:t>5</w:t>
            </w:r>
            <w:r>
              <w:rPr>
                <w:rFonts w:hint="eastAsia" w:asciiTheme="minorEastAsia" w:hAnsiTheme="minorEastAsia" w:cstheme="minorEastAsia"/>
                <w:sz w:val="24"/>
                <w:szCs w:val="24"/>
                <w:lang w:val="en-US" w:eastAsia="zh-CN"/>
              </w:rPr>
              <w:t>、开标时投标人可登录到交易系统中在开标解密栏中点击报价一览表查看自己的投标报价。如对自己的唱标内容有异议的，应在投标人解密成功后10分钟内通过开标大厅对话框向中介服务机构提出质疑。中介服务机构应在监督人员的监督下接受投标人的质疑通过开标大厅对话框进行答复并做好书面记录。投标人未在规定时间内提出质疑的，视为认可唱标内容；</w:t>
            </w:r>
          </w:p>
          <w:p w14:paraId="7014E3A8">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6、评标时，</w:t>
            </w:r>
            <w:r>
              <w:rPr>
                <w:rFonts w:hint="eastAsia" w:asciiTheme="minorEastAsia" w:hAnsiTheme="minorEastAsia" w:cstheme="minorEastAsia"/>
                <w:sz w:val="24"/>
                <w:szCs w:val="24"/>
                <w:lang w:val="en-US" w:eastAsia="zh-CN"/>
              </w:rPr>
              <w:t>评标委员会</w:t>
            </w:r>
            <w:r>
              <w:rPr>
                <w:rFonts w:hint="eastAsia" w:asciiTheme="minorEastAsia" w:hAnsiTheme="minorEastAsia" w:cstheme="minorEastAsia"/>
                <w:sz w:val="24"/>
                <w:szCs w:val="24"/>
              </w:rPr>
              <w:t>对电子化投标文件有质疑的，将通过电子化交易系统向</w:t>
            </w:r>
            <w:r>
              <w:rPr>
                <w:rFonts w:hint="eastAsia" w:asciiTheme="minorEastAsia" w:hAnsiTheme="minorEastAsia" w:cstheme="minorEastAsia"/>
                <w:sz w:val="24"/>
                <w:szCs w:val="24"/>
                <w:lang w:val="en-US" w:eastAsia="zh-CN"/>
              </w:rPr>
              <w:t>投标人</w:t>
            </w:r>
            <w:r>
              <w:rPr>
                <w:rFonts w:hint="eastAsia" w:asciiTheme="minorEastAsia" w:hAnsiTheme="minorEastAsia" w:cstheme="minorEastAsia"/>
                <w:sz w:val="24"/>
                <w:szCs w:val="24"/>
              </w:rPr>
              <w:t>发起质疑。</w:t>
            </w:r>
            <w:r>
              <w:rPr>
                <w:rFonts w:hint="eastAsia" w:asciiTheme="minorEastAsia" w:hAnsiTheme="minorEastAsia" w:cstheme="minorEastAsia"/>
                <w:sz w:val="24"/>
                <w:szCs w:val="24"/>
                <w:lang w:val="en-US" w:eastAsia="zh-CN"/>
              </w:rPr>
              <w:t>投标人</w:t>
            </w:r>
            <w:r>
              <w:rPr>
                <w:rFonts w:hint="eastAsia" w:asciiTheme="minorEastAsia" w:hAnsiTheme="minorEastAsia" w:cstheme="minorEastAsia"/>
                <w:sz w:val="24"/>
                <w:szCs w:val="24"/>
              </w:rPr>
              <w:t>的回复文件必须以经过</w:t>
            </w:r>
            <w:r>
              <w:rPr>
                <w:rFonts w:hint="eastAsia" w:asciiTheme="minorEastAsia" w:hAnsiTheme="minorEastAsia" w:cstheme="minorEastAsia"/>
                <w:sz w:val="24"/>
                <w:szCs w:val="24"/>
                <w:lang w:val="en-US" w:eastAsia="zh-CN"/>
              </w:rPr>
              <w:t>投标单位</w:t>
            </w:r>
            <w:r>
              <w:rPr>
                <w:rFonts w:hint="eastAsia" w:asciiTheme="minorEastAsia" w:hAnsiTheme="minorEastAsia" w:cstheme="minorEastAsia"/>
                <w:sz w:val="24"/>
                <w:szCs w:val="24"/>
              </w:rPr>
              <w:t>和其法定代表人签章的PDF式文件为准，并通过电子化交易系统提交至</w:t>
            </w:r>
            <w:r>
              <w:rPr>
                <w:rFonts w:hint="eastAsia" w:asciiTheme="minorEastAsia" w:hAnsiTheme="minorEastAsia" w:cstheme="minorEastAsia"/>
                <w:sz w:val="24"/>
                <w:szCs w:val="24"/>
                <w:lang w:val="en-US" w:eastAsia="zh-CN"/>
              </w:rPr>
              <w:t>评标委员会；</w:t>
            </w:r>
          </w:p>
          <w:p w14:paraId="46EF97A4">
            <w:pPr>
              <w:spacing w:line="500" w:lineRule="exact"/>
              <w:jc w:val="left"/>
              <w:rPr>
                <w:rFonts w:hint="eastAsia" w:asciiTheme="minorEastAsia" w:hAnsiTheme="minorEastAsia" w:cstheme="minorEastAsia"/>
                <w:sz w:val="24"/>
                <w:szCs w:val="24"/>
              </w:rPr>
            </w:pPr>
            <w:r>
              <w:rPr>
                <w:rFonts w:hint="eastAsia" w:asciiTheme="minorEastAsia" w:hAnsiTheme="minorEastAsia" w:cstheme="minorEastAsia"/>
                <w:sz w:val="24"/>
                <w:szCs w:val="24"/>
              </w:rPr>
              <w:t>7、如评标委员会对需要回复的投标人</w:t>
            </w:r>
            <w:r>
              <w:rPr>
                <w:rFonts w:hint="eastAsia" w:asciiTheme="minorEastAsia" w:hAnsiTheme="minorEastAsia" w:cstheme="minorEastAsia"/>
                <w:sz w:val="24"/>
                <w:szCs w:val="24"/>
                <w:lang w:val="en-US" w:eastAsia="zh-CN"/>
              </w:rPr>
              <w:t>在规定时间内通过电子化交易系统未回复的</w:t>
            </w:r>
            <w:r>
              <w:rPr>
                <w:rFonts w:hint="eastAsia" w:asciiTheme="minorEastAsia" w:hAnsiTheme="minorEastAsia" w:cstheme="minorEastAsia"/>
                <w:sz w:val="24"/>
                <w:szCs w:val="24"/>
              </w:rPr>
              <w:t>，视为投标人放弃回复，评标委员会将自行对需要回复的内容进行认定</w:t>
            </w:r>
            <w:r>
              <w:rPr>
                <w:rFonts w:hint="eastAsia" w:asciiTheme="minorEastAsia" w:hAnsiTheme="minorEastAsia" w:cstheme="minorEastAsia"/>
                <w:sz w:val="24"/>
                <w:szCs w:val="24"/>
                <w:lang w:eastAsia="zh-CN"/>
              </w:rPr>
              <w:t>。</w:t>
            </w:r>
          </w:p>
          <w:p w14:paraId="3AF77107">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二、相关证书原件的提交</w:t>
            </w:r>
          </w:p>
          <w:p w14:paraId="4908AB7D">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本项目实行资格后审，审查内容以投标截止时间前在三门峡市公共资源交易系统上传的投标文件的信息为准。 其上传资料真实性由响应人自行承担，同时，响应人要完善主体库。评审小组对原件的核验工作按以下条款进行：</w:t>
            </w:r>
          </w:p>
          <w:p w14:paraId="49AB2686">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一）评标时，评委先查阅响应文件中是否具有该资料的原件扫描件，其上传资料真实性由响应人自行承担，同时，响应人需要完善主体库信息。本项目需要提交的原件扫描件以响应截止时间前在以响应人自行上传到响应文件中的相应内容为准。规定时间外上传或更改的信息不作为评标依据。评标时不接受响应人所提交的任何原件。</w:t>
            </w:r>
          </w:p>
          <w:p w14:paraId="1A0F9AC9">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（二）响应人需应仔细阅读操作手册，保证上传内容齐全，真实有效，原件扫描件清晰可辨。因响应人上传原因导致应得分项而未得分或资格审查不合格等情况的，由响应人自行承担责任。    </w:t>
            </w:r>
          </w:p>
          <w:p w14:paraId="557A1EF3">
            <w:pPr>
              <w:wordWrap w:val="0"/>
              <w:topLinePunct/>
              <w:spacing w:line="500" w:lineRule="exact"/>
              <w:jc w:val="left"/>
              <w:rPr>
                <w:rFonts w:asciiTheme="minorEastAsia" w:hAnsiTheme="minorEastAsia" w:cstheme="minorEastAsia"/>
                <w:sz w:val="24"/>
                <w:szCs w:val="24"/>
              </w:rPr>
            </w:pPr>
            <w:r>
              <w:rPr>
                <w:rFonts w:hint="eastAsia" w:ascii="宋体" w:hAnsi="宋体" w:eastAsia="宋体" w:cs="宋体"/>
                <w:b w:val="0"/>
                <w:bCs w:val="0"/>
                <w:color w:val="auto"/>
                <w:sz w:val="24"/>
                <w:szCs w:val="24"/>
                <w:highlight w:val="none"/>
                <w:lang w:val="en-US" w:eastAsia="zh-CN"/>
              </w:rPr>
              <w:t>提示：本项目为电子化、无纸化交易项目，开标时不再接受任何纸质资料，为保证您能开标成功，请需仔细阅读以上条款。</w:t>
            </w:r>
          </w:p>
        </w:tc>
      </w:tr>
    </w:tbl>
    <w:p w14:paraId="1B1DA61C">
      <w:pPr>
        <w:wordWrap w:val="0"/>
        <w:topLinePunct/>
        <w:spacing w:line="360" w:lineRule="auto"/>
        <w:rPr>
          <w:rFonts w:ascii="宋体" w:hAnsi="宋体" w:eastAsia="宋体" w:cs="宋体"/>
          <w:b/>
          <w:bCs/>
          <w:sz w:val="24"/>
          <w:szCs w:val="24"/>
        </w:rPr>
      </w:pPr>
      <w:bookmarkStart w:id="10" w:name="_Toc269470294"/>
      <w:bookmarkStart w:id="11" w:name="_Toc30034"/>
      <w:bookmarkStart w:id="12" w:name="_Toc270604575"/>
    </w:p>
    <w:p w14:paraId="1BA85C95">
      <w:pPr>
        <w:numPr>
          <w:ilvl w:val="0"/>
          <w:numId w:val="3"/>
        </w:numPr>
        <w:tabs>
          <w:tab w:val="left" w:pos="360"/>
        </w:tabs>
        <w:wordWrap w:val="0"/>
        <w:topLinePunct/>
        <w:autoSpaceDE w:val="0"/>
        <w:autoSpaceDN w:val="0"/>
        <w:adjustRightInd w:val="0"/>
        <w:snapToGrid w:val="0"/>
        <w:spacing w:line="500" w:lineRule="exact"/>
        <w:contextualSpacing/>
        <w:outlineLvl w:val="1"/>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bCs/>
          <w:sz w:val="24"/>
          <w:szCs w:val="24"/>
        </w:rPr>
        <w:t xml:space="preserve"> </w:t>
      </w:r>
      <w:bookmarkStart w:id="13" w:name="_Toc12193"/>
      <w:bookmarkStart w:id="14" w:name="_Toc23774427"/>
      <w:r>
        <w:rPr>
          <w:rFonts w:hint="eastAsia" w:asciiTheme="majorEastAsia" w:hAnsiTheme="majorEastAsia" w:eastAsiaTheme="majorEastAsia" w:cstheme="majorEastAsia"/>
          <w:b/>
          <w:bCs/>
          <w:sz w:val="24"/>
          <w:szCs w:val="24"/>
        </w:rPr>
        <w:t>总则</w:t>
      </w:r>
      <w:bookmarkEnd w:id="10"/>
      <w:bookmarkEnd w:id="11"/>
      <w:bookmarkEnd w:id="12"/>
      <w:bookmarkEnd w:id="13"/>
      <w:bookmarkEnd w:id="14"/>
    </w:p>
    <w:p w14:paraId="56F9C435">
      <w:pPr>
        <w:keepNext/>
        <w:keepLines/>
        <w:numPr>
          <w:ilvl w:val="1"/>
          <w:numId w:val="4"/>
        </w:numPr>
        <w:wordWrap w:val="0"/>
        <w:topLinePunct/>
        <w:spacing w:line="500" w:lineRule="exact"/>
        <w:jc w:val="left"/>
        <w:outlineLvl w:val="2"/>
        <w:rPr>
          <w:rFonts w:asciiTheme="majorEastAsia" w:hAnsiTheme="majorEastAsia" w:eastAsiaTheme="majorEastAsia" w:cstheme="majorEastAsia"/>
          <w:b/>
          <w:sz w:val="24"/>
          <w:szCs w:val="24"/>
        </w:rPr>
      </w:pPr>
      <w:bookmarkStart w:id="15" w:name="_Toc13394"/>
      <w:bookmarkStart w:id="16" w:name="_Toc25531"/>
      <w:bookmarkStart w:id="17" w:name="_Toc454788009"/>
      <w:bookmarkStart w:id="18" w:name="_Toc27089"/>
      <w:bookmarkStart w:id="19" w:name="_Toc428276569"/>
      <w:bookmarkStart w:id="20" w:name="_Toc428351629"/>
      <w:bookmarkStart w:id="21" w:name="_Toc455678100"/>
      <w:bookmarkStart w:id="22" w:name="_Toc463011253"/>
      <w:bookmarkStart w:id="23" w:name="_Toc277149365"/>
      <w:bookmarkStart w:id="24" w:name="_Toc462934274"/>
      <w:r>
        <w:rPr>
          <w:rFonts w:hint="eastAsia" w:asciiTheme="majorEastAsia" w:hAnsiTheme="majorEastAsia" w:eastAsiaTheme="majorEastAsia" w:cstheme="majorEastAsia"/>
          <w:b/>
          <w:sz w:val="24"/>
          <w:szCs w:val="24"/>
        </w:rPr>
        <w:t>项目概况</w:t>
      </w:r>
      <w:bookmarkEnd w:id="15"/>
      <w:bookmarkEnd w:id="16"/>
      <w:bookmarkEnd w:id="17"/>
      <w:bookmarkEnd w:id="18"/>
      <w:bookmarkEnd w:id="19"/>
      <w:bookmarkEnd w:id="20"/>
      <w:bookmarkEnd w:id="21"/>
      <w:bookmarkEnd w:id="22"/>
      <w:bookmarkEnd w:id="23"/>
      <w:bookmarkEnd w:id="24"/>
    </w:p>
    <w:p w14:paraId="0ADEF421">
      <w:pPr>
        <w:numPr>
          <w:ilvl w:val="2"/>
          <w:numId w:val="4"/>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根据《中华人民共和国政府采购法》、《中华人民共和国政府采购法实施条例》、《政府采购竞争性磋商采购方式管理暂行办法》（财库〔2014〕214号）等有关法律、法规和规章的规定，本采购项目已具备竞争性磋商条件，现对本项目进行竞争性磋商。</w:t>
      </w:r>
    </w:p>
    <w:p w14:paraId="78C3A582">
      <w:pPr>
        <w:numPr>
          <w:ilvl w:val="2"/>
          <w:numId w:val="4"/>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采购人：供应商须知前附表中所述的，依法进行政府采购的国家机关、事业单位、团体组织。</w:t>
      </w:r>
    </w:p>
    <w:p w14:paraId="0C966EE3">
      <w:pPr>
        <w:numPr>
          <w:ilvl w:val="2"/>
          <w:numId w:val="4"/>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采购代理机构：受采购人委托组织采购活动，在采购过程中负有相应责任的社会中介组织。</w:t>
      </w:r>
    </w:p>
    <w:p w14:paraId="4B38C327">
      <w:pPr>
        <w:numPr>
          <w:ilvl w:val="2"/>
          <w:numId w:val="4"/>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采购方式：竞争性磋商。</w:t>
      </w:r>
    </w:p>
    <w:p w14:paraId="48E9F5E8">
      <w:pPr>
        <w:numPr>
          <w:ilvl w:val="2"/>
          <w:numId w:val="4"/>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项目名称及项目编号：见供应商须知前附表。</w:t>
      </w:r>
    </w:p>
    <w:p w14:paraId="015885F7">
      <w:pPr>
        <w:numPr>
          <w:ilvl w:val="2"/>
          <w:numId w:val="4"/>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lang w:eastAsia="zh-CN"/>
        </w:rPr>
        <w:t>服务</w:t>
      </w:r>
      <w:r>
        <w:rPr>
          <w:rFonts w:hint="eastAsia" w:asciiTheme="majorEastAsia" w:hAnsiTheme="majorEastAsia" w:eastAsiaTheme="majorEastAsia" w:cstheme="majorEastAsia"/>
          <w:sz w:val="24"/>
          <w:szCs w:val="24"/>
        </w:rPr>
        <w:t>地点：见供应商须知前附表。</w:t>
      </w:r>
    </w:p>
    <w:p w14:paraId="7BDBE206">
      <w:pPr>
        <w:keepNext/>
        <w:keepLines/>
        <w:numPr>
          <w:ilvl w:val="1"/>
          <w:numId w:val="4"/>
        </w:numPr>
        <w:wordWrap w:val="0"/>
        <w:topLinePunct/>
        <w:spacing w:line="500" w:lineRule="exact"/>
        <w:jc w:val="left"/>
        <w:outlineLvl w:val="2"/>
        <w:rPr>
          <w:rFonts w:asciiTheme="majorEastAsia" w:hAnsiTheme="majorEastAsia" w:eastAsiaTheme="majorEastAsia" w:cstheme="majorEastAsia"/>
          <w:b/>
          <w:sz w:val="24"/>
          <w:szCs w:val="24"/>
        </w:rPr>
      </w:pPr>
      <w:bookmarkStart w:id="25" w:name="_Toc270604577"/>
      <w:bookmarkStart w:id="26" w:name="_Toc463011254"/>
      <w:bookmarkStart w:id="27" w:name="_Toc269470296"/>
      <w:bookmarkStart w:id="28" w:name="_Toc455678101"/>
      <w:bookmarkStart w:id="29" w:name="_Toc19738"/>
      <w:bookmarkStart w:id="30" w:name="_Toc270604804"/>
      <w:bookmarkStart w:id="31" w:name="_Toc462934275"/>
      <w:bookmarkStart w:id="32" w:name="_Toc13259"/>
      <w:bookmarkStart w:id="33" w:name="_Toc428351630"/>
      <w:bookmarkStart w:id="34" w:name="_Toc29176"/>
      <w:bookmarkStart w:id="35" w:name="_Toc277149366"/>
      <w:bookmarkStart w:id="36" w:name="_Toc428276570"/>
      <w:bookmarkStart w:id="37" w:name="_Toc454788010"/>
      <w:r>
        <w:rPr>
          <w:rFonts w:hint="eastAsia" w:asciiTheme="majorEastAsia" w:hAnsiTheme="majorEastAsia" w:eastAsiaTheme="majorEastAsia" w:cstheme="majorEastAsia"/>
          <w:b/>
          <w:sz w:val="24"/>
          <w:szCs w:val="24"/>
        </w:rPr>
        <w:t>资金来源和落实情况</w:t>
      </w:r>
      <w:bookmarkEnd w:id="25"/>
      <w:bookmarkEnd w:id="26"/>
      <w:bookmarkEnd w:id="27"/>
      <w:bookmarkEnd w:id="28"/>
      <w:bookmarkEnd w:id="29"/>
      <w:bookmarkEnd w:id="30"/>
      <w:bookmarkEnd w:id="31"/>
      <w:bookmarkEnd w:id="32"/>
      <w:bookmarkEnd w:id="33"/>
      <w:bookmarkEnd w:id="34"/>
      <w:bookmarkEnd w:id="35"/>
      <w:bookmarkEnd w:id="36"/>
      <w:bookmarkEnd w:id="37"/>
    </w:p>
    <w:p w14:paraId="614C7017">
      <w:pPr>
        <w:numPr>
          <w:ilvl w:val="2"/>
          <w:numId w:val="4"/>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资金来源：见供应商须知前附表。</w:t>
      </w:r>
    </w:p>
    <w:p w14:paraId="301A533A">
      <w:pPr>
        <w:numPr>
          <w:ilvl w:val="2"/>
          <w:numId w:val="4"/>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预算金额：见供应商须知前附表。</w:t>
      </w:r>
    </w:p>
    <w:p w14:paraId="5CF03B3E">
      <w:pPr>
        <w:numPr>
          <w:ilvl w:val="2"/>
          <w:numId w:val="4"/>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资金落实情况：见供应商须知前附表。</w:t>
      </w:r>
    </w:p>
    <w:p w14:paraId="0ED612EA">
      <w:pPr>
        <w:keepNext/>
        <w:keepLines/>
        <w:numPr>
          <w:ilvl w:val="1"/>
          <w:numId w:val="4"/>
        </w:numPr>
        <w:wordWrap w:val="0"/>
        <w:topLinePunct/>
        <w:spacing w:line="500" w:lineRule="exact"/>
        <w:jc w:val="left"/>
        <w:outlineLvl w:val="2"/>
        <w:rPr>
          <w:rFonts w:asciiTheme="majorEastAsia" w:hAnsiTheme="majorEastAsia" w:eastAsiaTheme="majorEastAsia" w:cstheme="majorEastAsia"/>
          <w:b/>
          <w:sz w:val="24"/>
          <w:szCs w:val="24"/>
        </w:rPr>
      </w:pPr>
      <w:bookmarkStart w:id="38" w:name="_Toc20155"/>
      <w:bookmarkStart w:id="39" w:name="_Toc277149367"/>
      <w:bookmarkStart w:id="40" w:name="_Toc428351631"/>
      <w:bookmarkStart w:id="41" w:name="_Toc269470297"/>
      <w:bookmarkStart w:id="42" w:name="_Toc463011255"/>
      <w:bookmarkStart w:id="43" w:name="_Toc9637"/>
      <w:bookmarkStart w:id="44" w:name="_Toc270604578"/>
      <w:bookmarkStart w:id="45" w:name="_Toc74"/>
      <w:bookmarkStart w:id="46" w:name="_Toc428276571"/>
      <w:bookmarkStart w:id="47" w:name="_Toc462934276"/>
      <w:bookmarkStart w:id="48" w:name="_Toc454788011"/>
      <w:bookmarkStart w:id="49" w:name="_Toc455678102"/>
      <w:bookmarkStart w:id="50" w:name="_Toc270604805"/>
      <w:r>
        <w:rPr>
          <w:rFonts w:hint="eastAsia" w:asciiTheme="majorEastAsia" w:hAnsiTheme="majorEastAsia" w:eastAsiaTheme="majorEastAsia" w:cstheme="majorEastAsia"/>
          <w:b/>
          <w:sz w:val="24"/>
          <w:szCs w:val="24"/>
        </w:rPr>
        <w:t>磋商范围、计划工期</w:t>
      </w:r>
      <w:r>
        <w:rPr>
          <w:rFonts w:hint="eastAsia" w:asciiTheme="majorEastAsia" w:hAnsiTheme="majorEastAsia" w:eastAsiaTheme="majorEastAsia" w:cstheme="majorEastAsia"/>
          <w:b/>
          <w:sz w:val="24"/>
          <w:szCs w:val="24"/>
          <w:lang w:eastAsia="zh-CN"/>
        </w:rPr>
        <w:t>及监理周期</w:t>
      </w:r>
      <w:r>
        <w:rPr>
          <w:rFonts w:hint="eastAsia" w:asciiTheme="majorEastAsia" w:hAnsiTheme="majorEastAsia" w:eastAsiaTheme="majorEastAsia" w:cstheme="majorEastAsia"/>
          <w:b/>
          <w:sz w:val="24"/>
          <w:szCs w:val="24"/>
        </w:rPr>
        <w:t>和质量</w:t>
      </w:r>
      <w:bookmarkEnd w:id="38"/>
      <w:bookmarkEnd w:id="39"/>
      <w:bookmarkEnd w:id="40"/>
      <w:bookmarkEnd w:id="41"/>
      <w:bookmarkEnd w:id="42"/>
      <w:bookmarkEnd w:id="43"/>
      <w:bookmarkEnd w:id="44"/>
      <w:bookmarkEnd w:id="45"/>
      <w:bookmarkEnd w:id="46"/>
      <w:bookmarkEnd w:id="47"/>
      <w:bookmarkEnd w:id="48"/>
      <w:bookmarkEnd w:id="49"/>
      <w:bookmarkEnd w:id="50"/>
      <w:r>
        <w:rPr>
          <w:rFonts w:hint="eastAsia" w:asciiTheme="majorEastAsia" w:hAnsiTheme="majorEastAsia" w:eastAsiaTheme="majorEastAsia" w:cstheme="majorEastAsia"/>
          <w:b/>
          <w:sz w:val="24"/>
          <w:szCs w:val="24"/>
        </w:rPr>
        <w:t>标准</w:t>
      </w:r>
    </w:p>
    <w:p w14:paraId="04F5B389">
      <w:pPr>
        <w:numPr>
          <w:ilvl w:val="2"/>
          <w:numId w:val="4"/>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磋商范围：见供应商须知前附表。</w:t>
      </w:r>
    </w:p>
    <w:p w14:paraId="6F32C5E2">
      <w:pPr>
        <w:numPr>
          <w:ilvl w:val="2"/>
          <w:numId w:val="4"/>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b w:val="0"/>
          <w:bCs/>
          <w:sz w:val="24"/>
          <w:szCs w:val="24"/>
          <w:lang w:eastAsia="zh-CN"/>
        </w:rPr>
        <w:t>监理周期</w:t>
      </w:r>
      <w:r>
        <w:rPr>
          <w:rFonts w:hint="eastAsia" w:asciiTheme="majorEastAsia" w:hAnsiTheme="majorEastAsia" w:eastAsiaTheme="majorEastAsia" w:cstheme="majorEastAsia"/>
          <w:b w:val="0"/>
          <w:bCs/>
          <w:sz w:val="24"/>
          <w:szCs w:val="24"/>
        </w:rPr>
        <w:t>：</w:t>
      </w:r>
      <w:r>
        <w:rPr>
          <w:rFonts w:hint="eastAsia" w:asciiTheme="majorEastAsia" w:hAnsiTheme="majorEastAsia" w:eastAsiaTheme="majorEastAsia" w:cstheme="majorEastAsia"/>
          <w:sz w:val="24"/>
          <w:szCs w:val="24"/>
        </w:rPr>
        <w:t>见供应商须知前附表。</w:t>
      </w:r>
    </w:p>
    <w:p w14:paraId="2DB92684">
      <w:pPr>
        <w:numPr>
          <w:ilvl w:val="2"/>
          <w:numId w:val="4"/>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质量标准：见供应商须知前附表。</w:t>
      </w:r>
    </w:p>
    <w:p w14:paraId="15F0E366">
      <w:pPr>
        <w:keepNext/>
        <w:keepLines/>
        <w:numPr>
          <w:ilvl w:val="1"/>
          <w:numId w:val="4"/>
        </w:numPr>
        <w:wordWrap w:val="0"/>
        <w:topLinePunct/>
        <w:spacing w:line="500" w:lineRule="exact"/>
        <w:jc w:val="left"/>
        <w:outlineLvl w:val="2"/>
        <w:rPr>
          <w:rFonts w:asciiTheme="majorEastAsia" w:hAnsiTheme="majorEastAsia" w:eastAsiaTheme="majorEastAsia" w:cstheme="majorEastAsia"/>
          <w:b/>
          <w:color w:val="auto"/>
          <w:sz w:val="24"/>
          <w:szCs w:val="24"/>
        </w:rPr>
      </w:pPr>
      <w:bookmarkStart w:id="51" w:name="_Toc6648"/>
      <w:bookmarkStart w:id="52" w:name="_Toc455678103"/>
      <w:bookmarkStart w:id="53" w:name="_Toc462934277"/>
      <w:bookmarkStart w:id="54" w:name="_Toc463011256"/>
      <w:bookmarkStart w:id="55" w:name="_Toc428351632"/>
      <w:bookmarkStart w:id="56" w:name="_Toc454788012"/>
      <w:bookmarkStart w:id="57" w:name="_Toc270604579"/>
      <w:bookmarkStart w:id="58" w:name="_Toc269470298"/>
      <w:bookmarkStart w:id="59" w:name="_Toc270604806"/>
      <w:bookmarkStart w:id="60" w:name="_Toc16958"/>
      <w:bookmarkStart w:id="61" w:name="_Toc11519"/>
      <w:bookmarkStart w:id="62" w:name="_Toc428276572"/>
      <w:bookmarkStart w:id="63" w:name="_Toc277149368"/>
      <w:r>
        <w:rPr>
          <w:rFonts w:hint="eastAsia" w:asciiTheme="majorEastAsia" w:hAnsiTheme="majorEastAsia" w:eastAsiaTheme="majorEastAsia" w:cstheme="majorEastAsia"/>
          <w:b/>
          <w:color w:val="auto"/>
          <w:sz w:val="24"/>
          <w:szCs w:val="24"/>
        </w:rPr>
        <w:t>供应商资格要求</w:t>
      </w:r>
      <w:bookmarkEnd w:id="51"/>
      <w:bookmarkEnd w:id="52"/>
      <w:bookmarkEnd w:id="53"/>
      <w:bookmarkEnd w:id="54"/>
      <w:bookmarkEnd w:id="55"/>
      <w:bookmarkEnd w:id="56"/>
      <w:bookmarkEnd w:id="57"/>
      <w:bookmarkEnd w:id="58"/>
      <w:bookmarkEnd w:id="59"/>
      <w:bookmarkEnd w:id="60"/>
      <w:bookmarkEnd w:id="61"/>
      <w:bookmarkEnd w:id="62"/>
      <w:bookmarkEnd w:id="63"/>
    </w:p>
    <w:p w14:paraId="010DE4BF">
      <w:pPr>
        <w:keepNext w:val="0"/>
        <w:keepLines w:val="0"/>
        <w:pageBreakBefore w:val="0"/>
        <w:widowControl w:val="0"/>
        <w:numPr>
          <w:ilvl w:val="2"/>
          <w:numId w:val="4"/>
        </w:numPr>
        <w:kinsoku/>
        <w:wordWrap w:val="0"/>
        <w:overflowPunct/>
        <w:topLinePunct/>
        <w:bidi w:val="0"/>
        <w:snapToGrid/>
        <w:spacing w:line="500" w:lineRule="atLeast"/>
        <w:ind w:firstLine="480" w:firstLineChars="200"/>
        <w:textAlignment w:val="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供应商应具备的资格条件</w:t>
      </w:r>
    </w:p>
    <w:p w14:paraId="754DD192">
      <w:pPr>
        <w:pStyle w:val="31"/>
        <w:keepNext w:val="0"/>
        <w:keepLines w:val="0"/>
        <w:pageBreakBefore w:val="0"/>
        <w:widowControl w:val="0"/>
        <w:kinsoku/>
        <w:overflowPunct/>
        <w:bidi w:val="0"/>
        <w:snapToGrid/>
        <w:spacing w:line="500" w:lineRule="atLeast"/>
        <w:ind w:firstLine="1200" w:firstLineChars="500"/>
        <w:textAlignment w:val="auto"/>
        <w:rPr>
          <w:rFonts w:hint="default" w:eastAsiaTheme="majorEastAsia"/>
          <w:lang w:val="en-US" w:eastAsia="zh-CN"/>
        </w:rPr>
      </w:pPr>
      <w:r>
        <w:rPr>
          <w:rFonts w:hint="eastAsia" w:asciiTheme="majorEastAsia" w:hAnsiTheme="majorEastAsia" w:eastAsiaTheme="majorEastAsia" w:cstheme="majorEastAsia"/>
          <w:sz w:val="24"/>
          <w:szCs w:val="24"/>
          <w:lang w:val="en-US" w:eastAsia="zh-CN"/>
        </w:rPr>
        <w:t>见供应商须知前附表2.2供应商资质条件。</w:t>
      </w:r>
    </w:p>
    <w:p w14:paraId="73894177">
      <w:pPr>
        <w:numPr>
          <w:ilvl w:val="2"/>
          <w:numId w:val="4"/>
        </w:numPr>
        <w:wordWrap w:val="0"/>
        <w:topLinePunct/>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供应商不得存在下列情形之一：</w:t>
      </w:r>
    </w:p>
    <w:p w14:paraId="006E8E0C">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1</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与采购人存在利害关系且可能影响磋商公正性；</w:t>
      </w:r>
    </w:p>
    <w:p w14:paraId="04AEF3F3">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2</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与本磋商项目的其他供应商为同一个单位负责人；</w:t>
      </w:r>
    </w:p>
    <w:p w14:paraId="0CC28437">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3</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与本磋商项目的其他供应商存在控股、管理关系；</w:t>
      </w:r>
    </w:p>
    <w:p w14:paraId="21AA6953">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4</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为本项目的代建人；</w:t>
      </w:r>
    </w:p>
    <w:p w14:paraId="1FBB2CF7">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5</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与本项目的监理人或代建人或采购代理机构同为一个法定代表人；</w:t>
      </w:r>
    </w:p>
    <w:p w14:paraId="21624970">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6</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与本项目的监理人或代建人或采购代理机构存在控股或参股关系；</w:t>
      </w:r>
    </w:p>
    <w:p w14:paraId="4AE8740E">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7</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为本磋商项目的采购代理机构；</w:t>
      </w:r>
    </w:p>
    <w:p w14:paraId="66F25DF0">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8</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供应商以他人名义投标、串通投标、以行贿手段牟取中标，或在投标中弄虚作假的；</w:t>
      </w:r>
    </w:p>
    <w:p w14:paraId="08A04D7F">
      <w:pPr>
        <w:numPr>
          <w:ilvl w:val="0"/>
          <w:numId w:val="0"/>
        </w:numPr>
        <w:wordWrap w:val="0"/>
        <w:topLinePunct/>
        <w:autoSpaceDE w:val="0"/>
        <w:autoSpaceDN w:val="0"/>
        <w:adjustRightInd w:val="0"/>
        <w:spacing w:line="500" w:lineRule="exact"/>
        <w:ind w:leftChars="200" w:right="40" w:rightChars="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lang w:val="en-US" w:eastAsia="zh-CN"/>
        </w:rPr>
        <w:t>9</w:t>
      </w:r>
      <w:r>
        <w:rPr>
          <w:rFonts w:hint="eastAsia" w:asciiTheme="majorEastAsia" w:hAnsiTheme="majorEastAsia" w:eastAsiaTheme="majorEastAsia" w:cstheme="majorEastAsia"/>
          <w:kern w:val="0"/>
          <w:sz w:val="24"/>
          <w:szCs w:val="24"/>
          <w:lang w:eastAsia="zh-CN"/>
        </w:rPr>
        <w:t>）</w:t>
      </w:r>
      <w:r>
        <w:rPr>
          <w:rFonts w:hint="eastAsia" w:asciiTheme="majorEastAsia" w:hAnsiTheme="majorEastAsia" w:eastAsiaTheme="majorEastAsia" w:cstheme="majorEastAsia"/>
          <w:kern w:val="0"/>
          <w:sz w:val="24"/>
          <w:szCs w:val="24"/>
        </w:rPr>
        <w:t>法律法规规定的其他情形。</w:t>
      </w:r>
    </w:p>
    <w:p w14:paraId="48133DDE">
      <w:pPr>
        <w:keepNext/>
        <w:keepLines/>
        <w:numPr>
          <w:ilvl w:val="1"/>
          <w:numId w:val="4"/>
        </w:numPr>
        <w:wordWrap w:val="0"/>
        <w:topLinePunct/>
        <w:spacing w:line="500" w:lineRule="exact"/>
        <w:jc w:val="left"/>
        <w:outlineLvl w:val="2"/>
        <w:rPr>
          <w:rFonts w:asciiTheme="majorEastAsia" w:hAnsiTheme="majorEastAsia" w:eastAsiaTheme="majorEastAsia" w:cstheme="majorEastAsia"/>
          <w:b/>
          <w:sz w:val="24"/>
          <w:szCs w:val="24"/>
        </w:rPr>
      </w:pPr>
      <w:bookmarkStart w:id="64" w:name="_Toc277149369"/>
      <w:bookmarkStart w:id="65" w:name="_Toc428276573"/>
      <w:bookmarkStart w:id="66" w:name="_Toc428351633"/>
      <w:bookmarkStart w:id="67" w:name="_Toc28593"/>
      <w:bookmarkStart w:id="68" w:name="_Toc14128"/>
      <w:bookmarkStart w:id="69" w:name="_Toc463011257"/>
      <w:bookmarkStart w:id="70" w:name="_Toc270604580"/>
      <w:bookmarkStart w:id="71" w:name="_Toc462934278"/>
      <w:bookmarkStart w:id="72" w:name="_Toc455678104"/>
      <w:bookmarkStart w:id="73" w:name="_Toc270604807"/>
      <w:bookmarkStart w:id="74" w:name="_Toc454788013"/>
      <w:bookmarkStart w:id="75" w:name="_Toc269470299"/>
      <w:bookmarkStart w:id="76" w:name="_Toc19948"/>
      <w:r>
        <w:rPr>
          <w:rFonts w:hint="eastAsia" w:asciiTheme="majorEastAsia" w:hAnsiTheme="majorEastAsia" w:eastAsiaTheme="majorEastAsia" w:cstheme="majorEastAsia"/>
          <w:b/>
          <w:sz w:val="24"/>
          <w:szCs w:val="24"/>
        </w:rPr>
        <w:t>费用承担</w:t>
      </w:r>
      <w:bookmarkEnd w:id="64"/>
      <w:bookmarkEnd w:id="65"/>
      <w:bookmarkEnd w:id="66"/>
      <w:bookmarkEnd w:id="67"/>
      <w:bookmarkEnd w:id="68"/>
      <w:bookmarkEnd w:id="69"/>
      <w:bookmarkEnd w:id="70"/>
      <w:bookmarkEnd w:id="71"/>
      <w:bookmarkEnd w:id="72"/>
      <w:bookmarkEnd w:id="73"/>
      <w:bookmarkEnd w:id="74"/>
      <w:bookmarkEnd w:id="75"/>
      <w:bookmarkEnd w:id="76"/>
    </w:p>
    <w:p w14:paraId="3325E4ED">
      <w:pPr>
        <w:spacing w:line="500" w:lineRule="exact"/>
        <w:ind w:left="420" w:leftChars="200"/>
        <w:rPr>
          <w:rFonts w:asciiTheme="majorEastAsia" w:hAnsiTheme="majorEastAsia" w:eastAsiaTheme="majorEastAsia" w:cstheme="majorEastAsia"/>
          <w:sz w:val="24"/>
          <w:szCs w:val="24"/>
        </w:rPr>
      </w:pPr>
      <w:bookmarkStart w:id="77" w:name="_Toc270604581"/>
      <w:bookmarkStart w:id="78" w:name="_Toc428276574"/>
      <w:bookmarkStart w:id="79" w:name="_Toc463011258"/>
      <w:bookmarkStart w:id="80" w:name="_Toc428351634"/>
      <w:bookmarkStart w:id="81" w:name="_Toc269470300"/>
      <w:bookmarkStart w:id="82" w:name="_Toc7854"/>
      <w:bookmarkStart w:id="83" w:name="_Toc270604808"/>
      <w:bookmarkStart w:id="84" w:name="_Toc277149370"/>
      <w:bookmarkStart w:id="85" w:name="_Toc455678105"/>
      <w:bookmarkStart w:id="86" w:name="_Toc454788014"/>
      <w:bookmarkStart w:id="87" w:name="_Toc462934279"/>
      <w:bookmarkStart w:id="88" w:name="_Toc29742"/>
      <w:r>
        <w:rPr>
          <w:rFonts w:hint="eastAsia" w:asciiTheme="majorEastAsia" w:hAnsiTheme="majorEastAsia" w:eastAsiaTheme="majorEastAsia" w:cstheme="majorEastAsia"/>
          <w:sz w:val="24"/>
          <w:szCs w:val="24"/>
        </w:rPr>
        <w:t>供应商准备和参加竞争性磋商活动发生的费用自理。</w:t>
      </w:r>
    </w:p>
    <w:p w14:paraId="30434136">
      <w:pPr>
        <w:keepNext/>
        <w:keepLines/>
        <w:numPr>
          <w:ilvl w:val="1"/>
          <w:numId w:val="4"/>
        </w:numPr>
        <w:wordWrap w:val="0"/>
        <w:topLinePunct/>
        <w:spacing w:line="500" w:lineRule="exact"/>
        <w:jc w:val="left"/>
        <w:outlineLvl w:val="2"/>
        <w:rPr>
          <w:rFonts w:asciiTheme="majorEastAsia" w:hAnsiTheme="majorEastAsia" w:eastAsiaTheme="majorEastAsia" w:cstheme="majorEastAsia"/>
          <w:b/>
          <w:sz w:val="24"/>
          <w:szCs w:val="24"/>
        </w:rPr>
      </w:pPr>
      <w:bookmarkStart w:id="89" w:name="_Toc32336"/>
      <w:r>
        <w:rPr>
          <w:rFonts w:hint="eastAsia" w:asciiTheme="majorEastAsia" w:hAnsiTheme="majorEastAsia" w:eastAsiaTheme="majorEastAsia" w:cstheme="majorEastAsia"/>
          <w:b/>
          <w:sz w:val="24"/>
          <w:szCs w:val="24"/>
        </w:rPr>
        <w:t>保密</w:t>
      </w:r>
      <w:bookmarkEnd w:id="77"/>
      <w:bookmarkEnd w:id="78"/>
      <w:bookmarkEnd w:id="79"/>
      <w:bookmarkEnd w:id="80"/>
      <w:bookmarkEnd w:id="81"/>
      <w:bookmarkEnd w:id="82"/>
      <w:bookmarkEnd w:id="83"/>
      <w:bookmarkEnd w:id="84"/>
      <w:bookmarkEnd w:id="85"/>
      <w:bookmarkEnd w:id="86"/>
      <w:bookmarkEnd w:id="87"/>
      <w:bookmarkEnd w:id="88"/>
      <w:bookmarkEnd w:id="89"/>
    </w:p>
    <w:p w14:paraId="649DDA26">
      <w:pPr>
        <w:spacing w:line="500" w:lineRule="exact"/>
        <w:ind w:firstLine="480" w:firstLineChars="200"/>
        <w:rPr>
          <w:rFonts w:asciiTheme="majorEastAsia" w:hAnsiTheme="majorEastAsia" w:eastAsiaTheme="majorEastAsia" w:cstheme="majorEastAsia"/>
          <w:sz w:val="24"/>
          <w:szCs w:val="24"/>
        </w:rPr>
      </w:pPr>
      <w:bookmarkStart w:id="90" w:name="_Toc428351635"/>
      <w:bookmarkStart w:id="91" w:name="_Toc462934280"/>
      <w:bookmarkStart w:id="92" w:name="_Toc454788015"/>
      <w:bookmarkStart w:id="93" w:name="_Toc269470301"/>
      <w:bookmarkStart w:id="94" w:name="_Toc19438"/>
      <w:bookmarkStart w:id="95" w:name="_Toc428276575"/>
      <w:bookmarkStart w:id="96" w:name="_Toc270604809"/>
      <w:bookmarkStart w:id="97" w:name="_Toc455678106"/>
      <w:bookmarkStart w:id="98" w:name="_Toc463011259"/>
      <w:bookmarkStart w:id="99" w:name="_Toc277149371"/>
      <w:bookmarkStart w:id="100" w:name="_Toc7606"/>
      <w:bookmarkStart w:id="101" w:name="_Toc270604582"/>
      <w:r>
        <w:rPr>
          <w:rFonts w:hint="eastAsia" w:asciiTheme="majorEastAsia" w:hAnsiTheme="majorEastAsia" w:eastAsiaTheme="majorEastAsia" w:cstheme="majorEastAsia"/>
          <w:sz w:val="24"/>
          <w:szCs w:val="24"/>
        </w:rPr>
        <w:t>参与竞争性磋商活动的各方应对竞争性磋商文件和响应文件中的商业和技术等秘密保密，否则应承担相应的法律责任。</w:t>
      </w:r>
    </w:p>
    <w:p w14:paraId="5A8798E8">
      <w:pPr>
        <w:keepNext/>
        <w:keepLines/>
        <w:numPr>
          <w:ilvl w:val="1"/>
          <w:numId w:val="4"/>
        </w:numPr>
        <w:wordWrap w:val="0"/>
        <w:topLinePunct/>
        <w:spacing w:line="500" w:lineRule="exact"/>
        <w:jc w:val="left"/>
        <w:outlineLvl w:val="2"/>
        <w:rPr>
          <w:rFonts w:asciiTheme="majorEastAsia" w:hAnsiTheme="majorEastAsia" w:eastAsiaTheme="majorEastAsia" w:cstheme="majorEastAsia"/>
          <w:b/>
          <w:sz w:val="24"/>
          <w:szCs w:val="24"/>
        </w:rPr>
      </w:pPr>
      <w:bookmarkStart w:id="102" w:name="_Toc25734"/>
      <w:r>
        <w:rPr>
          <w:rFonts w:hint="eastAsia" w:asciiTheme="majorEastAsia" w:hAnsiTheme="majorEastAsia" w:eastAsiaTheme="majorEastAsia" w:cstheme="majorEastAsia"/>
          <w:b/>
          <w:sz w:val="24"/>
          <w:szCs w:val="24"/>
        </w:rPr>
        <w:t>语言文字</w:t>
      </w:r>
      <w:bookmarkEnd w:id="90"/>
      <w:bookmarkEnd w:id="91"/>
      <w:bookmarkEnd w:id="92"/>
      <w:bookmarkEnd w:id="93"/>
      <w:bookmarkEnd w:id="94"/>
      <w:bookmarkEnd w:id="95"/>
      <w:bookmarkEnd w:id="96"/>
      <w:bookmarkEnd w:id="97"/>
      <w:bookmarkEnd w:id="98"/>
      <w:bookmarkEnd w:id="99"/>
      <w:bookmarkEnd w:id="100"/>
      <w:bookmarkEnd w:id="101"/>
      <w:bookmarkEnd w:id="102"/>
    </w:p>
    <w:p w14:paraId="63B9738F">
      <w:pPr>
        <w:spacing w:line="500" w:lineRule="exact"/>
        <w:ind w:firstLine="480" w:firstLineChars="200"/>
        <w:rPr>
          <w:rFonts w:asciiTheme="majorEastAsia" w:hAnsiTheme="majorEastAsia" w:eastAsiaTheme="majorEastAsia" w:cstheme="majorEastAsia"/>
          <w:sz w:val="24"/>
          <w:szCs w:val="24"/>
        </w:rPr>
      </w:pPr>
      <w:bookmarkStart w:id="103" w:name="_Toc463011260"/>
      <w:bookmarkStart w:id="104" w:name="_Toc9894"/>
      <w:bookmarkStart w:id="105" w:name="_Toc29299"/>
      <w:bookmarkStart w:id="106" w:name="_Toc454788016"/>
      <w:bookmarkStart w:id="107" w:name="_Toc462934281"/>
      <w:bookmarkStart w:id="108" w:name="_Toc269470302"/>
      <w:bookmarkStart w:id="109" w:name="_Toc270604583"/>
      <w:bookmarkStart w:id="110" w:name="_Toc428351636"/>
      <w:bookmarkStart w:id="111" w:name="_Toc277149372"/>
      <w:bookmarkStart w:id="112" w:name="_Toc455678107"/>
      <w:bookmarkStart w:id="113" w:name="_Toc428276576"/>
      <w:bookmarkStart w:id="114" w:name="_Toc270604810"/>
      <w:r>
        <w:rPr>
          <w:rFonts w:hint="eastAsia" w:asciiTheme="majorEastAsia" w:hAnsiTheme="majorEastAsia" w:eastAsiaTheme="majorEastAsia" w:cstheme="majorEastAsia"/>
          <w:kern w:val="0"/>
          <w:sz w:val="24"/>
          <w:szCs w:val="24"/>
        </w:rPr>
        <w:t>竞争性磋商文件及响应文件</w:t>
      </w:r>
      <w:r>
        <w:rPr>
          <w:rFonts w:hint="eastAsia" w:asciiTheme="majorEastAsia" w:hAnsiTheme="majorEastAsia" w:eastAsiaTheme="majorEastAsia" w:cstheme="majorEastAsia"/>
          <w:spacing w:val="-2"/>
          <w:kern w:val="0"/>
          <w:sz w:val="24"/>
          <w:szCs w:val="24"/>
        </w:rPr>
        <w:t>使</w:t>
      </w:r>
      <w:r>
        <w:rPr>
          <w:rFonts w:hint="eastAsia" w:asciiTheme="majorEastAsia" w:hAnsiTheme="majorEastAsia" w:eastAsiaTheme="majorEastAsia" w:cstheme="majorEastAsia"/>
          <w:kern w:val="0"/>
          <w:sz w:val="24"/>
          <w:szCs w:val="24"/>
        </w:rPr>
        <w:t>用语</w:t>
      </w:r>
      <w:r>
        <w:rPr>
          <w:rFonts w:hint="eastAsia" w:asciiTheme="majorEastAsia" w:hAnsiTheme="majorEastAsia" w:eastAsiaTheme="majorEastAsia" w:cstheme="majorEastAsia"/>
          <w:spacing w:val="-2"/>
          <w:kern w:val="0"/>
          <w:sz w:val="24"/>
          <w:szCs w:val="24"/>
        </w:rPr>
        <w:t>言</w:t>
      </w:r>
      <w:r>
        <w:rPr>
          <w:rFonts w:hint="eastAsia" w:asciiTheme="majorEastAsia" w:hAnsiTheme="majorEastAsia" w:eastAsiaTheme="majorEastAsia" w:cstheme="majorEastAsia"/>
          <w:kern w:val="0"/>
          <w:sz w:val="24"/>
          <w:szCs w:val="24"/>
        </w:rPr>
        <w:t>文字应</w:t>
      </w:r>
      <w:r>
        <w:rPr>
          <w:rFonts w:hint="eastAsia" w:asciiTheme="majorEastAsia" w:hAnsiTheme="majorEastAsia" w:eastAsiaTheme="majorEastAsia" w:cstheme="majorEastAsia"/>
          <w:spacing w:val="-2"/>
          <w:kern w:val="0"/>
          <w:sz w:val="24"/>
          <w:szCs w:val="24"/>
        </w:rPr>
        <w:t>为</w:t>
      </w:r>
      <w:r>
        <w:rPr>
          <w:rFonts w:hint="eastAsia" w:asciiTheme="majorEastAsia" w:hAnsiTheme="majorEastAsia" w:eastAsiaTheme="majorEastAsia" w:cstheme="majorEastAsia"/>
          <w:kern w:val="0"/>
          <w:sz w:val="24"/>
          <w:szCs w:val="24"/>
        </w:rPr>
        <w:t>中</w:t>
      </w:r>
      <w:r>
        <w:rPr>
          <w:rFonts w:hint="eastAsia" w:asciiTheme="majorEastAsia" w:hAnsiTheme="majorEastAsia" w:eastAsiaTheme="majorEastAsia" w:cstheme="majorEastAsia"/>
          <w:spacing w:val="-2"/>
          <w:kern w:val="0"/>
          <w:sz w:val="24"/>
          <w:szCs w:val="24"/>
        </w:rPr>
        <w:t>文</w:t>
      </w:r>
      <w:r>
        <w:rPr>
          <w:rFonts w:hint="eastAsia" w:asciiTheme="majorEastAsia" w:hAnsiTheme="majorEastAsia" w:eastAsiaTheme="majorEastAsia" w:cstheme="majorEastAsia"/>
          <w:kern w:val="0"/>
          <w:sz w:val="24"/>
          <w:szCs w:val="24"/>
        </w:rPr>
        <w:t>。</w:t>
      </w:r>
      <w:r>
        <w:rPr>
          <w:rFonts w:hint="eastAsia" w:asciiTheme="majorEastAsia" w:hAnsiTheme="majorEastAsia" w:eastAsiaTheme="majorEastAsia" w:cstheme="majorEastAsia"/>
          <w:spacing w:val="-2"/>
          <w:kern w:val="0"/>
          <w:sz w:val="24"/>
          <w:szCs w:val="24"/>
        </w:rPr>
        <w:t>专</w:t>
      </w:r>
      <w:r>
        <w:rPr>
          <w:rFonts w:hint="eastAsia" w:asciiTheme="majorEastAsia" w:hAnsiTheme="majorEastAsia" w:eastAsiaTheme="majorEastAsia" w:cstheme="majorEastAsia"/>
          <w:kern w:val="0"/>
          <w:sz w:val="24"/>
          <w:szCs w:val="24"/>
        </w:rPr>
        <w:t>用</w:t>
      </w:r>
      <w:r>
        <w:rPr>
          <w:rFonts w:hint="eastAsia" w:asciiTheme="majorEastAsia" w:hAnsiTheme="majorEastAsia" w:eastAsiaTheme="majorEastAsia" w:cstheme="majorEastAsia"/>
          <w:spacing w:val="-2"/>
          <w:kern w:val="0"/>
          <w:sz w:val="24"/>
          <w:szCs w:val="24"/>
        </w:rPr>
        <w:t>术</w:t>
      </w:r>
      <w:r>
        <w:rPr>
          <w:rFonts w:hint="eastAsia" w:asciiTheme="majorEastAsia" w:hAnsiTheme="majorEastAsia" w:eastAsiaTheme="majorEastAsia" w:cstheme="majorEastAsia"/>
          <w:kern w:val="0"/>
          <w:sz w:val="24"/>
          <w:szCs w:val="24"/>
        </w:rPr>
        <w:t>语</w:t>
      </w:r>
      <w:r>
        <w:rPr>
          <w:rFonts w:hint="eastAsia" w:asciiTheme="majorEastAsia" w:hAnsiTheme="majorEastAsia" w:eastAsiaTheme="majorEastAsia" w:cstheme="majorEastAsia"/>
          <w:spacing w:val="-2"/>
          <w:kern w:val="0"/>
          <w:sz w:val="24"/>
          <w:szCs w:val="24"/>
        </w:rPr>
        <w:t>使</w:t>
      </w:r>
      <w:r>
        <w:rPr>
          <w:rFonts w:hint="eastAsia" w:asciiTheme="majorEastAsia" w:hAnsiTheme="majorEastAsia" w:eastAsiaTheme="majorEastAsia" w:cstheme="majorEastAsia"/>
          <w:kern w:val="0"/>
          <w:sz w:val="24"/>
          <w:szCs w:val="24"/>
        </w:rPr>
        <w:t>用外</w:t>
      </w:r>
      <w:r>
        <w:rPr>
          <w:rFonts w:hint="eastAsia" w:asciiTheme="majorEastAsia" w:hAnsiTheme="majorEastAsia" w:eastAsiaTheme="majorEastAsia" w:cstheme="majorEastAsia"/>
          <w:spacing w:val="-2"/>
          <w:kern w:val="0"/>
          <w:sz w:val="24"/>
          <w:szCs w:val="24"/>
        </w:rPr>
        <w:t>文</w:t>
      </w:r>
      <w:r>
        <w:rPr>
          <w:rFonts w:hint="eastAsia" w:asciiTheme="majorEastAsia" w:hAnsiTheme="majorEastAsia" w:eastAsiaTheme="majorEastAsia" w:cstheme="majorEastAsia"/>
          <w:kern w:val="0"/>
          <w:sz w:val="24"/>
          <w:szCs w:val="24"/>
        </w:rPr>
        <w:t>的</w:t>
      </w:r>
      <w:r>
        <w:rPr>
          <w:rFonts w:hint="eastAsia" w:asciiTheme="majorEastAsia" w:hAnsiTheme="majorEastAsia" w:eastAsiaTheme="majorEastAsia" w:cstheme="majorEastAsia"/>
          <w:spacing w:val="-2"/>
          <w:kern w:val="0"/>
          <w:sz w:val="24"/>
          <w:szCs w:val="24"/>
        </w:rPr>
        <w:t>，</w:t>
      </w:r>
      <w:r>
        <w:rPr>
          <w:rFonts w:hint="eastAsia" w:asciiTheme="majorEastAsia" w:hAnsiTheme="majorEastAsia" w:eastAsiaTheme="majorEastAsia" w:cstheme="majorEastAsia"/>
          <w:kern w:val="0"/>
          <w:sz w:val="24"/>
          <w:szCs w:val="24"/>
        </w:rPr>
        <w:t>应</w:t>
      </w:r>
      <w:r>
        <w:rPr>
          <w:rFonts w:hint="eastAsia" w:asciiTheme="majorEastAsia" w:hAnsiTheme="majorEastAsia" w:eastAsiaTheme="majorEastAsia" w:cstheme="majorEastAsia"/>
          <w:spacing w:val="-2"/>
          <w:kern w:val="0"/>
          <w:sz w:val="24"/>
          <w:szCs w:val="24"/>
        </w:rPr>
        <w:t>附</w:t>
      </w:r>
      <w:r>
        <w:rPr>
          <w:rFonts w:hint="eastAsia" w:asciiTheme="majorEastAsia" w:hAnsiTheme="majorEastAsia" w:eastAsiaTheme="majorEastAsia" w:cstheme="majorEastAsia"/>
          <w:kern w:val="0"/>
          <w:sz w:val="24"/>
          <w:szCs w:val="24"/>
        </w:rPr>
        <w:t>有</w:t>
      </w:r>
      <w:r>
        <w:rPr>
          <w:rFonts w:hint="eastAsia" w:asciiTheme="majorEastAsia" w:hAnsiTheme="majorEastAsia" w:eastAsiaTheme="majorEastAsia" w:cstheme="majorEastAsia"/>
          <w:spacing w:val="-2"/>
          <w:kern w:val="0"/>
          <w:sz w:val="24"/>
          <w:szCs w:val="24"/>
        </w:rPr>
        <w:t>中</w:t>
      </w:r>
      <w:r>
        <w:rPr>
          <w:rFonts w:hint="eastAsia" w:asciiTheme="majorEastAsia" w:hAnsiTheme="majorEastAsia" w:eastAsiaTheme="majorEastAsia" w:cstheme="majorEastAsia"/>
          <w:kern w:val="0"/>
          <w:sz w:val="24"/>
          <w:szCs w:val="24"/>
        </w:rPr>
        <w:t>文</w:t>
      </w:r>
      <w:r>
        <w:rPr>
          <w:rFonts w:hint="eastAsia" w:asciiTheme="majorEastAsia" w:hAnsiTheme="majorEastAsia" w:eastAsiaTheme="majorEastAsia" w:cstheme="majorEastAsia"/>
          <w:spacing w:val="-2"/>
          <w:kern w:val="0"/>
          <w:sz w:val="24"/>
          <w:szCs w:val="24"/>
        </w:rPr>
        <w:t>注</w:t>
      </w:r>
      <w:r>
        <w:rPr>
          <w:rFonts w:hint="eastAsia" w:asciiTheme="majorEastAsia" w:hAnsiTheme="majorEastAsia" w:eastAsiaTheme="majorEastAsia" w:cstheme="majorEastAsia"/>
          <w:kern w:val="0"/>
          <w:sz w:val="24"/>
          <w:szCs w:val="24"/>
        </w:rPr>
        <w:t>释</w:t>
      </w:r>
      <w:r>
        <w:rPr>
          <w:rFonts w:hint="eastAsia" w:asciiTheme="majorEastAsia" w:hAnsiTheme="majorEastAsia" w:eastAsiaTheme="majorEastAsia" w:cstheme="majorEastAsia"/>
          <w:sz w:val="24"/>
          <w:szCs w:val="24"/>
        </w:rPr>
        <w:t>。</w:t>
      </w:r>
    </w:p>
    <w:p w14:paraId="4007B5EF">
      <w:pPr>
        <w:keepNext/>
        <w:keepLines/>
        <w:numPr>
          <w:ilvl w:val="1"/>
          <w:numId w:val="4"/>
        </w:numPr>
        <w:wordWrap w:val="0"/>
        <w:topLinePunct/>
        <w:spacing w:line="500" w:lineRule="exact"/>
        <w:jc w:val="left"/>
        <w:outlineLvl w:val="2"/>
        <w:rPr>
          <w:rFonts w:asciiTheme="majorEastAsia" w:hAnsiTheme="majorEastAsia" w:eastAsiaTheme="majorEastAsia" w:cstheme="majorEastAsia"/>
          <w:b/>
          <w:sz w:val="24"/>
          <w:szCs w:val="24"/>
        </w:rPr>
      </w:pPr>
      <w:bookmarkStart w:id="115" w:name="_Toc30996"/>
      <w:r>
        <w:rPr>
          <w:rFonts w:hint="eastAsia" w:asciiTheme="majorEastAsia" w:hAnsiTheme="majorEastAsia" w:eastAsiaTheme="majorEastAsia" w:cstheme="majorEastAsia"/>
          <w:b/>
          <w:sz w:val="24"/>
          <w:szCs w:val="24"/>
        </w:rPr>
        <w:t>计量单位</w:t>
      </w:r>
      <w:bookmarkEnd w:id="103"/>
      <w:bookmarkEnd w:id="104"/>
      <w:bookmarkEnd w:id="105"/>
      <w:bookmarkEnd w:id="106"/>
      <w:bookmarkEnd w:id="107"/>
      <w:bookmarkEnd w:id="108"/>
      <w:bookmarkEnd w:id="109"/>
      <w:bookmarkEnd w:id="110"/>
      <w:bookmarkEnd w:id="111"/>
      <w:bookmarkEnd w:id="112"/>
      <w:bookmarkEnd w:id="113"/>
      <w:bookmarkEnd w:id="114"/>
      <w:bookmarkEnd w:id="115"/>
    </w:p>
    <w:p w14:paraId="2E1B0331">
      <w:pPr>
        <w:wordWrap w:val="0"/>
        <w:topLinePunct/>
        <w:autoSpaceDE w:val="0"/>
        <w:autoSpaceDN w:val="0"/>
        <w:adjustRightInd w:val="0"/>
        <w:snapToGrid w:val="0"/>
        <w:spacing w:line="500" w:lineRule="exact"/>
        <w:ind w:firstLine="480" w:firstLineChars="200"/>
        <w:contextualSpacing/>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所有计量均采用中华人民共和国法定计量标准单位。</w:t>
      </w:r>
    </w:p>
    <w:p w14:paraId="162788B7">
      <w:pPr>
        <w:keepNext/>
        <w:keepLines/>
        <w:numPr>
          <w:ilvl w:val="1"/>
          <w:numId w:val="4"/>
        </w:numPr>
        <w:wordWrap w:val="0"/>
        <w:topLinePunct/>
        <w:spacing w:line="500" w:lineRule="exact"/>
        <w:jc w:val="left"/>
        <w:outlineLvl w:val="2"/>
        <w:rPr>
          <w:rFonts w:asciiTheme="majorEastAsia" w:hAnsiTheme="majorEastAsia" w:eastAsiaTheme="majorEastAsia" w:cstheme="majorEastAsia"/>
          <w:b/>
          <w:sz w:val="24"/>
          <w:szCs w:val="24"/>
        </w:rPr>
      </w:pPr>
      <w:bookmarkStart w:id="116" w:name="_Toc23956"/>
      <w:bookmarkStart w:id="117" w:name="_Toc455678112"/>
      <w:bookmarkStart w:id="118" w:name="_Toc463011265"/>
      <w:bookmarkStart w:id="119" w:name="_Toc462934286"/>
      <w:bookmarkStart w:id="120" w:name="_Toc17145"/>
      <w:bookmarkStart w:id="121" w:name="_Toc11809"/>
      <w:r>
        <w:rPr>
          <w:rFonts w:hint="eastAsia" w:asciiTheme="majorEastAsia" w:hAnsiTheme="majorEastAsia" w:eastAsiaTheme="majorEastAsia" w:cstheme="majorEastAsia"/>
          <w:b/>
          <w:sz w:val="24"/>
          <w:szCs w:val="24"/>
        </w:rPr>
        <w:t>选择性报价方案</w:t>
      </w:r>
      <w:bookmarkEnd w:id="116"/>
      <w:bookmarkEnd w:id="117"/>
      <w:bookmarkEnd w:id="118"/>
      <w:bookmarkEnd w:id="119"/>
      <w:bookmarkEnd w:id="120"/>
      <w:bookmarkEnd w:id="121"/>
    </w:p>
    <w:p w14:paraId="27B18F74">
      <w:pPr>
        <w:tabs>
          <w:tab w:val="left" w:pos="720"/>
          <w:tab w:val="left" w:pos="1320"/>
        </w:tabs>
        <w:wordWrap w:val="0"/>
        <w:topLinePunct/>
        <w:snapToGrid w:val="0"/>
        <w:spacing w:line="500" w:lineRule="exact"/>
        <w:ind w:firstLine="480" w:firstLineChars="200"/>
        <w:contextualSpacing/>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选择性报价方案：见供应商须知前附表。</w:t>
      </w:r>
    </w:p>
    <w:p w14:paraId="5A6A63F9">
      <w:pPr>
        <w:numPr>
          <w:ilvl w:val="0"/>
          <w:numId w:val="3"/>
        </w:numPr>
        <w:tabs>
          <w:tab w:val="left" w:pos="360"/>
        </w:tabs>
        <w:wordWrap w:val="0"/>
        <w:topLinePunct/>
        <w:autoSpaceDE w:val="0"/>
        <w:autoSpaceDN w:val="0"/>
        <w:adjustRightInd w:val="0"/>
        <w:snapToGrid w:val="0"/>
        <w:spacing w:line="500" w:lineRule="exact"/>
        <w:contextualSpacing/>
        <w:outlineLvl w:val="1"/>
        <w:rPr>
          <w:rFonts w:asciiTheme="majorEastAsia" w:hAnsiTheme="majorEastAsia" w:eastAsiaTheme="majorEastAsia" w:cstheme="majorEastAsia"/>
          <w:b/>
          <w:bCs/>
          <w:sz w:val="24"/>
          <w:szCs w:val="24"/>
        </w:rPr>
      </w:pPr>
      <w:bookmarkStart w:id="122" w:name="_Toc6260"/>
      <w:bookmarkStart w:id="123" w:name="_Toc270604588"/>
      <w:r>
        <w:rPr>
          <w:rFonts w:hint="eastAsia" w:asciiTheme="majorEastAsia" w:hAnsiTheme="majorEastAsia" w:eastAsiaTheme="majorEastAsia" w:cstheme="majorEastAsia"/>
          <w:b/>
          <w:bCs/>
          <w:sz w:val="24"/>
          <w:szCs w:val="24"/>
        </w:rPr>
        <w:t xml:space="preserve"> </w:t>
      </w:r>
      <w:bookmarkStart w:id="124" w:name="_Toc23774428"/>
      <w:bookmarkStart w:id="125" w:name="_Toc5446"/>
      <w:r>
        <w:rPr>
          <w:rFonts w:hint="eastAsia" w:asciiTheme="majorEastAsia" w:hAnsiTheme="majorEastAsia" w:eastAsiaTheme="majorEastAsia" w:cstheme="majorEastAsia"/>
          <w:b/>
          <w:bCs/>
          <w:sz w:val="24"/>
          <w:szCs w:val="24"/>
        </w:rPr>
        <w:t>竞争性磋商文件</w:t>
      </w:r>
      <w:bookmarkEnd w:id="122"/>
      <w:bookmarkEnd w:id="123"/>
      <w:bookmarkEnd w:id="124"/>
      <w:bookmarkEnd w:id="125"/>
    </w:p>
    <w:p w14:paraId="785EEF4E">
      <w:pPr>
        <w:keepNext/>
        <w:keepLines/>
        <w:numPr>
          <w:ilvl w:val="1"/>
          <w:numId w:val="3"/>
        </w:numPr>
        <w:wordWrap w:val="0"/>
        <w:topLinePunct/>
        <w:spacing w:line="500" w:lineRule="exact"/>
        <w:jc w:val="left"/>
        <w:outlineLvl w:val="2"/>
        <w:rPr>
          <w:rFonts w:asciiTheme="majorEastAsia" w:hAnsiTheme="majorEastAsia" w:eastAsiaTheme="majorEastAsia" w:cstheme="majorEastAsia"/>
          <w:b/>
          <w:bCs/>
          <w:sz w:val="24"/>
          <w:szCs w:val="24"/>
        </w:rPr>
      </w:pPr>
      <w:bookmarkStart w:id="126" w:name="_Toc455678114"/>
      <w:bookmarkStart w:id="127" w:name="_Toc428276582"/>
      <w:bookmarkStart w:id="128" w:name="_Toc269470308"/>
      <w:bookmarkStart w:id="129" w:name="_Toc27664"/>
      <w:bookmarkStart w:id="130" w:name="_Toc270604589"/>
      <w:bookmarkStart w:id="131" w:name="_Toc270604816"/>
      <w:bookmarkStart w:id="132" w:name="_Toc463011267"/>
      <w:bookmarkStart w:id="133" w:name="_Toc10962"/>
      <w:bookmarkStart w:id="134" w:name="_Toc454788022"/>
      <w:bookmarkStart w:id="135" w:name="_Toc462934288"/>
      <w:bookmarkStart w:id="136" w:name="_Toc19729"/>
      <w:bookmarkStart w:id="137" w:name="_Toc428351642"/>
      <w:bookmarkStart w:id="138" w:name="_Toc277149378"/>
      <w:r>
        <w:rPr>
          <w:rFonts w:hint="eastAsia" w:asciiTheme="majorEastAsia" w:hAnsiTheme="majorEastAsia" w:eastAsiaTheme="majorEastAsia" w:cstheme="majorEastAsia"/>
          <w:b/>
          <w:sz w:val="24"/>
          <w:szCs w:val="24"/>
        </w:rPr>
        <w:t>竞争性磋商文件的组成</w:t>
      </w:r>
      <w:bookmarkEnd w:id="126"/>
      <w:bookmarkEnd w:id="127"/>
      <w:bookmarkEnd w:id="128"/>
      <w:bookmarkEnd w:id="129"/>
      <w:bookmarkEnd w:id="130"/>
      <w:bookmarkEnd w:id="131"/>
      <w:bookmarkEnd w:id="132"/>
      <w:bookmarkEnd w:id="133"/>
      <w:bookmarkEnd w:id="134"/>
      <w:bookmarkEnd w:id="135"/>
      <w:bookmarkEnd w:id="136"/>
      <w:bookmarkEnd w:id="137"/>
      <w:bookmarkEnd w:id="138"/>
    </w:p>
    <w:p w14:paraId="014603D7">
      <w:pPr>
        <w:tabs>
          <w:tab w:val="left" w:pos="1260"/>
        </w:tabs>
        <w:wordWrap w:val="0"/>
        <w:topLinePunct/>
        <w:autoSpaceDE w:val="0"/>
        <w:autoSpaceDN w:val="0"/>
        <w:adjustRightInd w:val="0"/>
        <w:snapToGrid w:val="0"/>
        <w:spacing w:line="500" w:lineRule="exact"/>
        <w:ind w:firstLine="540" w:firstLineChars="225"/>
        <w:contextualSpacing/>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本竞争性磋商文件包括：</w:t>
      </w:r>
    </w:p>
    <w:p w14:paraId="2E5674E0">
      <w:pPr>
        <w:numPr>
          <w:ilvl w:val="0"/>
          <w:numId w:val="5"/>
        </w:numPr>
        <w:wordWrap w:val="0"/>
        <w:topLinePunct/>
        <w:autoSpaceDE w:val="0"/>
        <w:autoSpaceDN w:val="0"/>
        <w:adjustRightInd w:val="0"/>
        <w:spacing w:line="500" w:lineRule="exact"/>
        <w:ind w:left="987" w:leftChars="200" w:right="40" w:hanging="567"/>
        <w:jc w:val="left"/>
        <w:rPr>
          <w:rFonts w:asciiTheme="majorEastAsia" w:hAnsiTheme="majorEastAsia" w:eastAsiaTheme="majorEastAsia" w:cstheme="majorEastAsia"/>
          <w:color w:val="auto"/>
          <w:kern w:val="0"/>
          <w:sz w:val="24"/>
          <w:szCs w:val="24"/>
        </w:rPr>
      </w:pPr>
      <w:r>
        <w:rPr>
          <w:rFonts w:hint="eastAsia" w:asciiTheme="majorEastAsia" w:hAnsiTheme="majorEastAsia" w:eastAsiaTheme="majorEastAsia" w:cstheme="majorEastAsia"/>
          <w:color w:val="auto"/>
          <w:kern w:val="0"/>
          <w:sz w:val="24"/>
          <w:szCs w:val="24"/>
        </w:rPr>
        <w:t>竞争性磋商公告</w:t>
      </w:r>
    </w:p>
    <w:p w14:paraId="3DF1630A">
      <w:pPr>
        <w:numPr>
          <w:ilvl w:val="0"/>
          <w:numId w:val="5"/>
        </w:numPr>
        <w:wordWrap w:val="0"/>
        <w:topLinePunct/>
        <w:autoSpaceDE w:val="0"/>
        <w:autoSpaceDN w:val="0"/>
        <w:adjustRightInd w:val="0"/>
        <w:spacing w:line="500" w:lineRule="exact"/>
        <w:ind w:left="987" w:leftChars="200" w:right="40" w:hanging="567"/>
        <w:jc w:val="left"/>
        <w:rPr>
          <w:rFonts w:asciiTheme="majorEastAsia" w:hAnsiTheme="majorEastAsia" w:eastAsiaTheme="majorEastAsia" w:cstheme="majorEastAsia"/>
          <w:color w:val="auto"/>
          <w:kern w:val="0"/>
          <w:sz w:val="24"/>
          <w:szCs w:val="24"/>
        </w:rPr>
      </w:pPr>
      <w:r>
        <w:rPr>
          <w:rFonts w:hint="eastAsia" w:asciiTheme="majorEastAsia" w:hAnsiTheme="majorEastAsia" w:eastAsiaTheme="majorEastAsia" w:cstheme="majorEastAsia"/>
          <w:color w:val="auto"/>
          <w:kern w:val="0"/>
          <w:sz w:val="24"/>
          <w:szCs w:val="24"/>
        </w:rPr>
        <w:t>供应商须知</w:t>
      </w:r>
    </w:p>
    <w:p w14:paraId="26884B3C">
      <w:pPr>
        <w:numPr>
          <w:ilvl w:val="0"/>
          <w:numId w:val="5"/>
        </w:numPr>
        <w:wordWrap w:val="0"/>
        <w:topLinePunct/>
        <w:autoSpaceDE w:val="0"/>
        <w:autoSpaceDN w:val="0"/>
        <w:adjustRightInd w:val="0"/>
        <w:spacing w:line="500" w:lineRule="exact"/>
        <w:ind w:left="987" w:leftChars="200" w:right="40" w:hanging="567"/>
        <w:jc w:val="left"/>
        <w:rPr>
          <w:rFonts w:asciiTheme="majorEastAsia" w:hAnsiTheme="majorEastAsia" w:eastAsiaTheme="majorEastAsia" w:cstheme="majorEastAsia"/>
          <w:color w:val="auto"/>
          <w:kern w:val="0"/>
          <w:sz w:val="24"/>
          <w:szCs w:val="24"/>
        </w:rPr>
      </w:pPr>
      <w:r>
        <w:rPr>
          <w:rFonts w:hint="eastAsia" w:asciiTheme="majorEastAsia" w:hAnsiTheme="majorEastAsia" w:eastAsiaTheme="majorEastAsia" w:cstheme="majorEastAsia"/>
          <w:color w:val="auto"/>
          <w:kern w:val="0"/>
          <w:sz w:val="24"/>
          <w:szCs w:val="24"/>
        </w:rPr>
        <w:t>评审办法</w:t>
      </w:r>
    </w:p>
    <w:p w14:paraId="7235D5E9">
      <w:pPr>
        <w:numPr>
          <w:ilvl w:val="0"/>
          <w:numId w:val="5"/>
        </w:numPr>
        <w:wordWrap w:val="0"/>
        <w:topLinePunct/>
        <w:autoSpaceDE w:val="0"/>
        <w:autoSpaceDN w:val="0"/>
        <w:adjustRightInd w:val="0"/>
        <w:spacing w:line="500" w:lineRule="exact"/>
        <w:ind w:left="987" w:leftChars="200" w:right="40" w:hanging="567"/>
        <w:jc w:val="left"/>
        <w:rPr>
          <w:rFonts w:asciiTheme="majorEastAsia" w:hAnsiTheme="majorEastAsia" w:eastAsiaTheme="majorEastAsia" w:cstheme="majorEastAsia"/>
          <w:color w:val="auto"/>
          <w:kern w:val="0"/>
          <w:sz w:val="24"/>
          <w:szCs w:val="24"/>
        </w:rPr>
      </w:pPr>
      <w:r>
        <w:rPr>
          <w:rFonts w:hint="eastAsia" w:asciiTheme="majorEastAsia" w:hAnsiTheme="majorEastAsia" w:eastAsiaTheme="majorEastAsia" w:cstheme="majorEastAsia"/>
          <w:color w:val="auto"/>
          <w:kern w:val="0"/>
          <w:sz w:val="24"/>
          <w:szCs w:val="24"/>
        </w:rPr>
        <w:t>合同条款及格式</w:t>
      </w:r>
    </w:p>
    <w:p w14:paraId="04FA6DD0">
      <w:pPr>
        <w:numPr>
          <w:ilvl w:val="0"/>
          <w:numId w:val="5"/>
        </w:numPr>
        <w:wordWrap w:val="0"/>
        <w:topLinePunct/>
        <w:autoSpaceDE w:val="0"/>
        <w:autoSpaceDN w:val="0"/>
        <w:adjustRightInd w:val="0"/>
        <w:spacing w:line="500" w:lineRule="exact"/>
        <w:ind w:left="987" w:leftChars="200" w:right="40" w:hanging="567"/>
        <w:jc w:val="left"/>
        <w:rPr>
          <w:rFonts w:asciiTheme="majorEastAsia" w:hAnsiTheme="majorEastAsia" w:eastAsiaTheme="majorEastAsia" w:cstheme="majorEastAsia"/>
          <w:color w:val="auto"/>
          <w:kern w:val="0"/>
          <w:sz w:val="24"/>
          <w:szCs w:val="24"/>
        </w:rPr>
      </w:pPr>
      <w:r>
        <w:rPr>
          <w:rFonts w:hint="eastAsia" w:asciiTheme="majorEastAsia" w:hAnsiTheme="majorEastAsia" w:eastAsiaTheme="majorEastAsia" w:cstheme="majorEastAsia"/>
          <w:color w:val="auto"/>
          <w:kern w:val="0"/>
          <w:sz w:val="24"/>
          <w:szCs w:val="24"/>
        </w:rPr>
        <w:t>响应文件格式</w:t>
      </w:r>
    </w:p>
    <w:p w14:paraId="79B62BA4">
      <w:pPr>
        <w:tabs>
          <w:tab w:val="left" w:pos="1260"/>
        </w:tabs>
        <w:wordWrap w:val="0"/>
        <w:topLinePunct/>
        <w:autoSpaceDE w:val="0"/>
        <w:autoSpaceDN w:val="0"/>
        <w:adjustRightInd w:val="0"/>
        <w:snapToGrid w:val="0"/>
        <w:spacing w:line="500" w:lineRule="exact"/>
        <w:ind w:firstLine="540" w:firstLineChars="225"/>
        <w:contextualSpacing/>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根据本章第2.2 款和第2.3 款对竞争性磋商文件所作的澄清、修改，构成竞争性磋商文件的组成部分。</w:t>
      </w:r>
    </w:p>
    <w:p w14:paraId="420E93C6">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139" w:name="_Toc5047"/>
      <w:bookmarkStart w:id="140" w:name="_Toc462934289"/>
      <w:bookmarkStart w:id="141" w:name="_Toc13094"/>
      <w:bookmarkStart w:id="142" w:name="_Toc455678115"/>
      <w:bookmarkStart w:id="143" w:name="_Toc277149379"/>
      <w:bookmarkStart w:id="144" w:name="_Toc270604817"/>
      <w:bookmarkStart w:id="145" w:name="_Toc428351643"/>
      <w:bookmarkStart w:id="146" w:name="_Toc428276583"/>
      <w:bookmarkStart w:id="147" w:name="_Toc463011268"/>
      <w:bookmarkStart w:id="148" w:name="_Toc269470309"/>
      <w:bookmarkStart w:id="149" w:name="_Toc454788023"/>
      <w:bookmarkStart w:id="150" w:name="_Toc11511"/>
      <w:bookmarkStart w:id="151" w:name="_Toc270604590"/>
      <w:r>
        <w:rPr>
          <w:rFonts w:hint="eastAsia" w:asciiTheme="majorEastAsia" w:hAnsiTheme="majorEastAsia" w:eastAsiaTheme="majorEastAsia" w:cstheme="majorEastAsia"/>
          <w:b/>
          <w:sz w:val="24"/>
          <w:szCs w:val="24"/>
        </w:rPr>
        <w:t>竞争性磋商文件的澄清</w:t>
      </w:r>
      <w:bookmarkEnd w:id="139"/>
      <w:bookmarkEnd w:id="140"/>
      <w:bookmarkEnd w:id="141"/>
      <w:bookmarkEnd w:id="142"/>
      <w:bookmarkEnd w:id="143"/>
      <w:bookmarkEnd w:id="144"/>
      <w:bookmarkEnd w:id="145"/>
      <w:bookmarkEnd w:id="146"/>
      <w:bookmarkEnd w:id="147"/>
      <w:bookmarkEnd w:id="148"/>
      <w:bookmarkEnd w:id="149"/>
      <w:bookmarkEnd w:id="150"/>
      <w:bookmarkEnd w:id="151"/>
    </w:p>
    <w:p w14:paraId="1983B3F0">
      <w:pPr>
        <w:tabs>
          <w:tab w:val="left" w:pos="1260"/>
        </w:tabs>
        <w:wordWrap w:val="0"/>
        <w:topLinePunct/>
        <w:autoSpaceDE w:val="0"/>
        <w:autoSpaceDN w:val="0"/>
        <w:adjustRightInd w:val="0"/>
        <w:snapToGrid w:val="0"/>
        <w:spacing w:line="500" w:lineRule="exact"/>
        <w:ind w:firstLine="540" w:firstLineChars="225"/>
        <w:contextualSpacing/>
        <w:jc w:val="left"/>
        <w:rPr>
          <w:rFonts w:asciiTheme="majorEastAsia" w:hAnsiTheme="majorEastAsia" w:eastAsiaTheme="majorEastAsia" w:cstheme="majorEastAsia"/>
          <w:kern w:val="0"/>
          <w:sz w:val="24"/>
          <w:szCs w:val="24"/>
        </w:rPr>
      </w:pPr>
      <w:bookmarkStart w:id="152" w:name="_Toc20316"/>
      <w:bookmarkStart w:id="153" w:name="_Toc428276584"/>
      <w:bookmarkStart w:id="154" w:name="_Toc454788024"/>
      <w:bookmarkStart w:id="155" w:name="_Toc270604591"/>
      <w:bookmarkStart w:id="156" w:name="_Toc455678116"/>
      <w:bookmarkStart w:id="157" w:name="_Toc462934290"/>
      <w:bookmarkStart w:id="158" w:name="_Toc269470310"/>
      <w:bookmarkStart w:id="159" w:name="_Toc5535"/>
      <w:bookmarkStart w:id="160" w:name="_Toc463011269"/>
      <w:bookmarkStart w:id="161" w:name="_Toc277149380"/>
      <w:bookmarkStart w:id="162" w:name="_Toc400"/>
      <w:bookmarkStart w:id="163" w:name="_Toc428351644"/>
      <w:bookmarkStart w:id="164" w:name="_Toc270604818"/>
      <w:r>
        <w:rPr>
          <w:rFonts w:hint="eastAsia" w:asciiTheme="majorEastAsia" w:hAnsiTheme="majorEastAsia" w:eastAsiaTheme="majorEastAsia" w:cstheme="majorEastAsia"/>
          <w:kern w:val="0"/>
          <w:sz w:val="24"/>
          <w:szCs w:val="24"/>
        </w:rPr>
        <w:t>2.2.1供应商应仔细阅读和检查竞争性磋商文件的全部内容。如发现缺页或附件不全，应及时向采购人提出，以便补齐。如有疑问，应按供应商须知前附表规定的时间和形式将提出的问题送达，要求采购人对竞争性磋商文件予以澄清。</w:t>
      </w:r>
    </w:p>
    <w:p w14:paraId="38E5A431">
      <w:pPr>
        <w:tabs>
          <w:tab w:val="left" w:pos="1260"/>
        </w:tabs>
        <w:wordWrap w:val="0"/>
        <w:topLinePunct/>
        <w:autoSpaceDE w:val="0"/>
        <w:autoSpaceDN w:val="0"/>
        <w:adjustRightInd w:val="0"/>
        <w:snapToGrid w:val="0"/>
        <w:spacing w:line="500" w:lineRule="exact"/>
        <w:ind w:firstLine="540" w:firstLineChars="225"/>
        <w:contextualSpacing/>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2.2.2竞争性磋商文件的澄清以供应商须知前附表规定的形式在原公告媒体发布澄清公告，但不指明澄清问题的来源。澄清发出的时间距磋商截止时间不足5日的，并且澄清内容可能影响响应文件编制的，将相应延长磋商时间。</w:t>
      </w:r>
    </w:p>
    <w:p w14:paraId="549057B8">
      <w:pPr>
        <w:tabs>
          <w:tab w:val="left" w:pos="1260"/>
        </w:tabs>
        <w:wordWrap w:val="0"/>
        <w:topLinePunct/>
        <w:autoSpaceDE w:val="0"/>
        <w:autoSpaceDN w:val="0"/>
        <w:adjustRightInd w:val="0"/>
        <w:snapToGrid w:val="0"/>
        <w:spacing w:line="500" w:lineRule="exact"/>
        <w:ind w:firstLine="480" w:firstLineChars="200"/>
        <w:contextualSpacing/>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kern w:val="0"/>
          <w:sz w:val="24"/>
          <w:szCs w:val="24"/>
        </w:rPr>
        <w:t>2.2.3除非采购人认为确有必要答复，否则，采购人有权拒绝回复供应商在本章第2.2.1项规定的时间后的任何澄清要求。在规定的时间内未提出疑问的，将被视为对竞争性磋商文件完全认可。</w:t>
      </w:r>
    </w:p>
    <w:p w14:paraId="1043B942">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竞争性磋商文件的修改</w:t>
      </w:r>
      <w:bookmarkEnd w:id="152"/>
      <w:bookmarkEnd w:id="153"/>
      <w:bookmarkEnd w:id="154"/>
      <w:bookmarkEnd w:id="155"/>
      <w:bookmarkEnd w:id="156"/>
      <w:bookmarkEnd w:id="157"/>
      <w:bookmarkEnd w:id="158"/>
      <w:bookmarkEnd w:id="159"/>
      <w:bookmarkEnd w:id="160"/>
      <w:bookmarkEnd w:id="161"/>
      <w:bookmarkEnd w:id="162"/>
      <w:bookmarkEnd w:id="163"/>
      <w:bookmarkEnd w:id="164"/>
    </w:p>
    <w:p w14:paraId="262F3D3D">
      <w:pPr>
        <w:numPr>
          <w:ilvl w:val="2"/>
          <w:numId w:val="3"/>
        </w:numPr>
        <w:wordWrap w:val="0"/>
        <w:topLinePunct/>
        <w:spacing w:line="500" w:lineRule="exact"/>
        <w:ind w:firstLine="560"/>
        <w:rPr>
          <w:rFonts w:asciiTheme="majorEastAsia" w:hAnsiTheme="majorEastAsia" w:eastAsiaTheme="majorEastAsia" w:cstheme="majorEastAsia"/>
          <w:sz w:val="24"/>
          <w:szCs w:val="24"/>
        </w:rPr>
      </w:pPr>
      <w:bookmarkStart w:id="165" w:name="_Toc270604592"/>
      <w:bookmarkStart w:id="166" w:name="_Toc12045"/>
      <w:r>
        <w:rPr>
          <w:rFonts w:hint="eastAsia" w:asciiTheme="majorEastAsia" w:hAnsiTheme="majorEastAsia" w:eastAsiaTheme="majorEastAsia" w:cstheme="majorEastAsia"/>
          <w:sz w:val="24"/>
          <w:szCs w:val="24"/>
        </w:rPr>
        <w:t>采购人或者采购代理机构可以对已发出的竞争性磋商文件进行必要的修改，但不得改变采购标的和资格条件，修改的内容为竞争性磋商文件的组成部分。</w:t>
      </w:r>
    </w:p>
    <w:p w14:paraId="18FC98F4">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人或采购代理机构以供应商须知前附表规定的形式修改竞争性磋商文件，并通知所有已购买竞争性磋商文件的供应商，同时在原公告媒体发布变更公告。修改竞争性磋商文件的时间距提交响应文件截止时间不足5日的，并且修改内容可能影响响应文件编制的，将相应延长响应文件截止时间。</w:t>
      </w:r>
    </w:p>
    <w:p w14:paraId="6EDBD316">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供应商收到修改内容后，应按供应商须知前附表规定的时间和形式通知采购人，确认已收到该修改。</w:t>
      </w:r>
    </w:p>
    <w:p w14:paraId="6B538079">
      <w:pPr>
        <w:numPr>
          <w:ilvl w:val="0"/>
          <w:numId w:val="3"/>
        </w:numPr>
        <w:tabs>
          <w:tab w:val="left" w:pos="360"/>
        </w:tabs>
        <w:wordWrap w:val="0"/>
        <w:topLinePunct/>
        <w:autoSpaceDE w:val="0"/>
        <w:autoSpaceDN w:val="0"/>
        <w:adjustRightInd w:val="0"/>
        <w:snapToGrid w:val="0"/>
        <w:spacing w:line="500" w:lineRule="exact"/>
        <w:contextualSpacing/>
        <w:outlineLvl w:val="1"/>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w:t>
      </w:r>
      <w:bookmarkStart w:id="167" w:name="_Toc28297"/>
      <w:bookmarkStart w:id="168" w:name="_Toc23774429"/>
      <w:r>
        <w:rPr>
          <w:rFonts w:hint="eastAsia" w:asciiTheme="majorEastAsia" w:hAnsiTheme="majorEastAsia" w:eastAsiaTheme="majorEastAsia" w:cstheme="majorEastAsia"/>
          <w:b/>
          <w:bCs/>
          <w:sz w:val="24"/>
          <w:szCs w:val="24"/>
        </w:rPr>
        <w:t>响应文件</w:t>
      </w:r>
      <w:bookmarkEnd w:id="165"/>
      <w:bookmarkEnd w:id="166"/>
      <w:r>
        <w:rPr>
          <w:rFonts w:hint="eastAsia" w:asciiTheme="majorEastAsia" w:hAnsiTheme="majorEastAsia" w:eastAsiaTheme="majorEastAsia" w:cstheme="majorEastAsia"/>
          <w:b/>
          <w:bCs/>
          <w:sz w:val="24"/>
          <w:szCs w:val="24"/>
        </w:rPr>
        <w:t>编写</w:t>
      </w:r>
      <w:bookmarkEnd w:id="167"/>
      <w:bookmarkEnd w:id="168"/>
    </w:p>
    <w:p w14:paraId="5FE28A5E">
      <w:pPr>
        <w:keepNext/>
        <w:keepLines/>
        <w:numPr>
          <w:ilvl w:val="1"/>
          <w:numId w:val="3"/>
        </w:numPr>
        <w:wordWrap w:val="0"/>
        <w:topLinePunct/>
        <w:spacing w:line="500" w:lineRule="exact"/>
        <w:jc w:val="left"/>
        <w:outlineLvl w:val="2"/>
        <w:rPr>
          <w:rFonts w:asciiTheme="majorEastAsia" w:hAnsiTheme="majorEastAsia" w:eastAsiaTheme="majorEastAsia" w:cstheme="majorEastAsia"/>
          <w:b/>
          <w:color w:val="auto"/>
          <w:sz w:val="24"/>
          <w:szCs w:val="24"/>
        </w:rPr>
      </w:pPr>
      <w:bookmarkStart w:id="169" w:name="_Toc463011271"/>
      <w:bookmarkStart w:id="170" w:name="_Toc428351646"/>
      <w:bookmarkStart w:id="171" w:name="_Toc269470312"/>
      <w:bookmarkStart w:id="172" w:name="_Toc277149382"/>
      <w:bookmarkStart w:id="173" w:name="_Toc454788026"/>
      <w:bookmarkStart w:id="174" w:name="_Toc455678118"/>
      <w:bookmarkStart w:id="175" w:name="_Toc20143"/>
      <w:bookmarkStart w:id="176" w:name="_Toc270604593"/>
      <w:bookmarkStart w:id="177" w:name="_Toc26455"/>
      <w:bookmarkStart w:id="178" w:name="_Toc270604820"/>
      <w:bookmarkStart w:id="179" w:name="_Toc428276586"/>
      <w:bookmarkStart w:id="180" w:name="_Toc12181"/>
      <w:bookmarkStart w:id="181" w:name="_Toc462934292"/>
      <w:r>
        <w:rPr>
          <w:rFonts w:hint="eastAsia" w:asciiTheme="majorEastAsia" w:hAnsiTheme="majorEastAsia" w:eastAsiaTheme="majorEastAsia" w:cstheme="majorEastAsia"/>
          <w:b/>
          <w:color w:val="auto"/>
          <w:sz w:val="24"/>
          <w:szCs w:val="24"/>
        </w:rPr>
        <w:t>响应文件的组成</w:t>
      </w:r>
      <w:bookmarkEnd w:id="169"/>
      <w:bookmarkEnd w:id="170"/>
      <w:bookmarkEnd w:id="171"/>
      <w:bookmarkEnd w:id="172"/>
      <w:bookmarkEnd w:id="173"/>
      <w:bookmarkEnd w:id="174"/>
      <w:bookmarkEnd w:id="175"/>
      <w:bookmarkEnd w:id="176"/>
      <w:bookmarkEnd w:id="177"/>
      <w:bookmarkEnd w:id="178"/>
      <w:bookmarkEnd w:id="179"/>
      <w:bookmarkEnd w:id="180"/>
      <w:bookmarkEnd w:id="181"/>
    </w:p>
    <w:p w14:paraId="6B49C140">
      <w:pPr>
        <w:autoSpaceDE w:val="0"/>
        <w:autoSpaceDN w:val="0"/>
        <w:adjustRightInd w:val="0"/>
        <w:spacing w:line="500" w:lineRule="exact"/>
        <w:ind w:right="40" w:firstLine="480" w:firstLineChars="200"/>
        <w:jc w:val="left"/>
        <w:rPr>
          <w:rFonts w:hint="eastAsia" w:asciiTheme="majorEastAsia" w:hAnsiTheme="majorEastAsia" w:eastAsiaTheme="majorEastAsia" w:cstheme="majorEastAsia"/>
          <w:kern w:val="0"/>
          <w:sz w:val="24"/>
          <w:szCs w:val="24"/>
        </w:rPr>
      </w:pPr>
      <w:bookmarkStart w:id="182" w:name="_Toc455678119"/>
      <w:bookmarkStart w:id="183" w:name="_Toc21496"/>
      <w:bookmarkStart w:id="184" w:name="_Toc22898"/>
      <w:bookmarkStart w:id="185" w:name="_Toc463011272"/>
      <w:bookmarkStart w:id="186" w:name="_Toc462934293"/>
      <w:bookmarkStart w:id="187" w:name="_Toc4803"/>
      <w:bookmarkStart w:id="188" w:name="_Toc269470314"/>
      <w:bookmarkStart w:id="189" w:name="_Toc270604822"/>
      <w:bookmarkStart w:id="190" w:name="_Toc277149384"/>
      <w:bookmarkStart w:id="191" w:name="_Toc270604595"/>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kern w:val="0"/>
          <w:sz w:val="24"/>
          <w:szCs w:val="24"/>
        </w:rPr>
        <w:t>报价函及报价函附录</w:t>
      </w:r>
    </w:p>
    <w:p w14:paraId="4B983634">
      <w:pPr>
        <w:autoSpaceDE w:val="0"/>
        <w:autoSpaceDN w:val="0"/>
        <w:adjustRightInd w:val="0"/>
        <w:spacing w:line="500" w:lineRule="exact"/>
        <w:ind w:right="40" w:firstLine="480" w:firstLineChars="200"/>
        <w:jc w:val="left"/>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2</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kern w:val="0"/>
          <w:sz w:val="24"/>
          <w:szCs w:val="24"/>
        </w:rPr>
        <w:t>法定代表人身份证明</w:t>
      </w:r>
    </w:p>
    <w:p w14:paraId="4BA88BF0">
      <w:pPr>
        <w:autoSpaceDE w:val="0"/>
        <w:autoSpaceDN w:val="0"/>
        <w:adjustRightInd w:val="0"/>
        <w:spacing w:line="500" w:lineRule="exact"/>
        <w:ind w:right="40" w:firstLine="480" w:firstLineChars="200"/>
        <w:jc w:val="left"/>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kern w:val="0"/>
          <w:sz w:val="24"/>
          <w:szCs w:val="24"/>
        </w:rPr>
        <w:t>授权委托书</w:t>
      </w:r>
    </w:p>
    <w:p w14:paraId="5BCD943E">
      <w:pPr>
        <w:autoSpaceDE w:val="0"/>
        <w:autoSpaceDN w:val="0"/>
        <w:adjustRightInd w:val="0"/>
        <w:spacing w:line="500" w:lineRule="exact"/>
        <w:ind w:right="40" w:firstLine="480" w:firstLineChars="200"/>
        <w:jc w:val="left"/>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kern w:val="0"/>
          <w:sz w:val="24"/>
          <w:szCs w:val="24"/>
        </w:rPr>
        <w:t>供应商基本情况</w:t>
      </w:r>
    </w:p>
    <w:p w14:paraId="7C562441">
      <w:pPr>
        <w:autoSpaceDE w:val="0"/>
        <w:autoSpaceDN w:val="0"/>
        <w:adjustRightInd w:val="0"/>
        <w:spacing w:line="500" w:lineRule="exact"/>
        <w:ind w:right="40" w:firstLine="480" w:firstLineChars="200"/>
        <w:jc w:val="left"/>
        <w:rPr>
          <w:rFonts w:hint="eastAsia"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eastAsia="zh-CN"/>
        </w:rPr>
        <w:t>技术部分（</w:t>
      </w:r>
      <w:r>
        <w:rPr>
          <w:rFonts w:hint="eastAsia" w:asciiTheme="majorEastAsia" w:hAnsiTheme="majorEastAsia" w:eastAsiaTheme="majorEastAsia" w:cstheme="majorEastAsia"/>
          <w:kern w:val="0"/>
          <w:sz w:val="24"/>
          <w:szCs w:val="24"/>
        </w:rPr>
        <w:t>监理大纲</w:t>
      </w:r>
      <w:r>
        <w:rPr>
          <w:rFonts w:hint="eastAsia" w:asciiTheme="majorEastAsia" w:hAnsiTheme="majorEastAsia" w:eastAsiaTheme="majorEastAsia" w:cstheme="majorEastAsia"/>
          <w:sz w:val="24"/>
          <w:szCs w:val="24"/>
          <w:lang w:eastAsia="zh-CN"/>
        </w:rPr>
        <w:t>）</w:t>
      </w:r>
    </w:p>
    <w:p w14:paraId="27243C3E">
      <w:pPr>
        <w:autoSpaceDE w:val="0"/>
        <w:autoSpaceDN w:val="0"/>
        <w:adjustRightInd w:val="0"/>
        <w:spacing w:line="500" w:lineRule="exact"/>
        <w:ind w:right="40" w:firstLine="480" w:firstLineChars="200"/>
        <w:jc w:val="left"/>
        <w:rPr>
          <w:rFonts w:hint="eastAsia" w:asciiTheme="majorEastAsia" w:hAnsiTheme="majorEastAsia" w:eastAsiaTheme="majorEastAsia" w:cstheme="majorEastAsia"/>
          <w:kern w:val="0"/>
          <w:sz w:val="24"/>
          <w:szCs w:val="24"/>
          <w:lang w:eastAsia="zh-CN"/>
        </w:rPr>
      </w:pP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eastAsia="zh-CN"/>
        </w:rPr>
        <w:t>综合部分</w:t>
      </w:r>
    </w:p>
    <w:p w14:paraId="6D6DB91A">
      <w:pPr>
        <w:autoSpaceDE w:val="0"/>
        <w:autoSpaceDN w:val="0"/>
        <w:adjustRightInd w:val="0"/>
        <w:spacing w:line="500" w:lineRule="exact"/>
        <w:ind w:right="40" w:firstLine="480" w:firstLineChars="200"/>
        <w:jc w:val="left"/>
        <w:rPr>
          <w:rFonts w:hint="eastAsia" w:asciiTheme="majorEastAsia" w:hAnsiTheme="majorEastAsia" w:eastAsiaTheme="majorEastAsia" w:cstheme="majorEastAsia"/>
          <w:kern w:val="0"/>
          <w:sz w:val="24"/>
          <w:szCs w:val="24"/>
          <w:lang w:eastAsia="zh-CN"/>
        </w:rPr>
      </w:pP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sz w:val="24"/>
          <w:szCs w:val="24"/>
          <w:lang w:val="en-US" w:eastAsia="zh-CN"/>
        </w:rPr>
        <w:t>7</w:t>
      </w:r>
      <w:r>
        <w:rPr>
          <w:rFonts w:hint="eastAsia" w:asciiTheme="majorEastAsia" w:hAnsiTheme="majorEastAsia" w:eastAsiaTheme="majorEastAsia" w:cstheme="majorEastAsia"/>
          <w:sz w:val="24"/>
          <w:szCs w:val="24"/>
        </w:rPr>
        <w:t>）</w:t>
      </w:r>
      <w:r>
        <w:rPr>
          <w:rFonts w:hint="eastAsia" w:asciiTheme="majorEastAsia" w:hAnsiTheme="majorEastAsia" w:eastAsiaTheme="majorEastAsia" w:cstheme="majorEastAsia"/>
          <w:kern w:val="0"/>
          <w:sz w:val="24"/>
          <w:szCs w:val="24"/>
          <w:lang w:eastAsia="zh-CN"/>
        </w:rPr>
        <w:t>其他资料</w:t>
      </w:r>
    </w:p>
    <w:p w14:paraId="0964C4A7">
      <w:pPr>
        <w:keepNext/>
        <w:keepLines/>
        <w:numPr>
          <w:ilvl w:val="1"/>
          <w:numId w:val="3"/>
        </w:numPr>
        <w:wordWrap w:val="0"/>
        <w:topLinePunct/>
        <w:spacing w:line="500" w:lineRule="exact"/>
        <w:jc w:val="left"/>
        <w:outlineLvl w:val="2"/>
        <w:rPr>
          <w:rFonts w:asciiTheme="majorEastAsia" w:hAnsiTheme="majorEastAsia" w:eastAsiaTheme="majorEastAsia" w:cstheme="majorEastAsia"/>
          <w:b/>
          <w:color w:val="auto"/>
          <w:sz w:val="24"/>
          <w:szCs w:val="24"/>
        </w:rPr>
      </w:pPr>
      <w:r>
        <w:rPr>
          <w:rFonts w:hint="eastAsia" w:asciiTheme="majorEastAsia" w:hAnsiTheme="majorEastAsia" w:eastAsiaTheme="majorEastAsia" w:cstheme="majorEastAsia"/>
          <w:b/>
          <w:color w:val="auto"/>
          <w:sz w:val="24"/>
          <w:szCs w:val="24"/>
        </w:rPr>
        <w:t>磋商价格构成及报价要求</w:t>
      </w:r>
      <w:bookmarkEnd w:id="182"/>
      <w:bookmarkEnd w:id="183"/>
      <w:bookmarkEnd w:id="184"/>
      <w:bookmarkEnd w:id="185"/>
      <w:bookmarkEnd w:id="186"/>
      <w:bookmarkEnd w:id="187"/>
    </w:p>
    <w:p w14:paraId="25D99EBD">
      <w:pPr>
        <w:numPr>
          <w:ilvl w:val="2"/>
          <w:numId w:val="3"/>
        </w:numPr>
        <w:wordWrap w:val="0"/>
        <w:topLinePunct/>
        <w:spacing w:line="500" w:lineRule="exact"/>
        <w:ind w:firstLine="560"/>
        <w:rPr>
          <w:rFonts w:asciiTheme="majorEastAsia" w:hAnsiTheme="majorEastAsia" w:eastAsiaTheme="majorEastAsia" w:cstheme="majorEastAsia"/>
          <w:sz w:val="24"/>
          <w:szCs w:val="24"/>
        </w:rPr>
      </w:pPr>
      <w:bookmarkStart w:id="192" w:name="_Toc455678120"/>
      <w:bookmarkStart w:id="193" w:name="_Toc462934294"/>
      <w:bookmarkStart w:id="194" w:name="_Toc9193"/>
      <w:bookmarkStart w:id="195" w:name="_Toc428276588"/>
      <w:bookmarkStart w:id="196" w:name="_Toc58"/>
      <w:bookmarkStart w:id="197" w:name="_Toc17969"/>
      <w:bookmarkStart w:id="198" w:name="_Toc463011273"/>
      <w:bookmarkStart w:id="199" w:name="_Toc454788028"/>
      <w:bookmarkStart w:id="200" w:name="_Toc428351648"/>
      <w:r>
        <w:rPr>
          <w:rFonts w:hint="eastAsia" w:asciiTheme="majorEastAsia" w:hAnsiTheme="majorEastAsia" w:eastAsiaTheme="majorEastAsia" w:cstheme="majorEastAsia"/>
          <w:sz w:val="24"/>
          <w:szCs w:val="24"/>
        </w:rPr>
        <w:t>供应商应按“响应文件格式”的要求在</w:t>
      </w:r>
      <w:r>
        <w:rPr>
          <w:rFonts w:hint="eastAsia" w:asciiTheme="majorEastAsia" w:hAnsiTheme="majorEastAsia" w:eastAsiaTheme="majorEastAsia" w:cstheme="majorEastAsia"/>
          <w:sz w:val="24"/>
          <w:szCs w:val="24"/>
          <w:lang w:eastAsia="zh-CN"/>
        </w:rPr>
        <w:t>响应函</w:t>
      </w:r>
      <w:r>
        <w:rPr>
          <w:rFonts w:hint="eastAsia" w:asciiTheme="majorEastAsia" w:hAnsiTheme="majorEastAsia" w:eastAsiaTheme="majorEastAsia" w:cstheme="majorEastAsia"/>
          <w:sz w:val="24"/>
          <w:szCs w:val="24"/>
        </w:rPr>
        <w:t>中进行报价并填写已</w:t>
      </w:r>
      <w:r>
        <w:rPr>
          <w:rFonts w:hint="eastAsia" w:asciiTheme="majorEastAsia" w:hAnsiTheme="majorEastAsia" w:eastAsiaTheme="majorEastAsia" w:cstheme="majorEastAsia"/>
          <w:sz w:val="24"/>
          <w:szCs w:val="24"/>
          <w:lang w:eastAsia="zh-CN"/>
        </w:rPr>
        <w:t>。</w:t>
      </w:r>
    </w:p>
    <w:p w14:paraId="00605F3B">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供应商应充分了解该项目的总体情况以及影响磋商报价的其他要素。</w:t>
      </w:r>
    </w:p>
    <w:p w14:paraId="0C90B811">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本项目的报价方式见供应商须知前附表。供应商在投标截止时间前修改</w:t>
      </w:r>
      <w:r>
        <w:rPr>
          <w:rFonts w:hint="eastAsia" w:asciiTheme="majorEastAsia" w:hAnsiTheme="majorEastAsia" w:eastAsiaTheme="majorEastAsia" w:cstheme="majorEastAsia"/>
          <w:sz w:val="24"/>
          <w:szCs w:val="24"/>
          <w:lang w:eastAsia="zh-CN"/>
        </w:rPr>
        <w:t>响应函</w:t>
      </w:r>
      <w:r>
        <w:rPr>
          <w:rFonts w:hint="eastAsia" w:asciiTheme="majorEastAsia" w:hAnsiTheme="majorEastAsia" w:eastAsiaTheme="majorEastAsia" w:cstheme="majorEastAsia"/>
          <w:sz w:val="24"/>
          <w:szCs w:val="24"/>
        </w:rPr>
        <w:t>中的磋商报价总额。</w:t>
      </w:r>
    </w:p>
    <w:p w14:paraId="6CB9FD1A">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采购人设有磋商控制价的，供应商的磋商报价不得超过磋商控制价。</w:t>
      </w:r>
    </w:p>
    <w:p w14:paraId="63A9A098">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sz w:val="24"/>
          <w:szCs w:val="24"/>
        </w:rPr>
        <w:t>磋商有效期</w:t>
      </w:r>
      <w:bookmarkEnd w:id="188"/>
      <w:bookmarkEnd w:id="189"/>
      <w:bookmarkEnd w:id="190"/>
      <w:bookmarkEnd w:id="191"/>
      <w:bookmarkEnd w:id="192"/>
      <w:bookmarkEnd w:id="193"/>
      <w:bookmarkEnd w:id="194"/>
      <w:bookmarkEnd w:id="195"/>
      <w:bookmarkEnd w:id="196"/>
      <w:bookmarkEnd w:id="197"/>
      <w:bookmarkEnd w:id="198"/>
      <w:bookmarkEnd w:id="199"/>
      <w:bookmarkEnd w:id="200"/>
    </w:p>
    <w:p w14:paraId="27AF5006">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磋商有效期见供应商须知前附表。</w:t>
      </w:r>
    </w:p>
    <w:p w14:paraId="707357C8">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在磋商有效期内，供应商撤销响应文件的，应承担竞争性磋商文件和法律规定的责任。</w:t>
      </w:r>
    </w:p>
    <w:p w14:paraId="2FD607AB">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201" w:name="_Toc23856"/>
      <w:bookmarkStart w:id="202" w:name="_Toc463011274"/>
      <w:bookmarkStart w:id="203" w:name="_Toc428351649"/>
      <w:bookmarkStart w:id="204" w:name="_Toc25039"/>
      <w:bookmarkStart w:id="205" w:name="_Toc15074"/>
      <w:bookmarkStart w:id="206" w:name="_Toc454788029"/>
      <w:bookmarkStart w:id="207" w:name="_Toc462934295"/>
      <w:bookmarkStart w:id="208" w:name="_Toc428276589"/>
      <w:bookmarkStart w:id="209" w:name="_Toc455678121"/>
      <w:r>
        <w:rPr>
          <w:rFonts w:hint="eastAsia" w:asciiTheme="majorEastAsia" w:hAnsiTheme="majorEastAsia" w:eastAsiaTheme="majorEastAsia" w:cstheme="majorEastAsia"/>
          <w:b/>
          <w:sz w:val="24"/>
          <w:szCs w:val="24"/>
        </w:rPr>
        <w:t>磋商保证金</w:t>
      </w:r>
      <w:bookmarkEnd w:id="201"/>
      <w:bookmarkEnd w:id="202"/>
      <w:bookmarkEnd w:id="203"/>
      <w:bookmarkEnd w:id="204"/>
      <w:bookmarkEnd w:id="205"/>
      <w:bookmarkEnd w:id="206"/>
      <w:bookmarkEnd w:id="207"/>
      <w:bookmarkEnd w:id="208"/>
      <w:bookmarkEnd w:id="209"/>
    </w:p>
    <w:p w14:paraId="3AA21F23">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根据《河南省财政厅关于优化政府采购营商环境有关问题的通知》（豫财购[2020]4号）第6条的规定，磋商保证金不再收取。</w:t>
      </w:r>
    </w:p>
    <w:p w14:paraId="68F36102">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210" w:name="_Toc277149385"/>
      <w:bookmarkStart w:id="211" w:name="_Toc428351650"/>
      <w:bookmarkStart w:id="212" w:name="_Toc4446"/>
      <w:bookmarkStart w:id="213" w:name="_Toc270604823"/>
      <w:bookmarkStart w:id="214" w:name="_Toc462934296"/>
      <w:bookmarkStart w:id="215" w:name="_Toc428276590"/>
      <w:bookmarkStart w:id="216" w:name="_Toc7919"/>
      <w:bookmarkStart w:id="217" w:name="_Toc454788030"/>
      <w:bookmarkStart w:id="218" w:name="_Toc269470318"/>
      <w:bookmarkStart w:id="219" w:name="_Toc270604596"/>
      <w:bookmarkStart w:id="220" w:name="_Toc463011275"/>
      <w:bookmarkStart w:id="221" w:name="_Toc32308"/>
      <w:bookmarkStart w:id="222" w:name="_Toc455678122"/>
      <w:r>
        <w:rPr>
          <w:rFonts w:hint="eastAsia" w:asciiTheme="majorEastAsia" w:hAnsiTheme="majorEastAsia" w:eastAsiaTheme="majorEastAsia" w:cstheme="majorEastAsia"/>
          <w:b/>
          <w:sz w:val="24"/>
          <w:szCs w:val="24"/>
        </w:rPr>
        <w:t>响应文件的编制</w:t>
      </w:r>
      <w:bookmarkEnd w:id="210"/>
      <w:bookmarkEnd w:id="211"/>
      <w:bookmarkEnd w:id="212"/>
      <w:bookmarkEnd w:id="213"/>
      <w:bookmarkEnd w:id="214"/>
      <w:bookmarkEnd w:id="215"/>
      <w:bookmarkEnd w:id="216"/>
      <w:bookmarkEnd w:id="217"/>
      <w:bookmarkEnd w:id="218"/>
      <w:bookmarkEnd w:id="219"/>
      <w:bookmarkEnd w:id="220"/>
      <w:bookmarkEnd w:id="221"/>
      <w:bookmarkEnd w:id="222"/>
    </w:p>
    <w:p w14:paraId="7B9FBC39">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响应文件应按</w:t>
      </w:r>
      <w:r>
        <w:rPr>
          <w:rFonts w:hint="eastAsia" w:asciiTheme="majorEastAsia" w:hAnsiTheme="majorEastAsia" w:eastAsiaTheme="majorEastAsia" w:cstheme="majorEastAsia"/>
          <w:color w:val="auto"/>
          <w:sz w:val="24"/>
          <w:szCs w:val="24"/>
        </w:rPr>
        <w:t>第七章</w:t>
      </w:r>
      <w:r>
        <w:rPr>
          <w:rFonts w:hint="eastAsia" w:asciiTheme="majorEastAsia" w:hAnsiTheme="majorEastAsia" w:eastAsiaTheme="majorEastAsia" w:cstheme="majorEastAsia"/>
          <w:sz w:val="24"/>
          <w:szCs w:val="24"/>
        </w:rPr>
        <w:t>响应文件格式进行编写，如有必要，可以增加附页，作为响应文件的组成部分。其中，</w:t>
      </w:r>
      <w:r>
        <w:rPr>
          <w:rFonts w:hint="eastAsia" w:asciiTheme="majorEastAsia" w:hAnsiTheme="majorEastAsia" w:eastAsiaTheme="majorEastAsia" w:cstheme="majorEastAsia"/>
          <w:sz w:val="24"/>
          <w:szCs w:val="24"/>
          <w:lang w:eastAsia="zh-CN"/>
        </w:rPr>
        <w:t>响应函</w:t>
      </w:r>
      <w:r>
        <w:rPr>
          <w:rFonts w:hint="eastAsia" w:asciiTheme="majorEastAsia" w:hAnsiTheme="majorEastAsia" w:eastAsiaTheme="majorEastAsia" w:cstheme="majorEastAsia"/>
          <w:sz w:val="24"/>
          <w:szCs w:val="24"/>
        </w:rPr>
        <w:t>附录在满足竞争性磋商文件实质性要求的基础上，可以提出比竞争性磋商文件要求更有利于采购人的承诺。</w:t>
      </w:r>
    </w:p>
    <w:p w14:paraId="013C0CC4">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响应文件应当对竞争性磋商文件有关磋商报价、计划工期</w:t>
      </w:r>
      <w:r>
        <w:rPr>
          <w:rFonts w:hint="eastAsia" w:asciiTheme="majorEastAsia" w:hAnsiTheme="majorEastAsia" w:eastAsiaTheme="majorEastAsia" w:cstheme="majorEastAsia"/>
          <w:sz w:val="24"/>
          <w:szCs w:val="24"/>
          <w:lang w:eastAsia="zh-CN"/>
        </w:rPr>
        <w:t>及监理周期</w:t>
      </w:r>
      <w:r>
        <w:rPr>
          <w:rFonts w:hint="eastAsia" w:asciiTheme="majorEastAsia" w:hAnsiTheme="majorEastAsia" w:eastAsiaTheme="majorEastAsia" w:cstheme="majorEastAsia"/>
          <w:sz w:val="24"/>
          <w:szCs w:val="24"/>
        </w:rPr>
        <w:t>、磋商有效期、质量标准等实质性内容作出响应。</w:t>
      </w:r>
    </w:p>
    <w:p w14:paraId="7F91FA26">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供应商在生成电子化响应文件后，应对电子化响应文件进行签章，未进行签章的视为无效响应。</w:t>
      </w:r>
    </w:p>
    <w:p w14:paraId="0A61D201">
      <w:pPr>
        <w:autoSpaceDE w:val="0"/>
        <w:autoSpaceDN w:val="0"/>
        <w:adjustRightInd w:val="0"/>
        <w:spacing w:line="500" w:lineRule="exact"/>
        <w:ind w:right="41" w:firstLine="480" w:firstLineChars="200"/>
        <w:rPr>
          <w:rFonts w:asciiTheme="majorEastAsia" w:hAnsiTheme="majorEastAsia" w:eastAsiaTheme="majorEastAsia" w:cstheme="majorEastAsia"/>
          <w:spacing w:val="2"/>
          <w:kern w:val="0"/>
          <w:sz w:val="24"/>
          <w:szCs w:val="24"/>
        </w:rPr>
      </w:pPr>
      <w:r>
        <w:rPr>
          <w:rFonts w:hint="eastAsia" w:asciiTheme="majorEastAsia" w:hAnsiTheme="majorEastAsia" w:eastAsiaTheme="majorEastAsia" w:cstheme="majorEastAsia"/>
          <w:sz w:val="24"/>
          <w:szCs w:val="24"/>
        </w:rPr>
        <w:t xml:space="preserve">3.5.4 </w:t>
      </w:r>
      <w:r>
        <w:rPr>
          <w:rFonts w:hint="eastAsia" w:asciiTheme="majorEastAsia" w:hAnsiTheme="majorEastAsia" w:eastAsiaTheme="majorEastAsia" w:cstheme="majorEastAsia"/>
          <w:spacing w:val="2"/>
          <w:kern w:val="0"/>
          <w:sz w:val="24"/>
          <w:szCs w:val="24"/>
        </w:rPr>
        <w:t>磋商文件中要求签章的，供应商在进行电子化响应文件签章时，以单位和法定代表人电子签章为准。电子化响应文件具体制作教材请供应商通过CA证书登录三门峡市公共资源电子化交易系统在右上角“帮助中心”中查看。</w:t>
      </w:r>
    </w:p>
    <w:p w14:paraId="79F5C80D">
      <w:pPr>
        <w:autoSpaceDE w:val="0"/>
        <w:autoSpaceDN w:val="0"/>
        <w:adjustRightInd w:val="0"/>
        <w:spacing w:line="500" w:lineRule="exact"/>
        <w:ind w:right="41"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3.5.5 相关证书原件的提交：本项目实行资格后审，磋商文件中要求供应商提交资质、业绩、荣誉及单位人员等相关资料原件的，供应商需将原件扫描件制作到电子响应文件中。</w:t>
      </w:r>
    </w:p>
    <w:p w14:paraId="30D8D764">
      <w:pPr>
        <w:numPr>
          <w:ilvl w:val="0"/>
          <w:numId w:val="3"/>
        </w:numPr>
        <w:tabs>
          <w:tab w:val="left" w:pos="360"/>
        </w:tabs>
        <w:wordWrap w:val="0"/>
        <w:topLinePunct/>
        <w:autoSpaceDE w:val="0"/>
        <w:autoSpaceDN w:val="0"/>
        <w:adjustRightInd w:val="0"/>
        <w:snapToGrid w:val="0"/>
        <w:spacing w:line="500" w:lineRule="exact"/>
        <w:contextualSpacing/>
        <w:outlineLvl w:val="1"/>
        <w:rPr>
          <w:rFonts w:asciiTheme="majorEastAsia" w:hAnsiTheme="majorEastAsia" w:eastAsiaTheme="majorEastAsia" w:cstheme="majorEastAsia"/>
          <w:b/>
          <w:bCs/>
          <w:sz w:val="24"/>
          <w:szCs w:val="24"/>
        </w:rPr>
      </w:pPr>
      <w:bookmarkStart w:id="223" w:name="_Toc6530"/>
      <w:r>
        <w:rPr>
          <w:rFonts w:hint="eastAsia" w:asciiTheme="majorEastAsia" w:hAnsiTheme="majorEastAsia" w:eastAsiaTheme="majorEastAsia" w:cstheme="majorEastAsia"/>
          <w:b/>
          <w:bCs/>
          <w:sz w:val="24"/>
          <w:szCs w:val="24"/>
        </w:rPr>
        <w:t xml:space="preserve"> </w:t>
      </w:r>
      <w:bookmarkStart w:id="224" w:name="_Toc23774430"/>
      <w:bookmarkStart w:id="225" w:name="_Toc12187"/>
      <w:r>
        <w:rPr>
          <w:rFonts w:hint="eastAsia" w:asciiTheme="majorEastAsia" w:hAnsiTheme="majorEastAsia" w:eastAsiaTheme="majorEastAsia" w:cstheme="majorEastAsia"/>
          <w:b/>
          <w:bCs/>
          <w:sz w:val="24"/>
          <w:szCs w:val="24"/>
        </w:rPr>
        <w:t>响应文件的递交</w:t>
      </w:r>
      <w:bookmarkEnd w:id="223"/>
      <w:bookmarkEnd w:id="224"/>
      <w:bookmarkEnd w:id="225"/>
    </w:p>
    <w:p w14:paraId="75C01FE7">
      <w:pPr>
        <w:keepNext/>
        <w:keepLines/>
        <w:numPr>
          <w:ilvl w:val="1"/>
          <w:numId w:val="3"/>
        </w:numPr>
        <w:wordWrap w:val="0"/>
        <w:topLinePunct/>
        <w:spacing w:line="500" w:lineRule="exact"/>
        <w:jc w:val="left"/>
        <w:outlineLvl w:val="2"/>
        <w:rPr>
          <w:rFonts w:asciiTheme="majorEastAsia" w:hAnsiTheme="majorEastAsia" w:eastAsiaTheme="majorEastAsia" w:cstheme="majorEastAsia"/>
          <w:b/>
          <w:bCs/>
          <w:sz w:val="24"/>
          <w:szCs w:val="24"/>
        </w:rPr>
      </w:pPr>
      <w:bookmarkStart w:id="226" w:name="_Toc428276592"/>
      <w:bookmarkStart w:id="227" w:name="_Toc463011277"/>
      <w:bookmarkStart w:id="228" w:name="_Toc27477"/>
      <w:bookmarkStart w:id="229" w:name="_Toc21528"/>
      <w:bookmarkStart w:id="230" w:name="_Toc462934298"/>
      <w:bookmarkStart w:id="231" w:name="_Toc454788032"/>
      <w:bookmarkStart w:id="232" w:name="_Toc31608"/>
      <w:bookmarkStart w:id="233" w:name="_Toc270604825"/>
      <w:bookmarkStart w:id="234" w:name="_Toc455678124"/>
      <w:bookmarkStart w:id="235" w:name="_Toc277149387"/>
      <w:bookmarkStart w:id="236" w:name="_Toc428351652"/>
      <w:bookmarkStart w:id="237" w:name="_Toc269470320"/>
      <w:bookmarkStart w:id="238" w:name="_Toc270604598"/>
      <w:r>
        <w:rPr>
          <w:rFonts w:hint="eastAsia" w:asciiTheme="majorEastAsia" w:hAnsiTheme="majorEastAsia" w:eastAsiaTheme="majorEastAsia" w:cstheme="majorEastAsia"/>
          <w:b/>
          <w:sz w:val="24"/>
          <w:szCs w:val="24"/>
        </w:rPr>
        <w:t>电子化响应文件的格式及上传</w:t>
      </w:r>
      <w:bookmarkEnd w:id="226"/>
      <w:bookmarkEnd w:id="227"/>
      <w:bookmarkEnd w:id="228"/>
      <w:bookmarkEnd w:id="229"/>
      <w:bookmarkEnd w:id="230"/>
      <w:bookmarkEnd w:id="231"/>
      <w:bookmarkEnd w:id="232"/>
      <w:bookmarkEnd w:id="233"/>
      <w:bookmarkEnd w:id="234"/>
      <w:bookmarkEnd w:id="235"/>
      <w:bookmarkEnd w:id="236"/>
      <w:bookmarkEnd w:id="237"/>
      <w:bookmarkEnd w:id="238"/>
      <w:r>
        <w:rPr>
          <w:rFonts w:hint="eastAsia" w:asciiTheme="majorEastAsia" w:hAnsiTheme="majorEastAsia" w:eastAsiaTheme="majorEastAsia" w:cstheme="majorEastAsia"/>
          <w:b/>
          <w:sz w:val="24"/>
          <w:szCs w:val="24"/>
        </w:rPr>
        <w:t>：详见</w:t>
      </w:r>
      <w:r>
        <w:rPr>
          <w:rFonts w:hint="eastAsia" w:asciiTheme="majorEastAsia" w:hAnsiTheme="majorEastAsia" w:eastAsiaTheme="majorEastAsia" w:cstheme="majorEastAsia"/>
          <w:b/>
          <w:bCs/>
          <w:sz w:val="24"/>
          <w:szCs w:val="24"/>
        </w:rPr>
        <w:t>供应商须知前附表</w:t>
      </w:r>
    </w:p>
    <w:p w14:paraId="3C94AB3C">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239" w:name="_Toc455678125"/>
      <w:bookmarkStart w:id="240" w:name="_Toc463011278"/>
      <w:bookmarkStart w:id="241" w:name="_Toc29167"/>
      <w:bookmarkStart w:id="242" w:name="_Toc270604599"/>
      <w:bookmarkStart w:id="243" w:name="_Toc428351653"/>
      <w:bookmarkStart w:id="244" w:name="_Toc428276593"/>
      <w:bookmarkStart w:id="245" w:name="_Toc5938"/>
      <w:bookmarkStart w:id="246" w:name="_Toc277149388"/>
      <w:bookmarkStart w:id="247" w:name="_Toc462934299"/>
      <w:bookmarkStart w:id="248" w:name="_Toc269470321"/>
      <w:bookmarkStart w:id="249" w:name="_Toc20197"/>
      <w:bookmarkStart w:id="250" w:name="_Toc270604826"/>
      <w:bookmarkStart w:id="251" w:name="_Toc454788033"/>
      <w:r>
        <w:rPr>
          <w:rFonts w:hint="eastAsia" w:asciiTheme="majorEastAsia" w:hAnsiTheme="majorEastAsia" w:eastAsiaTheme="majorEastAsia" w:cstheme="majorEastAsia"/>
          <w:b/>
          <w:sz w:val="24"/>
          <w:szCs w:val="24"/>
        </w:rPr>
        <w:t>响应文件的递交</w:t>
      </w:r>
      <w:bookmarkEnd w:id="239"/>
      <w:bookmarkEnd w:id="240"/>
      <w:bookmarkEnd w:id="241"/>
      <w:bookmarkEnd w:id="242"/>
      <w:bookmarkEnd w:id="243"/>
      <w:bookmarkEnd w:id="244"/>
      <w:bookmarkEnd w:id="245"/>
      <w:bookmarkEnd w:id="246"/>
      <w:bookmarkEnd w:id="247"/>
      <w:bookmarkEnd w:id="248"/>
      <w:bookmarkEnd w:id="249"/>
      <w:bookmarkEnd w:id="250"/>
      <w:bookmarkEnd w:id="251"/>
    </w:p>
    <w:p w14:paraId="468D7B2F">
      <w:pPr>
        <w:autoSpaceDE w:val="0"/>
        <w:autoSpaceDN w:val="0"/>
        <w:adjustRightInd w:val="0"/>
        <w:spacing w:line="500" w:lineRule="exact"/>
        <w:ind w:right="-20" w:firstLine="480" w:firstLineChars="20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4.2.1 供应商</w:t>
      </w:r>
      <w:r>
        <w:rPr>
          <w:rFonts w:hint="eastAsia" w:asciiTheme="majorEastAsia" w:hAnsiTheme="majorEastAsia" w:eastAsiaTheme="majorEastAsia" w:cstheme="majorEastAsia"/>
          <w:spacing w:val="-2"/>
          <w:kern w:val="0"/>
          <w:sz w:val="24"/>
          <w:szCs w:val="24"/>
        </w:rPr>
        <w:t>应</w:t>
      </w:r>
      <w:r>
        <w:rPr>
          <w:rFonts w:hint="eastAsia" w:asciiTheme="majorEastAsia" w:hAnsiTheme="majorEastAsia" w:eastAsiaTheme="majorEastAsia" w:cstheme="majorEastAsia"/>
          <w:kern w:val="0"/>
          <w:sz w:val="24"/>
          <w:szCs w:val="24"/>
        </w:rPr>
        <w:t>在</w:t>
      </w:r>
      <w:r>
        <w:rPr>
          <w:rFonts w:hint="eastAsia" w:asciiTheme="majorEastAsia" w:hAnsiTheme="majorEastAsia" w:eastAsiaTheme="majorEastAsia" w:cstheme="majorEastAsia"/>
          <w:spacing w:val="-2"/>
          <w:kern w:val="0"/>
          <w:sz w:val="24"/>
          <w:szCs w:val="24"/>
        </w:rPr>
        <w:t>供应商须</w:t>
      </w:r>
      <w:r>
        <w:rPr>
          <w:rFonts w:hint="eastAsia" w:asciiTheme="majorEastAsia" w:hAnsiTheme="majorEastAsia" w:eastAsiaTheme="majorEastAsia" w:cstheme="majorEastAsia"/>
          <w:kern w:val="0"/>
          <w:sz w:val="24"/>
          <w:szCs w:val="24"/>
        </w:rPr>
        <w:t>知前</w:t>
      </w:r>
      <w:r>
        <w:rPr>
          <w:rFonts w:hint="eastAsia" w:asciiTheme="majorEastAsia" w:hAnsiTheme="majorEastAsia" w:eastAsiaTheme="majorEastAsia" w:cstheme="majorEastAsia"/>
          <w:spacing w:val="-2"/>
          <w:kern w:val="0"/>
          <w:sz w:val="24"/>
          <w:szCs w:val="24"/>
        </w:rPr>
        <w:t>附</w:t>
      </w:r>
      <w:r>
        <w:rPr>
          <w:rFonts w:hint="eastAsia" w:asciiTheme="majorEastAsia" w:hAnsiTheme="majorEastAsia" w:eastAsiaTheme="majorEastAsia" w:cstheme="majorEastAsia"/>
          <w:kern w:val="0"/>
          <w:sz w:val="24"/>
          <w:szCs w:val="24"/>
        </w:rPr>
        <w:t>表</w:t>
      </w:r>
      <w:r>
        <w:rPr>
          <w:rFonts w:hint="eastAsia" w:asciiTheme="majorEastAsia" w:hAnsiTheme="majorEastAsia" w:eastAsiaTheme="majorEastAsia" w:cstheme="majorEastAsia"/>
          <w:spacing w:val="-2"/>
          <w:kern w:val="0"/>
          <w:sz w:val="24"/>
          <w:szCs w:val="24"/>
        </w:rPr>
        <w:t>规</w:t>
      </w:r>
      <w:r>
        <w:rPr>
          <w:rFonts w:hint="eastAsia" w:asciiTheme="majorEastAsia" w:hAnsiTheme="majorEastAsia" w:eastAsiaTheme="majorEastAsia" w:cstheme="majorEastAsia"/>
          <w:kern w:val="0"/>
          <w:sz w:val="24"/>
          <w:szCs w:val="24"/>
        </w:rPr>
        <w:t>定</w:t>
      </w:r>
      <w:r>
        <w:rPr>
          <w:rFonts w:hint="eastAsia" w:asciiTheme="majorEastAsia" w:hAnsiTheme="majorEastAsia" w:eastAsiaTheme="majorEastAsia" w:cstheme="majorEastAsia"/>
          <w:spacing w:val="-2"/>
          <w:kern w:val="0"/>
          <w:sz w:val="24"/>
          <w:szCs w:val="24"/>
        </w:rPr>
        <w:t>的</w:t>
      </w:r>
      <w:r>
        <w:rPr>
          <w:rFonts w:hint="eastAsia" w:asciiTheme="majorEastAsia" w:hAnsiTheme="majorEastAsia" w:eastAsiaTheme="majorEastAsia" w:cstheme="majorEastAsia"/>
          <w:kern w:val="0"/>
          <w:sz w:val="24"/>
          <w:szCs w:val="24"/>
        </w:rPr>
        <w:t>响应文件递交截</w:t>
      </w:r>
      <w:r>
        <w:rPr>
          <w:rFonts w:hint="eastAsia" w:asciiTheme="majorEastAsia" w:hAnsiTheme="majorEastAsia" w:eastAsiaTheme="majorEastAsia" w:cstheme="majorEastAsia"/>
          <w:spacing w:val="-2"/>
          <w:kern w:val="0"/>
          <w:sz w:val="24"/>
          <w:szCs w:val="24"/>
        </w:rPr>
        <w:t>止</w:t>
      </w:r>
      <w:r>
        <w:rPr>
          <w:rFonts w:hint="eastAsia" w:asciiTheme="majorEastAsia" w:hAnsiTheme="majorEastAsia" w:eastAsiaTheme="majorEastAsia" w:cstheme="majorEastAsia"/>
          <w:kern w:val="0"/>
          <w:sz w:val="24"/>
          <w:szCs w:val="24"/>
        </w:rPr>
        <w:t>时间</w:t>
      </w:r>
      <w:r>
        <w:rPr>
          <w:rFonts w:hint="eastAsia" w:asciiTheme="majorEastAsia" w:hAnsiTheme="majorEastAsia" w:eastAsiaTheme="majorEastAsia" w:cstheme="majorEastAsia"/>
          <w:spacing w:val="-2"/>
          <w:kern w:val="0"/>
          <w:sz w:val="24"/>
          <w:szCs w:val="24"/>
        </w:rPr>
        <w:t>前递交</w:t>
      </w:r>
      <w:r>
        <w:rPr>
          <w:rFonts w:hint="eastAsia" w:asciiTheme="majorEastAsia" w:hAnsiTheme="majorEastAsia" w:eastAsiaTheme="majorEastAsia" w:cstheme="majorEastAsia"/>
          <w:kern w:val="0"/>
          <w:sz w:val="24"/>
          <w:szCs w:val="24"/>
        </w:rPr>
        <w:t>响应文</w:t>
      </w:r>
      <w:r>
        <w:rPr>
          <w:rFonts w:hint="eastAsia" w:asciiTheme="majorEastAsia" w:hAnsiTheme="majorEastAsia" w:eastAsiaTheme="majorEastAsia" w:cstheme="majorEastAsia"/>
          <w:spacing w:val="-2"/>
          <w:kern w:val="0"/>
          <w:sz w:val="24"/>
          <w:szCs w:val="24"/>
        </w:rPr>
        <w:t>件</w:t>
      </w:r>
      <w:r>
        <w:rPr>
          <w:rFonts w:hint="eastAsia" w:asciiTheme="majorEastAsia" w:hAnsiTheme="majorEastAsia" w:eastAsiaTheme="majorEastAsia" w:cstheme="majorEastAsia"/>
          <w:kern w:val="0"/>
          <w:sz w:val="24"/>
          <w:szCs w:val="24"/>
        </w:rPr>
        <w:t>。</w:t>
      </w:r>
    </w:p>
    <w:p w14:paraId="227D79E4">
      <w:pPr>
        <w:autoSpaceDE w:val="0"/>
        <w:autoSpaceDN w:val="0"/>
        <w:adjustRightInd w:val="0"/>
        <w:spacing w:line="500" w:lineRule="exact"/>
        <w:ind w:right="-20" w:firstLine="480" w:firstLineChars="200"/>
        <w:jc w:val="lef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4.2.2 </w:t>
      </w:r>
      <w:r>
        <w:rPr>
          <w:rFonts w:hint="eastAsia" w:asciiTheme="majorEastAsia" w:hAnsiTheme="majorEastAsia" w:eastAsiaTheme="majorEastAsia" w:cstheme="majorEastAsia"/>
          <w:kern w:val="0"/>
          <w:sz w:val="24"/>
          <w:szCs w:val="24"/>
        </w:rPr>
        <w:t>供应商递</w:t>
      </w:r>
      <w:r>
        <w:rPr>
          <w:rFonts w:hint="eastAsia" w:asciiTheme="majorEastAsia" w:hAnsiTheme="majorEastAsia" w:eastAsiaTheme="majorEastAsia" w:cstheme="majorEastAsia"/>
          <w:spacing w:val="-2"/>
          <w:kern w:val="0"/>
          <w:sz w:val="24"/>
          <w:szCs w:val="24"/>
        </w:rPr>
        <w:t>交响应</w:t>
      </w:r>
      <w:r>
        <w:rPr>
          <w:rFonts w:hint="eastAsia" w:asciiTheme="majorEastAsia" w:hAnsiTheme="majorEastAsia" w:eastAsiaTheme="majorEastAsia" w:cstheme="majorEastAsia"/>
          <w:kern w:val="0"/>
          <w:sz w:val="24"/>
          <w:szCs w:val="24"/>
        </w:rPr>
        <w:t>文</w:t>
      </w:r>
      <w:r>
        <w:rPr>
          <w:rFonts w:hint="eastAsia" w:asciiTheme="majorEastAsia" w:hAnsiTheme="majorEastAsia" w:eastAsiaTheme="majorEastAsia" w:cstheme="majorEastAsia"/>
          <w:spacing w:val="-2"/>
          <w:kern w:val="0"/>
          <w:sz w:val="24"/>
          <w:szCs w:val="24"/>
        </w:rPr>
        <w:t>件</w:t>
      </w:r>
      <w:r>
        <w:rPr>
          <w:rFonts w:hint="eastAsia" w:asciiTheme="majorEastAsia" w:hAnsiTheme="majorEastAsia" w:eastAsiaTheme="majorEastAsia" w:cstheme="majorEastAsia"/>
          <w:kern w:val="0"/>
          <w:sz w:val="24"/>
          <w:szCs w:val="24"/>
        </w:rPr>
        <w:t>的</w:t>
      </w:r>
      <w:r>
        <w:rPr>
          <w:rFonts w:hint="eastAsia" w:asciiTheme="majorEastAsia" w:hAnsiTheme="majorEastAsia" w:eastAsiaTheme="majorEastAsia" w:cstheme="majorEastAsia"/>
          <w:spacing w:val="-2"/>
          <w:kern w:val="0"/>
          <w:sz w:val="24"/>
          <w:szCs w:val="24"/>
        </w:rPr>
        <w:t>地</w:t>
      </w:r>
      <w:r>
        <w:rPr>
          <w:rFonts w:hint="eastAsia" w:asciiTheme="majorEastAsia" w:hAnsiTheme="majorEastAsia" w:eastAsiaTheme="majorEastAsia" w:cstheme="majorEastAsia"/>
          <w:kern w:val="0"/>
          <w:sz w:val="24"/>
          <w:szCs w:val="24"/>
        </w:rPr>
        <w:t>点</w:t>
      </w:r>
      <w:r>
        <w:rPr>
          <w:rFonts w:hint="eastAsia" w:asciiTheme="majorEastAsia" w:hAnsiTheme="majorEastAsia" w:eastAsiaTheme="majorEastAsia" w:cstheme="majorEastAsia"/>
          <w:spacing w:val="-2"/>
          <w:kern w:val="0"/>
          <w:sz w:val="24"/>
          <w:szCs w:val="24"/>
        </w:rPr>
        <w:t>：</w:t>
      </w:r>
      <w:r>
        <w:rPr>
          <w:rFonts w:hint="eastAsia" w:asciiTheme="majorEastAsia" w:hAnsiTheme="majorEastAsia" w:eastAsiaTheme="majorEastAsia" w:cstheme="majorEastAsia"/>
          <w:kern w:val="0"/>
          <w:sz w:val="24"/>
          <w:szCs w:val="24"/>
        </w:rPr>
        <w:t>见</w:t>
      </w:r>
      <w:r>
        <w:rPr>
          <w:rFonts w:hint="eastAsia" w:asciiTheme="majorEastAsia" w:hAnsiTheme="majorEastAsia" w:eastAsiaTheme="majorEastAsia" w:cstheme="majorEastAsia"/>
          <w:spacing w:val="-2"/>
          <w:kern w:val="0"/>
          <w:sz w:val="24"/>
          <w:szCs w:val="24"/>
        </w:rPr>
        <w:t>供应商</w:t>
      </w:r>
      <w:r>
        <w:rPr>
          <w:rFonts w:hint="eastAsia" w:asciiTheme="majorEastAsia" w:hAnsiTheme="majorEastAsia" w:eastAsiaTheme="majorEastAsia" w:cstheme="majorEastAsia"/>
          <w:kern w:val="0"/>
          <w:sz w:val="24"/>
          <w:szCs w:val="24"/>
        </w:rPr>
        <w:t>须知</w:t>
      </w:r>
      <w:r>
        <w:rPr>
          <w:rFonts w:hint="eastAsia" w:asciiTheme="majorEastAsia" w:hAnsiTheme="majorEastAsia" w:eastAsiaTheme="majorEastAsia" w:cstheme="majorEastAsia"/>
          <w:spacing w:val="-2"/>
          <w:kern w:val="0"/>
          <w:sz w:val="24"/>
          <w:szCs w:val="24"/>
        </w:rPr>
        <w:t>前</w:t>
      </w:r>
      <w:r>
        <w:rPr>
          <w:rFonts w:hint="eastAsia" w:asciiTheme="majorEastAsia" w:hAnsiTheme="majorEastAsia" w:eastAsiaTheme="majorEastAsia" w:cstheme="majorEastAsia"/>
          <w:kern w:val="0"/>
          <w:sz w:val="24"/>
          <w:szCs w:val="24"/>
        </w:rPr>
        <w:t>附</w:t>
      </w:r>
      <w:r>
        <w:rPr>
          <w:rFonts w:hint="eastAsia" w:asciiTheme="majorEastAsia" w:hAnsiTheme="majorEastAsia" w:eastAsiaTheme="majorEastAsia" w:cstheme="majorEastAsia"/>
          <w:spacing w:val="-2"/>
          <w:kern w:val="0"/>
          <w:sz w:val="24"/>
          <w:szCs w:val="24"/>
        </w:rPr>
        <w:t>表</w:t>
      </w:r>
      <w:r>
        <w:rPr>
          <w:rFonts w:hint="eastAsia" w:asciiTheme="majorEastAsia" w:hAnsiTheme="majorEastAsia" w:eastAsiaTheme="majorEastAsia" w:cstheme="majorEastAsia"/>
          <w:kern w:val="0"/>
          <w:sz w:val="24"/>
          <w:szCs w:val="24"/>
        </w:rPr>
        <w:t>。</w:t>
      </w:r>
    </w:p>
    <w:p w14:paraId="3118060D">
      <w:pPr>
        <w:autoSpaceDE w:val="0"/>
        <w:autoSpaceDN w:val="0"/>
        <w:adjustRightInd w:val="0"/>
        <w:spacing w:line="500" w:lineRule="exact"/>
        <w:ind w:right="-20" w:firstLine="480" w:firstLineChars="20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4.2.3</w:t>
      </w:r>
      <w:r>
        <w:rPr>
          <w:rFonts w:hint="eastAsia" w:asciiTheme="majorEastAsia" w:hAnsiTheme="majorEastAsia" w:eastAsiaTheme="majorEastAsia" w:cstheme="majorEastAsia"/>
          <w:kern w:val="0"/>
          <w:sz w:val="24"/>
          <w:szCs w:val="24"/>
        </w:rPr>
        <w:t xml:space="preserve"> 除</w:t>
      </w:r>
      <w:r>
        <w:rPr>
          <w:rFonts w:hint="eastAsia" w:asciiTheme="majorEastAsia" w:hAnsiTheme="majorEastAsia" w:eastAsiaTheme="majorEastAsia" w:cstheme="majorEastAsia"/>
          <w:spacing w:val="-2"/>
          <w:kern w:val="0"/>
          <w:sz w:val="24"/>
          <w:szCs w:val="24"/>
        </w:rPr>
        <w:t>供应商</w:t>
      </w:r>
      <w:r>
        <w:rPr>
          <w:rFonts w:hint="eastAsia" w:asciiTheme="majorEastAsia" w:hAnsiTheme="majorEastAsia" w:eastAsiaTheme="majorEastAsia" w:cstheme="majorEastAsia"/>
          <w:kern w:val="0"/>
          <w:sz w:val="24"/>
          <w:szCs w:val="24"/>
        </w:rPr>
        <w:t>须</w:t>
      </w:r>
      <w:r>
        <w:rPr>
          <w:rFonts w:hint="eastAsia" w:asciiTheme="majorEastAsia" w:hAnsiTheme="majorEastAsia" w:eastAsiaTheme="majorEastAsia" w:cstheme="majorEastAsia"/>
          <w:spacing w:val="-2"/>
          <w:kern w:val="0"/>
          <w:sz w:val="24"/>
          <w:szCs w:val="24"/>
        </w:rPr>
        <w:t>知</w:t>
      </w:r>
      <w:r>
        <w:rPr>
          <w:rFonts w:hint="eastAsia" w:asciiTheme="majorEastAsia" w:hAnsiTheme="majorEastAsia" w:eastAsiaTheme="majorEastAsia" w:cstheme="majorEastAsia"/>
          <w:kern w:val="0"/>
          <w:sz w:val="24"/>
          <w:szCs w:val="24"/>
        </w:rPr>
        <w:t>前</w:t>
      </w:r>
      <w:r>
        <w:rPr>
          <w:rFonts w:hint="eastAsia" w:asciiTheme="majorEastAsia" w:hAnsiTheme="majorEastAsia" w:eastAsiaTheme="majorEastAsia" w:cstheme="majorEastAsia"/>
          <w:spacing w:val="-2"/>
          <w:kern w:val="0"/>
          <w:sz w:val="24"/>
          <w:szCs w:val="24"/>
        </w:rPr>
        <w:t>附表</w:t>
      </w:r>
      <w:r>
        <w:rPr>
          <w:rFonts w:hint="eastAsia" w:asciiTheme="majorEastAsia" w:hAnsiTheme="majorEastAsia" w:eastAsiaTheme="majorEastAsia" w:cstheme="majorEastAsia"/>
          <w:kern w:val="0"/>
          <w:sz w:val="24"/>
          <w:szCs w:val="24"/>
        </w:rPr>
        <w:t>另有</w:t>
      </w:r>
      <w:r>
        <w:rPr>
          <w:rFonts w:hint="eastAsia" w:asciiTheme="majorEastAsia" w:hAnsiTheme="majorEastAsia" w:eastAsiaTheme="majorEastAsia" w:cstheme="majorEastAsia"/>
          <w:spacing w:val="-2"/>
          <w:kern w:val="0"/>
          <w:sz w:val="24"/>
          <w:szCs w:val="24"/>
        </w:rPr>
        <w:t>规</w:t>
      </w:r>
      <w:r>
        <w:rPr>
          <w:rFonts w:hint="eastAsia" w:asciiTheme="majorEastAsia" w:hAnsiTheme="majorEastAsia" w:eastAsiaTheme="majorEastAsia" w:cstheme="majorEastAsia"/>
          <w:kern w:val="0"/>
          <w:sz w:val="24"/>
          <w:szCs w:val="24"/>
        </w:rPr>
        <w:t>定</w:t>
      </w:r>
      <w:r>
        <w:rPr>
          <w:rFonts w:hint="eastAsia" w:asciiTheme="majorEastAsia" w:hAnsiTheme="majorEastAsia" w:eastAsiaTheme="majorEastAsia" w:cstheme="majorEastAsia"/>
          <w:spacing w:val="-2"/>
          <w:kern w:val="0"/>
          <w:sz w:val="24"/>
          <w:szCs w:val="24"/>
        </w:rPr>
        <w:t>外</w:t>
      </w:r>
      <w:r>
        <w:rPr>
          <w:rFonts w:hint="eastAsia" w:asciiTheme="majorEastAsia" w:hAnsiTheme="majorEastAsia" w:eastAsiaTheme="majorEastAsia" w:cstheme="majorEastAsia"/>
          <w:kern w:val="0"/>
          <w:sz w:val="24"/>
          <w:szCs w:val="24"/>
        </w:rPr>
        <w:t>供应商所</w:t>
      </w:r>
      <w:r>
        <w:rPr>
          <w:rFonts w:hint="eastAsia" w:asciiTheme="majorEastAsia" w:hAnsiTheme="majorEastAsia" w:eastAsiaTheme="majorEastAsia" w:cstheme="majorEastAsia"/>
          <w:spacing w:val="-2"/>
          <w:kern w:val="0"/>
          <w:sz w:val="24"/>
          <w:szCs w:val="24"/>
        </w:rPr>
        <w:t>递</w:t>
      </w:r>
      <w:r>
        <w:rPr>
          <w:rFonts w:hint="eastAsia" w:asciiTheme="majorEastAsia" w:hAnsiTheme="majorEastAsia" w:eastAsiaTheme="majorEastAsia" w:cstheme="majorEastAsia"/>
          <w:kern w:val="0"/>
          <w:sz w:val="24"/>
          <w:szCs w:val="24"/>
        </w:rPr>
        <w:t>交的</w:t>
      </w:r>
      <w:r>
        <w:rPr>
          <w:rFonts w:hint="eastAsia" w:asciiTheme="majorEastAsia" w:hAnsiTheme="majorEastAsia" w:eastAsiaTheme="majorEastAsia" w:cstheme="majorEastAsia"/>
          <w:spacing w:val="-2"/>
          <w:kern w:val="0"/>
          <w:sz w:val="24"/>
          <w:szCs w:val="24"/>
        </w:rPr>
        <w:t>响应文</w:t>
      </w:r>
      <w:r>
        <w:rPr>
          <w:rFonts w:hint="eastAsia" w:asciiTheme="majorEastAsia" w:hAnsiTheme="majorEastAsia" w:eastAsiaTheme="majorEastAsia" w:cstheme="majorEastAsia"/>
          <w:kern w:val="0"/>
          <w:sz w:val="24"/>
          <w:szCs w:val="24"/>
        </w:rPr>
        <w:t>件</w:t>
      </w:r>
      <w:r>
        <w:rPr>
          <w:rFonts w:hint="eastAsia" w:asciiTheme="majorEastAsia" w:hAnsiTheme="majorEastAsia" w:eastAsiaTheme="majorEastAsia" w:cstheme="majorEastAsia"/>
          <w:spacing w:val="-2"/>
          <w:kern w:val="0"/>
          <w:sz w:val="24"/>
          <w:szCs w:val="24"/>
        </w:rPr>
        <w:t>不</w:t>
      </w:r>
      <w:r>
        <w:rPr>
          <w:rFonts w:hint="eastAsia" w:asciiTheme="majorEastAsia" w:hAnsiTheme="majorEastAsia" w:eastAsiaTheme="majorEastAsia" w:cstheme="majorEastAsia"/>
          <w:kern w:val="0"/>
          <w:sz w:val="24"/>
          <w:szCs w:val="24"/>
        </w:rPr>
        <w:t>予</w:t>
      </w:r>
      <w:r>
        <w:rPr>
          <w:rFonts w:hint="eastAsia" w:asciiTheme="majorEastAsia" w:hAnsiTheme="majorEastAsia" w:eastAsiaTheme="majorEastAsia" w:cstheme="majorEastAsia"/>
          <w:spacing w:val="-2"/>
          <w:kern w:val="0"/>
          <w:sz w:val="24"/>
          <w:szCs w:val="24"/>
        </w:rPr>
        <w:t>退</w:t>
      </w:r>
      <w:r>
        <w:rPr>
          <w:rFonts w:hint="eastAsia" w:asciiTheme="majorEastAsia" w:hAnsiTheme="majorEastAsia" w:eastAsiaTheme="majorEastAsia" w:cstheme="majorEastAsia"/>
          <w:kern w:val="0"/>
          <w:sz w:val="24"/>
          <w:szCs w:val="24"/>
        </w:rPr>
        <w:t>还。</w:t>
      </w:r>
    </w:p>
    <w:p w14:paraId="33DB87F4">
      <w:pPr>
        <w:autoSpaceDE w:val="0"/>
        <w:autoSpaceDN w:val="0"/>
        <w:adjustRightInd w:val="0"/>
        <w:spacing w:line="500" w:lineRule="exact"/>
        <w:ind w:right="40" w:firstLine="480" w:firstLineChars="200"/>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 xml:space="preserve">4.2.4 </w:t>
      </w:r>
      <w:r>
        <w:rPr>
          <w:rFonts w:hint="eastAsia" w:asciiTheme="majorEastAsia" w:hAnsiTheme="majorEastAsia" w:eastAsiaTheme="majorEastAsia" w:cstheme="majorEastAsia"/>
          <w:kern w:val="0"/>
          <w:sz w:val="24"/>
          <w:szCs w:val="24"/>
        </w:rPr>
        <w:t>供应商</w:t>
      </w:r>
      <w:r>
        <w:rPr>
          <w:rFonts w:hint="eastAsia" w:asciiTheme="majorEastAsia" w:hAnsiTheme="majorEastAsia" w:eastAsiaTheme="majorEastAsia" w:cstheme="majorEastAsia"/>
          <w:spacing w:val="-2"/>
          <w:kern w:val="0"/>
          <w:sz w:val="24"/>
          <w:szCs w:val="24"/>
        </w:rPr>
        <w:t>完</w:t>
      </w:r>
      <w:r>
        <w:rPr>
          <w:rFonts w:hint="eastAsia" w:asciiTheme="majorEastAsia" w:hAnsiTheme="majorEastAsia" w:eastAsiaTheme="majorEastAsia" w:cstheme="majorEastAsia"/>
          <w:kern w:val="0"/>
          <w:sz w:val="24"/>
          <w:szCs w:val="24"/>
        </w:rPr>
        <w:t>成</w:t>
      </w:r>
      <w:r>
        <w:rPr>
          <w:rFonts w:hint="eastAsia" w:asciiTheme="majorEastAsia" w:hAnsiTheme="majorEastAsia" w:eastAsiaTheme="majorEastAsia" w:cstheme="majorEastAsia"/>
          <w:spacing w:val="-2"/>
          <w:kern w:val="0"/>
          <w:sz w:val="24"/>
          <w:szCs w:val="24"/>
        </w:rPr>
        <w:t>电</w:t>
      </w:r>
      <w:r>
        <w:rPr>
          <w:rFonts w:hint="eastAsia" w:asciiTheme="majorEastAsia" w:hAnsiTheme="majorEastAsia" w:eastAsiaTheme="majorEastAsia" w:cstheme="majorEastAsia"/>
          <w:kern w:val="0"/>
          <w:sz w:val="24"/>
          <w:szCs w:val="24"/>
        </w:rPr>
        <w:t>子响应文</w:t>
      </w:r>
      <w:r>
        <w:rPr>
          <w:rFonts w:hint="eastAsia" w:asciiTheme="majorEastAsia" w:hAnsiTheme="majorEastAsia" w:eastAsiaTheme="majorEastAsia" w:cstheme="majorEastAsia"/>
          <w:spacing w:val="-2"/>
          <w:kern w:val="0"/>
          <w:sz w:val="24"/>
          <w:szCs w:val="24"/>
        </w:rPr>
        <w:t>件</w:t>
      </w:r>
      <w:r>
        <w:rPr>
          <w:rFonts w:hint="eastAsia" w:asciiTheme="majorEastAsia" w:hAnsiTheme="majorEastAsia" w:eastAsiaTheme="majorEastAsia" w:cstheme="majorEastAsia"/>
          <w:kern w:val="0"/>
          <w:sz w:val="24"/>
          <w:szCs w:val="24"/>
        </w:rPr>
        <w:t>上</w:t>
      </w:r>
      <w:r>
        <w:rPr>
          <w:rFonts w:hint="eastAsia" w:asciiTheme="majorEastAsia" w:hAnsiTheme="majorEastAsia" w:eastAsiaTheme="majorEastAsia" w:cstheme="majorEastAsia"/>
          <w:spacing w:val="-2"/>
          <w:kern w:val="0"/>
          <w:sz w:val="24"/>
          <w:szCs w:val="24"/>
        </w:rPr>
        <w:t>传</w:t>
      </w:r>
      <w:r>
        <w:rPr>
          <w:rFonts w:hint="eastAsia" w:asciiTheme="majorEastAsia" w:hAnsiTheme="majorEastAsia" w:eastAsiaTheme="majorEastAsia" w:cstheme="majorEastAsia"/>
          <w:kern w:val="0"/>
          <w:sz w:val="24"/>
          <w:szCs w:val="24"/>
        </w:rPr>
        <w:t>后</w:t>
      </w:r>
      <w:r>
        <w:rPr>
          <w:rFonts w:hint="eastAsia" w:asciiTheme="majorEastAsia" w:hAnsiTheme="majorEastAsia" w:eastAsiaTheme="majorEastAsia" w:cstheme="majorEastAsia"/>
          <w:spacing w:val="-5"/>
          <w:kern w:val="0"/>
          <w:sz w:val="24"/>
          <w:szCs w:val="24"/>
        </w:rPr>
        <w:t>，</w:t>
      </w:r>
      <w:r>
        <w:rPr>
          <w:rFonts w:hint="eastAsia" w:asciiTheme="majorEastAsia" w:hAnsiTheme="majorEastAsia" w:eastAsiaTheme="majorEastAsia" w:cstheme="majorEastAsia"/>
          <w:kern w:val="0"/>
          <w:sz w:val="24"/>
          <w:szCs w:val="24"/>
        </w:rPr>
        <w:t>电</w:t>
      </w:r>
      <w:r>
        <w:rPr>
          <w:rFonts w:hint="eastAsia" w:asciiTheme="majorEastAsia" w:hAnsiTheme="majorEastAsia" w:eastAsiaTheme="majorEastAsia" w:cstheme="majorEastAsia"/>
          <w:spacing w:val="-2"/>
          <w:kern w:val="0"/>
          <w:sz w:val="24"/>
          <w:szCs w:val="24"/>
        </w:rPr>
        <w:t>子</w:t>
      </w:r>
      <w:r>
        <w:rPr>
          <w:rFonts w:hint="eastAsia" w:asciiTheme="majorEastAsia" w:hAnsiTheme="majorEastAsia" w:eastAsiaTheme="majorEastAsia" w:cstheme="majorEastAsia"/>
          <w:kern w:val="0"/>
          <w:sz w:val="24"/>
          <w:szCs w:val="24"/>
        </w:rPr>
        <w:t>招标</w:t>
      </w:r>
      <w:r>
        <w:rPr>
          <w:rFonts w:hint="eastAsia" w:asciiTheme="majorEastAsia" w:hAnsiTheme="majorEastAsia" w:eastAsiaTheme="majorEastAsia" w:cstheme="majorEastAsia"/>
          <w:spacing w:val="-2"/>
          <w:kern w:val="0"/>
          <w:sz w:val="24"/>
          <w:szCs w:val="24"/>
        </w:rPr>
        <w:t>投</w:t>
      </w:r>
      <w:r>
        <w:rPr>
          <w:rFonts w:hint="eastAsia" w:asciiTheme="majorEastAsia" w:hAnsiTheme="majorEastAsia" w:eastAsiaTheme="majorEastAsia" w:cstheme="majorEastAsia"/>
          <w:kern w:val="0"/>
          <w:sz w:val="24"/>
          <w:szCs w:val="24"/>
        </w:rPr>
        <w:t>标</w:t>
      </w:r>
      <w:r>
        <w:rPr>
          <w:rFonts w:hint="eastAsia" w:asciiTheme="majorEastAsia" w:hAnsiTheme="majorEastAsia" w:eastAsiaTheme="majorEastAsia" w:cstheme="majorEastAsia"/>
          <w:spacing w:val="-2"/>
          <w:kern w:val="0"/>
          <w:sz w:val="24"/>
          <w:szCs w:val="24"/>
        </w:rPr>
        <w:t>交</w:t>
      </w:r>
      <w:r>
        <w:rPr>
          <w:rFonts w:hint="eastAsia" w:asciiTheme="majorEastAsia" w:hAnsiTheme="majorEastAsia" w:eastAsiaTheme="majorEastAsia" w:cstheme="majorEastAsia"/>
          <w:kern w:val="0"/>
          <w:sz w:val="24"/>
          <w:szCs w:val="24"/>
        </w:rPr>
        <w:t>易</w:t>
      </w:r>
      <w:r>
        <w:rPr>
          <w:rFonts w:hint="eastAsia" w:asciiTheme="majorEastAsia" w:hAnsiTheme="majorEastAsia" w:eastAsiaTheme="majorEastAsia" w:cstheme="majorEastAsia"/>
          <w:spacing w:val="-2"/>
          <w:kern w:val="0"/>
          <w:sz w:val="24"/>
          <w:szCs w:val="24"/>
        </w:rPr>
        <w:t>平</w:t>
      </w:r>
      <w:r>
        <w:rPr>
          <w:rFonts w:hint="eastAsia" w:asciiTheme="majorEastAsia" w:hAnsiTheme="majorEastAsia" w:eastAsiaTheme="majorEastAsia" w:cstheme="majorEastAsia"/>
          <w:kern w:val="0"/>
          <w:sz w:val="24"/>
          <w:szCs w:val="24"/>
        </w:rPr>
        <w:t>台</w:t>
      </w:r>
      <w:r>
        <w:rPr>
          <w:rFonts w:hint="eastAsia" w:asciiTheme="majorEastAsia" w:hAnsiTheme="majorEastAsia" w:eastAsiaTheme="majorEastAsia" w:cstheme="majorEastAsia"/>
          <w:spacing w:val="-2"/>
          <w:kern w:val="0"/>
          <w:sz w:val="24"/>
          <w:szCs w:val="24"/>
        </w:rPr>
        <w:t>即</w:t>
      </w:r>
      <w:r>
        <w:rPr>
          <w:rFonts w:hint="eastAsia" w:asciiTheme="majorEastAsia" w:hAnsiTheme="majorEastAsia" w:eastAsiaTheme="majorEastAsia" w:cstheme="majorEastAsia"/>
          <w:kern w:val="0"/>
          <w:sz w:val="24"/>
          <w:szCs w:val="24"/>
        </w:rPr>
        <w:t>时</w:t>
      </w:r>
      <w:r>
        <w:rPr>
          <w:rFonts w:hint="eastAsia" w:asciiTheme="majorEastAsia" w:hAnsiTheme="majorEastAsia" w:eastAsiaTheme="majorEastAsia" w:cstheme="majorEastAsia"/>
          <w:spacing w:val="-2"/>
          <w:kern w:val="0"/>
          <w:sz w:val="24"/>
          <w:szCs w:val="24"/>
        </w:rPr>
        <w:t>向</w:t>
      </w:r>
      <w:r>
        <w:rPr>
          <w:rFonts w:hint="eastAsia" w:asciiTheme="majorEastAsia" w:hAnsiTheme="majorEastAsia" w:eastAsiaTheme="majorEastAsia" w:cstheme="majorEastAsia"/>
          <w:kern w:val="0"/>
          <w:sz w:val="24"/>
          <w:szCs w:val="24"/>
        </w:rPr>
        <w:t>供应商发</w:t>
      </w:r>
      <w:r>
        <w:rPr>
          <w:rFonts w:hint="eastAsia" w:asciiTheme="majorEastAsia" w:hAnsiTheme="majorEastAsia" w:eastAsiaTheme="majorEastAsia" w:cstheme="majorEastAsia"/>
          <w:spacing w:val="-2"/>
          <w:kern w:val="0"/>
          <w:sz w:val="24"/>
          <w:szCs w:val="24"/>
        </w:rPr>
        <w:t>出</w:t>
      </w:r>
      <w:r>
        <w:rPr>
          <w:rFonts w:hint="eastAsia" w:asciiTheme="majorEastAsia" w:hAnsiTheme="majorEastAsia" w:eastAsiaTheme="majorEastAsia" w:cstheme="majorEastAsia"/>
          <w:kern w:val="0"/>
          <w:sz w:val="24"/>
          <w:szCs w:val="24"/>
        </w:rPr>
        <w:t>递交回</w:t>
      </w:r>
      <w:r>
        <w:rPr>
          <w:rFonts w:hint="eastAsia" w:asciiTheme="majorEastAsia" w:hAnsiTheme="majorEastAsia" w:eastAsiaTheme="majorEastAsia" w:cstheme="majorEastAsia"/>
          <w:spacing w:val="-2"/>
          <w:kern w:val="0"/>
          <w:sz w:val="24"/>
          <w:szCs w:val="24"/>
        </w:rPr>
        <w:t>执</w:t>
      </w:r>
      <w:r>
        <w:rPr>
          <w:rFonts w:hint="eastAsia" w:asciiTheme="majorEastAsia" w:hAnsiTheme="majorEastAsia" w:eastAsiaTheme="majorEastAsia" w:cstheme="majorEastAsia"/>
          <w:kern w:val="0"/>
          <w:sz w:val="24"/>
          <w:szCs w:val="24"/>
        </w:rPr>
        <w:t>通</w:t>
      </w:r>
      <w:r>
        <w:rPr>
          <w:rFonts w:hint="eastAsia" w:asciiTheme="majorEastAsia" w:hAnsiTheme="majorEastAsia" w:eastAsiaTheme="majorEastAsia" w:cstheme="majorEastAsia"/>
          <w:spacing w:val="-3"/>
          <w:kern w:val="0"/>
          <w:sz w:val="24"/>
          <w:szCs w:val="24"/>
        </w:rPr>
        <w:t>知</w:t>
      </w:r>
      <w:r>
        <w:rPr>
          <w:rFonts w:hint="eastAsia" w:asciiTheme="majorEastAsia" w:hAnsiTheme="majorEastAsia" w:eastAsiaTheme="majorEastAsia" w:cstheme="majorEastAsia"/>
          <w:kern w:val="0"/>
          <w:sz w:val="24"/>
          <w:szCs w:val="24"/>
        </w:rPr>
        <w:t>。</w:t>
      </w:r>
      <w:r>
        <w:rPr>
          <w:rFonts w:hint="eastAsia" w:asciiTheme="majorEastAsia" w:hAnsiTheme="majorEastAsia" w:eastAsiaTheme="majorEastAsia" w:cstheme="majorEastAsia"/>
          <w:spacing w:val="-2"/>
          <w:kern w:val="0"/>
          <w:sz w:val="24"/>
          <w:szCs w:val="24"/>
        </w:rPr>
        <w:t>递</w:t>
      </w:r>
      <w:r>
        <w:rPr>
          <w:rFonts w:hint="eastAsia" w:asciiTheme="majorEastAsia" w:hAnsiTheme="majorEastAsia" w:eastAsiaTheme="majorEastAsia" w:cstheme="majorEastAsia"/>
          <w:kern w:val="0"/>
          <w:sz w:val="24"/>
          <w:szCs w:val="24"/>
        </w:rPr>
        <w:t>交</w:t>
      </w:r>
      <w:r>
        <w:rPr>
          <w:rFonts w:hint="eastAsia" w:asciiTheme="majorEastAsia" w:hAnsiTheme="majorEastAsia" w:eastAsiaTheme="majorEastAsia" w:cstheme="majorEastAsia"/>
          <w:spacing w:val="-2"/>
          <w:kern w:val="0"/>
          <w:sz w:val="24"/>
          <w:szCs w:val="24"/>
        </w:rPr>
        <w:t>时</w:t>
      </w:r>
      <w:r>
        <w:rPr>
          <w:rFonts w:hint="eastAsia" w:asciiTheme="majorEastAsia" w:hAnsiTheme="majorEastAsia" w:eastAsiaTheme="majorEastAsia" w:cstheme="majorEastAsia"/>
          <w:kern w:val="0"/>
          <w:sz w:val="24"/>
          <w:szCs w:val="24"/>
        </w:rPr>
        <w:t>间</w:t>
      </w:r>
      <w:r>
        <w:rPr>
          <w:rFonts w:hint="eastAsia" w:asciiTheme="majorEastAsia" w:hAnsiTheme="majorEastAsia" w:eastAsiaTheme="majorEastAsia" w:cstheme="majorEastAsia"/>
          <w:spacing w:val="-2"/>
          <w:kern w:val="0"/>
          <w:sz w:val="24"/>
          <w:szCs w:val="24"/>
        </w:rPr>
        <w:t>以</w:t>
      </w:r>
      <w:r>
        <w:rPr>
          <w:rFonts w:hint="eastAsia" w:asciiTheme="majorEastAsia" w:hAnsiTheme="majorEastAsia" w:eastAsiaTheme="majorEastAsia" w:cstheme="majorEastAsia"/>
          <w:kern w:val="0"/>
          <w:sz w:val="24"/>
          <w:szCs w:val="24"/>
        </w:rPr>
        <w:t>递交</w:t>
      </w:r>
      <w:r>
        <w:rPr>
          <w:rFonts w:hint="eastAsia" w:asciiTheme="majorEastAsia" w:hAnsiTheme="majorEastAsia" w:eastAsiaTheme="majorEastAsia" w:cstheme="majorEastAsia"/>
          <w:spacing w:val="-2"/>
          <w:kern w:val="0"/>
          <w:sz w:val="24"/>
          <w:szCs w:val="24"/>
        </w:rPr>
        <w:t>回</w:t>
      </w:r>
      <w:r>
        <w:rPr>
          <w:rFonts w:hint="eastAsia" w:asciiTheme="majorEastAsia" w:hAnsiTheme="majorEastAsia" w:eastAsiaTheme="majorEastAsia" w:cstheme="majorEastAsia"/>
          <w:kern w:val="0"/>
          <w:sz w:val="24"/>
          <w:szCs w:val="24"/>
        </w:rPr>
        <w:t>执</w:t>
      </w:r>
      <w:r>
        <w:rPr>
          <w:rFonts w:hint="eastAsia" w:asciiTheme="majorEastAsia" w:hAnsiTheme="majorEastAsia" w:eastAsiaTheme="majorEastAsia" w:cstheme="majorEastAsia"/>
          <w:spacing w:val="-2"/>
          <w:kern w:val="0"/>
          <w:sz w:val="24"/>
          <w:szCs w:val="24"/>
        </w:rPr>
        <w:t>通</w:t>
      </w:r>
      <w:r>
        <w:rPr>
          <w:rFonts w:hint="eastAsia" w:asciiTheme="majorEastAsia" w:hAnsiTheme="majorEastAsia" w:eastAsiaTheme="majorEastAsia" w:cstheme="majorEastAsia"/>
          <w:kern w:val="0"/>
          <w:sz w:val="24"/>
          <w:szCs w:val="24"/>
        </w:rPr>
        <w:t>知</w:t>
      </w:r>
      <w:r>
        <w:rPr>
          <w:rFonts w:hint="eastAsia" w:asciiTheme="majorEastAsia" w:hAnsiTheme="majorEastAsia" w:eastAsiaTheme="majorEastAsia" w:cstheme="majorEastAsia"/>
          <w:spacing w:val="-2"/>
          <w:kern w:val="0"/>
          <w:sz w:val="24"/>
          <w:szCs w:val="24"/>
        </w:rPr>
        <w:t>载</w:t>
      </w:r>
      <w:r>
        <w:rPr>
          <w:rFonts w:hint="eastAsia" w:asciiTheme="majorEastAsia" w:hAnsiTheme="majorEastAsia" w:eastAsiaTheme="majorEastAsia" w:cstheme="majorEastAsia"/>
          <w:kern w:val="0"/>
          <w:sz w:val="24"/>
          <w:szCs w:val="24"/>
        </w:rPr>
        <w:t>明</w:t>
      </w:r>
      <w:r>
        <w:rPr>
          <w:rFonts w:hint="eastAsia" w:asciiTheme="majorEastAsia" w:hAnsiTheme="majorEastAsia" w:eastAsiaTheme="majorEastAsia" w:cstheme="majorEastAsia"/>
          <w:spacing w:val="-2"/>
          <w:kern w:val="0"/>
          <w:sz w:val="24"/>
          <w:szCs w:val="24"/>
        </w:rPr>
        <w:t>的</w:t>
      </w:r>
      <w:r>
        <w:rPr>
          <w:rFonts w:hint="eastAsia" w:asciiTheme="majorEastAsia" w:hAnsiTheme="majorEastAsia" w:eastAsiaTheme="majorEastAsia" w:cstheme="majorEastAsia"/>
          <w:kern w:val="0"/>
          <w:sz w:val="24"/>
          <w:szCs w:val="24"/>
        </w:rPr>
        <w:t>传</w:t>
      </w:r>
      <w:r>
        <w:rPr>
          <w:rFonts w:hint="eastAsia" w:asciiTheme="majorEastAsia" w:hAnsiTheme="majorEastAsia" w:eastAsiaTheme="majorEastAsia" w:cstheme="majorEastAsia"/>
          <w:spacing w:val="-2"/>
          <w:kern w:val="0"/>
          <w:sz w:val="24"/>
          <w:szCs w:val="24"/>
        </w:rPr>
        <w:t>输</w:t>
      </w:r>
      <w:r>
        <w:rPr>
          <w:rFonts w:hint="eastAsia" w:asciiTheme="majorEastAsia" w:hAnsiTheme="majorEastAsia" w:eastAsiaTheme="majorEastAsia" w:cstheme="majorEastAsia"/>
          <w:kern w:val="0"/>
          <w:sz w:val="24"/>
          <w:szCs w:val="24"/>
        </w:rPr>
        <w:t>完成</w:t>
      </w:r>
      <w:r>
        <w:rPr>
          <w:rFonts w:hint="eastAsia" w:asciiTheme="majorEastAsia" w:hAnsiTheme="majorEastAsia" w:eastAsiaTheme="majorEastAsia" w:cstheme="majorEastAsia"/>
          <w:spacing w:val="-2"/>
          <w:kern w:val="0"/>
          <w:sz w:val="24"/>
          <w:szCs w:val="24"/>
        </w:rPr>
        <w:t>时</w:t>
      </w:r>
      <w:r>
        <w:rPr>
          <w:rFonts w:hint="eastAsia" w:asciiTheme="majorEastAsia" w:hAnsiTheme="majorEastAsia" w:eastAsiaTheme="majorEastAsia" w:cstheme="majorEastAsia"/>
          <w:kern w:val="0"/>
          <w:sz w:val="24"/>
          <w:szCs w:val="24"/>
        </w:rPr>
        <w:t>间</w:t>
      </w:r>
      <w:r>
        <w:rPr>
          <w:rFonts w:hint="eastAsia" w:asciiTheme="majorEastAsia" w:hAnsiTheme="majorEastAsia" w:eastAsiaTheme="majorEastAsia" w:cstheme="majorEastAsia"/>
          <w:spacing w:val="-2"/>
          <w:kern w:val="0"/>
          <w:sz w:val="24"/>
          <w:szCs w:val="24"/>
        </w:rPr>
        <w:t>为</w:t>
      </w:r>
      <w:r>
        <w:rPr>
          <w:rFonts w:hint="eastAsia" w:asciiTheme="majorEastAsia" w:hAnsiTheme="majorEastAsia" w:eastAsiaTheme="majorEastAsia" w:cstheme="majorEastAsia"/>
          <w:kern w:val="0"/>
          <w:sz w:val="24"/>
          <w:szCs w:val="24"/>
        </w:rPr>
        <w:t>准。</w:t>
      </w:r>
    </w:p>
    <w:p w14:paraId="1EBD04BC">
      <w:pPr>
        <w:autoSpaceDE w:val="0"/>
        <w:autoSpaceDN w:val="0"/>
        <w:adjustRightInd w:val="0"/>
        <w:spacing w:line="500" w:lineRule="exact"/>
        <w:ind w:right="-20" w:firstLine="480" w:firstLineChars="200"/>
        <w:jc w:val="left"/>
        <w:rPr>
          <w:rFonts w:asciiTheme="majorEastAsia" w:hAnsiTheme="majorEastAsia" w:eastAsiaTheme="majorEastAsia" w:cstheme="majorEastAsia"/>
          <w:kern w:val="0"/>
          <w:sz w:val="24"/>
          <w:szCs w:val="24"/>
        </w:rPr>
      </w:pPr>
      <w:r>
        <w:rPr>
          <w:rFonts w:hint="eastAsia" w:asciiTheme="majorEastAsia" w:hAnsiTheme="majorEastAsia" w:eastAsiaTheme="majorEastAsia" w:cstheme="majorEastAsia"/>
          <w:sz w:val="24"/>
          <w:szCs w:val="24"/>
        </w:rPr>
        <w:t xml:space="preserve">4.2.5 </w:t>
      </w:r>
      <w:r>
        <w:rPr>
          <w:rFonts w:hint="eastAsia" w:asciiTheme="majorEastAsia" w:hAnsiTheme="majorEastAsia" w:eastAsiaTheme="majorEastAsia" w:cstheme="majorEastAsia"/>
          <w:spacing w:val="-2"/>
          <w:kern w:val="0"/>
          <w:sz w:val="24"/>
          <w:szCs w:val="24"/>
        </w:rPr>
        <w:t>逾</w:t>
      </w:r>
      <w:r>
        <w:rPr>
          <w:rFonts w:hint="eastAsia" w:asciiTheme="majorEastAsia" w:hAnsiTheme="majorEastAsia" w:eastAsiaTheme="majorEastAsia" w:cstheme="majorEastAsia"/>
          <w:kern w:val="0"/>
          <w:sz w:val="24"/>
          <w:szCs w:val="24"/>
        </w:rPr>
        <w:t>期</w:t>
      </w:r>
      <w:r>
        <w:rPr>
          <w:rFonts w:hint="eastAsia" w:asciiTheme="majorEastAsia" w:hAnsiTheme="majorEastAsia" w:eastAsiaTheme="majorEastAsia" w:cstheme="majorEastAsia"/>
          <w:spacing w:val="-2"/>
          <w:kern w:val="0"/>
          <w:sz w:val="24"/>
          <w:szCs w:val="24"/>
        </w:rPr>
        <w:t>送</w:t>
      </w:r>
      <w:r>
        <w:rPr>
          <w:rFonts w:hint="eastAsia" w:asciiTheme="majorEastAsia" w:hAnsiTheme="majorEastAsia" w:eastAsiaTheme="majorEastAsia" w:cstheme="majorEastAsia"/>
          <w:kern w:val="0"/>
          <w:sz w:val="24"/>
          <w:szCs w:val="24"/>
        </w:rPr>
        <w:t>达</w:t>
      </w:r>
      <w:r>
        <w:rPr>
          <w:rFonts w:hint="eastAsia" w:asciiTheme="majorEastAsia" w:hAnsiTheme="majorEastAsia" w:eastAsiaTheme="majorEastAsia" w:cstheme="majorEastAsia"/>
          <w:spacing w:val="-2"/>
          <w:kern w:val="0"/>
          <w:sz w:val="24"/>
          <w:szCs w:val="24"/>
        </w:rPr>
        <w:t>的响应</w:t>
      </w:r>
      <w:r>
        <w:rPr>
          <w:rFonts w:hint="eastAsia" w:asciiTheme="majorEastAsia" w:hAnsiTheme="majorEastAsia" w:eastAsiaTheme="majorEastAsia" w:cstheme="majorEastAsia"/>
          <w:kern w:val="0"/>
          <w:sz w:val="24"/>
          <w:szCs w:val="24"/>
        </w:rPr>
        <w:t>文</w:t>
      </w:r>
      <w:r>
        <w:rPr>
          <w:rFonts w:hint="eastAsia" w:asciiTheme="majorEastAsia" w:hAnsiTheme="majorEastAsia" w:eastAsiaTheme="majorEastAsia" w:cstheme="majorEastAsia"/>
          <w:spacing w:val="-2"/>
          <w:kern w:val="0"/>
          <w:sz w:val="24"/>
          <w:szCs w:val="24"/>
        </w:rPr>
        <w:t>件</w:t>
      </w:r>
      <w:r>
        <w:rPr>
          <w:rFonts w:hint="eastAsia" w:asciiTheme="majorEastAsia" w:hAnsiTheme="majorEastAsia" w:eastAsiaTheme="majorEastAsia" w:cstheme="majorEastAsia"/>
          <w:kern w:val="0"/>
          <w:sz w:val="24"/>
          <w:szCs w:val="24"/>
        </w:rPr>
        <w:t>，</w:t>
      </w:r>
      <w:r>
        <w:rPr>
          <w:rFonts w:hint="eastAsia" w:asciiTheme="majorEastAsia" w:hAnsiTheme="majorEastAsia" w:eastAsiaTheme="majorEastAsia" w:cstheme="majorEastAsia"/>
          <w:spacing w:val="-2"/>
          <w:kern w:val="0"/>
          <w:sz w:val="24"/>
          <w:szCs w:val="24"/>
        </w:rPr>
        <w:t>电</w:t>
      </w:r>
      <w:r>
        <w:rPr>
          <w:rFonts w:hint="eastAsia" w:asciiTheme="majorEastAsia" w:hAnsiTheme="majorEastAsia" w:eastAsiaTheme="majorEastAsia" w:cstheme="majorEastAsia"/>
          <w:kern w:val="0"/>
          <w:sz w:val="24"/>
          <w:szCs w:val="24"/>
        </w:rPr>
        <w:t>子</w:t>
      </w:r>
      <w:r>
        <w:rPr>
          <w:rFonts w:hint="eastAsia" w:asciiTheme="majorEastAsia" w:hAnsiTheme="majorEastAsia" w:eastAsiaTheme="majorEastAsia" w:cstheme="majorEastAsia"/>
          <w:spacing w:val="-2"/>
          <w:kern w:val="0"/>
          <w:sz w:val="24"/>
          <w:szCs w:val="24"/>
        </w:rPr>
        <w:t>招</w:t>
      </w:r>
      <w:r>
        <w:rPr>
          <w:rFonts w:hint="eastAsia" w:asciiTheme="majorEastAsia" w:hAnsiTheme="majorEastAsia" w:eastAsiaTheme="majorEastAsia" w:cstheme="majorEastAsia"/>
          <w:kern w:val="0"/>
          <w:sz w:val="24"/>
          <w:szCs w:val="24"/>
        </w:rPr>
        <w:t>标</w:t>
      </w:r>
      <w:r>
        <w:rPr>
          <w:rFonts w:hint="eastAsia" w:asciiTheme="majorEastAsia" w:hAnsiTheme="majorEastAsia" w:eastAsiaTheme="majorEastAsia" w:cstheme="majorEastAsia"/>
          <w:spacing w:val="-2"/>
          <w:kern w:val="0"/>
          <w:sz w:val="24"/>
          <w:szCs w:val="24"/>
        </w:rPr>
        <w:t>投</w:t>
      </w:r>
      <w:r>
        <w:rPr>
          <w:rFonts w:hint="eastAsia" w:asciiTheme="majorEastAsia" w:hAnsiTheme="majorEastAsia" w:eastAsiaTheme="majorEastAsia" w:cstheme="majorEastAsia"/>
          <w:kern w:val="0"/>
          <w:sz w:val="24"/>
          <w:szCs w:val="24"/>
        </w:rPr>
        <w:t>标</w:t>
      </w:r>
      <w:r>
        <w:rPr>
          <w:rFonts w:hint="eastAsia" w:asciiTheme="majorEastAsia" w:hAnsiTheme="majorEastAsia" w:eastAsiaTheme="majorEastAsia" w:cstheme="majorEastAsia"/>
          <w:spacing w:val="-2"/>
          <w:kern w:val="0"/>
          <w:sz w:val="24"/>
          <w:szCs w:val="24"/>
        </w:rPr>
        <w:t>交</w:t>
      </w:r>
      <w:r>
        <w:rPr>
          <w:rFonts w:hint="eastAsia" w:asciiTheme="majorEastAsia" w:hAnsiTheme="majorEastAsia" w:eastAsiaTheme="majorEastAsia" w:cstheme="majorEastAsia"/>
          <w:kern w:val="0"/>
          <w:sz w:val="24"/>
          <w:szCs w:val="24"/>
        </w:rPr>
        <w:t>易平</w:t>
      </w:r>
      <w:r>
        <w:rPr>
          <w:rFonts w:hint="eastAsia" w:asciiTheme="majorEastAsia" w:hAnsiTheme="majorEastAsia" w:eastAsiaTheme="majorEastAsia" w:cstheme="majorEastAsia"/>
          <w:spacing w:val="-2"/>
          <w:kern w:val="0"/>
          <w:sz w:val="24"/>
          <w:szCs w:val="24"/>
        </w:rPr>
        <w:t>台</w:t>
      </w:r>
      <w:r>
        <w:rPr>
          <w:rFonts w:hint="eastAsia" w:asciiTheme="majorEastAsia" w:hAnsiTheme="majorEastAsia" w:eastAsiaTheme="majorEastAsia" w:cstheme="majorEastAsia"/>
          <w:kern w:val="0"/>
          <w:sz w:val="24"/>
          <w:szCs w:val="24"/>
        </w:rPr>
        <w:t>将</w:t>
      </w:r>
      <w:r>
        <w:rPr>
          <w:rFonts w:hint="eastAsia" w:asciiTheme="majorEastAsia" w:hAnsiTheme="majorEastAsia" w:eastAsiaTheme="majorEastAsia" w:cstheme="majorEastAsia"/>
          <w:spacing w:val="-2"/>
          <w:kern w:val="0"/>
          <w:sz w:val="24"/>
          <w:szCs w:val="24"/>
        </w:rPr>
        <w:t>予</w:t>
      </w:r>
      <w:r>
        <w:rPr>
          <w:rFonts w:hint="eastAsia" w:asciiTheme="majorEastAsia" w:hAnsiTheme="majorEastAsia" w:eastAsiaTheme="majorEastAsia" w:cstheme="majorEastAsia"/>
          <w:kern w:val="0"/>
          <w:sz w:val="24"/>
          <w:szCs w:val="24"/>
        </w:rPr>
        <w:t>以</w:t>
      </w:r>
      <w:r>
        <w:rPr>
          <w:rFonts w:hint="eastAsia" w:asciiTheme="majorEastAsia" w:hAnsiTheme="majorEastAsia" w:eastAsiaTheme="majorEastAsia" w:cstheme="majorEastAsia"/>
          <w:spacing w:val="-2"/>
          <w:kern w:val="0"/>
          <w:sz w:val="24"/>
          <w:szCs w:val="24"/>
        </w:rPr>
        <w:t>拒</w:t>
      </w:r>
      <w:r>
        <w:rPr>
          <w:rFonts w:hint="eastAsia" w:asciiTheme="majorEastAsia" w:hAnsiTheme="majorEastAsia" w:eastAsiaTheme="majorEastAsia" w:cstheme="majorEastAsia"/>
          <w:kern w:val="0"/>
          <w:sz w:val="24"/>
          <w:szCs w:val="24"/>
        </w:rPr>
        <w:t>收。</w:t>
      </w:r>
    </w:p>
    <w:p w14:paraId="660A45F5">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252" w:name="_Toc26556"/>
      <w:bookmarkStart w:id="253" w:name="_Toc270604600"/>
      <w:bookmarkStart w:id="254" w:name="_Toc454788034"/>
      <w:bookmarkStart w:id="255" w:name="_Toc462934300"/>
      <w:bookmarkStart w:id="256" w:name="_Toc27108"/>
      <w:bookmarkStart w:id="257" w:name="_Toc277149389"/>
      <w:bookmarkStart w:id="258" w:name="_Toc270604827"/>
      <w:bookmarkStart w:id="259" w:name="_Toc428351654"/>
      <w:bookmarkStart w:id="260" w:name="_Toc463011279"/>
      <w:bookmarkStart w:id="261" w:name="_Toc428276594"/>
      <w:bookmarkStart w:id="262" w:name="_Toc455678126"/>
      <w:bookmarkStart w:id="263" w:name="_Toc29096"/>
      <w:bookmarkStart w:id="264" w:name="_Toc269470322"/>
      <w:r>
        <w:rPr>
          <w:rFonts w:hint="eastAsia" w:asciiTheme="majorEastAsia" w:hAnsiTheme="majorEastAsia" w:eastAsiaTheme="majorEastAsia" w:cstheme="majorEastAsia"/>
          <w:b/>
          <w:sz w:val="24"/>
          <w:szCs w:val="24"/>
        </w:rPr>
        <w:t>响应文件的补充、修改与撤回</w:t>
      </w:r>
      <w:bookmarkEnd w:id="252"/>
      <w:bookmarkEnd w:id="253"/>
      <w:bookmarkEnd w:id="254"/>
      <w:bookmarkEnd w:id="255"/>
      <w:bookmarkEnd w:id="256"/>
      <w:bookmarkEnd w:id="257"/>
      <w:bookmarkEnd w:id="258"/>
      <w:bookmarkEnd w:id="259"/>
      <w:bookmarkEnd w:id="260"/>
      <w:bookmarkEnd w:id="261"/>
      <w:bookmarkEnd w:id="262"/>
      <w:bookmarkEnd w:id="263"/>
      <w:bookmarkEnd w:id="264"/>
    </w:p>
    <w:p w14:paraId="48544312">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在本章第4.2.1项规定的磋商截止时间前，供应商可以补充、修改或撤回已递交的响应文件，但应以书面形式通知采购人、采购代理机构。</w:t>
      </w:r>
    </w:p>
    <w:p w14:paraId="5E9EAC72">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补充、修改或撤回已递交响应文件的通知，应加盖电子印章。补充、修改的内容为响应文件的组成部分。补充、修改的内容与响应文件不一致的，以补充、修改的内容为准。修改的响应文件应按照本章规定进行编制、标记和递交，并标明“修改”字样。</w:t>
      </w:r>
    </w:p>
    <w:p w14:paraId="55975269">
      <w:pPr>
        <w:numPr>
          <w:ilvl w:val="0"/>
          <w:numId w:val="3"/>
        </w:numPr>
        <w:tabs>
          <w:tab w:val="left" w:pos="360"/>
        </w:tabs>
        <w:wordWrap w:val="0"/>
        <w:topLinePunct/>
        <w:autoSpaceDE w:val="0"/>
        <w:autoSpaceDN w:val="0"/>
        <w:adjustRightInd w:val="0"/>
        <w:snapToGrid w:val="0"/>
        <w:spacing w:line="500" w:lineRule="exact"/>
        <w:contextualSpacing/>
        <w:outlineLvl w:val="1"/>
        <w:rPr>
          <w:rFonts w:asciiTheme="majorEastAsia" w:hAnsiTheme="majorEastAsia" w:eastAsiaTheme="majorEastAsia" w:cstheme="majorEastAsia"/>
          <w:b/>
          <w:bCs/>
          <w:sz w:val="24"/>
          <w:szCs w:val="24"/>
        </w:rPr>
      </w:pPr>
      <w:bookmarkStart w:id="265" w:name="_Toc16995"/>
      <w:bookmarkStart w:id="266" w:name="_Toc11623"/>
      <w:bookmarkStart w:id="267" w:name="_Toc27259"/>
      <w:bookmarkStart w:id="268" w:name="_Toc29138"/>
      <w:bookmarkStart w:id="269" w:name="_Toc21872"/>
      <w:r>
        <w:rPr>
          <w:rFonts w:hint="eastAsia" w:asciiTheme="majorEastAsia" w:hAnsiTheme="majorEastAsia" w:eastAsiaTheme="majorEastAsia" w:cstheme="majorEastAsia"/>
          <w:b/>
          <w:bCs/>
          <w:sz w:val="24"/>
          <w:szCs w:val="24"/>
        </w:rPr>
        <w:t>磋商、资格审查与评标</w:t>
      </w:r>
      <w:bookmarkEnd w:id="265"/>
      <w:bookmarkEnd w:id="266"/>
      <w:bookmarkEnd w:id="267"/>
      <w:bookmarkEnd w:id="268"/>
      <w:bookmarkEnd w:id="269"/>
    </w:p>
    <w:p w14:paraId="6B1D80C1">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r>
        <w:rPr>
          <w:rFonts w:hint="eastAsia" w:asciiTheme="majorEastAsia" w:hAnsiTheme="majorEastAsia" w:eastAsiaTheme="majorEastAsia" w:cstheme="majorEastAsia"/>
          <w:b/>
          <w:bCs/>
          <w:kern w:val="0"/>
          <w:sz w:val="24"/>
          <w:szCs w:val="24"/>
        </w:rPr>
        <w:t>竞争性磋商时间和地点</w:t>
      </w:r>
    </w:p>
    <w:p w14:paraId="5A533CE3">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5.1.1采购人在本章第4.2.1项规定的响应文件递交截止时间（磋商时间）和供应商须知前附表规定的地点进行竞争性磋商。供应商不足3家的，不得开标。开标由采购代理机构主持。</w:t>
      </w:r>
    </w:p>
    <w:p w14:paraId="669FBD3C">
      <w:pPr>
        <w:spacing w:line="500" w:lineRule="exact"/>
        <w:ind w:left="420"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注：本项目为不见面开标项目，开标当日，供应商无需到开标现场</w:t>
      </w:r>
    </w:p>
    <w:p w14:paraId="19690ADE">
      <w:pPr>
        <w:spacing w:line="500" w:lineRule="exact"/>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参加开标会议，供应商应当在投标截止时间前，登陆不见面开标大厅选择登陆三门峡市公共资源电子招投标系统进行登陆（网址为</w:t>
      </w:r>
    </w:p>
    <w:p w14:paraId="5BD7C594">
      <w:pPr>
        <w:spacing w:line="500" w:lineRule="exact"/>
        <w:rPr>
          <w:rFonts w:asciiTheme="majorEastAsia" w:hAnsiTheme="majorEastAsia" w:eastAsiaTheme="majorEastAsia" w:cstheme="majorEastAsia"/>
          <w:sz w:val="24"/>
          <w:szCs w:val="24"/>
        </w:rPr>
      </w:pPr>
      <w:r>
        <w:fldChar w:fldCharType="begin"/>
      </w:r>
      <w:r>
        <w:instrText xml:space="preserve"> HYPERLINK "http://120.194.249.36:10094/BidOpening/bidopeninghallaction/hall/login）,在线准时参加开标活动并进行响应文件解密等。每位" </w:instrText>
      </w:r>
      <w:r>
        <w:fldChar w:fldCharType="separate"/>
      </w:r>
      <w:r>
        <w:rPr>
          <w:rStyle w:val="26"/>
          <w:rFonts w:hint="eastAsia" w:asciiTheme="majorEastAsia" w:hAnsiTheme="majorEastAsia" w:eastAsiaTheme="majorEastAsia" w:cstheme="majorEastAsia"/>
          <w:sz w:val="24"/>
          <w:szCs w:val="24"/>
        </w:rPr>
        <w:t>http://120.194.249.36:10094/BidOpening/bidopeninghallaction/hall/login）,在线准时参加开标活动并进行响应文件解密等。每位</w:t>
      </w:r>
      <w:r>
        <w:rPr>
          <w:rStyle w:val="26"/>
          <w:rFonts w:hint="eastAsia" w:asciiTheme="majorEastAsia" w:hAnsiTheme="majorEastAsia" w:eastAsiaTheme="majorEastAsia" w:cstheme="majorEastAsia"/>
          <w:sz w:val="24"/>
          <w:szCs w:val="24"/>
        </w:rPr>
        <w:fldChar w:fldCharType="end"/>
      </w:r>
      <w:r>
        <w:rPr>
          <w:rFonts w:hint="eastAsia" w:asciiTheme="majorEastAsia" w:hAnsiTheme="majorEastAsia" w:eastAsiaTheme="majorEastAsia" w:cstheme="majorEastAsia"/>
          <w:sz w:val="24"/>
          <w:szCs w:val="24"/>
        </w:rPr>
        <w:t>供应商的解密时间为开标时间起30分钟内完成。因供应商原因未能解密、解密失败或解密超时的将被拒绝。</w:t>
      </w:r>
    </w:p>
    <w:p w14:paraId="1F122F69">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5.1.2磋商程序：</w:t>
      </w:r>
    </w:p>
    <w:p w14:paraId="77B569D3">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宣布磋商纪律；</w:t>
      </w:r>
    </w:p>
    <w:p w14:paraId="2A24D385">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供应商通过电子招标投标交易服务平台对已递交的电子响应文件进行解密；</w:t>
      </w:r>
    </w:p>
    <w:p w14:paraId="58FB7BDF">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电子唱标（采购人将对磋商过程进行记录，以存档备查）</w:t>
      </w:r>
    </w:p>
    <w:p w14:paraId="652353FD">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磋商结束。</w:t>
      </w:r>
    </w:p>
    <w:p w14:paraId="47FCDC5F">
      <w:pPr>
        <w:keepNext/>
        <w:keepLines/>
        <w:wordWrap w:val="0"/>
        <w:topLinePunct/>
        <w:spacing w:line="500" w:lineRule="exact"/>
        <w:jc w:val="left"/>
        <w:outlineLvl w:val="2"/>
        <w:rPr>
          <w:rFonts w:asciiTheme="majorEastAsia" w:hAnsiTheme="majorEastAsia" w:eastAsiaTheme="majorEastAsia" w:cstheme="majorEastAsia"/>
          <w:b/>
          <w:sz w:val="24"/>
          <w:szCs w:val="24"/>
        </w:rPr>
      </w:pPr>
      <w:bookmarkStart w:id="270" w:name="_Toc15735"/>
      <w:bookmarkStart w:id="271" w:name="_Toc7616"/>
      <w:bookmarkStart w:id="272" w:name="_Toc5363"/>
      <w:bookmarkStart w:id="273" w:name="_Toc22131"/>
      <w:bookmarkStart w:id="274" w:name="_Toc18862"/>
      <w:bookmarkStart w:id="275" w:name="_Toc29955"/>
      <w:bookmarkStart w:id="276" w:name="_Toc5716"/>
      <w:bookmarkStart w:id="277" w:name="_Toc1972"/>
      <w:bookmarkStart w:id="278" w:name="_Toc24277"/>
      <w:bookmarkStart w:id="279" w:name="_Toc29637"/>
      <w:bookmarkStart w:id="280" w:name="_Toc11192"/>
      <w:bookmarkStart w:id="281" w:name="_Toc32207"/>
      <w:bookmarkStart w:id="282" w:name="_Toc29315"/>
      <w:bookmarkStart w:id="283" w:name="_Toc13150068"/>
      <w:bookmarkStart w:id="284" w:name="_Toc3913"/>
      <w:bookmarkStart w:id="285" w:name="_Toc21137"/>
      <w:bookmarkStart w:id="286" w:name="_Toc462934305"/>
      <w:bookmarkStart w:id="287" w:name="_Toc454788039"/>
      <w:bookmarkStart w:id="288" w:name="_Toc90712538"/>
      <w:bookmarkStart w:id="289" w:name="_Toc19623"/>
      <w:bookmarkStart w:id="290" w:name="_Toc455678131"/>
      <w:bookmarkStart w:id="291" w:name="_Toc463011284"/>
      <w:bookmarkStart w:id="292" w:name="_Toc428351659"/>
      <w:bookmarkStart w:id="293" w:name="_Toc109550798"/>
      <w:bookmarkStart w:id="294" w:name="_Toc109537522"/>
      <w:bookmarkStart w:id="295" w:name="_Toc26984"/>
      <w:bookmarkStart w:id="296" w:name="_Toc90713357"/>
      <w:bookmarkStart w:id="297" w:name="_Toc422126473"/>
      <w:bookmarkStart w:id="298" w:name="_Toc428276599"/>
      <w:bookmarkStart w:id="299" w:name="_Toc269470330"/>
      <w:r>
        <w:rPr>
          <w:rFonts w:hint="eastAsia" w:asciiTheme="majorEastAsia" w:hAnsiTheme="majorEastAsia" w:eastAsiaTheme="majorEastAsia" w:cstheme="majorEastAsia"/>
          <w:b/>
          <w:sz w:val="24"/>
          <w:szCs w:val="24"/>
        </w:rPr>
        <w:t>5.2资格审查</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4DC9AAA3">
      <w:pPr>
        <w:numPr>
          <w:ilvl w:val="2"/>
          <w:numId w:val="3"/>
        </w:numPr>
        <w:wordWrap w:val="0"/>
        <w:topLinePunct/>
        <w:spacing w:line="500" w:lineRule="exact"/>
        <w:ind w:firstLine="560"/>
        <w:rPr>
          <w:rFonts w:asciiTheme="majorEastAsia" w:hAnsiTheme="majorEastAsia" w:eastAsiaTheme="majorEastAsia" w:cstheme="majorEastAsia"/>
          <w:bCs/>
          <w:sz w:val="24"/>
          <w:szCs w:val="24"/>
        </w:rPr>
      </w:pPr>
      <w:r>
        <w:rPr>
          <w:rFonts w:hint="eastAsia" w:asciiTheme="majorEastAsia" w:hAnsiTheme="majorEastAsia" w:eastAsiaTheme="majorEastAsia" w:cstheme="majorEastAsia"/>
          <w:sz w:val="24"/>
          <w:szCs w:val="24"/>
        </w:rPr>
        <w:t>开标结束后，磋商小组依法对供应商的资格进行审查。</w:t>
      </w:r>
      <w:bookmarkStart w:id="300" w:name="_Toc4884"/>
      <w:bookmarkStart w:id="301" w:name="_Toc19513"/>
      <w:bookmarkStart w:id="302" w:name="_Toc12598"/>
      <w:bookmarkStart w:id="303" w:name="_Toc31474"/>
      <w:bookmarkStart w:id="304" w:name="_Toc13150069"/>
      <w:bookmarkStart w:id="305" w:name="_Toc26746"/>
      <w:bookmarkStart w:id="306" w:name="_Toc10528"/>
      <w:bookmarkStart w:id="307" w:name="_Toc21027"/>
      <w:bookmarkStart w:id="308" w:name="_Toc32305"/>
      <w:bookmarkStart w:id="309" w:name="_Toc16180"/>
      <w:bookmarkStart w:id="310" w:name="_Toc25889"/>
      <w:bookmarkStart w:id="311" w:name="_Toc16143"/>
      <w:bookmarkStart w:id="312" w:name="_Toc2042"/>
      <w:bookmarkStart w:id="313" w:name="_Toc22182"/>
      <w:bookmarkStart w:id="314" w:name="_Toc611"/>
    </w:p>
    <w:p w14:paraId="4A09C1F2">
      <w:pPr>
        <w:keepNext/>
        <w:keepLines/>
        <w:wordWrap w:val="0"/>
        <w:topLinePunct/>
        <w:spacing w:line="500" w:lineRule="exact"/>
        <w:jc w:val="left"/>
        <w:outlineLvl w:val="2"/>
        <w:rPr>
          <w:rFonts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5.3评标工作</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425F8E82">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5.3.1磋商小组</w:t>
      </w:r>
    </w:p>
    <w:p w14:paraId="52DB1802">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评标工作由采购人依法组建的磋商小组负责，对所有供应商的响应文件进行审评，并按评标办法规定的方式推荐出供应商须知前附表中载明数量的成交候选人。磋商小组由采购人代表和评审专家共3人以上单数组成，其中评审专家人数不得少于磋商小组成员总数的2/3。</w:t>
      </w:r>
    </w:p>
    <w:p w14:paraId="613F4360">
      <w:pPr>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磋商小组对本单位的采购项目只能作为采购人代表参与评标，对技术复杂、专业性强的采购项目，通过随机方式难以确定合适评审专家的情形除外。</w:t>
      </w:r>
    </w:p>
    <w:p w14:paraId="1AE1F3F6">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采购代理机构工作人员不得参加由本机构代理的政府采购项目的评标。</w:t>
      </w:r>
    </w:p>
    <w:p w14:paraId="2F72F6ED">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磋商小组成员名单在磋商结果公告前应当保密。</w:t>
      </w:r>
    </w:p>
    <w:p w14:paraId="0A047A10">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5.3.2磋商小组及其成员不得有下列行为：</w:t>
      </w:r>
    </w:p>
    <w:p w14:paraId="53E2E3D1">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（1）确定参与磋商至磋商结束前私自接触供应商；</w:t>
      </w:r>
    </w:p>
    <w:p w14:paraId="7E2E6AD5">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2）接受供应商提出的与响应文件不一致的澄清或者说明（对于响应文件中含义不明确、同类问题表述不一致或者有明显文字和计算错误的内容，磋商小组以书面形式要求供应商作出必要的澄清、说明或者补正的除外）；</w:t>
      </w:r>
    </w:p>
    <w:p w14:paraId="3C45BC4A">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（3）违反评标纪律发表倾向性意见或者征询采购人的倾向性意见；</w:t>
      </w:r>
    </w:p>
    <w:p w14:paraId="2BEF2631">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（4）对需要专业判断的主观评审因素协商评分；</w:t>
      </w:r>
    </w:p>
    <w:p w14:paraId="6C2E370C">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（5）在磋商过程中擅离职守，影响磋商程序正常进行的；</w:t>
      </w:r>
    </w:p>
    <w:p w14:paraId="02569F8C">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（6）记录、复制或者带走任何磋商资料；</w:t>
      </w:r>
    </w:p>
    <w:p w14:paraId="516AF97C">
      <w:pPr>
        <w:spacing w:line="500" w:lineRule="exact"/>
        <w:ind w:left="42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（7）其他不遵守磋商纪律的行为。</w:t>
      </w:r>
    </w:p>
    <w:p w14:paraId="4C542288">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磋商小组成员有本章第5.3.2项第（1）至（5）目行为之一的，其评审意见无效，并不得获取评审劳务报酬和报销异地评审差旅费。</w:t>
      </w:r>
    </w:p>
    <w:p w14:paraId="5DDF9E8E">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5.3.3磋商小组成员对需要共同认定的事项存在争议的，应当按照少数服从多数的原则作出结论。持不同意见的磋商小组成员应当在评标报告上签署不同意见及理由，否则视为同意评标报告。</w:t>
      </w:r>
    </w:p>
    <w:p w14:paraId="54D813FA">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5.3.4磋商方法</w:t>
      </w:r>
    </w:p>
    <w:p w14:paraId="7EE4683B">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磋商小组按照第</w:t>
      </w:r>
      <w:r>
        <w:rPr>
          <w:rFonts w:hint="eastAsia" w:asciiTheme="majorEastAsia" w:hAnsiTheme="majorEastAsia" w:eastAsiaTheme="majorEastAsia" w:cstheme="majorEastAsia"/>
          <w:sz w:val="24"/>
          <w:szCs w:val="24"/>
          <w:lang w:eastAsia="zh-CN"/>
        </w:rPr>
        <w:t>三</w:t>
      </w:r>
      <w:r>
        <w:rPr>
          <w:rFonts w:hint="eastAsia" w:asciiTheme="majorEastAsia" w:hAnsiTheme="majorEastAsia" w:eastAsiaTheme="majorEastAsia" w:cstheme="majorEastAsia"/>
          <w:sz w:val="24"/>
          <w:szCs w:val="24"/>
        </w:rPr>
        <w:t>章评审办法规定的方法、评审因素、标准和程序对响应文件进行评审。第</w:t>
      </w:r>
      <w:r>
        <w:rPr>
          <w:rFonts w:hint="eastAsia" w:asciiTheme="majorEastAsia" w:hAnsiTheme="majorEastAsia" w:eastAsiaTheme="majorEastAsia" w:cstheme="majorEastAsia"/>
          <w:sz w:val="24"/>
          <w:szCs w:val="24"/>
          <w:lang w:val="en-US" w:eastAsia="zh-CN"/>
        </w:rPr>
        <w:t>三</w:t>
      </w:r>
      <w:r>
        <w:rPr>
          <w:rFonts w:hint="eastAsia" w:asciiTheme="majorEastAsia" w:hAnsiTheme="majorEastAsia" w:eastAsiaTheme="majorEastAsia" w:cstheme="majorEastAsia"/>
          <w:sz w:val="24"/>
          <w:szCs w:val="24"/>
        </w:rPr>
        <w:t>章评审办法没有规定的方法、评审因素和标准，不作为评标依据。</w:t>
      </w:r>
    </w:p>
    <w:p w14:paraId="1030047C">
      <w:pPr>
        <w:spacing w:line="500" w:lineRule="exact"/>
        <w:ind w:firstLine="480" w:firstLineChars="20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评标完成后，磋商小组应当向采购人提交书面评标报告和成交候选人名单。磋商小组推荐成交候选人的人数见供应商须知前附表。</w:t>
      </w:r>
    </w:p>
    <w:p w14:paraId="0E84FF5C">
      <w:pPr>
        <w:keepNext/>
        <w:keepLines/>
        <w:numPr>
          <w:ilvl w:val="1"/>
          <w:numId w:val="3"/>
        </w:numPr>
        <w:wordWrap w:val="0"/>
        <w:topLinePunct/>
        <w:spacing w:line="500" w:lineRule="exact"/>
        <w:jc w:val="left"/>
        <w:outlineLvl w:val="2"/>
        <w:rPr>
          <w:rFonts w:asciiTheme="majorEastAsia" w:hAnsiTheme="majorEastAsia" w:eastAsiaTheme="majorEastAsia" w:cstheme="majorEastAsia"/>
          <w:b/>
          <w:bCs/>
          <w:sz w:val="24"/>
          <w:szCs w:val="24"/>
        </w:rPr>
      </w:pPr>
      <w:bookmarkStart w:id="315" w:name="_Toc886"/>
      <w:bookmarkStart w:id="316" w:name="_Toc9518"/>
      <w:bookmarkStart w:id="317" w:name="_Toc7396"/>
      <w:bookmarkStart w:id="318" w:name="_Toc12609"/>
      <w:bookmarkStart w:id="319" w:name="_Toc12131"/>
      <w:bookmarkStart w:id="320" w:name="_Toc13150070"/>
      <w:bookmarkStart w:id="321" w:name="_Toc25755"/>
      <w:bookmarkStart w:id="322" w:name="_Toc608"/>
      <w:bookmarkStart w:id="323" w:name="_Toc5813"/>
      <w:bookmarkStart w:id="324" w:name="_Toc25530"/>
      <w:bookmarkStart w:id="325" w:name="_Toc18846"/>
      <w:bookmarkStart w:id="326" w:name="_Toc27962"/>
      <w:bookmarkStart w:id="327" w:name="_Toc13138"/>
      <w:bookmarkStart w:id="328" w:name="_Toc10927"/>
      <w:bookmarkStart w:id="329" w:name="_Toc28834"/>
      <w:r>
        <w:rPr>
          <w:rFonts w:hint="eastAsia" w:asciiTheme="majorEastAsia" w:hAnsiTheme="majorEastAsia" w:eastAsiaTheme="majorEastAsia" w:cstheme="majorEastAsia"/>
          <w:b/>
          <w:bCs/>
          <w:sz w:val="24"/>
          <w:szCs w:val="24"/>
        </w:rPr>
        <w:t>保密及其它注意事项</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75F85924">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5.4.1评标是采购工作的重要环节，评标工作在磋商小组内独立进行。</w:t>
      </w:r>
    </w:p>
    <w:p w14:paraId="66B26EE2">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5.4.2磋商小组将遵照规定的评标方法，公正、平等地对待所有供应商。</w:t>
      </w:r>
    </w:p>
    <w:p w14:paraId="6FBAEFEA">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5.4.3在开标、评标期间，供应商不得向评委询问评标情况，不得进行旨在影响评标结果的活动。否则其投标可能被拒绝。</w:t>
      </w:r>
    </w:p>
    <w:p w14:paraId="7AEE6217">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5.4.4为保证评标的公正性，开标后直至授予供应商合同，评委不得与供应商私下交换意见。</w:t>
      </w:r>
    </w:p>
    <w:p w14:paraId="5F8E1954">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5.4.5在评标工作结束后，凡与评标情况有接触的任何人不得擅自将评标情况扩散出评标人员之外。</w:t>
      </w:r>
    </w:p>
    <w:p w14:paraId="037A57D4">
      <w:pPr>
        <w:keepNext w:val="0"/>
        <w:keepLines w:val="0"/>
        <w:pageBreakBefore w:val="0"/>
        <w:widowControl w:val="0"/>
        <w:kinsoku/>
        <w:wordWrap/>
        <w:overflowPunct/>
        <w:topLinePunct w:val="0"/>
        <w:autoSpaceDE/>
        <w:autoSpaceDN/>
        <w:bidi w:val="0"/>
        <w:adjustRightInd/>
        <w:snapToGrid/>
        <w:spacing w:line="500" w:lineRule="exact"/>
        <w:ind w:left="0" w:firstLine="480" w:firstLineChars="200"/>
        <w:textAlignment w:val="auto"/>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5.4.6评标结束后，响应文件概不退还。</w:t>
      </w:r>
    </w:p>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14:paraId="737355B7">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330" w:name="_Toc12985"/>
      <w:bookmarkStart w:id="331" w:name="_Toc31756"/>
      <w:bookmarkStart w:id="332" w:name="_Toc455678133"/>
      <w:bookmarkStart w:id="333" w:name="_Toc7308"/>
      <w:bookmarkStart w:id="334" w:name="_Toc428276600"/>
      <w:bookmarkStart w:id="335" w:name="_Toc428351660"/>
      <w:bookmarkStart w:id="336" w:name="_Toc454788040"/>
      <w:bookmarkStart w:id="337" w:name="_Toc462934307"/>
      <w:bookmarkStart w:id="338" w:name="_Toc463011286"/>
      <w:r>
        <w:rPr>
          <w:rFonts w:hint="eastAsia" w:asciiTheme="majorEastAsia" w:hAnsiTheme="majorEastAsia" w:eastAsiaTheme="majorEastAsia" w:cstheme="majorEastAsia"/>
          <w:b/>
          <w:sz w:val="24"/>
          <w:szCs w:val="24"/>
        </w:rPr>
        <w:t>确定成交人</w:t>
      </w:r>
      <w:bookmarkEnd w:id="330"/>
      <w:bookmarkEnd w:id="331"/>
      <w:bookmarkEnd w:id="332"/>
      <w:bookmarkEnd w:id="333"/>
      <w:bookmarkEnd w:id="334"/>
      <w:bookmarkEnd w:id="335"/>
      <w:bookmarkEnd w:id="336"/>
      <w:bookmarkEnd w:id="337"/>
      <w:bookmarkEnd w:id="338"/>
    </w:p>
    <w:p w14:paraId="5D8239B8">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代理机构应当自评审结束之日起2个工作日内将评审报告送交采购人。采购人应当自收到评审报告之日起5个工作日内在评审报告推荐的成交候选人中按顺序确定成交人。成交候选人并列的，由采购人采取随机抽取的方式确定成交人。</w:t>
      </w:r>
    </w:p>
    <w:p w14:paraId="09EBDBD3">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采购人也可以书面授权磋商小组直接确定成交人。磋商小组直接确定成交人的应在竞争性磋商文件中写明。</w:t>
      </w:r>
    </w:p>
    <w:p w14:paraId="0C7445BB">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339" w:name="_Toc454788041"/>
      <w:bookmarkStart w:id="340" w:name="_Toc455678134"/>
      <w:bookmarkStart w:id="341" w:name="_Toc428351661"/>
      <w:bookmarkStart w:id="342" w:name="_Toc422126474"/>
      <w:bookmarkStart w:id="343" w:name="_Toc428276601"/>
      <w:bookmarkStart w:id="344" w:name="_Toc15190"/>
      <w:bookmarkStart w:id="345" w:name="_Toc463011287"/>
      <w:bookmarkStart w:id="346" w:name="_Toc462934308"/>
      <w:bookmarkStart w:id="347" w:name="_Toc16692"/>
      <w:bookmarkStart w:id="348" w:name="_Toc2677"/>
      <w:r>
        <w:rPr>
          <w:rFonts w:hint="eastAsia" w:asciiTheme="majorEastAsia" w:hAnsiTheme="majorEastAsia" w:eastAsiaTheme="majorEastAsia" w:cstheme="majorEastAsia"/>
          <w:b/>
          <w:sz w:val="24"/>
          <w:szCs w:val="24"/>
        </w:rPr>
        <w:t>成交结果</w:t>
      </w:r>
      <w:bookmarkEnd w:id="339"/>
      <w:bookmarkEnd w:id="340"/>
      <w:bookmarkEnd w:id="341"/>
      <w:bookmarkEnd w:id="342"/>
      <w:bookmarkEnd w:id="343"/>
      <w:r>
        <w:rPr>
          <w:rFonts w:hint="eastAsia" w:asciiTheme="majorEastAsia" w:hAnsiTheme="majorEastAsia" w:eastAsiaTheme="majorEastAsia" w:cstheme="majorEastAsia"/>
          <w:b/>
          <w:sz w:val="24"/>
          <w:szCs w:val="24"/>
        </w:rPr>
        <w:t>公告</w:t>
      </w:r>
      <w:bookmarkEnd w:id="344"/>
      <w:bookmarkEnd w:id="345"/>
      <w:bookmarkEnd w:id="346"/>
      <w:bookmarkEnd w:id="347"/>
      <w:bookmarkEnd w:id="348"/>
    </w:p>
    <w:p w14:paraId="4FA3E418">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采购人或者采购代理机构自成交人确定之日起2个工作日内，在公告发布的同一媒介上公告成交结果，同时向成交人发出成交通知书，并将竞争性磋商文件随成交结果同时公告，公告期限1个工作日。</w:t>
      </w:r>
    </w:p>
    <w:p w14:paraId="1EDC9169">
      <w:pPr>
        <w:numPr>
          <w:ilvl w:val="2"/>
          <w:numId w:val="3"/>
        </w:numPr>
        <w:wordWrap w:val="0"/>
        <w:topLinePunct/>
        <w:spacing w:line="500" w:lineRule="exact"/>
        <w:ind w:firstLine="560"/>
        <w:rPr>
          <w:rFonts w:asciiTheme="majorEastAsia" w:hAnsiTheme="majorEastAsia" w:eastAsiaTheme="majorEastAsia" w:cstheme="majorEastAsia"/>
          <w:sz w:val="24"/>
          <w:szCs w:val="24"/>
        </w:rPr>
      </w:pPr>
      <w:bookmarkStart w:id="349" w:name="_Toc270604607"/>
      <w:r>
        <w:rPr>
          <w:rFonts w:hint="eastAsia" w:asciiTheme="majorEastAsia" w:hAnsiTheme="majorEastAsia" w:eastAsiaTheme="majorEastAsia" w:cstheme="majorEastAsia"/>
          <w:sz w:val="24"/>
          <w:szCs w:val="24"/>
        </w:rPr>
        <w:t>成交结果公告内容包括</w:t>
      </w:r>
      <w:bookmarkEnd w:id="299"/>
      <w:bookmarkEnd w:id="349"/>
      <w:r>
        <w:rPr>
          <w:rFonts w:hint="eastAsia" w:asciiTheme="majorEastAsia" w:hAnsiTheme="majorEastAsia" w:eastAsiaTheme="majorEastAsia" w:cstheme="majorEastAsia"/>
          <w:sz w:val="24"/>
          <w:szCs w:val="24"/>
        </w:rPr>
        <w:t>采购人和采购代理机构的名称、地址和联系方式、项目名称和项目编号、成交人名称、地址和成交金额、主要成交标的的名称、单价、工期、</w:t>
      </w:r>
      <w:r>
        <w:rPr>
          <w:rFonts w:hint="eastAsia" w:asciiTheme="majorEastAsia" w:hAnsiTheme="majorEastAsia" w:eastAsiaTheme="majorEastAsia" w:cstheme="majorEastAsia"/>
          <w:sz w:val="24"/>
          <w:szCs w:val="24"/>
          <w:lang w:eastAsia="zh-CN"/>
        </w:rPr>
        <w:t>质量标准</w:t>
      </w:r>
      <w:r>
        <w:rPr>
          <w:rFonts w:hint="eastAsia" w:asciiTheme="majorEastAsia" w:hAnsiTheme="majorEastAsia" w:eastAsiaTheme="majorEastAsia" w:cstheme="majorEastAsia"/>
          <w:sz w:val="24"/>
          <w:szCs w:val="24"/>
        </w:rPr>
        <w:t>、磋商小组成员名单。</w:t>
      </w:r>
    </w:p>
    <w:p w14:paraId="1B79F166">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350" w:name="_Toc11152"/>
      <w:bookmarkStart w:id="351" w:name="_Toc463011289"/>
      <w:bookmarkStart w:id="352" w:name="_Toc455678136"/>
      <w:bookmarkStart w:id="353" w:name="_Toc18026"/>
      <w:bookmarkStart w:id="354" w:name="_Toc462934310"/>
      <w:bookmarkStart w:id="355" w:name="_Toc4900"/>
      <w:r>
        <w:rPr>
          <w:rFonts w:hint="eastAsia" w:asciiTheme="majorEastAsia" w:hAnsiTheme="majorEastAsia" w:eastAsiaTheme="majorEastAsia" w:cstheme="majorEastAsia"/>
          <w:b/>
          <w:sz w:val="24"/>
          <w:szCs w:val="24"/>
        </w:rPr>
        <w:t>成交通知书</w:t>
      </w:r>
      <w:bookmarkEnd w:id="350"/>
      <w:bookmarkEnd w:id="351"/>
      <w:bookmarkEnd w:id="352"/>
      <w:bookmarkEnd w:id="353"/>
      <w:bookmarkEnd w:id="354"/>
      <w:bookmarkEnd w:id="355"/>
      <w:bookmarkStart w:id="356" w:name="_Toc23963"/>
      <w:bookmarkStart w:id="357" w:name="_Toc455678137"/>
      <w:bookmarkStart w:id="358" w:name="_Toc462934311"/>
      <w:bookmarkStart w:id="359" w:name="_Toc463011290"/>
      <w:bookmarkStart w:id="360" w:name="_Toc11018"/>
      <w:bookmarkStart w:id="361" w:name="_Toc269470335"/>
    </w:p>
    <w:bookmarkEnd w:id="356"/>
    <w:bookmarkEnd w:id="357"/>
    <w:bookmarkEnd w:id="358"/>
    <w:bookmarkEnd w:id="359"/>
    <w:bookmarkEnd w:id="360"/>
    <w:p w14:paraId="60E26A2B">
      <w:pPr>
        <w:spacing w:line="500" w:lineRule="exact"/>
        <w:ind w:firstLine="480" w:firstLineChars="200"/>
        <w:rPr>
          <w:rFonts w:hint="eastAsia" w:asciiTheme="majorEastAsia" w:hAnsiTheme="majorEastAsia" w:eastAsiaTheme="majorEastAsia" w:cstheme="majorEastAsia"/>
          <w:sz w:val="24"/>
          <w:szCs w:val="24"/>
        </w:rPr>
      </w:pPr>
      <w:bookmarkStart w:id="362" w:name="_Toc463011292"/>
      <w:bookmarkStart w:id="363" w:name="_Toc462934313"/>
      <w:bookmarkStart w:id="364" w:name="_Toc10798"/>
      <w:bookmarkStart w:id="365" w:name="_Toc720"/>
      <w:bookmarkStart w:id="366" w:name="_Toc455678139"/>
      <w:r>
        <w:rPr>
          <w:rFonts w:hint="eastAsia" w:asciiTheme="majorEastAsia" w:hAnsiTheme="majorEastAsia" w:eastAsiaTheme="majorEastAsia" w:cstheme="majorEastAsia"/>
          <w:sz w:val="24"/>
          <w:szCs w:val="24"/>
        </w:rPr>
        <w:t>在公告成交结果的同时，采购人或者采购代理机构向成交人发出成交通知书，成交通知书将作为进行合同磋商和签订合同的依据。</w:t>
      </w:r>
    </w:p>
    <w:p w14:paraId="190D8C9D">
      <w:pPr>
        <w:keepNext/>
        <w:keepLines/>
        <w:numPr>
          <w:ilvl w:val="1"/>
          <w:numId w:val="3"/>
        </w:numPr>
        <w:wordWrap w:val="0"/>
        <w:topLinePunct/>
        <w:spacing w:line="500" w:lineRule="exact"/>
        <w:jc w:val="left"/>
        <w:outlineLvl w:val="2"/>
        <w:rPr>
          <w:rFonts w:hint="default" w:asciiTheme="majorEastAsia" w:hAnsiTheme="majorEastAsia" w:eastAsiaTheme="majorEastAsia" w:cstheme="majorEastAsia"/>
          <w:b/>
          <w:sz w:val="24"/>
          <w:szCs w:val="24"/>
          <w:lang w:val="en-US" w:eastAsia="zh-CN"/>
        </w:rPr>
      </w:pPr>
      <w:r>
        <w:rPr>
          <w:rFonts w:hint="eastAsia" w:asciiTheme="majorEastAsia" w:hAnsiTheme="majorEastAsia" w:eastAsiaTheme="majorEastAsia" w:cstheme="majorEastAsia"/>
          <w:b/>
          <w:sz w:val="24"/>
          <w:szCs w:val="24"/>
          <w:lang w:val="en-US" w:eastAsia="zh-CN"/>
        </w:rPr>
        <w:t>重新招标</w:t>
      </w:r>
    </w:p>
    <w:p w14:paraId="00324D44">
      <w:pPr>
        <w:numPr>
          <w:ilvl w:val="2"/>
          <w:numId w:val="3"/>
        </w:numPr>
        <w:wordWrap w:val="0"/>
        <w:topLinePunct/>
        <w:spacing w:line="500" w:lineRule="exact"/>
        <w:ind w:firstLine="56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出现下列情形之一的，将终止竞争性磋商采购活动，发布项目终止公告并说明原因，重新开展采购活动： </w:t>
      </w:r>
    </w:p>
    <w:p w14:paraId="17D44123">
      <w:pPr>
        <w:numPr>
          <w:ilvl w:val="2"/>
          <w:numId w:val="3"/>
        </w:numPr>
        <w:wordWrap w:val="0"/>
        <w:topLinePunct/>
        <w:spacing w:line="500" w:lineRule="exact"/>
        <w:ind w:firstLine="56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不符合法律、法规和竞争性磋商文件中规定的其他实质性要求的； </w:t>
      </w:r>
    </w:p>
    <w:p w14:paraId="28BE9DD8">
      <w:pPr>
        <w:numPr>
          <w:ilvl w:val="2"/>
          <w:numId w:val="3"/>
        </w:numPr>
        <w:wordWrap w:val="0"/>
        <w:topLinePunct/>
        <w:spacing w:line="500" w:lineRule="exact"/>
        <w:ind w:firstLine="56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其他法律、法规及本竞争性磋商文件规定的属响应无效的情形。终止竞争性磋商采购活动的条款； </w:t>
      </w:r>
    </w:p>
    <w:p w14:paraId="576A6547">
      <w:pPr>
        <w:numPr>
          <w:ilvl w:val="2"/>
          <w:numId w:val="3"/>
        </w:numPr>
        <w:wordWrap w:val="0"/>
        <w:topLinePunct/>
        <w:spacing w:line="500" w:lineRule="exact"/>
        <w:ind w:firstLine="56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因情况变化，不再符合规定的竞争性磋商采购方式适用情形的；出现影响采购公正的违法、违规行为的； </w:t>
      </w:r>
    </w:p>
    <w:p w14:paraId="1FEEF555">
      <w:pPr>
        <w:numPr>
          <w:ilvl w:val="2"/>
          <w:numId w:val="3"/>
        </w:numPr>
        <w:wordWrap w:val="0"/>
        <w:topLinePunct/>
        <w:spacing w:line="500" w:lineRule="exact"/>
        <w:ind w:firstLine="56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磋商截止时间结束后参加响应人不足3家的， 应重新组织采购。 评审期间符合专业条件的响应人或者对磋商响应文件作出实质响应的响应人不足3家的， 采购代理机构将报请主管监督部门，经批准，继续进行评标活动</w:t>
      </w:r>
    </w:p>
    <w:bookmarkEnd w:id="362"/>
    <w:bookmarkEnd w:id="363"/>
    <w:bookmarkEnd w:id="364"/>
    <w:bookmarkEnd w:id="365"/>
    <w:bookmarkEnd w:id="366"/>
    <w:p w14:paraId="0D4B4188">
      <w:pPr>
        <w:numPr>
          <w:ilvl w:val="0"/>
          <w:numId w:val="3"/>
        </w:numPr>
        <w:tabs>
          <w:tab w:val="left" w:pos="360"/>
        </w:tabs>
        <w:wordWrap w:val="0"/>
        <w:topLinePunct/>
        <w:autoSpaceDE w:val="0"/>
        <w:autoSpaceDN w:val="0"/>
        <w:adjustRightInd w:val="0"/>
        <w:snapToGrid w:val="0"/>
        <w:spacing w:line="500" w:lineRule="exact"/>
        <w:contextualSpacing/>
        <w:outlineLvl w:val="1"/>
        <w:rPr>
          <w:rFonts w:asciiTheme="majorEastAsia" w:hAnsiTheme="majorEastAsia" w:eastAsiaTheme="majorEastAsia" w:cstheme="majorEastAsia"/>
          <w:b/>
          <w:sz w:val="24"/>
          <w:szCs w:val="24"/>
        </w:rPr>
      </w:pPr>
      <w:bookmarkStart w:id="367" w:name="_Toc23774432"/>
      <w:bookmarkStart w:id="368" w:name="_Toc23149"/>
      <w:r>
        <w:rPr>
          <w:rFonts w:hint="eastAsia" w:asciiTheme="majorEastAsia" w:hAnsiTheme="majorEastAsia" w:eastAsiaTheme="majorEastAsia" w:cstheme="majorEastAsia"/>
          <w:b/>
          <w:bCs/>
          <w:sz w:val="24"/>
          <w:szCs w:val="24"/>
        </w:rPr>
        <w:t>授予合同</w:t>
      </w:r>
      <w:bookmarkEnd w:id="367"/>
      <w:bookmarkEnd w:id="368"/>
      <w:bookmarkStart w:id="369" w:name="_Toc32765"/>
    </w:p>
    <w:bookmarkEnd w:id="369"/>
    <w:p w14:paraId="55AA69EB">
      <w:pPr>
        <w:numPr>
          <w:ilvl w:val="2"/>
          <w:numId w:val="3"/>
        </w:numPr>
        <w:wordWrap w:val="0"/>
        <w:topLinePunct/>
        <w:spacing w:line="500" w:lineRule="exact"/>
        <w:ind w:firstLine="560"/>
        <w:rPr>
          <w:rFonts w:hint="eastAsia" w:asciiTheme="majorEastAsia" w:hAnsiTheme="majorEastAsia" w:eastAsiaTheme="majorEastAsia" w:cstheme="majorEastAsia"/>
          <w:sz w:val="24"/>
          <w:szCs w:val="24"/>
          <w:lang w:val="en-US" w:eastAsia="zh-CN"/>
        </w:rPr>
      </w:pPr>
      <w:bookmarkStart w:id="370" w:name="_Toc26954"/>
      <w:r>
        <w:rPr>
          <w:rFonts w:hint="eastAsia" w:asciiTheme="majorEastAsia" w:hAnsiTheme="majorEastAsia" w:eastAsiaTheme="majorEastAsia" w:cstheme="majorEastAsia"/>
          <w:sz w:val="24"/>
          <w:szCs w:val="24"/>
          <w:lang w:val="en-US" w:eastAsia="zh-CN"/>
        </w:rPr>
        <w:t>按《三门峡市财政局关于市本级政府采购合同备案管理工作的通知》（三财购[2021]9号）文要求，集中采购目录以外政府采购项目，原则上自中标通知书发出之日起2个工作日内与中标（成交）供应商按照采购文件确定的事项与供应商签订政府采购合同，</w:t>
      </w:r>
      <w:r>
        <w:rPr>
          <w:rFonts w:hint="eastAsia" w:asciiTheme="majorEastAsia" w:hAnsiTheme="majorEastAsia" w:eastAsiaTheme="majorEastAsia" w:cstheme="majorEastAsia"/>
          <w:sz w:val="24"/>
          <w:szCs w:val="24"/>
        </w:rPr>
        <w:t>所签订的合同不得对竞争性磋商文件确定的事项和成交人响应文件作实质性修改。</w:t>
      </w:r>
    </w:p>
    <w:bookmarkEnd w:id="370"/>
    <w:p w14:paraId="32D68638">
      <w:pPr>
        <w:numPr>
          <w:ilvl w:val="2"/>
          <w:numId w:val="3"/>
        </w:numPr>
        <w:wordWrap w:val="0"/>
        <w:topLinePunct/>
        <w:spacing w:line="500" w:lineRule="exact"/>
        <w:ind w:firstLine="560"/>
        <w:rPr>
          <w:rFonts w:asciiTheme="majorEastAsia" w:hAnsiTheme="majorEastAsia" w:eastAsiaTheme="majorEastAsia" w:cstheme="majorEastAsia"/>
          <w:sz w:val="24"/>
          <w:szCs w:val="24"/>
        </w:rPr>
      </w:pPr>
      <w:bookmarkStart w:id="371" w:name="_Toc21772"/>
      <w:bookmarkStart w:id="372" w:name="_Toc14039"/>
      <w:bookmarkStart w:id="373" w:name="_Toc10652"/>
      <w:bookmarkStart w:id="374" w:name="_Toc12834"/>
      <w:r>
        <w:rPr>
          <w:rFonts w:hint="eastAsia" w:asciiTheme="majorEastAsia" w:hAnsiTheme="majorEastAsia" w:eastAsiaTheme="majorEastAsia" w:cstheme="majorEastAsia"/>
          <w:sz w:val="24"/>
          <w:szCs w:val="24"/>
        </w:rPr>
        <w:t>竞争性磋商文件、成交人的响应文件和澄清文件等，均应作为签约的合同文本的基础。</w:t>
      </w:r>
      <w:bookmarkEnd w:id="371"/>
      <w:bookmarkEnd w:id="372"/>
      <w:bookmarkEnd w:id="373"/>
      <w:bookmarkEnd w:id="374"/>
      <w:bookmarkStart w:id="375" w:name="_Toc5481"/>
    </w:p>
    <w:bookmarkEnd w:id="375"/>
    <w:p w14:paraId="6608D144">
      <w:pPr>
        <w:numPr>
          <w:ilvl w:val="2"/>
          <w:numId w:val="3"/>
        </w:numPr>
        <w:wordWrap w:val="0"/>
        <w:topLinePunct/>
        <w:spacing w:line="500" w:lineRule="exact"/>
        <w:ind w:firstLine="560"/>
        <w:rPr>
          <w:rFonts w:asciiTheme="majorEastAsia" w:hAnsiTheme="majorEastAsia" w:eastAsiaTheme="majorEastAsia" w:cstheme="majorEastAsia"/>
          <w:sz w:val="24"/>
          <w:szCs w:val="24"/>
        </w:rPr>
      </w:pPr>
      <w:bookmarkStart w:id="376" w:name="_Toc10089"/>
      <w:bookmarkStart w:id="377" w:name="_Toc18228"/>
      <w:bookmarkStart w:id="378" w:name="_Toc12739"/>
      <w:bookmarkStart w:id="379" w:name="_Toc4762"/>
      <w:r>
        <w:rPr>
          <w:rFonts w:hint="eastAsia" w:asciiTheme="majorEastAsia" w:hAnsiTheme="majorEastAsia" w:eastAsiaTheme="majorEastAsia" w:cstheme="majorEastAsia"/>
          <w:sz w:val="24"/>
          <w:szCs w:val="24"/>
        </w:rPr>
        <w:t>政府采购合同包括采购人与成交人的名称和住所、标的、数量、质量、价款或者报酬、履行期限及地点和方式、验收要求、违约责任、解决争议的方法等内容。</w:t>
      </w:r>
      <w:bookmarkEnd w:id="376"/>
      <w:bookmarkEnd w:id="377"/>
      <w:bookmarkEnd w:id="378"/>
      <w:bookmarkEnd w:id="379"/>
      <w:bookmarkStart w:id="380" w:name="_Toc7717"/>
    </w:p>
    <w:p w14:paraId="648E0028">
      <w:pPr>
        <w:numPr>
          <w:ilvl w:val="2"/>
          <w:numId w:val="3"/>
        </w:numPr>
        <w:wordWrap w:val="0"/>
        <w:topLinePunct/>
        <w:spacing w:line="500" w:lineRule="exact"/>
        <w:ind w:firstLine="560"/>
        <w:rPr>
          <w:rFonts w:asciiTheme="majorEastAsia" w:hAnsiTheme="majorEastAsia" w:eastAsiaTheme="majorEastAsia" w:cstheme="majorEastAsia"/>
          <w:sz w:val="24"/>
          <w:szCs w:val="24"/>
        </w:rPr>
      </w:pPr>
      <w:bookmarkStart w:id="381" w:name="_Toc5311"/>
      <w:bookmarkStart w:id="382" w:name="_Toc6035"/>
      <w:bookmarkStart w:id="383" w:name="_Toc18078"/>
      <w:r>
        <w:rPr>
          <w:rFonts w:hint="eastAsia" w:asciiTheme="majorEastAsia" w:hAnsiTheme="majorEastAsia" w:eastAsiaTheme="majorEastAsia" w:cstheme="majorEastAsia"/>
          <w:sz w:val="24"/>
          <w:szCs w:val="24"/>
        </w:rPr>
        <w:t>如成交人不按本章第6.1</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rPr>
        <w:t>项约定签订合同，采购人将报请取消其成交决定</w:t>
      </w:r>
      <w:r>
        <w:rPr>
          <w:rFonts w:hint="eastAsia" w:asciiTheme="majorEastAsia" w:hAnsiTheme="majorEastAsia" w:eastAsiaTheme="majorEastAsia" w:cstheme="majorEastAsia"/>
          <w:sz w:val="24"/>
          <w:szCs w:val="24"/>
          <w:lang w:eastAsia="zh-CN"/>
        </w:rPr>
        <w:t>，</w:t>
      </w:r>
      <w:r>
        <w:rPr>
          <w:rFonts w:hint="eastAsia" w:asciiTheme="majorEastAsia" w:hAnsiTheme="majorEastAsia" w:eastAsiaTheme="majorEastAsia" w:cstheme="majorEastAsia"/>
          <w:sz w:val="24"/>
          <w:szCs w:val="24"/>
        </w:rPr>
        <w:t>采购人可按照磋商小组推荐的成交候选人名单排序，确定下一候选人为成交人或者重新采购。</w:t>
      </w:r>
      <w:bookmarkEnd w:id="380"/>
      <w:bookmarkEnd w:id="381"/>
      <w:bookmarkEnd w:id="382"/>
      <w:bookmarkEnd w:id="383"/>
    </w:p>
    <w:bookmarkEnd w:id="361"/>
    <w:p w14:paraId="1C6E418A">
      <w:pPr>
        <w:numPr>
          <w:ilvl w:val="0"/>
          <w:numId w:val="3"/>
        </w:numPr>
        <w:tabs>
          <w:tab w:val="left" w:pos="360"/>
        </w:tabs>
        <w:wordWrap w:val="0"/>
        <w:topLinePunct/>
        <w:autoSpaceDE w:val="0"/>
        <w:autoSpaceDN w:val="0"/>
        <w:adjustRightInd w:val="0"/>
        <w:snapToGrid w:val="0"/>
        <w:spacing w:line="500" w:lineRule="exact"/>
        <w:contextualSpacing/>
        <w:outlineLvl w:val="1"/>
        <w:rPr>
          <w:rFonts w:asciiTheme="majorEastAsia" w:hAnsiTheme="majorEastAsia" w:eastAsiaTheme="majorEastAsia" w:cstheme="majorEastAsia"/>
          <w:b/>
          <w:bCs/>
          <w:sz w:val="24"/>
          <w:szCs w:val="24"/>
        </w:rPr>
      </w:pPr>
      <w:bookmarkStart w:id="384" w:name="_Toc269470338"/>
      <w:bookmarkStart w:id="385" w:name="_Toc25425"/>
      <w:bookmarkStart w:id="386" w:name="_Toc270604610"/>
      <w:r>
        <w:rPr>
          <w:rFonts w:hint="eastAsia" w:asciiTheme="majorEastAsia" w:hAnsiTheme="majorEastAsia" w:eastAsiaTheme="majorEastAsia" w:cstheme="majorEastAsia"/>
          <w:b/>
          <w:bCs/>
          <w:sz w:val="24"/>
          <w:szCs w:val="24"/>
        </w:rPr>
        <w:t xml:space="preserve"> </w:t>
      </w:r>
      <w:bookmarkStart w:id="387" w:name="_Toc23774433"/>
      <w:bookmarkStart w:id="388" w:name="_Toc27882"/>
      <w:r>
        <w:rPr>
          <w:rFonts w:hint="eastAsia" w:asciiTheme="majorEastAsia" w:hAnsiTheme="majorEastAsia" w:eastAsiaTheme="majorEastAsia" w:cstheme="majorEastAsia"/>
          <w:b/>
          <w:bCs/>
          <w:sz w:val="24"/>
          <w:szCs w:val="24"/>
        </w:rPr>
        <w:t>纪律和监督</w:t>
      </w:r>
      <w:bookmarkEnd w:id="384"/>
      <w:bookmarkEnd w:id="385"/>
      <w:bookmarkEnd w:id="386"/>
      <w:bookmarkEnd w:id="387"/>
      <w:bookmarkEnd w:id="388"/>
    </w:p>
    <w:p w14:paraId="5B4920E4">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389" w:name="_Toc277149399"/>
      <w:bookmarkStart w:id="390" w:name="_Toc428351666"/>
      <w:bookmarkStart w:id="391" w:name="_Toc269470339"/>
      <w:bookmarkStart w:id="392" w:name="_Toc462934323"/>
      <w:bookmarkStart w:id="393" w:name="_Toc428276606"/>
      <w:bookmarkStart w:id="394" w:name="_Toc13152"/>
      <w:bookmarkStart w:id="395" w:name="_Toc2717"/>
      <w:bookmarkStart w:id="396" w:name="_Toc455678149"/>
      <w:bookmarkStart w:id="397" w:name="_Toc454788046"/>
      <w:bookmarkStart w:id="398" w:name="_Toc270604611"/>
      <w:bookmarkStart w:id="399" w:name="_Toc270604838"/>
      <w:bookmarkStart w:id="400" w:name="_Toc463011302"/>
      <w:bookmarkStart w:id="401" w:name="_Toc31772"/>
      <w:r>
        <w:rPr>
          <w:rFonts w:hint="eastAsia" w:asciiTheme="majorEastAsia" w:hAnsiTheme="majorEastAsia" w:eastAsiaTheme="majorEastAsia" w:cstheme="majorEastAsia"/>
          <w:b/>
          <w:sz w:val="24"/>
          <w:szCs w:val="24"/>
        </w:rPr>
        <w:t>对采购人的纪律要求</w:t>
      </w:r>
      <w:bookmarkEnd w:id="389"/>
      <w:bookmarkEnd w:id="390"/>
      <w:bookmarkEnd w:id="391"/>
      <w:bookmarkEnd w:id="392"/>
      <w:bookmarkEnd w:id="393"/>
      <w:bookmarkEnd w:id="394"/>
      <w:bookmarkEnd w:id="395"/>
      <w:bookmarkEnd w:id="396"/>
      <w:bookmarkEnd w:id="397"/>
      <w:bookmarkEnd w:id="398"/>
      <w:bookmarkEnd w:id="399"/>
      <w:bookmarkEnd w:id="400"/>
      <w:bookmarkEnd w:id="401"/>
    </w:p>
    <w:p w14:paraId="14C25309">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采购人不得泄漏竞争性磋商中应当保密的情况和资料，不得与供应商串通损害国家利益、社会公共利益或者他人合法权益。</w:t>
      </w:r>
    </w:p>
    <w:p w14:paraId="3A9A35E9">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402" w:name="_Toc10123"/>
      <w:bookmarkStart w:id="403" w:name="_Toc428276607"/>
      <w:bookmarkStart w:id="404" w:name="_Toc462934324"/>
      <w:bookmarkStart w:id="405" w:name="_Toc269470340"/>
      <w:bookmarkStart w:id="406" w:name="_Toc277149400"/>
      <w:bookmarkStart w:id="407" w:name="_Toc270604839"/>
      <w:bookmarkStart w:id="408" w:name="_Toc463011303"/>
      <w:bookmarkStart w:id="409" w:name="_Toc1136"/>
      <w:bookmarkStart w:id="410" w:name="_Toc454788047"/>
      <w:bookmarkStart w:id="411" w:name="_Toc428351667"/>
      <w:bookmarkStart w:id="412" w:name="_Toc455678150"/>
      <w:bookmarkStart w:id="413" w:name="_Toc24245"/>
      <w:bookmarkStart w:id="414" w:name="_Toc270604612"/>
      <w:r>
        <w:rPr>
          <w:rFonts w:hint="eastAsia" w:asciiTheme="majorEastAsia" w:hAnsiTheme="majorEastAsia" w:eastAsiaTheme="majorEastAsia" w:cstheme="majorEastAsia"/>
          <w:b/>
          <w:sz w:val="24"/>
          <w:szCs w:val="24"/>
        </w:rPr>
        <w:t>对供应商的纪律要求</w:t>
      </w:r>
      <w:bookmarkEnd w:id="402"/>
      <w:bookmarkEnd w:id="403"/>
      <w:bookmarkEnd w:id="404"/>
      <w:bookmarkEnd w:id="405"/>
      <w:bookmarkEnd w:id="406"/>
      <w:bookmarkEnd w:id="407"/>
      <w:bookmarkEnd w:id="408"/>
      <w:bookmarkEnd w:id="409"/>
      <w:bookmarkEnd w:id="410"/>
      <w:bookmarkEnd w:id="411"/>
      <w:bookmarkEnd w:id="412"/>
      <w:bookmarkEnd w:id="413"/>
      <w:bookmarkEnd w:id="414"/>
    </w:p>
    <w:p w14:paraId="1D888D2A">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供应商不得相互串通或者与采购人串通，不得向采购人或者磋商小组成员行贿谋取成交，不得以他人名义磋商或者以其他方式弄虚作假骗取成交；供应商不得以任何方式干扰、影响磋商工作。</w:t>
      </w:r>
    </w:p>
    <w:p w14:paraId="79F14E2F">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415" w:name="_Toc269470341"/>
      <w:bookmarkStart w:id="416" w:name="_Toc428276608"/>
      <w:bookmarkStart w:id="417" w:name="_Toc23588"/>
      <w:bookmarkStart w:id="418" w:name="_Toc270604613"/>
      <w:bookmarkStart w:id="419" w:name="_Toc428351668"/>
      <w:bookmarkStart w:id="420" w:name="_Toc15953"/>
      <w:bookmarkStart w:id="421" w:name="_Toc270604840"/>
      <w:bookmarkStart w:id="422" w:name="_Toc462934325"/>
      <w:bookmarkStart w:id="423" w:name="_Toc26184"/>
      <w:bookmarkStart w:id="424" w:name="_Toc455678151"/>
      <w:bookmarkStart w:id="425" w:name="_Toc454788048"/>
      <w:bookmarkStart w:id="426" w:name="_Toc277149401"/>
      <w:bookmarkStart w:id="427" w:name="_Toc463011304"/>
      <w:r>
        <w:rPr>
          <w:rFonts w:hint="eastAsia" w:asciiTheme="majorEastAsia" w:hAnsiTheme="majorEastAsia" w:eastAsiaTheme="majorEastAsia" w:cstheme="majorEastAsia"/>
          <w:b/>
          <w:sz w:val="24"/>
          <w:szCs w:val="24"/>
        </w:rPr>
        <w:t>对磋商小组成员的纪律要求</w:t>
      </w:r>
      <w:bookmarkEnd w:id="415"/>
      <w:bookmarkEnd w:id="416"/>
      <w:bookmarkEnd w:id="417"/>
      <w:bookmarkEnd w:id="418"/>
      <w:bookmarkEnd w:id="419"/>
      <w:bookmarkEnd w:id="420"/>
      <w:bookmarkEnd w:id="421"/>
      <w:bookmarkEnd w:id="422"/>
      <w:bookmarkEnd w:id="423"/>
      <w:bookmarkEnd w:id="424"/>
      <w:bookmarkEnd w:id="425"/>
      <w:bookmarkEnd w:id="426"/>
      <w:bookmarkEnd w:id="427"/>
    </w:p>
    <w:p w14:paraId="0A8D15AA">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磋商小组成员不得收受他人的财物或者其他好处，不得向他人透漏对响应文件的评审和比较、成交候选人的推荐情况以及与磋商有关的其他情况。在磋商活动中，磋商小组成员不得擅离职守，影响磋商程序正常进行。</w:t>
      </w:r>
    </w:p>
    <w:p w14:paraId="3D66AF4A">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428" w:name="_Toc270604614"/>
      <w:bookmarkStart w:id="429" w:name="_Toc463011305"/>
      <w:bookmarkStart w:id="430" w:name="_Toc14202"/>
      <w:bookmarkStart w:id="431" w:name="_Toc455678152"/>
      <w:bookmarkStart w:id="432" w:name="_Toc428351669"/>
      <w:bookmarkStart w:id="433" w:name="_Toc4673"/>
      <w:bookmarkStart w:id="434" w:name="_Toc428276609"/>
      <w:bookmarkStart w:id="435" w:name="_Toc269470342"/>
      <w:bookmarkStart w:id="436" w:name="_Toc8563"/>
      <w:bookmarkStart w:id="437" w:name="_Toc277149402"/>
      <w:bookmarkStart w:id="438" w:name="_Toc454788049"/>
      <w:bookmarkStart w:id="439" w:name="_Toc270604841"/>
      <w:bookmarkStart w:id="440" w:name="_Toc462934326"/>
      <w:r>
        <w:rPr>
          <w:rFonts w:hint="eastAsia" w:asciiTheme="majorEastAsia" w:hAnsiTheme="majorEastAsia" w:eastAsiaTheme="majorEastAsia" w:cstheme="majorEastAsia"/>
          <w:b/>
          <w:sz w:val="24"/>
          <w:szCs w:val="24"/>
        </w:rPr>
        <w:t>对与磋商活动有关的工作人员的纪律要求</w:t>
      </w:r>
      <w:bookmarkEnd w:id="428"/>
      <w:bookmarkEnd w:id="429"/>
      <w:bookmarkEnd w:id="430"/>
      <w:bookmarkEnd w:id="431"/>
      <w:bookmarkEnd w:id="432"/>
      <w:bookmarkEnd w:id="433"/>
      <w:bookmarkEnd w:id="434"/>
      <w:bookmarkEnd w:id="435"/>
      <w:bookmarkEnd w:id="436"/>
      <w:bookmarkEnd w:id="437"/>
      <w:bookmarkEnd w:id="438"/>
      <w:bookmarkEnd w:id="439"/>
      <w:bookmarkEnd w:id="440"/>
    </w:p>
    <w:p w14:paraId="6E227BD4">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与磋商活动有关的工作人员不得收受他人的财物或者其他好处，不得向他人透漏对响应文件的评审和比较、成交候选人的推荐情况以及与磋商有关的其他情况。在磋商活动中，与磋商活动有关的工作人员不得擅离职守，影响磋商程序正常进行。</w:t>
      </w:r>
    </w:p>
    <w:p w14:paraId="0E9E15F1">
      <w:pPr>
        <w:keepNext/>
        <w:keepLines/>
        <w:numPr>
          <w:ilvl w:val="1"/>
          <w:numId w:val="3"/>
        </w:numPr>
        <w:wordWrap w:val="0"/>
        <w:topLinePunct/>
        <w:spacing w:line="500" w:lineRule="exact"/>
        <w:jc w:val="left"/>
        <w:outlineLvl w:val="2"/>
        <w:rPr>
          <w:rFonts w:asciiTheme="majorEastAsia" w:hAnsiTheme="majorEastAsia" w:eastAsiaTheme="majorEastAsia" w:cstheme="majorEastAsia"/>
          <w:b/>
          <w:sz w:val="24"/>
          <w:szCs w:val="24"/>
        </w:rPr>
      </w:pPr>
      <w:bookmarkStart w:id="441" w:name="_Toc454788050"/>
      <w:bookmarkStart w:id="442" w:name="_Toc277149403"/>
      <w:bookmarkStart w:id="443" w:name="_Toc270604842"/>
      <w:bookmarkStart w:id="444" w:name="_Toc269470343"/>
      <w:bookmarkStart w:id="445" w:name="_Toc428276610"/>
      <w:bookmarkStart w:id="446" w:name="_Toc29089"/>
      <w:bookmarkStart w:id="447" w:name="_Toc270604615"/>
      <w:bookmarkStart w:id="448" w:name="_Toc428351670"/>
      <w:r>
        <w:rPr>
          <w:rFonts w:hint="eastAsia" w:asciiTheme="majorEastAsia" w:hAnsiTheme="majorEastAsia" w:eastAsiaTheme="majorEastAsia" w:cstheme="majorEastAsia"/>
          <w:b/>
          <w:sz w:val="24"/>
          <w:szCs w:val="24"/>
        </w:rPr>
        <w:t xml:space="preserve"> </w:t>
      </w:r>
      <w:bookmarkStart w:id="449" w:name="_Toc27033"/>
      <w:r>
        <w:rPr>
          <w:rFonts w:hint="eastAsia" w:asciiTheme="majorEastAsia" w:hAnsiTheme="majorEastAsia" w:eastAsiaTheme="majorEastAsia" w:cstheme="majorEastAsia"/>
          <w:b/>
          <w:sz w:val="24"/>
          <w:szCs w:val="24"/>
        </w:rPr>
        <w:t>询问、质疑和投诉</w:t>
      </w:r>
      <w:bookmarkEnd w:id="441"/>
      <w:bookmarkEnd w:id="442"/>
      <w:bookmarkEnd w:id="443"/>
      <w:bookmarkEnd w:id="444"/>
      <w:bookmarkEnd w:id="445"/>
      <w:bookmarkEnd w:id="446"/>
      <w:bookmarkEnd w:id="447"/>
      <w:bookmarkEnd w:id="448"/>
      <w:bookmarkEnd w:id="449"/>
    </w:p>
    <w:p w14:paraId="459B9562">
      <w:pPr>
        <w:numPr>
          <w:ilvl w:val="2"/>
          <w:numId w:val="3"/>
        </w:numPr>
        <w:wordWrap w:val="0"/>
        <w:topLinePunct/>
        <w:spacing w:line="500" w:lineRule="exact"/>
        <w:ind w:firstLine="560"/>
        <w:rPr>
          <w:rFonts w:asciiTheme="majorEastAsia" w:hAnsiTheme="majorEastAsia" w:eastAsiaTheme="majorEastAsia" w:cstheme="majorEastAsia"/>
          <w:sz w:val="24"/>
          <w:szCs w:val="24"/>
        </w:rPr>
      </w:pPr>
      <w:bookmarkStart w:id="450" w:name="_Toc17445"/>
      <w:bookmarkStart w:id="451" w:name="_Toc462934328"/>
      <w:bookmarkStart w:id="452" w:name="_Toc11785"/>
      <w:bookmarkStart w:id="453" w:name="_Toc463011307"/>
      <w:bookmarkStart w:id="454" w:name="_Toc455678154"/>
      <w:r>
        <w:rPr>
          <w:rFonts w:hint="eastAsia" w:asciiTheme="majorEastAsia" w:hAnsiTheme="majorEastAsia" w:eastAsiaTheme="majorEastAsia" w:cstheme="majorEastAsia"/>
          <w:sz w:val="24"/>
          <w:szCs w:val="24"/>
        </w:rPr>
        <w:t>供应商或有关当事人对磋商过程、成交结果有异议的，可以向采购人或者采购代理机构提出询问。</w:t>
      </w:r>
      <w:bookmarkEnd w:id="450"/>
      <w:bookmarkEnd w:id="451"/>
      <w:bookmarkEnd w:id="452"/>
      <w:bookmarkEnd w:id="453"/>
      <w:bookmarkEnd w:id="454"/>
    </w:p>
    <w:p w14:paraId="6670B1B8">
      <w:pPr>
        <w:numPr>
          <w:ilvl w:val="2"/>
          <w:numId w:val="3"/>
        </w:numPr>
        <w:wordWrap w:val="0"/>
        <w:topLinePunct/>
        <w:spacing w:line="500" w:lineRule="exact"/>
        <w:ind w:firstLine="560"/>
        <w:rPr>
          <w:rFonts w:asciiTheme="majorEastAsia" w:hAnsiTheme="majorEastAsia" w:eastAsiaTheme="majorEastAsia" w:cstheme="majorEastAsia"/>
          <w:sz w:val="24"/>
          <w:szCs w:val="24"/>
        </w:rPr>
      </w:pPr>
      <w:bookmarkStart w:id="455" w:name="_Toc462934329"/>
      <w:bookmarkStart w:id="456" w:name="_Toc463011308"/>
      <w:bookmarkStart w:id="457" w:name="_Toc24621"/>
      <w:bookmarkStart w:id="458" w:name="_Toc455678155"/>
      <w:bookmarkStart w:id="459" w:name="_Toc27421"/>
      <w:r>
        <w:rPr>
          <w:rFonts w:hint="eastAsia" w:asciiTheme="majorEastAsia" w:hAnsiTheme="majorEastAsia" w:eastAsiaTheme="majorEastAsia" w:cstheme="majorEastAsia"/>
          <w:sz w:val="24"/>
          <w:szCs w:val="24"/>
        </w:rPr>
        <w:t>采购人或者采购代理机构应当在三个工作日内对供应商依法提出的询问作出答复。</w:t>
      </w:r>
      <w:bookmarkEnd w:id="455"/>
      <w:bookmarkEnd w:id="456"/>
      <w:bookmarkEnd w:id="457"/>
      <w:bookmarkEnd w:id="458"/>
      <w:bookmarkEnd w:id="459"/>
    </w:p>
    <w:p w14:paraId="1E5D0668">
      <w:pPr>
        <w:numPr>
          <w:ilvl w:val="2"/>
          <w:numId w:val="3"/>
        </w:numPr>
        <w:wordWrap w:val="0"/>
        <w:topLinePunct/>
        <w:spacing w:line="500" w:lineRule="exact"/>
        <w:ind w:firstLine="560"/>
        <w:rPr>
          <w:rFonts w:asciiTheme="majorEastAsia" w:hAnsiTheme="majorEastAsia" w:eastAsiaTheme="majorEastAsia" w:cstheme="majorEastAsia"/>
          <w:sz w:val="24"/>
          <w:szCs w:val="24"/>
        </w:rPr>
      </w:pPr>
      <w:bookmarkStart w:id="460" w:name="_Toc455678156"/>
      <w:bookmarkStart w:id="461" w:name="_Toc463011309"/>
      <w:bookmarkStart w:id="462" w:name="_Toc30298"/>
      <w:bookmarkStart w:id="463" w:name="_Toc462934330"/>
      <w:bookmarkStart w:id="464" w:name="_Toc28381"/>
      <w:r>
        <w:rPr>
          <w:rFonts w:hint="eastAsia" w:asciiTheme="majorEastAsia" w:hAnsiTheme="majorEastAsia" w:eastAsiaTheme="majorEastAsia" w:cstheme="majorEastAsia"/>
          <w:sz w:val="24"/>
          <w:szCs w:val="24"/>
        </w:rPr>
        <w:t>供应商认为竞争性磋商文件、采购过程使自己的权益受到损害的，可以在知道或者应知其权益受到损害之日起七个工作日内，以书面形式向采购人提出质疑。</w:t>
      </w:r>
      <w:bookmarkEnd w:id="460"/>
      <w:bookmarkEnd w:id="461"/>
      <w:bookmarkEnd w:id="462"/>
      <w:bookmarkEnd w:id="463"/>
      <w:bookmarkEnd w:id="464"/>
    </w:p>
    <w:p w14:paraId="3CDEFDB2">
      <w:pPr>
        <w:numPr>
          <w:ilvl w:val="2"/>
          <w:numId w:val="3"/>
        </w:numPr>
        <w:wordWrap w:val="0"/>
        <w:topLinePunct/>
        <w:spacing w:line="500" w:lineRule="exact"/>
        <w:ind w:firstLine="560"/>
        <w:rPr>
          <w:rFonts w:asciiTheme="majorEastAsia" w:hAnsiTheme="majorEastAsia" w:eastAsiaTheme="majorEastAsia" w:cstheme="majorEastAsia"/>
          <w:sz w:val="24"/>
          <w:szCs w:val="24"/>
        </w:rPr>
      </w:pPr>
      <w:bookmarkStart w:id="465" w:name="_Toc463011310"/>
      <w:bookmarkStart w:id="466" w:name="_Toc16614"/>
      <w:bookmarkStart w:id="467" w:name="_Toc462934331"/>
      <w:bookmarkStart w:id="468" w:name="_Toc288"/>
      <w:r>
        <w:rPr>
          <w:rFonts w:hint="eastAsia" w:asciiTheme="majorEastAsia" w:hAnsiTheme="majorEastAsia" w:eastAsiaTheme="majorEastAsia" w:cstheme="majorEastAsia"/>
          <w:sz w:val="24"/>
          <w:szCs w:val="24"/>
        </w:rPr>
        <w:t>供应商认为成交结果使自己的权益受到损害的，可以在成交结果公告期限届满之日起七个工作日内，以书面形式向采购人提出质疑，接收质疑函联系部门、电话及地址详见竞争性磋商公告。</w:t>
      </w:r>
      <w:bookmarkEnd w:id="465"/>
      <w:bookmarkEnd w:id="466"/>
      <w:bookmarkEnd w:id="467"/>
      <w:bookmarkEnd w:id="468"/>
      <w:r>
        <w:rPr>
          <w:rFonts w:hint="eastAsia" w:asciiTheme="majorEastAsia" w:hAnsiTheme="majorEastAsia" w:eastAsiaTheme="majorEastAsia" w:cstheme="majorEastAsia"/>
          <w:sz w:val="24"/>
          <w:szCs w:val="24"/>
        </w:rPr>
        <w:t>在法定质疑期内供应商针对同一采购程序环节的质疑应当一次性提出。</w:t>
      </w:r>
    </w:p>
    <w:p w14:paraId="4A695734">
      <w:pPr>
        <w:numPr>
          <w:ilvl w:val="2"/>
          <w:numId w:val="3"/>
        </w:numPr>
        <w:wordWrap w:val="0"/>
        <w:topLinePunct/>
        <w:spacing w:line="500" w:lineRule="exact"/>
        <w:ind w:firstLine="560"/>
        <w:rPr>
          <w:rFonts w:asciiTheme="majorEastAsia" w:hAnsiTheme="majorEastAsia" w:eastAsiaTheme="majorEastAsia" w:cstheme="majorEastAsia"/>
          <w:sz w:val="24"/>
          <w:szCs w:val="24"/>
        </w:rPr>
      </w:pPr>
      <w:bookmarkStart w:id="469" w:name="_Toc462934332"/>
      <w:bookmarkStart w:id="470" w:name="_Toc5258"/>
      <w:bookmarkStart w:id="471" w:name="_Toc18478"/>
      <w:bookmarkStart w:id="472" w:name="_Toc463011311"/>
      <w:bookmarkStart w:id="473" w:name="_Toc455678157"/>
      <w:r>
        <w:rPr>
          <w:rFonts w:hint="eastAsia" w:asciiTheme="majorEastAsia" w:hAnsiTheme="majorEastAsia" w:eastAsiaTheme="majorEastAsia" w:cstheme="majorEastAsia"/>
          <w:sz w:val="24"/>
          <w:szCs w:val="24"/>
        </w:rPr>
        <w:t>采购人或者采购代理机构应当在收到供应商的书面质疑后七个工作日内作出答复，并以书面形式通知质疑供应商和其他有关供应商，但答复的内容不得涉及商业秘密。</w:t>
      </w:r>
      <w:bookmarkEnd w:id="469"/>
      <w:bookmarkEnd w:id="470"/>
      <w:bookmarkEnd w:id="471"/>
      <w:bookmarkEnd w:id="472"/>
      <w:bookmarkEnd w:id="473"/>
    </w:p>
    <w:p w14:paraId="01AA3B27">
      <w:pPr>
        <w:numPr>
          <w:ilvl w:val="2"/>
          <w:numId w:val="3"/>
        </w:numPr>
        <w:wordWrap w:val="0"/>
        <w:topLinePunct/>
        <w:spacing w:line="500" w:lineRule="exact"/>
        <w:ind w:firstLine="560"/>
        <w:rPr>
          <w:rFonts w:asciiTheme="majorEastAsia" w:hAnsiTheme="majorEastAsia" w:eastAsiaTheme="majorEastAsia" w:cstheme="majorEastAsia"/>
          <w:sz w:val="24"/>
          <w:szCs w:val="24"/>
        </w:rPr>
      </w:pPr>
      <w:bookmarkStart w:id="474" w:name="_Toc21390"/>
      <w:bookmarkStart w:id="475" w:name="_Toc4898"/>
      <w:bookmarkStart w:id="476" w:name="_Toc463011312"/>
      <w:bookmarkStart w:id="477" w:name="_Toc462934333"/>
      <w:bookmarkStart w:id="478" w:name="_Toc455678158"/>
      <w:r>
        <w:rPr>
          <w:rFonts w:hint="eastAsia" w:asciiTheme="majorEastAsia" w:hAnsiTheme="majorEastAsia" w:eastAsiaTheme="majorEastAsia" w:cstheme="majorEastAsia"/>
          <w:sz w:val="24"/>
          <w:szCs w:val="24"/>
        </w:rPr>
        <w:t>质疑单位对采购人、采购代理机构的答复不满意或者采购人、采购代理机构未在规定的时间内作出答复的，可以在答复期满后十五个工作日内向同级政府采购监督管理部门投诉。</w:t>
      </w:r>
      <w:bookmarkEnd w:id="474"/>
      <w:bookmarkEnd w:id="475"/>
      <w:bookmarkEnd w:id="476"/>
      <w:bookmarkEnd w:id="477"/>
      <w:bookmarkEnd w:id="478"/>
    </w:p>
    <w:p w14:paraId="2D24AC76">
      <w:pPr>
        <w:numPr>
          <w:ilvl w:val="2"/>
          <w:numId w:val="3"/>
        </w:numPr>
        <w:wordWrap w:val="0"/>
        <w:topLinePunct/>
        <w:spacing w:line="500" w:lineRule="exact"/>
        <w:ind w:firstLine="560"/>
        <w:rPr>
          <w:rFonts w:asciiTheme="majorEastAsia" w:hAnsiTheme="majorEastAsia" w:eastAsiaTheme="majorEastAsia" w:cstheme="majorEastAsia"/>
          <w:sz w:val="24"/>
          <w:szCs w:val="24"/>
        </w:rPr>
      </w:pPr>
      <w:bookmarkStart w:id="479" w:name="_Toc463011313"/>
      <w:bookmarkStart w:id="480" w:name="_Toc455678159"/>
      <w:bookmarkStart w:id="481" w:name="_Toc462934334"/>
      <w:bookmarkStart w:id="482" w:name="_Toc17682"/>
      <w:bookmarkStart w:id="483" w:name="_Toc11631"/>
      <w:r>
        <w:rPr>
          <w:rFonts w:hint="eastAsia" w:asciiTheme="majorEastAsia" w:hAnsiTheme="majorEastAsia" w:eastAsiaTheme="majorEastAsia" w:cstheme="majorEastAsia"/>
          <w:sz w:val="24"/>
          <w:szCs w:val="24"/>
        </w:rPr>
        <w:t>供应商质疑、投诉应当有明确的请求和必要的证明材料。供应商投诉的事项不得超出已质疑事项的范围。</w:t>
      </w:r>
      <w:bookmarkEnd w:id="479"/>
      <w:bookmarkEnd w:id="480"/>
      <w:bookmarkEnd w:id="481"/>
      <w:bookmarkEnd w:id="482"/>
      <w:bookmarkEnd w:id="483"/>
    </w:p>
    <w:p w14:paraId="29D90438">
      <w:pPr>
        <w:numPr>
          <w:ilvl w:val="0"/>
          <w:numId w:val="3"/>
        </w:numPr>
        <w:tabs>
          <w:tab w:val="left" w:pos="360"/>
        </w:tabs>
        <w:wordWrap w:val="0"/>
        <w:topLinePunct/>
        <w:autoSpaceDE w:val="0"/>
        <w:autoSpaceDN w:val="0"/>
        <w:adjustRightInd w:val="0"/>
        <w:snapToGrid w:val="0"/>
        <w:spacing w:line="500" w:lineRule="exact"/>
        <w:contextualSpacing/>
        <w:outlineLvl w:val="1"/>
        <w:rPr>
          <w:rFonts w:asciiTheme="majorEastAsia" w:hAnsiTheme="majorEastAsia" w:eastAsiaTheme="majorEastAsia" w:cstheme="majorEastAsia"/>
          <w:b/>
          <w:bCs/>
          <w:sz w:val="24"/>
          <w:szCs w:val="24"/>
        </w:rPr>
      </w:pPr>
      <w:bookmarkStart w:id="484" w:name="_Toc5729"/>
      <w:bookmarkStart w:id="485" w:name="_Toc23774435"/>
      <w:r>
        <w:rPr>
          <w:rFonts w:hint="eastAsia" w:asciiTheme="majorEastAsia" w:hAnsiTheme="majorEastAsia" w:eastAsiaTheme="majorEastAsia" w:cstheme="majorEastAsia"/>
          <w:b/>
          <w:bCs/>
          <w:sz w:val="24"/>
          <w:szCs w:val="24"/>
        </w:rPr>
        <w:t>需要补充的其他内容</w:t>
      </w:r>
      <w:bookmarkEnd w:id="484"/>
      <w:bookmarkEnd w:id="485"/>
    </w:p>
    <w:p w14:paraId="62D5A01F">
      <w:pPr>
        <w:numPr>
          <w:ilvl w:val="2"/>
          <w:numId w:val="3"/>
        </w:numPr>
        <w:wordWrap w:val="0"/>
        <w:topLinePunct/>
        <w:spacing w:line="500" w:lineRule="exact"/>
        <w:ind w:firstLine="560"/>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需要补充的其他内容：见供应商须知前附表。</w:t>
      </w:r>
      <w:bookmarkStart w:id="486" w:name="_Toc270604619"/>
      <w:bookmarkStart w:id="487" w:name="_Toc270604617"/>
    </w:p>
    <w:p w14:paraId="359C9FFF">
      <w:pPr>
        <w:rPr>
          <w:rFonts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br w:type="page"/>
      </w:r>
    </w:p>
    <w:p w14:paraId="131FC7FB">
      <w:pPr>
        <w:keepNext w:val="0"/>
        <w:keepLines w:val="0"/>
        <w:pageBreakBefore w:val="0"/>
        <w:widowControl w:val="0"/>
        <w:numPr>
          <w:ilvl w:val="0"/>
          <w:numId w:val="0"/>
        </w:numPr>
        <w:kinsoku/>
        <w:wordWrap/>
        <w:overflowPunct/>
        <w:topLinePunct w:val="0"/>
        <w:bidi w:val="0"/>
        <w:adjustRightInd w:val="0"/>
        <w:snapToGrid w:val="0"/>
        <w:spacing w:before="0" w:after="0" w:line="360" w:lineRule="auto"/>
        <w:outlineLvl w:val="9"/>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附件</w:t>
      </w:r>
      <w:r>
        <w:rPr>
          <w:rFonts w:hint="eastAsia" w:ascii="宋体" w:hAnsi="宋体" w:eastAsia="宋体" w:cs="宋体"/>
          <w:color w:val="auto"/>
          <w:sz w:val="28"/>
          <w:szCs w:val="28"/>
          <w:highlight w:val="none"/>
          <w:lang w:val="en-US" w:eastAsia="zh-CN"/>
        </w:rPr>
        <w:t>1</w:t>
      </w:r>
      <w:r>
        <w:rPr>
          <w:rFonts w:hint="eastAsia" w:ascii="宋体" w:hAnsi="宋体" w:eastAsia="宋体" w:cs="宋体"/>
          <w:color w:val="auto"/>
          <w:sz w:val="28"/>
          <w:szCs w:val="28"/>
          <w:highlight w:val="none"/>
        </w:rPr>
        <w:t>：河南省政府采购合同融资政策告知函</w:t>
      </w:r>
    </w:p>
    <w:p w14:paraId="5970F131">
      <w:pPr>
        <w:keepNext w:val="0"/>
        <w:keepLines w:val="0"/>
        <w:pageBreakBefore w:val="0"/>
        <w:widowControl w:val="0"/>
        <w:kinsoku/>
        <w:wordWrap/>
        <w:overflowPunct/>
        <w:topLinePunct w:val="0"/>
        <w:bidi w:val="0"/>
        <w:adjustRightInd w:val="0"/>
        <w:snapToGrid w:val="0"/>
        <w:spacing w:line="360" w:lineRule="auto"/>
        <w:ind w:firstLine="562" w:firstLineChars="200"/>
        <w:jc w:val="center"/>
        <w:rPr>
          <w:rFonts w:hint="eastAsia" w:ascii="宋体" w:hAnsi="宋体" w:eastAsia="宋体" w:cs="宋体"/>
          <w:color w:val="auto"/>
          <w:sz w:val="21"/>
          <w:szCs w:val="21"/>
          <w:highlight w:val="none"/>
        </w:rPr>
      </w:pPr>
      <w:r>
        <w:rPr>
          <w:rFonts w:hint="eastAsia" w:ascii="宋体" w:hAnsi="宋体" w:eastAsia="宋体" w:cs="宋体"/>
          <w:b/>
          <w:bCs/>
          <w:color w:val="auto"/>
          <w:sz w:val="28"/>
          <w:szCs w:val="28"/>
          <w:highlight w:val="none"/>
        </w:rPr>
        <w:t>河南省政府采购合同融资政策告知函</w:t>
      </w:r>
    </w:p>
    <w:p w14:paraId="096999D2">
      <w:pPr>
        <w:keepNext w:val="0"/>
        <w:keepLines w:val="0"/>
        <w:pageBreakBefore w:val="0"/>
        <w:widowControl w:val="0"/>
        <w:kinsoku/>
        <w:wordWrap/>
        <w:overflowPunct/>
        <w:topLinePunct w:val="0"/>
        <w:bidi w:val="0"/>
        <w:adjustRightInd w:val="0"/>
        <w:snapToGrid w:val="0"/>
        <w:spacing w:line="360" w:lineRule="auto"/>
        <w:ind w:firstLine="420" w:firstLineChars="200"/>
        <w:jc w:val="left"/>
        <w:rPr>
          <w:rFonts w:hint="eastAsia" w:ascii="宋体" w:hAnsi="宋体" w:eastAsia="宋体" w:cs="宋体"/>
          <w:color w:val="auto"/>
          <w:sz w:val="21"/>
          <w:szCs w:val="21"/>
          <w:highlight w:val="none"/>
        </w:rPr>
      </w:pPr>
    </w:p>
    <w:p w14:paraId="1C5C6499">
      <w:pPr>
        <w:spacing w:line="440" w:lineRule="exact"/>
        <w:rPr>
          <w:rFonts w:hint="eastAsia" w:ascii="宋体" w:eastAsia="宋体" w:cs="Times New Roman"/>
          <w:bCs/>
          <w:sz w:val="24"/>
          <w:szCs w:val="24"/>
        </w:rPr>
      </w:pPr>
      <w:r>
        <w:rPr>
          <w:rFonts w:hint="eastAsia" w:ascii="宋体" w:eastAsia="宋体" w:cs="Times New Roman"/>
          <w:bCs/>
          <w:sz w:val="24"/>
          <w:szCs w:val="24"/>
        </w:rPr>
        <w:t>各</w:t>
      </w:r>
      <w:r>
        <w:rPr>
          <w:rFonts w:hint="eastAsia" w:ascii="宋体" w:eastAsia="宋体" w:cs="Times New Roman"/>
          <w:bCs/>
          <w:sz w:val="24"/>
          <w:szCs w:val="24"/>
          <w:lang w:val="en-US" w:eastAsia="zh-CN"/>
        </w:rPr>
        <w:t>供应商</w:t>
      </w:r>
      <w:r>
        <w:rPr>
          <w:rFonts w:hint="eastAsia" w:ascii="宋体" w:eastAsia="宋体" w:cs="Times New Roman"/>
          <w:bCs/>
          <w:sz w:val="24"/>
          <w:szCs w:val="24"/>
        </w:rPr>
        <w:t>：</w:t>
      </w:r>
    </w:p>
    <w:p w14:paraId="33DD315E">
      <w:pPr>
        <w:spacing w:line="440" w:lineRule="exact"/>
        <w:ind w:firstLine="465"/>
        <w:rPr>
          <w:rFonts w:hint="eastAsia" w:ascii="宋体" w:eastAsia="宋体" w:cs="Times New Roman"/>
          <w:bCs/>
          <w:sz w:val="24"/>
          <w:szCs w:val="24"/>
        </w:rPr>
      </w:pPr>
      <w:r>
        <w:rPr>
          <w:rFonts w:hint="eastAsia" w:ascii="宋体" w:eastAsia="宋体" w:cs="Times New Roman"/>
          <w:bCs/>
          <w:sz w:val="24"/>
          <w:szCs w:val="24"/>
        </w:rPr>
        <w:t>欢迎贵公司参与河南省政府采购活动！</w:t>
      </w:r>
    </w:p>
    <w:p w14:paraId="24724C95">
      <w:pPr>
        <w:spacing w:line="440" w:lineRule="exact"/>
        <w:ind w:firstLine="465"/>
        <w:rPr>
          <w:rFonts w:hint="eastAsia" w:ascii="宋体" w:eastAsia="宋体" w:cs="Times New Roman"/>
          <w:bCs/>
          <w:sz w:val="24"/>
          <w:szCs w:val="24"/>
        </w:rPr>
      </w:pPr>
      <w:r>
        <w:rPr>
          <w:rFonts w:hint="eastAsia" w:ascii="宋体" w:eastAsia="宋体" w:cs="Times New Roman"/>
          <w:bCs/>
          <w:sz w:val="24"/>
          <w:szCs w:val="24"/>
        </w:rPr>
        <w:t>政府采购合同融资是河南省财政厅支持中小微企业发展，针对参与政府采购活动的</w:t>
      </w:r>
      <w:r>
        <w:rPr>
          <w:rFonts w:hint="eastAsia" w:ascii="宋体" w:eastAsia="宋体" w:cs="Times New Roman"/>
          <w:bCs/>
          <w:sz w:val="24"/>
          <w:szCs w:val="24"/>
          <w:lang w:eastAsia="zh-CN"/>
        </w:rPr>
        <w:t>投标人</w:t>
      </w:r>
      <w:r>
        <w:rPr>
          <w:rFonts w:hint="eastAsia" w:ascii="宋体" w:eastAsia="宋体" w:cs="Times New Roman"/>
          <w:bCs/>
          <w:sz w:val="24"/>
          <w:szCs w:val="24"/>
        </w:rPr>
        <w:t>融资难、融资贵问题推出的一项融资政策。贵公司若成为本次政府采购项目的中标供应商，可持政府采购合同向金融机构申请贷款，无需抵押、担保，融资机构将根据《河南省政府采购合同融资工作实施方案》（豫财购〔2017〕10号），按照双方自愿的原则提供便捷、优惠的贷款服务。</w:t>
      </w:r>
    </w:p>
    <w:p w14:paraId="3FAA5BC0">
      <w:pPr>
        <w:spacing w:line="440" w:lineRule="exact"/>
        <w:ind w:firstLine="465"/>
        <w:rPr>
          <w:rFonts w:hint="eastAsia" w:ascii="宋体" w:eastAsia="宋体" w:cs="Times New Roman"/>
          <w:bCs/>
          <w:sz w:val="24"/>
          <w:szCs w:val="24"/>
        </w:rPr>
      </w:pPr>
      <w:bookmarkStart w:id="488" w:name="_Toc15196"/>
      <w:r>
        <w:rPr>
          <w:rFonts w:hint="eastAsia" w:ascii="宋体" w:eastAsia="宋体" w:cs="Times New Roman"/>
          <w:bCs/>
          <w:sz w:val="24"/>
          <w:szCs w:val="24"/>
        </w:rPr>
        <w:t>贷款渠道和提供贷款的金融机构，可在河南省政府采购网“河南省政府采购合同融资平台”查询联系。</w:t>
      </w:r>
      <w:bookmarkEnd w:id="488"/>
    </w:p>
    <w:p w14:paraId="7BDA0819">
      <w:pPr>
        <w:widowControl w:val="0"/>
        <w:jc w:val="both"/>
        <w:textAlignment w:val="auto"/>
        <w:rPr>
          <w:rFonts w:hint="eastAsia" w:ascii="宋体" w:eastAsia="宋体" w:cs="Times New Roman"/>
          <w:bCs/>
          <w:sz w:val="28"/>
          <w:szCs w:val="28"/>
          <w:lang w:val="en-US" w:eastAsia="zh-CN"/>
        </w:rPr>
      </w:pPr>
      <w:r>
        <w:rPr>
          <w:rFonts w:hint="eastAsia" w:ascii="宋体"/>
          <w:bCs/>
          <w:sz w:val="24"/>
          <w:szCs w:val="24"/>
        </w:rPr>
        <w:br w:type="page"/>
      </w:r>
      <w:r>
        <w:rPr>
          <w:rFonts w:hint="eastAsia" w:ascii="宋体" w:eastAsia="宋体" w:cs="Times New Roman"/>
          <w:bCs/>
          <w:sz w:val="28"/>
          <w:szCs w:val="28"/>
        </w:rPr>
        <w:t>附件</w:t>
      </w:r>
      <w:r>
        <w:rPr>
          <w:rFonts w:hint="eastAsia" w:ascii="宋体" w:eastAsia="宋体" w:cs="Times New Roman"/>
          <w:bCs/>
          <w:sz w:val="28"/>
          <w:szCs w:val="28"/>
          <w:lang w:val="en-US" w:eastAsia="zh-CN"/>
        </w:rPr>
        <w:t>2</w:t>
      </w:r>
    </w:p>
    <w:p w14:paraId="4F7FEAD9">
      <w:pPr>
        <w:spacing w:line="440" w:lineRule="exact"/>
        <w:ind w:firstLine="465"/>
        <w:jc w:val="center"/>
        <w:rPr>
          <w:rFonts w:hint="eastAsia" w:ascii="宋体" w:eastAsia="宋体" w:cs="Times New Roman"/>
          <w:b/>
          <w:bCs w:val="0"/>
          <w:sz w:val="28"/>
          <w:szCs w:val="28"/>
          <w:lang w:val="en-US" w:eastAsia="zh-CN"/>
        </w:rPr>
      </w:pPr>
      <w:r>
        <w:rPr>
          <w:rFonts w:hint="eastAsia" w:ascii="宋体" w:eastAsia="宋体" w:cs="Times New Roman"/>
          <w:b/>
          <w:bCs w:val="0"/>
          <w:sz w:val="28"/>
          <w:szCs w:val="28"/>
          <w:lang w:val="en-US" w:eastAsia="zh-CN"/>
        </w:rPr>
        <w:t>卢氏县政府采购合同融资政策告知书</w:t>
      </w:r>
    </w:p>
    <w:p w14:paraId="0BAA610C">
      <w:pPr>
        <w:spacing w:line="440" w:lineRule="exact"/>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各供应商：</w:t>
      </w:r>
    </w:p>
    <w:p w14:paraId="6C89B21D">
      <w:pPr>
        <w:spacing w:line="440" w:lineRule="exact"/>
        <w:ind w:firstLine="465"/>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欢迎贵公司参与卢氏县政府采购活动！</w:t>
      </w:r>
    </w:p>
    <w:p w14:paraId="281A6ED0">
      <w:pPr>
        <w:spacing w:line="440" w:lineRule="exact"/>
        <w:ind w:firstLine="465"/>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近年来，卢氏县积极发挥政府采购政策功能，加大对中小企业支持力度，创新运用“政采贷”信贷产品，畅通中小企业融资“绿色通道”，为企业发展提质增效注入金融活水。</w:t>
      </w:r>
    </w:p>
    <w:p w14:paraId="13A726C9">
      <w:pPr>
        <w:spacing w:line="440" w:lineRule="exact"/>
        <w:ind w:firstLine="465"/>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为更好满足中小微供应商短、频、急的资金需求，帮助中小微企业解决融资难题，提升金融服务实体经济能力，服务市场主体推动经济稳健发展，我县各金融机构着力优化产品服务、无需抵押担保、简化审贷程序、缩短审贷周期，为供应商合同融资贷款提供便利条件，现编制《卢氏县政府采购合同融资政策告知书》，方便中小企业供应商朋友们进一步了解政府采购融资政策和获取贷款的流程。</w:t>
      </w:r>
    </w:p>
    <w:p w14:paraId="63926C4D">
      <w:pPr>
        <w:spacing w:line="440" w:lineRule="exact"/>
        <w:ind w:firstLine="465"/>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特别提醒：该告知书仅统计了我县部分可以提供线上融资的金融机构，凡参与我县政府采购项目，有融资需求的本地或外地中标（成交）供应商，均可通过“河南省政府采购网”进入“河南省政府采购合同融资平台”，申请融资服务，凡在政府采购合同融资平台登记的金融机构均可开展融资贷款业务。对“政采贷”工作开展过程中发现的新问题、新情况或者建议意见，及时向我县财政部门反馈。</w:t>
      </w:r>
    </w:p>
    <w:p w14:paraId="35725E6C">
      <w:pPr>
        <w:widowControl w:val="0"/>
        <w:ind w:firstLine="720" w:firstLineChars="300"/>
        <w:jc w:val="both"/>
        <w:textAlignment w:val="auto"/>
        <w:rPr>
          <w:rFonts w:hint="eastAsia" w:ascii="宋体" w:eastAsia="宋体" w:cs="Times New Roman"/>
          <w:bCs/>
          <w:sz w:val="24"/>
          <w:szCs w:val="24"/>
          <w:lang w:val="en-US" w:eastAsia="zh-CN"/>
        </w:rPr>
      </w:pPr>
      <w:r>
        <w:rPr>
          <w:rFonts w:hint="eastAsia" w:ascii="宋体" w:eastAsia="宋体" w:cs="Times New Roman"/>
          <w:bCs/>
          <w:sz w:val="24"/>
          <w:szCs w:val="24"/>
          <w:lang w:val="en-US" w:eastAsia="zh-CN"/>
        </w:rPr>
        <w:t>联系电话：0398-7863556</w:t>
      </w:r>
    </w:p>
    <w:p w14:paraId="161DB4AE">
      <w:pPr>
        <w:widowControl w:val="0"/>
        <w:jc w:val="both"/>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承接银行联系方式</w:t>
      </w:r>
    </w:p>
    <w:tbl>
      <w:tblPr>
        <w:tblStyle w:val="17"/>
        <w:tblW w:w="0" w:type="auto"/>
        <w:tblInd w:w="-3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5"/>
        <w:gridCol w:w="1818"/>
        <w:gridCol w:w="2451"/>
      </w:tblGrid>
      <w:tr w14:paraId="0F73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39970808">
            <w:pPr>
              <w:widowControl w:val="0"/>
              <w:jc w:val="center"/>
              <w:textAlignment w:val="auto"/>
              <w:rPr>
                <w:rFonts w:hint="eastAsia" w:ascii="宋体" w:hAnsi="宋体" w:eastAsia="宋体" w:cs="宋体"/>
                <w:color w:val="auto"/>
                <w:kern w:val="0"/>
                <w:sz w:val="24"/>
                <w:szCs w:val="24"/>
                <w:highlight w:val="none"/>
                <w:shd w:val="clear" w:color="auto" w:fill="F9F9F9"/>
                <w:vertAlign w:val="baseline"/>
                <w:lang w:val="en-US" w:eastAsia="zh-CN"/>
              </w:rPr>
            </w:pPr>
            <w:r>
              <w:rPr>
                <w:rFonts w:hint="eastAsia" w:ascii="宋体" w:hAnsi="宋体" w:eastAsia="宋体" w:cs="宋体"/>
                <w:color w:val="auto"/>
                <w:kern w:val="0"/>
                <w:sz w:val="24"/>
                <w:szCs w:val="24"/>
                <w:highlight w:val="none"/>
                <w:shd w:val="clear" w:color="auto" w:fill="F9F9F9"/>
                <w:vertAlign w:val="baseline"/>
                <w:lang w:val="en-US" w:eastAsia="zh-CN"/>
              </w:rPr>
              <w:t>单位名称</w:t>
            </w:r>
          </w:p>
        </w:tc>
        <w:tc>
          <w:tcPr>
            <w:tcW w:w="1818" w:type="dxa"/>
            <w:noWrap w:val="0"/>
            <w:vAlign w:val="top"/>
          </w:tcPr>
          <w:p w14:paraId="7A822FFD">
            <w:pPr>
              <w:widowControl w:val="0"/>
              <w:jc w:val="center"/>
              <w:textAlignment w:val="auto"/>
              <w:rPr>
                <w:rFonts w:hint="eastAsia" w:ascii="宋体" w:hAnsi="宋体" w:eastAsia="宋体" w:cs="宋体"/>
                <w:color w:val="auto"/>
                <w:kern w:val="0"/>
                <w:sz w:val="24"/>
                <w:szCs w:val="24"/>
                <w:highlight w:val="none"/>
                <w:shd w:val="clear" w:color="auto" w:fill="F9F9F9"/>
                <w:vertAlign w:val="baseline"/>
                <w:lang w:val="en-US" w:eastAsia="zh-CN"/>
              </w:rPr>
            </w:pPr>
            <w:r>
              <w:rPr>
                <w:rFonts w:hint="eastAsia" w:ascii="宋体" w:hAnsi="宋体" w:eastAsia="宋体" w:cs="宋体"/>
                <w:color w:val="auto"/>
                <w:kern w:val="0"/>
                <w:sz w:val="24"/>
                <w:szCs w:val="24"/>
                <w:highlight w:val="none"/>
                <w:shd w:val="clear" w:color="auto" w:fill="F9F9F9"/>
                <w:vertAlign w:val="baseline"/>
                <w:lang w:val="en-US" w:eastAsia="zh-CN"/>
              </w:rPr>
              <w:t>联系人</w:t>
            </w:r>
          </w:p>
        </w:tc>
        <w:tc>
          <w:tcPr>
            <w:tcW w:w="2451" w:type="dxa"/>
            <w:noWrap w:val="0"/>
            <w:vAlign w:val="top"/>
          </w:tcPr>
          <w:p w14:paraId="783E8215">
            <w:pPr>
              <w:widowControl w:val="0"/>
              <w:jc w:val="center"/>
              <w:textAlignment w:val="auto"/>
              <w:rPr>
                <w:rFonts w:hint="eastAsia" w:ascii="宋体" w:hAnsi="宋体" w:eastAsia="宋体" w:cs="宋体"/>
                <w:color w:val="auto"/>
                <w:kern w:val="0"/>
                <w:sz w:val="24"/>
                <w:szCs w:val="24"/>
                <w:highlight w:val="none"/>
                <w:shd w:val="clear" w:color="auto" w:fill="F9F9F9"/>
                <w:vertAlign w:val="baseline"/>
                <w:lang w:val="en-US" w:eastAsia="zh-CN"/>
              </w:rPr>
            </w:pPr>
            <w:r>
              <w:rPr>
                <w:rFonts w:hint="eastAsia" w:ascii="宋体" w:hAnsi="宋体" w:eastAsia="宋体" w:cs="宋体"/>
                <w:color w:val="auto"/>
                <w:kern w:val="0"/>
                <w:sz w:val="24"/>
                <w:szCs w:val="24"/>
                <w:highlight w:val="none"/>
                <w:shd w:val="clear" w:color="auto" w:fill="F9F9F9"/>
                <w:vertAlign w:val="baseline"/>
                <w:lang w:val="en-US" w:eastAsia="zh-CN"/>
              </w:rPr>
              <w:t>联系方式</w:t>
            </w:r>
          </w:p>
        </w:tc>
      </w:tr>
      <w:tr w14:paraId="50CA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049E7536">
            <w:pPr>
              <w:widowControl w:val="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中国建设银行股份有限公司卢氏支行</w:t>
            </w:r>
          </w:p>
        </w:tc>
        <w:tc>
          <w:tcPr>
            <w:tcW w:w="1818" w:type="dxa"/>
            <w:noWrap w:val="0"/>
            <w:vAlign w:val="top"/>
          </w:tcPr>
          <w:p w14:paraId="2AE20939">
            <w:pPr>
              <w:widowControl w:val="0"/>
              <w:ind w:firstLine="480" w:firstLineChars="20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张江涛</w:t>
            </w:r>
          </w:p>
        </w:tc>
        <w:tc>
          <w:tcPr>
            <w:tcW w:w="2451" w:type="dxa"/>
            <w:noWrap w:val="0"/>
            <w:vAlign w:val="top"/>
          </w:tcPr>
          <w:p w14:paraId="24392752">
            <w:pPr>
              <w:widowControl w:val="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18739850204</w:t>
            </w:r>
          </w:p>
        </w:tc>
      </w:tr>
      <w:tr w14:paraId="22453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5CB8325C">
            <w:pPr>
              <w:widowControl w:val="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中国农业银行股份有限公司卢氏县支行</w:t>
            </w:r>
          </w:p>
        </w:tc>
        <w:tc>
          <w:tcPr>
            <w:tcW w:w="1818" w:type="dxa"/>
            <w:noWrap w:val="0"/>
            <w:vAlign w:val="top"/>
          </w:tcPr>
          <w:p w14:paraId="377FC368">
            <w:pPr>
              <w:widowControl w:val="0"/>
              <w:ind w:firstLine="480" w:firstLineChars="20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代仁旺</w:t>
            </w:r>
          </w:p>
        </w:tc>
        <w:tc>
          <w:tcPr>
            <w:tcW w:w="2451" w:type="dxa"/>
            <w:noWrap w:val="0"/>
            <w:vAlign w:val="top"/>
          </w:tcPr>
          <w:p w14:paraId="19C87E74">
            <w:pPr>
              <w:widowControl w:val="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18939062604</w:t>
            </w:r>
          </w:p>
        </w:tc>
      </w:tr>
      <w:tr w14:paraId="6F269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5" w:type="dxa"/>
            <w:noWrap w:val="0"/>
            <w:vAlign w:val="top"/>
          </w:tcPr>
          <w:p w14:paraId="10C2EFF5">
            <w:pPr>
              <w:widowControl w:val="0"/>
              <w:ind w:firstLine="480" w:firstLineChars="20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中原银行股份有限公司卢氏支行</w:t>
            </w:r>
          </w:p>
        </w:tc>
        <w:tc>
          <w:tcPr>
            <w:tcW w:w="1818" w:type="dxa"/>
            <w:noWrap w:val="0"/>
            <w:vAlign w:val="top"/>
          </w:tcPr>
          <w:p w14:paraId="0399A924">
            <w:pPr>
              <w:widowControl w:val="0"/>
              <w:ind w:firstLine="480" w:firstLineChars="20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李博</w:t>
            </w:r>
          </w:p>
        </w:tc>
        <w:tc>
          <w:tcPr>
            <w:tcW w:w="2451" w:type="dxa"/>
            <w:noWrap w:val="0"/>
            <w:vAlign w:val="top"/>
          </w:tcPr>
          <w:p w14:paraId="09454E6F">
            <w:pPr>
              <w:widowControl w:val="0"/>
              <w:jc w:val="center"/>
              <w:textAlignment w:val="auto"/>
              <w:rPr>
                <w:rFonts w:hint="eastAsia" w:ascii="宋体" w:hAnsi="宋体" w:eastAsia="宋体" w:cs="宋体"/>
                <w:color w:val="auto"/>
                <w:kern w:val="0"/>
                <w:sz w:val="24"/>
                <w:szCs w:val="24"/>
                <w:highlight w:val="none"/>
                <w:shd w:val="clear" w:color="auto" w:fill="F9F9F9"/>
                <w:lang w:val="en-US" w:eastAsia="zh-CN"/>
              </w:rPr>
            </w:pPr>
            <w:r>
              <w:rPr>
                <w:rFonts w:hint="eastAsia" w:ascii="宋体" w:hAnsi="宋体" w:eastAsia="宋体" w:cs="宋体"/>
                <w:color w:val="auto"/>
                <w:kern w:val="0"/>
                <w:sz w:val="24"/>
                <w:szCs w:val="24"/>
                <w:highlight w:val="none"/>
                <w:shd w:val="clear" w:color="auto" w:fill="F9F9F9"/>
                <w:lang w:val="en-US" w:eastAsia="zh-CN"/>
              </w:rPr>
              <w:t>15839857887</w:t>
            </w:r>
          </w:p>
        </w:tc>
      </w:tr>
    </w:tbl>
    <w:p w14:paraId="30657447">
      <w:pPr>
        <w:widowControl w:val="0"/>
        <w:ind w:firstLine="480" w:firstLineChars="200"/>
        <w:jc w:val="center"/>
        <w:textAlignment w:val="auto"/>
        <w:rPr>
          <w:rFonts w:ascii="方正小标宋简体" w:hAnsi="方正小标宋简体" w:eastAsia="方正小标宋简体" w:cs="方正小标宋简体"/>
          <w:color w:val="auto"/>
          <w:kern w:val="0"/>
          <w:sz w:val="24"/>
          <w:szCs w:val="24"/>
          <w:highlight w:val="none"/>
          <w:shd w:val="clear" w:color="auto" w:fill="F9F9F9"/>
        </w:rPr>
      </w:pPr>
    </w:p>
    <w:p w14:paraId="1B3A7FE9">
      <w:pPr>
        <w:widowControl w:val="0"/>
        <w:ind w:firstLine="560" w:firstLineChars="200"/>
        <w:jc w:val="center"/>
        <w:textAlignment w:val="auto"/>
        <w:rPr>
          <w:rFonts w:ascii="方正小标宋简体" w:hAnsi="方正小标宋简体" w:eastAsia="方正小标宋简体" w:cs="方正小标宋简体"/>
          <w:color w:val="auto"/>
          <w:kern w:val="0"/>
          <w:sz w:val="28"/>
          <w:szCs w:val="28"/>
          <w:highlight w:val="none"/>
          <w:shd w:val="clear" w:color="auto" w:fill="F9F9F9"/>
        </w:rPr>
      </w:pPr>
    </w:p>
    <w:p w14:paraId="1E271FC4">
      <w:pPr>
        <w:widowControl w:val="0"/>
        <w:jc w:val="both"/>
        <w:textAlignment w:val="auto"/>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pPr>
    </w:p>
    <w:p w14:paraId="1FEE074C">
      <w:pPr>
        <w:widowControl w:val="0"/>
        <w:jc w:val="both"/>
        <w:textAlignment w:val="auto"/>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pPr>
    </w:p>
    <w:p w14:paraId="4C712A26">
      <w:pPr>
        <w:widowControl w:val="0"/>
        <w:jc w:val="both"/>
        <w:textAlignment w:val="auto"/>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pPr>
    </w:p>
    <w:p w14:paraId="63D4F730">
      <w:pPr>
        <w:widowControl w:val="0"/>
        <w:jc w:val="both"/>
        <w:textAlignment w:val="auto"/>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pPr>
    </w:p>
    <w:p w14:paraId="4995001B">
      <w:pPr>
        <w:widowControl w:val="0"/>
        <w:jc w:val="both"/>
        <w:textAlignment w:val="auto"/>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pPr>
    </w:p>
    <w:p w14:paraId="6A37615F">
      <w:pPr>
        <w:widowControl w:val="0"/>
        <w:jc w:val="both"/>
        <w:textAlignment w:val="auto"/>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pPr>
      <w:r>
        <w:rPr>
          <w:rFonts w:hint="eastAsia" w:ascii="方正小标宋简体" w:hAnsi="方正小标宋简体" w:eastAsia="方正小标宋简体" w:cs="方正小标宋简体"/>
          <w:color w:val="auto"/>
          <w:kern w:val="0"/>
          <w:sz w:val="28"/>
          <w:szCs w:val="28"/>
          <w:highlight w:val="none"/>
          <w:shd w:val="clear" w:color="auto" w:fill="F9F9F9"/>
          <w:lang w:val="en-US" w:eastAsia="zh-CN"/>
        </w:rPr>
        <w:t xml:space="preserve">附件3              </w:t>
      </w:r>
    </w:p>
    <w:p w14:paraId="0E34B55B">
      <w:pPr>
        <w:widowControl w:val="0"/>
        <w:ind w:firstLine="3080" w:firstLineChars="1100"/>
        <w:jc w:val="both"/>
        <w:textAlignment w:val="auto"/>
        <w:rPr>
          <w:rFonts w:cs="Times New Roman"/>
          <w:color w:val="auto"/>
          <w:sz w:val="21"/>
          <w:szCs w:val="21"/>
          <w:highlight w:val="none"/>
        </w:rPr>
      </w:pPr>
      <w:r>
        <w:rPr>
          <w:rFonts w:ascii="方正小标宋简体" w:hAnsi="方正小标宋简体" w:eastAsia="方正小标宋简体" w:cs="方正小标宋简体"/>
          <w:color w:val="auto"/>
          <w:kern w:val="0"/>
          <w:sz w:val="28"/>
          <w:szCs w:val="28"/>
          <w:highlight w:val="none"/>
          <w:shd w:val="clear" w:color="auto" w:fill="F9F9F9"/>
        </w:rPr>
        <w:t>中小企业划型标准规定</w:t>
      </w:r>
    </w:p>
    <w:tbl>
      <w:tblPr>
        <w:tblStyle w:val="16"/>
        <w:tblW w:w="9353" w:type="dxa"/>
        <w:jc w:val="center"/>
        <w:shd w:val="clear" w:color="auto" w:fill="FFFFFF"/>
        <w:tblLayout w:type="autofit"/>
        <w:tblCellMar>
          <w:top w:w="0" w:type="dxa"/>
          <w:left w:w="0" w:type="dxa"/>
          <w:bottom w:w="0" w:type="dxa"/>
          <w:right w:w="0" w:type="dxa"/>
        </w:tblCellMar>
      </w:tblPr>
      <w:tblGrid>
        <w:gridCol w:w="1144"/>
        <w:gridCol w:w="1492"/>
        <w:gridCol w:w="728"/>
        <w:gridCol w:w="1245"/>
        <w:gridCol w:w="1965"/>
        <w:gridCol w:w="1756"/>
        <w:gridCol w:w="1023"/>
      </w:tblGrid>
      <w:tr w14:paraId="67BD4E54">
        <w:tblPrEx>
          <w:shd w:val="clear" w:color="auto" w:fill="FFFFFF"/>
          <w:tblCellMar>
            <w:top w:w="0" w:type="dxa"/>
            <w:left w:w="0" w:type="dxa"/>
            <w:bottom w:w="0" w:type="dxa"/>
            <w:right w:w="0" w:type="dxa"/>
          </w:tblCellMar>
        </w:tblPrEx>
        <w:trPr>
          <w:trHeight w:val="653" w:hRule="atLeast"/>
          <w:jc w:val="center"/>
        </w:trPr>
        <w:tc>
          <w:tcPr>
            <w:tcW w:w="1144" w:type="dxa"/>
            <w:tcBorders>
              <w:top w:val="single" w:color="4F81BD" w:sz="6" w:space="0"/>
              <w:left w:val="single" w:color="4F81BD" w:sz="6" w:space="0"/>
              <w:bottom w:val="single" w:color="FFFFFF" w:sz="18" w:space="0"/>
              <w:right w:val="single" w:color="4F81BD" w:sz="6" w:space="0"/>
            </w:tcBorders>
            <w:shd w:val="clear" w:color="auto" w:fill="4F81BD"/>
            <w:noWrap w:val="0"/>
            <w:tcMar>
              <w:left w:w="105" w:type="dxa"/>
              <w:right w:w="105" w:type="dxa"/>
            </w:tcMar>
            <w:vAlign w:val="center"/>
          </w:tcPr>
          <w:p w14:paraId="01589991">
            <w:pPr>
              <w:pStyle w:val="15"/>
              <w:wordWrap w:val="0"/>
              <w:spacing w:line="240" w:lineRule="auto"/>
              <w:jc w:val="center"/>
              <w:rPr>
                <w:rFonts w:ascii="宋体" w:hAnsi="宋体" w:cs="宋体"/>
                <w:color w:val="auto"/>
                <w:sz w:val="21"/>
                <w:szCs w:val="21"/>
                <w:highlight w:val="none"/>
              </w:rPr>
            </w:pPr>
            <w:r>
              <w:rPr>
                <w:rStyle w:val="19"/>
                <w:rFonts w:hint="eastAsia" w:ascii="宋体" w:hAnsi="宋体" w:cs="宋体"/>
                <w:color w:val="auto"/>
                <w:spacing w:val="8"/>
                <w:sz w:val="21"/>
                <w:szCs w:val="21"/>
                <w:highlight w:val="none"/>
              </w:rPr>
              <w:t>行业名称</w:t>
            </w:r>
          </w:p>
        </w:tc>
        <w:tc>
          <w:tcPr>
            <w:tcW w:w="1492"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1213ECA8">
            <w:pPr>
              <w:pStyle w:val="15"/>
              <w:wordWrap w:val="0"/>
              <w:spacing w:line="240" w:lineRule="auto"/>
              <w:jc w:val="center"/>
              <w:rPr>
                <w:rFonts w:ascii="宋体" w:hAnsi="宋体" w:cs="宋体"/>
                <w:color w:val="auto"/>
                <w:sz w:val="21"/>
                <w:szCs w:val="21"/>
                <w:highlight w:val="none"/>
              </w:rPr>
            </w:pPr>
            <w:r>
              <w:rPr>
                <w:rStyle w:val="19"/>
                <w:rFonts w:hint="eastAsia" w:ascii="宋体" w:hAnsi="宋体" w:cs="宋体"/>
                <w:color w:val="auto"/>
                <w:spacing w:val="8"/>
                <w:sz w:val="21"/>
                <w:szCs w:val="21"/>
                <w:highlight w:val="none"/>
              </w:rPr>
              <w:t>指标名称</w:t>
            </w:r>
          </w:p>
        </w:tc>
        <w:tc>
          <w:tcPr>
            <w:tcW w:w="728"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351F3613">
            <w:pPr>
              <w:pStyle w:val="15"/>
              <w:wordWrap w:val="0"/>
              <w:spacing w:line="240" w:lineRule="auto"/>
              <w:jc w:val="center"/>
              <w:rPr>
                <w:rFonts w:ascii="宋体" w:hAnsi="宋体" w:cs="宋体"/>
                <w:color w:val="auto"/>
                <w:sz w:val="21"/>
                <w:szCs w:val="21"/>
                <w:highlight w:val="none"/>
              </w:rPr>
            </w:pPr>
            <w:r>
              <w:rPr>
                <w:rStyle w:val="19"/>
                <w:rFonts w:hint="eastAsia" w:ascii="宋体" w:hAnsi="宋体" w:cs="宋体"/>
                <w:color w:val="auto"/>
                <w:spacing w:val="8"/>
                <w:sz w:val="21"/>
                <w:szCs w:val="21"/>
                <w:highlight w:val="none"/>
              </w:rPr>
              <w:t>计量单位</w:t>
            </w:r>
          </w:p>
        </w:tc>
        <w:tc>
          <w:tcPr>
            <w:tcW w:w="124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3AA145E4">
            <w:pPr>
              <w:pStyle w:val="15"/>
              <w:wordWrap w:val="0"/>
              <w:spacing w:line="240" w:lineRule="auto"/>
              <w:jc w:val="center"/>
              <w:rPr>
                <w:rFonts w:ascii="宋体" w:hAnsi="宋体" w:cs="宋体"/>
                <w:color w:val="auto"/>
                <w:sz w:val="21"/>
                <w:szCs w:val="21"/>
                <w:highlight w:val="none"/>
              </w:rPr>
            </w:pPr>
            <w:r>
              <w:rPr>
                <w:rStyle w:val="19"/>
                <w:rFonts w:hint="eastAsia" w:ascii="宋体" w:hAnsi="宋体" w:cs="宋体"/>
                <w:color w:val="auto"/>
                <w:spacing w:val="8"/>
                <w:sz w:val="21"/>
                <w:szCs w:val="21"/>
                <w:highlight w:val="none"/>
              </w:rPr>
              <w:t>大型</w:t>
            </w:r>
          </w:p>
        </w:tc>
        <w:tc>
          <w:tcPr>
            <w:tcW w:w="1965"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773BFB5C">
            <w:pPr>
              <w:pStyle w:val="15"/>
              <w:wordWrap w:val="0"/>
              <w:spacing w:line="240" w:lineRule="auto"/>
              <w:jc w:val="center"/>
              <w:rPr>
                <w:rFonts w:ascii="宋体" w:hAnsi="宋体" w:cs="宋体"/>
                <w:color w:val="auto"/>
                <w:sz w:val="21"/>
                <w:szCs w:val="21"/>
                <w:highlight w:val="none"/>
              </w:rPr>
            </w:pPr>
            <w:r>
              <w:rPr>
                <w:rStyle w:val="19"/>
                <w:rFonts w:hint="eastAsia" w:ascii="宋体" w:hAnsi="宋体" w:cs="宋体"/>
                <w:color w:val="auto"/>
                <w:spacing w:val="8"/>
                <w:sz w:val="21"/>
                <w:szCs w:val="21"/>
                <w:highlight w:val="none"/>
              </w:rPr>
              <w:t>中型</w:t>
            </w:r>
          </w:p>
        </w:tc>
        <w:tc>
          <w:tcPr>
            <w:tcW w:w="1756"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073A657E">
            <w:pPr>
              <w:pStyle w:val="15"/>
              <w:wordWrap w:val="0"/>
              <w:spacing w:line="240" w:lineRule="auto"/>
              <w:jc w:val="center"/>
              <w:rPr>
                <w:rFonts w:ascii="宋体" w:hAnsi="宋体" w:cs="宋体"/>
                <w:color w:val="auto"/>
                <w:sz w:val="21"/>
                <w:szCs w:val="21"/>
                <w:highlight w:val="none"/>
              </w:rPr>
            </w:pPr>
            <w:r>
              <w:rPr>
                <w:rStyle w:val="19"/>
                <w:rFonts w:hint="eastAsia" w:ascii="宋体" w:hAnsi="宋体" w:cs="宋体"/>
                <w:color w:val="auto"/>
                <w:spacing w:val="8"/>
                <w:sz w:val="21"/>
                <w:szCs w:val="21"/>
                <w:highlight w:val="none"/>
              </w:rPr>
              <w:t>小型</w:t>
            </w:r>
          </w:p>
        </w:tc>
        <w:tc>
          <w:tcPr>
            <w:tcW w:w="1023" w:type="dxa"/>
            <w:tcBorders>
              <w:top w:val="single" w:color="4F81BD" w:sz="6" w:space="0"/>
              <w:left w:val="nil"/>
              <w:bottom w:val="single" w:color="FFFFFF" w:sz="18" w:space="0"/>
              <w:right w:val="single" w:color="4F81BD" w:sz="6" w:space="0"/>
            </w:tcBorders>
            <w:shd w:val="clear" w:color="auto" w:fill="4F81BD"/>
            <w:noWrap w:val="0"/>
            <w:tcMar>
              <w:left w:w="105" w:type="dxa"/>
              <w:right w:w="105" w:type="dxa"/>
            </w:tcMar>
            <w:vAlign w:val="center"/>
          </w:tcPr>
          <w:p w14:paraId="39FFF19F">
            <w:pPr>
              <w:pStyle w:val="15"/>
              <w:wordWrap w:val="0"/>
              <w:spacing w:line="240" w:lineRule="auto"/>
              <w:jc w:val="center"/>
              <w:rPr>
                <w:rFonts w:ascii="宋体" w:hAnsi="宋体" w:cs="宋体"/>
                <w:color w:val="auto"/>
                <w:sz w:val="21"/>
                <w:szCs w:val="21"/>
                <w:highlight w:val="none"/>
              </w:rPr>
            </w:pPr>
            <w:r>
              <w:rPr>
                <w:rStyle w:val="19"/>
                <w:rFonts w:hint="eastAsia" w:ascii="宋体" w:hAnsi="宋体" w:cs="宋体"/>
                <w:color w:val="auto"/>
                <w:spacing w:val="8"/>
                <w:sz w:val="21"/>
                <w:szCs w:val="21"/>
                <w:highlight w:val="none"/>
              </w:rPr>
              <w:t>微型</w:t>
            </w:r>
          </w:p>
        </w:tc>
      </w:tr>
      <w:tr w14:paraId="33A32ADD">
        <w:tblPrEx>
          <w:tblCellMar>
            <w:top w:w="0" w:type="dxa"/>
            <w:left w:w="0" w:type="dxa"/>
            <w:bottom w:w="0" w:type="dxa"/>
            <w:right w:w="0" w:type="dxa"/>
          </w:tblCellMar>
        </w:tblPrEx>
        <w:trPr>
          <w:trHeight w:val="682" w:hRule="atLeast"/>
          <w:jc w:val="center"/>
        </w:trPr>
        <w:tc>
          <w:tcPr>
            <w:tcW w:w="1144" w:type="dxa"/>
            <w:tcBorders>
              <w:top w:val="nil"/>
              <w:left w:val="single" w:color="4F81BD" w:sz="6" w:space="0"/>
              <w:bottom w:val="single" w:color="4F81BD" w:sz="6" w:space="0"/>
              <w:right w:val="single" w:color="4F81BD" w:sz="6" w:space="0"/>
            </w:tcBorders>
            <w:shd w:val="clear" w:color="auto" w:fill="B8CCE4"/>
            <w:noWrap w:val="0"/>
            <w:tcMar>
              <w:left w:w="105" w:type="dxa"/>
              <w:right w:w="105" w:type="dxa"/>
            </w:tcMar>
            <w:vAlign w:val="center"/>
          </w:tcPr>
          <w:p w14:paraId="1F0DD247">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农、林、牧、渔业</w:t>
            </w: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5A4A9E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75744C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5A3F2F0">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D53EA74">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6DFCA41">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FAE4EE8">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14:paraId="56ED64E0">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B09F8BB">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工业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3623FA9">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65C52E4">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A66F51C">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E55478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E112159">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9F0A994">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23204993">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F465929">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D9BB783">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1979D68">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C853D13">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996171E">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DCE469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105EF5E">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14:paraId="250E7632">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5FC3637">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建筑业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0CC4063">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2EFCEF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94F2301">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Y≥80000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6F99D81">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6000≤Y＜80000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43EB941">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300≤Y＜6000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A6A0B76">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w:t>
            </w:r>
          </w:p>
        </w:tc>
      </w:tr>
      <w:tr w14:paraId="0593CA90">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8A98A0A">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81C6663">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E49D51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D60ADE5">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Z≥80000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A283AD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5000≤Z＜80000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EC35098">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E41BEB5">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Z＜300</w:t>
            </w:r>
          </w:p>
        </w:tc>
      </w:tr>
      <w:tr w14:paraId="03A66235">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D844468">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批发业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16347A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EF915D8">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7E038AA">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AC5AC02">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0F02BC5">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5≤X＜20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1E3BEAB">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X＜5</w:t>
            </w:r>
          </w:p>
        </w:tc>
      </w:tr>
      <w:tr w14:paraId="2FEDE6F5">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46809CE">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2959F5C">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6CA539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742661C">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Y≥40000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42A2267">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5000≤Y＜40000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F2AD661">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860ABD3">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w:t>
            </w:r>
          </w:p>
        </w:tc>
      </w:tr>
      <w:tr w14:paraId="1D7C18DC">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2270D8C1">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零售业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4E69A98">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BB145B9">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A150358">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87FB442">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48F1AD5">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10≤X＜50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D665250">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63480615">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9094CED">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50FA4EC">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DEC35A6">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D31722B">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FE9304C">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D9E5DB6">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100≤Y＜500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DDADBF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63E85248">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2A7BA71">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交通运输业 *</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AE1886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B9E864C">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39142C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81972E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4135B89">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BA9A367">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19A2D1B0">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15C9DE3">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4BCC051">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680A551">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BA24DF2">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880DBC6">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620F8D5">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200≤Y＜3000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9733356">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w:t>
            </w:r>
          </w:p>
        </w:tc>
      </w:tr>
      <w:tr w14:paraId="2D2741B6">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6C220471">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仓储业*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501B670">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90C2680">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3322FB0">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8276C37">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009B028">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8054314">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0B72E1DF">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B1B8860">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290055D">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0AB2767">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1368DDCC">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938121A">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780AC1E">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53CB789">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1FCD2159">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DD0B0E7">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邮政业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DD9FB7E">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AEB9AF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C0478AE">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B705466">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A71E956">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06CDBE1">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w:t>
            </w:r>
          </w:p>
        </w:tc>
      </w:tr>
      <w:tr w14:paraId="42A1B98B">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1EE4807C">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EEC9188">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DC46360">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94B48C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Y≥30000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0F74381">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2000≤Y＜30000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72D8BB6">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2F2FE46">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1B6364F5">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4E65473B">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住宿业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B2E66A4">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5554678">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8CC53D4">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5C9E802">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5463CE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63C38E8">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55E1B60D">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730B1AC0">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2A096A7">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BCC9B9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9AD4D8B">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C63BE2C">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25A00D8">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1C8B2F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16F6DC4A">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050331E">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餐饮业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5396906">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1B2FB8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0D7B91F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8AE6CD9">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AAF86FA">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5902796">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7AFD7D10">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auto" w:sz="4" w:space="0"/>
              <w:right w:val="single" w:color="4F81BD" w:sz="6" w:space="0"/>
            </w:tcBorders>
            <w:shd w:val="clear" w:color="auto" w:fill="FFFFFF"/>
            <w:noWrap w:val="0"/>
            <w:tcMar>
              <w:left w:w="105" w:type="dxa"/>
              <w:right w:w="105" w:type="dxa"/>
            </w:tcMar>
            <w:vAlign w:val="center"/>
          </w:tcPr>
          <w:p w14:paraId="232EEE3E">
            <w:pPr>
              <w:jc w:val="center"/>
              <w:rPr>
                <w:rFonts w:ascii="宋体" w:hAnsi="宋体" w:cs="宋体"/>
                <w:color w:val="auto"/>
                <w:spacing w:val="8"/>
                <w:sz w:val="21"/>
                <w:szCs w:val="21"/>
                <w:highlight w:val="none"/>
              </w:rPr>
            </w:pPr>
          </w:p>
        </w:tc>
        <w:tc>
          <w:tcPr>
            <w:tcW w:w="1492"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1F7EA7B2">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6C683DA5">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14EF4485">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3F71CC94">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2000≤Y＜10000</w:t>
            </w:r>
          </w:p>
        </w:tc>
        <w:tc>
          <w:tcPr>
            <w:tcW w:w="1756"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6F5D1750">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100≤Y＜2000</w:t>
            </w:r>
          </w:p>
        </w:tc>
        <w:tc>
          <w:tcPr>
            <w:tcW w:w="1023" w:type="dxa"/>
            <w:tcBorders>
              <w:top w:val="nil"/>
              <w:left w:val="nil"/>
              <w:bottom w:val="single" w:color="auto" w:sz="4" w:space="0"/>
              <w:right w:val="single" w:color="4F81BD" w:sz="6" w:space="0"/>
            </w:tcBorders>
            <w:shd w:val="clear" w:color="auto" w:fill="B8CCE4"/>
            <w:noWrap w:val="0"/>
            <w:tcMar>
              <w:left w:w="105" w:type="dxa"/>
              <w:right w:w="105" w:type="dxa"/>
            </w:tcMar>
            <w:vAlign w:val="center"/>
          </w:tcPr>
          <w:p w14:paraId="2F700DC7">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3B7D0B34">
        <w:tblPrEx>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46D077A2">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信息传输业 *</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54D9C75B">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7FD49776">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710AAAC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X≥2000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28495E82">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100≤X＜2000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27E8CAD1">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5951D4C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5A91BFAB">
        <w:tblPrEx>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481B8F14">
            <w:pPr>
              <w:jc w:val="center"/>
              <w:rPr>
                <w:rFonts w:ascii="宋体" w:hAnsi="宋体" w:cs="宋体"/>
                <w:color w:val="auto"/>
                <w:spacing w:val="8"/>
                <w:sz w:val="21"/>
                <w:szCs w:val="21"/>
                <w:highlight w:val="none"/>
              </w:rPr>
            </w:pPr>
          </w:p>
        </w:tc>
        <w:tc>
          <w:tcPr>
            <w:tcW w:w="1492"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35BF7053">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2168B429">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4ACA8030">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Y≥100000</w:t>
            </w:r>
          </w:p>
        </w:tc>
        <w:tc>
          <w:tcPr>
            <w:tcW w:w="1965"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5B67FA11">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1000≤Y＜100000</w:t>
            </w:r>
          </w:p>
        </w:tc>
        <w:tc>
          <w:tcPr>
            <w:tcW w:w="1756"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2A3D8857">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single" w:color="auto" w:sz="4" w:space="0"/>
              <w:left w:val="single" w:color="auto" w:sz="4" w:space="0"/>
              <w:bottom w:val="single" w:color="auto" w:sz="4" w:space="0"/>
              <w:right w:val="single" w:color="auto" w:sz="4" w:space="0"/>
            </w:tcBorders>
            <w:shd w:val="clear" w:color="auto" w:fill="B8CCE4"/>
            <w:noWrap w:val="0"/>
            <w:tcMar>
              <w:left w:w="105" w:type="dxa"/>
              <w:right w:w="105" w:type="dxa"/>
            </w:tcMar>
            <w:vAlign w:val="center"/>
          </w:tcPr>
          <w:p w14:paraId="1AF2A409">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6417BC35">
        <w:tblPrEx>
          <w:tblCellMar>
            <w:top w:w="0" w:type="dxa"/>
            <w:left w:w="0" w:type="dxa"/>
            <w:bottom w:w="0" w:type="dxa"/>
            <w:right w:w="0" w:type="dxa"/>
          </w:tblCellMar>
        </w:tblPrEx>
        <w:trPr>
          <w:trHeight w:val="589" w:hRule="atLeast"/>
          <w:jc w:val="center"/>
        </w:trPr>
        <w:tc>
          <w:tcPr>
            <w:tcW w:w="1144" w:type="dxa"/>
            <w:vMerge w:val="restart"/>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0BEF473E">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15"/>
                <w:sz w:val="21"/>
                <w:szCs w:val="21"/>
                <w:highlight w:val="none"/>
              </w:rPr>
              <w:t>软件和信息技术服</w:t>
            </w:r>
            <w:r>
              <w:rPr>
                <w:rFonts w:hint="eastAsia" w:ascii="宋体" w:hAnsi="宋体" w:cs="宋体"/>
                <w:color w:val="auto"/>
                <w:spacing w:val="8"/>
                <w:sz w:val="21"/>
                <w:szCs w:val="21"/>
                <w:highlight w:val="none"/>
              </w:rPr>
              <w:t>务业</w:t>
            </w:r>
          </w:p>
        </w:tc>
        <w:tc>
          <w:tcPr>
            <w:tcW w:w="1492"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5D63882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5053AE3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6AF0DE53">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76CEFBA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0D9CDF2E">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single" w:color="auto" w:sz="4" w:space="0"/>
              <w:left w:val="single" w:color="auto" w:sz="4" w:space="0"/>
              <w:bottom w:val="single" w:color="auto" w:sz="4" w:space="0"/>
              <w:right w:val="single" w:color="auto" w:sz="4" w:space="0"/>
            </w:tcBorders>
            <w:shd w:val="clear" w:color="auto" w:fill="FFFFFF"/>
            <w:noWrap w:val="0"/>
            <w:tcMar>
              <w:left w:w="105" w:type="dxa"/>
              <w:right w:w="105" w:type="dxa"/>
            </w:tcMar>
            <w:vAlign w:val="center"/>
          </w:tcPr>
          <w:p w14:paraId="3227E1C6">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43A28135">
        <w:tblPrEx>
          <w:tblCellMar>
            <w:top w:w="0" w:type="dxa"/>
            <w:left w:w="0" w:type="dxa"/>
            <w:bottom w:w="0" w:type="dxa"/>
            <w:right w:w="0" w:type="dxa"/>
          </w:tblCellMar>
        </w:tblPrEx>
        <w:trPr>
          <w:trHeight w:val="589" w:hRule="atLeast"/>
          <w:jc w:val="center"/>
        </w:trPr>
        <w:tc>
          <w:tcPr>
            <w:tcW w:w="1144" w:type="dxa"/>
            <w:vMerge w:val="continue"/>
            <w:tcBorders>
              <w:top w:val="single" w:color="auto" w:sz="4" w:space="0"/>
              <w:left w:val="single" w:color="auto" w:sz="4" w:space="0"/>
              <w:bottom w:val="single" w:color="4F81BD" w:sz="6" w:space="0"/>
              <w:right w:val="single" w:color="4F81BD" w:sz="6" w:space="0"/>
            </w:tcBorders>
            <w:shd w:val="clear" w:color="auto" w:fill="FFFFFF"/>
            <w:noWrap w:val="0"/>
            <w:tcMar>
              <w:left w:w="105" w:type="dxa"/>
              <w:right w:w="105" w:type="dxa"/>
            </w:tcMar>
            <w:vAlign w:val="center"/>
          </w:tcPr>
          <w:p w14:paraId="7F45C17B">
            <w:pPr>
              <w:jc w:val="center"/>
              <w:rPr>
                <w:rFonts w:ascii="宋体" w:hAnsi="宋体" w:cs="宋体"/>
                <w:color w:val="auto"/>
                <w:spacing w:val="8"/>
                <w:sz w:val="21"/>
                <w:szCs w:val="21"/>
                <w:highlight w:val="none"/>
              </w:rPr>
            </w:pPr>
          </w:p>
        </w:tc>
        <w:tc>
          <w:tcPr>
            <w:tcW w:w="1492"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25117E1A">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5F17EBE1">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6B64E0C1">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Y≥10000</w:t>
            </w:r>
          </w:p>
        </w:tc>
        <w:tc>
          <w:tcPr>
            <w:tcW w:w="1965"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62C740B6">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1000≤Y＜10000</w:t>
            </w:r>
          </w:p>
        </w:tc>
        <w:tc>
          <w:tcPr>
            <w:tcW w:w="1756"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4219EA04">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50≤Y＜1000</w:t>
            </w:r>
          </w:p>
        </w:tc>
        <w:tc>
          <w:tcPr>
            <w:tcW w:w="1023" w:type="dxa"/>
            <w:tcBorders>
              <w:top w:val="single" w:color="auto" w:sz="4" w:space="0"/>
              <w:left w:val="nil"/>
              <w:bottom w:val="single" w:color="4F81BD" w:sz="6" w:space="0"/>
              <w:right w:val="single" w:color="4F81BD" w:sz="6" w:space="0"/>
            </w:tcBorders>
            <w:shd w:val="clear" w:color="auto" w:fill="B8CCE4"/>
            <w:noWrap w:val="0"/>
            <w:tcMar>
              <w:left w:w="105" w:type="dxa"/>
              <w:right w:w="105" w:type="dxa"/>
            </w:tcMar>
            <w:vAlign w:val="center"/>
          </w:tcPr>
          <w:p w14:paraId="5D00338B">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w:t>
            </w:r>
          </w:p>
        </w:tc>
      </w:tr>
      <w:tr w14:paraId="3ABD2348">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07B1D96F">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房地产开发经营</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9ACDEDE">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56B7EFA">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A1BA7B8">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Y≥200000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471B35E6">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1000≤Y＜200000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7576C98">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100≤Y＜1000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72921D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Y＜100</w:t>
            </w:r>
          </w:p>
        </w:tc>
      </w:tr>
      <w:tr w14:paraId="6C7DE80B">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C859247">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D9BAF08">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FFFE400">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03D40AE">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4EFB7AB">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5000≤Z＜10000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D64ED62">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2000≤Z＜5000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4D5EF86">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Z＜2000</w:t>
            </w:r>
          </w:p>
        </w:tc>
      </w:tr>
      <w:tr w14:paraId="1B6F3B2A">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5F42895C">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物业管理</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4428971">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209EBA0">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9958F4B">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B7C4F20">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300≤X＜1000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27F192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D23E94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X＜100</w:t>
            </w:r>
          </w:p>
        </w:tc>
      </w:tr>
      <w:tr w14:paraId="451EC7B2">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EBB54B2">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5273EB2B">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营业收入(Y)</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7802382">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BC417D3">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45CAE679">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1000≤Y＜5000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73C7EA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500≤Y＜1000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6029CE2">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Y＜500</w:t>
            </w:r>
          </w:p>
        </w:tc>
      </w:tr>
      <w:tr w14:paraId="5138C923">
        <w:tblPrEx>
          <w:tblCellMar>
            <w:top w:w="0" w:type="dxa"/>
            <w:left w:w="0" w:type="dxa"/>
            <w:bottom w:w="0" w:type="dxa"/>
            <w:right w:w="0" w:type="dxa"/>
          </w:tblCellMar>
        </w:tblPrEx>
        <w:trPr>
          <w:trHeight w:val="589" w:hRule="atLeast"/>
          <w:jc w:val="center"/>
        </w:trPr>
        <w:tc>
          <w:tcPr>
            <w:tcW w:w="1144" w:type="dxa"/>
            <w:vMerge w:val="restart"/>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C30094D">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租赁和商务服务业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5EB0284">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18F39E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9E1E319">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3E07E6C5">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57AEF545">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B2610A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r w14:paraId="4ED53519">
        <w:tblPrEx>
          <w:tblCellMar>
            <w:top w:w="0" w:type="dxa"/>
            <w:left w:w="0" w:type="dxa"/>
            <w:bottom w:w="0" w:type="dxa"/>
            <w:right w:w="0" w:type="dxa"/>
          </w:tblCellMar>
        </w:tblPrEx>
        <w:trPr>
          <w:trHeight w:val="589" w:hRule="atLeast"/>
          <w:jc w:val="center"/>
        </w:trPr>
        <w:tc>
          <w:tcPr>
            <w:tcW w:w="1144" w:type="dxa"/>
            <w:vMerge w:val="continue"/>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E602FFB">
            <w:pPr>
              <w:jc w:val="center"/>
              <w:rPr>
                <w:rFonts w:ascii="宋体" w:hAnsi="宋体" w:cs="宋体"/>
                <w:color w:val="auto"/>
                <w:spacing w:val="8"/>
                <w:sz w:val="21"/>
                <w:szCs w:val="21"/>
                <w:highlight w:val="none"/>
              </w:rPr>
            </w:pPr>
          </w:p>
        </w:tc>
        <w:tc>
          <w:tcPr>
            <w:tcW w:w="1492"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6E826BC">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资产总额(Z)</w:t>
            </w:r>
          </w:p>
        </w:tc>
        <w:tc>
          <w:tcPr>
            <w:tcW w:w="728"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3D803CFF">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万元</w:t>
            </w:r>
          </w:p>
        </w:tc>
        <w:tc>
          <w:tcPr>
            <w:tcW w:w="124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0C7AD01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Z≥120000</w:t>
            </w:r>
          </w:p>
        </w:tc>
        <w:tc>
          <w:tcPr>
            <w:tcW w:w="1965"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65D195C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8000≤Z＜120000</w:t>
            </w:r>
          </w:p>
        </w:tc>
        <w:tc>
          <w:tcPr>
            <w:tcW w:w="1756"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2A8700A3">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100≤Z＜8000</w:t>
            </w:r>
          </w:p>
        </w:tc>
        <w:tc>
          <w:tcPr>
            <w:tcW w:w="1023" w:type="dxa"/>
            <w:tcBorders>
              <w:top w:val="nil"/>
              <w:left w:val="nil"/>
              <w:bottom w:val="single" w:color="4F81BD" w:sz="6" w:space="0"/>
              <w:right w:val="single" w:color="4F81BD" w:sz="6" w:space="0"/>
            </w:tcBorders>
            <w:shd w:val="clear" w:color="auto" w:fill="B8CCE4"/>
            <w:noWrap w:val="0"/>
            <w:tcMar>
              <w:left w:w="105" w:type="dxa"/>
              <w:right w:w="105" w:type="dxa"/>
            </w:tcMar>
            <w:vAlign w:val="center"/>
          </w:tcPr>
          <w:p w14:paraId="754976B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Z＜100</w:t>
            </w:r>
          </w:p>
        </w:tc>
      </w:tr>
      <w:tr w14:paraId="3C8CA34C">
        <w:tblPrEx>
          <w:tblCellMar>
            <w:top w:w="0" w:type="dxa"/>
            <w:left w:w="0" w:type="dxa"/>
            <w:bottom w:w="0" w:type="dxa"/>
            <w:right w:w="0" w:type="dxa"/>
          </w:tblCellMar>
        </w:tblPrEx>
        <w:trPr>
          <w:trHeight w:val="668" w:hRule="atLeast"/>
          <w:jc w:val="center"/>
        </w:trPr>
        <w:tc>
          <w:tcPr>
            <w:tcW w:w="1144" w:type="dxa"/>
            <w:tcBorders>
              <w:top w:val="nil"/>
              <w:left w:val="single" w:color="4F81BD" w:sz="6" w:space="0"/>
              <w:bottom w:val="single" w:color="4F81BD" w:sz="6" w:space="0"/>
              <w:right w:val="single" w:color="4F81BD" w:sz="6" w:space="0"/>
            </w:tcBorders>
            <w:shd w:val="clear" w:color="auto" w:fill="FFFFFF"/>
            <w:noWrap w:val="0"/>
            <w:tcMar>
              <w:left w:w="105" w:type="dxa"/>
              <w:right w:w="105" w:type="dxa"/>
            </w:tcMar>
            <w:vAlign w:val="center"/>
          </w:tcPr>
          <w:p w14:paraId="3B65475E">
            <w:pPr>
              <w:pStyle w:val="15"/>
              <w:wordWrap w:val="0"/>
              <w:spacing w:line="240" w:lineRule="atLeast"/>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其他未列明行业*</w:t>
            </w:r>
          </w:p>
        </w:tc>
        <w:tc>
          <w:tcPr>
            <w:tcW w:w="1492"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169D781A">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从业人员(X)</w:t>
            </w:r>
          </w:p>
        </w:tc>
        <w:tc>
          <w:tcPr>
            <w:tcW w:w="728"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AD162E8">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人</w:t>
            </w:r>
          </w:p>
        </w:tc>
        <w:tc>
          <w:tcPr>
            <w:tcW w:w="124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60A8BCA0">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X≥300</w:t>
            </w:r>
          </w:p>
        </w:tc>
        <w:tc>
          <w:tcPr>
            <w:tcW w:w="1965"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227DBF7">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100≤X＜300</w:t>
            </w:r>
          </w:p>
        </w:tc>
        <w:tc>
          <w:tcPr>
            <w:tcW w:w="1756"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210F0ED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10≤X＜100</w:t>
            </w:r>
          </w:p>
        </w:tc>
        <w:tc>
          <w:tcPr>
            <w:tcW w:w="1023" w:type="dxa"/>
            <w:tcBorders>
              <w:top w:val="nil"/>
              <w:left w:val="nil"/>
              <w:bottom w:val="single" w:color="4F81BD" w:sz="6" w:space="0"/>
              <w:right w:val="single" w:color="4F81BD" w:sz="6" w:space="0"/>
            </w:tcBorders>
            <w:shd w:val="clear" w:color="auto" w:fill="FFFFFF"/>
            <w:noWrap w:val="0"/>
            <w:tcMar>
              <w:left w:w="105" w:type="dxa"/>
              <w:right w:w="105" w:type="dxa"/>
            </w:tcMar>
            <w:vAlign w:val="center"/>
          </w:tcPr>
          <w:p w14:paraId="7CD4003D">
            <w:pPr>
              <w:pStyle w:val="15"/>
              <w:wordWrap w:val="0"/>
              <w:jc w:val="center"/>
              <w:rPr>
                <w:rFonts w:ascii="宋体" w:hAnsi="宋体" w:cs="宋体"/>
                <w:color w:val="auto"/>
                <w:sz w:val="21"/>
                <w:szCs w:val="21"/>
                <w:highlight w:val="none"/>
              </w:rPr>
            </w:pPr>
            <w:r>
              <w:rPr>
                <w:rFonts w:hint="eastAsia" w:ascii="宋体" w:hAnsi="宋体" w:cs="宋体"/>
                <w:color w:val="auto"/>
                <w:spacing w:val="8"/>
                <w:sz w:val="21"/>
                <w:szCs w:val="21"/>
                <w:highlight w:val="none"/>
              </w:rPr>
              <w:t>X＜10</w:t>
            </w:r>
          </w:p>
        </w:tc>
      </w:tr>
    </w:tbl>
    <w:p w14:paraId="102F48D6">
      <w:pPr>
        <w:widowControl w:val="0"/>
        <w:spacing w:line="420" w:lineRule="exact"/>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说明：1.大型、中型和小型企业须</w:t>
      </w:r>
      <w:r>
        <w:rPr>
          <w:rFonts w:hint="eastAsia" w:ascii="宋体" w:hAnsi="宋体" w:cs="宋体"/>
          <w:b/>
          <w:bCs/>
          <w:color w:val="auto"/>
          <w:kern w:val="0"/>
          <w:sz w:val="24"/>
          <w:szCs w:val="24"/>
          <w:highlight w:val="none"/>
        </w:rPr>
        <w:t>同时满足所列指标的下限</w:t>
      </w:r>
      <w:r>
        <w:rPr>
          <w:rFonts w:hint="eastAsia" w:ascii="宋体" w:hAnsi="宋体" w:cs="宋体"/>
          <w:b/>
          <w:bCs/>
          <w:color w:val="auto"/>
          <w:kern w:val="0"/>
          <w:sz w:val="24"/>
          <w:szCs w:val="24"/>
          <w:highlight w:val="none"/>
          <w:lang w:eastAsia="zh-CN"/>
        </w:rPr>
        <w:t>，否则下划一档</w:t>
      </w:r>
      <w:r>
        <w:rPr>
          <w:rFonts w:hint="eastAsia" w:ascii="宋体" w:hAnsi="宋体" w:cs="宋体"/>
          <w:color w:val="auto"/>
          <w:kern w:val="0"/>
          <w:sz w:val="24"/>
          <w:szCs w:val="24"/>
          <w:highlight w:val="none"/>
        </w:rPr>
        <w:t>；微型企业只须满足所列指标中的一项即可。</w:t>
      </w:r>
    </w:p>
    <w:p w14:paraId="62CC3B90">
      <w:pPr>
        <w:widowControl w:val="0"/>
        <w:numPr>
          <w:ilvl w:val="0"/>
          <w:numId w:val="6"/>
        </w:numPr>
        <w:spacing w:line="420" w:lineRule="exact"/>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附表中各行业的范围以《国民经济行业分类》（GB/T4754-2017）为准。</w:t>
      </w:r>
      <w:r>
        <w:rPr>
          <w:rFonts w:hint="eastAsia" w:ascii="宋体" w:hAnsi="宋体" w:cs="宋体"/>
          <w:b/>
          <w:bCs/>
          <w:color w:val="auto"/>
          <w:kern w:val="0"/>
          <w:sz w:val="24"/>
          <w:szCs w:val="24"/>
          <w:highlight w:val="none"/>
        </w:rPr>
        <w:t>带*的项为行业组合类别</w:t>
      </w:r>
      <w:r>
        <w:rPr>
          <w:rFonts w:hint="eastAsia" w:ascii="宋体" w:hAnsi="宋体" w:cs="宋体"/>
          <w:color w:val="auto"/>
          <w:kern w:val="0"/>
          <w:sz w:val="24"/>
          <w:szCs w:val="24"/>
          <w:highlight w:val="none"/>
        </w:rPr>
        <w:t>，其中，</w:t>
      </w:r>
      <w:r>
        <w:rPr>
          <w:rFonts w:hint="eastAsia" w:ascii="宋体" w:hAnsi="宋体" w:cs="宋体"/>
          <w:b/>
          <w:bCs/>
          <w:color w:val="auto"/>
          <w:kern w:val="0"/>
          <w:sz w:val="24"/>
          <w:szCs w:val="24"/>
          <w:highlight w:val="none"/>
        </w:rPr>
        <w:t>工业</w:t>
      </w:r>
      <w:r>
        <w:rPr>
          <w:rFonts w:hint="eastAsia" w:ascii="宋体" w:hAnsi="宋体" w:cs="宋体"/>
          <w:color w:val="auto"/>
          <w:kern w:val="0"/>
          <w:sz w:val="24"/>
          <w:szCs w:val="24"/>
          <w:highlight w:val="none"/>
        </w:rPr>
        <w:t>包括采矿业，制造业，电力、热力、燃气及水生产和供应业；</w:t>
      </w:r>
      <w:r>
        <w:rPr>
          <w:rFonts w:hint="eastAsia" w:ascii="宋体" w:hAnsi="宋体" w:cs="宋体"/>
          <w:b/>
          <w:bCs/>
          <w:color w:val="auto"/>
          <w:kern w:val="0"/>
          <w:sz w:val="24"/>
          <w:szCs w:val="24"/>
          <w:highlight w:val="none"/>
        </w:rPr>
        <w:t>交通运输业</w:t>
      </w:r>
      <w:r>
        <w:rPr>
          <w:rFonts w:hint="eastAsia" w:ascii="宋体" w:hAnsi="宋体" w:cs="宋体"/>
          <w:color w:val="auto"/>
          <w:kern w:val="0"/>
          <w:sz w:val="24"/>
          <w:szCs w:val="24"/>
          <w:highlight w:val="none"/>
        </w:rPr>
        <w:t>包括道路运输业，水上运输业，航空运输业，管道运输业，多式联运和运输代理业、装卸搬运，不包括铁路运输业；</w:t>
      </w:r>
      <w:r>
        <w:rPr>
          <w:rFonts w:hint="eastAsia" w:ascii="宋体" w:hAnsi="宋体" w:cs="宋体"/>
          <w:b/>
          <w:bCs/>
          <w:color w:val="auto"/>
          <w:kern w:val="0"/>
          <w:sz w:val="24"/>
          <w:szCs w:val="24"/>
          <w:highlight w:val="none"/>
        </w:rPr>
        <w:t>仓储业</w:t>
      </w:r>
      <w:r>
        <w:rPr>
          <w:rFonts w:hint="eastAsia" w:ascii="宋体" w:hAnsi="宋体" w:cs="宋体"/>
          <w:color w:val="auto"/>
          <w:kern w:val="0"/>
          <w:sz w:val="24"/>
          <w:szCs w:val="24"/>
          <w:highlight w:val="none"/>
        </w:rPr>
        <w:t>包括通用仓储，低温仓储，危险品仓储，谷物、棉花等农产品仓储，中药材仓储和其他仓储业；</w:t>
      </w:r>
      <w:r>
        <w:rPr>
          <w:rFonts w:hint="eastAsia" w:ascii="宋体" w:hAnsi="宋体" w:cs="宋体"/>
          <w:b/>
          <w:bCs/>
          <w:color w:val="auto"/>
          <w:kern w:val="0"/>
          <w:sz w:val="24"/>
          <w:szCs w:val="24"/>
          <w:highlight w:val="none"/>
        </w:rPr>
        <w:t>信息传输业</w:t>
      </w:r>
      <w:r>
        <w:rPr>
          <w:rFonts w:hint="eastAsia" w:ascii="宋体" w:hAnsi="宋体" w:cs="宋体"/>
          <w:color w:val="auto"/>
          <w:kern w:val="0"/>
          <w:sz w:val="24"/>
          <w:szCs w:val="24"/>
          <w:highlight w:val="none"/>
        </w:rPr>
        <w:t>包括电信、广播电视和卫星传输服务，互联网和相关服务；</w:t>
      </w:r>
      <w:r>
        <w:rPr>
          <w:rFonts w:hint="eastAsia" w:ascii="宋体" w:hAnsi="宋体" w:cs="宋体"/>
          <w:b/>
          <w:bCs/>
          <w:color w:val="auto"/>
          <w:kern w:val="0"/>
          <w:sz w:val="24"/>
          <w:szCs w:val="24"/>
          <w:highlight w:val="none"/>
        </w:rPr>
        <w:t>其他未列明行业</w:t>
      </w:r>
      <w:r>
        <w:rPr>
          <w:rFonts w:hint="eastAsia" w:ascii="宋体" w:hAnsi="宋体" w:cs="宋体"/>
          <w:color w:val="auto"/>
          <w:kern w:val="0"/>
          <w:sz w:val="24"/>
          <w:szCs w:val="24"/>
          <w:highlight w:val="none"/>
        </w:rPr>
        <w:t>包括科学研究和技术服务业，水利、环境和公共设施管理业，居民服务、修理和其他服务业，社会工作，文化、体育和娱乐业，以及房地产中介服务，其他房地产业等，不包括自有房地产经营活动。</w:t>
      </w:r>
    </w:p>
    <w:p w14:paraId="7DD66C69">
      <w:pPr>
        <w:widowControl w:val="0"/>
        <w:numPr>
          <w:ilvl w:val="0"/>
          <w:numId w:val="6"/>
        </w:numPr>
        <w:spacing w:line="420" w:lineRule="exact"/>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企业划分指标以现行统计制度为准。</w:t>
      </w:r>
    </w:p>
    <w:p w14:paraId="5CC3F3F6">
      <w:pPr>
        <w:widowControl w:val="0"/>
        <w:spacing w:line="420" w:lineRule="exact"/>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（1）从业人员，是指期末从业人员数，没有期末从业人员数的，采用全年平均人员数代替。</w:t>
      </w:r>
    </w:p>
    <w:p w14:paraId="48761E0A">
      <w:pPr>
        <w:widowControl w:val="0"/>
        <w:spacing w:line="420" w:lineRule="exact"/>
        <w:ind w:firstLine="480" w:firstLine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42B244AB">
      <w:pPr>
        <w:widowControl w:val="0"/>
        <w:spacing w:line="420" w:lineRule="exact"/>
        <w:ind w:left="420" w:leftChars="200"/>
        <w:textAlignment w:val="auto"/>
        <w:rPr>
          <w:rFonts w:ascii="宋体" w:hAnsi="宋体" w:cs="宋体"/>
          <w:color w:val="auto"/>
          <w:kern w:val="0"/>
          <w:sz w:val="24"/>
          <w:szCs w:val="24"/>
          <w:highlight w:val="none"/>
        </w:rPr>
      </w:pPr>
      <w:r>
        <w:rPr>
          <w:rFonts w:hint="eastAsia" w:ascii="宋体" w:hAnsi="宋体" w:cs="宋体"/>
          <w:color w:val="auto"/>
          <w:kern w:val="0"/>
          <w:sz w:val="24"/>
          <w:szCs w:val="24"/>
          <w:highlight w:val="none"/>
        </w:rPr>
        <w:t>（3）资产总额，采用资产总计代替。</w:t>
      </w:r>
    </w:p>
    <w:p w14:paraId="269917ED">
      <w:pPr>
        <w:pStyle w:val="7"/>
        <w:bidi w:val="0"/>
        <w:jc w:val="left"/>
      </w:pPr>
      <w:r>
        <w:rPr>
          <w:rFonts w:hint="eastAsia" w:ascii="宋体" w:hAnsi="宋体" w:cs="宋体"/>
          <w:b w:val="0"/>
          <w:bCs w:val="0"/>
          <w:color w:val="auto"/>
          <w:highlight w:val="none"/>
          <w:lang w:eastAsia="zh-CN"/>
        </w:rPr>
        <w:t>附件</w:t>
      </w:r>
      <w:r>
        <w:rPr>
          <w:rFonts w:hint="eastAsia" w:ascii="宋体" w:hAnsi="宋体" w:cs="宋体"/>
          <w:b w:val="0"/>
          <w:bCs w:val="0"/>
          <w:color w:val="auto"/>
          <w:highlight w:val="none"/>
          <w:lang w:val="en-US" w:eastAsia="zh-CN"/>
        </w:rPr>
        <w:t>4：</w:t>
      </w:r>
      <w:r>
        <w:rPr>
          <w:rFonts w:hint="eastAsia" w:eastAsia="宋体"/>
          <w:color w:val="auto"/>
          <w:highlight w:val="none"/>
          <w:lang w:eastAsia="zh-CN"/>
        </w:rPr>
        <w:drawing>
          <wp:inline distT="0" distB="0" distL="114300" distR="114300">
            <wp:extent cx="5667375" cy="8015605"/>
            <wp:effectExtent l="0" t="0" r="9525" b="4445"/>
            <wp:docPr id="2" name="图片 1" descr="节能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节能产品政府采购品目清单(1)_00"/>
                    <pic:cNvPicPr>
                      <a:picLocks noChangeAspect="1"/>
                    </pic:cNvPicPr>
                  </pic:nvPicPr>
                  <pic:blipFill>
                    <a:blip r:embed="rId9"/>
                    <a:stretch>
                      <a:fillRect/>
                    </a:stretch>
                  </pic:blipFill>
                  <pic:spPr>
                    <a:xfrm>
                      <a:off x="0" y="0"/>
                      <a:ext cx="5667375" cy="8015605"/>
                    </a:xfrm>
                    <a:prstGeom prst="rect">
                      <a:avLst/>
                    </a:prstGeom>
                    <a:noFill/>
                    <a:ln>
                      <a:noFill/>
                    </a:ln>
                  </pic:spPr>
                </pic:pic>
              </a:graphicData>
            </a:graphic>
          </wp:inline>
        </w:drawing>
      </w:r>
    </w:p>
    <w:p w14:paraId="7F1FCE6D">
      <w:pPr>
        <w:jc w:val="both"/>
        <w:rPr>
          <w:rFonts w:hint="default" w:ascii="宋体" w:hAnsi="宋体" w:eastAsia="宋体" w:cs="宋体"/>
          <w:b/>
          <w:bCs/>
          <w:color w:val="auto"/>
          <w:highlight w:val="none"/>
          <w:lang w:val="en-US" w:eastAsia="zh-CN"/>
        </w:rPr>
      </w:pPr>
      <w:r>
        <w:rPr>
          <w:rFonts w:hint="eastAsia" w:eastAsia="宋体"/>
          <w:color w:val="auto"/>
          <w:highlight w:val="none"/>
          <w:lang w:eastAsia="zh-CN"/>
        </w:rPr>
        <w:drawing>
          <wp:inline distT="0" distB="0" distL="114300" distR="114300">
            <wp:extent cx="5624195" cy="8355965"/>
            <wp:effectExtent l="0" t="0" r="14605" b="6985"/>
            <wp:docPr id="4" name="图片 2" descr="节能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节能产品政府采购品目清单(1)_01"/>
                    <pic:cNvPicPr>
                      <a:picLocks noChangeAspect="1"/>
                    </pic:cNvPicPr>
                  </pic:nvPicPr>
                  <pic:blipFill>
                    <a:blip r:embed="rId10"/>
                    <a:srcRect l="9113" t="4506"/>
                    <a:stretch>
                      <a:fillRect/>
                    </a:stretch>
                  </pic:blipFill>
                  <pic:spPr>
                    <a:xfrm>
                      <a:off x="0" y="0"/>
                      <a:ext cx="5624195" cy="8355965"/>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6120765" cy="8655050"/>
            <wp:effectExtent l="0" t="0" r="13335" b="12700"/>
            <wp:docPr id="1" name="图片 3" descr="节能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节能产品政府采购品目清单(1)_02"/>
                    <pic:cNvPicPr>
                      <a:picLocks noChangeAspect="1"/>
                    </pic:cNvPicPr>
                  </pic:nvPicPr>
                  <pic:blipFill>
                    <a:blip r:embed="rId11"/>
                    <a:stretch>
                      <a:fillRect/>
                    </a:stretch>
                  </pic:blipFill>
                  <pic:spPr>
                    <a:xfrm>
                      <a:off x="0" y="0"/>
                      <a:ext cx="6120765" cy="8655050"/>
                    </a:xfrm>
                    <a:prstGeom prst="rect">
                      <a:avLst/>
                    </a:prstGeom>
                    <a:noFill/>
                    <a:ln>
                      <a:noFill/>
                    </a:ln>
                  </pic:spPr>
                </pic:pic>
              </a:graphicData>
            </a:graphic>
          </wp:inline>
        </w:drawing>
      </w:r>
      <w:r>
        <w:rPr>
          <w:rFonts w:hint="eastAsia" w:eastAsia="宋体"/>
          <w:color w:val="auto"/>
          <w:highlight w:val="none"/>
          <w:lang w:eastAsia="zh-CN"/>
        </w:rPr>
        <w:drawing>
          <wp:inline distT="0" distB="0" distL="114300" distR="114300">
            <wp:extent cx="5588635" cy="7902575"/>
            <wp:effectExtent l="0" t="0" r="12065" b="3175"/>
            <wp:docPr id="6" name="图片 4" descr="节能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节能产品政府采购品目清单(1)_03"/>
                    <pic:cNvPicPr>
                      <a:picLocks noChangeAspect="1"/>
                    </pic:cNvPicPr>
                  </pic:nvPicPr>
                  <pic:blipFill>
                    <a:blip r:embed="rId12"/>
                    <a:stretch>
                      <a:fillRect/>
                    </a:stretch>
                  </pic:blipFill>
                  <pic:spPr>
                    <a:xfrm>
                      <a:off x="0" y="0"/>
                      <a:ext cx="5588635" cy="7902575"/>
                    </a:xfrm>
                    <a:prstGeom prst="rect">
                      <a:avLst/>
                    </a:prstGeom>
                    <a:noFill/>
                    <a:ln>
                      <a:noFill/>
                    </a:ln>
                  </pic:spPr>
                </pic:pic>
              </a:graphicData>
            </a:graphic>
          </wp:inline>
        </w:drawing>
      </w:r>
    </w:p>
    <w:p w14:paraId="602DBF7F">
      <w:pPr>
        <w:jc w:val="left"/>
        <w:rPr>
          <w:rStyle w:val="46"/>
          <w:rFonts w:hint="eastAsia" w:ascii="宋体" w:hAnsi="宋体" w:eastAsia="宋体" w:cs="宋体"/>
          <w:color w:val="auto"/>
          <w:sz w:val="28"/>
          <w:szCs w:val="28"/>
          <w:highlight w:val="none"/>
        </w:rPr>
      </w:pPr>
      <w:r>
        <w:rPr>
          <w:rFonts w:hint="eastAsia" w:ascii="宋体" w:hAnsi="宋体" w:cs="宋体"/>
          <w:b w:val="0"/>
          <w:bCs w:val="0"/>
          <w:color w:val="auto"/>
          <w:highlight w:val="none"/>
          <w:lang w:eastAsia="zh-CN"/>
        </w:rPr>
        <w:br w:type="page"/>
      </w:r>
      <w:r>
        <w:rPr>
          <w:rFonts w:hint="eastAsia" w:ascii="宋体" w:hAnsi="宋体" w:cs="宋体"/>
          <w:b w:val="0"/>
          <w:bCs w:val="0"/>
          <w:color w:val="auto"/>
          <w:sz w:val="28"/>
          <w:szCs w:val="28"/>
          <w:highlight w:val="none"/>
          <w:lang w:eastAsia="zh-CN"/>
        </w:rPr>
        <w:t>附件</w:t>
      </w:r>
      <w:r>
        <w:rPr>
          <w:rFonts w:hint="eastAsia" w:ascii="宋体" w:hAnsi="宋体" w:cs="宋体"/>
          <w:b w:val="0"/>
          <w:bCs w:val="0"/>
          <w:color w:val="auto"/>
          <w:sz w:val="28"/>
          <w:szCs w:val="28"/>
          <w:highlight w:val="none"/>
          <w:lang w:val="en-US" w:eastAsia="zh-CN"/>
        </w:rPr>
        <w:t>5：</w:t>
      </w:r>
    </w:p>
    <w:p w14:paraId="0C33B6F5">
      <w:pPr>
        <w:jc w:val="both"/>
        <w:rPr>
          <w:rFonts w:hint="eastAsia" w:ascii="宋体" w:hAnsi="宋体" w:cs="宋体"/>
          <w:b/>
          <w:bCs/>
          <w:color w:val="auto"/>
          <w:highlight w:val="none"/>
          <w:lang w:eastAsia="zh-CN"/>
        </w:rPr>
      </w:pPr>
      <w:r>
        <w:rPr>
          <w:rFonts w:hint="eastAsia" w:ascii="宋体" w:hAnsi="宋体" w:cs="宋体"/>
          <w:b/>
          <w:bCs/>
          <w:color w:val="auto"/>
          <w:highlight w:val="none"/>
          <w:lang w:eastAsia="zh-CN"/>
        </w:rPr>
        <w:drawing>
          <wp:inline distT="0" distB="0" distL="114300" distR="114300">
            <wp:extent cx="5588635" cy="7902575"/>
            <wp:effectExtent l="0" t="0" r="12065" b="3175"/>
            <wp:docPr id="7" name="图片 5" descr="环境标志产品政府采购品目清单(1)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环境标志产品政府采购品目清单(1)_00"/>
                    <pic:cNvPicPr>
                      <a:picLocks noChangeAspect="1"/>
                    </pic:cNvPicPr>
                  </pic:nvPicPr>
                  <pic:blipFill>
                    <a:blip r:embed="rId13"/>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3175"/>
            <wp:docPr id="8" name="图片 6" descr="环境标志产品政府采购品目清单(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环境标志产品政府采购品目清单(1)_01"/>
                    <pic:cNvPicPr>
                      <a:picLocks noChangeAspect="1"/>
                    </pic:cNvPicPr>
                  </pic:nvPicPr>
                  <pic:blipFill>
                    <a:blip r:embed="rId14"/>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3175"/>
            <wp:docPr id="9" name="图片 7" descr="环境标志产品政府采购品目清单(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环境标志产品政府采购品目清单(1)_02"/>
                    <pic:cNvPicPr>
                      <a:picLocks noChangeAspect="1"/>
                    </pic:cNvPicPr>
                  </pic:nvPicPr>
                  <pic:blipFill>
                    <a:blip r:embed="rId15"/>
                    <a:stretch>
                      <a:fillRect/>
                    </a:stretch>
                  </pic:blipFill>
                  <pic:spPr>
                    <a:xfrm>
                      <a:off x="0" y="0"/>
                      <a:ext cx="5588635" cy="7902575"/>
                    </a:xfrm>
                    <a:prstGeom prst="rect">
                      <a:avLst/>
                    </a:prstGeom>
                    <a:noFill/>
                    <a:ln>
                      <a:noFill/>
                    </a:ln>
                  </pic:spPr>
                </pic:pic>
              </a:graphicData>
            </a:graphic>
          </wp:inline>
        </w:drawing>
      </w:r>
      <w:r>
        <w:rPr>
          <w:rFonts w:hint="eastAsia" w:ascii="宋体" w:hAnsi="宋体" w:cs="宋体"/>
          <w:b/>
          <w:bCs/>
          <w:color w:val="auto"/>
          <w:highlight w:val="none"/>
          <w:lang w:eastAsia="zh-CN"/>
        </w:rPr>
        <w:drawing>
          <wp:inline distT="0" distB="0" distL="114300" distR="114300">
            <wp:extent cx="5588635" cy="7902575"/>
            <wp:effectExtent l="0" t="0" r="12065" b="3175"/>
            <wp:docPr id="10" name="图片 8" descr="环境标志产品政府采购品目清单(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环境标志产品政府采购品目清单(1)_03"/>
                    <pic:cNvPicPr>
                      <a:picLocks noChangeAspect="1"/>
                    </pic:cNvPicPr>
                  </pic:nvPicPr>
                  <pic:blipFill>
                    <a:blip r:embed="rId16"/>
                    <a:stretch>
                      <a:fillRect/>
                    </a:stretch>
                  </pic:blipFill>
                  <pic:spPr>
                    <a:xfrm>
                      <a:off x="0" y="0"/>
                      <a:ext cx="5588635" cy="7902575"/>
                    </a:xfrm>
                    <a:prstGeom prst="rect">
                      <a:avLst/>
                    </a:prstGeom>
                    <a:noFill/>
                    <a:ln>
                      <a:noFill/>
                    </a:ln>
                  </pic:spPr>
                </pic:pic>
              </a:graphicData>
            </a:graphic>
          </wp:inline>
        </w:drawing>
      </w:r>
    </w:p>
    <w:p w14:paraId="220E9E93">
      <w:pPr>
        <w:rPr>
          <w:rFonts w:hint="eastAsia" w:ascii="宋体" w:hAnsi="宋体" w:cs="宋体"/>
          <w:b/>
          <w:bCs/>
          <w:color w:val="auto"/>
          <w:highlight w:val="none"/>
          <w:lang w:eastAsia="zh-CN"/>
        </w:rPr>
      </w:pPr>
    </w:p>
    <w:p w14:paraId="57B00686">
      <w:pPr>
        <w:jc w:val="both"/>
        <w:rPr>
          <w:rFonts w:hint="eastAsia" w:ascii="宋体" w:hAnsi="宋体" w:eastAsia="宋体" w:cs="宋体"/>
          <w:b w:val="0"/>
          <w:bCs w:val="0"/>
          <w:color w:val="auto"/>
          <w:sz w:val="28"/>
          <w:szCs w:val="28"/>
          <w:highlight w:val="none"/>
          <w:lang w:val="en-US" w:eastAsia="zh-CN"/>
        </w:rPr>
      </w:pPr>
      <w:r>
        <w:rPr>
          <w:rFonts w:hint="eastAsia" w:ascii="宋体" w:hAnsi="宋体" w:cs="宋体"/>
          <w:b w:val="0"/>
          <w:bCs w:val="0"/>
          <w:color w:val="auto"/>
          <w:highlight w:val="none"/>
          <w:lang w:eastAsia="zh-CN"/>
        </w:rPr>
        <w:br w:type="page"/>
      </w:r>
      <w:r>
        <w:rPr>
          <w:rFonts w:hint="eastAsia" w:ascii="宋体" w:hAnsi="宋体" w:cs="宋体"/>
          <w:b w:val="0"/>
          <w:bCs w:val="0"/>
          <w:color w:val="auto"/>
          <w:sz w:val="24"/>
          <w:szCs w:val="24"/>
          <w:highlight w:val="none"/>
          <w:lang w:eastAsia="zh-CN"/>
        </w:rPr>
        <w:t>附件</w:t>
      </w:r>
      <w:r>
        <w:rPr>
          <w:rFonts w:hint="eastAsia" w:ascii="宋体" w:hAnsi="宋体" w:cs="宋体"/>
          <w:b w:val="0"/>
          <w:bCs w:val="0"/>
          <w:color w:val="auto"/>
          <w:sz w:val="24"/>
          <w:szCs w:val="24"/>
          <w:highlight w:val="none"/>
          <w:lang w:val="en-US" w:eastAsia="zh-CN"/>
        </w:rPr>
        <w:t>6：</w:t>
      </w:r>
    </w:p>
    <w:p w14:paraId="5BE36D0A">
      <w:pPr>
        <w:jc w:val="center"/>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rPr>
        <w:t>质疑函范本</w:t>
      </w:r>
    </w:p>
    <w:p w14:paraId="51C4AB93">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一、质疑供应商基本信息</w:t>
      </w:r>
    </w:p>
    <w:p w14:paraId="34678C0B">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质疑供应商：</w:t>
      </w:r>
    </w:p>
    <w:p w14:paraId="56EE78B8">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地址：邮编：</w:t>
      </w:r>
    </w:p>
    <w:p w14:paraId="6AFECAAB">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联系电话：</w:t>
      </w:r>
    </w:p>
    <w:p w14:paraId="3E3ED812">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w:t>
      </w:r>
    </w:p>
    <w:p w14:paraId="3A115B59">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联系电话：</w:t>
      </w:r>
    </w:p>
    <w:p w14:paraId="30C13F9B">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地址：邮编：</w:t>
      </w:r>
    </w:p>
    <w:p w14:paraId="29635499">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二、质疑项目基本情况</w:t>
      </w:r>
    </w:p>
    <w:p w14:paraId="48C4C3AC">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质疑项目的名称：</w:t>
      </w:r>
    </w:p>
    <w:p w14:paraId="1423AA08">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质疑项目的编号： 包号：</w:t>
      </w:r>
    </w:p>
    <w:p w14:paraId="690C0795">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采购人名称：</w:t>
      </w:r>
    </w:p>
    <w:p w14:paraId="02F658A9">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磋商文件</w:t>
      </w:r>
      <w:r>
        <w:rPr>
          <w:rFonts w:hint="eastAsia" w:ascii="宋体" w:hAnsi="宋体" w:eastAsia="宋体" w:cs="宋体"/>
          <w:color w:val="auto"/>
          <w:sz w:val="24"/>
          <w:szCs w:val="24"/>
          <w:highlight w:val="none"/>
        </w:rPr>
        <w:t xml:space="preserve">获取日期: </w:t>
      </w:r>
    </w:p>
    <w:p w14:paraId="7E1AE9F5">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三、质疑事项具体内容</w:t>
      </w:r>
    </w:p>
    <w:p w14:paraId="7DE4C426">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质疑事项1:</w:t>
      </w:r>
    </w:p>
    <w:p w14:paraId="1A969D9E">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事实依据：</w:t>
      </w:r>
    </w:p>
    <w:p w14:paraId="3D4A6B15">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法律依据：</w:t>
      </w:r>
    </w:p>
    <w:p w14:paraId="0B8CFF9E">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质疑事项2</w:t>
      </w:r>
    </w:p>
    <w:p w14:paraId="450DF698">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0100C6A9">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四、与质疑事项相关的质疑请求</w:t>
      </w:r>
    </w:p>
    <w:p w14:paraId="51A8862A">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请求：</w:t>
      </w:r>
    </w:p>
    <w:p w14:paraId="47E7BFE3">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签字(签章)：   公章：                      </w:t>
      </w:r>
    </w:p>
    <w:p w14:paraId="6C64191F">
      <w:pPr>
        <w:spacing w:line="560" w:lineRule="exact"/>
        <w:ind w:firstLine="480" w:firstLineChars="200"/>
        <w:rPr>
          <w:rFonts w:hint="eastAsia"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日期：</w:t>
      </w:r>
    </w:p>
    <w:p w14:paraId="4C33CD6A">
      <w:pPr>
        <w:spacing w:line="560" w:lineRule="exact"/>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质疑函制作说明：</w:t>
      </w:r>
    </w:p>
    <w:p w14:paraId="4175F71A">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1.供应商提出质疑时，应提交质疑函和必要的证明材料。</w:t>
      </w:r>
    </w:p>
    <w:p w14:paraId="1AC82F11">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675E0B77">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3.质疑供应商若对项目的某一分包进行质疑，质疑函中应列明具体分包号。</w:t>
      </w:r>
    </w:p>
    <w:p w14:paraId="0938868A">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4.质疑函的质疑事项应具体、明确，并有必要的事实依据和法律依据。</w:t>
      </w:r>
    </w:p>
    <w:p w14:paraId="70A40736">
      <w:pPr>
        <w:spacing w:line="5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5.质疑函的质疑请求应与质疑事项相关。</w:t>
      </w:r>
    </w:p>
    <w:p w14:paraId="75A14818">
      <w:pPr>
        <w:spacing w:line="560" w:lineRule="exact"/>
        <w:ind w:firstLine="480" w:firstLineChars="200"/>
        <w:rPr>
          <w:rFonts w:hint="eastAsia" w:ascii="宋体" w:hAnsi="宋体" w:eastAsia="宋体" w:cs="宋体"/>
          <w:color w:val="auto"/>
          <w:sz w:val="24"/>
          <w:szCs w:val="24"/>
          <w:highlight w:val="none"/>
          <w:lang w:eastAsia="zh-CN"/>
        </w:rPr>
        <w:sectPr>
          <w:headerReference r:id="rId3" w:type="default"/>
          <w:footerReference r:id="rId4" w:type="default"/>
          <w:pgSz w:w="11906" w:h="16838"/>
          <w:pgMar w:top="1440" w:right="1274" w:bottom="1440" w:left="1800" w:header="851" w:footer="992" w:gutter="0"/>
          <w:cols w:space="720" w:num="1"/>
          <w:docGrid w:type="lines" w:linePitch="312" w:charSpace="0"/>
        </w:sectPr>
      </w:pPr>
      <w:r>
        <w:rPr>
          <w:rFonts w:hint="eastAsia" w:ascii="宋体" w:hAnsi="宋体" w:eastAsia="宋体" w:cs="宋体"/>
          <w:color w:val="auto"/>
          <w:sz w:val="24"/>
          <w:szCs w:val="24"/>
          <w:highlight w:val="none"/>
        </w:rPr>
        <w:t>6.质疑供应商为自然人的，质疑函应由本人签字；质疑供应商为法人或者其他组织的，质疑函应由法定代表人、主要负责人，或者其授权代表签字或者盖章，并加盖公</w:t>
      </w:r>
      <w:r>
        <w:rPr>
          <w:rFonts w:hint="eastAsia" w:ascii="宋体" w:hAnsi="宋体" w:eastAsia="宋体" w:cs="宋体"/>
          <w:color w:val="auto"/>
          <w:sz w:val="24"/>
          <w:szCs w:val="24"/>
          <w:highlight w:val="none"/>
          <w:lang w:eastAsia="zh-CN"/>
        </w:rPr>
        <w:t>章。</w:t>
      </w:r>
    </w:p>
    <w:bookmarkEnd w:id="486"/>
    <w:p w14:paraId="26AF0D53">
      <w:pPr>
        <w:pStyle w:val="4"/>
        <w:bidi w:val="0"/>
        <w:jc w:val="center"/>
        <w:rPr>
          <w:rStyle w:val="39"/>
          <w:b/>
          <w:bCs/>
        </w:rPr>
      </w:pPr>
      <w:bookmarkStart w:id="489" w:name="_Toc1582"/>
      <w:bookmarkStart w:id="490" w:name="_Toc23774436"/>
      <w:r>
        <w:rPr>
          <w:rStyle w:val="39"/>
          <w:rFonts w:hint="eastAsia"/>
          <w:b/>
          <w:bCs/>
        </w:rPr>
        <w:t>第三章   评审办法</w:t>
      </w:r>
      <w:bookmarkEnd w:id="489"/>
      <w:bookmarkEnd w:id="490"/>
    </w:p>
    <w:p w14:paraId="503C7834">
      <w:pPr>
        <w:keepNext/>
        <w:keepLines/>
        <w:wordWrap w:val="0"/>
        <w:topLinePunct/>
        <w:spacing w:line="360" w:lineRule="auto"/>
        <w:ind w:left="482"/>
        <w:jc w:val="center"/>
        <w:outlineLvl w:val="2"/>
        <w:rPr>
          <w:rFonts w:hint="eastAsia" w:ascii="宋体" w:hAnsi="宋体" w:eastAsia="宋体" w:cs="Times New Roman"/>
          <w:b/>
          <w:sz w:val="24"/>
          <w:szCs w:val="24"/>
        </w:rPr>
      </w:pPr>
      <w:bookmarkStart w:id="491" w:name="_Toc10297"/>
      <w:r>
        <w:rPr>
          <w:rFonts w:hint="eastAsia" w:ascii="宋体" w:hAnsi="宋体" w:eastAsia="宋体" w:cs="Times New Roman"/>
          <w:b/>
          <w:bCs/>
          <w:sz w:val="28"/>
          <w:szCs w:val="28"/>
        </w:rPr>
        <w:t>评审办法前附表</w:t>
      </w:r>
    </w:p>
    <w:tbl>
      <w:tblPr>
        <w:tblStyle w:val="16"/>
        <w:tblW w:w="9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0"/>
        <w:gridCol w:w="876"/>
        <w:gridCol w:w="1012"/>
        <w:gridCol w:w="1398"/>
        <w:gridCol w:w="4202"/>
        <w:gridCol w:w="901"/>
      </w:tblGrid>
      <w:tr w14:paraId="2F439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66" w:type="dxa"/>
            <w:gridSpan w:val="2"/>
            <w:vAlign w:val="center"/>
          </w:tcPr>
          <w:p w14:paraId="1AEED859">
            <w:pPr>
              <w:widowControl/>
              <w:wordWrap w:val="0"/>
              <w:topLinePunct/>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条款</w:t>
            </w:r>
          </w:p>
        </w:tc>
        <w:tc>
          <w:tcPr>
            <w:tcW w:w="2410" w:type="dxa"/>
            <w:gridSpan w:val="2"/>
            <w:vAlign w:val="center"/>
          </w:tcPr>
          <w:p w14:paraId="340B955F">
            <w:pPr>
              <w:widowControl/>
              <w:wordWrap w:val="0"/>
              <w:topLinePunct/>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评审因素</w:t>
            </w:r>
          </w:p>
        </w:tc>
        <w:tc>
          <w:tcPr>
            <w:tcW w:w="5103" w:type="dxa"/>
            <w:gridSpan w:val="2"/>
            <w:vAlign w:val="center"/>
          </w:tcPr>
          <w:p w14:paraId="4243F391">
            <w:pPr>
              <w:widowControl/>
              <w:wordWrap w:val="0"/>
              <w:topLinePunct/>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评审标准</w:t>
            </w:r>
          </w:p>
        </w:tc>
      </w:tr>
      <w:tr w14:paraId="45281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1866" w:type="dxa"/>
            <w:gridSpan w:val="2"/>
            <w:vAlign w:val="center"/>
          </w:tcPr>
          <w:p w14:paraId="691730D6">
            <w:pPr>
              <w:widowControl/>
              <w:wordWrap w:val="0"/>
              <w:topLinePunct/>
              <w:spacing w:line="360" w:lineRule="auto"/>
              <w:jc w:val="center"/>
              <w:rPr>
                <w:rFonts w:hint="eastAsia" w:ascii="宋体" w:hAnsi="宋体" w:eastAsia="宋体" w:cs="宋体"/>
                <w:kern w:val="0"/>
                <w:sz w:val="24"/>
                <w:szCs w:val="24"/>
              </w:rPr>
            </w:pPr>
          </w:p>
        </w:tc>
        <w:tc>
          <w:tcPr>
            <w:tcW w:w="2410" w:type="dxa"/>
            <w:gridSpan w:val="2"/>
            <w:vAlign w:val="center"/>
          </w:tcPr>
          <w:p w14:paraId="00094475">
            <w:pPr>
              <w:widowControl/>
              <w:wordWrap w:val="0"/>
              <w:topLinePunct/>
              <w:spacing w:line="360" w:lineRule="auto"/>
              <w:jc w:val="center"/>
              <w:rPr>
                <w:rFonts w:hint="eastAsia" w:ascii="宋体" w:hAnsi="宋体" w:eastAsia="宋体" w:cs="宋体"/>
                <w:kern w:val="0"/>
                <w:sz w:val="24"/>
                <w:szCs w:val="24"/>
              </w:rPr>
            </w:pPr>
          </w:p>
        </w:tc>
        <w:tc>
          <w:tcPr>
            <w:tcW w:w="5103" w:type="dxa"/>
            <w:gridSpan w:val="2"/>
            <w:vAlign w:val="center"/>
          </w:tcPr>
          <w:p w14:paraId="66AC5667">
            <w:pPr>
              <w:widowControl/>
              <w:wordWrap w:val="0"/>
              <w:topLinePunct/>
              <w:spacing w:line="360" w:lineRule="auto"/>
              <w:jc w:val="center"/>
              <w:rPr>
                <w:rFonts w:hint="eastAsia" w:ascii="宋体" w:hAnsi="宋体" w:eastAsia="宋体" w:cs="宋体"/>
                <w:kern w:val="0"/>
                <w:sz w:val="24"/>
                <w:szCs w:val="24"/>
              </w:rPr>
            </w:pPr>
          </w:p>
        </w:tc>
      </w:tr>
      <w:tr w14:paraId="1E5A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jc w:val="center"/>
        </w:trPr>
        <w:tc>
          <w:tcPr>
            <w:tcW w:w="990" w:type="dxa"/>
            <w:vMerge w:val="restart"/>
            <w:vAlign w:val="center"/>
          </w:tcPr>
          <w:p w14:paraId="34208BA1">
            <w:pPr>
              <w:widowControl/>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2.1.</w:t>
            </w:r>
            <w:r>
              <w:rPr>
                <w:rFonts w:hint="eastAsia" w:ascii="宋体" w:hAnsi="宋体" w:eastAsia="宋体" w:cs="宋体"/>
                <w:kern w:val="0"/>
                <w:sz w:val="24"/>
                <w:szCs w:val="24"/>
                <w:lang w:val="en-US" w:eastAsia="zh-CN"/>
              </w:rPr>
              <w:t>1</w:t>
            </w:r>
          </w:p>
        </w:tc>
        <w:tc>
          <w:tcPr>
            <w:tcW w:w="876" w:type="dxa"/>
            <w:vMerge w:val="restart"/>
            <w:vAlign w:val="center"/>
          </w:tcPr>
          <w:p w14:paraId="228BF2CE">
            <w:pPr>
              <w:widowControl/>
              <w:wordWrap w:val="0"/>
              <w:topLinePunct/>
              <w:spacing w:line="360" w:lineRule="auto"/>
              <w:jc w:val="center"/>
              <w:rPr>
                <w:rFonts w:ascii="宋体" w:hAnsi="宋体" w:eastAsia="宋体" w:cs="宋体"/>
                <w:sz w:val="24"/>
                <w:szCs w:val="24"/>
              </w:rPr>
            </w:pPr>
            <w:r>
              <w:rPr>
                <w:rFonts w:hint="eastAsia" w:ascii="宋体" w:hAnsi="宋体" w:eastAsia="宋体" w:cs="宋体"/>
                <w:sz w:val="24"/>
                <w:szCs w:val="24"/>
              </w:rPr>
              <w:t>资格审查</w:t>
            </w:r>
            <w:r>
              <w:rPr>
                <w:rFonts w:hint="eastAsia" w:ascii="宋体" w:hAnsi="宋体" w:eastAsia="宋体" w:cs="宋体"/>
                <w:kern w:val="0"/>
                <w:sz w:val="24"/>
                <w:szCs w:val="24"/>
              </w:rPr>
              <w:t>标准</w:t>
            </w:r>
          </w:p>
        </w:tc>
        <w:tc>
          <w:tcPr>
            <w:tcW w:w="2410" w:type="dxa"/>
            <w:gridSpan w:val="2"/>
            <w:vAlign w:val="center"/>
          </w:tcPr>
          <w:p w14:paraId="0B14EBA9">
            <w:pPr>
              <w:widowControl/>
              <w:wordWrap w:val="0"/>
              <w:topLinePunct/>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营业执照</w:t>
            </w:r>
          </w:p>
        </w:tc>
        <w:tc>
          <w:tcPr>
            <w:tcW w:w="5103" w:type="dxa"/>
            <w:gridSpan w:val="2"/>
            <w:vAlign w:val="center"/>
          </w:tcPr>
          <w:p w14:paraId="4C064C86">
            <w:pPr>
              <w:widowControl/>
              <w:wordWrap w:val="0"/>
              <w:topLinePunct/>
              <w:spacing w:line="360" w:lineRule="auto"/>
              <w:jc w:val="left"/>
              <w:rPr>
                <w:rFonts w:ascii="宋体" w:hAnsi="宋体" w:eastAsia="宋体" w:cs="宋体"/>
                <w:sz w:val="24"/>
                <w:szCs w:val="24"/>
              </w:rPr>
            </w:pPr>
            <w:r>
              <w:rPr>
                <w:rFonts w:hint="eastAsia" w:ascii="宋体" w:hAnsi="宋体" w:eastAsia="宋体" w:cs="宋体"/>
                <w:sz w:val="24"/>
                <w:szCs w:val="24"/>
              </w:rPr>
              <w:t>具备独立法人资格</w:t>
            </w:r>
            <w:r>
              <w:rPr>
                <w:rFonts w:hint="eastAsia" w:ascii="宋体" w:hAnsi="宋体" w:eastAsia="宋体" w:cs="宋体"/>
                <w:sz w:val="24"/>
                <w:szCs w:val="24"/>
                <w:lang w:eastAsia="zh-CN"/>
              </w:rPr>
              <w:t>，</w:t>
            </w:r>
            <w:r>
              <w:rPr>
                <w:rFonts w:hint="eastAsia" w:ascii="宋体" w:hAnsi="宋体" w:eastAsia="宋体" w:cs="宋体"/>
                <w:sz w:val="24"/>
                <w:szCs w:val="24"/>
              </w:rPr>
              <w:t>具有有效的营业执照</w:t>
            </w:r>
          </w:p>
        </w:tc>
      </w:tr>
      <w:tr w14:paraId="455E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990" w:type="dxa"/>
            <w:vMerge w:val="continue"/>
            <w:vAlign w:val="center"/>
          </w:tcPr>
          <w:p w14:paraId="5C9000E2">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45D52A6B">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42FB69BA">
            <w:pPr>
              <w:wordWrap w:val="0"/>
              <w:topLinePunct/>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资质证书</w:t>
            </w:r>
          </w:p>
        </w:tc>
        <w:tc>
          <w:tcPr>
            <w:tcW w:w="5103" w:type="dxa"/>
            <w:gridSpan w:val="2"/>
            <w:vAlign w:val="center"/>
          </w:tcPr>
          <w:p w14:paraId="5DF3BD12">
            <w:pPr>
              <w:wordWrap w:val="0"/>
              <w:topLinePunct/>
              <w:autoSpaceDE w:val="0"/>
              <w:autoSpaceDN w:val="0"/>
              <w:adjustRightInd w:val="0"/>
              <w:spacing w:line="360" w:lineRule="auto"/>
              <w:ind w:left="37" w:leftChars="18"/>
              <w:jc w:val="left"/>
              <w:rPr>
                <w:rFonts w:ascii="宋体" w:hAnsi="宋体" w:eastAsia="宋体" w:cs="宋体"/>
                <w:kern w:val="0"/>
                <w:sz w:val="24"/>
                <w:szCs w:val="24"/>
              </w:rPr>
            </w:pPr>
            <w:r>
              <w:rPr>
                <w:rFonts w:hint="eastAsia" w:ascii="宋体" w:hAnsi="宋体" w:eastAsia="宋体" w:cs="宋体"/>
                <w:kern w:val="0"/>
                <w:sz w:val="24"/>
                <w:szCs w:val="24"/>
                <w:lang w:val="en-US" w:eastAsia="zh-CN"/>
              </w:rPr>
              <w:t>具备</w:t>
            </w:r>
            <w:r>
              <w:rPr>
                <w:rFonts w:hint="eastAsia" w:ascii="宋体" w:hAnsi="宋体" w:eastAsia="宋体" w:cs="宋体"/>
                <w:sz w:val="24"/>
                <w:szCs w:val="24"/>
                <w:lang w:val="en-US" w:eastAsia="zh-CN"/>
              </w:rPr>
              <w:t>市政公用工程监理乙级及以上资质或工程监理综合资质；</w:t>
            </w:r>
          </w:p>
        </w:tc>
      </w:tr>
      <w:tr w14:paraId="6D4ED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990" w:type="dxa"/>
            <w:vMerge w:val="continue"/>
            <w:vAlign w:val="center"/>
          </w:tcPr>
          <w:p w14:paraId="57AA8261">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3FE539C8">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3B4F715E">
            <w:pPr>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项目总监</w:t>
            </w:r>
          </w:p>
        </w:tc>
        <w:tc>
          <w:tcPr>
            <w:tcW w:w="5103" w:type="dxa"/>
            <w:gridSpan w:val="2"/>
            <w:vAlign w:val="center"/>
          </w:tcPr>
          <w:p w14:paraId="130DBC90">
            <w:pPr>
              <w:widowControl/>
              <w:spacing w:line="360" w:lineRule="auto"/>
              <w:rPr>
                <w:rFonts w:ascii="宋体" w:hAnsi="宋体" w:eastAsia="宋体" w:cs="宋体"/>
                <w:kern w:val="0"/>
                <w:sz w:val="24"/>
                <w:szCs w:val="24"/>
              </w:rPr>
            </w:pPr>
            <w:r>
              <w:rPr>
                <w:rFonts w:hint="eastAsia" w:ascii="宋体" w:hAnsi="宋体" w:eastAsia="宋体" w:cs="宋体"/>
                <w:kern w:val="0"/>
                <w:sz w:val="24"/>
                <w:szCs w:val="24"/>
                <w:lang w:val="en-US" w:eastAsia="zh-CN"/>
              </w:rPr>
              <w:t>具有市政公用工程专业国家注册监理工程师资格证书；在本单位签订劳动合同（提供劳动合同），已参加社会保险（提供近半年连续三个月社保证明）；</w:t>
            </w:r>
          </w:p>
        </w:tc>
      </w:tr>
      <w:tr w14:paraId="79DDF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vAlign w:val="center"/>
          </w:tcPr>
          <w:p w14:paraId="6C666A11">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3E73888F">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1BAAB5DB">
            <w:pPr>
              <w:wordWrap w:val="0"/>
              <w:topLinePunct/>
              <w:spacing w:line="360" w:lineRule="auto"/>
              <w:jc w:val="center"/>
              <w:rPr>
                <w:rFonts w:hint="eastAsia" w:ascii="宋体" w:hAnsi="宋体" w:eastAsia="宋体" w:cs="宋体"/>
                <w:sz w:val="24"/>
                <w:szCs w:val="24"/>
                <w:lang w:eastAsia="zh-CN"/>
              </w:rPr>
            </w:pPr>
            <w:r>
              <w:rPr>
                <w:rFonts w:hint="eastAsia" w:ascii="宋体" w:hAnsi="宋体" w:eastAsia="宋体" w:cs="宋体"/>
                <w:kern w:val="0"/>
                <w:sz w:val="24"/>
                <w:szCs w:val="24"/>
                <w:lang w:val="en-US" w:eastAsia="zh-CN"/>
              </w:rPr>
              <w:t>项目总监代表、现场监理人员</w:t>
            </w:r>
          </w:p>
        </w:tc>
        <w:tc>
          <w:tcPr>
            <w:tcW w:w="5103" w:type="dxa"/>
            <w:gridSpan w:val="2"/>
            <w:vAlign w:val="center"/>
          </w:tcPr>
          <w:p w14:paraId="5AF939A8">
            <w:pPr>
              <w:wordWrap w:val="0"/>
              <w:topLinePunct/>
              <w:autoSpaceDE w:val="0"/>
              <w:autoSpaceDN w:val="0"/>
              <w:adjustRightInd w:val="0"/>
              <w:spacing w:line="360" w:lineRule="auto"/>
              <w:ind w:left="37" w:leftChars="18"/>
              <w:jc w:val="left"/>
              <w:rPr>
                <w:rFonts w:ascii="宋体" w:hAnsi="宋体" w:eastAsia="宋体" w:cs="宋体"/>
                <w:kern w:val="0"/>
                <w:sz w:val="24"/>
                <w:szCs w:val="24"/>
              </w:rPr>
            </w:pPr>
            <w:r>
              <w:rPr>
                <w:rFonts w:hint="eastAsia" w:ascii="宋体" w:hAnsi="宋体" w:eastAsia="宋体" w:cs="宋体"/>
                <w:kern w:val="0"/>
                <w:sz w:val="24"/>
                <w:szCs w:val="24"/>
                <w:lang w:val="en-US" w:eastAsia="zh-CN"/>
              </w:rPr>
              <w:t>提供与本单位签订的劳动合同（提供劳动合同），已参加社会保险（提供近半年连续三个月社保证明）</w:t>
            </w:r>
          </w:p>
        </w:tc>
      </w:tr>
      <w:tr w14:paraId="0018E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vAlign w:val="center"/>
          </w:tcPr>
          <w:p w14:paraId="112A2509">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0137EBD8">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13843364">
            <w:pPr>
              <w:wordWrap w:val="0"/>
              <w:topLinePunct/>
              <w:spacing w:line="360" w:lineRule="auto"/>
              <w:jc w:val="center"/>
              <w:rPr>
                <w:rFonts w:ascii="宋体" w:hAnsi="宋体" w:eastAsia="宋体" w:cs="宋体"/>
                <w:sz w:val="24"/>
                <w:szCs w:val="24"/>
              </w:rPr>
            </w:pPr>
            <w:r>
              <w:rPr>
                <w:rFonts w:hint="eastAsia" w:ascii="宋体" w:hAnsi="宋体" w:eastAsia="宋体" w:cs="宋体"/>
                <w:kern w:val="0"/>
                <w:sz w:val="24"/>
                <w:szCs w:val="24"/>
                <w:lang w:val="en-US" w:eastAsia="zh-CN"/>
              </w:rPr>
              <w:t>人员、设备、资金等方面具备相应的能力</w:t>
            </w:r>
          </w:p>
        </w:tc>
        <w:tc>
          <w:tcPr>
            <w:tcW w:w="5103" w:type="dxa"/>
            <w:gridSpan w:val="2"/>
            <w:vAlign w:val="center"/>
          </w:tcPr>
          <w:p w14:paraId="2A0C2566">
            <w:pPr>
              <w:wordWrap w:val="0"/>
              <w:topLinePunct/>
              <w:autoSpaceDE w:val="0"/>
              <w:autoSpaceDN w:val="0"/>
              <w:adjustRightInd w:val="0"/>
              <w:spacing w:line="360" w:lineRule="auto"/>
              <w:ind w:left="37" w:leftChars="18"/>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提供承诺书，格式自拟</w:t>
            </w:r>
          </w:p>
        </w:tc>
      </w:tr>
      <w:tr w14:paraId="4193D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vAlign w:val="center"/>
          </w:tcPr>
          <w:p w14:paraId="6BE0A66D">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0EB3D1E3">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4F89E33A">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具有良好的财务状况且没有处于被责令停业</w:t>
            </w:r>
          </w:p>
        </w:tc>
        <w:tc>
          <w:tcPr>
            <w:tcW w:w="5103" w:type="dxa"/>
            <w:gridSpan w:val="2"/>
            <w:vAlign w:val="center"/>
          </w:tcPr>
          <w:p w14:paraId="214A73C3">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投标人须提供近三年任意一年的经第三方审计机构出具的审计报告,投标人成立不满一年的提供最近一月的财务报表；</w:t>
            </w:r>
          </w:p>
        </w:tc>
      </w:tr>
      <w:tr w14:paraId="5ADC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vAlign w:val="center"/>
          </w:tcPr>
          <w:p w14:paraId="7D86A25C">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1E77D45B">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451D946D">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参加政府采购活动前3年内无行贿犯罪记录、商业贿赂、不正当竞争行为</w:t>
            </w:r>
          </w:p>
        </w:tc>
        <w:tc>
          <w:tcPr>
            <w:tcW w:w="5103" w:type="dxa"/>
            <w:gridSpan w:val="2"/>
            <w:vAlign w:val="center"/>
          </w:tcPr>
          <w:p w14:paraId="4915032D">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参加政府采购活动前3年内无行贿犯罪记录、商业贿赂、不正当竞争行为、骗取中标、严重违约及重大工程质量等问题；投标企业出具的无行贿犯罪记录在中国裁判文书网自行查询或自行承诺（查询对象：企业、法定代表人、项目总监)及工商部门出具的无商业贿赂和不正当竞争证明，若当地工商部门不出具此证明，企业自行承诺无商业贿赂和不正当竞争行为；</w:t>
            </w:r>
          </w:p>
        </w:tc>
      </w:tr>
      <w:tr w14:paraId="77D3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vAlign w:val="center"/>
          </w:tcPr>
          <w:p w14:paraId="17E177CC">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05DE651C">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39874DFE">
            <w:pPr>
              <w:widowControl/>
              <w:spacing w:line="360" w:lineRule="auto"/>
              <w:jc w:val="center"/>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信用查询</w:t>
            </w:r>
          </w:p>
        </w:tc>
        <w:tc>
          <w:tcPr>
            <w:tcW w:w="5103" w:type="dxa"/>
            <w:gridSpan w:val="2"/>
            <w:vAlign w:val="center"/>
          </w:tcPr>
          <w:p w14:paraId="4A936F7E">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根据《关于在政府采购活动中查询及使用信用记录有关问题的通知》(财库[2016]125号)和豫财购【2016】15号的规定，企业没有被列入“信用中国”网站的“失信被执行人”、“重大税收违法失信主体”及“中国政府采购网”网站的“政府采购严重违法失信行为记录名单”的响应人；（查询渠道：“信用中国”网站（www.creditchina.gov.cn）、中国政府采购网（www.ccgp.gov.cn）；提供网站的查询信息截图；(注：査询时间必须是公告发布以后开标时间以前并提供网站查询网页截图，查询结果清晰可见)；</w:t>
            </w:r>
          </w:p>
        </w:tc>
      </w:tr>
      <w:tr w14:paraId="5782E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vAlign w:val="center"/>
          </w:tcPr>
          <w:p w14:paraId="3D28205F">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41129610">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0CAF9DBB">
            <w:pPr>
              <w:autoSpaceDE/>
              <w:autoSpaceDN/>
              <w:spacing w:line="300" w:lineRule="exact"/>
              <w:jc w:val="left"/>
              <w:rPr>
                <w:rFonts w:hint="eastAsia" w:ascii="宋体" w:hAnsi="宋体" w:eastAsia="宋体" w:cs="宋体"/>
                <w:bCs/>
                <w:spacing w:val="-2"/>
                <w:sz w:val="24"/>
                <w:szCs w:val="24"/>
              </w:rPr>
            </w:pPr>
            <w:r>
              <w:rPr>
                <w:rFonts w:hint="eastAsia" w:ascii="宋体" w:hAnsi="宋体" w:eastAsia="宋体" w:cs="宋体"/>
                <w:kern w:val="2"/>
                <w:sz w:val="24"/>
                <w:szCs w:val="24"/>
                <w:lang w:val="en-US" w:eastAsia="zh-CN"/>
              </w:rPr>
              <w:t>本次招标不接受联合体投标</w:t>
            </w:r>
          </w:p>
        </w:tc>
        <w:tc>
          <w:tcPr>
            <w:tcW w:w="5103" w:type="dxa"/>
            <w:gridSpan w:val="2"/>
            <w:vAlign w:val="center"/>
          </w:tcPr>
          <w:p w14:paraId="54A7862A">
            <w:pPr>
              <w:autoSpaceDE/>
              <w:autoSpaceDN/>
              <w:spacing w:line="300" w:lineRule="exact"/>
              <w:jc w:val="left"/>
              <w:rPr>
                <w:rFonts w:hint="eastAsia" w:ascii="宋体" w:hAnsi="宋体" w:eastAsia="宋体" w:cs="宋体"/>
                <w:bCs/>
                <w:sz w:val="24"/>
                <w:szCs w:val="24"/>
              </w:rPr>
            </w:pPr>
            <w:r>
              <w:rPr>
                <w:rFonts w:hint="eastAsia" w:ascii="宋体" w:hAnsi="宋体" w:eastAsia="宋体" w:cs="宋体"/>
                <w:kern w:val="2"/>
                <w:sz w:val="24"/>
                <w:szCs w:val="24"/>
                <w:lang w:val="en-US" w:eastAsia="zh-CN"/>
              </w:rPr>
              <w:t>企业自行承诺，格式自拟；</w:t>
            </w:r>
          </w:p>
        </w:tc>
      </w:tr>
      <w:tr w14:paraId="40E4C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vAlign w:val="center"/>
          </w:tcPr>
          <w:p w14:paraId="129856EA">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16F485A8">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09F1E424">
            <w:pPr>
              <w:widowControl/>
              <w:wordWrap w:val="0"/>
              <w:topLinePunct/>
              <w:spacing w:line="360" w:lineRule="auto"/>
              <w:jc w:val="center"/>
              <w:rPr>
                <w:rFonts w:hint="eastAsia" w:ascii="宋体" w:hAnsi="宋体" w:eastAsia="宋体" w:cs="宋体"/>
                <w:kern w:val="0"/>
                <w:sz w:val="24"/>
                <w:szCs w:val="24"/>
              </w:rPr>
            </w:pPr>
            <w:r>
              <w:rPr>
                <w:rFonts w:hint="eastAsia" w:ascii="宋体" w:hAnsi="宋体" w:eastAsia="宋体" w:cs="宋体"/>
                <w:kern w:val="0"/>
                <w:sz w:val="24"/>
                <w:szCs w:val="24"/>
              </w:rPr>
              <w:t>满足《中华人民共和国政府采购法》第二十二条规定承诺书</w:t>
            </w:r>
          </w:p>
        </w:tc>
        <w:tc>
          <w:tcPr>
            <w:tcW w:w="5103" w:type="dxa"/>
            <w:gridSpan w:val="2"/>
            <w:vAlign w:val="center"/>
          </w:tcPr>
          <w:p w14:paraId="575269EE">
            <w:pPr>
              <w:widowControl/>
              <w:wordWrap w:val="0"/>
              <w:topLinePunct/>
              <w:spacing w:line="360" w:lineRule="auto"/>
              <w:jc w:val="left"/>
              <w:rPr>
                <w:rFonts w:hint="eastAsia" w:ascii="宋体" w:hAnsi="宋体" w:eastAsia="宋体" w:cs="宋体"/>
                <w:kern w:val="0"/>
                <w:sz w:val="24"/>
                <w:szCs w:val="24"/>
              </w:rPr>
            </w:pPr>
            <w:r>
              <w:rPr>
                <w:rFonts w:hint="eastAsia" w:ascii="宋体" w:hAnsi="宋体" w:eastAsia="宋体" w:cs="宋体"/>
                <w:kern w:val="0"/>
                <w:sz w:val="24"/>
                <w:szCs w:val="24"/>
              </w:rPr>
              <w:t>提供承诺函</w:t>
            </w:r>
            <w:r>
              <w:rPr>
                <w:rFonts w:hint="eastAsia" w:ascii="宋体" w:hAnsi="宋体" w:eastAsia="宋体" w:cs="宋体"/>
                <w:kern w:val="0"/>
                <w:sz w:val="24"/>
                <w:szCs w:val="24"/>
                <w:lang w:eastAsia="zh-CN"/>
              </w:rPr>
              <w:t>，</w:t>
            </w:r>
            <w:r>
              <w:rPr>
                <w:rFonts w:hint="eastAsia" w:ascii="宋体" w:hAnsi="宋体" w:eastAsia="宋体" w:cs="宋体"/>
                <w:kern w:val="0"/>
                <w:sz w:val="24"/>
                <w:szCs w:val="24"/>
              </w:rPr>
              <w:t>格式</w:t>
            </w:r>
            <w:r>
              <w:rPr>
                <w:rFonts w:hint="eastAsia" w:ascii="宋体" w:hAnsi="宋体" w:eastAsia="宋体" w:cs="宋体"/>
                <w:kern w:val="0"/>
                <w:sz w:val="24"/>
                <w:szCs w:val="24"/>
                <w:lang w:eastAsia="zh-CN"/>
              </w:rPr>
              <w:t>自拟</w:t>
            </w:r>
          </w:p>
        </w:tc>
      </w:tr>
      <w:tr w14:paraId="5A61F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90" w:type="dxa"/>
            <w:vMerge w:val="continue"/>
            <w:vAlign w:val="center"/>
          </w:tcPr>
          <w:p w14:paraId="41C768B4">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61C6E144">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65BCF0CF">
            <w:pPr>
              <w:spacing w:line="360" w:lineRule="exact"/>
              <w:ind w:left="56" w:leftChars="27" w:right="84" w:rightChars="40"/>
              <w:jc w:val="center"/>
              <w:rPr>
                <w:rFonts w:ascii="宋体" w:hAnsi="宋体" w:eastAsia="宋体" w:cs="宋体"/>
                <w:kern w:val="0"/>
                <w:sz w:val="24"/>
                <w:szCs w:val="24"/>
              </w:rPr>
            </w:pPr>
            <w:r>
              <w:rPr>
                <w:rFonts w:hint="eastAsia" w:ascii="宋体" w:hAnsi="宋体" w:eastAsia="宋体" w:cs="宋体"/>
                <w:color w:val="auto"/>
                <w:sz w:val="24"/>
                <w:szCs w:val="24"/>
              </w:rPr>
              <w:t>本项目专门面向中小企业采购</w:t>
            </w:r>
          </w:p>
        </w:tc>
        <w:tc>
          <w:tcPr>
            <w:tcW w:w="5103" w:type="dxa"/>
            <w:gridSpan w:val="2"/>
            <w:vAlign w:val="center"/>
          </w:tcPr>
          <w:p w14:paraId="65EF3D38">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eastAsia="宋体" w:cs="宋体"/>
                <w:kern w:val="0"/>
                <w:sz w:val="24"/>
                <w:szCs w:val="24"/>
                <w:lang w:eastAsia="zh-CN"/>
              </w:rPr>
            </w:pPr>
            <w:r>
              <w:rPr>
                <w:rFonts w:hint="eastAsia" w:ascii="宋体" w:hAnsi="宋体" w:eastAsia="宋体" w:cs="宋体"/>
                <w:color w:val="auto"/>
                <w:sz w:val="24"/>
                <w:szCs w:val="24"/>
                <w:lang w:val="en-US" w:eastAsia="zh-CN"/>
              </w:rPr>
              <w:t>落实政府采购政策满足的资格要求：根据《政府采购促进中小企业发展管理办法》（财库〔2020〕46号）规定，本项目专门面向中小企业采购,同时供应商须提供《中小企业声明函》。</w:t>
            </w:r>
          </w:p>
        </w:tc>
      </w:tr>
      <w:tr w14:paraId="5C5D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990" w:type="dxa"/>
            <w:vMerge w:val="restart"/>
            <w:vAlign w:val="center"/>
          </w:tcPr>
          <w:p w14:paraId="43529E22">
            <w:pPr>
              <w:widowControl/>
              <w:tabs>
                <w:tab w:val="left" w:pos="243"/>
              </w:tabs>
              <w:wordWrap w:val="0"/>
              <w:topLinePunct/>
              <w:spacing w:line="360" w:lineRule="auto"/>
              <w:jc w:val="left"/>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2.1.2</w:t>
            </w:r>
          </w:p>
        </w:tc>
        <w:tc>
          <w:tcPr>
            <w:tcW w:w="876" w:type="dxa"/>
            <w:vMerge w:val="restart"/>
            <w:vAlign w:val="center"/>
          </w:tcPr>
          <w:p w14:paraId="45D5C172">
            <w:pPr>
              <w:widowControl/>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形式评审标准</w:t>
            </w:r>
          </w:p>
        </w:tc>
        <w:tc>
          <w:tcPr>
            <w:tcW w:w="2410" w:type="dxa"/>
            <w:gridSpan w:val="2"/>
            <w:vAlign w:val="center"/>
          </w:tcPr>
          <w:p w14:paraId="314ADA01">
            <w:pPr>
              <w:widowControl/>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供应商名称</w:t>
            </w:r>
          </w:p>
        </w:tc>
        <w:tc>
          <w:tcPr>
            <w:tcW w:w="5103" w:type="dxa"/>
            <w:gridSpan w:val="2"/>
            <w:vAlign w:val="center"/>
          </w:tcPr>
          <w:p w14:paraId="3281FD17">
            <w:pPr>
              <w:widowControl/>
              <w:wordWrap w:val="0"/>
              <w:topLinePunct/>
              <w:spacing w:line="360" w:lineRule="auto"/>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与营业执照等一致</w:t>
            </w:r>
          </w:p>
        </w:tc>
      </w:tr>
      <w:tr w14:paraId="348D2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990" w:type="dxa"/>
            <w:vMerge w:val="continue"/>
            <w:vAlign w:val="center"/>
          </w:tcPr>
          <w:p w14:paraId="278C74AA">
            <w:pPr>
              <w:widowControl/>
              <w:wordWrap w:val="0"/>
              <w:topLinePunct/>
              <w:spacing w:line="360" w:lineRule="auto"/>
              <w:jc w:val="left"/>
            </w:pPr>
          </w:p>
        </w:tc>
        <w:tc>
          <w:tcPr>
            <w:tcW w:w="876" w:type="dxa"/>
            <w:vMerge w:val="continue"/>
            <w:vAlign w:val="center"/>
          </w:tcPr>
          <w:p w14:paraId="04FB8D64">
            <w:pPr>
              <w:widowControl/>
              <w:wordWrap w:val="0"/>
              <w:topLinePunct/>
              <w:spacing w:line="360" w:lineRule="auto"/>
              <w:jc w:val="left"/>
            </w:pPr>
          </w:p>
        </w:tc>
        <w:tc>
          <w:tcPr>
            <w:tcW w:w="2410" w:type="dxa"/>
            <w:gridSpan w:val="2"/>
            <w:vAlign w:val="center"/>
          </w:tcPr>
          <w:p w14:paraId="3A608B3E">
            <w:pPr>
              <w:widowControl/>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响应文件签署、盖章</w:t>
            </w:r>
          </w:p>
        </w:tc>
        <w:tc>
          <w:tcPr>
            <w:tcW w:w="5103" w:type="dxa"/>
            <w:gridSpan w:val="2"/>
            <w:vAlign w:val="center"/>
          </w:tcPr>
          <w:p w14:paraId="0CBECD6F">
            <w:pPr>
              <w:widowControl/>
              <w:wordWrap w:val="0"/>
              <w:topLinePunct/>
              <w:spacing w:line="360" w:lineRule="auto"/>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符合竞争性磋商文件要求的签字、盖章或标注的要求；</w:t>
            </w:r>
          </w:p>
        </w:tc>
      </w:tr>
      <w:tr w14:paraId="5E78D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990" w:type="dxa"/>
            <w:vMerge w:val="continue"/>
            <w:vAlign w:val="center"/>
          </w:tcPr>
          <w:p w14:paraId="0B889DC1">
            <w:pPr>
              <w:widowControl/>
              <w:wordWrap w:val="0"/>
              <w:topLinePunct/>
              <w:spacing w:line="360" w:lineRule="auto"/>
              <w:jc w:val="left"/>
              <w:rPr>
                <w:rFonts w:hint="eastAsia" w:ascii="宋体" w:hAnsi="宋体" w:eastAsia="宋体" w:cs="宋体"/>
                <w:kern w:val="0"/>
                <w:sz w:val="24"/>
                <w:szCs w:val="24"/>
              </w:rPr>
            </w:pPr>
          </w:p>
        </w:tc>
        <w:tc>
          <w:tcPr>
            <w:tcW w:w="876" w:type="dxa"/>
            <w:vMerge w:val="continue"/>
            <w:vAlign w:val="center"/>
          </w:tcPr>
          <w:p w14:paraId="2E1F04D7">
            <w:pPr>
              <w:widowControl/>
              <w:wordWrap w:val="0"/>
              <w:topLinePunct/>
              <w:spacing w:line="360" w:lineRule="auto"/>
              <w:jc w:val="left"/>
              <w:rPr>
                <w:rFonts w:hint="eastAsia" w:ascii="宋体" w:hAnsi="宋体" w:eastAsia="宋体" w:cs="宋体"/>
                <w:kern w:val="0"/>
                <w:sz w:val="24"/>
                <w:szCs w:val="24"/>
              </w:rPr>
            </w:pPr>
          </w:p>
        </w:tc>
        <w:tc>
          <w:tcPr>
            <w:tcW w:w="2410" w:type="dxa"/>
            <w:gridSpan w:val="2"/>
            <w:vAlign w:val="center"/>
          </w:tcPr>
          <w:p w14:paraId="4922994B">
            <w:pPr>
              <w:widowControl/>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响应文件内容及格式</w:t>
            </w:r>
          </w:p>
        </w:tc>
        <w:tc>
          <w:tcPr>
            <w:tcW w:w="5103" w:type="dxa"/>
            <w:gridSpan w:val="2"/>
            <w:vAlign w:val="center"/>
          </w:tcPr>
          <w:p w14:paraId="75955120">
            <w:pPr>
              <w:widowControl/>
              <w:wordWrap w:val="0"/>
              <w:topLinePunct/>
              <w:spacing w:line="360" w:lineRule="auto"/>
              <w:jc w:val="both"/>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符合第五章“响应文件内容及格式”的要求；</w:t>
            </w:r>
          </w:p>
        </w:tc>
      </w:tr>
      <w:tr w14:paraId="33270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 w:hRule="atLeast"/>
          <w:jc w:val="center"/>
        </w:trPr>
        <w:tc>
          <w:tcPr>
            <w:tcW w:w="990" w:type="dxa"/>
            <w:vMerge w:val="continue"/>
            <w:vAlign w:val="center"/>
          </w:tcPr>
          <w:p w14:paraId="5D08C49D">
            <w:pPr>
              <w:widowControl/>
              <w:wordWrap w:val="0"/>
              <w:topLinePunct/>
              <w:spacing w:line="360" w:lineRule="auto"/>
              <w:jc w:val="left"/>
              <w:rPr>
                <w:rFonts w:hint="eastAsia" w:ascii="宋体" w:hAnsi="宋体" w:eastAsia="宋体" w:cs="宋体"/>
                <w:kern w:val="0"/>
                <w:sz w:val="24"/>
                <w:szCs w:val="24"/>
              </w:rPr>
            </w:pPr>
          </w:p>
        </w:tc>
        <w:tc>
          <w:tcPr>
            <w:tcW w:w="876" w:type="dxa"/>
            <w:vMerge w:val="continue"/>
            <w:vAlign w:val="center"/>
          </w:tcPr>
          <w:p w14:paraId="70A541B0">
            <w:pPr>
              <w:widowControl/>
              <w:wordWrap w:val="0"/>
              <w:topLinePunct/>
              <w:spacing w:line="360" w:lineRule="auto"/>
              <w:jc w:val="left"/>
              <w:rPr>
                <w:rFonts w:hint="eastAsia" w:ascii="宋体" w:hAnsi="宋体" w:eastAsia="宋体" w:cs="宋体"/>
                <w:kern w:val="0"/>
                <w:sz w:val="24"/>
                <w:szCs w:val="24"/>
              </w:rPr>
            </w:pPr>
          </w:p>
        </w:tc>
        <w:tc>
          <w:tcPr>
            <w:tcW w:w="2410" w:type="dxa"/>
            <w:gridSpan w:val="2"/>
            <w:vAlign w:val="center"/>
          </w:tcPr>
          <w:p w14:paraId="2CBE328F">
            <w:pPr>
              <w:widowControl/>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报价唯一</w:t>
            </w:r>
          </w:p>
        </w:tc>
        <w:tc>
          <w:tcPr>
            <w:tcW w:w="5103" w:type="dxa"/>
            <w:gridSpan w:val="2"/>
            <w:vAlign w:val="center"/>
          </w:tcPr>
          <w:p w14:paraId="33BFCD6F">
            <w:pPr>
              <w:widowControl/>
              <w:wordWrap w:val="0"/>
              <w:topLinePunct/>
              <w:spacing w:line="360" w:lineRule="auto"/>
              <w:jc w:val="left"/>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只能有一个有效报价</w:t>
            </w:r>
          </w:p>
        </w:tc>
      </w:tr>
      <w:tr w14:paraId="193AD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90" w:type="dxa"/>
            <w:vMerge w:val="restart"/>
            <w:vAlign w:val="center"/>
          </w:tcPr>
          <w:p w14:paraId="49C93DC7">
            <w:pPr>
              <w:widowControl/>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rPr>
              <w:t>2.1.</w:t>
            </w:r>
          </w:p>
        </w:tc>
        <w:tc>
          <w:tcPr>
            <w:tcW w:w="876" w:type="dxa"/>
            <w:vMerge w:val="restart"/>
            <w:vAlign w:val="center"/>
          </w:tcPr>
          <w:p w14:paraId="0CE30B4B">
            <w:pPr>
              <w:widowControl/>
              <w:wordWrap w:val="0"/>
              <w:topLinePunct/>
              <w:spacing w:line="360" w:lineRule="auto"/>
              <w:jc w:val="center"/>
              <w:rPr>
                <w:rFonts w:hint="eastAsia" w:ascii="宋体" w:hAnsi="宋体" w:eastAsia="宋体" w:cs="宋体"/>
                <w:kern w:val="0"/>
                <w:sz w:val="24"/>
                <w:szCs w:val="24"/>
                <w:lang w:eastAsia="zh-CN"/>
              </w:rPr>
            </w:pPr>
            <w:r>
              <w:rPr>
                <w:rFonts w:hint="eastAsia" w:ascii="宋体" w:hAnsi="宋体" w:eastAsia="宋体" w:cs="宋体"/>
                <w:kern w:val="0"/>
                <w:sz w:val="24"/>
                <w:szCs w:val="24"/>
                <w:lang w:eastAsia="zh-CN"/>
              </w:rPr>
              <w:t>响应性评审标准</w:t>
            </w:r>
          </w:p>
        </w:tc>
        <w:tc>
          <w:tcPr>
            <w:tcW w:w="2410" w:type="dxa"/>
            <w:gridSpan w:val="2"/>
            <w:vAlign w:val="center"/>
          </w:tcPr>
          <w:p w14:paraId="5216F35E">
            <w:pPr>
              <w:widowControl/>
              <w:wordWrap w:val="0"/>
              <w:topLinePunct/>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监理周期</w:t>
            </w:r>
          </w:p>
        </w:tc>
        <w:tc>
          <w:tcPr>
            <w:tcW w:w="5103" w:type="dxa"/>
            <w:gridSpan w:val="2"/>
            <w:vAlign w:val="center"/>
          </w:tcPr>
          <w:p w14:paraId="19E1F394">
            <w:pPr>
              <w:widowControl/>
              <w:wordWrap w:val="0"/>
              <w:topLinePunct/>
              <w:spacing w:line="360" w:lineRule="auto"/>
              <w:jc w:val="left"/>
              <w:rPr>
                <w:rFonts w:ascii="宋体" w:hAnsi="宋体" w:eastAsia="宋体" w:cs="宋体"/>
                <w:kern w:val="0"/>
                <w:sz w:val="24"/>
                <w:szCs w:val="24"/>
              </w:rPr>
            </w:pPr>
            <w:r>
              <w:rPr>
                <w:rFonts w:hint="eastAsia"/>
                <w:kern w:val="2"/>
                <w:sz w:val="24"/>
                <w:szCs w:val="24"/>
                <w:lang w:eastAsia="zh-CN"/>
              </w:rPr>
              <w:t>符合第二章“投标人须知”规定；</w:t>
            </w:r>
          </w:p>
        </w:tc>
      </w:tr>
      <w:tr w14:paraId="703F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jc w:val="center"/>
        </w:trPr>
        <w:tc>
          <w:tcPr>
            <w:tcW w:w="990" w:type="dxa"/>
            <w:vMerge w:val="continue"/>
            <w:vAlign w:val="center"/>
          </w:tcPr>
          <w:p w14:paraId="64D81725">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549A01A2">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5799B73F">
            <w:pPr>
              <w:widowControl/>
              <w:wordWrap w:val="0"/>
              <w:topLinePunct/>
              <w:spacing w:line="360" w:lineRule="auto"/>
              <w:jc w:val="center"/>
              <w:rPr>
                <w:rFonts w:ascii="宋体" w:hAnsi="宋体" w:eastAsia="宋体" w:cs="宋体"/>
                <w:kern w:val="0"/>
                <w:sz w:val="24"/>
                <w:szCs w:val="24"/>
              </w:rPr>
            </w:pPr>
            <w:r>
              <w:rPr>
                <w:rFonts w:hint="eastAsia" w:ascii="宋体" w:hAnsi="宋体" w:eastAsia="宋体" w:cs="宋体"/>
                <w:kern w:val="0"/>
                <w:sz w:val="24"/>
                <w:szCs w:val="24"/>
              </w:rPr>
              <w:t>质量标准</w:t>
            </w:r>
          </w:p>
        </w:tc>
        <w:tc>
          <w:tcPr>
            <w:tcW w:w="5103" w:type="dxa"/>
            <w:gridSpan w:val="2"/>
            <w:vAlign w:val="center"/>
          </w:tcPr>
          <w:p w14:paraId="3184175B">
            <w:pPr>
              <w:widowControl/>
              <w:wordWrap w:val="0"/>
              <w:topLinePunct/>
              <w:spacing w:line="360" w:lineRule="auto"/>
              <w:jc w:val="left"/>
              <w:rPr>
                <w:rFonts w:ascii="宋体" w:hAnsi="宋体" w:eastAsia="宋体" w:cs="宋体"/>
                <w:kern w:val="0"/>
                <w:sz w:val="24"/>
                <w:szCs w:val="24"/>
              </w:rPr>
            </w:pPr>
            <w:r>
              <w:rPr>
                <w:rFonts w:hint="eastAsia"/>
                <w:kern w:val="2"/>
                <w:sz w:val="24"/>
                <w:szCs w:val="24"/>
                <w:lang w:eastAsia="zh-CN"/>
              </w:rPr>
              <w:t>符合第二章“投标人须知”规定；</w:t>
            </w:r>
          </w:p>
        </w:tc>
      </w:tr>
      <w:tr w14:paraId="4FFE1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990" w:type="dxa"/>
            <w:vMerge w:val="continue"/>
            <w:vAlign w:val="center"/>
          </w:tcPr>
          <w:p w14:paraId="4163ABD0">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236363D8">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3C7AF7C7">
            <w:pPr>
              <w:widowControl/>
              <w:wordWrap w:val="0"/>
              <w:topLinePunct/>
              <w:spacing w:line="360" w:lineRule="auto"/>
              <w:jc w:val="center"/>
              <w:rPr>
                <w:rFonts w:ascii="宋体" w:hAnsi="宋体" w:eastAsia="宋体" w:cs="宋体"/>
                <w:kern w:val="0"/>
                <w:sz w:val="24"/>
                <w:szCs w:val="24"/>
              </w:rPr>
            </w:pPr>
            <w:r>
              <w:rPr>
                <w:rFonts w:hint="eastAsia" w:ascii="宋体" w:hAnsi="宋体" w:eastAsia="宋体" w:cs="宋体"/>
                <w:sz w:val="24"/>
                <w:szCs w:val="24"/>
              </w:rPr>
              <w:t>磋商有效期</w:t>
            </w:r>
          </w:p>
        </w:tc>
        <w:tc>
          <w:tcPr>
            <w:tcW w:w="5103" w:type="dxa"/>
            <w:gridSpan w:val="2"/>
            <w:vAlign w:val="center"/>
          </w:tcPr>
          <w:p w14:paraId="3D3DBD17">
            <w:pPr>
              <w:widowControl/>
              <w:wordWrap w:val="0"/>
              <w:topLinePunct/>
              <w:spacing w:line="360" w:lineRule="auto"/>
              <w:jc w:val="left"/>
              <w:rPr>
                <w:rFonts w:ascii="宋体" w:hAnsi="宋体" w:eastAsia="宋体" w:cs="宋体"/>
                <w:kern w:val="0"/>
                <w:sz w:val="24"/>
                <w:szCs w:val="24"/>
              </w:rPr>
            </w:pPr>
            <w:r>
              <w:rPr>
                <w:rFonts w:hint="eastAsia"/>
                <w:kern w:val="2"/>
                <w:sz w:val="24"/>
                <w:szCs w:val="24"/>
                <w:lang w:eastAsia="zh-CN"/>
              </w:rPr>
              <w:t>符合第二章“投标人须知”规定；</w:t>
            </w:r>
          </w:p>
        </w:tc>
      </w:tr>
      <w:tr w14:paraId="0505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990" w:type="dxa"/>
            <w:vMerge w:val="continue"/>
            <w:vAlign w:val="center"/>
          </w:tcPr>
          <w:p w14:paraId="0A7AD9E1">
            <w:pPr>
              <w:widowControl/>
              <w:wordWrap w:val="0"/>
              <w:topLinePunct/>
              <w:spacing w:line="360" w:lineRule="auto"/>
              <w:jc w:val="center"/>
              <w:rPr>
                <w:rFonts w:ascii="宋体" w:hAnsi="宋体" w:eastAsia="宋体" w:cs="宋体"/>
                <w:kern w:val="0"/>
                <w:sz w:val="24"/>
                <w:szCs w:val="24"/>
              </w:rPr>
            </w:pPr>
          </w:p>
        </w:tc>
        <w:tc>
          <w:tcPr>
            <w:tcW w:w="876" w:type="dxa"/>
            <w:vMerge w:val="continue"/>
            <w:vAlign w:val="center"/>
          </w:tcPr>
          <w:p w14:paraId="424451CF">
            <w:pPr>
              <w:widowControl/>
              <w:wordWrap w:val="0"/>
              <w:topLinePunct/>
              <w:spacing w:line="360" w:lineRule="auto"/>
              <w:jc w:val="center"/>
              <w:rPr>
                <w:rFonts w:ascii="宋体" w:hAnsi="宋体" w:eastAsia="宋体" w:cs="宋体"/>
                <w:kern w:val="0"/>
                <w:sz w:val="24"/>
                <w:szCs w:val="24"/>
              </w:rPr>
            </w:pPr>
          </w:p>
        </w:tc>
        <w:tc>
          <w:tcPr>
            <w:tcW w:w="2410" w:type="dxa"/>
            <w:gridSpan w:val="2"/>
            <w:vAlign w:val="center"/>
          </w:tcPr>
          <w:p w14:paraId="7E5991BA">
            <w:pPr>
              <w:widowControl/>
              <w:wordWrap w:val="0"/>
              <w:topLinePunct/>
              <w:spacing w:line="360" w:lineRule="auto"/>
              <w:jc w:val="center"/>
              <w:rPr>
                <w:rFonts w:ascii="宋体" w:hAnsi="宋体" w:eastAsia="宋体" w:cs="宋体"/>
                <w:kern w:val="0"/>
                <w:sz w:val="24"/>
                <w:szCs w:val="24"/>
              </w:rPr>
            </w:pPr>
            <w:r>
              <w:rPr>
                <w:rFonts w:hint="eastAsia" w:ascii="宋体" w:hAnsi="宋体" w:eastAsia="宋体" w:cs="宋体"/>
                <w:sz w:val="24"/>
                <w:szCs w:val="24"/>
              </w:rPr>
              <w:t>磋商承诺函</w:t>
            </w:r>
          </w:p>
        </w:tc>
        <w:tc>
          <w:tcPr>
            <w:tcW w:w="5103" w:type="dxa"/>
            <w:gridSpan w:val="2"/>
            <w:vAlign w:val="center"/>
          </w:tcPr>
          <w:p w14:paraId="734AF5CA">
            <w:pPr>
              <w:widowControl/>
              <w:wordWrap w:val="0"/>
              <w:topLinePunct/>
              <w:spacing w:line="360" w:lineRule="auto"/>
              <w:jc w:val="both"/>
              <w:rPr>
                <w:rFonts w:ascii="宋体" w:hAnsi="宋体" w:eastAsia="宋体" w:cs="宋体"/>
                <w:kern w:val="0"/>
                <w:sz w:val="24"/>
                <w:szCs w:val="24"/>
              </w:rPr>
            </w:pPr>
            <w:r>
              <w:rPr>
                <w:rFonts w:hint="eastAsia" w:ascii="宋体" w:hAnsi="宋体" w:eastAsia="宋体" w:cs="宋体"/>
                <w:sz w:val="24"/>
                <w:szCs w:val="24"/>
              </w:rPr>
              <w:t>符合第</w:t>
            </w:r>
            <w:r>
              <w:rPr>
                <w:rFonts w:hint="eastAsia" w:ascii="宋体" w:hAnsi="宋体" w:eastAsia="宋体" w:cs="宋体"/>
                <w:sz w:val="24"/>
                <w:szCs w:val="24"/>
                <w:lang w:eastAsia="zh-CN"/>
              </w:rPr>
              <w:t>五</w:t>
            </w:r>
            <w:r>
              <w:rPr>
                <w:rFonts w:hint="eastAsia" w:ascii="宋体" w:hAnsi="宋体" w:eastAsia="宋体" w:cs="宋体"/>
                <w:sz w:val="24"/>
                <w:szCs w:val="24"/>
              </w:rPr>
              <w:t>章“竞争性磋商响应文件”规定</w:t>
            </w:r>
          </w:p>
        </w:tc>
      </w:tr>
      <w:tr w14:paraId="58999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Align w:val="center"/>
          </w:tcPr>
          <w:p w14:paraId="1546D5C8">
            <w:pPr>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序号</w:t>
            </w:r>
          </w:p>
        </w:tc>
        <w:tc>
          <w:tcPr>
            <w:tcW w:w="876" w:type="dxa"/>
            <w:vAlign w:val="center"/>
          </w:tcPr>
          <w:p w14:paraId="5312A863">
            <w:pPr>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项目</w:t>
            </w:r>
          </w:p>
        </w:tc>
        <w:tc>
          <w:tcPr>
            <w:tcW w:w="1012" w:type="dxa"/>
            <w:vAlign w:val="center"/>
          </w:tcPr>
          <w:p w14:paraId="540E4D84">
            <w:pPr>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分值</w:t>
            </w:r>
          </w:p>
        </w:tc>
        <w:tc>
          <w:tcPr>
            <w:tcW w:w="5600" w:type="dxa"/>
            <w:gridSpan w:val="2"/>
            <w:vAlign w:val="center"/>
          </w:tcPr>
          <w:p w14:paraId="11A25B5A">
            <w:pPr>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评分标准</w:t>
            </w:r>
          </w:p>
        </w:tc>
        <w:tc>
          <w:tcPr>
            <w:tcW w:w="901" w:type="dxa"/>
            <w:vAlign w:val="center"/>
          </w:tcPr>
          <w:p w14:paraId="195FAB1A">
            <w:pPr>
              <w:spacing w:line="440" w:lineRule="exact"/>
              <w:jc w:val="center"/>
              <w:rPr>
                <w:rFonts w:hint="eastAsia" w:ascii="宋体" w:hAnsi="宋体" w:eastAsia="宋体" w:cs="宋体"/>
                <w:sz w:val="24"/>
                <w:szCs w:val="24"/>
                <w:lang w:eastAsia="zh-CN"/>
              </w:rPr>
            </w:pPr>
            <w:r>
              <w:rPr>
                <w:rFonts w:hint="eastAsia" w:ascii="宋体" w:hAnsi="宋体" w:eastAsia="宋体" w:cs="宋体"/>
                <w:sz w:val="24"/>
                <w:szCs w:val="24"/>
                <w:lang w:eastAsia="zh-CN"/>
              </w:rPr>
              <w:t>备注</w:t>
            </w:r>
          </w:p>
        </w:tc>
      </w:tr>
      <w:tr w14:paraId="1E9E6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Align w:val="center"/>
          </w:tcPr>
          <w:p w14:paraId="414C404D">
            <w:pPr>
              <w:ind w:right="119" w:rightChars="0"/>
              <w:jc w:val="center"/>
              <w:rPr>
                <w:rFonts w:hint="eastAsia" w:ascii="宋体" w:hAnsi="宋体" w:eastAsia="宋体" w:cs="宋体"/>
                <w:sz w:val="24"/>
                <w:szCs w:val="24"/>
                <w:lang w:eastAsia="zh-CN"/>
              </w:rPr>
            </w:pPr>
            <w:r>
              <w:rPr>
                <w:rFonts w:hint="eastAsia" w:ascii="宋体" w:hAnsi="宋体"/>
                <w:spacing w:val="1"/>
                <w:kern w:val="0"/>
                <w:sz w:val="24"/>
                <w:szCs w:val="24"/>
                <w:highlight w:val="none"/>
              </w:rPr>
              <w:t>1</w:t>
            </w:r>
          </w:p>
        </w:tc>
        <w:tc>
          <w:tcPr>
            <w:tcW w:w="876" w:type="dxa"/>
            <w:vAlign w:val="center"/>
          </w:tcPr>
          <w:p w14:paraId="79437B1F">
            <w:pPr>
              <w:autoSpaceDE w:val="0"/>
              <w:autoSpaceDN w:val="0"/>
              <w:adjustRightInd w:val="0"/>
              <w:snapToGrid w:val="0"/>
              <w:spacing w:line="500" w:lineRule="exact"/>
              <w:rPr>
                <w:rFonts w:hint="eastAsia" w:ascii="宋体" w:hAnsi="宋体" w:eastAsiaTheme="minorEastAsia"/>
                <w:spacing w:val="1"/>
                <w:kern w:val="0"/>
                <w:sz w:val="24"/>
                <w:szCs w:val="24"/>
                <w:highlight w:val="none"/>
                <w:lang w:eastAsia="zh-CN"/>
              </w:rPr>
            </w:pPr>
            <w:r>
              <w:rPr>
                <w:rFonts w:hint="eastAsia" w:ascii="宋体" w:hAnsi="宋体"/>
                <w:spacing w:val="1"/>
                <w:kern w:val="0"/>
                <w:sz w:val="24"/>
                <w:szCs w:val="24"/>
                <w:highlight w:val="none"/>
              </w:rPr>
              <w:t>报价部分</w:t>
            </w:r>
            <w:r>
              <w:rPr>
                <w:rFonts w:hint="eastAsia" w:ascii="宋体" w:hAnsi="宋体"/>
                <w:spacing w:val="1"/>
                <w:kern w:val="0"/>
                <w:sz w:val="24"/>
                <w:szCs w:val="24"/>
                <w:highlight w:val="none"/>
                <w:lang w:eastAsia="zh-CN"/>
              </w:rPr>
              <w:t>（</w:t>
            </w:r>
            <w:r>
              <w:rPr>
                <w:rFonts w:hint="eastAsia" w:ascii="宋体" w:hAnsi="宋体"/>
                <w:spacing w:val="1"/>
                <w:kern w:val="0"/>
                <w:sz w:val="24"/>
                <w:szCs w:val="24"/>
                <w:highlight w:val="none"/>
                <w:lang w:val="en-US" w:eastAsia="zh-CN"/>
              </w:rPr>
              <w:t>15分</w:t>
            </w:r>
            <w:r>
              <w:rPr>
                <w:rFonts w:hint="eastAsia" w:ascii="宋体" w:hAnsi="宋体"/>
                <w:spacing w:val="1"/>
                <w:kern w:val="0"/>
                <w:sz w:val="24"/>
                <w:szCs w:val="24"/>
                <w:highlight w:val="none"/>
                <w:lang w:eastAsia="zh-CN"/>
              </w:rPr>
              <w:t>）</w:t>
            </w:r>
          </w:p>
        </w:tc>
        <w:tc>
          <w:tcPr>
            <w:tcW w:w="1012" w:type="dxa"/>
            <w:vAlign w:val="center"/>
          </w:tcPr>
          <w:p w14:paraId="2A22F201">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p>
          <w:p w14:paraId="6CA1C20D">
            <w:pPr>
              <w:autoSpaceDE w:val="0"/>
              <w:autoSpaceDN w:val="0"/>
              <w:adjustRightInd w:val="0"/>
              <w:snapToGrid w:val="0"/>
              <w:spacing w:line="500" w:lineRule="exact"/>
              <w:rPr>
                <w:rFonts w:hint="eastAsia" w:ascii="宋体" w:hAnsi="宋体"/>
                <w:spacing w:val="1"/>
                <w:kern w:val="0"/>
                <w:sz w:val="24"/>
                <w:szCs w:val="24"/>
                <w:highlight w:val="none"/>
                <w:lang w:eastAsia="zh-CN"/>
              </w:rPr>
            </w:pPr>
            <w:r>
              <w:rPr>
                <w:rFonts w:hint="eastAsia" w:ascii="宋体" w:hAnsi="宋体"/>
                <w:spacing w:val="1"/>
                <w:kern w:val="0"/>
                <w:sz w:val="24"/>
                <w:szCs w:val="24"/>
                <w:highlight w:val="none"/>
                <w:lang w:val="en-US" w:eastAsia="zh-CN"/>
              </w:rPr>
              <w:t>报价</w:t>
            </w:r>
          </w:p>
        </w:tc>
        <w:tc>
          <w:tcPr>
            <w:tcW w:w="5600" w:type="dxa"/>
            <w:gridSpan w:val="2"/>
            <w:vAlign w:val="center"/>
          </w:tcPr>
          <w:p w14:paraId="4733ED18">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价格分统一采用低价优先法，即满足磋商文件要求且投标价格最低的投标报价为评标基准价，其价格分为满分15分，其他投标供应商的价格分统一按照下列公式计算：</w:t>
            </w:r>
          </w:p>
          <w:p w14:paraId="24DE4868">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投标报价得分＝（评标基准价/投标报价）×15％×100，</w:t>
            </w:r>
          </w:p>
          <w:p w14:paraId="4295961D">
            <w:pPr>
              <w:autoSpaceDE w:val="0"/>
              <w:autoSpaceDN w:val="0"/>
              <w:adjustRightInd w:val="0"/>
              <w:snapToGrid w:val="0"/>
              <w:spacing w:line="500" w:lineRule="exact"/>
              <w:rPr>
                <w:rFonts w:hint="eastAsia" w:ascii="宋体" w:hAnsi="宋体"/>
                <w:spacing w:val="1"/>
                <w:kern w:val="0"/>
                <w:sz w:val="24"/>
                <w:szCs w:val="24"/>
                <w:highlight w:val="none"/>
                <w:lang w:eastAsia="zh-CN"/>
              </w:rPr>
            </w:pPr>
            <w:r>
              <w:rPr>
                <w:rFonts w:hint="eastAsia" w:ascii="宋体" w:hAnsi="宋体"/>
                <w:spacing w:val="1"/>
                <w:kern w:val="0"/>
                <w:sz w:val="24"/>
                <w:szCs w:val="24"/>
                <w:highlight w:val="none"/>
                <w:lang w:val="en-US" w:eastAsia="zh-CN"/>
              </w:rPr>
              <w:t>评委公认的低于成本价的报价，供应商又缺乏合理的解释，可能被视为恶意竞标而不被接受。</w:t>
            </w:r>
          </w:p>
        </w:tc>
        <w:tc>
          <w:tcPr>
            <w:tcW w:w="901" w:type="dxa"/>
            <w:vAlign w:val="top"/>
          </w:tcPr>
          <w:p w14:paraId="6C8B7B77">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p>
          <w:p w14:paraId="550BD44F">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p>
          <w:p w14:paraId="199499EE">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p>
          <w:p w14:paraId="4B17B272">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p>
          <w:p w14:paraId="200A142F">
            <w:pPr>
              <w:autoSpaceDE w:val="0"/>
              <w:autoSpaceDN w:val="0"/>
              <w:adjustRightInd w:val="0"/>
              <w:snapToGrid w:val="0"/>
              <w:spacing w:line="500" w:lineRule="exact"/>
              <w:rPr>
                <w:rFonts w:hint="eastAsia" w:ascii="宋体" w:hAnsi="宋体"/>
                <w:spacing w:val="1"/>
                <w:kern w:val="0"/>
                <w:sz w:val="24"/>
                <w:szCs w:val="24"/>
                <w:highlight w:val="none"/>
                <w:lang w:val="en-US" w:eastAsia="zh-CN"/>
              </w:rPr>
            </w:pPr>
          </w:p>
          <w:p w14:paraId="062C1B94">
            <w:pPr>
              <w:autoSpaceDE w:val="0"/>
              <w:autoSpaceDN w:val="0"/>
              <w:adjustRightInd w:val="0"/>
              <w:snapToGrid w:val="0"/>
              <w:spacing w:line="500" w:lineRule="exact"/>
              <w:rPr>
                <w:rFonts w:hint="eastAsia" w:ascii="宋体" w:hAnsi="宋体"/>
                <w:spacing w:val="1"/>
                <w:kern w:val="0"/>
                <w:sz w:val="24"/>
                <w:szCs w:val="24"/>
                <w:highlight w:val="none"/>
                <w:lang w:eastAsia="zh-CN"/>
              </w:rPr>
            </w:pPr>
            <w:r>
              <w:rPr>
                <w:rFonts w:hint="eastAsia" w:ascii="宋体" w:hAnsi="宋体"/>
                <w:spacing w:val="1"/>
                <w:kern w:val="0"/>
                <w:sz w:val="24"/>
                <w:szCs w:val="24"/>
                <w:highlight w:val="none"/>
                <w:lang w:val="en-US" w:eastAsia="zh-CN"/>
              </w:rPr>
              <w:t>0-15分</w:t>
            </w:r>
          </w:p>
        </w:tc>
      </w:tr>
      <w:tr w14:paraId="5B404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restart"/>
            <w:vAlign w:val="center"/>
          </w:tcPr>
          <w:p w14:paraId="2F18C7FC">
            <w:pPr>
              <w:ind w:right="119" w:rightChars="0"/>
              <w:jc w:val="center"/>
              <w:rPr>
                <w:rFonts w:hint="eastAsia" w:ascii="宋体" w:hAnsi="宋体" w:eastAsiaTheme="minorEastAsia"/>
                <w:spacing w:val="1"/>
                <w:kern w:val="0"/>
                <w:sz w:val="24"/>
                <w:szCs w:val="24"/>
                <w:highlight w:val="none"/>
                <w:lang w:val="en-US" w:eastAsia="zh-CN"/>
              </w:rPr>
            </w:pPr>
            <w:r>
              <w:rPr>
                <w:rFonts w:hint="eastAsia" w:ascii="宋体" w:hAnsi="宋体"/>
                <w:spacing w:val="1"/>
                <w:kern w:val="0"/>
                <w:sz w:val="24"/>
                <w:szCs w:val="24"/>
                <w:highlight w:val="none"/>
                <w:lang w:val="en-US" w:eastAsia="zh-CN"/>
              </w:rPr>
              <w:t>2</w:t>
            </w:r>
          </w:p>
        </w:tc>
        <w:tc>
          <w:tcPr>
            <w:tcW w:w="876" w:type="dxa"/>
            <w:vMerge w:val="restart"/>
            <w:vAlign w:val="center"/>
          </w:tcPr>
          <w:p w14:paraId="37DE5856">
            <w:pPr>
              <w:autoSpaceDE w:val="0"/>
              <w:autoSpaceDN w:val="0"/>
              <w:adjustRightInd w:val="0"/>
              <w:snapToGrid w:val="0"/>
              <w:spacing w:line="500" w:lineRule="exact"/>
              <w:rPr>
                <w:rFonts w:hint="eastAsia" w:ascii="宋体" w:hAnsi="宋体" w:eastAsiaTheme="minorEastAsia"/>
                <w:spacing w:val="1"/>
                <w:kern w:val="0"/>
                <w:sz w:val="24"/>
                <w:szCs w:val="24"/>
                <w:highlight w:val="none"/>
                <w:lang w:eastAsia="zh-CN"/>
              </w:rPr>
            </w:pPr>
            <w:r>
              <w:rPr>
                <w:rFonts w:hint="eastAsia" w:ascii="宋体" w:hAnsi="宋体"/>
                <w:spacing w:val="1"/>
                <w:kern w:val="0"/>
                <w:sz w:val="24"/>
                <w:szCs w:val="24"/>
                <w:highlight w:val="none"/>
                <w:lang w:eastAsia="zh-CN"/>
              </w:rPr>
              <w:t>技术部分（监理大纲）（</w:t>
            </w:r>
            <w:r>
              <w:rPr>
                <w:rFonts w:hint="eastAsia" w:ascii="宋体" w:hAnsi="宋体"/>
                <w:spacing w:val="1"/>
                <w:kern w:val="0"/>
                <w:sz w:val="24"/>
                <w:szCs w:val="24"/>
                <w:highlight w:val="none"/>
                <w:lang w:val="en-US" w:eastAsia="zh-CN"/>
              </w:rPr>
              <w:t>59分</w:t>
            </w:r>
            <w:r>
              <w:rPr>
                <w:rFonts w:hint="eastAsia" w:ascii="宋体" w:hAnsi="宋体"/>
                <w:spacing w:val="1"/>
                <w:kern w:val="0"/>
                <w:sz w:val="24"/>
                <w:szCs w:val="24"/>
                <w:highlight w:val="none"/>
                <w:lang w:eastAsia="zh-CN"/>
              </w:rPr>
              <w:t>）</w:t>
            </w:r>
          </w:p>
        </w:tc>
        <w:tc>
          <w:tcPr>
            <w:tcW w:w="1012" w:type="dxa"/>
            <w:vAlign w:val="center"/>
          </w:tcPr>
          <w:p w14:paraId="6A1479D2">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保证旁站监理措施</w:t>
            </w:r>
          </w:p>
        </w:tc>
        <w:tc>
          <w:tcPr>
            <w:tcW w:w="5600" w:type="dxa"/>
            <w:gridSpan w:val="2"/>
            <w:vAlign w:val="center"/>
          </w:tcPr>
          <w:p w14:paraId="3DD87642">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1.旁站监理部位（过程）设置很合理，措施很详细，得4分；</w:t>
            </w:r>
          </w:p>
          <w:p w14:paraId="663E6351">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2.旁站监理部位（过程）设置较合理，措施较</w:t>
            </w:r>
          </w:p>
          <w:p w14:paraId="29461F3C">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详细，得2分；</w:t>
            </w:r>
          </w:p>
          <w:p w14:paraId="79FF1847">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3.旁站监理部位（过程）措施不详细，得1分；</w:t>
            </w:r>
          </w:p>
          <w:p w14:paraId="681D15AC">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4.缺项或无旁站监理措施，不得分。</w:t>
            </w:r>
          </w:p>
        </w:tc>
        <w:tc>
          <w:tcPr>
            <w:tcW w:w="901" w:type="dxa"/>
            <w:vAlign w:val="center"/>
          </w:tcPr>
          <w:p w14:paraId="373B4171">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（0-4分）</w:t>
            </w:r>
          </w:p>
        </w:tc>
      </w:tr>
      <w:tr w14:paraId="743E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26072EB5">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4589F77E">
            <w:pPr>
              <w:autoSpaceDE w:val="0"/>
              <w:autoSpaceDN w:val="0"/>
              <w:adjustRightInd w:val="0"/>
              <w:snapToGrid w:val="0"/>
              <w:spacing w:line="500" w:lineRule="exact"/>
              <w:rPr>
                <w:rFonts w:hint="eastAsia" w:ascii="宋体" w:hAnsi="宋体"/>
                <w:spacing w:val="1"/>
                <w:kern w:val="0"/>
                <w:sz w:val="24"/>
                <w:szCs w:val="24"/>
                <w:highlight w:val="none"/>
                <w:lang w:eastAsia="zh-CN"/>
              </w:rPr>
            </w:pPr>
          </w:p>
        </w:tc>
        <w:tc>
          <w:tcPr>
            <w:tcW w:w="1012" w:type="dxa"/>
            <w:vAlign w:val="center"/>
          </w:tcPr>
          <w:p w14:paraId="509B81DE">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质量控制的方案与措施</w:t>
            </w:r>
          </w:p>
        </w:tc>
        <w:tc>
          <w:tcPr>
            <w:tcW w:w="5600" w:type="dxa"/>
            <w:gridSpan w:val="2"/>
            <w:vAlign w:val="center"/>
          </w:tcPr>
          <w:p w14:paraId="2DDF3044">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项目应有专门的项目管理班子和制度，且人员配备合理，制度健全。主要应有质量保证措施和手段，自控体系完整，能有效保证监理服务质量，达到承诺的质量标准。</w:t>
            </w:r>
          </w:p>
          <w:p w14:paraId="653C4EB4">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1.方案内容全面详实，针对性强，整体科学合理，可操作性强的，得7分；</w:t>
            </w:r>
          </w:p>
          <w:p w14:paraId="0F0DDD0D">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2.方案包含要求内容，针对性良好，整体较为合理，可操作性好，得5分；</w:t>
            </w:r>
          </w:p>
          <w:p w14:paraId="35C23246">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3.方案包含要求内容，针对性较好，整体基本合理，可操作性较好，得3分；</w:t>
            </w:r>
          </w:p>
          <w:p w14:paraId="0F465D40">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4.提供有方案，但内容不全面，针对性一般，整体一般的，得1分；</w:t>
            </w:r>
          </w:p>
          <w:p w14:paraId="4C020FA2">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5.缺项或不提供不得分。</w:t>
            </w:r>
          </w:p>
        </w:tc>
        <w:tc>
          <w:tcPr>
            <w:tcW w:w="901" w:type="dxa"/>
            <w:vAlign w:val="center"/>
          </w:tcPr>
          <w:p w14:paraId="7220B9BC">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（0-7分）</w:t>
            </w:r>
          </w:p>
        </w:tc>
      </w:tr>
      <w:tr w14:paraId="19CD3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33265D51">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5055A7B0">
            <w:pPr>
              <w:autoSpaceDE w:val="0"/>
              <w:autoSpaceDN w:val="0"/>
              <w:adjustRightInd w:val="0"/>
              <w:snapToGrid w:val="0"/>
              <w:spacing w:line="500" w:lineRule="exact"/>
              <w:rPr>
                <w:rFonts w:hint="eastAsia" w:ascii="宋体" w:hAnsi="宋体"/>
                <w:spacing w:val="1"/>
                <w:kern w:val="0"/>
                <w:sz w:val="24"/>
                <w:szCs w:val="24"/>
                <w:highlight w:val="none"/>
                <w:lang w:eastAsia="zh-CN"/>
              </w:rPr>
            </w:pPr>
          </w:p>
        </w:tc>
        <w:tc>
          <w:tcPr>
            <w:tcW w:w="1012" w:type="dxa"/>
            <w:vAlign w:val="center"/>
          </w:tcPr>
          <w:p w14:paraId="0651A89B">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投资控制的措施和方法</w:t>
            </w:r>
          </w:p>
        </w:tc>
        <w:tc>
          <w:tcPr>
            <w:tcW w:w="5600" w:type="dxa"/>
            <w:gridSpan w:val="2"/>
            <w:vAlign w:val="center"/>
          </w:tcPr>
          <w:p w14:paraId="77770528">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1.全面、详尽、合理、完全满足采购需求的，得7 分；</w:t>
            </w:r>
          </w:p>
          <w:p w14:paraId="49334740">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2.全面、详尽、合理、基本满足采购需求的，得5 分； </w:t>
            </w:r>
          </w:p>
          <w:p w14:paraId="103AF492">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3.基本全面、详尽、合理的，得3分；</w:t>
            </w:r>
          </w:p>
          <w:p w14:paraId="04A1B721">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4.不全面、不详尽的，得1 分；</w:t>
            </w:r>
          </w:p>
          <w:p w14:paraId="19BBE7E0">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5.缺项或不提供不得分。</w:t>
            </w:r>
          </w:p>
        </w:tc>
        <w:tc>
          <w:tcPr>
            <w:tcW w:w="901" w:type="dxa"/>
            <w:vAlign w:val="center"/>
          </w:tcPr>
          <w:p w14:paraId="3976C2A2">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（0-7分）</w:t>
            </w:r>
          </w:p>
        </w:tc>
      </w:tr>
      <w:tr w14:paraId="569A4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0C009E17">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19E60CD4">
            <w:pPr>
              <w:autoSpaceDE w:val="0"/>
              <w:autoSpaceDN w:val="0"/>
              <w:adjustRightInd w:val="0"/>
              <w:snapToGrid w:val="0"/>
              <w:spacing w:line="500" w:lineRule="exact"/>
              <w:rPr>
                <w:rFonts w:hint="eastAsia" w:ascii="宋体" w:hAnsi="宋体"/>
                <w:spacing w:val="1"/>
                <w:kern w:val="0"/>
                <w:sz w:val="24"/>
                <w:szCs w:val="24"/>
                <w:highlight w:val="none"/>
                <w:lang w:eastAsia="zh-CN"/>
              </w:rPr>
            </w:pPr>
          </w:p>
        </w:tc>
        <w:tc>
          <w:tcPr>
            <w:tcW w:w="1012" w:type="dxa"/>
            <w:vAlign w:val="center"/>
          </w:tcPr>
          <w:p w14:paraId="7DC588D0">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档案管理</w:t>
            </w:r>
          </w:p>
          <w:p w14:paraId="48290E97">
            <w:pPr>
              <w:widowControl/>
              <w:spacing w:line="360" w:lineRule="auto"/>
              <w:rPr>
                <w:rFonts w:hint="eastAsia" w:ascii="宋体" w:hAnsi="宋体" w:eastAsia="宋体" w:cs="宋体"/>
                <w:kern w:val="0"/>
                <w:sz w:val="24"/>
                <w:szCs w:val="24"/>
                <w:lang w:val="en-US" w:eastAsia="zh-CN"/>
              </w:rPr>
            </w:pPr>
          </w:p>
        </w:tc>
        <w:tc>
          <w:tcPr>
            <w:tcW w:w="5600" w:type="dxa"/>
            <w:gridSpan w:val="2"/>
            <w:vAlign w:val="center"/>
          </w:tcPr>
          <w:p w14:paraId="115A18D3">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供应商档案资料管理制度，建立、收集、保存等流程，档案移交步骤等管理内容。 </w:t>
            </w:r>
          </w:p>
          <w:p w14:paraId="0CDB12C3">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1.制度健全、规范，符合监理档案管理要求的得6分； </w:t>
            </w:r>
          </w:p>
          <w:p w14:paraId="232A9FD7">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2.制度基本健全、规范，基本符合监理档案管理要求的得4分；</w:t>
            </w:r>
          </w:p>
          <w:p w14:paraId="75114078">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3.制度较健全、规范，较符合监理档案管理要求的得2分；</w:t>
            </w:r>
          </w:p>
          <w:p w14:paraId="418EA5D6">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4.档案管理内容简单，存在较多问题，不符合项目实际的得1分。 </w:t>
            </w:r>
          </w:p>
          <w:p w14:paraId="1D5806CF">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5.缺项或不提供不得分。</w:t>
            </w:r>
          </w:p>
        </w:tc>
        <w:tc>
          <w:tcPr>
            <w:tcW w:w="901" w:type="dxa"/>
            <w:vAlign w:val="center"/>
          </w:tcPr>
          <w:p w14:paraId="62224107">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（0-6分）</w:t>
            </w:r>
          </w:p>
        </w:tc>
      </w:tr>
      <w:tr w14:paraId="394F7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7724EC3A">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76102F8F">
            <w:pPr>
              <w:autoSpaceDE w:val="0"/>
              <w:autoSpaceDN w:val="0"/>
              <w:adjustRightInd w:val="0"/>
              <w:snapToGrid w:val="0"/>
              <w:spacing w:line="500" w:lineRule="exact"/>
              <w:rPr>
                <w:rFonts w:hint="eastAsia" w:ascii="宋体" w:hAnsi="宋体"/>
                <w:spacing w:val="1"/>
                <w:kern w:val="0"/>
                <w:sz w:val="24"/>
                <w:szCs w:val="24"/>
                <w:highlight w:val="none"/>
                <w:lang w:eastAsia="zh-CN"/>
              </w:rPr>
            </w:pPr>
          </w:p>
        </w:tc>
        <w:tc>
          <w:tcPr>
            <w:tcW w:w="1012" w:type="dxa"/>
            <w:vAlign w:val="center"/>
          </w:tcPr>
          <w:p w14:paraId="4BA9047B">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合同管理的措 施和方法</w:t>
            </w:r>
          </w:p>
        </w:tc>
        <w:tc>
          <w:tcPr>
            <w:tcW w:w="5600" w:type="dxa"/>
            <w:gridSpan w:val="2"/>
            <w:vAlign w:val="center"/>
          </w:tcPr>
          <w:p w14:paraId="4D135FBB">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1.全面、详尽、合理、完全满足采购需求的，得 6 分；</w:t>
            </w:r>
          </w:p>
          <w:p w14:paraId="7958F93C">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2.全面、详尽、合理、基本满足采购需求的，得 5 分；</w:t>
            </w:r>
          </w:p>
          <w:p w14:paraId="5D4D62AF">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3.基本全面、详尽、合理的，得 3 分；</w:t>
            </w:r>
          </w:p>
          <w:p w14:paraId="76E28ED9">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4.不全面、不详尽的，得 2 分；</w:t>
            </w:r>
          </w:p>
          <w:p w14:paraId="0CCA9B6E">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5.缺项或不提供不得分。</w:t>
            </w:r>
          </w:p>
        </w:tc>
        <w:tc>
          <w:tcPr>
            <w:tcW w:w="901" w:type="dxa"/>
            <w:vAlign w:val="center"/>
          </w:tcPr>
          <w:p w14:paraId="73088CD3">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（0-6分）</w:t>
            </w:r>
          </w:p>
        </w:tc>
      </w:tr>
      <w:tr w14:paraId="54CD9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705F3CEB">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6F48229B">
            <w:pPr>
              <w:autoSpaceDE w:val="0"/>
              <w:autoSpaceDN w:val="0"/>
              <w:adjustRightInd w:val="0"/>
              <w:snapToGrid w:val="0"/>
              <w:spacing w:line="500" w:lineRule="exact"/>
              <w:rPr>
                <w:rFonts w:hint="eastAsia" w:ascii="宋体" w:hAnsi="宋体"/>
                <w:spacing w:val="1"/>
                <w:kern w:val="0"/>
                <w:sz w:val="24"/>
                <w:szCs w:val="24"/>
                <w:highlight w:val="none"/>
                <w:lang w:eastAsia="zh-CN"/>
              </w:rPr>
            </w:pPr>
          </w:p>
        </w:tc>
        <w:tc>
          <w:tcPr>
            <w:tcW w:w="1012" w:type="dxa"/>
            <w:vAlign w:val="center"/>
          </w:tcPr>
          <w:p w14:paraId="2D260096">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进度控制方案及措施</w:t>
            </w:r>
          </w:p>
        </w:tc>
        <w:tc>
          <w:tcPr>
            <w:tcW w:w="5600" w:type="dxa"/>
            <w:gridSpan w:val="2"/>
            <w:vAlign w:val="center"/>
          </w:tcPr>
          <w:p w14:paraId="5E540CCD">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应有工作安排进度保证措施和方案，能有效保证在规定的监理服务期限内保质保量完成工作内容。</w:t>
            </w:r>
          </w:p>
          <w:p w14:paraId="0D5CEDB4">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1.方案内容全面详实，针对性强，整体科学合理，可操作性强的，得9分；</w:t>
            </w:r>
          </w:p>
          <w:p w14:paraId="44FB0225">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2.方案包含要求内容，针对性良好，整体较为合理，可操作性良好的，得6分；</w:t>
            </w:r>
          </w:p>
          <w:p w14:paraId="55660AB5">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3.提供有方案，但内容不全面，针对性一般，整体一般的，得2分；</w:t>
            </w:r>
          </w:p>
          <w:p w14:paraId="49E7AC9F">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4.缺项或不提供不得分。</w:t>
            </w:r>
          </w:p>
        </w:tc>
        <w:tc>
          <w:tcPr>
            <w:tcW w:w="901" w:type="dxa"/>
            <w:vAlign w:val="center"/>
          </w:tcPr>
          <w:p w14:paraId="58BEFE02">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（0-9分）</w:t>
            </w:r>
          </w:p>
        </w:tc>
      </w:tr>
      <w:tr w14:paraId="4364B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3DF102B5">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06DBEB2F">
            <w:pPr>
              <w:autoSpaceDE w:val="0"/>
              <w:autoSpaceDN w:val="0"/>
              <w:adjustRightInd w:val="0"/>
              <w:snapToGrid w:val="0"/>
              <w:spacing w:line="500" w:lineRule="exact"/>
              <w:rPr>
                <w:rFonts w:hint="eastAsia" w:ascii="宋体" w:hAnsi="宋体"/>
                <w:spacing w:val="1"/>
                <w:kern w:val="0"/>
                <w:sz w:val="24"/>
                <w:szCs w:val="24"/>
                <w:highlight w:val="none"/>
                <w:lang w:eastAsia="zh-CN"/>
              </w:rPr>
            </w:pPr>
          </w:p>
        </w:tc>
        <w:tc>
          <w:tcPr>
            <w:tcW w:w="1012" w:type="dxa"/>
            <w:vAlign w:val="center"/>
          </w:tcPr>
          <w:p w14:paraId="41A69D17">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安全、环保、文明施工管理的方案及措施</w:t>
            </w:r>
          </w:p>
        </w:tc>
        <w:tc>
          <w:tcPr>
            <w:tcW w:w="5600" w:type="dxa"/>
            <w:gridSpan w:val="2"/>
            <w:vAlign w:val="center"/>
          </w:tcPr>
          <w:p w14:paraId="77004B81">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应有安全、环保、文明施工管理的方案及保证措施，确保无安全事故发生。</w:t>
            </w:r>
          </w:p>
          <w:p w14:paraId="334FBED0">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1.方案内容全面详实，针对性强，整体科学合理，可操作性强的，得9分；</w:t>
            </w:r>
          </w:p>
          <w:p w14:paraId="5FF5F470">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2.方案包含要求内容，针对性良好，整体较为合理，可操作性良好的，得6分；</w:t>
            </w:r>
          </w:p>
          <w:p w14:paraId="3BD37785">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3.提供有方案，但内容不全面，针对性一般，整体一般的，得2分；</w:t>
            </w:r>
          </w:p>
          <w:p w14:paraId="1D08E3CD">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4.缺项或不提供不得分。</w:t>
            </w:r>
          </w:p>
        </w:tc>
        <w:tc>
          <w:tcPr>
            <w:tcW w:w="901" w:type="dxa"/>
            <w:vAlign w:val="center"/>
          </w:tcPr>
          <w:p w14:paraId="0195AEAD">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（0-9分）</w:t>
            </w:r>
          </w:p>
        </w:tc>
      </w:tr>
      <w:tr w14:paraId="30275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5C4A612D">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21EA1321">
            <w:pPr>
              <w:autoSpaceDE w:val="0"/>
              <w:autoSpaceDN w:val="0"/>
              <w:adjustRightInd w:val="0"/>
              <w:snapToGrid w:val="0"/>
              <w:spacing w:line="500" w:lineRule="exact"/>
              <w:rPr>
                <w:rFonts w:hint="eastAsia" w:ascii="宋体" w:hAnsi="宋体"/>
                <w:spacing w:val="1"/>
                <w:kern w:val="0"/>
                <w:sz w:val="24"/>
                <w:szCs w:val="24"/>
                <w:highlight w:val="none"/>
                <w:lang w:eastAsia="zh-CN"/>
              </w:rPr>
            </w:pPr>
          </w:p>
        </w:tc>
        <w:tc>
          <w:tcPr>
            <w:tcW w:w="1012" w:type="dxa"/>
            <w:vAlign w:val="center"/>
          </w:tcPr>
          <w:p w14:paraId="6295EC6A">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试验检测设备和 仪器</w:t>
            </w:r>
          </w:p>
          <w:p w14:paraId="78BE0DBE">
            <w:pPr>
              <w:widowControl/>
              <w:spacing w:line="360" w:lineRule="auto"/>
              <w:rPr>
                <w:rFonts w:hint="eastAsia" w:ascii="宋体" w:hAnsi="宋体" w:eastAsia="宋体" w:cs="宋体"/>
                <w:kern w:val="0"/>
                <w:sz w:val="24"/>
                <w:szCs w:val="24"/>
                <w:lang w:val="en-US" w:eastAsia="zh-CN"/>
              </w:rPr>
            </w:pPr>
          </w:p>
        </w:tc>
        <w:tc>
          <w:tcPr>
            <w:tcW w:w="5600" w:type="dxa"/>
            <w:gridSpan w:val="2"/>
            <w:vAlign w:val="center"/>
          </w:tcPr>
          <w:p w14:paraId="47F8EF34">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1.试验检测设备和仪器很齐全、满足工程试验检测需要，很合理，得5分；</w:t>
            </w:r>
          </w:p>
          <w:p w14:paraId="17E8D0C4">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2.试验检测设备和仪器较齐全、满足工程试验检测需要，较合理，得 3分；</w:t>
            </w:r>
          </w:p>
          <w:p w14:paraId="59E5CE22">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3.试验检测设备和仪器不齐全、不能完全满足工程试验检测需要，得 1 分；</w:t>
            </w:r>
          </w:p>
          <w:p w14:paraId="7AFC7704">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4.缺项或无试验检测设备和仪器，不得分。</w:t>
            </w:r>
          </w:p>
        </w:tc>
        <w:tc>
          <w:tcPr>
            <w:tcW w:w="901" w:type="dxa"/>
            <w:vAlign w:val="center"/>
          </w:tcPr>
          <w:p w14:paraId="67F37567">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（0-5分）</w:t>
            </w:r>
          </w:p>
        </w:tc>
      </w:tr>
      <w:tr w14:paraId="0656C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1EBC080C">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0322A21D">
            <w:pPr>
              <w:autoSpaceDE w:val="0"/>
              <w:autoSpaceDN w:val="0"/>
              <w:adjustRightInd w:val="0"/>
              <w:snapToGrid w:val="0"/>
              <w:spacing w:line="500" w:lineRule="exact"/>
              <w:rPr>
                <w:rFonts w:hint="eastAsia" w:ascii="宋体" w:hAnsi="宋体"/>
                <w:spacing w:val="1"/>
                <w:kern w:val="0"/>
                <w:sz w:val="24"/>
                <w:szCs w:val="24"/>
                <w:highlight w:val="none"/>
                <w:lang w:eastAsia="zh-CN"/>
              </w:rPr>
            </w:pPr>
          </w:p>
        </w:tc>
        <w:tc>
          <w:tcPr>
            <w:tcW w:w="1012" w:type="dxa"/>
            <w:vAlign w:val="center"/>
          </w:tcPr>
          <w:p w14:paraId="01FA62ED">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对 本 工 程监 理工作重点难点分析</w:t>
            </w:r>
          </w:p>
          <w:p w14:paraId="3B42EFC4">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及工作建议</w:t>
            </w:r>
          </w:p>
        </w:tc>
        <w:tc>
          <w:tcPr>
            <w:tcW w:w="5600" w:type="dxa"/>
            <w:gridSpan w:val="2"/>
            <w:vAlign w:val="center"/>
          </w:tcPr>
          <w:p w14:paraId="1E93445A">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1.对本工程监理工作重点难点分析很全面、有效，有针对性，且工作建议科学、合理，得6分；</w:t>
            </w:r>
          </w:p>
          <w:p w14:paraId="52DD8E00">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2对本工程监理工作重点难点分析较全面、有效，较有针对性，且工作建议较科学、合理，得3 分；</w:t>
            </w:r>
          </w:p>
          <w:p w14:paraId="41EC87FC">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3.对本工程监理工作重点难点分析不够全面、缺乏针对性，工作建议缺乏合理性，得 1分；</w:t>
            </w:r>
          </w:p>
          <w:p w14:paraId="6DB0E3D2">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4.未对本工程监理工作重点难点分析及工作建议不得分。</w:t>
            </w:r>
          </w:p>
        </w:tc>
        <w:tc>
          <w:tcPr>
            <w:tcW w:w="901" w:type="dxa"/>
            <w:vAlign w:val="center"/>
          </w:tcPr>
          <w:p w14:paraId="64A01027">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（0-6分）</w:t>
            </w:r>
          </w:p>
        </w:tc>
      </w:tr>
      <w:tr w14:paraId="2DBE2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restart"/>
            <w:vAlign w:val="center"/>
          </w:tcPr>
          <w:p w14:paraId="4A0E5ED9">
            <w:pPr>
              <w:ind w:right="119" w:rightChars="0"/>
              <w:jc w:val="center"/>
              <w:rPr>
                <w:rFonts w:hint="default"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3</w:t>
            </w:r>
          </w:p>
        </w:tc>
        <w:tc>
          <w:tcPr>
            <w:tcW w:w="876" w:type="dxa"/>
            <w:vMerge w:val="restart"/>
            <w:vAlign w:val="center"/>
          </w:tcPr>
          <w:p w14:paraId="09B046D2">
            <w:pPr>
              <w:autoSpaceDE/>
              <w:autoSpaceDN/>
              <w:adjustRightInd w:val="0"/>
              <w:snapToGrid w:val="0"/>
              <w:spacing w:line="300" w:lineRule="exact"/>
              <w:jc w:val="both"/>
              <w:rPr>
                <w:rFonts w:hint="eastAsia" w:cs="微软雅黑"/>
                <w:kern w:val="1"/>
                <w:sz w:val="24"/>
                <w:szCs w:val="24"/>
                <w:lang w:eastAsia="zh-CN"/>
              </w:rPr>
            </w:pPr>
            <w:r>
              <w:rPr>
                <w:rFonts w:hint="eastAsia" w:cs="微软雅黑"/>
                <w:kern w:val="1"/>
                <w:sz w:val="24"/>
                <w:szCs w:val="24"/>
                <w:lang w:eastAsia="zh-CN"/>
              </w:rPr>
              <w:t>综合部分（</w:t>
            </w:r>
            <w:r>
              <w:rPr>
                <w:rFonts w:hint="eastAsia" w:cs="微软雅黑"/>
                <w:kern w:val="1"/>
                <w:sz w:val="24"/>
                <w:szCs w:val="24"/>
                <w:lang w:val="en-US" w:eastAsia="zh-CN"/>
              </w:rPr>
              <w:t>26分</w:t>
            </w:r>
            <w:r>
              <w:rPr>
                <w:rFonts w:hint="eastAsia" w:cs="微软雅黑"/>
                <w:kern w:val="1"/>
                <w:sz w:val="24"/>
                <w:szCs w:val="24"/>
                <w:lang w:eastAsia="zh-CN"/>
              </w:rPr>
              <w:t>）</w:t>
            </w:r>
          </w:p>
          <w:p w14:paraId="19AE55FB">
            <w:pPr>
              <w:autoSpaceDE/>
              <w:autoSpaceDN/>
              <w:spacing w:line="300" w:lineRule="exact"/>
              <w:jc w:val="center"/>
              <w:rPr>
                <w:rFonts w:hint="eastAsia" w:ascii="宋体" w:hAnsi="宋体"/>
                <w:spacing w:val="1"/>
                <w:kern w:val="0"/>
                <w:sz w:val="24"/>
                <w:szCs w:val="24"/>
                <w:highlight w:val="none"/>
                <w:lang w:eastAsia="zh-CN"/>
              </w:rPr>
            </w:pPr>
          </w:p>
        </w:tc>
        <w:tc>
          <w:tcPr>
            <w:tcW w:w="1012" w:type="dxa"/>
            <w:vAlign w:val="center"/>
          </w:tcPr>
          <w:p w14:paraId="01F03A44">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企业业绩</w:t>
            </w:r>
          </w:p>
        </w:tc>
        <w:tc>
          <w:tcPr>
            <w:tcW w:w="5600" w:type="dxa"/>
            <w:gridSpan w:val="2"/>
            <w:vAlign w:val="center"/>
          </w:tcPr>
          <w:p w14:paraId="7B6477E4">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2022年1月1日以来承担过类似项目业绩的，有1项得2分，最多得6分。（时间以合同签订日期为准，需提供中标通知书或施工合同原件扫描件，否则不得分）</w:t>
            </w:r>
          </w:p>
        </w:tc>
        <w:tc>
          <w:tcPr>
            <w:tcW w:w="901" w:type="dxa"/>
            <w:vAlign w:val="center"/>
          </w:tcPr>
          <w:p w14:paraId="20A8FF70">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（0-6分）</w:t>
            </w:r>
          </w:p>
        </w:tc>
      </w:tr>
      <w:tr w14:paraId="19442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677259D3">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29B28EE9">
            <w:pPr>
              <w:autoSpaceDE/>
              <w:autoSpaceDN/>
              <w:adjustRightInd w:val="0"/>
              <w:snapToGrid w:val="0"/>
              <w:spacing w:before="48" w:beforeLines="20" w:after="48" w:afterLines="20" w:line="540" w:lineRule="exact"/>
              <w:jc w:val="both"/>
              <w:rPr>
                <w:rFonts w:hint="eastAsia" w:ascii="宋体" w:hAnsi="宋体"/>
                <w:spacing w:val="1"/>
                <w:kern w:val="0"/>
                <w:sz w:val="24"/>
                <w:szCs w:val="24"/>
                <w:highlight w:val="none"/>
                <w:lang w:eastAsia="zh-CN"/>
              </w:rPr>
            </w:pPr>
          </w:p>
        </w:tc>
        <w:tc>
          <w:tcPr>
            <w:tcW w:w="1012" w:type="dxa"/>
            <w:vAlign w:val="center"/>
          </w:tcPr>
          <w:p w14:paraId="35E50A55">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项目管理机构人员配备</w:t>
            </w:r>
          </w:p>
        </w:tc>
        <w:tc>
          <w:tcPr>
            <w:tcW w:w="5600" w:type="dxa"/>
            <w:gridSpan w:val="2"/>
            <w:vAlign w:val="center"/>
          </w:tcPr>
          <w:p w14:paraId="316D7923">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监理部成员中除项目总监外，总监代表、专业监理工程师、见证员、资料员、监理员（不低于 6 人）、安全员配备齐全得 6分，缺少一项不得分。附资格证书原件扫描件，并提供人员与本单位签订的劳动合同。</w:t>
            </w:r>
          </w:p>
        </w:tc>
        <w:tc>
          <w:tcPr>
            <w:tcW w:w="901" w:type="dxa"/>
            <w:vAlign w:val="center"/>
          </w:tcPr>
          <w:p w14:paraId="5C186DAA">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（0-6分）</w:t>
            </w:r>
          </w:p>
        </w:tc>
      </w:tr>
      <w:tr w14:paraId="4CA84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0D33311F">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735725CA">
            <w:pPr>
              <w:autoSpaceDE/>
              <w:autoSpaceDN/>
              <w:adjustRightInd w:val="0"/>
              <w:snapToGrid w:val="0"/>
              <w:spacing w:before="48" w:beforeLines="20" w:after="48" w:afterLines="20" w:line="540" w:lineRule="exact"/>
              <w:jc w:val="both"/>
              <w:rPr>
                <w:rFonts w:hint="eastAsia" w:ascii="宋体" w:hAnsi="宋体"/>
                <w:spacing w:val="1"/>
                <w:kern w:val="0"/>
                <w:sz w:val="24"/>
                <w:szCs w:val="24"/>
                <w:highlight w:val="none"/>
                <w:lang w:eastAsia="zh-CN"/>
              </w:rPr>
            </w:pPr>
          </w:p>
        </w:tc>
        <w:tc>
          <w:tcPr>
            <w:tcW w:w="1012" w:type="dxa"/>
            <w:vAlign w:val="center"/>
          </w:tcPr>
          <w:p w14:paraId="4D68A046">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三大体系认证证书（3分）</w:t>
            </w:r>
          </w:p>
        </w:tc>
        <w:tc>
          <w:tcPr>
            <w:tcW w:w="5600" w:type="dxa"/>
            <w:gridSpan w:val="2"/>
            <w:vAlign w:val="center"/>
          </w:tcPr>
          <w:p w14:paraId="63D010C0">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投标人具备有效期内的质量、环境、职业健康管理体系认证证书且在有效期内得3 分，缺一项不得分。</w:t>
            </w:r>
          </w:p>
        </w:tc>
        <w:tc>
          <w:tcPr>
            <w:tcW w:w="901" w:type="dxa"/>
            <w:vAlign w:val="center"/>
          </w:tcPr>
          <w:p w14:paraId="22F221C1">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（0-3分）</w:t>
            </w:r>
          </w:p>
        </w:tc>
      </w:tr>
      <w:tr w14:paraId="62B8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75502E09">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6EC797D5">
            <w:pPr>
              <w:autoSpaceDE/>
              <w:autoSpaceDN/>
              <w:adjustRightInd w:val="0"/>
              <w:snapToGrid w:val="0"/>
              <w:spacing w:before="48" w:beforeLines="20" w:after="48" w:afterLines="20" w:line="540" w:lineRule="exact"/>
              <w:jc w:val="both"/>
              <w:rPr>
                <w:rFonts w:hint="eastAsia" w:ascii="宋体" w:hAnsi="宋体"/>
                <w:spacing w:val="1"/>
                <w:kern w:val="0"/>
                <w:sz w:val="24"/>
                <w:szCs w:val="24"/>
                <w:highlight w:val="none"/>
                <w:lang w:eastAsia="zh-CN"/>
              </w:rPr>
            </w:pPr>
          </w:p>
        </w:tc>
        <w:tc>
          <w:tcPr>
            <w:tcW w:w="1012" w:type="dxa"/>
            <w:vAlign w:val="center"/>
          </w:tcPr>
          <w:p w14:paraId="48718555">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信用评价</w:t>
            </w:r>
            <w:r>
              <w:rPr>
                <w:rFonts w:hint="eastAsia" w:ascii="宋体" w:hAnsi="宋体" w:eastAsia="宋体" w:cs="宋体"/>
                <w:kern w:val="0"/>
                <w:sz w:val="24"/>
                <w:szCs w:val="24"/>
                <w:lang w:val="zh-CN" w:eastAsia="zh-CN"/>
              </w:rPr>
              <w:t>（</w:t>
            </w: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lang w:val="zh-CN" w:eastAsia="zh-CN"/>
              </w:rPr>
              <w:t>分）</w:t>
            </w:r>
          </w:p>
        </w:tc>
        <w:tc>
          <w:tcPr>
            <w:tcW w:w="5600" w:type="dxa"/>
            <w:gridSpan w:val="2"/>
            <w:vAlign w:val="center"/>
          </w:tcPr>
          <w:p w14:paraId="24A4EA85">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供应商信用等级为AAA 级且在有效期内的得3分，AA 级且在有效期内的得2 分，其他不得分，不累积。注：信用等级以信用评估报告为准，信用评估报告在投标文件中附相关复印件；</w:t>
            </w:r>
          </w:p>
        </w:tc>
        <w:tc>
          <w:tcPr>
            <w:tcW w:w="901" w:type="dxa"/>
            <w:vAlign w:val="center"/>
          </w:tcPr>
          <w:p w14:paraId="0C9193C9">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 xml:space="preserve"> （0-3分）</w:t>
            </w:r>
          </w:p>
        </w:tc>
      </w:tr>
      <w:tr w14:paraId="750BD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Merge w:val="continue"/>
            <w:vAlign w:val="center"/>
          </w:tcPr>
          <w:p w14:paraId="38AA7CD3">
            <w:pPr>
              <w:ind w:right="119" w:rightChars="0"/>
              <w:jc w:val="center"/>
              <w:rPr>
                <w:rFonts w:hint="eastAsia" w:ascii="宋体" w:hAnsi="宋体"/>
                <w:spacing w:val="1"/>
                <w:kern w:val="0"/>
                <w:sz w:val="24"/>
                <w:szCs w:val="24"/>
                <w:highlight w:val="none"/>
                <w:lang w:val="en-US" w:eastAsia="zh-CN"/>
              </w:rPr>
            </w:pPr>
          </w:p>
        </w:tc>
        <w:tc>
          <w:tcPr>
            <w:tcW w:w="876" w:type="dxa"/>
            <w:vMerge w:val="continue"/>
            <w:vAlign w:val="center"/>
          </w:tcPr>
          <w:p w14:paraId="7C0D3C49">
            <w:pPr>
              <w:autoSpaceDE/>
              <w:autoSpaceDN/>
              <w:adjustRightInd w:val="0"/>
              <w:snapToGrid w:val="0"/>
              <w:spacing w:before="48" w:beforeLines="20" w:after="48" w:afterLines="20" w:line="540" w:lineRule="exact"/>
              <w:jc w:val="both"/>
              <w:rPr>
                <w:rFonts w:hint="eastAsia" w:ascii="宋体" w:hAnsi="宋体"/>
                <w:spacing w:val="1"/>
                <w:kern w:val="0"/>
                <w:sz w:val="24"/>
                <w:szCs w:val="24"/>
                <w:highlight w:val="none"/>
                <w:lang w:eastAsia="zh-CN"/>
              </w:rPr>
            </w:pPr>
          </w:p>
        </w:tc>
        <w:tc>
          <w:tcPr>
            <w:tcW w:w="1012" w:type="dxa"/>
            <w:vAlign w:val="center"/>
          </w:tcPr>
          <w:p w14:paraId="62F7D68D">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服务承诺</w:t>
            </w:r>
          </w:p>
        </w:tc>
        <w:tc>
          <w:tcPr>
            <w:tcW w:w="5600" w:type="dxa"/>
            <w:gridSpan w:val="2"/>
            <w:vAlign w:val="center"/>
          </w:tcPr>
          <w:p w14:paraId="4E927C63">
            <w:pPr>
              <w:widowControl/>
              <w:spacing w:line="360" w:lineRule="auto"/>
              <w:rPr>
                <w:rFonts w:hint="eastAsia" w:ascii="宋体" w:hAnsi="宋体" w:eastAsia="宋体" w:cs="宋体"/>
                <w:kern w:val="0"/>
                <w:sz w:val="24"/>
                <w:szCs w:val="24"/>
                <w:lang w:val="zh-CN" w:eastAsia="zh-CN"/>
              </w:rPr>
            </w:pPr>
            <w:r>
              <w:rPr>
                <w:rFonts w:hint="eastAsia" w:ascii="宋体" w:hAnsi="宋体" w:eastAsia="宋体" w:cs="宋体"/>
                <w:kern w:val="0"/>
                <w:sz w:val="24"/>
                <w:szCs w:val="24"/>
                <w:lang w:val="en-US" w:eastAsia="zh-CN"/>
              </w:rPr>
              <w:t>1.</w:t>
            </w:r>
            <w:r>
              <w:rPr>
                <w:rFonts w:hint="eastAsia" w:ascii="宋体" w:hAnsi="宋体" w:eastAsia="宋体" w:cs="宋体"/>
                <w:kern w:val="0"/>
                <w:sz w:val="24"/>
                <w:szCs w:val="24"/>
                <w:lang w:val="zh-CN" w:eastAsia="zh-CN"/>
              </w:rPr>
              <w:t>现场监理人员到位上岗及不准兼职，且有缺勤处罚措施的承诺，不提供不得分。（2 分）</w:t>
            </w:r>
          </w:p>
          <w:p w14:paraId="0410F324">
            <w:pPr>
              <w:widowControl/>
              <w:spacing w:line="360" w:lineRule="auto"/>
              <w:rPr>
                <w:rFonts w:hint="eastAsia" w:ascii="宋体" w:hAnsi="宋体" w:eastAsia="宋体" w:cs="宋体"/>
                <w:kern w:val="0"/>
                <w:sz w:val="24"/>
                <w:szCs w:val="24"/>
                <w:lang w:val="zh-CN" w:eastAsia="zh-CN"/>
              </w:rPr>
            </w:pP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lang w:val="zh-CN" w:eastAsia="zh-CN"/>
              </w:rPr>
              <w:t>因监理方失职，在质量管理、投资控制、进度控制等方面给招标人带来损失的，有处罚措施的承诺，不提供不得分。（</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lang w:val="zh-CN" w:eastAsia="zh-CN"/>
              </w:rPr>
              <w:t xml:space="preserve"> 分）；</w:t>
            </w:r>
          </w:p>
          <w:p w14:paraId="7C58960B">
            <w:pPr>
              <w:widowControl/>
              <w:spacing w:line="360" w:lineRule="auto"/>
              <w:rPr>
                <w:rFonts w:hint="eastAsia" w:ascii="宋体" w:hAnsi="宋体" w:eastAsia="宋体" w:cs="宋体"/>
                <w:kern w:val="0"/>
                <w:sz w:val="24"/>
                <w:szCs w:val="24"/>
                <w:lang w:val="zh-CN" w:eastAsia="zh-CN"/>
              </w:rPr>
            </w:pPr>
            <w:r>
              <w:rPr>
                <w:rFonts w:hint="eastAsia" w:ascii="宋体" w:hAnsi="宋体" w:eastAsia="宋体" w:cs="宋体"/>
                <w:kern w:val="0"/>
                <w:sz w:val="24"/>
                <w:szCs w:val="24"/>
                <w:lang w:val="en-US" w:eastAsia="zh-CN"/>
              </w:rPr>
              <w:t>3.</w:t>
            </w:r>
            <w:r>
              <w:rPr>
                <w:rFonts w:hint="eastAsia" w:ascii="宋体" w:hAnsi="宋体" w:eastAsia="宋体" w:cs="宋体"/>
                <w:kern w:val="0"/>
                <w:sz w:val="24"/>
                <w:szCs w:val="24"/>
                <w:lang w:val="zh-CN" w:eastAsia="zh-CN"/>
              </w:rPr>
              <w:t>企业在人员、管理、技术等方面的实质性服务承诺，不提供不得分。（2 分）；</w:t>
            </w:r>
          </w:p>
          <w:p w14:paraId="0140E84B">
            <w:pPr>
              <w:widowControl/>
              <w:spacing w:line="360" w:lineRule="auto"/>
              <w:rPr>
                <w:rFonts w:hint="eastAsia" w:ascii="宋体" w:hAnsi="宋体" w:eastAsia="宋体" w:cs="宋体"/>
                <w:kern w:val="0"/>
                <w:sz w:val="24"/>
                <w:szCs w:val="24"/>
                <w:lang w:val="zh-CN" w:eastAsia="zh-CN"/>
              </w:rPr>
            </w:pPr>
            <w:r>
              <w:rPr>
                <w:rFonts w:hint="eastAsia" w:ascii="宋体" w:hAnsi="宋体" w:eastAsia="宋体" w:cs="宋体"/>
                <w:kern w:val="0"/>
                <w:sz w:val="24"/>
                <w:szCs w:val="24"/>
                <w:lang w:val="en-US" w:eastAsia="zh-CN"/>
              </w:rPr>
              <w:t>4.</w:t>
            </w:r>
            <w:r>
              <w:rPr>
                <w:rFonts w:hint="eastAsia" w:ascii="宋体" w:hAnsi="宋体" w:eastAsia="宋体" w:cs="宋体"/>
                <w:kern w:val="0"/>
                <w:sz w:val="24"/>
                <w:szCs w:val="24"/>
                <w:lang w:val="zh-CN" w:eastAsia="zh-CN"/>
              </w:rPr>
              <w:t>对业主的其他实质性承诺（如按施工阶段不同配备满足要求的相应专业监理技术人员）的，不提供不得分。（</w:t>
            </w:r>
            <w:r>
              <w:rPr>
                <w:rFonts w:hint="eastAsia" w:ascii="宋体" w:hAnsi="宋体" w:eastAsia="宋体" w:cs="宋体"/>
                <w:kern w:val="0"/>
                <w:sz w:val="24"/>
                <w:szCs w:val="24"/>
                <w:lang w:val="en-US" w:eastAsia="zh-CN"/>
              </w:rPr>
              <w:t>2</w:t>
            </w:r>
            <w:r>
              <w:rPr>
                <w:rFonts w:hint="eastAsia" w:ascii="宋体" w:hAnsi="宋体" w:eastAsia="宋体" w:cs="宋体"/>
                <w:kern w:val="0"/>
                <w:sz w:val="24"/>
                <w:szCs w:val="24"/>
                <w:lang w:val="zh-CN" w:eastAsia="zh-CN"/>
              </w:rPr>
              <w:t xml:space="preserve"> 分）。</w:t>
            </w:r>
          </w:p>
          <w:p w14:paraId="61727DB2">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每小项描述详实合理可行的得2分，较为详实合理可行的得1.5分，不够详实合理可行的得1.0分，未提供的不得分。</w:t>
            </w:r>
          </w:p>
        </w:tc>
        <w:tc>
          <w:tcPr>
            <w:tcW w:w="901" w:type="dxa"/>
            <w:vAlign w:val="center"/>
          </w:tcPr>
          <w:p w14:paraId="7F0B2B3C">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(0-8分)</w:t>
            </w:r>
          </w:p>
        </w:tc>
      </w:tr>
      <w:tr w14:paraId="3AB8A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90" w:type="dxa"/>
            <w:vAlign w:val="center"/>
          </w:tcPr>
          <w:p w14:paraId="5E71CB61">
            <w:pPr>
              <w:ind w:right="119" w:rightChars="0"/>
              <w:jc w:val="center"/>
              <w:rPr>
                <w:rFonts w:hint="default" w:ascii="宋体" w:hAnsi="宋体"/>
                <w:spacing w:val="1"/>
                <w:kern w:val="0"/>
                <w:sz w:val="24"/>
                <w:szCs w:val="24"/>
                <w:highlight w:val="none"/>
                <w:lang w:val="en-US" w:eastAsia="zh-CN"/>
              </w:rPr>
            </w:pPr>
            <w:r>
              <w:rPr>
                <w:rFonts w:hint="eastAsia" w:ascii="宋体" w:hAnsi="宋体"/>
                <w:spacing w:val="1"/>
                <w:kern w:val="0"/>
                <w:sz w:val="24"/>
                <w:szCs w:val="24"/>
                <w:highlight w:val="none"/>
                <w:lang w:val="en-US" w:eastAsia="zh-CN"/>
              </w:rPr>
              <w:t>4</w:t>
            </w:r>
          </w:p>
        </w:tc>
        <w:tc>
          <w:tcPr>
            <w:tcW w:w="876" w:type="dxa"/>
            <w:vAlign w:val="center"/>
          </w:tcPr>
          <w:p w14:paraId="6532B6FF">
            <w:pPr>
              <w:autoSpaceDE/>
              <w:autoSpaceDN/>
              <w:adjustRightInd w:val="0"/>
              <w:snapToGrid w:val="0"/>
              <w:spacing w:before="48" w:beforeLines="20" w:after="48" w:afterLines="20" w:line="540" w:lineRule="exact"/>
              <w:jc w:val="both"/>
              <w:rPr>
                <w:rFonts w:hint="eastAsia" w:ascii="宋体" w:hAnsi="宋体"/>
                <w:spacing w:val="1"/>
                <w:kern w:val="0"/>
                <w:sz w:val="24"/>
                <w:szCs w:val="24"/>
                <w:highlight w:val="none"/>
                <w:lang w:eastAsia="zh-CN"/>
              </w:rPr>
            </w:pPr>
            <w:r>
              <w:rPr>
                <w:rFonts w:hint="eastAsia" w:ascii="宋体" w:hAnsi="宋体"/>
                <w:spacing w:val="1"/>
                <w:kern w:val="0"/>
                <w:sz w:val="24"/>
                <w:szCs w:val="24"/>
                <w:highlight w:val="none"/>
                <w:lang w:eastAsia="zh-CN"/>
              </w:rPr>
              <w:t>总分</w:t>
            </w:r>
          </w:p>
        </w:tc>
        <w:tc>
          <w:tcPr>
            <w:tcW w:w="1012" w:type="dxa"/>
            <w:vAlign w:val="center"/>
          </w:tcPr>
          <w:p w14:paraId="4121DEFD">
            <w:pPr>
              <w:widowControl/>
              <w:spacing w:line="360" w:lineRule="auto"/>
              <w:rPr>
                <w:rFonts w:hint="default" w:ascii="宋体" w:hAnsi="宋体" w:eastAsia="宋体" w:cs="宋体"/>
                <w:kern w:val="0"/>
                <w:sz w:val="24"/>
                <w:szCs w:val="24"/>
                <w:lang w:val="en-US" w:eastAsia="zh-CN"/>
              </w:rPr>
            </w:pPr>
            <w:r>
              <w:rPr>
                <w:rFonts w:hint="eastAsia" w:ascii="宋体" w:hAnsi="宋体" w:eastAsia="宋体" w:cs="宋体"/>
                <w:kern w:val="0"/>
                <w:sz w:val="24"/>
                <w:szCs w:val="24"/>
                <w:lang w:val="en-US" w:eastAsia="zh-CN"/>
              </w:rPr>
              <w:t>100分</w:t>
            </w:r>
          </w:p>
        </w:tc>
        <w:tc>
          <w:tcPr>
            <w:tcW w:w="6501" w:type="dxa"/>
            <w:gridSpan w:val="3"/>
            <w:vAlign w:val="center"/>
          </w:tcPr>
          <w:p w14:paraId="5CAEC199">
            <w:pPr>
              <w:widowControl/>
              <w:spacing w:line="360" w:lineRule="auto"/>
              <w:rPr>
                <w:rFonts w:hint="eastAsia" w:ascii="宋体" w:hAnsi="宋体" w:eastAsia="宋体" w:cs="宋体"/>
                <w:kern w:val="0"/>
                <w:sz w:val="24"/>
                <w:szCs w:val="24"/>
                <w:lang w:val="en-US" w:eastAsia="zh-CN"/>
              </w:rPr>
            </w:pPr>
          </w:p>
        </w:tc>
      </w:tr>
      <w:tr w14:paraId="51DB6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9379" w:type="dxa"/>
            <w:gridSpan w:val="6"/>
            <w:vAlign w:val="center"/>
          </w:tcPr>
          <w:p w14:paraId="368266FC">
            <w:pPr>
              <w:widowControl/>
              <w:spacing w:line="360" w:lineRule="auto"/>
              <w:rPr>
                <w:rFonts w:hint="eastAsia" w:ascii="宋体" w:hAnsi="宋体" w:eastAsia="宋体" w:cs="宋体"/>
                <w:kern w:val="0"/>
                <w:sz w:val="24"/>
                <w:szCs w:val="24"/>
                <w:lang w:val="zh-CN" w:eastAsia="zh-CN"/>
              </w:rPr>
            </w:pPr>
            <w:r>
              <w:rPr>
                <w:rFonts w:hint="eastAsia" w:ascii="宋体" w:hAnsi="宋体" w:eastAsia="宋体" w:cs="宋体"/>
                <w:kern w:val="0"/>
                <w:sz w:val="24"/>
                <w:szCs w:val="24"/>
                <w:lang w:val="zh-CN" w:eastAsia="zh-CN"/>
              </w:rPr>
              <w:t>供应商综合得分﹦报价得分+技术部分＋综合部分</w:t>
            </w:r>
          </w:p>
          <w:p w14:paraId="363B9A94">
            <w:pPr>
              <w:widowControl/>
              <w:spacing w:line="360" w:lineRule="auto"/>
              <w:rPr>
                <w:rFonts w:hint="eastAsia" w:ascii="宋体" w:hAnsi="宋体" w:eastAsia="宋体" w:cs="宋体"/>
                <w:b/>
                <w:bCs/>
                <w:kern w:val="0"/>
                <w:sz w:val="24"/>
                <w:szCs w:val="24"/>
                <w:lang w:val="zh-CN" w:eastAsia="zh-CN"/>
              </w:rPr>
            </w:pPr>
            <w:r>
              <w:rPr>
                <w:rFonts w:hint="eastAsia" w:ascii="宋体" w:hAnsi="宋体" w:eastAsia="宋体" w:cs="宋体"/>
                <w:b/>
                <w:bCs/>
                <w:kern w:val="0"/>
                <w:sz w:val="24"/>
                <w:szCs w:val="24"/>
                <w:lang w:val="zh-CN" w:eastAsia="zh-CN"/>
              </w:rPr>
              <w:t>1．磋商小组对所有评审项得分的算术平均值，作为该供应商的最终得分。</w:t>
            </w:r>
          </w:p>
          <w:p w14:paraId="71B6F482">
            <w:pPr>
              <w:widowControl/>
              <w:spacing w:line="360" w:lineRule="auto"/>
              <w:rPr>
                <w:rFonts w:hint="eastAsia" w:ascii="宋体" w:hAnsi="宋体" w:eastAsia="宋体" w:cs="宋体"/>
                <w:b/>
                <w:bCs/>
                <w:kern w:val="0"/>
                <w:sz w:val="24"/>
                <w:szCs w:val="24"/>
                <w:lang w:val="zh-CN" w:eastAsia="zh-CN"/>
              </w:rPr>
            </w:pPr>
            <w:r>
              <w:rPr>
                <w:rFonts w:hint="eastAsia" w:ascii="宋体" w:hAnsi="宋体" w:eastAsia="宋体" w:cs="宋体"/>
                <w:b/>
                <w:bCs/>
                <w:kern w:val="0"/>
                <w:sz w:val="24"/>
                <w:szCs w:val="24"/>
                <w:lang w:val="zh-CN" w:eastAsia="zh-CN"/>
              </w:rPr>
              <w:t>2．计分过程中按四舍五入的法则，取至小数点后2位，最终结果取至小数点后2位，磋商小组将按供应商得分高低排序向采购人推荐3名中标候选人。</w:t>
            </w:r>
          </w:p>
          <w:p w14:paraId="6D28B7EF">
            <w:pPr>
              <w:widowControl/>
              <w:spacing w:line="360" w:lineRule="auto"/>
              <w:rPr>
                <w:rFonts w:hint="eastAsia" w:ascii="宋体" w:hAnsi="宋体" w:eastAsia="宋体" w:cs="宋体"/>
                <w:kern w:val="0"/>
                <w:sz w:val="24"/>
                <w:szCs w:val="24"/>
                <w:lang w:val="en-US" w:eastAsia="zh-CN"/>
              </w:rPr>
            </w:pPr>
            <w:r>
              <w:rPr>
                <w:rFonts w:hint="eastAsia" w:ascii="宋体" w:hAnsi="宋体" w:eastAsia="宋体" w:cs="宋体"/>
                <w:b/>
                <w:bCs/>
                <w:kern w:val="0"/>
                <w:sz w:val="24"/>
                <w:szCs w:val="24"/>
                <w:lang w:val="zh-CN" w:eastAsia="zh-CN"/>
              </w:rPr>
              <w:t>3.以上所提到的资格、业绩等文件材料应将原件扫描件制作在电子响应文件中，评标时以供应商上传的电子响应文件为准，否则资格不通过、由此</w:t>
            </w:r>
            <w:r>
              <w:rPr>
                <w:rFonts w:hint="eastAsia" w:ascii="宋体" w:hAnsi="宋体" w:eastAsia="宋体" w:cs="宋体"/>
                <w:b/>
                <w:bCs/>
                <w:kern w:val="0"/>
                <w:sz w:val="24"/>
                <w:szCs w:val="24"/>
                <w:lang w:val="en-US" w:eastAsia="zh-CN"/>
              </w:rPr>
              <w:t>造成应得分而未得分或资格审查不合格等情况的，由供应商承担责任。</w:t>
            </w:r>
          </w:p>
        </w:tc>
      </w:tr>
    </w:tbl>
    <w:p w14:paraId="19A336D1">
      <w:pPr>
        <w:rPr>
          <w:rFonts w:hint="eastAsia" w:ascii="宋体" w:hAnsi="宋体" w:eastAsia="宋体" w:cs="Times New Roman"/>
          <w:b/>
          <w:sz w:val="24"/>
          <w:szCs w:val="24"/>
        </w:rPr>
      </w:pPr>
    </w:p>
    <w:p w14:paraId="731472D9">
      <w:pPr>
        <w:keepNext/>
        <w:keepLines/>
        <w:wordWrap w:val="0"/>
        <w:topLinePunct/>
        <w:spacing w:line="360" w:lineRule="auto"/>
        <w:outlineLvl w:val="2"/>
        <w:rPr>
          <w:rFonts w:ascii="宋体" w:hAnsi="宋体" w:eastAsia="宋体" w:cs="Times New Roman"/>
          <w:b/>
          <w:sz w:val="24"/>
          <w:szCs w:val="24"/>
        </w:rPr>
      </w:pPr>
      <w:r>
        <w:rPr>
          <w:rFonts w:hint="eastAsia" w:ascii="宋体" w:hAnsi="宋体" w:eastAsia="宋体" w:cs="Times New Roman"/>
          <w:b/>
          <w:sz w:val="24"/>
          <w:szCs w:val="24"/>
        </w:rPr>
        <w:t>1.评审办法</w:t>
      </w:r>
    </w:p>
    <w:p w14:paraId="5610C294">
      <w:pPr>
        <w:autoSpaceDE w:val="0"/>
        <w:autoSpaceDN w:val="0"/>
        <w:adjustRightInd w:val="0"/>
        <w:spacing w:line="360" w:lineRule="auto"/>
        <w:ind w:right="-23"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本次竞争性磋商采用综合评分法评审，磋商小组对满</w:t>
      </w:r>
      <w:r>
        <w:rPr>
          <w:rFonts w:hint="eastAsia" w:ascii="宋体" w:hAnsi="宋体" w:eastAsia="宋体" w:cs="宋体"/>
          <w:spacing w:val="-2"/>
          <w:kern w:val="0"/>
          <w:sz w:val="24"/>
          <w:szCs w:val="24"/>
        </w:rPr>
        <w:t>足</w:t>
      </w:r>
      <w:r>
        <w:rPr>
          <w:rFonts w:hint="eastAsia" w:ascii="宋体" w:hAnsi="宋体" w:eastAsia="宋体" w:cs="宋体"/>
          <w:kern w:val="0"/>
          <w:sz w:val="24"/>
          <w:szCs w:val="24"/>
        </w:rPr>
        <w:t>竞争性磋商文件实质性要求且最终确定采购需求和在规定时间提交最后报价的</w:t>
      </w:r>
      <w:r>
        <w:rPr>
          <w:rFonts w:hint="eastAsia" w:ascii="宋体" w:hAnsi="宋体" w:eastAsia="宋体" w:cs="宋体"/>
          <w:spacing w:val="-2"/>
          <w:kern w:val="0"/>
          <w:sz w:val="24"/>
          <w:szCs w:val="24"/>
        </w:rPr>
        <w:t>响应文</w:t>
      </w:r>
      <w:r>
        <w:rPr>
          <w:rFonts w:hint="eastAsia" w:ascii="宋体" w:hAnsi="宋体" w:eastAsia="宋体" w:cs="宋体"/>
          <w:kern w:val="0"/>
          <w:sz w:val="24"/>
          <w:szCs w:val="24"/>
        </w:rPr>
        <w:t>件，且按照评审因素的量化指标评审得分最高的供应商为成交候选人的评审方法。</w:t>
      </w:r>
    </w:p>
    <w:p w14:paraId="63388600">
      <w:pPr>
        <w:keepNext/>
        <w:keepLines/>
        <w:numPr>
          <w:ilvl w:val="0"/>
          <w:numId w:val="7"/>
        </w:numPr>
        <w:wordWrap w:val="0"/>
        <w:topLinePunct/>
        <w:spacing w:line="360" w:lineRule="auto"/>
        <w:outlineLvl w:val="2"/>
        <w:rPr>
          <w:rFonts w:ascii="宋体" w:hAnsi="宋体" w:eastAsia="宋体" w:cs="Times New Roman"/>
          <w:b/>
          <w:sz w:val="24"/>
          <w:szCs w:val="24"/>
        </w:rPr>
      </w:pPr>
      <w:r>
        <w:rPr>
          <w:rFonts w:hint="eastAsia" w:ascii="宋体" w:hAnsi="宋体" w:eastAsia="宋体" w:cs="Times New Roman"/>
          <w:b/>
          <w:sz w:val="24"/>
          <w:szCs w:val="24"/>
        </w:rPr>
        <w:t>评审标准</w:t>
      </w:r>
    </w:p>
    <w:p w14:paraId="02465868">
      <w:pPr>
        <w:keepNext/>
        <w:keepLines/>
        <w:numPr>
          <w:ilvl w:val="1"/>
          <w:numId w:val="7"/>
        </w:numPr>
        <w:wordWrap w:val="0"/>
        <w:topLinePunct/>
        <w:spacing w:line="360" w:lineRule="auto"/>
        <w:outlineLvl w:val="2"/>
        <w:rPr>
          <w:rFonts w:ascii="宋体" w:hAnsi="宋体" w:eastAsia="宋体" w:cs="Times New Roman"/>
          <w:b/>
          <w:bCs/>
          <w:sz w:val="24"/>
          <w:szCs w:val="24"/>
        </w:rPr>
      </w:pPr>
      <w:r>
        <w:rPr>
          <w:rFonts w:hint="eastAsia" w:ascii="宋体" w:hAnsi="宋体" w:eastAsia="宋体" w:cs="Times New Roman"/>
          <w:b/>
          <w:bCs/>
          <w:sz w:val="24"/>
          <w:szCs w:val="24"/>
        </w:rPr>
        <w:t>初步评审标准</w:t>
      </w:r>
    </w:p>
    <w:p w14:paraId="1D8AF53F">
      <w:pPr>
        <w:numPr>
          <w:ilvl w:val="2"/>
          <w:numId w:val="7"/>
        </w:numPr>
        <w:wordWrap w:val="0"/>
        <w:topLinePunct/>
        <w:autoSpaceDE w:val="0"/>
        <w:autoSpaceDN w:val="0"/>
        <w:adjustRightInd w:val="0"/>
        <w:spacing w:line="360" w:lineRule="auto"/>
        <w:ind w:right="-23" w:firstLine="560"/>
        <w:jc w:val="left"/>
        <w:rPr>
          <w:rFonts w:ascii="宋体" w:hAnsi="宋体" w:eastAsia="宋体" w:cs="宋体"/>
          <w:kern w:val="0"/>
          <w:sz w:val="24"/>
          <w:szCs w:val="24"/>
        </w:rPr>
      </w:pPr>
      <w:r>
        <w:rPr>
          <w:rFonts w:hint="eastAsia" w:ascii="宋体" w:hAnsi="宋体" w:eastAsia="宋体" w:cs="宋体"/>
          <w:kern w:val="0"/>
          <w:sz w:val="24"/>
          <w:szCs w:val="24"/>
        </w:rPr>
        <w:t>符合性评</w:t>
      </w:r>
      <w:r>
        <w:rPr>
          <w:rFonts w:hint="eastAsia" w:ascii="宋体" w:hAnsi="宋体" w:eastAsia="宋体" w:cs="宋体"/>
          <w:spacing w:val="-2"/>
          <w:kern w:val="0"/>
          <w:sz w:val="24"/>
          <w:szCs w:val="24"/>
        </w:rPr>
        <w:t>审</w:t>
      </w:r>
      <w:r>
        <w:rPr>
          <w:rFonts w:hint="eastAsia" w:ascii="宋体" w:hAnsi="宋体" w:eastAsia="宋体" w:cs="宋体"/>
          <w:kern w:val="0"/>
          <w:sz w:val="24"/>
          <w:szCs w:val="24"/>
        </w:rPr>
        <w:t>标</w:t>
      </w:r>
      <w:r>
        <w:rPr>
          <w:rFonts w:hint="eastAsia" w:ascii="宋体" w:hAnsi="宋体" w:eastAsia="宋体" w:cs="宋体"/>
          <w:spacing w:val="-2"/>
          <w:kern w:val="0"/>
          <w:sz w:val="24"/>
          <w:szCs w:val="24"/>
        </w:rPr>
        <w:t>准</w:t>
      </w:r>
      <w:r>
        <w:rPr>
          <w:rFonts w:hint="eastAsia" w:ascii="宋体" w:hAnsi="宋体" w:eastAsia="宋体" w:cs="宋体"/>
          <w:kern w:val="0"/>
          <w:sz w:val="24"/>
          <w:szCs w:val="24"/>
        </w:rPr>
        <w:t>：</w:t>
      </w:r>
      <w:r>
        <w:rPr>
          <w:rFonts w:hint="eastAsia" w:ascii="宋体" w:hAnsi="宋体" w:eastAsia="宋体" w:cs="宋体"/>
          <w:spacing w:val="-2"/>
          <w:kern w:val="0"/>
          <w:sz w:val="24"/>
          <w:szCs w:val="24"/>
        </w:rPr>
        <w:t>见评审办法</w:t>
      </w:r>
      <w:r>
        <w:rPr>
          <w:rFonts w:hint="eastAsia" w:ascii="宋体" w:hAnsi="宋体" w:eastAsia="宋体" w:cs="宋体"/>
          <w:kern w:val="0"/>
          <w:sz w:val="24"/>
          <w:szCs w:val="24"/>
        </w:rPr>
        <w:t>前</w:t>
      </w:r>
      <w:r>
        <w:rPr>
          <w:rFonts w:hint="eastAsia" w:ascii="宋体" w:hAnsi="宋体" w:eastAsia="宋体" w:cs="宋体"/>
          <w:spacing w:val="-2"/>
          <w:kern w:val="0"/>
          <w:sz w:val="24"/>
          <w:szCs w:val="24"/>
        </w:rPr>
        <w:t>附</w:t>
      </w:r>
      <w:r>
        <w:rPr>
          <w:rFonts w:hint="eastAsia" w:ascii="宋体" w:hAnsi="宋体" w:eastAsia="宋体" w:cs="宋体"/>
          <w:kern w:val="0"/>
          <w:sz w:val="24"/>
          <w:szCs w:val="24"/>
        </w:rPr>
        <w:t>表。</w:t>
      </w:r>
    </w:p>
    <w:p w14:paraId="3059840A">
      <w:pPr>
        <w:numPr>
          <w:ilvl w:val="2"/>
          <w:numId w:val="7"/>
        </w:numPr>
        <w:wordWrap w:val="0"/>
        <w:topLinePunct/>
        <w:autoSpaceDE w:val="0"/>
        <w:autoSpaceDN w:val="0"/>
        <w:adjustRightInd w:val="0"/>
        <w:spacing w:line="360" w:lineRule="auto"/>
        <w:ind w:right="-23" w:firstLine="560"/>
        <w:jc w:val="left"/>
        <w:rPr>
          <w:rFonts w:ascii="宋体" w:hAnsi="宋体" w:eastAsia="宋体" w:cs="宋体"/>
          <w:kern w:val="0"/>
          <w:sz w:val="24"/>
          <w:szCs w:val="24"/>
        </w:rPr>
      </w:pPr>
      <w:r>
        <w:rPr>
          <w:rFonts w:hint="eastAsia" w:ascii="宋体" w:hAnsi="宋体" w:eastAsia="宋体" w:cs="宋体"/>
          <w:kern w:val="0"/>
          <w:sz w:val="24"/>
          <w:szCs w:val="24"/>
        </w:rPr>
        <w:t>资</w:t>
      </w:r>
      <w:r>
        <w:rPr>
          <w:rFonts w:hint="eastAsia" w:ascii="宋体" w:hAnsi="宋体" w:eastAsia="宋体" w:cs="宋体"/>
          <w:spacing w:val="-2"/>
          <w:kern w:val="0"/>
          <w:sz w:val="24"/>
          <w:szCs w:val="24"/>
        </w:rPr>
        <w:t>格性</w:t>
      </w:r>
      <w:r>
        <w:rPr>
          <w:rFonts w:hint="eastAsia" w:ascii="宋体" w:hAnsi="宋体" w:eastAsia="宋体" w:cs="宋体"/>
          <w:kern w:val="0"/>
          <w:sz w:val="24"/>
          <w:szCs w:val="24"/>
        </w:rPr>
        <w:t>评</w:t>
      </w:r>
      <w:r>
        <w:rPr>
          <w:rFonts w:hint="eastAsia" w:ascii="宋体" w:hAnsi="宋体" w:eastAsia="宋体" w:cs="宋体"/>
          <w:spacing w:val="-2"/>
          <w:kern w:val="0"/>
          <w:sz w:val="24"/>
          <w:szCs w:val="24"/>
        </w:rPr>
        <w:t>审</w:t>
      </w:r>
      <w:r>
        <w:rPr>
          <w:rFonts w:hint="eastAsia" w:ascii="宋体" w:hAnsi="宋体" w:eastAsia="宋体" w:cs="宋体"/>
          <w:kern w:val="0"/>
          <w:sz w:val="24"/>
          <w:szCs w:val="24"/>
        </w:rPr>
        <w:t>标</w:t>
      </w:r>
      <w:r>
        <w:rPr>
          <w:rFonts w:hint="eastAsia" w:ascii="宋体" w:hAnsi="宋体" w:eastAsia="宋体" w:cs="宋体"/>
          <w:spacing w:val="-2"/>
          <w:kern w:val="0"/>
          <w:sz w:val="24"/>
          <w:szCs w:val="24"/>
        </w:rPr>
        <w:t>准</w:t>
      </w:r>
      <w:r>
        <w:rPr>
          <w:rFonts w:hint="eastAsia" w:ascii="宋体" w:hAnsi="宋体" w:eastAsia="宋体" w:cs="宋体"/>
          <w:kern w:val="0"/>
          <w:sz w:val="24"/>
          <w:szCs w:val="24"/>
        </w:rPr>
        <w:t>：</w:t>
      </w:r>
      <w:r>
        <w:rPr>
          <w:rFonts w:hint="eastAsia" w:ascii="宋体" w:hAnsi="宋体" w:eastAsia="宋体" w:cs="宋体"/>
          <w:spacing w:val="-2"/>
          <w:kern w:val="0"/>
          <w:sz w:val="24"/>
          <w:szCs w:val="24"/>
        </w:rPr>
        <w:t>见评审办法</w:t>
      </w:r>
      <w:r>
        <w:rPr>
          <w:rFonts w:hint="eastAsia" w:ascii="宋体" w:hAnsi="宋体" w:eastAsia="宋体" w:cs="宋体"/>
          <w:kern w:val="0"/>
          <w:sz w:val="24"/>
          <w:szCs w:val="24"/>
        </w:rPr>
        <w:t>前</w:t>
      </w:r>
      <w:r>
        <w:rPr>
          <w:rFonts w:hint="eastAsia" w:ascii="宋体" w:hAnsi="宋体" w:eastAsia="宋体" w:cs="宋体"/>
          <w:spacing w:val="-2"/>
          <w:kern w:val="0"/>
          <w:sz w:val="24"/>
          <w:szCs w:val="24"/>
        </w:rPr>
        <w:t>附</w:t>
      </w:r>
      <w:r>
        <w:rPr>
          <w:rFonts w:hint="eastAsia" w:ascii="宋体" w:hAnsi="宋体" w:eastAsia="宋体" w:cs="宋体"/>
          <w:kern w:val="0"/>
          <w:sz w:val="24"/>
          <w:szCs w:val="24"/>
        </w:rPr>
        <w:t>表。</w:t>
      </w:r>
    </w:p>
    <w:p w14:paraId="5872B998">
      <w:pPr>
        <w:keepNext/>
        <w:keepLines/>
        <w:numPr>
          <w:ilvl w:val="1"/>
          <w:numId w:val="7"/>
        </w:numPr>
        <w:wordWrap w:val="0"/>
        <w:topLinePunct/>
        <w:spacing w:line="360" w:lineRule="auto"/>
        <w:outlineLvl w:val="2"/>
        <w:rPr>
          <w:rFonts w:ascii="宋体" w:hAnsi="宋体" w:eastAsia="宋体" w:cs="Times New Roman"/>
          <w:b/>
          <w:bCs/>
          <w:sz w:val="24"/>
          <w:szCs w:val="24"/>
        </w:rPr>
      </w:pPr>
      <w:r>
        <w:rPr>
          <w:rFonts w:hint="eastAsia" w:ascii="宋体" w:hAnsi="宋体" w:eastAsia="宋体" w:cs="Times New Roman"/>
          <w:b/>
          <w:bCs/>
          <w:sz w:val="24"/>
          <w:szCs w:val="24"/>
        </w:rPr>
        <w:t>分值构成与评分标准</w:t>
      </w:r>
    </w:p>
    <w:p w14:paraId="30D3459C">
      <w:pPr>
        <w:numPr>
          <w:ilvl w:val="2"/>
          <w:numId w:val="7"/>
        </w:numPr>
        <w:wordWrap w:val="0"/>
        <w:topLinePunct/>
        <w:autoSpaceDE w:val="0"/>
        <w:autoSpaceDN w:val="0"/>
        <w:adjustRightInd w:val="0"/>
        <w:spacing w:line="360" w:lineRule="auto"/>
        <w:ind w:right="-23" w:firstLine="560"/>
        <w:jc w:val="left"/>
        <w:rPr>
          <w:rFonts w:ascii="宋体" w:hAnsi="宋体" w:eastAsia="宋体" w:cs="宋体"/>
          <w:kern w:val="0"/>
          <w:sz w:val="24"/>
          <w:szCs w:val="24"/>
        </w:rPr>
      </w:pPr>
      <w:r>
        <w:rPr>
          <w:rFonts w:hint="eastAsia" w:ascii="宋体" w:hAnsi="宋体" w:eastAsia="宋体" w:cs="宋体"/>
          <w:kern w:val="0"/>
          <w:sz w:val="24"/>
          <w:szCs w:val="24"/>
        </w:rPr>
        <w:t>分值构成</w:t>
      </w:r>
    </w:p>
    <w:p w14:paraId="0DF81327">
      <w:pPr>
        <w:numPr>
          <w:ilvl w:val="0"/>
          <w:numId w:val="8"/>
        </w:numPr>
        <w:wordWrap w:val="0"/>
        <w:topLinePunct/>
        <w:autoSpaceDE w:val="0"/>
        <w:autoSpaceDN w:val="0"/>
        <w:adjustRightInd w:val="0"/>
        <w:spacing w:line="360" w:lineRule="auto"/>
        <w:ind w:right="40"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报价得分：见评审办法前附表；</w:t>
      </w:r>
    </w:p>
    <w:p w14:paraId="193FFCEA">
      <w:pPr>
        <w:numPr>
          <w:ilvl w:val="0"/>
          <w:numId w:val="8"/>
        </w:numPr>
        <w:wordWrap w:val="0"/>
        <w:topLinePunct/>
        <w:autoSpaceDE w:val="0"/>
        <w:autoSpaceDN w:val="0"/>
        <w:adjustRightInd w:val="0"/>
        <w:spacing w:line="360" w:lineRule="auto"/>
        <w:ind w:right="40"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技术部分：见评审办法前附表；</w:t>
      </w:r>
    </w:p>
    <w:p w14:paraId="32D463DF">
      <w:pPr>
        <w:numPr>
          <w:ilvl w:val="0"/>
          <w:numId w:val="8"/>
        </w:numPr>
        <w:wordWrap w:val="0"/>
        <w:topLinePunct/>
        <w:autoSpaceDE w:val="0"/>
        <w:autoSpaceDN w:val="0"/>
        <w:adjustRightInd w:val="0"/>
        <w:spacing w:line="360" w:lineRule="auto"/>
        <w:ind w:right="40"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综合部分：见评审办法前附表；</w:t>
      </w:r>
    </w:p>
    <w:p w14:paraId="7DAFE287">
      <w:pPr>
        <w:numPr>
          <w:ilvl w:val="2"/>
          <w:numId w:val="7"/>
        </w:numPr>
        <w:wordWrap w:val="0"/>
        <w:topLinePunct/>
        <w:autoSpaceDE w:val="0"/>
        <w:autoSpaceDN w:val="0"/>
        <w:adjustRightInd w:val="0"/>
        <w:spacing w:line="360" w:lineRule="auto"/>
        <w:ind w:right="-23" w:firstLine="560"/>
        <w:jc w:val="left"/>
        <w:rPr>
          <w:rFonts w:ascii="宋体" w:hAnsi="宋体" w:eastAsia="宋体" w:cs="宋体"/>
          <w:kern w:val="0"/>
          <w:sz w:val="24"/>
          <w:szCs w:val="24"/>
        </w:rPr>
      </w:pPr>
      <w:r>
        <w:rPr>
          <w:rFonts w:hint="eastAsia" w:ascii="宋体" w:hAnsi="宋体" w:eastAsia="宋体" w:cs="宋体"/>
          <w:kern w:val="0"/>
          <w:sz w:val="24"/>
          <w:szCs w:val="24"/>
        </w:rPr>
        <w:t>评分标准</w:t>
      </w:r>
    </w:p>
    <w:p w14:paraId="1B5EC4C0">
      <w:pPr>
        <w:numPr>
          <w:ilvl w:val="0"/>
          <w:numId w:val="9"/>
        </w:numPr>
        <w:wordWrap w:val="0"/>
        <w:topLinePunct/>
        <w:autoSpaceDE w:val="0"/>
        <w:autoSpaceDN w:val="0"/>
        <w:adjustRightInd w:val="0"/>
        <w:spacing w:line="360" w:lineRule="auto"/>
        <w:ind w:right="40"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报价得分标准：见评审办法前附表；</w:t>
      </w:r>
    </w:p>
    <w:p w14:paraId="2E7301DF">
      <w:pPr>
        <w:numPr>
          <w:ilvl w:val="0"/>
          <w:numId w:val="9"/>
        </w:numPr>
        <w:wordWrap w:val="0"/>
        <w:topLinePunct/>
        <w:autoSpaceDE w:val="0"/>
        <w:autoSpaceDN w:val="0"/>
        <w:adjustRightInd w:val="0"/>
        <w:spacing w:line="360" w:lineRule="auto"/>
        <w:ind w:right="40"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技术部分标准：见评审办法前附表；</w:t>
      </w:r>
    </w:p>
    <w:p w14:paraId="2DB83DE6">
      <w:pPr>
        <w:numPr>
          <w:ilvl w:val="0"/>
          <w:numId w:val="9"/>
        </w:numPr>
        <w:wordWrap w:val="0"/>
        <w:topLinePunct/>
        <w:autoSpaceDE w:val="0"/>
        <w:autoSpaceDN w:val="0"/>
        <w:adjustRightInd w:val="0"/>
        <w:spacing w:line="360" w:lineRule="auto"/>
        <w:ind w:right="40"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综合</w:t>
      </w:r>
      <w:r>
        <w:rPr>
          <w:rFonts w:hint="eastAsia" w:ascii="宋体" w:hAnsi="宋体" w:eastAsia="宋体" w:cs="宋体"/>
          <w:kern w:val="0"/>
          <w:sz w:val="24"/>
          <w:szCs w:val="24"/>
          <w:lang w:eastAsia="zh-CN"/>
        </w:rPr>
        <w:t>部分</w:t>
      </w:r>
      <w:r>
        <w:rPr>
          <w:rFonts w:hint="eastAsia" w:ascii="宋体" w:hAnsi="宋体" w:eastAsia="宋体" w:cs="宋体"/>
          <w:kern w:val="0"/>
          <w:sz w:val="24"/>
          <w:szCs w:val="24"/>
        </w:rPr>
        <w:t>标准：见评审办法前附表；</w:t>
      </w:r>
    </w:p>
    <w:p w14:paraId="24215E41">
      <w:pPr>
        <w:keepNext/>
        <w:keepLines/>
        <w:numPr>
          <w:ilvl w:val="0"/>
          <w:numId w:val="7"/>
        </w:numPr>
        <w:wordWrap w:val="0"/>
        <w:topLinePunct/>
        <w:spacing w:line="360" w:lineRule="auto"/>
        <w:outlineLvl w:val="2"/>
        <w:rPr>
          <w:rFonts w:ascii="宋体" w:hAnsi="宋体" w:eastAsia="宋体" w:cs="Times New Roman"/>
          <w:b/>
          <w:bCs/>
          <w:sz w:val="24"/>
          <w:szCs w:val="24"/>
        </w:rPr>
      </w:pPr>
      <w:r>
        <w:rPr>
          <w:rFonts w:hint="eastAsia" w:ascii="宋体" w:hAnsi="宋体" w:eastAsia="宋体" w:cs="Times New Roman"/>
          <w:b/>
          <w:bCs/>
          <w:sz w:val="24"/>
          <w:szCs w:val="24"/>
        </w:rPr>
        <w:t>评审程序</w:t>
      </w:r>
    </w:p>
    <w:p w14:paraId="3A1BB286">
      <w:pPr>
        <w:keepNext/>
        <w:keepLines/>
        <w:numPr>
          <w:ilvl w:val="1"/>
          <w:numId w:val="7"/>
        </w:numPr>
        <w:wordWrap w:val="0"/>
        <w:topLinePunct/>
        <w:spacing w:line="360" w:lineRule="auto"/>
        <w:outlineLvl w:val="2"/>
        <w:rPr>
          <w:rFonts w:ascii="宋体" w:hAnsi="宋体" w:eastAsia="宋体" w:cs="Times New Roman"/>
          <w:b/>
          <w:bCs/>
          <w:sz w:val="24"/>
          <w:szCs w:val="24"/>
        </w:rPr>
      </w:pPr>
      <w:r>
        <w:rPr>
          <w:rFonts w:hint="eastAsia" w:ascii="宋体" w:hAnsi="宋体" w:eastAsia="宋体" w:cs="Times New Roman"/>
          <w:b/>
          <w:bCs/>
          <w:sz w:val="24"/>
          <w:szCs w:val="24"/>
        </w:rPr>
        <w:t>初步评审</w:t>
      </w:r>
    </w:p>
    <w:p w14:paraId="5BEC5F8F">
      <w:pPr>
        <w:numPr>
          <w:ilvl w:val="2"/>
          <w:numId w:val="7"/>
        </w:numPr>
        <w:wordWrap w:val="0"/>
        <w:topLinePunct/>
        <w:autoSpaceDE w:val="0"/>
        <w:autoSpaceDN w:val="0"/>
        <w:adjustRightInd w:val="0"/>
        <w:spacing w:line="360" w:lineRule="auto"/>
        <w:ind w:right="-23" w:firstLine="560"/>
        <w:jc w:val="left"/>
        <w:rPr>
          <w:rFonts w:ascii="宋体" w:hAnsi="宋体" w:eastAsia="宋体" w:cs="宋体"/>
          <w:kern w:val="0"/>
          <w:sz w:val="24"/>
          <w:szCs w:val="24"/>
        </w:rPr>
      </w:pPr>
      <w:r>
        <w:rPr>
          <w:rFonts w:hint="eastAsia" w:ascii="宋体" w:hAnsi="宋体" w:eastAsia="宋体" w:cs="宋体"/>
          <w:kern w:val="0"/>
          <w:sz w:val="24"/>
          <w:szCs w:val="24"/>
        </w:rPr>
        <w:t>磋商小组依据本章评审办法前附表规定的标准，对供应商的响应文件进行初步评审，以确定其是否满足竞争性磋商文件的实质性要求，有一项不符合评审标准的，磋商小组应当认定其响应文件无效。</w:t>
      </w:r>
    </w:p>
    <w:p w14:paraId="4764A538">
      <w:pPr>
        <w:numPr>
          <w:ilvl w:val="2"/>
          <w:numId w:val="7"/>
        </w:numPr>
        <w:wordWrap w:val="0"/>
        <w:topLinePunct/>
        <w:autoSpaceDE w:val="0"/>
        <w:autoSpaceDN w:val="0"/>
        <w:adjustRightInd w:val="0"/>
        <w:spacing w:line="360" w:lineRule="auto"/>
        <w:ind w:right="-23" w:firstLine="560"/>
        <w:jc w:val="left"/>
        <w:rPr>
          <w:rFonts w:ascii="宋体" w:hAnsi="宋体" w:eastAsia="宋体" w:cs="宋体"/>
          <w:kern w:val="0"/>
          <w:sz w:val="24"/>
          <w:szCs w:val="24"/>
        </w:rPr>
      </w:pPr>
      <w:r>
        <w:rPr>
          <w:rFonts w:hint="eastAsia" w:ascii="宋体" w:hAnsi="宋体" w:eastAsia="宋体" w:cs="宋体"/>
          <w:kern w:val="0"/>
          <w:sz w:val="24"/>
          <w:szCs w:val="24"/>
        </w:rPr>
        <w:t>磋商报价有算术错误及其他错误的，磋商小组按以下原则要求供应商对磋商报价进行修正</w:t>
      </w:r>
      <w:r>
        <w:rPr>
          <w:rFonts w:hint="eastAsia" w:ascii="宋体" w:hAnsi="宋体" w:eastAsia="宋体" w:cs="宋体"/>
          <w:kern w:val="0"/>
          <w:sz w:val="24"/>
          <w:szCs w:val="24"/>
          <w:lang w:eastAsia="zh-CN"/>
        </w:rPr>
        <w:t>：</w:t>
      </w:r>
    </w:p>
    <w:p w14:paraId="700DC8ED">
      <w:pPr>
        <w:numPr>
          <w:ilvl w:val="0"/>
          <w:numId w:val="10"/>
        </w:numPr>
        <w:wordWrap w:val="0"/>
        <w:topLinePunct/>
        <w:autoSpaceDE w:val="0"/>
        <w:autoSpaceDN w:val="0"/>
        <w:adjustRightInd w:val="0"/>
        <w:spacing w:line="360" w:lineRule="auto"/>
        <w:ind w:right="40" w:firstLine="480" w:firstLineChars="200"/>
        <w:jc w:val="left"/>
        <w:rPr>
          <w:rFonts w:ascii="宋体" w:hAnsi="宋体" w:eastAsia="宋体" w:cs="宋体"/>
          <w:sz w:val="24"/>
          <w:szCs w:val="24"/>
        </w:rPr>
      </w:pPr>
      <w:r>
        <w:rPr>
          <w:rFonts w:hint="eastAsia" w:ascii="宋体" w:hAnsi="宋体" w:eastAsia="宋体" w:cs="宋体"/>
          <w:sz w:val="24"/>
          <w:szCs w:val="24"/>
        </w:rPr>
        <w:t>大写金额和小写金额不一致的，以大写金额为准，但大写金额文字存在错误的，应当先对大写金额的文字错误进行澄清、说明或者更正，再行修正。</w:t>
      </w:r>
    </w:p>
    <w:p w14:paraId="6B41CE31">
      <w:pPr>
        <w:numPr>
          <w:ilvl w:val="0"/>
          <w:numId w:val="10"/>
        </w:numPr>
        <w:wordWrap w:val="0"/>
        <w:topLinePunct/>
        <w:autoSpaceDE w:val="0"/>
        <w:autoSpaceDN w:val="0"/>
        <w:adjustRightInd w:val="0"/>
        <w:spacing w:line="360" w:lineRule="auto"/>
        <w:ind w:right="40" w:firstLine="480" w:firstLineChars="200"/>
        <w:jc w:val="left"/>
        <w:rPr>
          <w:rFonts w:ascii="宋体" w:hAnsi="宋体" w:eastAsia="宋体" w:cs="宋体"/>
          <w:sz w:val="24"/>
          <w:szCs w:val="24"/>
        </w:rPr>
      </w:pPr>
      <w:r>
        <w:rPr>
          <w:rFonts w:hint="eastAsia" w:ascii="宋体" w:hAnsi="宋体" w:eastAsia="宋体" w:cs="宋体"/>
          <w:sz w:val="24"/>
          <w:szCs w:val="24"/>
        </w:rPr>
        <w:t>总价金额与按单价汇总金额不一致的，以单价金额计算结果为准，但单价或者单价汇总金额存在数字或者文字错误的，应当先对数字或者文字错误进行澄清、说明或者更正，再行修正。</w:t>
      </w:r>
    </w:p>
    <w:p w14:paraId="7DF5F6FE">
      <w:pPr>
        <w:numPr>
          <w:ilvl w:val="0"/>
          <w:numId w:val="10"/>
        </w:numPr>
        <w:wordWrap w:val="0"/>
        <w:topLinePunct/>
        <w:autoSpaceDE w:val="0"/>
        <w:autoSpaceDN w:val="0"/>
        <w:adjustRightInd w:val="0"/>
        <w:spacing w:line="360" w:lineRule="auto"/>
        <w:ind w:right="40" w:firstLine="480" w:firstLineChars="200"/>
        <w:jc w:val="left"/>
        <w:rPr>
          <w:rFonts w:ascii="宋体" w:hAnsi="宋体" w:eastAsia="宋体" w:cs="宋体"/>
          <w:sz w:val="24"/>
          <w:szCs w:val="24"/>
        </w:rPr>
      </w:pPr>
      <w:r>
        <w:rPr>
          <w:rFonts w:hint="eastAsia" w:ascii="宋体" w:hAnsi="宋体" w:eastAsia="宋体" w:cs="宋体"/>
          <w:sz w:val="24"/>
          <w:szCs w:val="24"/>
        </w:rPr>
        <w:t>单价金额小数点或者百分比有明显错位的，以总价为准，修正单价。</w:t>
      </w:r>
    </w:p>
    <w:p w14:paraId="112F88D1">
      <w:pPr>
        <w:numPr>
          <w:ilvl w:val="0"/>
          <w:numId w:val="10"/>
        </w:numPr>
        <w:wordWrap w:val="0"/>
        <w:topLinePunct/>
        <w:autoSpaceDE w:val="0"/>
        <w:autoSpaceDN w:val="0"/>
        <w:adjustRightInd w:val="0"/>
        <w:spacing w:line="360" w:lineRule="auto"/>
        <w:ind w:right="40" w:firstLine="480" w:firstLineChars="200"/>
        <w:jc w:val="left"/>
        <w:rPr>
          <w:rFonts w:ascii="宋体" w:hAnsi="宋体" w:eastAsia="宋体" w:cs="宋体"/>
          <w:kern w:val="0"/>
          <w:sz w:val="24"/>
          <w:szCs w:val="24"/>
        </w:rPr>
      </w:pPr>
      <w:r>
        <w:rPr>
          <w:rFonts w:hint="eastAsia" w:ascii="宋体" w:hAnsi="宋体" w:eastAsia="宋体" w:cs="宋体"/>
          <w:sz w:val="24"/>
          <w:szCs w:val="24"/>
        </w:rPr>
        <w:t>同时出现两种以上不一致的，按照上述规定的顺序修正。</w:t>
      </w:r>
      <w:r>
        <w:rPr>
          <w:rFonts w:hint="eastAsia" w:ascii="宋体" w:hAnsi="宋体" w:eastAsia="宋体" w:cs="宋体"/>
          <w:kern w:val="0"/>
          <w:sz w:val="24"/>
          <w:szCs w:val="24"/>
        </w:rPr>
        <w:t>修正后的报价应当采用书面形式，并加盖公章或者由法定代表人或其授权的代表签字，供应商不确认的，其投标无效。</w:t>
      </w:r>
    </w:p>
    <w:p w14:paraId="5CFBD9C0">
      <w:pPr>
        <w:keepNext/>
        <w:keepLines/>
        <w:numPr>
          <w:ilvl w:val="1"/>
          <w:numId w:val="7"/>
        </w:numPr>
        <w:wordWrap w:val="0"/>
        <w:topLinePunct/>
        <w:spacing w:line="360" w:lineRule="auto"/>
        <w:outlineLvl w:val="2"/>
        <w:rPr>
          <w:rFonts w:ascii="宋体" w:hAnsi="宋体" w:eastAsia="宋体" w:cs="Times New Roman"/>
          <w:b/>
          <w:bCs/>
          <w:sz w:val="24"/>
          <w:szCs w:val="24"/>
        </w:rPr>
      </w:pPr>
      <w:r>
        <w:rPr>
          <w:rFonts w:hint="eastAsia" w:ascii="宋体" w:hAnsi="宋体" w:eastAsia="宋体" w:cs="Times New Roman"/>
          <w:b/>
          <w:bCs/>
          <w:sz w:val="24"/>
          <w:szCs w:val="24"/>
        </w:rPr>
        <w:t>详细磋商</w:t>
      </w:r>
    </w:p>
    <w:p w14:paraId="3E67B69D">
      <w:pPr>
        <w:numPr>
          <w:ilvl w:val="2"/>
          <w:numId w:val="7"/>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磋商小组集中与单一供应商分别进行磋商。在磋商中，磋商双方可以就磋商项目所涉及的价格、技术、服务、合同草案条款等进行实质性磋商，但磋商的任何一方不得透露与磋商有关的其他供应商的商业秘密、技术资料、价格和其他信息。</w:t>
      </w:r>
    </w:p>
    <w:p w14:paraId="09F40142">
      <w:pPr>
        <w:numPr>
          <w:ilvl w:val="2"/>
          <w:numId w:val="7"/>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在磋商过程中，磋商小组可以根据</w:t>
      </w:r>
      <w:r>
        <w:rPr>
          <w:rFonts w:hint="eastAsia" w:ascii="宋体" w:hAnsi="宋体" w:eastAsia="宋体" w:cs="宋体"/>
          <w:sz w:val="24"/>
          <w:szCs w:val="24"/>
        </w:rPr>
        <w:t>竞争性</w:t>
      </w:r>
      <w:r>
        <w:rPr>
          <w:rFonts w:hint="eastAsia" w:ascii="宋体" w:hAnsi="宋体" w:eastAsia="宋体" w:cs="宋体"/>
          <w:bCs/>
          <w:kern w:val="0"/>
          <w:sz w:val="24"/>
          <w:szCs w:val="24"/>
        </w:rPr>
        <w:t>磋商文件和磋商情况实质性变动采购需求中的技术、服务要求以及合同草案条款，但不得变动</w:t>
      </w:r>
      <w:r>
        <w:rPr>
          <w:rFonts w:hint="eastAsia" w:ascii="宋体" w:hAnsi="宋体" w:eastAsia="宋体" w:cs="宋体"/>
          <w:sz w:val="24"/>
          <w:szCs w:val="24"/>
        </w:rPr>
        <w:t>竞争性</w:t>
      </w:r>
      <w:r>
        <w:rPr>
          <w:rFonts w:hint="eastAsia" w:ascii="宋体" w:hAnsi="宋体" w:eastAsia="宋体" w:cs="宋体"/>
          <w:bCs/>
          <w:kern w:val="0"/>
          <w:sz w:val="24"/>
          <w:szCs w:val="24"/>
        </w:rPr>
        <w:t>磋商文件中的其他内容。</w:t>
      </w:r>
    </w:p>
    <w:p w14:paraId="0B6AA824">
      <w:pPr>
        <w:numPr>
          <w:ilvl w:val="2"/>
          <w:numId w:val="7"/>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对</w:t>
      </w:r>
      <w:r>
        <w:rPr>
          <w:rFonts w:hint="eastAsia" w:ascii="宋体" w:hAnsi="宋体" w:eastAsia="宋体" w:cs="宋体"/>
          <w:sz w:val="24"/>
          <w:szCs w:val="24"/>
        </w:rPr>
        <w:t>竞争性</w:t>
      </w:r>
      <w:r>
        <w:rPr>
          <w:rFonts w:hint="eastAsia" w:ascii="宋体" w:hAnsi="宋体" w:eastAsia="宋体" w:cs="宋体"/>
          <w:bCs/>
          <w:kern w:val="0"/>
          <w:sz w:val="24"/>
          <w:szCs w:val="24"/>
        </w:rPr>
        <w:t>磋商文件作出的实质性变动是</w:t>
      </w:r>
      <w:r>
        <w:rPr>
          <w:rFonts w:hint="eastAsia" w:ascii="宋体" w:hAnsi="宋体" w:eastAsia="宋体" w:cs="宋体"/>
          <w:sz w:val="24"/>
          <w:szCs w:val="24"/>
        </w:rPr>
        <w:t>竞争性</w:t>
      </w:r>
      <w:r>
        <w:rPr>
          <w:rFonts w:hint="eastAsia" w:ascii="宋体" w:hAnsi="宋体" w:eastAsia="宋体" w:cs="宋体"/>
          <w:bCs/>
          <w:kern w:val="0"/>
          <w:sz w:val="24"/>
          <w:szCs w:val="24"/>
        </w:rPr>
        <w:t>磋商文件的有效组成部分，磋商小组应当以书面形式同时通知所有参加磋商的供应商。</w:t>
      </w:r>
    </w:p>
    <w:p w14:paraId="71C58893">
      <w:pPr>
        <w:numPr>
          <w:ilvl w:val="2"/>
          <w:numId w:val="7"/>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sz w:val="24"/>
          <w:szCs w:val="24"/>
        </w:rPr>
        <w:t>竞争性磋商文件不能详细列明采购标的的技术、服务要求，需经磋商由供应商提供最终解决方案的，磋商结束后，磋商小组应当按照少数服从多数的原则推荐3家以上供应商的解决方案，并要求其在规定时间内提交最后报价</w:t>
      </w:r>
      <w:r>
        <w:rPr>
          <w:rFonts w:hint="eastAsia" w:ascii="宋体" w:hAnsi="宋体" w:eastAsia="宋体" w:cs="宋体"/>
          <w:bCs/>
          <w:kern w:val="0"/>
          <w:sz w:val="24"/>
          <w:szCs w:val="24"/>
        </w:rPr>
        <w:t>。</w:t>
      </w:r>
    </w:p>
    <w:p w14:paraId="07BA996F">
      <w:pPr>
        <w:numPr>
          <w:ilvl w:val="2"/>
          <w:numId w:val="7"/>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sz w:val="24"/>
          <w:szCs w:val="24"/>
        </w:rPr>
        <w:t>竞争性磋商文件能够详细列明采购标的的技术、服务要求的，磋商结束后，磋商小组应当要求所有实质性响应的供应商在规定时间内提交最后报价</w:t>
      </w:r>
      <w:r>
        <w:rPr>
          <w:rFonts w:hint="eastAsia" w:ascii="宋体" w:hAnsi="宋体" w:eastAsia="宋体" w:cs="宋体"/>
          <w:bCs/>
          <w:kern w:val="0"/>
          <w:sz w:val="24"/>
          <w:szCs w:val="24"/>
        </w:rPr>
        <w:t>。</w:t>
      </w:r>
    </w:p>
    <w:p w14:paraId="5B2839FA">
      <w:pPr>
        <w:numPr>
          <w:ilvl w:val="2"/>
          <w:numId w:val="7"/>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最后报价（二轮报价）是供应商响应文件的有效组成部分【</w:t>
      </w:r>
      <w:r>
        <w:rPr>
          <w:rFonts w:hint="eastAsia" w:ascii="宋体" w:hAnsi="宋体" w:eastAsia="宋体" w:cs="宋体"/>
          <w:b/>
          <w:bCs/>
          <w:sz w:val="24"/>
          <w:szCs w:val="24"/>
        </w:rPr>
        <w:t>注：1、最后报价不得超出磋商控制价；2、最后报价明显低于成本价的，供应商需做出合理说明，否则将承担不被接受的风险</w:t>
      </w:r>
      <w:r>
        <w:rPr>
          <w:rFonts w:hint="eastAsia" w:ascii="宋体" w:hAnsi="宋体" w:eastAsia="宋体" w:cs="宋体"/>
          <w:bCs/>
          <w:kern w:val="0"/>
          <w:sz w:val="24"/>
          <w:szCs w:val="24"/>
        </w:rPr>
        <w:t>】。</w:t>
      </w:r>
    </w:p>
    <w:p w14:paraId="3652C68F">
      <w:pPr>
        <w:numPr>
          <w:ilvl w:val="2"/>
          <w:numId w:val="7"/>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情况特殊,经磋商小组根据磋商现场情况，可以要求供应商适当进行多轮报价。</w:t>
      </w:r>
    </w:p>
    <w:p w14:paraId="23010440">
      <w:pPr>
        <w:numPr>
          <w:ilvl w:val="2"/>
          <w:numId w:val="7"/>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经磋商确定最终采购需求和提交最后报价的供应商后，由磋商小组采用综合评分法对提交最后报价的供应商的响应文件和最后报价进行综合评分。</w:t>
      </w:r>
    </w:p>
    <w:p w14:paraId="04EF8D39">
      <w:pPr>
        <w:keepNext/>
        <w:keepLines/>
        <w:numPr>
          <w:ilvl w:val="1"/>
          <w:numId w:val="7"/>
        </w:numPr>
        <w:wordWrap w:val="0"/>
        <w:topLinePunct/>
        <w:spacing w:line="360" w:lineRule="auto"/>
        <w:outlineLvl w:val="2"/>
        <w:rPr>
          <w:rFonts w:ascii="宋体" w:hAnsi="宋体" w:eastAsia="宋体" w:cs="Times New Roman"/>
          <w:b/>
          <w:bCs/>
          <w:sz w:val="24"/>
          <w:szCs w:val="24"/>
        </w:rPr>
      </w:pPr>
      <w:r>
        <w:rPr>
          <w:rFonts w:hint="eastAsia" w:ascii="宋体" w:hAnsi="宋体" w:eastAsia="宋体" w:cs="Times New Roman"/>
          <w:b/>
          <w:bCs/>
          <w:sz w:val="24"/>
          <w:szCs w:val="24"/>
        </w:rPr>
        <w:t>详细评审</w:t>
      </w:r>
    </w:p>
    <w:p w14:paraId="2F5B7FEE">
      <w:pPr>
        <w:numPr>
          <w:ilvl w:val="2"/>
          <w:numId w:val="7"/>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磋商小组按本章评审方法规定的量化因素和分值进行打分，并计算出综合得分。</w:t>
      </w:r>
    </w:p>
    <w:p w14:paraId="7721382C">
      <w:pPr>
        <w:numPr>
          <w:ilvl w:val="2"/>
          <w:numId w:val="7"/>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磋商小组认为供应商的最后报价明显低于成本价的，有可能影响产品质量或者不能诚信履约的，应当要求其在评审现场合理的时间内提供书面说明，必要时提交相关证明材料；供应商不能证明其报价合理性的，磋商小组应当将其作为无效投标处理。</w:t>
      </w:r>
    </w:p>
    <w:p w14:paraId="34EEB56C">
      <w:pPr>
        <w:keepNext/>
        <w:keepLines/>
        <w:numPr>
          <w:ilvl w:val="1"/>
          <w:numId w:val="7"/>
        </w:numPr>
        <w:wordWrap w:val="0"/>
        <w:topLinePunct/>
        <w:spacing w:line="360" w:lineRule="auto"/>
        <w:outlineLvl w:val="2"/>
        <w:rPr>
          <w:rFonts w:ascii="宋体" w:hAnsi="宋体" w:eastAsia="宋体" w:cs="Times New Roman"/>
          <w:b/>
          <w:bCs/>
          <w:sz w:val="24"/>
          <w:szCs w:val="24"/>
        </w:rPr>
      </w:pPr>
      <w:r>
        <w:rPr>
          <w:rFonts w:hint="eastAsia" w:ascii="宋体" w:hAnsi="宋体" w:eastAsia="宋体" w:cs="Times New Roman"/>
          <w:b/>
          <w:bCs/>
          <w:sz w:val="24"/>
          <w:szCs w:val="24"/>
        </w:rPr>
        <w:t>响应文件的澄清</w:t>
      </w:r>
    </w:p>
    <w:p w14:paraId="28CF9E40">
      <w:pPr>
        <w:numPr>
          <w:ilvl w:val="2"/>
          <w:numId w:val="7"/>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在评审过程中，磋商小组可以通过电子平台要求供应商对响应文件中含义不明确、对同类问题表述不一致或者有明显文字和计算错误的内容作必要的澄清、说明或补正。澄清、说明或补正应通过电子平台方式进行。磋商小组不接受供应商主动提出的澄清、说明或补正。</w:t>
      </w:r>
    </w:p>
    <w:p w14:paraId="7E2FD791">
      <w:pPr>
        <w:numPr>
          <w:ilvl w:val="2"/>
          <w:numId w:val="7"/>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澄清、说明或补正不得超出响应文件的范围且不得改变响应文件的实质性内容，并构成响应文件的组成部分。</w:t>
      </w:r>
    </w:p>
    <w:p w14:paraId="1FC51B31">
      <w:pPr>
        <w:numPr>
          <w:ilvl w:val="2"/>
          <w:numId w:val="7"/>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磋商小组对供应商提交的澄清、说明或补正有疑问的，可以要求供应商进一步澄清、说明或补正，直至满足磋商小组的要求。</w:t>
      </w:r>
    </w:p>
    <w:p w14:paraId="47668FC8">
      <w:pPr>
        <w:keepNext/>
        <w:keepLines/>
        <w:numPr>
          <w:ilvl w:val="1"/>
          <w:numId w:val="7"/>
        </w:numPr>
        <w:wordWrap w:val="0"/>
        <w:topLinePunct/>
        <w:spacing w:line="360" w:lineRule="auto"/>
        <w:outlineLvl w:val="2"/>
        <w:rPr>
          <w:rFonts w:ascii="宋体" w:hAnsi="宋体" w:eastAsia="宋体" w:cs="Times New Roman"/>
          <w:b/>
          <w:bCs/>
          <w:sz w:val="24"/>
          <w:szCs w:val="24"/>
        </w:rPr>
      </w:pPr>
      <w:r>
        <w:rPr>
          <w:rFonts w:hint="eastAsia" w:ascii="宋体" w:hAnsi="宋体" w:eastAsia="宋体" w:cs="Times New Roman"/>
          <w:b/>
          <w:bCs/>
          <w:sz w:val="24"/>
          <w:szCs w:val="24"/>
        </w:rPr>
        <w:t>评审结果</w:t>
      </w:r>
    </w:p>
    <w:p w14:paraId="68575B0B">
      <w:pPr>
        <w:numPr>
          <w:ilvl w:val="2"/>
          <w:numId w:val="7"/>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bCs/>
          <w:kern w:val="0"/>
          <w:sz w:val="24"/>
          <w:szCs w:val="24"/>
        </w:rPr>
        <w:t>除采购人授权直接确定成交人外，按照评审得分由高到低顺序推荐3名成交候选人，评审得分相同的，按照最后报价由低到高的顺序推荐。</w:t>
      </w:r>
    </w:p>
    <w:p w14:paraId="2F48BBE7">
      <w:pPr>
        <w:numPr>
          <w:ilvl w:val="2"/>
          <w:numId w:val="7"/>
        </w:numPr>
        <w:wordWrap w:val="0"/>
        <w:topLinePunct/>
        <w:autoSpaceDE w:val="0"/>
        <w:autoSpaceDN w:val="0"/>
        <w:adjustRightInd w:val="0"/>
        <w:spacing w:before="40" w:line="360" w:lineRule="auto"/>
        <w:ind w:right="142" w:firstLine="560"/>
        <w:jc w:val="left"/>
        <w:rPr>
          <w:rFonts w:ascii="宋体" w:hAnsi="宋体" w:eastAsia="宋体" w:cs="宋体"/>
          <w:bCs/>
          <w:kern w:val="0"/>
          <w:sz w:val="24"/>
          <w:szCs w:val="24"/>
        </w:rPr>
      </w:pPr>
      <w:r>
        <w:rPr>
          <w:rFonts w:hint="eastAsia" w:ascii="宋体" w:hAnsi="宋体" w:eastAsia="宋体" w:cs="宋体"/>
          <w:sz w:val="24"/>
          <w:szCs w:val="24"/>
        </w:rPr>
        <w:t xml:space="preserve"> 磋商小组完成评审后，应当向采购人提交书面评审报告和成交候选人名单</w:t>
      </w:r>
      <w:r>
        <w:rPr>
          <w:rFonts w:hint="eastAsia" w:ascii="宋体" w:hAnsi="宋体" w:eastAsia="宋体" w:cs="宋体"/>
          <w:bCs/>
          <w:kern w:val="0"/>
          <w:sz w:val="24"/>
          <w:szCs w:val="24"/>
        </w:rPr>
        <w:t>并编写评审报告。</w:t>
      </w:r>
    </w:p>
    <w:p w14:paraId="4D1E34FC">
      <w:pPr>
        <w:wordWrap w:val="0"/>
        <w:topLinePunct/>
        <w:spacing w:before="240" w:beforeLines="100" w:after="240" w:afterLines="100" w:line="360" w:lineRule="auto"/>
        <w:jc w:val="center"/>
        <w:outlineLvl w:val="0"/>
        <w:rPr>
          <w:rFonts w:ascii="宋体" w:hAnsi="宋体" w:eastAsia="宋体" w:cs="Courier New"/>
          <w:b/>
          <w:bCs/>
          <w:sz w:val="30"/>
          <w:szCs w:val="30"/>
        </w:rPr>
      </w:pPr>
      <w:r>
        <w:rPr>
          <w:rFonts w:hint="eastAsia" w:ascii="宋体" w:hAnsi="宋体" w:eastAsia="宋体" w:cs="Courier New"/>
          <w:b/>
          <w:bCs/>
          <w:sz w:val="32"/>
          <w:szCs w:val="32"/>
        </w:rPr>
        <w:br w:type="page"/>
      </w:r>
      <w:bookmarkStart w:id="492" w:name="_Toc23774437"/>
      <w:r>
        <w:rPr>
          <w:rFonts w:hint="eastAsia" w:ascii="宋体" w:hAnsi="宋体" w:eastAsia="宋体" w:cs="Courier New"/>
          <w:b/>
          <w:bCs/>
          <w:sz w:val="30"/>
          <w:szCs w:val="30"/>
        </w:rPr>
        <w:t>第四章  合同</w:t>
      </w:r>
      <w:bookmarkEnd w:id="491"/>
      <w:r>
        <w:rPr>
          <w:rFonts w:hint="eastAsia" w:ascii="宋体" w:hAnsi="宋体" w:eastAsia="宋体" w:cs="Courier New"/>
          <w:b/>
          <w:bCs/>
          <w:sz w:val="30"/>
          <w:szCs w:val="30"/>
        </w:rPr>
        <w:t>条款及格式</w:t>
      </w:r>
      <w:bookmarkEnd w:id="492"/>
    </w:p>
    <w:p w14:paraId="56D8C018">
      <w:pPr>
        <w:spacing w:line="360" w:lineRule="auto"/>
        <w:jc w:val="center"/>
        <w:rPr>
          <w:rFonts w:hint="eastAsia" w:ascii="宋体" w:hAnsi="宋体"/>
          <w:b/>
          <w:sz w:val="36"/>
          <w:szCs w:val="36"/>
          <w:highlight w:val="none"/>
        </w:rPr>
      </w:pPr>
      <w:bookmarkStart w:id="493" w:name="_Toc23967"/>
      <w:r>
        <w:rPr>
          <w:rFonts w:hint="eastAsia" w:ascii="宋体" w:hAnsi="宋体"/>
          <w:b/>
          <w:sz w:val="36"/>
          <w:szCs w:val="36"/>
          <w:highlight w:val="none"/>
        </w:rPr>
        <w:t>合同条款及格式</w:t>
      </w:r>
    </w:p>
    <w:p w14:paraId="022F3209">
      <w:pPr>
        <w:jc w:val="center"/>
        <w:rPr>
          <w:rFonts w:ascii="宋体" w:hAnsi="宋体"/>
          <w:sz w:val="30"/>
          <w:szCs w:val="30"/>
          <w:highlight w:val="none"/>
        </w:rPr>
      </w:pPr>
    </w:p>
    <w:p w14:paraId="0118E6C6">
      <w:pPr>
        <w:spacing w:line="360" w:lineRule="auto"/>
        <w:jc w:val="center"/>
        <w:rPr>
          <w:rFonts w:ascii="仿宋_GB2312" w:hAnsi="宋体"/>
          <w:b/>
          <w:bCs/>
          <w:sz w:val="30"/>
          <w:szCs w:val="30"/>
          <w:highlight w:val="none"/>
        </w:rPr>
      </w:pPr>
      <w:bookmarkStart w:id="494" w:name="_Toc351203652"/>
      <w:r>
        <w:rPr>
          <w:rFonts w:ascii="仿宋_GB2312" w:hAnsi="仿宋_GB2312"/>
          <w:b/>
          <w:bCs/>
          <w:sz w:val="32"/>
          <w:szCs w:val="32"/>
          <w:highlight w:val="none"/>
        </w:rPr>
        <w:t>（ＧＦ－2012－0202）</w:t>
      </w:r>
    </w:p>
    <w:p w14:paraId="26D7A7ED">
      <w:pPr>
        <w:spacing w:line="360" w:lineRule="auto"/>
        <w:jc w:val="center"/>
        <w:rPr>
          <w:rFonts w:ascii="华文中宋" w:hAnsi="华文中宋" w:eastAsia="华文中宋"/>
          <w:b/>
          <w:bCs/>
          <w:sz w:val="48"/>
          <w:szCs w:val="48"/>
          <w:highlight w:val="none"/>
        </w:rPr>
      </w:pPr>
    </w:p>
    <w:p w14:paraId="374CB2D8">
      <w:pPr>
        <w:spacing w:line="360" w:lineRule="auto"/>
        <w:jc w:val="center"/>
        <w:rPr>
          <w:rFonts w:ascii="华文中宋" w:hAnsi="华文中宋" w:eastAsia="华文中宋"/>
          <w:b/>
          <w:bCs/>
          <w:sz w:val="48"/>
          <w:szCs w:val="48"/>
          <w:highlight w:val="none"/>
        </w:rPr>
      </w:pPr>
    </w:p>
    <w:p w14:paraId="0157F123">
      <w:pPr>
        <w:spacing w:line="360" w:lineRule="auto"/>
        <w:jc w:val="center"/>
        <w:rPr>
          <w:rFonts w:ascii="华文中宋" w:hAnsi="华文中宋" w:eastAsia="华文中宋"/>
          <w:b/>
          <w:bCs/>
          <w:sz w:val="52"/>
          <w:szCs w:val="52"/>
          <w:highlight w:val="none"/>
        </w:rPr>
      </w:pPr>
      <w:r>
        <w:rPr>
          <w:rFonts w:hint="eastAsia" w:ascii="华文中宋" w:hAnsi="华文中宋" w:eastAsia="华文中宋"/>
          <w:b/>
          <w:bCs/>
          <w:sz w:val="52"/>
          <w:szCs w:val="52"/>
          <w:highlight w:val="none"/>
        </w:rPr>
        <w:t>建设工程监理合同</w:t>
      </w:r>
    </w:p>
    <w:p w14:paraId="0F2D991E">
      <w:pPr>
        <w:spacing w:line="360" w:lineRule="auto"/>
        <w:jc w:val="center"/>
        <w:rPr>
          <w:rFonts w:ascii="华文楷体" w:hAnsi="华文楷体" w:eastAsia="华文楷体"/>
          <w:b/>
          <w:bCs/>
          <w:sz w:val="52"/>
          <w:szCs w:val="52"/>
          <w:highlight w:val="none"/>
        </w:rPr>
      </w:pPr>
      <w:r>
        <w:rPr>
          <w:rFonts w:hint="eastAsia" w:ascii="华文楷体" w:hAnsi="华文楷体" w:eastAsia="华文楷体"/>
          <w:b/>
          <w:bCs/>
          <w:sz w:val="52"/>
          <w:szCs w:val="52"/>
          <w:highlight w:val="none"/>
        </w:rPr>
        <w:t>（示范文本）</w:t>
      </w:r>
    </w:p>
    <w:p w14:paraId="5E039A4E">
      <w:pPr>
        <w:spacing w:line="360" w:lineRule="auto"/>
        <w:jc w:val="center"/>
        <w:rPr>
          <w:rFonts w:ascii="仿宋_GB2312" w:hAnsi="宋体"/>
          <w:sz w:val="48"/>
          <w:szCs w:val="48"/>
          <w:highlight w:val="none"/>
        </w:rPr>
      </w:pPr>
    </w:p>
    <w:p w14:paraId="3BDCB140">
      <w:pPr>
        <w:spacing w:line="360" w:lineRule="auto"/>
        <w:jc w:val="center"/>
        <w:rPr>
          <w:rFonts w:ascii="仿宋_GB2312" w:hAnsi="宋体"/>
          <w:b/>
          <w:bCs/>
          <w:sz w:val="24"/>
          <w:szCs w:val="24"/>
          <w:highlight w:val="none"/>
        </w:rPr>
      </w:pPr>
    </w:p>
    <w:p w14:paraId="2CF06DD9">
      <w:pPr>
        <w:spacing w:line="360" w:lineRule="auto"/>
        <w:rPr>
          <w:rFonts w:ascii="仿宋_GB2312" w:hAnsi="宋体"/>
          <w:b/>
          <w:bCs/>
          <w:sz w:val="24"/>
          <w:szCs w:val="24"/>
          <w:highlight w:val="none"/>
        </w:rPr>
      </w:pPr>
    </w:p>
    <w:p w14:paraId="0060EC65">
      <w:pPr>
        <w:spacing w:line="360" w:lineRule="auto"/>
        <w:rPr>
          <w:rFonts w:ascii="仿宋_GB2312" w:hAnsi="宋体"/>
          <w:b/>
          <w:bCs/>
          <w:sz w:val="24"/>
          <w:szCs w:val="24"/>
          <w:highlight w:val="none"/>
        </w:rPr>
      </w:pPr>
    </w:p>
    <w:p w14:paraId="630ABDEE">
      <w:pPr>
        <w:spacing w:line="360" w:lineRule="auto"/>
        <w:rPr>
          <w:rFonts w:ascii="仿宋_GB2312" w:hAnsi="宋体"/>
          <w:b/>
          <w:bCs/>
          <w:sz w:val="24"/>
          <w:szCs w:val="24"/>
          <w:highlight w:val="none"/>
        </w:rPr>
      </w:pPr>
    </w:p>
    <w:p w14:paraId="521EE641">
      <w:pPr>
        <w:spacing w:line="360" w:lineRule="auto"/>
        <w:rPr>
          <w:rFonts w:ascii="仿宋_GB2312" w:hAnsi="宋体"/>
          <w:b/>
          <w:bCs/>
          <w:sz w:val="24"/>
          <w:szCs w:val="24"/>
          <w:highlight w:val="none"/>
        </w:rPr>
      </w:pPr>
    </w:p>
    <w:p w14:paraId="289A21F1">
      <w:pPr>
        <w:spacing w:line="360" w:lineRule="auto"/>
        <w:jc w:val="center"/>
        <w:rPr>
          <w:rFonts w:ascii="华文中宋" w:hAnsi="华文中宋" w:eastAsia="华文中宋"/>
          <w:b/>
          <w:bCs/>
          <w:sz w:val="32"/>
          <w:szCs w:val="32"/>
          <w:highlight w:val="none"/>
        </w:rPr>
      </w:pPr>
    </w:p>
    <w:p w14:paraId="7A1CF10D">
      <w:pPr>
        <w:pStyle w:val="2"/>
        <w:rPr>
          <w:color w:val="auto"/>
          <w:highlight w:val="none"/>
        </w:rPr>
      </w:pPr>
    </w:p>
    <w:p w14:paraId="717832F1">
      <w:pPr>
        <w:spacing w:line="360" w:lineRule="auto"/>
        <w:jc w:val="center"/>
        <w:rPr>
          <w:rFonts w:ascii="华文中宋" w:hAnsi="华文中宋" w:eastAsia="华文中宋"/>
          <w:b/>
          <w:bCs/>
          <w:sz w:val="32"/>
          <w:szCs w:val="32"/>
          <w:highlight w:val="none"/>
        </w:rPr>
      </w:pPr>
    </w:p>
    <w:p w14:paraId="3C852539">
      <w:pPr>
        <w:spacing w:line="360" w:lineRule="auto"/>
        <w:jc w:val="center"/>
        <w:rPr>
          <w:rFonts w:ascii="华文中宋" w:hAnsi="华文中宋" w:eastAsia="华文中宋"/>
          <w:b/>
          <w:bCs/>
          <w:sz w:val="32"/>
          <w:szCs w:val="32"/>
          <w:highlight w:val="none"/>
        </w:rPr>
      </w:pPr>
      <w:r>
        <w:rPr>
          <w:rFonts w:hint="eastAsia" w:ascii="华文中宋" w:hAnsi="华文中宋" w:eastAsia="华文中宋"/>
          <w:b/>
          <w:bCs/>
          <w:sz w:val="32"/>
          <w:szCs w:val="32"/>
          <w:highlight w:val="none"/>
        </w:rPr>
        <w:t>住房和城乡建设部制定</w:t>
      </w:r>
    </w:p>
    <w:p w14:paraId="3C0969FD">
      <w:pPr>
        <w:spacing w:line="360" w:lineRule="auto"/>
        <w:jc w:val="center"/>
        <w:rPr>
          <w:rFonts w:ascii="华文中宋" w:hAnsi="华文中宋" w:eastAsia="华文中宋"/>
          <w:b/>
          <w:bCs/>
          <w:sz w:val="32"/>
          <w:szCs w:val="32"/>
          <w:highlight w:val="none"/>
        </w:rPr>
      </w:pPr>
    </w:p>
    <w:p w14:paraId="2C8545CA">
      <w:pPr>
        <w:spacing w:line="360" w:lineRule="auto"/>
        <w:jc w:val="center"/>
        <w:rPr>
          <w:rFonts w:ascii="华文中宋" w:hAnsi="华文中宋" w:eastAsia="华文中宋"/>
          <w:b/>
          <w:bCs/>
          <w:highlight w:val="none"/>
        </w:rPr>
      </w:pPr>
      <w:r>
        <w:rPr>
          <w:rFonts w:hint="eastAsia" w:ascii="华文中宋" w:hAnsi="华文中宋" w:eastAsia="华文中宋"/>
          <w:b/>
          <w:bCs/>
          <w:sz w:val="32"/>
          <w:szCs w:val="32"/>
          <w:highlight w:val="none"/>
        </w:rPr>
        <w:t xml:space="preserve"> 国家工商行政管理总局</w:t>
      </w:r>
    </w:p>
    <w:p w14:paraId="1920F12D">
      <w:pPr>
        <w:spacing w:before="312" w:beforeLines="100" w:line="360" w:lineRule="auto"/>
        <w:jc w:val="center"/>
        <w:rPr>
          <w:rFonts w:ascii="华文中宋" w:hAnsi="华文中宋" w:eastAsia="华文中宋"/>
          <w:b/>
          <w:bCs/>
          <w:sz w:val="32"/>
          <w:szCs w:val="32"/>
          <w:highlight w:val="none"/>
        </w:rPr>
      </w:pPr>
      <w:r>
        <w:rPr>
          <w:rFonts w:hint="eastAsia" w:ascii="华文中宋" w:hAnsi="华文中宋" w:eastAsia="华文中宋"/>
          <w:b/>
          <w:bCs/>
          <w:sz w:val="32"/>
          <w:szCs w:val="32"/>
          <w:highlight w:val="none"/>
        </w:rPr>
        <w:t>第一部分  协议书</w:t>
      </w:r>
    </w:p>
    <w:p w14:paraId="3571BFDF">
      <w:pPr>
        <w:spacing w:line="360" w:lineRule="auto"/>
        <w:jc w:val="center"/>
        <w:rPr>
          <w:rFonts w:ascii="华文中宋" w:hAnsi="华文中宋" w:eastAsia="华文中宋"/>
          <w:b/>
          <w:bCs/>
          <w:sz w:val="32"/>
          <w:szCs w:val="32"/>
          <w:highlight w:val="none"/>
        </w:rPr>
      </w:pPr>
    </w:p>
    <w:p w14:paraId="432E430A">
      <w:pPr>
        <w:adjustRightInd w:val="0"/>
        <w:snapToGrid w:val="0"/>
        <w:spacing w:line="360" w:lineRule="auto"/>
        <w:ind w:firstLine="325" w:firstLineChars="250"/>
        <w:rPr>
          <w:rFonts w:ascii="仿宋_GB2312" w:hAnsi="宋体"/>
          <w:b/>
          <w:bCs/>
          <w:sz w:val="13"/>
          <w:szCs w:val="13"/>
          <w:highlight w:val="none"/>
        </w:rPr>
      </w:pPr>
    </w:p>
    <w:p w14:paraId="3FF66843">
      <w:pPr>
        <w:adjustRightInd w:val="0"/>
        <w:snapToGrid w:val="0"/>
        <w:spacing w:line="360" w:lineRule="auto"/>
        <w:ind w:firstLine="480" w:firstLineChars="200"/>
        <w:rPr>
          <w:rFonts w:hint="default" w:ascii="宋体" w:hAnsi="宋体" w:eastAsiaTheme="minorEastAsia"/>
          <w:b/>
          <w:bCs/>
          <w:sz w:val="24"/>
          <w:szCs w:val="24"/>
          <w:highlight w:val="none"/>
          <w:u w:val="single"/>
          <w:lang w:val="en-US" w:eastAsia="zh-CN"/>
        </w:rPr>
      </w:pPr>
      <w:r>
        <w:rPr>
          <w:rFonts w:hint="eastAsia" w:ascii="宋体" w:hAnsi="宋体"/>
          <w:b/>
          <w:bCs/>
          <w:sz w:val="24"/>
          <w:szCs w:val="24"/>
          <w:highlight w:val="none"/>
        </w:rPr>
        <w:t>委托人（全称）：</w:t>
      </w:r>
      <w:r>
        <w:rPr>
          <w:rFonts w:hint="eastAsia" w:ascii="宋体" w:hAnsi="宋体"/>
          <w:b/>
          <w:bCs/>
          <w:sz w:val="24"/>
          <w:szCs w:val="24"/>
          <w:highlight w:val="none"/>
          <w:u w:val="single"/>
          <w:lang w:val="en-US" w:eastAsia="zh-CN"/>
        </w:rPr>
        <w:t xml:space="preserve">          </w:t>
      </w:r>
    </w:p>
    <w:p w14:paraId="34CA2907">
      <w:pPr>
        <w:adjustRightInd w:val="0"/>
        <w:snapToGrid w:val="0"/>
        <w:spacing w:line="360" w:lineRule="auto"/>
        <w:ind w:firstLine="480" w:firstLineChars="200"/>
        <w:rPr>
          <w:rFonts w:hint="default" w:ascii="宋体" w:hAnsi="宋体" w:eastAsiaTheme="minorEastAsia"/>
          <w:sz w:val="24"/>
          <w:szCs w:val="24"/>
          <w:highlight w:val="none"/>
          <w:u w:val="single"/>
          <w:lang w:val="en-US" w:eastAsia="zh-CN"/>
        </w:rPr>
      </w:pPr>
      <w:r>
        <w:rPr>
          <w:rFonts w:hint="eastAsia" w:ascii="宋体" w:hAnsi="宋体"/>
          <w:b/>
          <w:bCs/>
          <w:sz w:val="24"/>
          <w:szCs w:val="24"/>
          <w:highlight w:val="none"/>
        </w:rPr>
        <w:t>监理人（全称）：</w:t>
      </w:r>
      <w:r>
        <w:rPr>
          <w:rFonts w:hint="eastAsia" w:ascii="宋体" w:hAnsi="宋体"/>
          <w:b/>
          <w:bCs/>
          <w:sz w:val="24"/>
          <w:szCs w:val="24"/>
          <w:highlight w:val="none"/>
          <w:u w:val="single"/>
          <w:lang w:val="en-US" w:eastAsia="zh-CN"/>
        </w:rPr>
        <w:t xml:space="preserve">           </w:t>
      </w:r>
    </w:p>
    <w:p w14:paraId="3670CE25">
      <w:pPr>
        <w:adjustRightInd w:val="0"/>
        <w:snapToGrid w:val="0"/>
        <w:spacing w:line="360" w:lineRule="auto"/>
        <w:ind w:firstLine="480" w:firstLineChars="200"/>
        <w:rPr>
          <w:rFonts w:ascii="宋体" w:hAnsi="宋体"/>
          <w:sz w:val="24"/>
          <w:szCs w:val="24"/>
          <w:highlight w:val="none"/>
          <w:u w:val="single"/>
        </w:rPr>
      </w:pPr>
      <w:r>
        <w:rPr>
          <w:rFonts w:hint="eastAsia" w:ascii="宋体" w:hAnsi="宋体"/>
          <w:sz w:val="24"/>
          <w:szCs w:val="24"/>
          <w:highlight w:val="none"/>
        </w:rPr>
        <w:t>根据《中华人民共和国</w:t>
      </w:r>
      <w:r>
        <w:rPr>
          <w:rFonts w:hint="eastAsia" w:ascii="宋体" w:hAnsi="宋体"/>
          <w:sz w:val="24"/>
          <w:szCs w:val="24"/>
          <w:highlight w:val="none"/>
          <w:lang w:eastAsia="zh-CN"/>
        </w:rPr>
        <w:t>民法典</w:t>
      </w:r>
      <w:r>
        <w:rPr>
          <w:rFonts w:hint="eastAsia" w:ascii="宋体" w:hAnsi="宋体"/>
          <w:sz w:val="24"/>
          <w:szCs w:val="24"/>
          <w:highlight w:val="none"/>
        </w:rPr>
        <w:t>》、《中华人民共和国建筑法》及其他有关法律、法规，遵循平等、自愿、公平和诚信的原则，双方就下述工程委托监理与相关服务事项协商一致，订立本合同。</w:t>
      </w:r>
    </w:p>
    <w:p w14:paraId="1E5339DB">
      <w:pPr>
        <w:pStyle w:val="43"/>
        <w:spacing w:line="360" w:lineRule="auto"/>
        <w:ind w:left="0" w:firstLine="0"/>
        <w:jc w:val="left"/>
        <w:rPr>
          <w:rFonts w:ascii="宋体" w:hAnsi="宋体"/>
          <w:highlight w:val="none"/>
        </w:rPr>
      </w:pPr>
      <w:bookmarkStart w:id="495" w:name="_Toc456102378"/>
      <w:bookmarkEnd w:id="495"/>
      <w:bookmarkStart w:id="496" w:name="_Toc32235"/>
      <w:r>
        <w:rPr>
          <w:rFonts w:hint="eastAsia" w:ascii="宋体" w:hAnsi="宋体"/>
          <w:highlight w:val="none"/>
        </w:rPr>
        <w:t>一、工程概况</w:t>
      </w:r>
      <w:bookmarkEnd w:id="496"/>
    </w:p>
    <w:p w14:paraId="005B5294">
      <w:pPr>
        <w:spacing w:line="360" w:lineRule="auto"/>
        <w:rPr>
          <w:rFonts w:ascii="宋体" w:hAnsi="宋体"/>
          <w:sz w:val="24"/>
          <w:szCs w:val="24"/>
          <w:highlight w:val="none"/>
          <w:u w:val="single"/>
        </w:rPr>
      </w:pPr>
      <w:r>
        <w:rPr>
          <w:rFonts w:hint="eastAsia" w:ascii="宋体" w:hAnsi="宋体"/>
          <w:sz w:val="24"/>
          <w:szCs w:val="24"/>
          <w:highlight w:val="none"/>
        </w:rPr>
        <w:t xml:space="preserve">    1. 工程名称：</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w:t>
      </w:r>
    </w:p>
    <w:p w14:paraId="06CF2058">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2. 工程地点：</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r>
        <w:rPr>
          <w:rFonts w:hint="eastAsia" w:ascii="宋体" w:hAnsi="宋体"/>
          <w:sz w:val="24"/>
          <w:szCs w:val="24"/>
          <w:highlight w:val="none"/>
        </w:rPr>
        <w:t>；</w:t>
      </w:r>
    </w:p>
    <w:p w14:paraId="31E285FE">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3. 工程规模：</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rPr>
        <w:t>；</w:t>
      </w:r>
    </w:p>
    <w:p w14:paraId="5BE53FC6">
      <w:pPr>
        <w:adjustRightInd w:val="0"/>
        <w:snapToGrid w:val="0"/>
        <w:spacing w:line="360" w:lineRule="auto"/>
        <w:ind w:firstLine="475" w:firstLineChars="198"/>
        <w:jc w:val="left"/>
        <w:rPr>
          <w:rFonts w:ascii="宋体" w:hAnsi="宋体"/>
          <w:sz w:val="24"/>
          <w:szCs w:val="24"/>
          <w:highlight w:val="none"/>
        </w:rPr>
      </w:pPr>
      <w:r>
        <w:rPr>
          <w:rFonts w:hint="eastAsia" w:ascii="宋体" w:hAnsi="宋体"/>
          <w:sz w:val="24"/>
          <w:szCs w:val="24"/>
          <w:highlight w:val="none"/>
        </w:rPr>
        <w:t>4. 工程</w:t>
      </w:r>
      <w:r>
        <w:rPr>
          <w:rFonts w:hint="eastAsia" w:ascii="宋体" w:hAnsi="宋体"/>
          <w:kern w:val="0"/>
          <w:sz w:val="24"/>
          <w:szCs w:val="24"/>
          <w:highlight w:val="none"/>
        </w:rPr>
        <w:t>概算投资额或建筑安装工程费</w:t>
      </w:r>
      <w:r>
        <w:rPr>
          <w:rFonts w:hint="eastAsia" w:ascii="宋体" w:hAnsi="宋体"/>
          <w:sz w:val="24"/>
          <w:szCs w:val="24"/>
          <w:highlight w:val="none"/>
        </w:rPr>
        <w:t>：</w:t>
      </w:r>
      <w:r>
        <w:rPr>
          <w:rFonts w:hint="eastAsia" w:ascii="宋体" w:hAnsi="宋体"/>
          <w:sz w:val="24"/>
          <w:szCs w:val="24"/>
          <w:highlight w:val="none"/>
          <w:u w:val="single"/>
        </w:rPr>
        <w:t xml:space="preserve">          </w:t>
      </w:r>
      <w:r>
        <w:rPr>
          <w:rFonts w:hint="eastAsia" w:ascii="宋体" w:hAnsi="宋体"/>
          <w:sz w:val="24"/>
          <w:szCs w:val="24"/>
          <w:highlight w:val="none"/>
        </w:rPr>
        <w:t xml:space="preserve">。 </w:t>
      </w:r>
    </w:p>
    <w:p w14:paraId="28F6D048">
      <w:pPr>
        <w:pStyle w:val="43"/>
        <w:spacing w:line="360" w:lineRule="auto"/>
        <w:ind w:left="0" w:firstLine="0"/>
        <w:jc w:val="left"/>
        <w:rPr>
          <w:rFonts w:ascii="宋体" w:hAnsi="宋体"/>
          <w:highlight w:val="none"/>
        </w:rPr>
      </w:pPr>
      <w:r>
        <w:rPr>
          <w:rFonts w:hint="eastAsia" w:ascii="宋体" w:hAnsi="宋体"/>
          <w:highlight w:val="none"/>
        </w:rPr>
        <w:t>二、词语限定</w:t>
      </w:r>
    </w:p>
    <w:p w14:paraId="7A2E9929">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协议书中相关词语的含义与通用条件中的定义与解释相同。</w:t>
      </w:r>
    </w:p>
    <w:p w14:paraId="352DB3F3">
      <w:pPr>
        <w:pStyle w:val="43"/>
        <w:spacing w:line="360" w:lineRule="auto"/>
        <w:ind w:left="0" w:firstLine="0"/>
        <w:jc w:val="left"/>
        <w:rPr>
          <w:rFonts w:ascii="宋体" w:hAnsi="宋体"/>
          <w:highlight w:val="none"/>
        </w:rPr>
      </w:pPr>
      <w:bookmarkStart w:id="497" w:name="_Toc456102379"/>
      <w:bookmarkEnd w:id="497"/>
      <w:bookmarkStart w:id="498" w:name="_Toc2701"/>
      <w:r>
        <w:rPr>
          <w:rFonts w:hint="eastAsia" w:ascii="宋体" w:hAnsi="宋体"/>
          <w:highlight w:val="none"/>
        </w:rPr>
        <w:t>三、组成本合同的文件</w:t>
      </w:r>
      <w:bookmarkEnd w:id="498"/>
    </w:p>
    <w:p w14:paraId="5ECA7F33">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1. 协议书；</w:t>
      </w:r>
    </w:p>
    <w:p w14:paraId="0095F45B">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2. 中标通知书；</w:t>
      </w:r>
    </w:p>
    <w:p w14:paraId="2E88E7E6">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3. 投标文件；</w:t>
      </w:r>
    </w:p>
    <w:p w14:paraId="2219BE59">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4. 专用条件；</w:t>
      </w:r>
    </w:p>
    <w:p w14:paraId="560ADF9C">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5. 通用条件；</w:t>
      </w:r>
    </w:p>
    <w:p w14:paraId="643A56E7">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6. 附录，即：</w:t>
      </w:r>
    </w:p>
    <w:p w14:paraId="202686C3">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附录A  相关服务的范围和内容</w:t>
      </w:r>
    </w:p>
    <w:p w14:paraId="37E792D1">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附录B  委托人派遣的人员和提供的房屋、资料、设备</w:t>
      </w:r>
    </w:p>
    <w:p w14:paraId="4403EE45">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本合同签订后，双方依法签订的补充协议也是本合同文件的组成部分。</w:t>
      </w:r>
    </w:p>
    <w:p w14:paraId="05B94663">
      <w:pPr>
        <w:pStyle w:val="43"/>
        <w:spacing w:line="360" w:lineRule="auto"/>
        <w:ind w:left="0" w:firstLine="0"/>
        <w:jc w:val="left"/>
        <w:rPr>
          <w:rFonts w:ascii="宋体" w:hAnsi="宋体"/>
          <w:highlight w:val="none"/>
        </w:rPr>
      </w:pPr>
      <w:bookmarkStart w:id="499" w:name="_Toc456102380"/>
      <w:bookmarkEnd w:id="499"/>
      <w:bookmarkStart w:id="500" w:name="_Toc19449"/>
      <w:r>
        <w:rPr>
          <w:rFonts w:hint="eastAsia" w:ascii="宋体" w:hAnsi="宋体"/>
          <w:highlight w:val="none"/>
        </w:rPr>
        <w:t>四、总监理工程师</w:t>
      </w:r>
      <w:bookmarkEnd w:id="500"/>
    </w:p>
    <w:p w14:paraId="35A59CD6">
      <w:pPr>
        <w:adjustRightInd w:val="0"/>
        <w:snapToGrid w:val="0"/>
        <w:spacing w:line="360" w:lineRule="auto"/>
        <w:ind w:firstLine="475" w:firstLineChars="198"/>
        <w:rPr>
          <w:rFonts w:ascii="宋体" w:hAnsi="宋体"/>
          <w:kern w:val="0"/>
          <w:sz w:val="24"/>
          <w:szCs w:val="24"/>
          <w:highlight w:val="none"/>
        </w:rPr>
      </w:pPr>
      <w:r>
        <w:rPr>
          <w:rFonts w:hint="eastAsia" w:ascii="宋体" w:hAnsi="宋体"/>
          <w:kern w:val="0"/>
          <w:sz w:val="24"/>
          <w:szCs w:val="24"/>
          <w:highlight w:val="none"/>
        </w:rPr>
        <w:t>总监理工程师姓名：，身份证号码：，注册号：。</w:t>
      </w:r>
    </w:p>
    <w:p w14:paraId="32212656">
      <w:pPr>
        <w:pStyle w:val="43"/>
        <w:spacing w:line="360" w:lineRule="auto"/>
        <w:ind w:left="0" w:firstLine="0"/>
        <w:jc w:val="left"/>
        <w:rPr>
          <w:rFonts w:ascii="宋体" w:hAnsi="宋体"/>
          <w:highlight w:val="none"/>
        </w:rPr>
      </w:pPr>
      <w:bookmarkStart w:id="501" w:name="_Toc456102381"/>
      <w:bookmarkEnd w:id="501"/>
      <w:bookmarkStart w:id="502" w:name="_Toc21994"/>
      <w:r>
        <w:rPr>
          <w:rFonts w:hint="eastAsia" w:ascii="宋体" w:hAnsi="宋体"/>
          <w:highlight w:val="none"/>
        </w:rPr>
        <w:t>五、签约酬金</w:t>
      </w:r>
      <w:bookmarkEnd w:id="502"/>
    </w:p>
    <w:p w14:paraId="5BCC529A">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签约酬金</w:t>
      </w:r>
    </w:p>
    <w:p w14:paraId="753149D2">
      <w:pPr>
        <w:snapToGrid w:val="0"/>
        <w:spacing w:line="544" w:lineRule="atLeast"/>
        <w:ind w:firstLine="480" w:firstLineChars="200"/>
        <w:textAlignment w:val="baseline"/>
        <w:rPr>
          <w:rFonts w:ascii="宋体" w:hAnsi="宋体"/>
          <w:sz w:val="24"/>
          <w:szCs w:val="24"/>
          <w:highlight w:val="none"/>
          <w:u w:val="single"/>
        </w:rPr>
      </w:pPr>
      <w:r>
        <w:rPr>
          <w:rFonts w:hint="eastAsia" w:ascii="宋体" w:hAnsi="宋体"/>
          <w:sz w:val="24"/>
          <w:szCs w:val="24"/>
          <w:highlight w:val="none"/>
          <w:u w:val="single"/>
        </w:rPr>
        <w:t>按监理范围内全部</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（大写百分之         ）。</w:t>
      </w:r>
    </w:p>
    <w:p w14:paraId="2D999CA5">
      <w:pPr>
        <w:snapToGrid w:val="0"/>
        <w:spacing w:line="544" w:lineRule="atLeast"/>
        <w:ind w:firstLine="480" w:firstLineChars="200"/>
        <w:textAlignment w:val="baseline"/>
        <w:rPr>
          <w:rFonts w:ascii="宋体" w:hAnsi="宋体"/>
          <w:sz w:val="24"/>
          <w:szCs w:val="24"/>
          <w:highlight w:val="none"/>
          <w:u w:val="single"/>
        </w:rPr>
      </w:pPr>
      <w:r>
        <w:rPr>
          <w:rFonts w:hint="eastAsia" w:ascii="宋体" w:hAnsi="宋体"/>
          <w:sz w:val="24"/>
          <w:szCs w:val="24"/>
          <w:highlight w:val="none"/>
          <w:u w:val="single"/>
        </w:rPr>
        <w:t>该费率为固定费率，固定费率中包括的风险范围为：投标人未考虑到或漏算的项目，合同执行期间人员费用、设备价格的变动；委托人提供的资料与现场实际情况不符；因各种原因施工工期延长；其他风险因素。</w:t>
      </w:r>
    </w:p>
    <w:p w14:paraId="344C0171">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包括：</w:t>
      </w:r>
    </w:p>
    <w:p w14:paraId="24A6D275">
      <w:pPr>
        <w:adjustRightInd w:val="0"/>
        <w:snapToGrid w:val="0"/>
        <w:spacing w:line="360" w:lineRule="auto"/>
        <w:ind w:firstLine="600" w:firstLineChars="250"/>
        <w:rPr>
          <w:rFonts w:ascii="宋体" w:hAnsi="宋体"/>
          <w:sz w:val="24"/>
          <w:szCs w:val="24"/>
          <w:highlight w:val="none"/>
        </w:rPr>
      </w:pPr>
      <w:r>
        <w:rPr>
          <w:rFonts w:hint="eastAsia" w:ascii="宋体" w:hAnsi="宋体"/>
          <w:sz w:val="24"/>
          <w:szCs w:val="24"/>
          <w:highlight w:val="none"/>
        </w:rPr>
        <w:t>1. 监理酬金：。</w:t>
      </w:r>
    </w:p>
    <w:p w14:paraId="0EA63B9D">
      <w:pPr>
        <w:adjustRightInd w:val="0"/>
        <w:snapToGrid w:val="0"/>
        <w:spacing w:line="360" w:lineRule="auto"/>
        <w:ind w:firstLine="600" w:firstLineChars="250"/>
        <w:rPr>
          <w:rFonts w:ascii="宋体" w:hAnsi="宋体"/>
          <w:sz w:val="24"/>
          <w:szCs w:val="24"/>
          <w:highlight w:val="none"/>
        </w:rPr>
      </w:pPr>
      <w:r>
        <w:rPr>
          <w:rFonts w:hint="eastAsia" w:ascii="宋体" w:hAnsi="宋体"/>
          <w:sz w:val="24"/>
          <w:szCs w:val="24"/>
          <w:highlight w:val="none"/>
        </w:rPr>
        <w:t>2. 相关服务酬金：</w:t>
      </w:r>
      <w:r>
        <w:rPr>
          <w:rFonts w:hint="eastAsia" w:ascii="宋体" w:hAnsi="宋体"/>
          <w:sz w:val="24"/>
          <w:szCs w:val="24"/>
          <w:highlight w:val="none"/>
          <w:u w:val="single"/>
        </w:rPr>
        <w:t xml:space="preserve">         无              </w:t>
      </w:r>
      <w:r>
        <w:rPr>
          <w:rFonts w:hint="eastAsia" w:ascii="宋体" w:hAnsi="宋体"/>
          <w:sz w:val="24"/>
          <w:szCs w:val="24"/>
          <w:highlight w:val="none"/>
        </w:rPr>
        <w:t>。</w:t>
      </w:r>
    </w:p>
    <w:p w14:paraId="56FDE4F4">
      <w:pPr>
        <w:adjustRightInd w:val="0"/>
        <w:snapToGrid w:val="0"/>
        <w:spacing w:line="360" w:lineRule="auto"/>
        <w:ind w:firstLine="600" w:firstLineChars="250"/>
        <w:rPr>
          <w:rFonts w:ascii="宋体" w:hAnsi="宋体"/>
          <w:sz w:val="24"/>
          <w:szCs w:val="24"/>
          <w:highlight w:val="none"/>
        </w:rPr>
      </w:pPr>
      <w:r>
        <w:rPr>
          <w:rFonts w:hint="eastAsia" w:ascii="宋体" w:hAnsi="宋体"/>
          <w:sz w:val="24"/>
          <w:szCs w:val="24"/>
          <w:highlight w:val="none"/>
        </w:rPr>
        <w:t>其中：</w:t>
      </w:r>
    </w:p>
    <w:p w14:paraId="058DD116">
      <w:pPr>
        <w:adjustRightInd w:val="0"/>
        <w:snapToGrid w:val="0"/>
        <w:spacing w:line="360" w:lineRule="auto"/>
        <w:ind w:firstLine="960" w:firstLineChars="400"/>
        <w:rPr>
          <w:rFonts w:ascii="宋体" w:hAnsi="宋体"/>
          <w:sz w:val="24"/>
          <w:szCs w:val="24"/>
          <w:highlight w:val="none"/>
        </w:rPr>
      </w:pPr>
      <w:r>
        <w:rPr>
          <w:rFonts w:hint="eastAsia" w:ascii="宋体" w:hAnsi="宋体"/>
          <w:kern w:val="0"/>
          <w:sz w:val="24"/>
          <w:szCs w:val="24"/>
          <w:highlight w:val="none"/>
        </w:rPr>
        <w:t>（1）勘察阶段服务</w:t>
      </w:r>
      <w:r>
        <w:rPr>
          <w:rFonts w:hint="eastAsia" w:ascii="宋体" w:hAnsi="宋体"/>
          <w:sz w:val="24"/>
          <w:szCs w:val="24"/>
          <w:highlight w:val="none"/>
        </w:rPr>
        <w:t>酬金：</w:t>
      </w:r>
      <w:r>
        <w:rPr>
          <w:rFonts w:hint="eastAsia" w:ascii="宋体" w:hAnsi="宋体"/>
          <w:sz w:val="24"/>
          <w:szCs w:val="24"/>
          <w:highlight w:val="none"/>
          <w:u w:val="single"/>
        </w:rPr>
        <w:t xml:space="preserve">           无          </w:t>
      </w:r>
      <w:r>
        <w:rPr>
          <w:rFonts w:hint="eastAsia" w:ascii="宋体" w:hAnsi="宋体"/>
          <w:sz w:val="24"/>
          <w:szCs w:val="24"/>
          <w:highlight w:val="none"/>
        </w:rPr>
        <w:t>。</w:t>
      </w:r>
    </w:p>
    <w:p w14:paraId="091AC2F3">
      <w:pPr>
        <w:adjustRightInd w:val="0"/>
        <w:snapToGrid w:val="0"/>
        <w:spacing w:line="360" w:lineRule="auto"/>
        <w:ind w:firstLine="960" w:firstLineChars="400"/>
        <w:rPr>
          <w:rFonts w:ascii="宋体" w:hAnsi="宋体"/>
          <w:sz w:val="24"/>
          <w:szCs w:val="24"/>
          <w:highlight w:val="none"/>
        </w:rPr>
      </w:pPr>
      <w:r>
        <w:rPr>
          <w:rFonts w:hint="eastAsia" w:ascii="宋体" w:hAnsi="宋体"/>
          <w:kern w:val="0"/>
          <w:sz w:val="24"/>
          <w:szCs w:val="24"/>
          <w:highlight w:val="none"/>
        </w:rPr>
        <w:t>（2）设计阶段服务</w:t>
      </w:r>
      <w:r>
        <w:rPr>
          <w:rFonts w:hint="eastAsia" w:ascii="宋体" w:hAnsi="宋体"/>
          <w:sz w:val="24"/>
          <w:szCs w:val="24"/>
          <w:highlight w:val="none"/>
        </w:rPr>
        <w:t>酬金：</w:t>
      </w:r>
      <w:r>
        <w:rPr>
          <w:rFonts w:hint="eastAsia" w:ascii="宋体" w:hAnsi="宋体"/>
          <w:sz w:val="24"/>
          <w:szCs w:val="24"/>
          <w:highlight w:val="none"/>
          <w:u w:val="single"/>
        </w:rPr>
        <w:t xml:space="preserve">           无          </w:t>
      </w:r>
      <w:r>
        <w:rPr>
          <w:rFonts w:hint="eastAsia" w:ascii="宋体" w:hAnsi="宋体"/>
          <w:sz w:val="24"/>
          <w:szCs w:val="24"/>
          <w:highlight w:val="none"/>
        </w:rPr>
        <w:t>。</w:t>
      </w:r>
    </w:p>
    <w:p w14:paraId="063E35C5">
      <w:pPr>
        <w:adjustRightInd w:val="0"/>
        <w:snapToGrid w:val="0"/>
        <w:spacing w:line="360" w:lineRule="auto"/>
        <w:ind w:firstLine="960" w:firstLineChars="400"/>
        <w:rPr>
          <w:rFonts w:ascii="宋体" w:hAnsi="宋体"/>
          <w:sz w:val="24"/>
          <w:szCs w:val="24"/>
          <w:highlight w:val="none"/>
        </w:rPr>
      </w:pPr>
      <w:r>
        <w:rPr>
          <w:rFonts w:hint="eastAsia" w:ascii="宋体" w:hAnsi="宋体"/>
          <w:kern w:val="0"/>
          <w:sz w:val="24"/>
          <w:szCs w:val="24"/>
          <w:highlight w:val="none"/>
        </w:rPr>
        <w:t>（3）保修阶段服务</w:t>
      </w:r>
      <w:r>
        <w:rPr>
          <w:rFonts w:hint="eastAsia" w:ascii="宋体" w:hAnsi="宋体"/>
          <w:sz w:val="24"/>
          <w:szCs w:val="24"/>
          <w:highlight w:val="none"/>
        </w:rPr>
        <w:t>酬金：</w:t>
      </w:r>
      <w:r>
        <w:rPr>
          <w:rFonts w:hint="eastAsia" w:ascii="宋体" w:hAnsi="宋体"/>
          <w:sz w:val="24"/>
          <w:szCs w:val="24"/>
          <w:highlight w:val="none"/>
          <w:u w:val="single"/>
        </w:rPr>
        <w:t xml:space="preserve">          已包括      </w:t>
      </w:r>
      <w:r>
        <w:rPr>
          <w:rFonts w:hint="eastAsia" w:ascii="宋体" w:hAnsi="宋体"/>
          <w:sz w:val="24"/>
          <w:szCs w:val="24"/>
          <w:highlight w:val="none"/>
        </w:rPr>
        <w:t>。</w:t>
      </w:r>
    </w:p>
    <w:p w14:paraId="591E7522">
      <w:pPr>
        <w:adjustRightInd w:val="0"/>
        <w:snapToGrid w:val="0"/>
        <w:spacing w:line="360" w:lineRule="auto"/>
        <w:ind w:firstLine="960" w:firstLineChars="400"/>
        <w:rPr>
          <w:rFonts w:ascii="宋体" w:hAnsi="宋体"/>
          <w:sz w:val="24"/>
          <w:szCs w:val="24"/>
          <w:highlight w:val="none"/>
        </w:rPr>
      </w:pPr>
      <w:r>
        <w:rPr>
          <w:rFonts w:hint="eastAsia" w:ascii="宋体" w:hAnsi="宋体"/>
          <w:kern w:val="0"/>
          <w:sz w:val="24"/>
          <w:szCs w:val="24"/>
          <w:highlight w:val="none"/>
        </w:rPr>
        <w:t>（4）</w:t>
      </w:r>
      <w:r>
        <w:rPr>
          <w:rFonts w:hint="eastAsia" w:ascii="宋体" w:hAnsi="宋体"/>
          <w:sz w:val="24"/>
          <w:szCs w:val="24"/>
          <w:highlight w:val="none"/>
        </w:rPr>
        <w:t>其他相关服务酬金：</w:t>
      </w:r>
      <w:r>
        <w:rPr>
          <w:rFonts w:hint="eastAsia" w:ascii="宋体" w:hAnsi="宋体"/>
          <w:sz w:val="24"/>
          <w:szCs w:val="24"/>
          <w:highlight w:val="none"/>
          <w:u w:val="single"/>
        </w:rPr>
        <w:t xml:space="preserve">            无         </w:t>
      </w:r>
      <w:r>
        <w:rPr>
          <w:rFonts w:hint="eastAsia" w:ascii="宋体" w:hAnsi="宋体"/>
          <w:sz w:val="24"/>
          <w:szCs w:val="24"/>
          <w:highlight w:val="none"/>
        </w:rPr>
        <w:t>。</w:t>
      </w:r>
    </w:p>
    <w:p w14:paraId="5900A446">
      <w:pPr>
        <w:pStyle w:val="43"/>
        <w:spacing w:line="360" w:lineRule="auto"/>
        <w:ind w:left="0" w:firstLine="0"/>
        <w:jc w:val="left"/>
        <w:rPr>
          <w:rFonts w:ascii="宋体" w:hAnsi="宋体"/>
          <w:highlight w:val="none"/>
        </w:rPr>
      </w:pPr>
      <w:bookmarkStart w:id="503" w:name="_Toc456102382"/>
      <w:bookmarkEnd w:id="503"/>
      <w:bookmarkStart w:id="504" w:name="_Toc230"/>
      <w:r>
        <w:rPr>
          <w:rFonts w:hint="eastAsia" w:ascii="宋体" w:hAnsi="宋体"/>
          <w:highlight w:val="none"/>
        </w:rPr>
        <w:t>六、期限</w:t>
      </w:r>
      <w:bookmarkEnd w:id="504"/>
    </w:p>
    <w:p w14:paraId="4B175E75">
      <w:pPr>
        <w:adjustRightInd w:val="0"/>
        <w:snapToGrid w:val="0"/>
        <w:spacing w:line="360" w:lineRule="auto"/>
        <w:ind w:firstLine="600" w:firstLineChars="250"/>
        <w:jc w:val="left"/>
        <w:rPr>
          <w:rFonts w:ascii="宋体" w:hAnsi="宋体"/>
          <w:sz w:val="24"/>
          <w:szCs w:val="24"/>
          <w:highlight w:val="none"/>
        </w:rPr>
      </w:pPr>
      <w:r>
        <w:rPr>
          <w:rFonts w:hint="eastAsia" w:ascii="宋体" w:hAnsi="宋体"/>
          <w:kern w:val="0"/>
          <w:sz w:val="24"/>
          <w:szCs w:val="24"/>
          <w:highlight w:val="none"/>
        </w:rPr>
        <w:t xml:space="preserve">1. </w:t>
      </w:r>
      <w:r>
        <w:rPr>
          <w:rFonts w:hint="eastAsia" w:ascii="宋体" w:hAnsi="宋体"/>
          <w:sz w:val="24"/>
          <w:szCs w:val="24"/>
          <w:highlight w:val="none"/>
          <w:lang w:eastAsia="zh-CN"/>
        </w:rPr>
        <w:t>监理周期</w:t>
      </w:r>
      <w:r>
        <w:rPr>
          <w:rFonts w:hint="eastAsia" w:ascii="宋体" w:hAnsi="宋体"/>
          <w:sz w:val="24"/>
          <w:szCs w:val="24"/>
          <w:highlight w:val="none"/>
        </w:rPr>
        <w:t>：。</w:t>
      </w:r>
    </w:p>
    <w:p w14:paraId="5F6EFEBB">
      <w:pPr>
        <w:adjustRightInd w:val="0"/>
        <w:snapToGrid w:val="0"/>
        <w:spacing w:line="360" w:lineRule="auto"/>
        <w:ind w:firstLine="600" w:firstLineChars="250"/>
        <w:rPr>
          <w:rFonts w:ascii="宋体" w:hAnsi="宋体"/>
          <w:kern w:val="0"/>
          <w:sz w:val="24"/>
          <w:szCs w:val="24"/>
          <w:highlight w:val="none"/>
        </w:rPr>
      </w:pPr>
      <w:r>
        <w:rPr>
          <w:rFonts w:hint="eastAsia" w:ascii="宋体" w:hAnsi="宋体"/>
          <w:kern w:val="0"/>
          <w:sz w:val="24"/>
          <w:szCs w:val="24"/>
          <w:highlight w:val="none"/>
        </w:rPr>
        <w:t>2. 相关服务期限：</w:t>
      </w:r>
    </w:p>
    <w:p w14:paraId="7F120573">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（1）勘察阶段服务期限自年月日始，至年 月 日止；</w:t>
      </w:r>
    </w:p>
    <w:p w14:paraId="77443276">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（2）设计阶段服务期限自年月日始，至年 月 日止；</w:t>
      </w:r>
    </w:p>
    <w:p w14:paraId="7693BB44">
      <w:pPr>
        <w:adjustRightInd w:val="0"/>
        <w:snapToGrid w:val="0"/>
        <w:spacing w:line="360" w:lineRule="auto"/>
        <w:ind w:left="420" w:leftChars="200"/>
        <w:rPr>
          <w:rFonts w:hint="eastAsia" w:ascii="宋体" w:hAnsi="宋体"/>
          <w:kern w:val="0"/>
          <w:sz w:val="24"/>
          <w:szCs w:val="24"/>
          <w:highlight w:val="none"/>
        </w:rPr>
      </w:pPr>
      <w:r>
        <w:rPr>
          <w:rFonts w:hint="eastAsia" w:ascii="宋体" w:hAnsi="宋体"/>
          <w:kern w:val="0"/>
          <w:sz w:val="24"/>
          <w:szCs w:val="24"/>
          <w:highlight w:val="none"/>
        </w:rPr>
        <w:t>（3）保修阶段服务期限自年月日始，至年 月 日止；</w:t>
      </w:r>
    </w:p>
    <w:p w14:paraId="56275491">
      <w:pPr>
        <w:adjustRightInd w:val="0"/>
        <w:snapToGrid w:val="0"/>
        <w:spacing w:line="360" w:lineRule="auto"/>
        <w:ind w:left="420" w:leftChars="200"/>
        <w:rPr>
          <w:rFonts w:ascii="宋体" w:hAnsi="宋体"/>
          <w:kern w:val="0"/>
          <w:sz w:val="24"/>
          <w:szCs w:val="24"/>
          <w:highlight w:val="none"/>
        </w:rPr>
      </w:pPr>
      <w:r>
        <w:rPr>
          <w:rFonts w:hint="eastAsia" w:ascii="宋体" w:hAnsi="宋体"/>
          <w:kern w:val="0"/>
          <w:sz w:val="24"/>
          <w:szCs w:val="24"/>
          <w:highlight w:val="none"/>
        </w:rPr>
        <w:t>（4）其他相关服务期限自年月日始，至年 月 日止。</w:t>
      </w:r>
    </w:p>
    <w:p w14:paraId="082BBA90">
      <w:pPr>
        <w:pStyle w:val="43"/>
        <w:spacing w:line="360" w:lineRule="auto"/>
        <w:ind w:left="0" w:firstLine="0"/>
        <w:jc w:val="left"/>
        <w:rPr>
          <w:rFonts w:ascii="宋体" w:hAnsi="宋体"/>
          <w:highlight w:val="none"/>
        </w:rPr>
      </w:pPr>
      <w:bookmarkStart w:id="505" w:name="_Toc456102383"/>
      <w:bookmarkEnd w:id="505"/>
      <w:bookmarkStart w:id="506" w:name="_Toc19257"/>
      <w:r>
        <w:rPr>
          <w:rFonts w:hint="eastAsia" w:ascii="宋体" w:hAnsi="宋体"/>
          <w:highlight w:val="none"/>
        </w:rPr>
        <w:t>七、双方承诺</w:t>
      </w:r>
      <w:bookmarkEnd w:id="506"/>
    </w:p>
    <w:p w14:paraId="1E9F7C09">
      <w:pPr>
        <w:adjustRightInd w:val="0"/>
        <w:snapToGrid w:val="0"/>
        <w:spacing w:line="360" w:lineRule="auto"/>
        <w:rPr>
          <w:rFonts w:ascii="宋体" w:hAnsi="宋体"/>
          <w:kern w:val="0"/>
          <w:sz w:val="24"/>
          <w:szCs w:val="24"/>
          <w:highlight w:val="none"/>
        </w:rPr>
      </w:pPr>
      <w:bookmarkStart w:id="507" w:name="_Toc456102384"/>
      <w:bookmarkEnd w:id="507"/>
      <w:bookmarkStart w:id="508" w:name="_Toc22874"/>
      <w:r>
        <w:rPr>
          <w:rFonts w:hint="eastAsia" w:ascii="宋体" w:hAnsi="宋体"/>
          <w:kern w:val="0"/>
          <w:sz w:val="24"/>
          <w:szCs w:val="24"/>
          <w:highlight w:val="none"/>
        </w:rPr>
        <w:t>1. 监理人向委托人承诺，按照本合同约定提供监理与相关服务。</w:t>
      </w:r>
      <w:bookmarkEnd w:id="508"/>
    </w:p>
    <w:p w14:paraId="488C2F3B">
      <w:pPr>
        <w:adjustRightInd w:val="0"/>
        <w:snapToGrid w:val="0"/>
        <w:spacing w:line="360" w:lineRule="auto"/>
        <w:rPr>
          <w:rFonts w:ascii="宋体" w:hAnsi="宋体"/>
          <w:kern w:val="0"/>
          <w:sz w:val="24"/>
          <w:szCs w:val="24"/>
          <w:highlight w:val="none"/>
        </w:rPr>
      </w:pPr>
      <w:bookmarkStart w:id="509" w:name="_Toc456102385"/>
      <w:bookmarkEnd w:id="509"/>
      <w:bookmarkStart w:id="510" w:name="_Toc15064"/>
      <w:r>
        <w:rPr>
          <w:rFonts w:hint="eastAsia" w:ascii="宋体" w:hAnsi="宋体"/>
          <w:kern w:val="0"/>
          <w:sz w:val="24"/>
          <w:szCs w:val="24"/>
          <w:highlight w:val="none"/>
        </w:rPr>
        <w:t>2. 委托人向监理人承诺，按照本合同约定派遣相应的人员，提供房屋、资料、设备，并按本合同约定支付酬金。</w:t>
      </w:r>
      <w:bookmarkEnd w:id="510"/>
    </w:p>
    <w:p w14:paraId="7A00AC5F">
      <w:pPr>
        <w:pStyle w:val="43"/>
        <w:spacing w:line="360" w:lineRule="auto"/>
        <w:ind w:left="0" w:firstLine="0"/>
        <w:jc w:val="left"/>
        <w:rPr>
          <w:rFonts w:ascii="宋体" w:hAnsi="宋体"/>
          <w:highlight w:val="none"/>
        </w:rPr>
      </w:pPr>
      <w:bookmarkStart w:id="511" w:name="_Toc456102386"/>
      <w:bookmarkEnd w:id="511"/>
      <w:bookmarkStart w:id="512" w:name="_Toc14641"/>
      <w:r>
        <w:rPr>
          <w:rFonts w:hint="eastAsia" w:ascii="宋体" w:hAnsi="宋体"/>
          <w:highlight w:val="none"/>
        </w:rPr>
        <w:t>八、合同订立</w:t>
      </w:r>
      <w:bookmarkEnd w:id="512"/>
    </w:p>
    <w:p w14:paraId="4367F232">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1. 订立时间：年月日。</w:t>
      </w:r>
    </w:p>
    <w:p w14:paraId="288C32C8">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2. 订立地点：。</w:t>
      </w:r>
    </w:p>
    <w:p w14:paraId="295520C4">
      <w:pPr>
        <w:adjustRightInd w:val="0"/>
        <w:snapToGrid w:val="0"/>
        <w:spacing w:line="360" w:lineRule="auto"/>
        <w:ind w:left="632" w:leftChars="301"/>
        <w:rPr>
          <w:rFonts w:ascii="宋体" w:hAnsi="宋体"/>
          <w:sz w:val="24"/>
          <w:szCs w:val="24"/>
          <w:highlight w:val="none"/>
        </w:rPr>
      </w:pPr>
      <w:r>
        <w:rPr>
          <w:rFonts w:hint="eastAsia" w:ascii="宋体" w:hAnsi="宋体"/>
          <w:sz w:val="24"/>
          <w:szCs w:val="24"/>
          <w:highlight w:val="none"/>
        </w:rPr>
        <w:t>3. 本合同一式份，具有同等法律效力，双方各执份。</w:t>
      </w:r>
    </w:p>
    <w:p w14:paraId="7A429F63">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委托人：</w:t>
      </w:r>
      <w:r>
        <w:rPr>
          <w:rFonts w:hint="eastAsia" w:ascii="宋体" w:hAnsi="宋体"/>
          <w:sz w:val="24"/>
          <w:szCs w:val="24"/>
          <w:highlight w:val="none"/>
          <w:u w:val="single"/>
        </w:rPr>
        <w:t xml:space="preserve">   （盖章）     </w:t>
      </w:r>
      <w:r>
        <w:rPr>
          <w:rFonts w:hint="eastAsia" w:ascii="宋体" w:hAnsi="宋体"/>
          <w:sz w:val="24"/>
          <w:szCs w:val="24"/>
          <w:highlight w:val="none"/>
        </w:rPr>
        <w:t xml:space="preserve">            监理人：</w:t>
      </w:r>
      <w:r>
        <w:rPr>
          <w:rFonts w:hint="eastAsia" w:ascii="宋体" w:hAnsi="宋体"/>
          <w:sz w:val="24"/>
          <w:szCs w:val="24"/>
          <w:highlight w:val="none"/>
          <w:u w:val="single"/>
        </w:rPr>
        <w:t xml:space="preserve">   （盖章）    </w:t>
      </w:r>
    </w:p>
    <w:p w14:paraId="78C79448">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 xml:space="preserve">住所：     住所： </w:t>
      </w:r>
    </w:p>
    <w:p w14:paraId="64D0CE06">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邮政编码：   邮政编码：</w:t>
      </w:r>
    </w:p>
    <w:p w14:paraId="2E847AD3">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法定代表人或其授权                  法定代表人或其授权</w:t>
      </w:r>
    </w:p>
    <w:p w14:paraId="1293F134">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的代理人：</w:t>
      </w:r>
      <w:r>
        <w:rPr>
          <w:rFonts w:hint="eastAsia" w:ascii="宋体" w:hAnsi="宋体"/>
          <w:sz w:val="24"/>
          <w:szCs w:val="24"/>
          <w:highlight w:val="none"/>
          <w:u w:val="single"/>
        </w:rPr>
        <w:t xml:space="preserve">（签字）       </w:t>
      </w:r>
      <w:r>
        <w:rPr>
          <w:rFonts w:hint="eastAsia" w:ascii="宋体" w:hAnsi="宋体"/>
          <w:sz w:val="24"/>
          <w:szCs w:val="24"/>
          <w:highlight w:val="none"/>
        </w:rPr>
        <w:t xml:space="preserve">           的代理人：</w:t>
      </w:r>
      <w:r>
        <w:rPr>
          <w:rFonts w:hint="eastAsia" w:ascii="宋体" w:hAnsi="宋体"/>
          <w:sz w:val="24"/>
          <w:szCs w:val="24"/>
          <w:highlight w:val="none"/>
          <w:u w:val="single"/>
        </w:rPr>
        <w:t xml:space="preserve">（签字）          </w:t>
      </w:r>
    </w:p>
    <w:p w14:paraId="606FFC8C">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开户银行：                          开户银行：</w:t>
      </w:r>
    </w:p>
    <w:p w14:paraId="423EF07F">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账号：                              账号：</w:t>
      </w:r>
    </w:p>
    <w:p w14:paraId="41384346">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电话：                              电话：</w:t>
      </w:r>
    </w:p>
    <w:p w14:paraId="4FD6E9D2">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传真：                              传真：</w:t>
      </w:r>
    </w:p>
    <w:p w14:paraId="3E1E8FBD">
      <w:pPr>
        <w:adjustRightInd w:val="0"/>
        <w:snapToGrid w:val="0"/>
        <w:spacing w:line="360" w:lineRule="auto"/>
        <w:ind w:firstLine="475" w:firstLineChars="198"/>
        <w:rPr>
          <w:rFonts w:ascii="宋体" w:hAnsi="宋体"/>
          <w:sz w:val="24"/>
          <w:szCs w:val="24"/>
          <w:highlight w:val="none"/>
          <w:u w:val="single"/>
        </w:rPr>
      </w:pPr>
      <w:r>
        <w:rPr>
          <w:rFonts w:hint="eastAsia" w:ascii="宋体" w:hAnsi="宋体"/>
          <w:sz w:val="24"/>
          <w:szCs w:val="24"/>
          <w:highlight w:val="none"/>
        </w:rPr>
        <w:t>电子邮箱：                          电子邮箱：</w:t>
      </w:r>
    </w:p>
    <w:p w14:paraId="59EF81C4">
      <w:pPr>
        <w:spacing w:before="312" w:beforeLines="100" w:line="360" w:lineRule="auto"/>
        <w:jc w:val="center"/>
        <w:rPr>
          <w:rFonts w:ascii="华文中宋" w:hAnsi="华文中宋" w:eastAsia="华文中宋"/>
          <w:b/>
          <w:bCs/>
          <w:sz w:val="32"/>
          <w:szCs w:val="32"/>
          <w:highlight w:val="none"/>
        </w:rPr>
      </w:pPr>
    </w:p>
    <w:p w14:paraId="6793A683">
      <w:pPr>
        <w:spacing w:before="312" w:beforeLines="100" w:line="360" w:lineRule="auto"/>
        <w:jc w:val="center"/>
        <w:rPr>
          <w:rFonts w:ascii="华文中宋" w:hAnsi="华文中宋" w:eastAsia="华文中宋"/>
          <w:b/>
          <w:bCs/>
          <w:sz w:val="32"/>
          <w:szCs w:val="32"/>
          <w:highlight w:val="none"/>
        </w:rPr>
      </w:pPr>
    </w:p>
    <w:p w14:paraId="378F65BF">
      <w:pPr>
        <w:spacing w:before="312" w:beforeLines="100" w:line="360" w:lineRule="auto"/>
        <w:rPr>
          <w:rFonts w:ascii="华文中宋" w:hAnsi="华文中宋" w:eastAsia="华文中宋"/>
          <w:b/>
          <w:bCs/>
          <w:sz w:val="32"/>
          <w:szCs w:val="32"/>
          <w:highlight w:val="none"/>
        </w:rPr>
      </w:pPr>
    </w:p>
    <w:p w14:paraId="0AFDC5B5">
      <w:pPr>
        <w:spacing w:before="312" w:beforeLines="100" w:line="360" w:lineRule="auto"/>
        <w:jc w:val="center"/>
        <w:rPr>
          <w:rFonts w:ascii="华文中宋" w:hAnsi="华文中宋" w:eastAsia="华文中宋"/>
          <w:b/>
          <w:bCs/>
          <w:sz w:val="32"/>
          <w:szCs w:val="32"/>
          <w:highlight w:val="none"/>
        </w:rPr>
      </w:pPr>
    </w:p>
    <w:p w14:paraId="111519D3">
      <w:pPr>
        <w:spacing w:before="312" w:beforeLines="100" w:line="360" w:lineRule="auto"/>
        <w:jc w:val="center"/>
        <w:rPr>
          <w:rFonts w:ascii="华文中宋" w:hAnsi="华文中宋" w:eastAsia="华文中宋"/>
          <w:b/>
          <w:bCs/>
          <w:sz w:val="32"/>
          <w:szCs w:val="32"/>
          <w:highlight w:val="none"/>
        </w:rPr>
      </w:pPr>
    </w:p>
    <w:p w14:paraId="331D232B">
      <w:pPr>
        <w:spacing w:before="312" w:beforeLines="100" w:line="360" w:lineRule="auto"/>
        <w:jc w:val="center"/>
        <w:rPr>
          <w:rFonts w:ascii="华文中宋" w:hAnsi="华文中宋" w:eastAsia="华文中宋"/>
          <w:b/>
          <w:bCs/>
          <w:sz w:val="32"/>
          <w:szCs w:val="32"/>
          <w:highlight w:val="none"/>
        </w:rPr>
      </w:pPr>
    </w:p>
    <w:p w14:paraId="54B97046">
      <w:pPr>
        <w:spacing w:before="312" w:beforeLines="100" w:line="360" w:lineRule="auto"/>
        <w:jc w:val="both"/>
        <w:rPr>
          <w:rFonts w:hint="eastAsia" w:ascii="华文中宋" w:hAnsi="华文中宋" w:eastAsia="华文中宋"/>
          <w:b/>
          <w:bCs/>
          <w:sz w:val="32"/>
          <w:szCs w:val="32"/>
          <w:highlight w:val="none"/>
        </w:rPr>
      </w:pPr>
    </w:p>
    <w:p w14:paraId="567AED18">
      <w:pPr>
        <w:spacing w:before="312" w:beforeLines="100" w:line="360" w:lineRule="auto"/>
        <w:jc w:val="center"/>
        <w:rPr>
          <w:rFonts w:ascii="华文中宋" w:hAnsi="华文中宋" w:eastAsia="华文中宋"/>
          <w:b/>
          <w:bCs/>
          <w:sz w:val="32"/>
          <w:szCs w:val="32"/>
          <w:highlight w:val="none"/>
        </w:rPr>
      </w:pPr>
      <w:r>
        <w:rPr>
          <w:rFonts w:hint="eastAsia" w:ascii="华文中宋" w:hAnsi="华文中宋" w:eastAsia="华文中宋"/>
          <w:b/>
          <w:bCs/>
          <w:sz w:val="32"/>
          <w:szCs w:val="32"/>
          <w:highlight w:val="none"/>
        </w:rPr>
        <w:t>第二部分  通用条件</w:t>
      </w:r>
    </w:p>
    <w:p w14:paraId="2B56D3E6">
      <w:pPr>
        <w:spacing w:line="360" w:lineRule="auto"/>
        <w:jc w:val="center"/>
        <w:rPr>
          <w:rFonts w:ascii="宋体" w:hAnsi="宋体"/>
          <w:b/>
          <w:bCs/>
          <w:sz w:val="24"/>
          <w:szCs w:val="24"/>
          <w:highlight w:val="none"/>
        </w:rPr>
      </w:pPr>
    </w:p>
    <w:p w14:paraId="05AB7F9A">
      <w:pPr>
        <w:spacing w:line="360" w:lineRule="auto"/>
        <w:rPr>
          <w:rFonts w:ascii="宋体" w:hAnsi="宋体"/>
          <w:b/>
          <w:bCs/>
          <w:sz w:val="24"/>
          <w:szCs w:val="24"/>
          <w:highlight w:val="none"/>
        </w:rPr>
      </w:pPr>
      <w:r>
        <w:rPr>
          <w:rFonts w:hint="eastAsia" w:ascii="宋体" w:hAnsi="宋体"/>
          <w:b/>
          <w:bCs/>
          <w:sz w:val="24"/>
          <w:szCs w:val="24"/>
          <w:highlight w:val="none"/>
        </w:rPr>
        <w:t>1. 定义与解释</w:t>
      </w:r>
    </w:p>
    <w:p w14:paraId="34F8752A">
      <w:pPr>
        <w:spacing w:line="360" w:lineRule="auto"/>
        <w:ind w:left="210" w:leftChars="100"/>
        <w:rPr>
          <w:rFonts w:ascii="宋体" w:hAnsi="宋体"/>
          <w:sz w:val="24"/>
          <w:szCs w:val="24"/>
          <w:highlight w:val="none"/>
        </w:rPr>
      </w:pPr>
      <w:r>
        <w:rPr>
          <w:rFonts w:hint="eastAsia" w:ascii="宋体" w:hAnsi="宋体"/>
          <w:sz w:val="24"/>
          <w:szCs w:val="24"/>
          <w:highlight w:val="none"/>
        </w:rPr>
        <w:t>1.1 定义</w:t>
      </w:r>
    </w:p>
    <w:p w14:paraId="7AE55849">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除根据上下文另有其意义外，组成本合同的全部文件中的下列名词和用语应具有本款所赋予的含义：</w:t>
      </w:r>
    </w:p>
    <w:p w14:paraId="7FB819EB">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1.1.1 “工程”是指按照本合同约定实施监理与相关服务的建设工程。</w:t>
      </w:r>
    </w:p>
    <w:p w14:paraId="55E969AF">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1.1.2 “委托人”是指本合同中委托监理与相关服务的一方，及其合法的继承人或受让人。</w:t>
      </w:r>
    </w:p>
    <w:p w14:paraId="41968EB4">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1.1.3 “监理人”是指本合同中提供监理与相关服务的一方，及其合法的继承人。</w:t>
      </w:r>
    </w:p>
    <w:p w14:paraId="73362CC7">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1.1.4 “承包人”是指在工程范围内与委托人签订勘察、设计、施工等有关合同的当事人，及其合法的继承人。</w:t>
      </w:r>
    </w:p>
    <w:p w14:paraId="76B249BF">
      <w:pPr>
        <w:pStyle w:val="10"/>
        <w:spacing w:line="360" w:lineRule="auto"/>
        <w:ind w:firstLine="480" w:firstLineChars="200"/>
        <w:rPr>
          <w:rFonts w:hAnsi="宋体"/>
          <w:sz w:val="24"/>
          <w:szCs w:val="24"/>
          <w:highlight w:val="none"/>
        </w:rPr>
      </w:pPr>
      <w:r>
        <w:rPr>
          <w:rFonts w:hint="eastAsia" w:ascii="宋体" w:hAnsi="宋体"/>
          <w:sz w:val="24"/>
          <w:szCs w:val="24"/>
          <w:highlight w:val="none"/>
        </w:rPr>
        <w:t>1.1.5 “监理”是指监理人受委托人的委托 ，依照法律法规、工程建设标准、勘察设计文件及合同，在施</w:t>
      </w:r>
      <w:r>
        <w:rPr>
          <w:rFonts w:hint="eastAsia" w:hAnsi="宋体"/>
          <w:sz w:val="24"/>
          <w:szCs w:val="24"/>
          <w:highlight w:val="none"/>
        </w:rPr>
        <w:t>工阶段对建设工程质量、进度、造价进行控制，对合同、信息进行管理，对工程建设相关方的关系进行协调，并履行建设工程安全生产管理法定职责的服务活动。</w:t>
      </w:r>
    </w:p>
    <w:p w14:paraId="3BDE8E2E">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1.1.6 “相关服务”是指监理人受委托人的委托 ，按照本合同约定，在勘察、设计、保修等阶段提供的服务活动。</w:t>
      </w:r>
    </w:p>
    <w:p w14:paraId="1FAF8C18">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1.1.7 “正常工作”指本合同订立时通用条件和专用条件中约定的监理人的工作。</w:t>
      </w:r>
    </w:p>
    <w:p w14:paraId="567D11C9">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1.1.8 “附加工作”是指本合同约定的正常工作以外监理人的工作。</w:t>
      </w:r>
    </w:p>
    <w:p w14:paraId="491C6BDD">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1.1.9 “项目监理机构”是指监理人派驻工程负责履行本合同的组织机构。</w:t>
      </w:r>
    </w:p>
    <w:p w14:paraId="40251C9B">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1.1.10 “总监理工程师”是指由监理人的法定代表人书面授权，全面负责履行本合同、主持项目监理机构工作的注册监理工程师。</w:t>
      </w:r>
    </w:p>
    <w:p w14:paraId="24161B13">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1.1.11 “酬金”是指监理人履行本合同义务，委托人按照本合同约定给付监理人的金额。</w:t>
      </w:r>
    </w:p>
    <w:p w14:paraId="1C39EA69">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1.1.12 “正常工作</w:t>
      </w:r>
      <w:r>
        <w:rPr>
          <w:rFonts w:hint="eastAsia" w:ascii="宋体" w:hAnsi="宋体"/>
          <w:kern w:val="0"/>
          <w:sz w:val="24"/>
          <w:szCs w:val="24"/>
          <w:highlight w:val="none"/>
        </w:rPr>
        <w:t>酬金”</w:t>
      </w:r>
      <w:r>
        <w:rPr>
          <w:rFonts w:hint="eastAsia" w:ascii="宋体" w:hAnsi="宋体"/>
          <w:sz w:val="24"/>
          <w:szCs w:val="24"/>
          <w:highlight w:val="none"/>
        </w:rPr>
        <w:t>是指监理人完成正常工作，委托人应给付监理人并在协议书中载明的签约</w:t>
      </w:r>
      <w:r>
        <w:rPr>
          <w:rFonts w:hint="eastAsia" w:ascii="宋体" w:hAnsi="宋体"/>
          <w:kern w:val="0"/>
          <w:sz w:val="24"/>
          <w:szCs w:val="24"/>
          <w:highlight w:val="none"/>
        </w:rPr>
        <w:t>酬金额</w:t>
      </w:r>
      <w:r>
        <w:rPr>
          <w:rFonts w:hint="eastAsia" w:ascii="宋体" w:hAnsi="宋体"/>
          <w:sz w:val="24"/>
          <w:szCs w:val="24"/>
          <w:highlight w:val="none"/>
        </w:rPr>
        <w:t>。</w:t>
      </w:r>
    </w:p>
    <w:p w14:paraId="2307F7C5">
      <w:pPr>
        <w:adjustRightInd w:val="0"/>
        <w:snapToGrid w:val="0"/>
        <w:spacing w:line="360" w:lineRule="auto"/>
        <w:ind w:firstLine="475" w:firstLineChars="198"/>
        <w:rPr>
          <w:rFonts w:ascii="宋体" w:hAnsi="宋体"/>
          <w:sz w:val="24"/>
          <w:szCs w:val="24"/>
          <w:highlight w:val="none"/>
        </w:rPr>
      </w:pPr>
      <w:r>
        <w:rPr>
          <w:rFonts w:hint="eastAsia" w:ascii="宋体" w:hAnsi="宋体"/>
          <w:sz w:val="24"/>
          <w:szCs w:val="24"/>
          <w:highlight w:val="none"/>
        </w:rPr>
        <w:t>1.1.13 “附加工作酬金”是指监理人完成附加工作，委托人应给付监理人的金额。</w:t>
      </w:r>
    </w:p>
    <w:p w14:paraId="2EBC1664">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1.1.14 “一方”是指委托人或监理人；“双方”是指委托人和监理人；“第三方”是指除委托人和监理人以外的有关方。</w:t>
      </w:r>
    </w:p>
    <w:p w14:paraId="121FF64D">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1.1.15 “书面形式”是指合同书、信件和数据电文（包括电报、电传、传真、电子数据交换和电子邮件）等可以有形地表现所载内容的形式。</w:t>
      </w:r>
    </w:p>
    <w:p w14:paraId="40C69ED8">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1.1.16 “天”是指第一天零时至第二天零时的时间。</w:t>
      </w:r>
    </w:p>
    <w:p w14:paraId="339EC690">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1.1.17“月”是指按公历从一个月中任何一天开始的一个公历月时间。</w:t>
      </w:r>
    </w:p>
    <w:p w14:paraId="0742B5CC">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1.1.18 “不可抗力”是指委托人和监理人在订立本合同时不可预见，在工程施工过程中不可避免发生并不能克服的自然灾害和社会性突发事件，如地震、海啸、瘟疫、水灾、骚乱、暴动、战争和专用条件约定的其他情形。</w:t>
      </w:r>
    </w:p>
    <w:p w14:paraId="6487F244">
      <w:pPr>
        <w:adjustRightInd w:val="0"/>
        <w:snapToGrid w:val="0"/>
        <w:spacing w:line="360" w:lineRule="auto"/>
        <w:ind w:left="210" w:leftChars="100"/>
        <w:rPr>
          <w:rFonts w:ascii="宋体" w:hAnsi="宋体"/>
          <w:sz w:val="24"/>
          <w:szCs w:val="24"/>
          <w:highlight w:val="none"/>
        </w:rPr>
      </w:pPr>
      <w:r>
        <w:rPr>
          <w:rFonts w:hint="eastAsia" w:ascii="宋体" w:hAnsi="宋体"/>
          <w:sz w:val="24"/>
          <w:szCs w:val="24"/>
          <w:highlight w:val="none"/>
        </w:rPr>
        <w:t>1.2 解释</w:t>
      </w:r>
    </w:p>
    <w:p w14:paraId="14055B40">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1.2.1本合同使用中文书写、解释和说明。如专用条件约定使用两种及以上语言文字时，应以中文为准。</w:t>
      </w:r>
    </w:p>
    <w:p w14:paraId="4B89FEA1">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1.2.2 组成本合同的下列文件彼此应能相互解释、互为说明。除专用条件另有约定外，本合同文件的解释顺序如下：</w:t>
      </w:r>
    </w:p>
    <w:p w14:paraId="4DD92CED">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（1）协议书；</w:t>
      </w:r>
    </w:p>
    <w:p w14:paraId="77A38C0D">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（2）中标通知书（适用于招标工程）或委托书（适用于非招标工程）；</w:t>
      </w:r>
    </w:p>
    <w:p w14:paraId="02E74487">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（3）专用条件及附录A、附录B；</w:t>
      </w:r>
    </w:p>
    <w:p w14:paraId="01EA0AF1">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（4）通用条件；</w:t>
      </w:r>
    </w:p>
    <w:p w14:paraId="38F79366">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（5）投标文件（适用于招标工程）或监理与相关服务建议书（适用于非招标工程）。</w:t>
      </w:r>
    </w:p>
    <w:p w14:paraId="4B3ED463">
      <w:pPr>
        <w:spacing w:line="360" w:lineRule="auto"/>
        <w:ind w:firstLine="480" w:firstLineChars="200"/>
        <w:rPr>
          <w:rFonts w:ascii="宋体" w:hAnsi="宋体"/>
          <w:sz w:val="24"/>
          <w:szCs w:val="24"/>
          <w:highlight w:val="none"/>
        </w:rPr>
      </w:pPr>
      <w:r>
        <w:rPr>
          <w:rFonts w:hint="eastAsia" w:ascii="宋体" w:hAnsi="宋体"/>
          <w:sz w:val="24"/>
          <w:szCs w:val="24"/>
          <w:highlight w:val="none"/>
        </w:rPr>
        <w:t>双方签订的补充协议与其他文件发生矛盾或歧义时，属于同一类内容的文件，应以最新签署的为准。</w:t>
      </w:r>
    </w:p>
    <w:p w14:paraId="0C576D91">
      <w:pPr>
        <w:spacing w:line="360" w:lineRule="auto"/>
        <w:rPr>
          <w:rFonts w:ascii="宋体" w:hAnsi="宋体"/>
          <w:b/>
          <w:bCs/>
          <w:sz w:val="24"/>
          <w:szCs w:val="24"/>
          <w:highlight w:val="none"/>
        </w:rPr>
      </w:pPr>
      <w:r>
        <w:rPr>
          <w:rFonts w:hint="eastAsia" w:ascii="宋体" w:hAnsi="宋体"/>
          <w:b/>
          <w:bCs/>
          <w:sz w:val="24"/>
          <w:szCs w:val="24"/>
          <w:highlight w:val="none"/>
        </w:rPr>
        <w:t>2. 监理人的义务</w:t>
      </w:r>
    </w:p>
    <w:p w14:paraId="0A19CD36">
      <w:pPr>
        <w:adjustRightInd w:val="0"/>
        <w:snapToGrid w:val="0"/>
        <w:spacing w:line="360" w:lineRule="auto"/>
        <w:ind w:left="210" w:leftChars="100"/>
        <w:rPr>
          <w:rFonts w:ascii="宋体" w:hAnsi="宋体"/>
          <w:sz w:val="24"/>
          <w:szCs w:val="24"/>
          <w:highlight w:val="none"/>
        </w:rPr>
      </w:pPr>
      <w:r>
        <w:rPr>
          <w:rFonts w:hint="eastAsia" w:ascii="宋体" w:hAnsi="宋体"/>
          <w:sz w:val="24"/>
          <w:szCs w:val="24"/>
          <w:highlight w:val="none"/>
        </w:rPr>
        <w:t>2.1 监理的范围和工作内容</w:t>
      </w:r>
    </w:p>
    <w:p w14:paraId="78D98347">
      <w:pPr>
        <w:adjustRightInd w:val="0"/>
        <w:snapToGrid w:val="0"/>
        <w:spacing w:line="360" w:lineRule="auto"/>
        <w:ind w:left="420" w:leftChars="200"/>
        <w:rPr>
          <w:rFonts w:ascii="宋体" w:hAnsi="宋体"/>
          <w:sz w:val="24"/>
          <w:szCs w:val="24"/>
          <w:highlight w:val="none"/>
        </w:rPr>
      </w:pPr>
      <w:r>
        <w:rPr>
          <w:rFonts w:hint="eastAsia" w:ascii="宋体" w:hAnsi="宋体"/>
          <w:sz w:val="24"/>
          <w:szCs w:val="24"/>
          <w:highlight w:val="none"/>
        </w:rPr>
        <w:t>2.1.1 监理范围在专用条件中约定。</w:t>
      </w:r>
    </w:p>
    <w:p w14:paraId="3B943CA1">
      <w:pPr>
        <w:adjustRightInd w:val="0"/>
        <w:snapToGrid w:val="0"/>
        <w:spacing w:line="360" w:lineRule="auto"/>
        <w:ind w:left="420" w:leftChars="200"/>
        <w:rPr>
          <w:rFonts w:ascii="宋体" w:hAnsi="宋体"/>
          <w:sz w:val="24"/>
          <w:szCs w:val="24"/>
          <w:highlight w:val="none"/>
        </w:rPr>
      </w:pPr>
      <w:r>
        <w:rPr>
          <w:rFonts w:hint="eastAsia" w:ascii="宋体" w:hAnsi="宋体"/>
          <w:sz w:val="24"/>
          <w:szCs w:val="24"/>
          <w:highlight w:val="none"/>
        </w:rPr>
        <w:t>2.1.2 除专用条件另有约定外，监理工作内容包括：</w:t>
      </w:r>
    </w:p>
    <w:p w14:paraId="49FBF83E">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（1）收到工程设计文件后编制监理规划，并在第一次工地会议7天前报委托人。根据有关规定和监理工作需要，编制监理实施细则；</w:t>
      </w:r>
    </w:p>
    <w:p w14:paraId="73202AFA">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（2）熟悉工程设计文件，并参加由委托人主持的图纸会审和设计交底会议；</w:t>
      </w:r>
    </w:p>
    <w:p w14:paraId="13035373">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（3）参加由委托人主持的第一次工地会议；主持监理例会并根据工程需要主持或参加专题会议；</w:t>
      </w:r>
    </w:p>
    <w:p w14:paraId="193A93EB">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（4）审查施工承包人提交的施工组织设计，重点审查其中的质量安全技术措施、专项施工方案与工程建设强制性标准的符合性；</w:t>
      </w:r>
    </w:p>
    <w:p w14:paraId="2F7C846C">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 xml:space="preserve">（5）检查施工承包人工程质量、安全生产管理制度及组织机构和人员资格； </w:t>
      </w:r>
    </w:p>
    <w:p w14:paraId="530CEF33">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（6）检查施工承包人专职安全生产管理人员的配备情况；</w:t>
      </w:r>
    </w:p>
    <w:p w14:paraId="02F63F0F">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（7）审查施工承包人提交的施工进度计划，核查承包人对施工进度计划的调整；</w:t>
      </w:r>
    </w:p>
    <w:p w14:paraId="18FE426F">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（8）检查施工承包人的试验室；</w:t>
      </w:r>
    </w:p>
    <w:p w14:paraId="5E2CC7D8">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（9）审核施工分包人资质条件；</w:t>
      </w:r>
    </w:p>
    <w:p w14:paraId="6D006CDD">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（10）查验施工承包人的施工测量放线成果；</w:t>
      </w:r>
    </w:p>
    <w:p w14:paraId="407F072D">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（11）审查工程开工条件，对条件具备的签发开工令；</w:t>
      </w:r>
    </w:p>
    <w:p w14:paraId="155F558A">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（12）审查施工承包人报送的工程材料、构配件、设备质量证明文件的有效性和符合性，并按规定对用于工程的材料采取平行检验或见证取样方式进行抽检；</w:t>
      </w:r>
    </w:p>
    <w:p w14:paraId="2820B5EB">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（13）审核施工承包人提交的工程款支付申请，签发或出具工程款支付证书，并报委托人审核、批准；</w:t>
      </w:r>
    </w:p>
    <w:p w14:paraId="4877128D">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（14）在巡视、旁站和检验过程中，发现工程质量、施工安全存在事故隐患的，要求施工承包人整改并报委托人；</w:t>
      </w:r>
    </w:p>
    <w:p w14:paraId="73B22771">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（15）经委托人同意，签发工程暂停令和复工令；</w:t>
      </w:r>
    </w:p>
    <w:p w14:paraId="12EC03D9">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（16）审查施工承包人提交的采用新材料、新工艺、新技术、新设备的论证材料及相关验收标准；</w:t>
      </w:r>
    </w:p>
    <w:p w14:paraId="3E71A915">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（17）验收隐蔽工程、分部分项工程；</w:t>
      </w:r>
    </w:p>
    <w:p w14:paraId="23A6E59B">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（18）审查施工承包人提交的工程变更申请，协调处理施工进度调整、费用索赔、合同争议等事项；</w:t>
      </w:r>
    </w:p>
    <w:p w14:paraId="2470C769">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（19）审查施工承包人提交的竣工验收申请，编写工程质量评估报告；</w:t>
      </w:r>
    </w:p>
    <w:p w14:paraId="0AA6512A">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（20）参加工程竣工验收，签署竣工验收意见；</w:t>
      </w:r>
    </w:p>
    <w:p w14:paraId="15782F0F">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（21）审查施工承包人提交的竣工结算申请并报委托人；</w:t>
      </w:r>
    </w:p>
    <w:p w14:paraId="339F02D8">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（22）编制、整理工程监理归档文件并报委托人。</w:t>
      </w:r>
    </w:p>
    <w:p w14:paraId="68A278F4">
      <w:pPr>
        <w:spacing w:line="360" w:lineRule="auto"/>
        <w:ind w:left="420" w:leftChars="200" w:firstLine="120" w:firstLineChars="50"/>
        <w:rPr>
          <w:rFonts w:ascii="宋体" w:hAnsi="宋体"/>
          <w:sz w:val="24"/>
          <w:szCs w:val="24"/>
          <w:highlight w:val="none"/>
        </w:rPr>
      </w:pPr>
      <w:r>
        <w:rPr>
          <w:rFonts w:hint="eastAsia" w:ascii="宋体" w:hAnsi="宋体"/>
          <w:sz w:val="24"/>
          <w:szCs w:val="24"/>
          <w:highlight w:val="none"/>
        </w:rPr>
        <w:t>2.1.3 相关服务的范围和内容在附录A中约定。</w:t>
      </w:r>
    </w:p>
    <w:p w14:paraId="47C11248">
      <w:pPr>
        <w:spacing w:line="360" w:lineRule="auto"/>
        <w:ind w:firstLine="240" w:firstLineChars="100"/>
        <w:rPr>
          <w:rFonts w:ascii="宋体" w:hAnsi="宋体"/>
          <w:sz w:val="24"/>
          <w:szCs w:val="24"/>
          <w:highlight w:val="none"/>
        </w:rPr>
      </w:pPr>
      <w:r>
        <w:rPr>
          <w:rFonts w:hint="eastAsia" w:ascii="宋体" w:hAnsi="宋体"/>
          <w:sz w:val="24"/>
          <w:szCs w:val="24"/>
          <w:highlight w:val="none"/>
        </w:rPr>
        <w:t>2.2 监理与相关服务依据</w:t>
      </w:r>
    </w:p>
    <w:p w14:paraId="7D2D5C50">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2.2.1 监理依据包括：</w:t>
      </w:r>
    </w:p>
    <w:p w14:paraId="1D4EFA95">
      <w:pPr>
        <w:adjustRightInd w:val="0"/>
        <w:snapToGrid w:val="0"/>
        <w:spacing w:line="360" w:lineRule="auto"/>
        <w:ind w:firstLine="600" w:firstLineChars="250"/>
        <w:rPr>
          <w:rFonts w:ascii="宋体" w:hAnsi="宋体"/>
          <w:sz w:val="24"/>
          <w:szCs w:val="24"/>
          <w:highlight w:val="none"/>
        </w:rPr>
      </w:pPr>
      <w:r>
        <w:rPr>
          <w:rFonts w:hint="eastAsia" w:ascii="宋体" w:hAnsi="宋体"/>
          <w:sz w:val="24"/>
          <w:szCs w:val="24"/>
          <w:highlight w:val="none"/>
        </w:rPr>
        <w:t>（1）适用的法律、行政法规及部门规章；</w:t>
      </w:r>
    </w:p>
    <w:p w14:paraId="6202A63D">
      <w:pPr>
        <w:adjustRightInd w:val="0"/>
        <w:snapToGrid w:val="0"/>
        <w:spacing w:line="360" w:lineRule="auto"/>
        <w:ind w:firstLine="600" w:firstLineChars="250"/>
        <w:rPr>
          <w:rFonts w:ascii="宋体" w:hAnsi="宋体"/>
          <w:sz w:val="24"/>
          <w:szCs w:val="24"/>
          <w:highlight w:val="none"/>
        </w:rPr>
      </w:pPr>
      <w:r>
        <w:rPr>
          <w:rFonts w:hint="eastAsia" w:ascii="宋体" w:hAnsi="宋体"/>
          <w:sz w:val="24"/>
          <w:szCs w:val="24"/>
          <w:highlight w:val="none"/>
        </w:rPr>
        <w:t>（2）与工程有关的标准；</w:t>
      </w:r>
    </w:p>
    <w:p w14:paraId="7A063E0F">
      <w:pPr>
        <w:adjustRightInd w:val="0"/>
        <w:snapToGrid w:val="0"/>
        <w:spacing w:line="360" w:lineRule="auto"/>
        <w:ind w:firstLine="600" w:firstLineChars="250"/>
        <w:rPr>
          <w:rFonts w:ascii="宋体" w:hAnsi="宋体"/>
          <w:sz w:val="24"/>
          <w:szCs w:val="24"/>
          <w:highlight w:val="none"/>
        </w:rPr>
      </w:pPr>
      <w:r>
        <w:rPr>
          <w:rFonts w:hint="eastAsia" w:ascii="宋体" w:hAnsi="宋体"/>
          <w:sz w:val="24"/>
          <w:szCs w:val="24"/>
          <w:highlight w:val="none"/>
        </w:rPr>
        <w:t>（3）工程设计及有关文件；</w:t>
      </w:r>
    </w:p>
    <w:p w14:paraId="7486BC91">
      <w:pPr>
        <w:adjustRightInd w:val="0"/>
        <w:snapToGrid w:val="0"/>
        <w:spacing w:line="360" w:lineRule="auto"/>
        <w:ind w:firstLine="600" w:firstLineChars="250"/>
        <w:rPr>
          <w:rFonts w:ascii="宋体" w:hAnsi="宋体"/>
          <w:sz w:val="24"/>
          <w:szCs w:val="24"/>
          <w:highlight w:val="none"/>
        </w:rPr>
      </w:pPr>
      <w:r>
        <w:rPr>
          <w:rFonts w:hint="eastAsia" w:ascii="宋体" w:hAnsi="宋体"/>
          <w:sz w:val="24"/>
          <w:szCs w:val="24"/>
          <w:highlight w:val="none"/>
        </w:rPr>
        <w:t>（4）本合同及委托人与第三方签订的与实施工程有关的其他合同。</w:t>
      </w:r>
    </w:p>
    <w:p w14:paraId="0A4F0817">
      <w:pPr>
        <w:spacing w:line="360" w:lineRule="auto"/>
        <w:ind w:left="210" w:leftChars="100" w:firstLine="480" w:firstLineChars="200"/>
        <w:rPr>
          <w:rFonts w:ascii="宋体" w:hAnsi="宋体"/>
          <w:sz w:val="24"/>
          <w:szCs w:val="24"/>
          <w:highlight w:val="none"/>
        </w:rPr>
      </w:pPr>
      <w:r>
        <w:rPr>
          <w:rFonts w:hint="eastAsia" w:ascii="宋体" w:hAnsi="宋体"/>
          <w:sz w:val="24"/>
          <w:szCs w:val="24"/>
          <w:highlight w:val="none"/>
        </w:rPr>
        <w:t>双方根据工程的行业和地域特点，在专用条件中具体约定监理依据。</w:t>
      </w:r>
    </w:p>
    <w:p w14:paraId="7227D2D8">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2.2.2 相关服务依据在专用条件中约定。</w:t>
      </w:r>
    </w:p>
    <w:p w14:paraId="45AE8277">
      <w:pPr>
        <w:spacing w:line="360" w:lineRule="auto"/>
        <w:ind w:firstLine="240" w:firstLineChars="100"/>
        <w:rPr>
          <w:rFonts w:ascii="宋体" w:hAnsi="宋体"/>
          <w:kern w:val="0"/>
          <w:sz w:val="24"/>
          <w:szCs w:val="24"/>
          <w:highlight w:val="none"/>
        </w:rPr>
      </w:pPr>
      <w:r>
        <w:rPr>
          <w:rFonts w:hint="eastAsia" w:ascii="宋体" w:hAnsi="宋体"/>
          <w:kern w:val="0"/>
          <w:sz w:val="24"/>
          <w:szCs w:val="24"/>
          <w:highlight w:val="none"/>
        </w:rPr>
        <w:t>2.3 项目监理机构和人员</w:t>
      </w:r>
    </w:p>
    <w:p w14:paraId="1C0A7940">
      <w:pPr>
        <w:adjustRightInd w:val="0"/>
        <w:snapToGrid w:val="0"/>
        <w:spacing w:line="360" w:lineRule="auto"/>
        <w:ind w:firstLine="645"/>
        <w:rPr>
          <w:rFonts w:ascii="宋体" w:hAnsi="宋体"/>
          <w:kern w:val="0"/>
          <w:sz w:val="24"/>
          <w:szCs w:val="24"/>
          <w:highlight w:val="none"/>
        </w:rPr>
      </w:pPr>
      <w:r>
        <w:rPr>
          <w:rFonts w:hint="eastAsia" w:ascii="宋体" w:hAnsi="宋体"/>
          <w:kern w:val="0"/>
          <w:sz w:val="24"/>
          <w:szCs w:val="24"/>
          <w:highlight w:val="none"/>
        </w:rPr>
        <w:t>2.3.1 监理人应组建满足工作需要的项目监理机构，配备必要的检测设备。项目监理机构的主要人员应具有相应的资格条件。</w:t>
      </w:r>
    </w:p>
    <w:p w14:paraId="52D48517">
      <w:pPr>
        <w:adjustRightInd w:val="0"/>
        <w:snapToGrid w:val="0"/>
        <w:spacing w:line="360" w:lineRule="auto"/>
        <w:ind w:firstLine="645"/>
        <w:rPr>
          <w:rFonts w:ascii="宋体" w:hAnsi="宋体"/>
          <w:kern w:val="0"/>
          <w:sz w:val="24"/>
          <w:szCs w:val="24"/>
          <w:highlight w:val="none"/>
        </w:rPr>
      </w:pPr>
      <w:r>
        <w:rPr>
          <w:rFonts w:hint="eastAsia" w:ascii="宋体" w:hAnsi="宋体"/>
          <w:kern w:val="0"/>
          <w:sz w:val="24"/>
          <w:szCs w:val="24"/>
          <w:highlight w:val="none"/>
        </w:rPr>
        <w:t>2.3.2本合同履行过程中，总监理工程师及重要岗位监理人员应保持相对稳定，以保证监理工作正常进行。</w:t>
      </w:r>
    </w:p>
    <w:p w14:paraId="58CD707B">
      <w:pPr>
        <w:adjustRightInd w:val="0"/>
        <w:snapToGrid w:val="0"/>
        <w:spacing w:line="360" w:lineRule="auto"/>
        <w:ind w:firstLine="645"/>
        <w:rPr>
          <w:rFonts w:ascii="宋体" w:hAnsi="宋体"/>
          <w:kern w:val="0"/>
          <w:sz w:val="24"/>
          <w:szCs w:val="24"/>
          <w:highlight w:val="none"/>
        </w:rPr>
      </w:pPr>
      <w:r>
        <w:rPr>
          <w:rFonts w:hint="eastAsia" w:ascii="宋体" w:hAnsi="宋体"/>
          <w:kern w:val="0"/>
          <w:sz w:val="24"/>
          <w:szCs w:val="24"/>
          <w:highlight w:val="none"/>
        </w:rPr>
        <w:t>2.3.3监理人可根据工程进展和工作需要调整项目监理机构人员。监理人更换总监理工程师时，应提前7天向委托人书面报告，经委托人同意后方可更换；监理人更换项目监理机构其他监理人员，应以相当资格与能力的人员替换，并通知委托人。</w:t>
      </w:r>
    </w:p>
    <w:p w14:paraId="1B6C33A8">
      <w:pPr>
        <w:adjustRightInd w:val="0"/>
        <w:snapToGrid w:val="0"/>
        <w:spacing w:line="360" w:lineRule="auto"/>
        <w:ind w:firstLine="645"/>
        <w:rPr>
          <w:rFonts w:ascii="宋体" w:hAnsi="宋体"/>
          <w:kern w:val="0"/>
          <w:sz w:val="24"/>
          <w:szCs w:val="24"/>
          <w:highlight w:val="none"/>
        </w:rPr>
      </w:pPr>
      <w:r>
        <w:rPr>
          <w:rFonts w:hint="eastAsia" w:ascii="宋体" w:hAnsi="宋体"/>
          <w:kern w:val="0"/>
          <w:sz w:val="24"/>
          <w:szCs w:val="24"/>
          <w:highlight w:val="none"/>
        </w:rPr>
        <w:t>2.3.4 监理人应及时更换有下列情形之一的监理人员：</w:t>
      </w:r>
    </w:p>
    <w:p w14:paraId="2281615A">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（1）严重过失行为的；</w:t>
      </w:r>
    </w:p>
    <w:p w14:paraId="6A8E286E">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（2）有违法行为不能履行职责的；</w:t>
      </w:r>
    </w:p>
    <w:p w14:paraId="58BB02AE">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（3）涉嫌犯罪的；</w:t>
      </w:r>
    </w:p>
    <w:p w14:paraId="26F629D8">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（4）不能胜任岗位职责的；</w:t>
      </w:r>
    </w:p>
    <w:p w14:paraId="09193458">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（5）严重违反职业道德的；</w:t>
      </w:r>
    </w:p>
    <w:p w14:paraId="63101EFD">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（6）专用条件约定的其他情形。</w:t>
      </w:r>
    </w:p>
    <w:p w14:paraId="311AE61D">
      <w:pPr>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2.3.5 委托人可要求监理人更换不能胜任本职工作的项目监理机构人员。</w:t>
      </w:r>
    </w:p>
    <w:p w14:paraId="27179ED5">
      <w:pPr>
        <w:spacing w:line="360" w:lineRule="auto"/>
        <w:ind w:left="210" w:leftChars="100"/>
        <w:rPr>
          <w:rFonts w:ascii="宋体" w:hAnsi="宋体"/>
          <w:kern w:val="0"/>
          <w:sz w:val="24"/>
          <w:szCs w:val="24"/>
          <w:highlight w:val="none"/>
        </w:rPr>
      </w:pPr>
      <w:r>
        <w:rPr>
          <w:rFonts w:hint="eastAsia" w:ascii="宋体" w:hAnsi="宋体"/>
          <w:kern w:val="0"/>
          <w:sz w:val="24"/>
          <w:szCs w:val="24"/>
          <w:highlight w:val="none"/>
        </w:rPr>
        <w:t>2.4 履行职责</w:t>
      </w:r>
    </w:p>
    <w:p w14:paraId="2C5414EA">
      <w:pPr>
        <w:adjustRightInd w:val="0"/>
        <w:snapToGrid w:val="0"/>
        <w:spacing w:line="360" w:lineRule="auto"/>
        <w:ind w:firstLine="480" w:firstLineChars="200"/>
        <w:rPr>
          <w:rFonts w:ascii="宋体" w:hAnsi="宋体"/>
          <w:sz w:val="24"/>
          <w:szCs w:val="24"/>
          <w:highlight w:val="none"/>
        </w:rPr>
      </w:pPr>
      <w:r>
        <w:rPr>
          <w:rFonts w:hint="eastAsia" w:ascii="宋体" w:hAnsi="宋体"/>
          <w:kern w:val="0"/>
          <w:sz w:val="24"/>
          <w:szCs w:val="24"/>
          <w:highlight w:val="none"/>
        </w:rPr>
        <w:t>监理人应遵循职业道德准则和行为规范，严格按照法律法规、工程建设有关标准及本合同履行职责。</w:t>
      </w:r>
    </w:p>
    <w:p w14:paraId="7891E371">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2.4.1 在监理与相关服务范围内，委托人和承包人提出的意见和要求，监理人应及时提出处置意见。当委托人与承包人之间发生合同争议时，监理人应协助委托人、承包人协商解决。</w:t>
      </w:r>
    </w:p>
    <w:p w14:paraId="0F9D7004">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2.4.2 当委托人与承包人之间的合同争议提交仲裁机构仲裁或人民法院审理时，监理人应提供必要的证明资料。</w:t>
      </w:r>
    </w:p>
    <w:p w14:paraId="57E5629A">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2.4.3 监理人应在专用条件约定的授权范围内，处理委托人与承包人所签订合同的变更事宜。如果变更超过授权范围，应以书面形式报委托人批准。</w:t>
      </w:r>
    </w:p>
    <w:p w14:paraId="7E5FAA9C">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在紧急情况下，为了保护财产和人身安全，监理人所发出的指令未能事先报委托人批准时，应在发出指令后的24小时内以书面形式报委托人。</w:t>
      </w:r>
    </w:p>
    <w:p w14:paraId="4B85155C">
      <w:pPr>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2.4.4 除专用条件另有约定外，监理人发现承包人的人员不能胜任本职工作的，有权要求承包人予以调换。</w:t>
      </w:r>
    </w:p>
    <w:p w14:paraId="5A69FA21">
      <w:pPr>
        <w:spacing w:line="360" w:lineRule="auto"/>
        <w:ind w:left="210" w:leftChars="100"/>
        <w:rPr>
          <w:rFonts w:ascii="宋体" w:hAnsi="宋体"/>
          <w:kern w:val="0"/>
          <w:sz w:val="24"/>
          <w:szCs w:val="24"/>
          <w:highlight w:val="none"/>
        </w:rPr>
      </w:pPr>
      <w:r>
        <w:rPr>
          <w:rFonts w:hint="eastAsia" w:ascii="宋体" w:hAnsi="宋体"/>
          <w:kern w:val="0"/>
          <w:sz w:val="24"/>
          <w:szCs w:val="24"/>
          <w:highlight w:val="none"/>
        </w:rPr>
        <w:t>2.5 提交报告</w:t>
      </w:r>
    </w:p>
    <w:p w14:paraId="41184A56">
      <w:pPr>
        <w:spacing w:line="360" w:lineRule="auto"/>
        <w:ind w:firstLine="480" w:firstLineChars="200"/>
        <w:rPr>
          <w:rFonts w:ascii="宋体" w:hAnsi="宋体"/>
          <w:sz w:val="24"/>
          <w:szCs w:val="24"/>
          <w:highlight w:val="none"/>
        </w:rPr>
      </w:pPr>
      <w:r>
        <w:rPr>
          <w:rFonts w:hint="eastAsia" w:ascii="宋体" w:hAnsi="宋体"/>
          <w:sz w:val="24"/>
          <w:szCs w:val="24"/>
          <w:highlight w:val="none"/>
        </w:rPr>
        <w:t>监理人应按专用条件约定的种类、时间和份数向委托人提交监理与相关服务的报告。</w:t>
      </w:r>
    </w:p>
    <w:p w14:paraId="7B961661">
      <w:pPr>
        <w:spacing w:line="360" w:lineRule="auto"/>
        <w:ind w:left="210" w:leftChars="100"/>
        <w:rPr>
          <w:rFonts w:ascii="宋体" w:hAnsi="宋体"/>
          <w:kern w:val="0"/>
          <w:sz w:val="24"/>
          <w:szCs w:val="24"/>
          <w:highlight w:val="none"/>
        </w:rPr>
      </w:pPr>
      <w:r>
        <w:rPr>
          <w:rFonts w:hint="eastAsia" w:ascii="宋体" w:hAnsi="宋体"/>
          <w:kern w:val="0"/>
          <w:sz w:val="24"/>
          <w:szCs w:val="24"/>
          <w:highlight w:val="none"/>
        </w:rPr>
        <w:t>2.6 文件资料</w:t>
      </w:r>
    </w:p>
    <w:p w14:paraId="3FD5E752">
      <w:pPr>
        <w:spacing w:line="360" w:lineRule="auto"/>
        <w:ind w:firstLine="480" w:firstLineChars="200"/>
        <w:rPr>
          <w:rFonts w:ascii="宋体" w:hAnsi="宋体"/>
          <w:sz w:val="24"/>
          <w:szCs w:val="24"/>
          <w:highlight w:val="none"/>
        </w:rPr>
      </w:pPr>
      <w:r>
        <w:rPr>
          <w:rFonts w:hint="eastAsia" w:ascii="宋体" w:hAnsi="宋体"/>
          <w:kern w:val="0"/>
          <w:sz w:val="24"/>
          <w:szCs w:val="24"/>
          <w:highlight w:val="none"/>
        </w:rPr>
        <w:t>在本合同履行期内，监理人应在现场保留工作所用的图纸、报告及记录监理工</w:t>
      </w:r>
      <w:r>
        <w:rPr>
          <w:rFonts w:hint="eastAsia" w:ascii="宋体" w:hAnsi="宋体"/>
          <w:sz w:val="24"/>
          <w:szCs w:val="24"/>
          <w:highlight w:val="none"/>
        </w:rPr>
        <w:t>作的相关文件。工程竣工后，应当按照档案管理规定将监理有关文件归档。</w:t>
      </w:r>
    </w:p>
    <w:p w14:paraId="3EA8BA0F">
      <w:pPr>
        <w:spacing w:line="360" w:lineRule="auto"/>
        <w:ind w:left="210" w:leftChars="100"/>
        <w:rPr>
          <w:rFonts w:ascii="宋体" w:hAnsi="宋体"/>
          <w:kern w:val="0"/>
          <w:sz w:val="24"/>
          <w:szCs w:val="24"/>
          <w:highlight w:val="none"/>
        </w:rPr>
      </w:pPr>
      <w:r>
        <w:rPr>
          <w:rFonts w:hint="eastAsia" w:ascii="宋体" w:hAnsi="宋体"/>
          <w:kern w:val="0"/>
          <w:sz w:val="24"/>
          <w:szCs w:val="24"/>
          <w:highlight w:val="none"/>
        </w:rPr>
        <w:t>2.7 使用委托人的财产</w:t>
      </w:r>
    </w:p>
    <w:p w14:paraId="66AF9D64">
      <w:pPr>
        <w:spacing w:line="360" w:lineRule="auto"/>
        <w:ind w:firstLine="480" w:firstLineChars="200"/>
        <w:rPr>
          <w:rFonts w:ascii="宋体" w:hAnsi="宋体"/>
          <w:sz w:val="24"/>
          <w:szCs w:val="24"/>
          <w:highlight w:val="none"/>
        </w:rPr>
      </w:pPr>
      <w:r>
        <w:rPr>
          <w:rFonts w:hint="eastAsia" w:ascii="宋体" w:hAnsi="宋体"/>
          <w:sz w:val="24"/>
          <w:szCs w:val="24"/>
          <w:highlight w:val="none"/>
        </w:rPr>
        <w:t>监理人无偿使用附录B中由委托人派遣的人员和提供的房屋、资料、设备。除专用条件另有约定外，委托人提供的房屋、设备属于委托人的财产，监理人应妥善使用和保管，在本合同终止时将这些房屋、设备的清单提交委托人，并按专用条件约定的时间和方式移交。</w:t>
      </w:r>
    </w:p>
    <w:p w14:paraId="07B24DD0">
      <w:pPr>
        <w:spacing w:line="360" w:lineRule="auto"/>
        <w:rPr>
          <w:rFonts w:ascii="宋体" w:hAnsi="宋体"/>
          <w:b/>
          <w:bCs/>
          <w:kern w:val="0"/>
          <w:sz w:val="24"/>
          <w:szCs w:val="24"/>
          <w:highlight w:val="none"/>
        </w:rPr>
      </w:pPr>
      <w:r>
        <w:rPr>
          <w:rFonts w:hint="eastAsia" w:ascii="宋体" w:hAnsi="宋体"/>
          <w:b/>
          <w:bCs/>
          <w:kern w:val="0"/>
          <w:sz w:val="24"/>
          <w:szCs w:val="24"/>
          <w:highlight w:val="none"/>
        </w:rPr>
        <w:t>3．委托人的义务</w:t>
      </w:r>
    </w:p>
    <w:p w14:paraId="10D9F29B">
      <w:pPr>
        <w:spacing w:line="360" w:lineRule="auto"/>
        <w:ind w:left="210" w:leftChars="100"/>
        <w:rPr>
          <w:rFonts w:ascii="宋体" w:hAnsi="宋体"/>
          <w:kern w:val="0"/>
          <w:sz w:val="24"/>
          <w:szCs w:val="24"/>
          <w:highlight w:val="none"/>
        </w:rPr>
      </w:pPr>
      <w:r>
        <w:rPr>
          <w:rFonts w:hint="eastAsia" w:ascii="宋体" w:hAnsi="宋体"/>
          <w:kern w:val="0"/>
          <w:sz w:val="24"/>
          <w:szCs w:val="24"/>
          <w:highlight w:val="none"/>
        </w:rPr>
        <w:t>3.1 告知</w:t>
      </w:r>
    </w:p>
    <w:p w14:paraId="4E2A41BF">
      <w:pPr>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委托人应在委托人与承包人签订的合同中明确监理人、总监理工程师和授予项目监理机构的权限。如有变更，应及时通知承包人。</w:t>
      </w:r>
    </w:p>
    <w:p w14:paraId="38B1A13C">
      <w:pPr>
        <w:spacing w:line="360" w:lineRule="auto"/>
        <w:ind w:left="210" w:leftChars="100"/>
        <w:rPr>
          <w:rFonts w:ascii="宋体" w:hAnsi="宋体"/>
          <w:kern w:val="0"/>
          <w:sz w:val="24"/>
          <w:szCs w:val="24"/>
          <w:highlight w:val="none"/>
        </w:rPr>
      </w:pPr>
      <w:r>
        <w:rPr>
          <w:rFonts w:hint="eastAsia" w:ascii="宋体" w:hAnsi="宋体"/>
          <w:kern w:val="0"/>
          <w:sz w:val="24"/>
          <w:szCs w:val="24"/>
          <w:highlight w:val="none"/>
        </w:rPr>
        <w:t>3.2 提供资料</w:t>
      </w:r>
    </w:p>
    <w:p w14:paraId="0D3C5D82">
      <w:pPr>
        <w:spacing w:line="360" w:lineRule="auto"/>
        <w:ind w:firstLine="480" w:firstLineChars="200"/>
        <w:rPr>
          <w:rFonts w:ascii="宋体" w:hAnsi="宋体"/>
          <w:sz w:val="24"/>
          <w:szCs w:val="24"/>
          <w:highlight w:val="none"/>
        </w:rPr>
      </w:pPr>
      <w:r>
        <w:rPr>
          <w:rFonts w:hint="eastAsia" w:ascii="宋体" w:hAnsi="宋体"/>
          <w:kern w:val="0"/>
          <w:sz w:val="24"/>
          <w:szCs w:val="24"/>
          <w:highlight w:val="none"/>
        </w:rPr>
        <w:t>委托人应按照附录B约定，无偿向监理人提供工程有关的资料。</w:t>
      </w:r>
      <w:r>
        <w:rPr>
          <w:rFonts w:hint="eastAsia" w:ascii="宋体" w:hAnsi="宋体"/>
          <w:sz w:val="24"/>
          <w:szCs w:val="24"/>
          <w:highlight w:val="none"/>
        </w:rPr>
        <w:t>在本合同履行过程中，委托人应及时向监理人提供最新的与工程有关的资料。</w:t>
      </w:r>
    </w:p>
    <w:p w14:paraId="5883C0FA">
      <w:pPr>
        <w:spacing w:line="360" w:lineRule="auto"/>
        <w:ind w:left="210" w:leftChars="100"/>
        <w:rPr>
          <w:rFonts w:ascii="宋体" w:hAnsi="宋体"/>
          <w:kern w:val="0"/>
          <w:sz w:val="24"/>
          <w:szCs w:val="24"/>
          <w:highlight w:val="none"/>
        </w:rPr>
      </w:pPr>
      <w:r>
        <w:rPr>
          <w:rFonts w:hint="eastAsia" w:ascii="宋体" w:hAnsi="宋体"/>
          <w:kern w:val="0"/>
          <w:sz w:val="24"/>
          <w:szCs w:val="24"/>
          <w:highlight w:val="none"/>
        </w:rPr>
        <w:t>3.3 提供工作条件</w:t>
      </w:r>
    </w:p>
    <w:p w14:paraId="4C578230">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委托人应为监理人完成监理与相关服务提供必要的条件。</w:t>
      </w:r>
    </w:p>
    <w:p w14:paraId="15A0D522">
      <w:pPr>
        <w:adjustRightInd w:val="0"/>
        <w:snapToGrid w:val="0"/>
        <w:spacing w:line="360" w:lineRule="auto"/>
        <w:ind w:firstLine="480" w:firstLineChars="200"/>
        <w:rPr>
          <w:rFonts w:ascii="宋体" w:hAnsi="宋体"/>
          <w:sz w:val="24"/>
          <w:szCs w:val="24"/>
          <w:highlight w:val="none"/>
        </w:rPr>
      </w:pPr>
      <w:r>
        <w:rPr>
          <w:rFonts w:hint="eastAsia" w:ascii="宋体" w:hAnsi="宋体"/>
          <w:kern w:val="0"/>
          <w:sz w:val="24"/>
          <w:szCs w:val="24"/>
          <w:highlight w:val="none"/>
        </w:rPr>
        <w:t xml:space="preserve">3.3.1 </w:t>
      </w:r>
      <w:r>
        <w:rPr>
          <w:rFonts w:hint="eastAsia" w:ascii="宋体" w:hAnsi="宋体"/>
          <w:sz w:val="24"/>
          <w:szCs w:val="24"/>
          <w:highlight w:val="none"/>
        </w:rPr>
        <w:t>委托人应按照附录B约定，派遣相应的人员，提供房屋、设备，供监理人</w:t>
      </w:r>
      <w:r>
        <w:rPr>
          <w:rFonts w:hint="eastAsia" w:ascii="宋体" w:hAnsi="宋体"/>
          <w:kern w:val="0"/>
          <w:sz w:val="24"/>
          <w:szCs w:val="24"/>
          <w:highlight w:val="none"/>
        </w:rPr>
        <w:t>无偿</w:t>
      </w:r>
      <w:r>
        <w:rPr>
          <w:rFonts w:hint="eastAsia" w:ascii="宋体" w:hAnsi="宋体"/>
          <w:sz w:val="24"/>
          <w:szCs w:val="24"/>
          <w:highlight w:val="none"/>
        </w:rPr>
        <w:t>使用。</w:t>
      </w:r>
    </w:p>
    <w:p w14:paraId="34BDEAFE">
      <w:pPr>
        <w:spacing w:line="360" w:lineRule="auto"/>
        <w:ind w:firstLine="480" w:firstLineChars="200"/>
        <w:rPr>
          <w:rFonts w:ascii="宋体" w:hAnsi="宋体"/>
          <w:sz w:val="24"/>
          <w:szCs w:val="24"/>
          <w:highlight w:val="none"/>
        </w:rPr>
      </w:pPr>
      <w:r>
        <w:rPr>
          <w:rFonts w:hint="eastAsia" w:ascii="宋体" w:hAnsi="宋体"/>
          <w:kern w:val="0"/>
          <w:sz w:val="24"/>
          <w:szCs w:val="24"/>
          <w:highlight w:val="none"/>
        </w:rPr>
        <w:t xml:space="preserve">3.3.2 </w:t>
      </w:r>
      <w:r>
        <w:rPr>
          <w:rFonts w:hint="eastAsia" w:ascii="宋体" w:hAnsi="宋体"/>
          <w:sz w:val="24"/>
          <w:szCs w:val="24"/>
          <w:highlight w:val="none"/>
        </w:rPr>
        <w:t>委托人应负责协调工程建设中所有外部关系，为监理人履行本合同提供必要的外部条件。</w:t>
      </w:r>
    </w:p>
    <w:p w14:paraId="52290FAB">
      <w:pPr>
        <w:snapToGrid w:val="0"/>
        <w:spacing w:line="360" w:lineRule="auto"/>
        <w:ind w:left="210" w:leftChars="100"/>
        <w:rPr>
          <w:rFonts w:ascii="宋体" w:hAnsi="宋体"/>
          <w:kern w:val="0"/>
          <w:sz w:val="24"/>
          <w:szCs w:val="24"/>
          <w:highlight w:val="none"/>
        </w:rPr>
      </w:pPr>
      <w:r>
        <w:rPr>
          <w:rFonts w:hint="eastAsia" w:ascii="宋体" w:hAnsi="宋体"/>
          <w:kern w:val="0"/>
          <w:sz w:val="24"/>
          <w:szCs w:val="24"/>
          <w:highlight w:val="none"/>
        </w:rPr>
        <w:t>3.4 委托人代表</w:t>
      </w:r>
    </w:p>
    <w:p w14:paraId="3C042F5C">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委托人应授权一名熟悉工程情况的代表，负责与监理人联系。委托人应在双方签订本合同后7天内，将委托人代表的姓名和职责书面告知监理人。当委托人更换委托人代表时，应提前7天通知监理人。</w:t>
      </w:r>
    </w:p>
    <w:p w14:paraId="0AD148DB">
      <w:pPr>
        <w:snapToGrid w:val="0"/>
        <w:spacing w:line="360" w:lineRule="auto"/>
        <w:ind w:left="210" w:leftChars="100"/>
        <w:rPr>
          <w:rFonts w:ascii="宋体" w:hAnsi="宋体"/>
          <w:kern w:val="0"/>
          <w:sz w:val="24"/>
          <w:szCs w:val="24"/>
          <w:highlight w:val="none"/>
        </w:rPr>
      </w:pPr>
      <w:r>
        <w:rPr>
          <w:rFonts w:hint="eastAsia" w:ascii="宋体" w:hAnsi="宋体"/>
          <w:kern w:val="0"/>
          <w:sz w:val="24"/>
          <w:szCs w:val="24"/>
          <w:highlight w:val="none"/>
        </w:rPr>
        <w:t>3.5 委托人意见或要求</w:t>
      </w:r>
    </w:p>
    <w:p w14:paraId="2496E69A">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在本合同约定的监理与相关服务工作范围内，委托人对承包人的任何意见或要求应通知监理人，由监理人向承包人发出相应指令。</w:t>
      </w:r>
    </w:p>
    <w:p w14:paraId="70226F35">
      <w:pPr>
        <w:snapToGrid w:val="0"/>
        <w:spacing w:line="360" w:lineRule="auto"/>
        <w:ind w:left="210" w:leftChars="100"/>
        <w:rPr>
          <w:rFonts w:ascii="宋体" w:hAnsi="宋体"/>
          <w:kern w:val="0"/>
          <w:sz w:val="24"/>
          <w:szCs w:val="24"/>
          <w:highlight w:val="none"/>
        </w:rPr>
      </w:pPr>
      <w:r>
        <w:rPr>
          <w:rFonts w:hint="eastAsia" w:ascii="宋体" w:hAnsi="宋体"/>
          <w:kern w:val="0"/>
          <w:sz w:val="24"/>
          <w:szCs w:val="24"/>
          <w:highlight w:val="none"/>
        </w:rPr>
        <w:t>3.6 答复</w:t>
      </w:r>
    </w:p>
    <w:p w14:paraId="3202B8F1">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委托人应在专用条件约定的时间内，对监理人以书面形式提交并要求作出决定的事宜，给予书面答复。逾期未答复的，视为委托人认可。</w:t>
      </w:r>
    </w:p>
    <w:p w14:paraId="356C1AD8">
      <w:pPr>
        <w:snapToGrid w:val="0"/>
        <w:spacing w:line="360" w:lineRule="auto"/>
        <w:ind w:left="210" w:leftChars="100"/>
        <w:rPr>
          <w:rFonts w:ascii="宋体" w:hAnsi="宋体"/>
          <w:kern w:val="0"/>
          <w:sz w:val="24"/>
          <w:szCs w:val="24"/>
          <w:highlight w:val="none"/>
        </w:rPr>
      </w:pPr>
      <w:r>
        <w:rPr>
          <w:rFonts w:hint="eastAsia" w:ascii="宋体" w:hAnsi="宋体"/>
          <w:kern w:val="0"/>
          <w:sz w:val="24"/>
          <w:szCs w:val="24"/>
          <w:highlight w:val="none"/>
        </w:rPr>
        <w:t>3.7 支付</w:t>
      </w:r>
    </w:p>
    <w:p w14:paraId="44E9386A">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委托人应按本合同约定，向监理人支付酬金。</w:t>
      </w:r>
    </w:p>
    <w:p w14:paraId="6BB65F39">
      <w:pPr>
        <w:snapToGrid w:val="0"/>
        <w:spacing w:line="360" w:lineRule="auto"/>
        <w:rPr>
          <w:rFonts w:ascii="宋体" w:hAnsi="宋体"/>
          <w:b/>
          <w:bCs/>
          <w:sz w:val="24"/>
          <w:szCs w:val="24"/>
          <w:highlight w:val="none"/>
        </w:rPr>
      </w:pPr>
      <w:r>
        <w:rPr>
          <w:rFonts w:hint="eastAsia" w:ascii="宋体" w:hAnsi="宋体"/>
          <w:b/>
          <w:bCs/>
          <w:sz w:val="24"/>
          <w:szCs w:val="24"/>
          <w:highlight w:val="none"/>
        </w:rPr>
        <w:t>4. 违约责任</w:t>
      </w:r>
    </w:p>
    <w:p w14:paraId="6D95961A">
      <w:pPr>
        <w:spacing w:line="360" w:lineRule="auto"/>
        <w:ind w:left="210" w:leftChars="100"/>
        <w:rPr>
          <w:rFonts w:ascii="宋体" w:hAnsi="宋体"/>
          <w:kern w:val="0"/>
          <w:sz w:val="24"/>
          <w:szCs w:val="24"/>
          <w:highlight w:val="none"/>
        </w:rPr>
      </w:pPr>
      <w:r>
        <w:rPr>
          <w:rFonts w:hint="eastAsia" w:ascii="宋体" w:hAnsi="宋体"/>
          <w:kern w:val="0"/>
          <w:sz w:val="24"/>
          <w:szCs w:val="24"/>
          <w:highlight w:val="none"/>
        </w:rPr>
        <w:t>4.1 监理人的违约责任</w:t>
      </w:r>
    </w:p>
    <w:p w14:paraId="4330F851">
      <w:pPr>
        <w:adjustRightInd w:val="0"/>
        <w:snapToGrid w:val="0"/>
        <w:spacing w:line="360" w:lineRule="auto"/>
        <w:ind w:firstLine="480" w:firstLineChars="200"/>
        <w:rPr>
          <w:rFonts w:ascii="宋体" w:hAnsi="宋体"/>
          <w:sz w:val="24"/>
          <w:szCs w:val="24"/>
          <w:highlight w:val="none"/>
        </w:rPr>
      </w:pPr>
      <w:r>
        <w:rPr>
          <w:rFonts w:hint="eastAsia" w:ascii="宋体" w:hAnsi="宋体"/>
          <w:kern w:val="0"/>
          <w:sz w:val="24"/>
          <w:szCs w:val="24"/>
          <w:highlight w:val="none"/>
        </w:rPr>
        <w:t>监理人未履行本合同义务的，应承担相应的责任。</w:t>
      </w:r>
    </w:p>
    <w:p w14:paraId="639823E6">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4.1.1 因监理人违反本合同约定</w:t>
      </w:r>
      <w:r>
        <w:rPr>
          <w:rFonts w:hint="eastAsia" w:ascii="宋体" w:hAnsi="宋体"/>
          <w:sz w:val="24"/>
          <w:szCs w:val="24"/>
          <w:highlight w:val="none"/>
        </w:rPr>
        <w:t>给委托人造成损失的，监理人应当赔偿委托人损失</w:t>
      </w:r>
      <w:r>
        <w:rPr>
          <w:rFonts w:hint="eastAsia" w:ascii="宋体" w:hAnsi="宋体"/>
          <w:kern w:val="0"/>
          <w:sz w:val="24"/>
          <w:szCs w:val="24"/>
          <w:highlight w:val="none"/>
        </w:rPr>
        <w:t>。赔偿金额的确定方法在专用条件中约定。监理人承担部分赔偿责任的，其承担赔偿金额由双方协商确定。</w:t>
      </w:r>
    </w:p>
    <w:p w14:paraId="2A4CC87E">
      <w:pPr>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4.1.2 监理人向委托人的索赔不成立时，监理人应赔偿委托人由此发生的费用。</w:t>
      </w:r>
    </w:p>
    <w:p w14:paraId="2D34B398">
      <w:pPr>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4.2 委托人的违约责任</w:t>
      </w:r>
    </w:p>
    <w:p w14:paraId="57E1EEF9">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委托人未履行本合同义务的，应承担相应的责任。</w:t>
      </w:r>
    </w:p>
    <w:p w14:paraId="029D70AA">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4.2.1 委托人违反本合同约定造成监理人损失的，委托人应予以赔偿。</w:t>
      </w:r>
    </w:p>
    <w:p w14:paraId="1C7E2E4F">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4.2.2 委托人向监理人的索赔不成立时，应赔偿监理人由此引起的费用。</w:t>
      </w:r>
    </w:p>
    <w:p w14:paraId="0CE59208">
      <w:pPr>
        <w:spacing w:line="360" w:lineRule="auto"/>
        <w:ind w:firstLine="480" w:firstLineChars="200"/>
        <w:rPr>
          <w:rFonts w:ascii="宋体" w:hAnsi="宋体"/>
          <w:kern w:val="0"/>
          <w:sz w:val="24"/>
          <w:szCs w:val="24"/>
          <w:highlight w:val="none"/>
        </w:rPr>
      </w:pPr>
      <w:r>
        <w:rPr>
          <w:rFonts w:hint="eastAsia" w:ascii="宋体" w:hAnsi="宋体"/>
          <w:sz w:val="24"/>
          <w:szCs w:val="24"/>
          <w:highlight w:val="none"/>
        </w:rPr>
        <w:t xml:space="preserve">4.2.3 </w:t>
      </w:r>
      <w:r>
        <w:rPr>
          <w:rFonts w:hint="eastAsia" w:ascii="宋体" w:hAnsi="宋体"/>
          <w:kern w:val="0"/>
          <w:sz w:val="24"/>
          <w:szCs w:val="24"/>
          <w:highlight w:val="none"/>
        </w:rPr>
        <w:t>委托人未能按期支付</w:t>
      </w:r>
      <w:r>
        <w:rPr>
          <w:rFonts w:hint="eastAsia" w:ascii="宋体" w:hAnsi="宋体"/>
          <w:sz w:val="24"/>
          <w:szCs w:val="24"/>
          <w:highlight w:val="none"/>
        </w:rPr>
        <w:t>酬金</w:t>
      </w:r>
      <w:r>
        <w:rPr>
          <w:rFonts w:hint="eastAsia" w:ascii="宋体" w:hAnsi="宋体"/>
          <w:kern w:val="0"/>
          <w:sz w:val="24"/>
          <w:szCs w:val="24"/>
          <w:highlight w:val="none"/>
        </w:rPr>
        <w:t>超过28天，应按专用条件约定支付逾期付款利息。</w:t>
      </w:r>
    </w:p>
    <w:p w14:paraId="5BC97CEB">
      <w:pPr>
        <w:spacing w:line="360" w:lineRule="auto"/>
        <w:ind w:firstLine="240" w:firstLineChars="100"/>
        <w:rPr>
          <w:rFonts w:ascii="宋体" w:hAnsi="宋体"/>
          <w:kern w:val="0"/>
          <w:sz w:val="24"/>
          <w:szCs w:val="24"/>
          <w:highlight w:val="none"/>
        </w:rPr>
      </w:pPr>
      <w:r>
        <w:rPr>
          <w:rFonts w:hint="eastAsia" w:ascii="宋体" w:hAnsi="宋体"/>
          <w:kern w:val="0"/>
          <w:sz w:val="24"/>
          <w:szCs w:val="24"/>
          <w:highlight w:val="none"/>
        </w:rPr>
        <w:t>4.3 除外责任</w:t>
      </w:r>
    </w:p>
    <w:p w14:paraId="1872F809">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因非监理人的原因，且监理人无过错，发生工程质量事故、安全事故、工期延误等造成的损失，监理人不承担赔偿责任。</w:t>
      </w:r>
    </w:p>
    <w:p w14:paraId="6BD8F566">
      <w:pPr>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因不可抗力导致本合同全部或部分不能履行时，双方各自承担其因此而造成的损失、损害。</w:t>
      </w:r>
    </w:p>
    <w:p w14:paraId="66F69125">
      <w:pPr>
        <w:snapToGrid w:val="0"/>
        <w:spacing w:line="360" w:lineRule="auto"/>
        <w:rPr>
          <w:rFonts w:ascii="宋体" w:hAnsi="宋体"/>
          <w:b/>
          <w:bCs/>
          <w:sz w:val="24"/>
          <w:szCs w:val="24"/>
          <w:highlight w:val="none"/>
        </w:rPr>
      </w:pPr>
      <w:r>
        <w:rPr>
          <w:rFonts w:hint="eastAsia" w:ascii="宋体" w:hAnsi="宋体"/>
          <w:b/>
          <w:bCs/>
          <w:sz w:val="24"/>
          <w:szCs w:val="24"/>
          <w:highlight w:val="none"/>
        </w:rPr>
        <w:t>5. 支付</w:t>
      </w:r>
    </w:p>
    <w:p w14:paraId="259A8A54">
      <w:pPr>
        <w:snapToGrid w:val="0"/>
        <w:spacing w:line="360" w:lineRule="auto"/>
        <w:ind w:left="210" w:leftChars="100"/>
        <w:rPr>
          <w:rFonts w:ascii="宋体" w:hAnsi="宋体"/>
          <w:sz w:val="24"/>
          <w:szCs w:val="24"/>
          <w:highlight w:val="none"/>
        </w:rPr>
      </w:pPr>
      <w:r>
        <w:rPr>
          <w:rFonts w:hint="eastAsia" w:ascii="宋体" w:hAnsi="宋体"/>
          <w:sz w:val="24"/>
          <w:szCs w:val="24"/>
          <w:highlight w:val="none"/>
        </w:rPr>
        <w:t>5.1 支付货币</w:t>
      </w:r>
    </w:p>
    <w:p w14:paraId="468C3C14">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除专用条件另有约定外，酬金均以人民币支付。涉及外币支付的，所采用的货币种类、比例和汇率在专用条件中约定。</w:t>
      </w:r>
    </w:p>
    <w:p w14:paraId="694141AB">
      <w:pPr>
        <w:snapToGrid w:val="0"/>
        <w:spacing w:line="360" w:lineRule="auto"/>
        <w:ind w:left="210" w:leftChars="100"/>
        <w:rPr>
          <w:rFonts w:ascii="宋体" w:hAnsi="宋体"/>
          <w:sz w:val="24"/>
          <w:szCs w:val="24"/>
          <w:highlight w:val="none"/>
        </w:rPr>
      </w:pPr>
      <w:r>
        <w:rPr>
          <w:rFonts w:hint="eastAsia" w:ascii="宋体" w:hAnsi="宋体"/>
          <w:sz w:val="24"/>
          <w:szCs w:val="24"/>
          <w:highlight w:val="none"/>
        </w:rPr>
        <w:t>5.2 支付申请</w:t>
      </w:r>
    </w:p>
    <w:p w14:paraId="04668101">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监理人应在本合同约定的每次应付款时间的7天前，向委托人提交支付申请书。支付申请书应当说明当期应付款总额，并列出当期应支付的款项及其金额。</w:t>
      </w:r>
    </w:p>
    <w:p w14:paraId="78CA6451">
      <w:pPr>
        <w:snapToGrid w:val="0"/>
        <w:spacing w:line="360" w:lineRule="auto"/>
        <w:ind w:left="210" w:leftChars="100"/>
        <w:rPr>
          <w:rFonts w:ascii="宋体" w:hAnsi="宋体"/>
          <w:sz w:val="24"/>
          <w:szCs w:val="24"/>
          <w:highlight w:val="none"/>
        </w:rPr>
      </w:pPr>
      <w:r>
        <w:rPr>
          <w:rFonts w:hint="eastAsia" w:ascii="宋体" w:hAnsi="宋体"/>
          <w:sz w:val="24"/>
          <w:szCs w:val="24"/>
          <w:highlight w:val="none"/>
        </w:rPr>
        <w:t>5.3 支付酬金</w:t>
      </w:r>
    </w:p>
    <w:p w14:paraId="0CC5C7E2">
      <w:pPr>
        <w:snapToGrid w:val="0"/>
        <w:spacing w:line="360" w:lineRule="auto"/>
        <w:ind w:firstLine="480"/>
        <w:rPr>
          <w:rFonts w:ascii="宋体" w:hAnsi="宋体"/>
          <w:sz w:val="24"/>
          <w:szCs w:val="24"/>
          <w:highlight w:val="none"/>
        </w:rPr>
      </w:pPr>
      <w:r>
        <w:rPr>
          <w:rFonts w:hint="eastAsia" w:ascii="宋体" w:hAnsi="宋体"/>
          <w:sz w:val="24"/>
          <w:szCs w:val="24"/>
          <w:highlight w:val="none"/>
        </w:rPr>
        <w:t>支付的酬金包括正常工作酬金、附加工作酬金、合理化建议奖励金额及费用。</w:t>
      </w:r>
    </w:p>
    <w:p w14:paraId="13752392">
      <w:pPr>
        <w:snapToGrid w:val="0"/>
        <w:spacing w:line="360" w:lineRule="auto"/>
        <w:ind w:left="210" w:leftChars="100"/>
        <w:rPr>
          <w:rFonts w:ascii="宋体" w:hAnsi="宋体"/>
          <w:sz w:val="24"/>
          <w:szCs w:val="24"/>
          <w:highlight w:val="none"/>
        </w:rPr>
      </w:pPr>
      <w:r>
        <w:rPr>
          <w:rFonts w:hint="eastAsia" w:ascii="宋体" w:hAnsi="宋体"/>
          <w:sz w:val="24"/>
          <w:szCs w:val="24"/>
          <w:highlight w:val="none"/>
        </w:rPr>
        <w:t>5.4 有争议部分的付款</w:t>
      </w:r>
    </w:p>
    <w:p w14:paraId="1D42C6BE">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委托人对监理人提交的支付申请书有异议时，应当在收到监理人提交的支付申请书后7天内，以书面形式向监理人发出异议通知。无异议部分的款项应按期支付，有异议部分的款项按第7条约定办理。</w:t>
      </w:r>
    </w:p>
    <w:p w14:paraId="11380904">
      <w:pPr>
        <w:snapToGrid w:val="0"/>
        <w:spacing w:line="360" w:lineRule="auto"/>
        <w:rPr>
          <w:rFonts w:ascii="宋体" w:hAnsi="宋体"/>
          <w:b/>
          <w:bCs/>
          <w:sz w:val="24"/>
          <w:szCs w:val="24"/>
          <w:highlight w:val="none"/>
        </w:rPr>
      </w:pPr>
      <w:r>
        <w:rPr>
          <w:rFonts w:hint="eastAsia" w:ascii="宋体" w:hAnsi="宋体"/>
          <w:b/>
          <w:bCs/>
          <w:sz w:val="24"/>
          <w:szCs w:val="24"/>
          <w:highlight w:val="none"/>
        </w:rPr>
        <w:t>6. 合同生效、变更、暂停、解除与终止</w:t>
      </w:r>
    </w:p>
    <w:p w14:paraId="31E31007">
      <w:pPr>
        <w:spacing w:line="360" w:lineRule="auto"/>
        <w:ind w:left="210" w:leftChars="100"/>
        <w:rPr>
          <w:rFonts w:ascii="宋体" w:hAnsi="宋体"/>
          <w:sz w:val="24"/>
          <w:szCs w:val="24"/>
          <w:highlight w:val="none"/>
        </w:rPr>
      </w:pPr>
      <w:r>
        <w:rPr>
          <w:rFonts w:hint="eastAsia" w:ascii="宋体" w:hAnsi="宋体"/>
          <w:sz w:val="24"/>
          <w:szCs w:val="24"/>
          <w:highlight w:val="none"/>
        </w:rPr>
        <w:t>6.1生效</w:t>
      </w:r>
    </w:p>
    <w:p w14:paraId="3F691FE3">
      <w:pPr>
        <w:spacing w:line="360" w:lineRule="auto"/>
        <w:ind w:firstLine="480" w:firstLineChars="200"/>
        <w:rPr>
          <w:rFonts w:ascii="宋体" w:hAnsi="宋体"/>
          <w:sz w:val="24"/>
          <w:szCs w:val="24"/>
          <w:highlight w:val="none"/>
        </w:rPr>
      </w:pPr>
      <w:r>
        <w:rPr>
          <w:rFonts w:hint="eastAsia" w:ascii="宋体" w:hAnsi="宋体"/>
          <w:sz w:val="24"/>
          <w:szCs w:val="24"/>
          <w:highlight w:val="none"/>
        </w:rPr>
        <w:t>除法律另有规定或者专用条件另有约定外，委托人和监理人的法定代表人或其授权代理人在协议书上签字并盖单位章后本合同生效。</w:t>
      </w:r>
    </w:p>
    <w:p w14:paraId="401DFFDE">
      <w:pPr>
        <w:snapToGrid w:val="0"/>
        <w:spacing w:line="360" w:lineRule="auto"/>
        <w:ind w:left="210" w:leftChars="100"/>
        <w:rPr>
          <w:rFonts w:ascii="宋体" w:hAnsi="宋体"/>
          <w:sz w:val="24"/>
          <w:szCs w:val="24"/>
          <w:highlight w:val="none"/>
        </w:rPr>
      </w:pPr>
      <w:r>
        <w:rPr>
          <w:rFonts w:hint="eastAsia" w:ascii="宋体" w:hAnsi="宋体"/>
          <w:sz w:val="24"/>
          <w:szCs w:val="24"/>
          <w:highlight w:val="none"/>
        </w:rPr>
        <w:t>6.2变更</w:t>
      </w:r>
    </w:p>
    <w:p w14:paraId="44667112">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6.2.1 任何一方提出变更请求时，双方经协商一致后可进行变更。</w:t>
      </w:r>
    </w:p>
    <w:p w14:paraId="3570417D">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6.2.2除不可抗力外，因非监理人原因导致监理人履行合同期限延长、内容增加时，监理人应当将此情况与可能产生的影响及时通知委托人。增加的监理工作时间、工作内容应视为附加工作。附加工作酬金的确定方法在专用条件中约定。</w:t>
      </w:r>
    </w:p>
    <w:p w14:paraId="10BECAEC">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6.2.3合同生效后，如果实际情况发生变化使得监理人不能完成全部或部分工作时，监理人应立即通知委托人。除不可抗力外，其善后工作以及恢复服务的准备工作应为附加工作，附加工作酬金的确定方法在专用条件中约定。监理人用于恢复服务的准备时间不应超过28天。</w:t>
      </w:r>
    </w:p>
    <w:p w14:paraId="0BB2D36A">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6.2.4合同签订后，遇有与工程相关的法律法规、标准颁布或修订的，双方应遵照执行。由此引起监理与相关服务的范围、时间、酬金变化的，双方应通过协商进行相应调整。</w:t>
      </w:r>
    </w:p>
    <w:p w14:paraId="5AF78CAC">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6.2.5 因非监理人原因造成工程概算投资额或建筑安装工程费增加时，正常工作酬金应作相应调整。调整方法在专用条件中约定。</w:t>
      </w:r>
    </w:p>
    <w:p w14:paraId="45F8DCC0">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6.2.6 因工程规模、监理范围的变化导致监理人的正常工作量减少时，正常工作酬金应作相应调整。调整方法在专用条件中约定。</w:t>
      </w:r>
    </w:p>
    <w:p w14:paraId="3EB4AC7E">
      <w:pPr>
        <w:snapToGrid w:val="0"/>
        <w:spacing w:line="360" w:lineRule="auto"/>
        <w:ind w:left="210" w:leftChars="100"/>
        <w:rPr>
          <w:rFonts w:ascii="宋体" w:hAnsi="宋体"/>
          <w:sz w:val="24"/>
          <w:szCs w:val="24"/>
          <w:highlight w:val="none"/>
        </w:rPr>
      </w:pPr>
      <w:r>
        <w:rPr>
          <w:rFonts w:hint="eastAsia" w:ascii="宋体" w:hAnsi="宋体"/>
          <w:sz w:val="24"/>
          <w:szCs w:val="24"/>
          <w:highlight w:val="none"/>
        </w:rPr>
        <w:t>6.3 暂停与解除</w:t>
      </w:r>
    </w:p>
    <w:p w14:paraId="6821ECCA">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除双方协商一致可以解除本合同外，当一方无正当理由未履行本合同约定的义务时，另一方可以根据本合同约定暂停履行本合同直至解除本合同。</w:t>
      </w:r>
    </w:p>
    <w:p w14:paraId="1B82C440">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6.3.1 在本合同有效期内，由于双方无法预见和控制的原因导致本合同全部或部分无法继续履行或继续履行已无意义，经双方协商一致，可以解除本合同或监理人的部分义务。在解除之前，监理人应作出合理安排，使开支减至最小。</w:t>
      </w:r>
    </w:p>
    <w:p w14:paraId="7513CD30">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因解除本合同或解除监理人的部分义务导致监理人遭受的损失，除依法可以免除责任的情况外，应由委托人予以补偿，补偿金额由双方协商确定。</w:t>
      </w:r>
    </w:p>
    <w:p w14:paraId="078E2FD9">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解除本合同的协议必须采取书面形式，协议未达成之前，本合同仍然有效。</w:t>
      </w:r>
    </w:p>
    <w:p w14:paraId="6311B646">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6.3.2 在本合同有效期内，因非监理人的原因导致工程施工全部或部分暂停，委托人可通知监理人要求暂停全部或部分工作。监理人应立即安排停止工作，并将开支减至最小。除不可抗力外，由此导致监理人遭受的损失应由委托人予以补偿。</w:t>
      </w:r>
    </w:p>
    <w:p w14:paraId="4449930F">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暂停部分监理与相关服务时间超过182天，监理人可发出解除本合同约定的该部分义务的通知；暂停全部工作时间超过182天，监理人可发出解除本合同的通知，本合同自通知到达委托人时解除。委托人应将监理与相关服务</w:t>
      </w:r>
      <w:r>
        <w:rPr>
          <w:rFonts w:hint="eastAsia" w:ascii="宋体" w:hAnsi="宋体"/>
          <w:kern w:val="0"/>
          <w:sz w:val="24"/>
          <w:szCs w:val="24"/>
          <w:highlight w:val="none"/>
        </w:rPr>
        <w:t>的</w:t>
      </w:r>
      <w:r>
        <w:rPr>
          <w:rFonts w:hint="eastAsia" w:ascii="宋体" w:hAnsi="宋体"/>
          <w:sz w:val="24"/>
          <w:szCs w:val="24"/>
          <w:highlight w:val="none"/>
        </w:rPr>
        <w:t>酬金支付至本合同解除日，且应承担第4.2款约定的责任。</w:t>
      </w:r>
    </w:p>
    <w:p w14:paraId="279EDBC4">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6.3.3 当监理人无正当理由未履行本合同约定的义务时，委托人应通知监理人限期改正。若委托人在监理人接到通知后的7天内未收到监理人书面形式的合理解释，则可在7天内发出解除本合同的通知，自通知到达监理人时本合同解除。委托人应将监理与相关服务</w:t>
      </w:r>
      <w:r>
        <w:rPr>
          <w:rFonts w:hint="eastAsia" w:ascii="宋体" w:hAnsi="宋体"/>
          <w:kern w:val="0"/>
          <w:sz w:val="24"/>
          <w:szCs w:val="24"/>
          <w:highlight w:val="none"/>
        </w:rPr>
        <w:t>的</w:t>
      </w:r>
      <w:r>
        <w:rPr>
          <w:rFonts w:hint="eastAsia" w:ascii="宋体" w:hAnsi="宋体"/>
          <w:sz w:val="24"/>
          <w:szCs w:val="24"/>
          <w:highlight w:val="none"/>
        </w:rPr>
        <w:t>酬金支付至</w:t>
      </w:r>
      <w:r>
        <w:rPr>
          <w:rFonts w:hint="eastAsia" w:ascii="宋体" w:hAnsi="宋体"/>
          <w:kern w:val="0"/>
          <w:sz w:val="24"/>
          <w:szCs w:val="24"/>
          <w:highlight w:val="none"/>
        </w:rPr>
        <w:t>限期改正通知到达监理人之日</w:t>
      </w:r>
      <w:r>
        <w:rPr>
          <w:rFonts w:hint="eastAsia" w:ascii="宋体" w:hAnsi="宋体"/>
          <w:sz w:val="24"/>
          <w:szCs w:val="24"/>
          <w:highlight w:val="none"/>
        </w:rPr>
        <w:t>，但监理人应承担第4.1款约定的责任。</w:t>
      </w:r>
    </w:p>
    <w:p w14:paraId="4946CEE7">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6.3.4 监理人在专用条件5.3中约定的支付之日起28天后仍未收到委托人按本合同约定应付的款项，可向委托人发出催付通知。委托人接到通知14天后仍未支付或未提出监理人可以接受的延期支付安排，监理人可向委托人发出暂停工作的通知并可自行暂停全部或部分工作。暂停工作后14天内监理人仍未获得委托人应付酬金或委托人的合理答复，监理人可向委托人发出解除本合同的通知，自通知到达委托人时本合同解除。委托人应承担第4.2.3款约定的责任。</w:t>
      </w:r>
    </w:p>
    <w:p w14:paraId="6CA8451B">
      <w:pPr>
        <w:snapToGrid w:val="0"/>
        <w:spacing w:line="360" w:lineRule="auto"/>
        <w:ind w:firstLine="480" w:firstLineChars="200"/>
        <w:rPr>
          <w:rFonts w:ascii="宋体" w:hAnsi="宋体"/>
          <w:kern w:val="0"/>
          <w:sz w:val="24"/>
          <w:szCs w:val="24"/>
          <w:highlight w:val="none"/>
        </w:rPr>
      </w:pPr>
      <w:r>
        <w:rPr>
          <w:rFonts w:hint="eastAsia" w:ascii="宋体" w:hAnsi="宋体"/>
          <w:sz w:val="24"/>
          <w:szCs w:val="24"/>
          <w:highlight w:val="none"/>
        </w:rPr>
        <w:t>6.3.5 因不可抗力致使本合同部分或全部不能履行时，一方应立即通知另一方，可暂停或解除本合同。</w:t>
      </w:r>
    </w:p>
    <w:p w14:paraId="3210635E">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6.3.6 本合同解除后，本合同约定的有关结算、清理、争议解决方式的条件仍然有效。</w:t>
      </w:r>
    </w:p>
    <w:p w14:paraId="7F3C4DAA">
      <w:pPr>
        <w:snapToGrid w:val="0"/>
        <w:spacing w:line="360" w:lineRule="auto"/>
        <w:ind w:left="210" w:leftChars="100"/>
        <w:rPr>
          <w:rFonts w:ascii="宋体" w:hAnsi="宋体"/>
          <w:sz w:val="24"/>
          <w:szCs w:val="24"/>
          <w:highlight w:val="none"/>
        </w:rPr>
      </w:pPr>
      <w:r>
        <w:rPr>
          <w:rFonts w:hint="eastAsia" w:ascii="宋体" w:hAnsi="宋体"/>
          <w:sz w:val="24"/>
          <w:szCs w:val="24"/>
          <w:highlight w:val="none"/>
        </w:rPr>
        <w:t>6.4 终止</w:t>
      </w:r>
    </w:p>
    <w:p w14:paraId="21F089AC">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以下条件全部满足时，本合同即告终止：</w:t>
      </w:r>
    </w:p>
    <w:p w14:paraId="3889DDD3">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（1）监理人完成本合同约定的全部工作；</w:t>
      </w:r>
    </w:p>
    <w:p w14:paraId="01C62EBE">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（2）委托人与监理人结清并支付全部酬金。</w:t>
      </w:r>
    </w:p>
    <w:p w14:paraId="4640BABE">
      <w:pPr>
        <w:snapToGrid w:val="0"/>
        <w:spacing w:line="360" w:lineRule="auto"/>
        <w:rPr>
          <w:rFonts w:ascii="宋体" w:hAnsi="宋体"/>
          <w:b/>
          <w:bCs/>
          <w:sz w:val="24"/>
          <w:szCs w:val="24"/>
          <w:highlight w:val="none"/>
        </w:rPr>
      </w:pPr>
      <w:r>
        <w:rPr>
          <w:rFonts w:hint="eastAsia" w:ascii="宋体" w:hAnsi="宋体"/>
          <w:b/>
          <w:bCs/>
          <w:sz w:val="24"/>
          <w:szCs w:val="24"/>
          <w:highlight w:val="none"/>
        </w:rPr>
        <w:t>7. 争议解决</w:t>
      </w:r>
    </w:p>
    <w:p w14:paraId="3322BE10">
      <w:pPr>
        <w:snapToGrid w:val="0"/>
        <w:spacing w:line="360" w:lineRule="auto"/>
        <w:ind w:left="210" w:leftChars="100"/>
        <w:rPr>
          <w:rFonts w:ascii="宋体" w:hAnsi="宋体"/>
          <w:sz w:val="24"/>
          <w:szCs w:val="24"/>
          <w:highlight w:val="none"/>
        </w:rPr>
      </w:pPr>
      <w:r>
        <w:rPr>
          <w:rFonts w:hint="eastAsia" w:ascii="宋体" w:hAnsi="宋体"/>
          <w:sz w:val="24"/>
          <w:szCs w:val="24"/>
          <w:highlight w:val="none"/>
        </w:rPr>
        <w:t>7.1协商</w:t>
      </w:r>
    </w:p>
    <w:p w14:paraId="08F00484">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双方应本着诚信原则协商解决彼此间的争议。</w:t>
      </w:r>
    </w:p>
    <w:p w14:paraId="5E90E189">
      <w:pPr>
        <w:snapToGrid w:val="0"/>
        <w:spacing w:line="360" w:lineRule="auto"/>
        <w:ind w:left="210" w:leftChars="100"/>
        <w:rPr>
          <w:rFonts w:ascii="宋体" w:hAnsi="宋体"/>
          <w:sz w:val="24"/>
          <w:szCs w:val="24"/>
          <w:highlight w:val="none"/>
        </w:rPr>
      </w:pPr>
      <w:r>
        <w:rPr>
          <w:rFonts w:hint="eastAsia" w:ascii="宋体" w:hAnsi="宋体"/>
          <w:sz w:val="24"/>
          <w:szCs w:val="24"/>
          <w:highlight w:val="none"/>
        </w:rPr>
        <w:t>7.2调解</w:t>
      </w:r>
    </w:p>
    <w:p w14:paraId="3A5AAA5E">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如果双方不能在14天内或双方商定的其他时间内解决本合同争议，可以将其提交给专用条件约定的或事后达成协议的调解人进行调解。</w:t>
      </w:r>
    </w:p>
    <w:p w14:paraId="22198475">
      <w:pPr>
        <w:snapToGrid w:val="0"/>
        <w:spacing w:line="360" w:lineRule="auto"/>
        <w:ind w:left="210" w:leftChars="100"/>
        <w:rPr>
          <w:rFonts w:ascii="宋体" w:hAnsi="宋体"/>
          <w:sz w:val="24"/>
          <w:szCs w:val="24"/>
          <w:highlight w:val="none"/>
        </w:rPr>
      </w:pPr>
      <w:r>
        <w:rPr>
          <w:rFonts w:hint="eastAsia" w:ascii="宋体" w:hAnsi="宋体"/>
          <w:sz w:val="24"/>
          <w:szCs w:val="24"/>
          <w:highlight w:val="none"/>
        </w:rPr>
        <w:t>7.3仲裁或诉讼</w:t>
      </w:r>
    </w:p>
    <w:p w14:paraId="61443770">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双方均有权不经调解直接向专用条件约定的仲裁机构申请仲裁或向有管辖权的人民法院提起诉讼。</w:t>
      </w:r>
    </w:p>
    <w:p w14:paraId="225DCC80">
      <w:pPr>
        <w:snapToGrid w:val="0"/>
        <w:spacing w:line="360" w:lineRule="auto"/>
        <w:rPr>
          <w:rFonts w:ascii="宋体" w:hAnsi="宋体"/>
          <w:b/>
          <w:bCs/>
          <w:sz w:val="24"/>
          <w:szCs w:val="24"/>
          <w:highlight w:val="none"/>
        </w:rPr>
      </w:pPr>
      <w:r>
        <w:rPr>
          <w:rFonts w:hint="eastAsia" w:ascii="宋体" w:hAnsi="宋体"/>
          <w:b/>
          <w:bCs/>
          <w:sz w:val="24"/>
          <w:szCs w:val="24"/>
          <w:highlight w:val="none"/>
        </w:rPr>
        <w:t>8. 其他</w:t>
      </w:r>
    </w:p>
    <w:p w14:paraId="4FBC8E98">
      <w:pPr>
        <w:spacing w:line="360" w:lineRule="auto"/>
        <w:ind w:left="210" w:leftChars="100"/>
        <w:rPr>
          <w:rFonts w:ascii="宋体" w:hAnsi="宋体"/>
          <w:sz w:val="24"/>
          <w:szCs w:val="24"/>
          <w:highlight w:val="none"/>
        </w:rPr>
      </w:pPr>
      <w:r>
        <w:rPr>
          <w:rFonts w:hint="eastAsia" w:ascii="宋体" w:hAnsi="宋体"/>
          <w:sz w:val="24"/>
          <w:szCs w:val="24"/>
          <w:highlight w:val="none"/>
        </w:rPr>
        <w:t>8.1 外出考察费用</w:t>
      </w:r>
    </w:p>
    <w:p w14:paraId="2F636FCD">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经委托人同意，监理人员外出考察发生的费用由委托人审核后支付。</w:t>
      </w:r>
    </w:p>
    <w:p w14:paraId="0CCC7659">
      <w:pPr>
        <w:snapToGrid w:val="0"/>
        <w:spacing w:line="360" w:lineRule="auto"/>
        <w:ind w:left="210" w:leftChars="100"/>
        <w:rPr>
          <w:rFonts w:ascii="宋体" w:hAnsi="宋体"/>
          <w:sz w:val="24"/>
          <w:szCs w:val="24"/>
          <w:highlight w:val="none"/>
        </w:rPr>
      </w:pPr>
      <w:r>
        <w:rPr>
          <w:rFonts w:hint="eastAsia" w:ascii="宋体" w:hAnsi="宋体"/>
          <w:sz w:val="24"/>
          <w:szCs w:val="24"/>
          <w:highlight w:val="none"/>
        </w:rPr>
        <w:t>8.2 检测费用</w:t>
      </w:r>
    </w:p>
    <w:p w14:paraId="7FF7B3D1">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委托人要求监理人进行的材料和设备检测所发生的费用，由委托人支付，支付时间在专用条件中约定。</w:t>
      </w:r>
    </w:p>
    <w:p w14:paraId="3142B41D">
      <w:pPr>
        <w:snapToGrid w:val="0"/>
        <w:spacing w:line="360" w:lineRule="auto"/>
        <w:ind w:left="210" w:leftChars="100"/>
        <w:rPr>
          <w:rFonts w:ascii="宋体" w:hAnsi="宋体"/>
          <w:sz w:val="24"/>
          <w:szCs w:val="24"/>
          <w:highlight w:val="none"/>
        </w:rPr>
      </w:pPr>
      <w:r>
        <w:rPr>
          <w:rFonts w:hint="eastAsia" w:ascii="宋体" w:hAnsi="宋体"/>
          <w:sz w:val="24"/>
          <w:szCs w:val="24"/>
          <w:highlight w:val="none"/>
        </w:rPr>
        <w:t>8.3 咨询费用</w:t>
      </w:r>
    </w:p>
    <w:p w14:paraId="2303DAEE">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经委托人同意，根据工程需要由监理人组织的相关咨询论证会以及聘请相关专家等发生的费用由委托人支付，支付时间在专用条件中约定。</w:t>
      </w:r>
    </w:p>
    <w:p w14:paraId="3AA1FCEB">
      <w:pPr>
        <w:snapToGrid w:val="0"/>
        <w:spacing w:line="360" w:lineRule="auto"/>
        <w:ind w:left="210" w:leftChars="100"/>
        <w:rPr>
          <w:rFonts w:ascii="宋体" w:hAnsi="宋体"/>
          <w:sz w:val="24"/>
          <w:szCs w:val="24"/>
          <w:highlight w:val="none"/>
        </w:rPr>
      </w:pPr>
      <w:r>
        <w:rPr>
          <w:rFonts w:hint="eastAsia" w:ascii="宋体" w:hAnsi="宋体"/>
          <w:sz w:val="24"/>
          <w:szCs w:val="24"/>
          <w:highlight w:val="none"/>
        </w:rPr>
        <w:t>8.4 奖励</w:t>
      </w:r>
    </w:p>
    <w:p w14:paraId="0526E37F">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监理人在服务过程中提出的合理化建议，使委托人获得经济效益的，双方在专用条件中约定奖励金额的确定方法。奖励金额在合理化建议被采纳后，与最近一期的正常工作酬金同期支付。</w:t>
      </w:r>
    </w:p>
    <w:p w14:paraId="0707075E">
      <w:pPr>
        <w:snapToGrid w:val="0"/>
        <w:spacing w:line="360" w:lineRule="auto"/>
        <w:ind w:left="210" w:leftChars="100"/>
        <w:rPr>
          <w:rFonts w:ascii="宋体" w:hAnsi="宋体"/>
          <w:sz w:val="24"/>
          <w:szCs w:val="24"/>
          <w:highlight w:val="none"/>
        </w:rPr>
      </w:pPr>
      <w:r>
        <w:rPr>
          <w:rFonts w:hint="eastAsia" w:ascii="宋体" w:hAnsi="宋体"/>
          <w:sz w:val="24"/>
          <w:szCs w:val="24"/>
          <w:highlight w:val="none"/>
        </w:rPr>
        <w:t>8.5 守法诚信</w:t>
      </w:r>
    </w:p>
    <w:p w14:paraId="03A70E33">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监理人及其工作人员不得从与实施工程有关的第三方处获得任何经济利益。</w:t>
      </w:r>
    </w:p>
    <w:p w14:paraId="63B1C6A3">
      <w:pPr>
        <w:snapToGrid w:val="0"/>
        <w:spacing w:line="360" w:lineRule="auto"/>
        <w:ind w:left="210" w:leftChars="100"/>
        <w:rPr>
          <w:rFonts w:ascii="宋体" w:hAnsi="宋体"/>
          <w:sz w:val="24"/>
          <w:szCs w:val="24"/>
          <w:highlight w:val="none"/>
        </w:rPr>
      </w:pPr>
      <w:r>
        <w:rPr>
          <w:rFonts w:hint="eastAsia" w:ascii="宋体" w:hAnsi="宋体"/>
          <w:sz w:val="24"/>
          <w:szCs w:val="24"/>
          <w:highlight w:val="none"/>
        </w:rPr>
        <w:t>8.6 保密</w:t>
      </w:r>
    </w:p>
    <w:p w14:paraId="2A714961">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双方不得泄露对方申明的保密资料，亦不得泄露与实施工程有关的第三方所提供的保密资料，保密事项在专用条件中约定。</w:t>
      </w:r>
    </w:p>
    <w:p w14:paraId="1B962A0E">
      <w:pPr>
        <w:snapToGrid w:val="0"/>
        <w:spacing w:line="360" w:lineRule="auto"/>
        <w:ind w:left="210" w:leftChars="100"/>
        <w:rPr>
          <w:rFonts w:ascii="宋体" w:hAnsi="宋体"/>
          <w:sz w:val="24"/>
          <w:szCs w:val="24"/>
          <w:highlight w:val="none"/>
        </w:rPr>
      </w:pPr>
      <w:r>
        <w:rPr>
          <w:rFonts w:hint="eastAsia" w:ascii="宋体" w:hAnsi="宋体"/>
          <w:sz w:val="24"/>
          <w:szCs w:val="24"/>
          <w:highlight w:val="none"/>
        </w:rPr>
        <w:t>8.7 通知</w:t>
      </w:r>
    </w:p>
    <w:p w14:paraId="1FD959E7">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本合同涉及的通知均应当采用书面形式，并在送达对方时生效，收件人应书面签收。</w:t>
      </w:r>
    </w:p>
    <w:p w14:paraId="23FCEB77">
      <w:pPr>
        <w:snapToGrid w:val="0"/>
        <w:spacing w:line="360" w:lineRule="auto"/>
        <w:ind w:left="210" w:leftChars="100"/>
        <w:rPr>
          <w:rFonts w:ascii="宋体" w:hAnsi="宋体"/>
          <w:sz w:val="24"/>
          <w:szCs w:val="24"/>
          <w:highlight w:val="none"/>
        </w:rPr>
      </w:pPr>
      <w:r>
        <w:rPr>
          <w:rFonts w:hint="eastAsia" w:ascii="宋体" w:hAnsi="宋体"/>
          <w:sz w:val="24"/>
          <w:szCs w:val="24"/>
          <w:highlight w:val="none"/>
        </w:rPr>
        <w:t>8.8 著作权</w:t>
      </w:r>
    </w:p>
    <w:p w14:paraId="0D046D0A">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监理人对其编制的文件拥有著作权。</w:t>
      </w:r>
    </w:p>
    <w:p w14:paraId="1969AD7F">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监理人可单独或与他人联合出版有关监理与相关服务的资料。除专用条件另有约定外，如果监理人在本合同履行期间及本合同终止后两年内出版涉及本工程的有关监理与相关服务的资料，应当征得委托人的同意。</w:t>
      </w:r>
    </w:p>
    <w:p w14:paraId="34AA6F79">
      <w:pPr>
        <w:snapToGrid w:val="0"/>
        <w:spacing w:line="360" w:lineRule="auto"/>
        <w:ind w:firstLine="480" w:firstLineChars="200"/>
        <w:rPr>
          <w:rFonts w:ascii="宋体" w:hAnsi="宋体"/>
          <w:sz w:val="24"/>
          <w:szCs w:val="24"/>
          <w:highlight w:val="none"/>
        </w:rPr>
      </w:pPr>
    </w:p>
    <w:p w14:paraId="687A215D">
      <w:pPr>
        <w:widowControl/>
        <w:jc w:val="center"/>
        <w:rPr>
          <w:rFonts w:ascii="华文中宋" w:hAnsi="华文中宋" w:eastAsia="华文中宋"/>
          <w:b/>
          <w:bCs/>
          <w:sz w:val="32"/>
          <w:szCs w:val="32"/>
          <w:highlight w:val="none"/>
        </w:rPr>
      </w:pPr>
      <w:r>
        <w:rPr>
          <w:rFonts w:hint="eastAsia" w:ascii="华文中宋" w:hAnsi="华文中宋" w:eastAsia="华文中宋"/>
          <w:b/>
          <w:bCs/>
          <w:sz w:val="32"/>
          <w:szCs w:val="32"/>
          <w:highlight w:val="none"/>
        </w:rPr>
        <w:t>第三部分  专用条件</w:t>
      </w:r>
    </w:p>
    <w:p w14:paraId="1C5243CA">
      <w:pPr>
        <w:adjustRightInd w:val="0"/>
        <w:snapToGrid w:val="0"/>
        <w:spacing w:line="360" w:lineRule="auto"/>
        <w:rPr>
          <w:rFonts w:ascii="宋体" w:hAnsi="宋体"/>
          <w:b/>
          <w:bCs/>
          <w:sz w:val="24"/>
          <w:szCs w:val="24"/>
          <w:highlight w:val="none"/>
        </w:rPr>
      </w:pPr>
      <w:r>
        <w:rPr>
          <w:rFonts w:hint="eastAsia" w:ascii="宋体" w:hAnsi="宋体"/>
          <w:b/>
          <w:bCs/>
          <w:sz w:val="24"/>
          <w:szCs w:val="24"/>
          <w:highlight w:val="none"/>
        </w:rPr>
        <w:t>1. 定义与解释</w:t>
      </w:r>
    </w:p>
    <w:p w14:paraId="28397091">
      <w:pPr>
        <w:adjustRightInd w:val="0"/>
        <w:snapToGrid w:val="0"/>
        <w:spacing w:line="360" w:lineRule="auto"/>
        <w:rPr>
          <w:rFonts w:ascii="宋体" w:hAnsi="宋体"/>
          <w:sz w:val="24"/>
          <w:szCs w:val="24"/>
          <w:highlight w:val="none"/>
        </w:rPr>
      </w:pPr>
      <w:r>
        <w:rPr>
          <w:rFonts w:hint="eastAsia" w:ascii="宋体" w:hAnsi="宋体"/>
          <w:sz w:val="24"/>
          <w:szCs w:val="24"/>
          <w:highlight w:val="none"/>
        </w:rPr>
        <w:t xml:space="preserve">  1.2  解释</w:t>
      </w:r>
    </w:p>
    <w:p w14:paraId="4ADDEEBA">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1.2.1 本合同文件除使用中文外，还可用</w:t>
      </w:r>
      <w:r>
        <w:rPr>
          <w:rFonts w:hint="eastAsia" w:ascii="宋体" w:hAnsi="宋体"/>
          <w:sz w:val="24"/>
          <w:szCs w:val="24"/>
          <w:highlight w:val="none"/>
          <w:u w:val="single"/>
        </w:rPr>
        <w:t xml:space="preserve">  无  </w:t>
      </w:r>
      <w:r>
        <w:rPr>
          <w:rFonts w:hint="eastAsia" w:ascii="宋体" w:hAnsi="宋体"/>
          <w:sz w:val="24"/>
          <w:szCs w:val="24"/>
          <w:highlight w:val="none"/>
        </w:rPr>
        <w:t>。</w:t>
      </w:r>
    </w:p>
    <w:p w14:paraId="4F35E20C">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1.2.2 约定本合同文件的解释顺序为：</w:t>
      </w:r>
    </w:p>
    <w:p w14:paraId="50448F8E">
      <w:pPr>
        <w:adjustRightInd w:val="0"/>
        <w:snapToGrid w:val="0"/>
        <w:spacing w:line="360" w:lineRule="auto"/>
        <w:ind w:firstLine="475" w:firstLineChars="198"/>
        <w:rPr>
          <w:rFonts w:ascii="宋体" w:hAnsi="宋体"/>
          <w:sz w:val="24"/>
          <w:szCs w:val="24"/>
          <w:highlight w:val="none"/>
          <w:u w:val="single"/>
        </w:rPr>
      </w:pPr>
      <w:r>
        <w:rPr>
          <w:rFonts w:hint="eastAsia" w:ascii="宋体" w:hAnsi="宋体"/>
          <w:sz w:val="24"/>
          <w:szCs w:val="24"/>
          <w:highlight w:val="none"/>
          <w:u w:val="single"/>
        </w:rPr>
        <w:t>1. 协议书；</w:t>
      </w:r>
    </w:p>
    <w:p w14:paraId="2517A448">
      <w:pPr>
        <w:adjustRightInd w:val="0"/>
        <w:snapToGrid w:val="0"/>
        <w:spacing w:line="360" w:lineRule="auto"/>
        <w:ind w:firstLine="475" w:firstLineChars="198"/>
        <w:rPr>
          <w:rFonts w:ascii="宋体" w:hAnsi="宋体"/>
          <w:sz w:val="24"/>
          <w:szCs w:val="24"/>
          <w:highlight w:val="none"/>
          <w:u w:val="single"/>
        </w:rPr>
      </w:pPr>
      <w:r>
        <w:rPr>
          <w:rFonts w:hint="eastAsia" w:ascii="宋体" w:hAnsi="宋体"/>
          <w:sz w:val="24"/>
          <w:szCs w:val="24"/>
          <w:highlight w:val="none"/>
          <w:u w:val="single"/>
        </w:rPr>
        <w:t>2. 中标通知书</w:t>
      </w:r>
    </w:p>
    <w:p w14:paraId="23CF3698">
      <w:pPr>
        <w:adjustRightInd w:val="0"/>
        <w:snapToGrid w:val="0"/>
        <w:spacing w:line="360" w:lineRule="auto"/>
        <w:ind w:firstLine="475" w:firstLineChars="198"/>
        <w:rPr>
          <w:rFonts w:ascii="宋体" w:hAnsi="宋体"/>
          <w:sz w:val="24"/>
          <w:szCs w:val="24"/>
          <w:highlight w:val="none"/>
          <w:u w:val="single"/>
        </w:rPr>
      </w:pPr>
      <w:r>
        <w:rPr>
          <w:rFonts w:hint="eastAsia" w:ascii="宋体" w:hAnsi="宋体"/>
          <w:sz w:val="24"/>
          <w:szCs w:val="24"/>
          <w:highlight w:val="none"/>
          <w:u w:val="single"/>
        </w:rPr>
        <w:t>3. 专用条件；</w:t>
      </w:r>
    </w:p>
    <w:p w14:paraId="31B0E070">
      <w:pPr>
        <w:adjustRightInd w:val="0"/>
        <w:snapToGrid w:val="0"/>
        <w:spacing w:line="360" w:lineRule="auto"/>
        <w:ind w:firstLine="480" w:firstLineChars="200"/>
        <w:rPr>
          <w:rFonts w:ascii="宋体" w:hAnsi="宋体"/>
          <w:sz w:val="24"/>
          <w:szCs w:val="24"/>
          <w:highlight w:val="none"/>
          <w:u w:val="single"/>
        </w:rPr>
      </w:pPr>
      <w:r>
        <w:rPr>
          <w:rFonts w:hint="eastAsia" w:ascii="宋体" w:hAnsi="宋体"/>
          <w:sz w:val="24"/>
          <w:szCs w:val="24"/>
          <w:highlight w:val="none"/>
          <w:u w:val="single"/>
        </w:rPr>
        <w:t>4. 通用条件；</w:t>
      </w:r>
    </w:p>
    <w:p w14:paraId="0929F22A">
      <w:pPr>
        <w:adjustRightInd w:val="0"/>
        <w:snapToGrid w:val="0"/>
        <w:spacing w:line="360" w:lineRule="auto"/>
        <w:ind w:firstLine="475" w:firstLineChars="198"/>
        <w:rPr>
          <w:rFonts w:ascii="宋体" w:hAnsi="宋体"/>
          <w:sz w:val="24"/>
          <w:szCs w:val="24"/>
          <w:highlight w:val="none"/>
          <w:u w:val="single"/>
        </w:rPr>
      </w:pPr>
      <w:r>
        <w:rPr>
          <w:rFonts w:hint="eastAsia" w:ascii="宋体" w:hAnsi="宋体"/>
          <w:sz w:val="24"/>
          <w:szCs w:val="24"/>
          <w:highlight w:val="none"/>
          <w:u w:val="single"/>
        </w:rPr>
        <w:t xml:space="preserve">5. </w:t>
      </w:r>
      <w:r>
        <w:rPr>
          <w:rFonts w:hint="eastAsia" w:ascii="宋体" w:hAnsi="宋体"/>
          <w:sz w:val="24"/>
          <w:szCs w:val="24"/>
          <w:highlight w:val="none"/>
          <w:u w:val="single"/>
          <w:lang w:eastAsia="zh-CN"/>
        </w:rPr>
        <w:t>磋商</w:t>
      </w:r>
      <w:r>
        <w:rPr>
          <w:rFonts w:hint="eastAsia" w:ascii="宋体" w:hAnsi="宋体"/>
          <w:sz w:val="24"/>
          <w:szCs w:val="24"/>
          <w:highlight w:val="none"/>
          <w:u w:val="single"/>
        </w:rPr>
        <w:t>文件</w:t>
      </w:r>
    </w:p>
    <w:p w14:paraId="00DA5509">
      <w:pPr>
        <w:adjustRightInd w:val="0"/>
        <w:snapToGrid w:val="0"/>
        <w:spacing w:line="360" w:lineRule="auto"/>
        <w:ind w:firstLine="475" w:firstLineChars="198"/>
        <w:rPr>
          <w:rFonts w:ascii="宋体" w:hAnsi="宋体"/>
          <w:sz w:val="24"/>
          <w:szCs w:val="24"/>
          <w:highlight w:val="none"/>
          <w:u w:val="single"/>
        </w:rPr>
      </w:pPr>
      <w:r>
        <w:rPr>
          <w:rFonts w:hint="eastAsia" w:ascii="宋体" w:hAnsi="宋体"/>
          <w:sz w:val="24"/>
          <w:szCs w:val="24"/>
          <w:highlight w:val="none"/>
          <w:u w:val="single"/>
        </w:rPr>
        <w:t xml:space="preserve">6. </w:t>
      </w:r>
      <w:r>
        <w:rPr>
          <w:rFonts w:hint="eastAsia" w:ascii="宋体" w:hAnsi="宋体"/>
          <w:sz w:val="24"/>
          <w:szCs w:val="24"/>
          <w:highlight w:val="none"/>
          <w:u w:val="single"/>
          <w:lang w:eastAsia="zh-CN"/>
        </w:rPr>
        <w:t>响应</w:t>
      </w:r>
      <w:r>
        <w:rPr>
          <w:rFonts w:hint="eastAsia" w:ascii="宋体" w:hAnsi="宋体"/>
          <w:sz w:val="24"/>
          <w:szCs w:val="24"/>
          <w:highlight w:val="none"/>
          <w:u w:val="single"/>
        </w:rPr>
        <w:t>文件</w:t>
      </w:r>
    </w:p>
    <w:p w14:paraId="689D2717">
      <w:pPr>
        <w:adjustRightInd w:val="0"/>
        <w:snapToGrid w:val="0"/>
        <w:spacing w:line="360" w:lineRule="auto"/>
        <w:ind w:firstLine="475" w:firstLineChars="198"/>
        <w:rPr>
          <w:rFonts w:ascii="宋体" w:hAnsi="宋体"/>
          <w:sz w:val="24"/>
          <w:szCs w:val="24"/>
          <w:highlight w:val="none"/>
          <w:u w:val="single"/>
        </w:rPr>
      </w:pPr>
      <w:r>
        <w:rPr>
          <w:rFonts w:hint="eastAsia" w:ascii="宋体" w:hAnsi="宋体"/>
          <w:sz w:val="24"/>
          <w:szCs w:val="24"/>
          <w:highlight w:val="none"/>
          <w:u w:val="single"/>
        </w:rPr>
        <w:t>7.附录，即：</w:t>
      </w:r>
    </w:p>
    <w:p w14:paraId="65B3105C">
      <w:pPr>
        <w:adjustRightInd w:val="0"/>
        <w:snapToGrid w:val="0"/>
        <w:spacing w:line="360" w:lineRule="auto"/>
        <w:ind w:firstLine="475" w:firstLineChars="198"/>
        <w:rPr>
          <w:rFonts w:ascii="宋体" w:hAnsi="宋体"/>
          <w:sz w:val="24"/>
          <w:szCs w:val="24"/>
          <w:highlight w:val="none"/>
          <w:u w:val="single"/>
        </w:rPr>
      </w:pPr>
      <w:r>
        <w:rPr>
          <w:rFonts w:hint="eastAsia" w:ascii="宋体" w:hAnsi="宋体"/>
          <w:sz w:val="24"/>
          <w:szCs w:val="24"/>
          <w:highlight w:val="none"/>
          <w:u w:val="single"/>
        </w:rPr>
        <w:t>附录A  相关服务的范围和内容</w:t>
      </w:r>
    </w:p>
    <w:p w14:paraId="452F23C7">
      <w:pPr>
        <w:adjustRightInd w:val="0"/>
        <w:snapToGrid w:val="0"/>
        <w:spacing w:line="360" w:lineRule="auto"/>
        <w:ind w:firstLine="480" w:firstLineChars="200"/>
        <w:rPr>
          <w:rFonts w:ascii="宋体" w:hAnsi="宋体"/>
          <w:sz w:val="24"/>
          <w:szCs w:val="24"/>
          <w:highlight w:val="none"/>
          <w:u w:val="single"/>
        </w:rPr>
      </w:pPr>
      <w:r>
        <w:rPr>
          <w:rFonts w:hint="eastAsia" w:ascii="宋体" w:hAnsi="宋体"/>
          <w:sz w:val="24"/>
          <w:szCs w:val="24"/>
          <w:highlight w:val="none"/>
          <w:u w:val="single"/>
        </w:rPr>
        <w:t>附录B  委托人派遣的人员和提供的房屋、资料、设备</w:t>
      </w:r>
    </w:p>
    <w:p w14:paraId="6F111323">
      <w:pPr>
        <w:adjustRightInd w:val="0"/>
        <w:snapToGrid w:val="0"/>
        <w:spacing w:line="360" w:lineRule="auto"/>
        <w:rPr>
          <w:rFonts w:ascii="宋体" w:hAnsi="宋体"/>
          <w:b/>
          <w:bCs/>
          <w:sz w:val="24"/>
          <w:szCs w:val="24"/>
          <w:highlight w:val="none"/>
        </w:rPr>
      </w:pPr>
      <w:r>
        <w:rPr>
          <w:rFonts w:hint="eastAsia" w:ascii="宋体" w:hAnsi="宋体"/>
          <w:b/>
          <w:bCs/>
          <w:sz w:val="24"/>
          <w:szCs w:val="24"/>
          <w:highlight w:val="none"/>
        </w:rPr>
        <w:t>2. 监理人义务</w:t>
      </w:r>
    </w:p>
    <w:p w14:paraId="7A946B4A">
      <w:pPr>
        <w:adjustRightInd w:val="0"/>
        <w:snapToGrid w:val="0"/>
        <w:spacing w:line="360" w:lineRule="auto"/>
        <w:ind w:firstLine="235" w:firstLineChars="98"/>
        <w:rPr>
          <w:rFonts w:ascii="宋体" w:hAnsi="宋体"/>
          <w:sz w:val="24"/>
          <w:szCs w:val="24"/>
          <w:highlight w:val="none"/>
        </w:rPr>
      </w:pPr>
      <w:r>
        <w:rPr>
          <w:rFonts w:hint="eastAsia" w:ascii="宋体" w:hAnsi="宋体"/>
          <w:sz w:val="24"/>
          <w:szCs w:val="24"/>
          <w:highlight w:val="none"/>
        </w:rPr>
        <w:t>2.1 监理的范围和内容</w:t>
      </w:r>
    </w:p>
    <w:p w14:paraId="6952E912">
      <w:pPr>
        <w:snapToGrid w:val="0"/>
        <w:spacing w:line="544" w:lineRule="atLeast"/>
        <w:ind w:firstLine="480" w:firstLineChars="200"/>
        <w:textAlignment w:val="baseline"/>
        <w:rPr>
          <w:rFonts w:hint="default" w:ascii="宋体" w:hAnsi="宋体" w:eastAsiaTheme="minorEastAsia"/>
          <w:sz w:val="24"/>
          <w:szCs w:val="24"/>
          <w:highlight w:val="none"/>
          <w:u w:val="single"/>
          <w:lang w:val="en-US" w:eastAsia="zh-CN"/>
        </w:rPr>
      </w:pPr>
      <w:r>
        <w:rPr>
          <w:rFonts w:hint="eastAsia" w:ascii="宋体" w:hAnsi="宋体"/>
          <w:sz w:val="24"/>
          <w:szCs w:val="24"/>
          <w:highlight w:val="none"/>
          <w:u w:val="single"/>
        </w:rPr>
        <w:t>2.1.1 监理范围包括：</w:t>
      </w:r>
      <w:r>
        <w:rPr>
          <w:rFonts w:hint="eastAsia" w:ascii="宋体" w:hAnsi="宋体"/>
          <w:sz w:val="24"/>
          <w:szCs w:val="24"/>
          <w:highlight w:val="none"/>
          <w:u w:val="single"/>
          <w:lang w:val="en-US" w:eastAsia="zh-CN"/>
        </w:rPr>
        <w:t xml:space="preserve">                      </w:t>
      </w:r>
    </w:p>
    <w:p w14:paraId="0FDF8970">
      <w:pPr>
        <w:snapToGrid w:val="0"/>
        <w:spacing w:line="544" w:lineRule="atLeast"/>
        <w:ind w:firstLine="480" w:firstLineChars="200"/>
        <w:textAlignment w:val="baseline"/>
        <w:rPr>
          <w:rFonts w:ascii="宋体" w:hAnsi="宋体"/>
          <w:sz w:val="24"/>
          <w:szCs w:val="24"/>
          <w:highlight w:val="none"/>
          <w:u w:val="single"/>
        </w:rPr>
      </w:pPr>
      <w:r>
        <w:rPr>
          <w:rFonts w:hint="eastAsia" w:ascii="宋体" w:hAnsi="宋体"/>
          <w:sz w:val="24"/>
          <w:szCs w:val="24"/>
          <w:highlight w:val="none"/>
          <w:u w:val="single"/>
        </w:rPr>
        <w:t>包括工程质量、安全文明施工、工程进度及工程投资等方面控制。</w:t>
      </w:r>
    </w:p>
    <w:p w14:paraId="64A95297">
      <w:pPr>
        <w:adjustRightInd w:val="0"/>
        <w:snapToGrid w:val="0"/>
        <w:spacing w:line="580" w:lineRule="exact"/>
        <w:ind w:firstLine="480" w:firstLineChars="200"/>
        <w:rPr>
          <w:rFonts w:hint="default" w:ascii="宋体" w:hAnsi="宋体" w:eastAsiaTheme="minorEastAsia"/>
          <w:sz w:val="24"/>
          <w:szCs w:val="24"/>
          <w:highlight w:val="none"/>
          <w:lang w:val="en-US" w:eastAsia="zh-CN"/>
        </w:rPr>
      </w:pPr>
      <w:r>
        <w:rPr>
          <w:rFonts w:hint="eastAsia" w:ascii="宋体" w:hAnsi="宋体"/>
          <w:sz w:val="24"/>
          <w:szCs w:val="24"/>
          <w:highlight w:val="none"/>
        </w:rPr>
        <w:t>2.1.2 监理工作内容还包括：</w:t>
      </w:r>
      <w:r>
        <w:rPr>
          <w:rFonts w:hint="eastAsia" w:ascii="宋体" w:hAnsi="宋体"/>
          <w:sz w:val="24"/>
          <w:szCs w:val="24"/>
          <w:highlight w:val="none"/>
          <w:u w:val="single"/>
          <w:lang w:val="en-US" w:eastAsia="zh-CN"/>
        </w:rPr>
        <w:t xml:space="preserve">             </w:t>
      </w:r>
    </w:p>
    <w:p w14:paraId="077C0EA1">
      <w:pPr>
        <w:spacing w:line="360" w:lineRule="auto"/>
        <w:ind w:firstLine="235" w:firstLineChars="98"/>
        <w:rPr>
          <w:rFonts w:ascii="宋体" w:hAnsi="宋体"/>
          <w:sz w:val="24"/>
          <w:szCs w:val="24"/>
          <w:highlight w:val="none"/>
        </w:rPr>
      </w:pPr>
      <w:r>
        <w:rPr>
          <w:rFonts w:hint="eastAsia" w:ascii="宋体" w:hAnsi="宋体"/>
          <w:sz w:val="24"/>
          <w:szCs w:val="24"/>
          <w:highlight w:val="none"/>
        </w:rPr>
        <w:t>2.2 监理与相关服务依据</w:t>
      </w:r>
    </w:p>
    <w:p w14:paraId="02FB99BD">
      <w:pPr>
        <w:spacing w:line="360" w:lineRule="auto"/>
        <w:ind w:firstLine="480" w:firstLineChars="200"/>
        <w:rPr>
          <w:rFonts w:ascii="宋体" w:hAnsi="宋体"/>
          <w:sz w:val="24"/>
          <w:szCs w:val="24"/>
          <w:highlight w:val="none"/>
        </w:rPr>
      </w:pPr>
      <w:r>
        <w:rPr>
          <w:rFonts w:hint="eastAsia" w:ascii="宋体" w:hAnsi="宋体"/>
          <w:sz w:val="24"/>
          <w:szCs w:val="24"/>
          <w:highlight w:val="none"/>
        </w:rPr>
        <w:t>2.2.1 监理依据包括：</w:t>
      </w:r>
    </w:p>
    <w:p w14:paraId="52063ECB">
      <w:pPr>
        <w:snapToGrid w:val="0"/>
        <w:spacing w:line="544" w:lineRule="atLeast"/>
        <w:ind w:firstLine="480" w:firstLineChars="200"/>
        <w:textAlignment w:val="baseline"/>
        <w:rPr>
          <w:rFonts w:ascii="宋体" w:hAnsi="宋体"/>
          <w:sz w:val="24"/>
          <w:szCs w:val="24"/>
          <w:highlight w:val="none"/>
          <w:u w:val="single"/>
        </w:rPr>
      </w:pPr>
      <w:r>
        <w:rPr>
          <w:rFonts w:hint="eastAsia" w:ascii="宋体" w:hAnsi="宋体"/>
          <w:sz w:val="24"/>
          <w:szCs w:val="24"/>
          <w:highlight w:val="none"/>
          <w:u w:val="single"/>
        </w:rPr>
        <w:t>1、《建设工程监理规范》</w:t>
      </w:r>
    </w:p>
    <w:p w14:paraId="21E9E730">
      <w:pPr>
        <w:snapToGrid w:val="0"/>
        <w:spacing w:line="544" w:lineRule="atLeast"/>
        <w:ind w:firstLine="480" w:firstLineChars="200"/>
        <w:textAlignment w:val="baseline"/>
        <w:rPr>
          <w:rFonts w:ascii="宋体" w:hAnsi="宋体"/>
          <w:sz w:val="24"/>
          <w:szCs w:val="24"/>
          <w:highlight w:val="none"/>
          <w:u w:val="single"/>
        </w:rPr>
      </w:pPr>
      <w:r>
        <w:rPr>
          <w:rFonts w:hint="eastAsia" w:ascii="宋体" w:hAnsi="宋体"/>
          <w:sz w:val="24"/>
          <w:szCs w:val="24"/>
          <w:highlight w:val="none"/>
          <w:u w:val="single"/>
        </w:rPr>
        <w:t>2、国家和地方现行的有关法律、法规和政策</w:t>
      </w:r>
    </w:p>
    <w:p w14:paraId="24BDD813">
      <w:pPr>
        <w:snapToGrid w:val="0"/>
        <w:spacing w:line="544" w:lineRule="atLeast"/>
        <w:ind w:firstLine="480" w:firstLineChars="200"/>
        <w:textAlignment w:val="baseline"/>
        <w:rPr>
          <w:rFonts w:ascii="宋体" w:hAnsi="宋体"/>
          <w:sz w:val="24"/>
          <w:szCs w:val="24"/>
          <w:highlight w:val="none"/>
          <w:u w:val="single"/>
        </w:rPr>
      </w:pPr>
      <w:r>
        <w:rPr>
          <w:rFonts w:hint="eastAsia" w:ascii="宋体" w:hAnsi="宋体"/>
          <w:sz w:val="24"/>
          <w:szCs w:val="24"/>
          <w:highlight w:val="none"/>
          <w:u w:val="single"/>
        </w:rPr>
        <w:t>3、现行的市政公用工程施工规范、质量标准</w:t>
      </w:r>
    </w:p>
    <w:p w14:paraId="346E39F5">
      <w:pPr>
        <w:snapToGrid w:val="0"/>
        <w:spacing w:line="544" w:lineRule="atLeast"/>
        <w:ind w:firstLine="480" w:firstLineChars="200"/>
        <w:textAlignment w:val="baseline"/>
        <w:rPr>
          <w:rFonts w:ascii="宋体" w:hAnsi="宋体"/>
          <w:sz w:val="24"/>
          <w:szCs w:val="24"/>
          <w:highlight w:val="none"/>
          <w:u w:val="single"/>
        </w:rPr>
      </w:pPr>
      <w:r>
        <w:rPr>
          <w:rFonts w:hint="eastAsia" w:ascii="宋体" w:hAnsi="宋体"/>
          <w:sz w:val="24"/>
          <w:szCs w:val="24"/>
          <w:highlight w:val="none"/>
          <w:u w:val="single"/>
        </w:rPr>
        <w:t>4、经批准的设计文件及图纸</w:t>
      </w:r>
    </w:p>
    <w:p w14:paraId="0C22F6DB">
      <w:pPr>
        <w:snapToGrid w:val="0"/>
        <w:spacing w:line="544" w:lineRule="atLeast"/>
        <w:ind w:firstLine="480" w:firstLineChars="200"/>
        <w:textAlignment w:val="baseline"/>
        <w:rPr>
          <w:rFonts w:ascii="宋体" w:hAnsi="宋体"/>
          <w:sz w:val="24"/>
          <w:szCs w:val="24"/>
          <w:highlight w:val="none"/>
          <w:u w:val="single"/>
        </w:rPr>
      </w:pPr>
      <w:r>
        <w:rPr>
          <w:rFonts w:hint="eastAsia" w:ascii="宋体" w:hAnsi="宋体"/>
          <w:sz w:val="24"/>
          <w:szCs w:val="24"/>
          <w:highlight w:val="none"/>
          <w:u w:val="single"/>
        </w:rPr>
        <w:t>5、业主与承包商签订的施工合同</w:t>
      </w:r>
    </w:p>
    <w:p w14:paraId="03D93C3D">
      <w:pPr>
        <w:snapToGrid w:val="0"/>
        <w:spacing w:line="544" w:lineRule="atLeast"/>
        <w:ind w:firstLine="480" w:firstLineChars="200"/>
        <w:textAlignment w:val="baseline"/>
        <w:rPr>
          <w:rFonts w:ascii="宋体" w:hAnsi="宋体"/>
          <w:sz w:val="24"/>
          <w:szCs w:val="24"/>
          <w:highlight w:val="none"/>
          <w:u w:val="single"/>
        </w:rPr>
      </w:pPr>
      <w:r>
        <w:rPr>
          <w:rFonts w:hint="eastAsia" w:ascii="宋体" w:hAnsi="宋体"/>
          <w:sz w:val="24"/>
          <w:szCs w:val="24"/>
          <w:highlight w:val="none"/>
          <w:u w:val="single"/>
        </w:rPr>
        <w:t>6、业主批准的施工组织设计</w:t>
      </w:r>
    </w:p>
    <w:p w14:paraId="18FA47F5">
      <w:pPr>
        <w:adjustRightInd w:val="0"/>
        <w:snapToGrid w:val="0"/>
        <w:spacing w:line="360" w:lineRule="auto"/>
        <w:ind w:firstLine="240" w:firstLineChars="100"/>
        <w:rPr>
          <w:rFonts w:ascii="宋体" w:hAnsi="宋体"/>
          <w:dstrike/>
          <w:sz w:val="24"/>
          <w:szCs w:val="24"/>
          <w:highlight w:val="none"/>
        </w:rPr>
      </w:pPr>
      <w:r>
        <w:rPr>
          <w:rFonts w:hint="eastAsia" w:ascii="宋体" w:hAnsi="宋体"/>
          <w:sz w:val="24"/>
          <w:szCs w:val="24"/>
          <w:highlight w:val="none"/>
        </w:rPr>
        <w:t>2.2.2 相关服务依据包括：</w:t>
      </w:r>
      <w:r>
        <w:rPr>
          <w:rFonts w:hint="eastAsia" w:ascii="宋体" w:hAnsi="宋体"/>
          <w:sz w:val="24"/>
          <w:szCs w:val="24"/>
          <w:highlight w:val="none"/>
          <w:u w:val="single"/>
        </w:rPr>
        <w:t xml:space="preserve">            /                  </w:t>
      </w:r>
      <w:r>
        <w:rPr>
          <w:rFonts w:hint="eastAsia" w:ascii="宋体" w:hAnsi="宋体"/>
          <w:sz w:val="24"/>
          <w:szCs w:val="24"/>
          <w:highlight w:val="none"/>
        </w:rPr>
        <w:t>。</w:t>
      </w:r>
    </w:p>
    <w:p w14:paraId="0C277982">
      <w:pPr>
        <w:spacing w:line="360" w:lineRule="auto"/>
        <w:rPr>
          <w:rFonts w:ascii="宋体" w:hAnsi="宋体"/>
          <w:sz w:val="24"/>
          <w:szCs w:val="24"/>
          <w:highlight w:val="none"/>
        </w:rPr>
      </w:pPr>
      <w:r>
        <w:rPr>
          <w:rFonts w:hint="eastAsia" w:ascii="宋体" w:hAnsi="宋体"/>
          <w:sz w:val="24"/>
          <w:szCs w:val="24"/>
          <w:highlight w:val="none"/>
        </w:rPr>
        <w:t xml:space="preserve">  2.3</w:t>
      </w:r>
      <w:r>
        <w:rPr>
          <w:rFonts w:hint="eastAsia" w:ascii="宋体" w:hAnsi="宋体"/>
          <w:kern w:val="0"/>
          <w:sz w:val="24"/>
          <w:szCs w:val="24"/>
          <w:highlight w:val="none"/>
        </w:rPr>
        <w:t>项目监理机构和人员</w:t>
      </w:r>
    </w:p>
    <w:p w14:paraId="30991C8D">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 xml:space="preserve">2.3.4 </w:t>
      </w:r>
      <w:r>
        <w:rPr>
          <w:rFonts w:hint="eastAsia" w:ascii="宋体" w:hAnsi="宋体"/>
          <w:kern w:val="0"/>
          <w:sz w:val="24"/>
          <w:szCs w:val="24"/>
          <w:highlight w:val="none"/>
        </w:rPr>
        <w:t>更换监理人员的其他情形：</w:t>
      </w:r>
      <w:r>
        <w:rPr>
          <w:rFonts w:hint="eastAsia" w:ascii="宋体" w:hAnsi="宋体"/>
          <w:kern w:val="0"/>
          <w:sz w:val="24"/>
          <w:szCs w:val="24"/>
          <w:highlight w:val="none"/>
          <w:u w:val="single"/>
        </w:rPr>
        <w:t xml:space="preserve">       /             </w:t>
      </w:r>
      <w:r>
        <w:rPr>
          <w:rFonts w:hint="eastAsia" w:ascii="宋体" w:hAnsi="宋体"/>
          <w:kern w:val="0"/>
          <w:sz w:val="24"/>
          <w:szCs w:val="24"/>
          <w:highlight w:val="none"/>
        </w:rPr>
        <w:t>。</w:t>
      </w:r>
    </w:p>
    <w:p w14:paraId="678066C1">
      <w:pPr>
        <w:spacing w:line="360" w:lineRule="auto"/>
        <w:ind w:firstLine="235" w:firstLineChars="98"/>
        <w:rPr>
          <w:rFonts w:ascii="宋体" w:hAnsi="宋体"/>
          <w:sz w:val="24"/>
          <w:szCs w:val="24"/>
          <w:highlight w:val="none"/>
        </w:rPr>
      </w:pPr>
      <w:r>
        <w:rPr>
          <w:rFonts w:hint="eastAsia" w:ascii="宋体" w:hAnsi="宋体"/>
          <w:sz w:val="24"/>
          <w:szCs w:val="24"/>
          <w:highlight w:val="none"/>
        </w:rPr>
        <w:t xml:space="preserve">2.4 </w:t>
      </w:r>
      <w:r>
        <w:rPr>
          <w:rFonts w:hint="eastAsia" w:ascii="宋体" w:hAnsi="宋体"/>
          <w:kern w:val="0"/>
          <w:sz w:val="24"/>
          <w:szCs w:val="24"/>
          <w:highlight w:val="none"/>
        </w:rPr>
        <w:t>履行职责</w:t>
      </w:r>
    </w:p>
    <w:p w14:paraId="257F5741">
      <w:pPr>
        <w:adjustRightInd w:val="0"/>
        <w:snapToGrid w:val="0"/>
        <w:spacing w:line="360" w:lineRule="auto"/>
        <w:ind w:firstLine="480" w:firstLineChars="200"/>
        <w:rPr>
          <w:rFonts w:ascii="宋体" w:hAnsi="宋体"/>
          <w:sz w:val="24"/>
          <w:szCs w:val="24"/>
          <w:highlight w:val="none"/>
          <w:u w:val="single"/>
        </w:rPr>
      </w:pPr>
      <w:r>
        <w:rPr>
          <w:rFonts w:hint="eastAsia" w:ascii="宋体" w:hAnsi="宋体"/>
          <w:sz w:val="24"/>
          <w:szCs w:val="24"/>
          <w:highlight w:val="none"/>
        </w:rPr>
        <w:t>2.4.3 对监理人的授权范围：</w:t>
      </w:r>
    </w:p>
    <w:p w14:paraId="77196DFC">
      <w:pPr>
        <w:pStyle w:val="32"/>
        <w:spacing w:line="360" w:lineRule="auto"/>
        <w:ind w:firstLine="480" w:firstLineChars="200"/>
        <w:rPr>
          <w:sz w:val="24"/>
          <w:szCs w:val="24"/>
          <w:highlight w:val="none"/>
          <w:u w:val="single"/>
        </w:rPr>
      </w:pPr>
      <w:r>
        <w:rPr>
          <w:rFonts w:hint="eastAsia"/>
          <w:sz w:val="24"/>
          <w:szCs w:val="24"/>
          <w:highlight w:val="none"/>
          <w:u w:val="single"/>
        </w:rPr>
        <w:t>工程质量、安全文明施工、工程进度及工程投资等方面控制。</w:t>
      </w:r>
    </w:p>
    <w:p w14:paraId="642BA090">
      <w:pPr>
        <w:pStyle w:val="32"/>
        <w:spacing w:line="360" w:lineRule="auto"/>
        <w:ind w:firstLine="480" w:firstLineChars="200"/>
        <w:rPr>
          <w:sz w:val="24"/>
          <w:szCs w:val="24"/>
          <w:highlight w:val="none"/>
          <w:u w:val="single"/>
        </w:rPr>
      </w:pPr>
      <w:r>
        <w:rPr>
          <w:rFonts w:hint="eastAsia"/>
          <w:sz w:val="24"/>
          <w:szCs w:val="24"/>
          <w:highlight w:val="none"/>
          <w:u w:val="single"/>
        </w:rPr>
        <w:t>工程开工、停工及设计变更、工程量签证需要取得发包人批准。</w:t>
      </w:r>
    </w:p>
    <w:p w14:paraId="4AB6E981">
      <w:pPr>
        <w:adjustRightInd w:val="0"/>
        <w:snapToGrid w:val="0"/>
        <w:spacing w:line="360" w:lineRule="auto"/>
        <w:ind w:firstLine="480" w:firstLineChars="200"/>
        <w:rPr>
          <w:rFonts w:ascii="宋体" w:hAnsi="宋体"/>
          <w:kern w:val="0"/>
          <w:sz w:val="24"/>
          <w:szCs w:val="24"/>
          <w:highlight w:val="none"/>
        </w:rPr>
      </w:pPr>
      <w:bookmarkStart w:id="513" w:name="_Toc456102387"/>
      <w:bookmarkEnd w:id="513"/>
      <w:bookmarkStart w:id="514" w:name="_Toc16986"/>
      <w:r>
        <w:rPr>
          <w:rFonts w:hint="eastAsia" w:ascii="宋体" w:hAnsi="宋体"/>
          <w:kern w:val="0"/>
          <w:sz w:val="24"/>
          <w:szCs w:val="24"/>
          <w:highlight w:val="none"/>
        </w:rPr>
        <w:t>在涉及工程延期1 天内和（或）金额  1000元内的变更，监理人不需请示委托人即可向承包人发布变更通知。</w:t>
      </w:r>
      <w:bookmarkEnd w:id="514"/>
    </w:p>
    <w:p w14:paraId="3D34D192">
      <w:pPr>
        <w:adjustRightInd w:val="0"/>
        <w:snapToGrid w:val="0"/>
        <w:spacing w:line="360" w:lineRule="auto"/>
        <w:ind w:left="598" w:leftChars="228" w:hanging="120" w:hangingChars="50"/>
        <w:rPr>
          <w:rFonts w:ascii="宋体" w:hAnsi="宋体"/>
          <w:sz w:val="24"/>
          <w:szCs w:val="24"/>
          <w:highlight w:val="none"/>
        </w:rPr>
      </w:pPr>
      <w:r>
        <w:rPr>
          <w:rFonts w:hint="eastAsia" w:ascii="宋体" w:hAnsi="宋体"/>
          <w:kern w:val="0"/>
          <w:sz w:val="24"/>
          <w:szCs w:val="24"/>
          <w:highlight w:val="none"/>
        </w:rPr>
        <w:t>2.4.4 监理人有权要求承包人调换其人员</w:t>
      </w:r>
      <w:r>
        <w:rPr>
          <w:rFonts w:hint="eastAsia" w:ascii="宋体" w:hAnsi="宋体"/>
          <w:sz w:val="24"/>
          <w:szCs w:val="24"/>
          <w:highlight w:val="none"/>
        </w:rPr>
        <w:t>的限制条件：</w:t>
      </w:r>
      <w:r>
        <w:rPr>
          <w:rFonts w:hint="eastAsia" w:ascii="宋体" w:hAnsi="宋体"/>
          <w:sz w:val="24"/>
          <w:szCs w:val="24"/>
          <w:highlight w:val="none"/>
          <w:u w:val="single"/>
        </w:rPr>
        <w:t xml:space="preserve">  经委托人书面批准   </w:t>
      </w:r>
      <w:r>
        <w:rPr>
          <w:rFonts w:hint="eastAsia" w:ascii="宋体" w:hAnsi="宋体"/>
          <w:sz w:val="24"/>
          <w:szCs w:val="24"/>
          <w:highlight w:val="none"/>
        </w:rPr>
        <w:t xml:space="preserve">。  </w:t>
      </w:r>
    </w:p>
    <w:p w14:paraId="66B17A6B">
      <w:pPr>
        <w:adjustRightInd w:val="0"/>
        <w:snapToGrid w:val="0"/>
        <w:spacing w:line="360" w:lineRule="auto"/>
        <w:ind w:firstLine="120" w:firstLineChars="50"/>
        <w:rPr>
          <w:rFonts w:ascii="宋体" w:hAnsi="宋体"/>
          <w:sz w:val="24"/>
          <w:szCs w:val="24"/>
          <w:highlight w:val="none"/>
        </w:rPr>
      </w:pPr>
      <w:r>
        <w:rPr>
          <w:rFonts w:hint="eastAsia" w:ascii="宋体" w:hAnsi="宋体"/>
          <w:kern w:val="0"/>
          <w:sz w:val="24"/>
          <w:szCs w:val="24"/>
          <w:highlight w:val="none"/>
        </w:rPr>
        <w:t xml:space="preserve">2.5 </w:t>
      </w:r>
      <w:r>
        <w:rPr>
          <w:rFonts w:hint="eastAsia" w:ascii="宋体" w:hAnsi="宋体"/>
          <w:sz w:val="24"/>
          <w:szCs w:val="24"/>
          <w:highlight w:val="none"/>
        </w:rPr>
        <w:t>提交</w:t>
      </w:r>
      <w:r>
        <w:rPr>
          <w:rFonts w:hint="eastAsia" w:ascii="宋体" w:hAnsi="宋体"/>
          <w:kern w:val="0"/>
          <w:sz w:val="24"/>
          <w:szCs w:val="24"/>
          <w:highlight w:val="none"/>
        </w:rPr>
        <w:t>报告</w:t>
      </w:r>
    </w:p>
    <w:p w14:paraId="0A9955D5">
      <w:pPr>
        <w:adjustRightInd w:val="0"/>
        <w:snapToGrid w:val="0"/>
        <w:spacing w:line="360" w:lineRule="auto"/>
        <w:ind w:firstLine="525"/>
        <w:rPr>
          <w:rFonts w:ascii="宋体" w:hAnsi="宋体"/>
          <w:kern w:val="0"/>
          <w:sz w:val="24"/>
          <w:szCs w:val="24"/>
          <w:highlight w:val="none"/>
        </w:rPr>
      </w:pPr>
      <w:r>
        <w:rPr>
          <w:rFonts w:hint="eastAsia" w:ascii="宋体" w:hAnsi="宋体"/>
          <w:sz w:val="24"/>
          <w:szCs w:val="24"/>
          <w:highlight w:val="none"/>
        </w:rPr>
        <w:t>监理人应提交报告的种类(</w:t>
      </w:r>
      <w:r>
        <w:rPr>
          <w:rFonts w:hint="eastAsia" w:ascii="宋体" w:hAnsi="宋体"/>
          <w:kern w:val="0"/>
          <w:sz w:val="24"/>
          <w:szCs w:val="24"/>
          <w:highlight w:val="none"/>
        </w:rPr>
        <w:t>包括监理规划、监理月报及约定的专项报告)</w:t>
      </w:r>
      <w:r>
        <w:rPr>
          <w:rFonts w:hint="eastAsia" w:ascii="宋体" w:hAnsi="宋体"/>
          <w:sz w:val="24"/>
          <w:szCs w:val="24"/>
          <w:highlight w:val="none"/>
        </w:rPr>
        <w:t>、时间和份数</w:t>
      </w:r>
      <w:r>
        <w:rPr>
          <w:rFonts w:hint="eastAsia" w:ascii="宋体" w:hAnsi="宋体"/>
          <w:kern w:val="0"/>
          <w:sz w:val="24"/>
          <w:szCs w:val="24"/>
          <w:highlight w:val="none"/>
        </w:rPr>
        <w:t>：</w:t>
      </w:r>
    </w:p>
    <w:p w14:paraId="6E4B88F1">
      <w:pPr>
        <w:adjustRightInd w:val="0"/>
        <w:snapToGrid w:val="0"/>
        <w:spacing w:line="360" w:lineRule="auto"/>
        <w:ind w:firstLine="525"/>
        <w:rPr>
          <w:rFonts w:ascii="宋体" w:hAnsi="宋体"/>
          <w:sz w:val="24"/>
          <w:szCs w:val="24"/>
          <w:highlight w:val="none"/>
          <w:u w:val="single"/>
        </w:rPr>
      </w:pPr>
      <w:r>
        <w:rPr>
          <w:rFonts w:hint="eastAsia" w:ascii="宋体" w:hAnsi="宋体"/>
          <w:sz w:val="24"/>
          <w:szCs w:val="24"/>
          <w:highlight w:val="none"/>
          <w:u w:val="single"/>
        </w:rPr>
        <w:t xml:space="preserve">工程开工前提交监理规划 </w:t>
      </w:r>
    </w:p>
    <w:p w14:paraId="129DBBB3">
      <w:pPr>
        <w:adjustRightInd w:val="0"/>
        <w:snapToGrid w:val="0"/>
        <w:spacing w:line="360" w:lineRule="auto"/>
        <w:ind w:firstLine="600" w:firstLineChars="250"/>
        <w:rPr>
          <w:rFonts w:ascii="宋体" w:hAnsi="宋体"/>
          <w:sz w:val="24"/>
          <w:szCs w:val="24"/>
          <w:highlight w:val="none"/>
          <w:u w:val="single"/>
        </w:rPr>
      </w:pPr>
      <w:r>
        <w:rPr>
          <w:rFonts w:hint="eastAsia" w:ascii="宋体" w:hAnsi="宋体"/>
          <w:kern w:val="0"/>
          <w:sz w:val="24"/>
          <w:szCs w:val="24"/>
          <w:highlight w:val="none"/>
          <w:u w:val="single"/>
        </w:rPr>
        <w:t xml:space="preserve"> 每月5日前提交上月监理月报</w:t>
      </w:r>
    </w:p>
    <w:p w14:paraId="37F7DE1C">
      <w:pPr>
        <w:adjustRightInd w:val="0"/>
        <w:snapToGrid w:val="0"/>
        <w:spacing w:line="360" w:lineRule="auto"/>
        <w:ind w:firstLine="480" w:firstLineChars="200"/>
        <w:rPr>
          <w:rFonts w:ascii="宋体" w:hAnsi="宋体"/>
          <w:sz w:val="24"/>
          <w:szCs w:val="24"/>
          <w:highlight w:val="none"/>
          <w:u w:val="single"/>
        </w:rPr>
      </w:pPr>
      <w:r>
        <w:rPr>
          <w:rFonts w:hint="eastAsia" w:ascii="宋体" w:hAnsi="宋体"/>
          <w:sz w:val="24"/>
          <w:szCs w:val="24"/>
          <w:highlight w:val="none"/>
          <w:u w:val="single"/>
        </w:rPr>
        <w:t xml:space="preserve">  单项工程完工提交单项工程质量评估报告    </w:t>
      </w:r>
      <w:r>
        <w:rPr>
          <w:rFonts w:hint="eastAsia" w:ascii="宋体" w:hAnsi="宋体"/>
          <w:sz w:val="24"/>
          <w:szCs w:val="24"/>
          <w:highlight w:val="none"/>
        </w:rPr>
        <w:t>。</w:t>
      </w:r>
    </w:p>
    <w:p w14:paraId="5330737A">
      <w:pPr>
        <w:spacing w:line="360" w:lineRule="auto"/>
        <w:rPr>
          <w:rFonts w:ascii="宋体" w:hAnsi="宋体"/>
          <w:kern w:val="0"/>
          <w:sz w:val="24"/>
          <w:szCs w:val="24"/>
          <w:highlight w:val="none"/>
        </w:rPr>
      </w:pPr>
      <w:r>
        <w:rPr>
          <w:rFonts w:hint="eastAsia" w:ascii="宋体" w:hAnsi="宋体"/>
          <w:kern w:val="0"/>
          <w:sz w:val="24"/>
          <w:szCs w:val="24"/>
          <w:highlight w:val="none"/>
        </w:rPr>
        <w:t xml:space="preserve"> 2.7 使用委托人的财产</w:t>
      </w:r>
    </w:p>
    <w:p w14:paraId="48E0DA07">
      <w:pPr>
        <w:spacing w:line="360" w:lineRule="auto"/>
        <w:ind w:left="600" w:hanging="600" w:hangingChars="250"/>
        <w:rPr>
          <w:rFonts w:ascii="宋体" w:hAnsi="宋体"/>
          <w:kern w:val="0"/>
          <w:sz w:val="24"/>
          <w:szCs w:val="24"/>
          <w:highlight w:val="none"/>
        </w:rPr>
      </w:pPr>
      <w:r>
        <w:rPr>
          <w:rFonts w:hint="eastAsia" w:ascii="宋体" w:hAnsi="宋体"/>
          <w:sz w:val="24"/>
          <w:szCs w:val="24"/>
          <w:highlight w:val="none"/>
        </w:rPr>
        <w:t>附录B中由委托人无偿提供的房屋、设备的所有权属于：</w:t>
      </w:r>
      <w:r>
        <w:rPr>
          <w:rFonts w:hint="eastAsia" w:ascii="宋体" w:hAnsi="宋体"/>
          <w:sz w:val="24"/>
          <w:szCs w:val="24"/>
          <w:highlight w:val="none"/>
          <w:u w:val="single"/>
        </w:rPr>
        <w:t xml:space="preserve"> 委托人     </w:t>
      </w:r>
      <w:r>
        <w:rPr>
          <w:rFonts w:hint="eastAsia" w:ascii="宋体" w:hAnsi="宋体"/>
          <w:sz w:val="24"/>
          <w:szCs w:val="24"/>
          <w:highlight w:val="none"/>
        </w:rPr>
        <w:t>。</w:t>
      </w:r>
    </w:p>
    <w:p w14:paraId="419BCE98">
      <w:pPr>
        <w:spacing w:line="360" w:lineRule="auto"/>
        <w:ind w:firstLine="480" w:firstLineChars="200"/>
        <w:rPr>
          <w:rFonts w:ascii="宋体" w:hAnsi="宋体"/>
          <w:kern w:val="0"/>
          <w:sz w:val="24"/>
          <w:szCs w:val="24"/>
          <w:highlight w:val="none"/>
        </w:rPr>
      </w:pPr>
      <w:r>
        <w:rPr>
          <w:rFonts w:hint="eastAsia" w:ascii="宋体" w:hAnsi="宋体"/>
          <w:sz w:val="24"/>
          <w:szCs w:val="24"/>
          <w:highlight w:val="none"/>
        </w:rPr>
        <w:t>监理人应在本合同终止后</w:t>
      </w:r>
      <w:r>
        <w:rPr>
          <w:rFonts w:hint="eastAsia" w:ascii="宋体" w:hAnsi="宋体"/>
          <w:sz w:val="24"/>
          <w:szCs w:val="24"/>
          <w:highlight w:val="none"/>
          <w:u w:val="single"/>
        </w:rPr>
        <w:t xml:space="preserve"> 15 </w:t>
      </w:r>
      <w:r>
        <w:rPr>
          <w:rFonts w:hint="eastAsia" w:ascii="宋体" w:hAnsi="宋体"/>
          <w:sz w:val="24"/>
          <w:szCs w:val="24"/>
          <w:highlight w:val="none"/>
        </w:rPr>
        <w:t>天内移交委托人无偿提供的房屋、设备，移交的时间和方式为：</w:t>
      </w:r>
      <w:r>
        <w:rPr>
          <w:rFonts w:hint="eastAsia" w:ascii="宋体" w:hAnsi="宋体"/>
          <w:sz w:val="24"/>
          <w:szCs w:val="24"/>
          <w:highlight w:val="none"/>
          <w:u w:val="single"/>
        </w:rPr>
        <w:t xml:space="preserve">      /   </w:t>
      </w:r>
      <w:r>
        <w:rPr>
          <w:rFonts w:hint="eastAsia" w:ascii="宋体" w:hAnsi="宋体"/>
          <w:sz w:val="24"/>
          <w:szCs w:val="24"/>
          <w:highlight w:val="none"/>
        </w:rPr>
        <w:t>。</w:t>
      </w:r>
    </w:p>
    <w:p w14:paraId="662AE02E">
      <w:pPr>
        <w:adjustRightInd w:val="0"/>
        <w:snapToGrid w:val="0"/>
        <w:spacing w:line="360" w:lineRule="auto"/>
        <w:rPr>
          <w:rFonts w:ascii="宋体" w:hAnsi="宋体"/>
          <w:b/>
          <w:bCs/>
          <w:sz w:val="24"/>
          <w:szCs w:val="24"/>
          <w:highlight w:val="none"/>
        </w:rPr>
      </w:pPr>
      <w:r>
        <w:rPr>
          <w:rFonts w:hint="eastAsia" w:ascii="宋体" w:hAnsi="宋体"/>
          <w:b/>
          <w:bCs/>
          <w:kern w:val="0"/>
          <w:sz w:val="24"/>
          <w:szCs w:val="24"/>
          <w:highlight w:val="none"/>
        </w:rPr>
        <w:t xml:space="preserve">3. 委托人义务  </w:t>
      </w:r>
    </w:p>
    <w:p w14:paraId="0633075D">
      <w:pPr>
        <w:snapToGrid w:val="0"/>
        <w:spacing w:line="360" w:lineRule="auto"/>
        <w:rPr>
          <w:rFonts w:ascii="宋体" w:hAnsi="宋体"/>
          <w:sz w:val="24"/>
          <w:szCs w:val="24"/>
          <w:highlight w:val="none"/>
        </w:rPr>
      </w:pPr>
      <w:r>
        <w:rPr>
          <w:rFonts w:hint="eastAsia" w:ascii="宋体" w:hAnsi="宋体"/>
          <w:kern w:val="0"/>
          <w:sz w:val="24"/>
          <w:szCs w:val="24"/>
          <w:highlight w:val="none"/>
        </w:rPr>
        <w:t>3.4 委托人代表</w:t>
      </w:r>
    </w:p>
    <w:p w14:paraId="557F29C1">
      <w:pPr>
        <w:adjustRightInd w:val="0"/>
        <w:snapToGrid w:val="0"/>
        <w:spacing w:line="360" w:lineRule="auto"/>
        <w:ind w:firstLine="480" w:firstLineChars="200"/>
        <w:rPr>
          <w:rFonts w:ascii="宋体" w:hAnsi="宋体"/>
          <w:sz w:val="24"/>
          <w:szCs w:val="24"/>
          <w:highlight w:val="none"/>
          <w:u w:val="single"/>
        </w:rPr>
      </w:pPr>
      <w:r>
        <w:rPr>
          <w:rFonts w:hint="eastAsia" w:ascii="宋体" w:hAnsi="宋体"/>
          <w:sz w:val="24"/>
          <w:szCs w:val="24"/>
          <w:highlight w:val="none"/>
        </w:rPr>
        <w:t>委托人代表为：。</w:t>
      </w:r>
    </w:p>
    <w:p w14:paraId="7999C233">
      <w:pPr>
        <w:adjustRightInd w:val="0"/>
        <w:snapToGrid w:val="0"/>
        <w:spacing w:line="360" w:lineRule="auto"/>
        <w:ind w:firstLine="235" w:firstLineChars="98"/>
        <w:rPr>
          <w:rFonts w:ascii="宋体" w:hAnsi="宋体"/>
          <w:kern w:val="0"/>
          <w:sz w:val="24"/>
          <w:szCs w:val="24"/>
          <w:highlight w:val="none"/>
        </w:rPr>
      </w:pPr>
      <w:r>
        <w:rPr>
          <w:rFonts w:hint="eastAsia" w:ascii="宋体" w:hAnsi="宋体"/>
          <w:kern w:val="0"/>
          <w:sz w:val="24"/>
          <w:szCs w:val="24"/>
          <w:highlight w:val="none"/>
        </w:rPr>
        <w:t>3.6 答复</w:t>
      </w:r>
    </w:p>
    <w:p w14:paraId="4421207C">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委托人同意在</w:t>
      </w:r>
      <w:r>
        <w:rPr>
          <w:rFonts w:hint="eastAsia" w:ascii="宋体" w:hAnsi="宋体"/>
          <w:sz w:val="24"/>
          <w:szCs w:val="24"/>
          <w:highlight w:val="none"/>
          <w:u w:val="single"/>
        </w:rPr>
        <w:t xml:space="preserve">  30 </w:t>
      </w:r>
      <w:r>
        <w:rPr>
          <w:rFonts w:hint="eastAsia" w:ascii="宋体" w:hAnsi="宋体"/>
          <w:sz w:val="24"/>
          <w:szCs w:val="24"/>
          <w:highlight w:val="none"/>
        </w:rPr>
        <w:t>天内，对监理人书面提交并要求做出决定的事宜给予书面答复。</w:t>
      </w:r>
    </w:p>
    <w:p w14:paraId="19675994">
      <w:pPr>
        <w:snapToGrid w:val="0"/>
        <w:spacing w:line="360" w:lineRule="auto"/>
        <w:rPr>
          <w:rFonts w:ascii="宋体" w:hAnsi="宋体"/>
          <w:b/>
          <w:bCs/>
          <w:sz w:val="24"/>
          <w:szCs w:val="24"/>
          <w:highlight w:val="none"/>
        </w:rPr>
      </w:pPr>
      <w:r>
        <w:rPr>
          <w:rFonts w:hint="eastAsia" w:ascii="宋体" w:hAnsi="宋体"/>
          <w:b/>
          <w:bCs/>
          <w:sz w:val="24"/>
          <w:szCs w:val="24"/>
          <w:highlight w:val="none"/>
        </w:rPr>
        <w:t>4. 违约责任</w:t>
      </w:r>
    </w:p>
    <w:p w14:paraId="10F0A044">
      <w:pPr>
        <w:spacing w:line="360" w:lineRule="auto"/>
        <w:ind w:left="210" w:leftChars="100"/>
        <w:rPr>
          <w:rFonts w:ascii="宋体" w:hAnsi="宋体"/>
          <w:kern w:val="0"/>
          <w:sz w:val="24"/>
          <w:szCs w:val="24"/>
          <w:highlight w:val="none"/>
        </w:rPr>
      </w:pPr>
      <w:r>
        <w:rPr>
          <w:rFonts w:hint="eastAsia" w:ascii="宋体" w:hAnsi="宋体"/>
          <w:kern w:val="0"/>
          <w:sz w:val="24"/>
          <w:szCs w:val="24"/>
          <w:highlight w:val="none"/>
        </w:rPr>
        <w:t>4.1 监理人的违约责任</w:t>
      </w:r>
    </w:p>
    <w:p w14:paraId="798AA523">
      <w:pPr>
        <w:adjustRightInd w:val="0"/>
        <w:snapToGrid w:val="0"/>
        <w:spacing w:line="360" w:lineRule="auto"/>
        <w:ind w:firstLine="480" w:firstLineChars="200"/>
        <w:rPr>
          <w:rFonts w:ascii="宋体" w:hAnsi="宋体"/>
          <w:kern w:val="0"/>
          <w:sz w:val="24"/>
          <w:szCs w:val="24"/>
          <w:highlight w:val="none"/>
        </w:rPr>
      </w:pPr>
      <w:r>
        <w:rPr>
          <w:rFonts w:hint="eastAsia" w:ascii="宋体" w:hAnsi="宋体"/>
          <w:kern w:val="0"/>
          <w:sz w:val="24"/>
          <w:szCs w:val="24"/>
          <w:highlight w:val="none"/>
        </w:rPr>
        <w:t>4.1.1监理人赔偿金额按下列方法确定：</w:t>
      </w:r>
    </w:p>
    <w:p w14:paraId="6A72E654">
      <w:pPr>
        <w:adjustRightInd w:val="0"/>
        <w:snapToGrid w:val="0"/>
        <w:spacing w:line="360" w:lineRule="auto"/>
        <w:ind w:firstLine="480" w:firstLineChars="200"/>
        <w:rPr>
          <w:rFonts w:ascii="宋体" w:hAnsi="宋体"/>
          <w:kern w:val="0"/>
          <w:sz w:val="24"/>
          <w:szCs w:val="24"/>
          <w:highlight w:val="none"/>
        </w:rPr>
      </w:pPr>
      <w:r>
        <w:rPr>
          <w:rFonts w:hint="eastAsia" w:ascii="宋体" w:hAnsi="宋体"/>
          <w:sz w:val="24"/>
          <w:szCs w:val="24"/>
          <w:highlight w:val="none"/>
        </w:rPr>
        <w:t>赔偿金＝直接经济损失×5%</w:t>
      </w:r>
    </w:p>
    <w:p w14:paraId="36B42874">
      <w:pPr>
        <w:snapToGrid w:val="0"/>
        <w:spacing w:line="360" w:lineRule="auto"/>
        <w:ind w:firstLine="240" w:firstLineChars="100"/>
        <w:rPr>
          <w:rFonts w:ascii="宋体" w:hAnsi="宋体"/>
          <w:kern w:val="0"/>
          <w:sz w:val="24"/>
          <w:szCs w:val="24"/>
          <w:highlight w:val="none"/>
        </w:rPr>
      </w:pPr>
      <w:r>
        <w:rPr>
          <w:rFonts w:hint="eastAsia" w:ascii="宋体" w:hAnsi="宋体"/>
          <w:kern w:val="0"/>
          <w:sz w:val="24"/>
          <w:szCs w:val="24"/>
          <w:highlight w:val="none"/>
        </w:rPr>
        <w:t>4.2 委托人的违约责任</w:t>
      </w:r>
    </w:p>
    <w:p w14:paraId="7E98E23A">
      <w:pPr>
        <w:spacing w:line="360" w:lineRule="auto"/>
        <w:ind w:firstLine="480" w:firstLineChars="200"/>
        <w:rPr>
          <w:rFonts w:ascii="宋体" w:hAnsi="宋体"/>
          <w:kern w:val="0"/>
          <w:sz w:val="24"/>
          <w:szCs w:val="24"/>
          <w:highlight w:val="none"/>
        </w:rPr>
      </w:pPr>
      <w:r>
        <w:rPr>
          <w:rFonts w:hint="eastAsia" w:ascii="宋体" w:hAnsi="宋体"/>
          <w:sz w:val="24"/>
          <w:szCs w:val="24"/>
          <w:highlight w:val="none"/>
        </w:rPr>
        <w:t>4.2.3 委托人</w:t>
      </w:r>
      <w:r>
        <w:rPr>
          <w:rFonts w:hint="eastAsia" w:ascii="宋体" w:hAnsi="宋体"/>
          <w:kern w:val="0"/>
          <w:sz w:val="24"/>
          <w:szCs w:val="24"/>
          <w:highlight w:val="none"/>
        </w:rPr>
        <w:t>逾期付款利息按下列方法确定：</w:t>
      </w:r>
    </w:p>
    <w:p w14:paraId="05A89050">
      <w:pPr>
        <w:spacing w:line="360" w:lineRule="auto"/>
        <w:ind w:firstLine="480" w:firstLineChars="200"/>
        <w:rPr>
          <w:rFonts w:ascii="宋体" w:hAnsi="宋体"/>
          <w:sz w:val="24"/>
          <w:szCs w:val="24"/>
          <w:highlight w:val="none"/>
        </w:rPr>
      </w:pPr>
      <w:r>
        <w:rPr>
          <w:rFonts w:hint="eastAsia" w:ascii="宋体" w:hAnsi="宋体"/>
          <w:sz w:val="24"/>
          <w:szCs w:val="24"/>
          <w:highlight w:val="none"/>
        </w:rPr>
        <w:t>逾期付款利息＝当期应付款总额×银行同期贷款利率×拖延支付天数</w:t>
      </w:r>
    </w:p>
    <w:p w14:paraId="0FFC14C3">
      <w:pPr>
        <w:snapToGrid w:val="0"/>
        <w:spacing w:line="360" w:lineRule="auto"/>
        <w:rPr>
          <w:rFonts w:ascii="宋体" w:hAnsi="宋体"/>
          <w:b/>
          <w:bCs/>
          <w:sz w:val="24"/>
          <w:szCs w:val="24"/>
          <w:highlight w:val="none"/>
        </w:rPr>
      </w:pPr>
      <w:r>
        <w:rPr>
          <w:rFonts w:hint="eastAsia" w:ascii="宋体" w:hAnsi="宋体"/>
          <w:b/>
          <w:bCs/>
          <w:sz w:val="24"/>
          <w:szCs w:val="24"/>
          <w:highlight w:val="none"/>
        </w:rPr>
        <w:t>5. 支付</w:t>
      </w:r>
    </w:p>
    <w:p w14:paraId="4D4861E7">
      <w:pPr>
        <w:snapToGrid w:val="0"/>
        <w:spacing w:line="360" w:lineRule="auto"/>
        <w:rPr>
          <w:rFonts w:ascii="宋体" w:hAnsi="宋体"/>
          <w:sz w:val="24"/>
          <w:szCs w:val="24"/>
          <w:highlight w:val="none"/>
        </w:rPr>
      </w:pPr>
      <w:r>
        <w:rPr>
          <w:rFonts w:hint="eastAsia" w:ascii="宋体" w:hAnsi="宋体"/>
          <w:sz w:val="24"/>
          <w:szCs w:val="24"/>
          <w:highlight w:val="none"/>
        </w:rPr>
        <w:t xml:space="preserve">  5.1 支付货币</w:t>
      </w:r>
    </w:p>
    <w:p w14:paraId="7D7A5DDF">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币种为：</w:t>
      </w:r>
      <w:r>
        <w:rPr>
          <w:rFonts w:hint="eastAsia" w:ascii="宋体" w:hAnsi="宋体"/>
          <w:sz w:val="24"/>
          <w:szCs w:val="24"/>
          <w:highlight w:val="none"/>
          <w:u w:val="single"/>
        </w:rPr>
        <w:t xml:space="preserve"> 人民币  </w:t>
      </w:r>
      <w:r>
        <w:rPr>
          <w:rFonts w:hint="eastAsia" w:ascii="宋体" w:hAnsi="宋体"/>
          <w:sz w:val="24"/>
          <w:szCs w:val="24"/>
          <w:highlight w:val="none"/>
        </w:rPr>
        <w:t>，比例为：</w:t>
      </w:r>
      <w:r>
        <w:rPr>
          <w:rFonts w:hint="eastAsia" w:ascii="宋体" w:hAnsi="宋体"/>
          <w:sz w:val="24"/>
          <w:szCs w:val="24"/>
          <w:highlight w:val="none"/>
          <w:u w:val="single"/>
        </w:rPr>
        <w:t xml:space="preserve">  </w:t>
      </w: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r>
        <w:rPr>
          <w:rFonts w:hint="eastAsia" w:ascii="宋体" w:hAnsi="宋体"/>
          <w:sz w:val="24"/>
          <w:szCs w:val="24"/>
          <w:highlight w:val="none"/>
        </w:rPr>
        <w:t>，汇率为：</w:t>
      </w:r>
      <w:r>
        <w:rPr>
          <w:rFonts w:hint="eastAsia" w:ascii="宋体" w:hAnsi="宋体"/>
          <w:sz w:val="24"/>
          <w:szCs w:val="24"/>
          <w:highlight w:val="none"/>
          <w:u w:val="single"/>
        </w:rPr>
        <w:t xml:space="preserve">  /  </w:t>
      </w:r>
      <w:r>
        <w:rPr>
          <w:rFonts w:hint="eastAsia" w:ascii="宋体" w:hAnsi="宋体"/>
          <w:sz w:val="24"/>
          <w:szCs w:val="24"/>
          <w:highlight w:val="none"/>
        </w:rPr>
        <w:t xml:space="preserve">。 </w:t>
      </w:r>
    </w:p>
    <w:p w14:paraId="15423E6A">
      <w:pPr>
        <w:snapToGrid w:val="0"/>
        <w:spacing w:line="360" w:lineRule="auto"/>
        <w:ind w:firstLine="240" w:firstLineChars="100"/>
        <w:rPr>
          <w:rFonts w:ascii="宋体" w:hAnsi="宋体"/>
          <w:kern w:val="0"/>
          <w:sz w:val="24"/>
          <w:szCs w:val="24"/>
          <w:highlight w:val="none"/>
        </w:rPr>
      </w:pPr>
      <w:r>
        <w:rPr>
          <w:rFonts w:hint="eastAsia" w:ascii="宋体" w:hAnsi="宋体"/>
          <w:kern w:val="0"/>
          <w:sz w:val="24"/>
          <w:szCs w:val="24"/>
          <w:highlight w:val="none"/>
        </w:rPr>
        <w:t>5.3 支付酬金</w:t>
      </w:r>
    </w:p>
    <w:p w14:paraId="1B3AA8F6">
      <w:pPr>
        <w:snapToGrid w:val="0"/>
        <w:spacing w:line="660" w:lineRule="exact"/>
        <w:ind w:firstLine="480" w:firstLineChars="200"/>
        <w:rPr>
          <w:rFonts w:ascii="宋体" w:hAnsi="宋体"/>
          <w:kern w:val="0"/>
          <w:sz w:val="24"/>
          <w:szCs w:val="24"/>
          <w:highlight w:val="none"/>
        </w:rPr>
      </w:pPr>
      <w:r>
        <w:rPr>
          <w:rFonts w:hint="eastAsia" w:ascii="宋体" w:hAnsi="宋体"/>
          <w:kern w:val="0"/>
          <w:sz w:val="24"/>
          <w:szCs w:val="24"/>
          <w:highlight w:val="none"/>
        </w:rPr>
        <w:t>正常工作</w:t>
      </w:r>
      <w:r>
        <w:rPr>
          <w:rFonts w:hint="eastAsia" w:ascii="宋体" w:hAnsi="宋体"/>
          <w:sz w:val="24"/>
          <w:szCs w:val="24"/>
          <w:highlight w:val="none"/>
        </w:rPr>
        <w:t>酬金的</w:t>
      </w:r>
      <w:r>
        <w:rPr>
          <w:rFonts w:hint="eastAsia" w:ascii="宋体" w:hAnsi="宋体"/>
          <w:kern w:val="0"/>
          <w:sz w:val="24"/>
          <w:szCs w:val="24"/>
          <w:highlight w:val="none"/>
        </w:rPr>
        <w:t>支付</w:t>
      </w:r>
      <w:r>
        <w:rPr>
          <w:rFonts w:hint="eastAsia" w:ascii="宋体" w:hAnsi="宋体"/>
          <w:sz w:val="24"/>
          <w:szCs w:val="24"/>
          <w:highlight w:val="none"/>
        </w:rPr>
        <w:t>：</w:t>
      </w:r>
    </w:p>
    <w:p w14:paraId="337A4488">
      <w:pPr>
        <w:snapToGrid w:val="0"/>
        <w:spacing w:line="660" w:lineRule="exact"/>
        <w:ind w:firstLine="480" w:firstLineChars="200"/>
        <w:rPr>
          <w:rFonts w:ascii="宋体" w:hAnsi="宋体"/>
          <w:sz w:val="24"/>
          <w:szCs w:val="24"/>
          <w:highlight w:val="none"/>
          <w:u w:val="single"/>
        </w:rPr>
      </w:pPr>
      <w:r>
        <w:rPr>
          <w:rFonts w:hint="eastAsia" w:ascii="宋体" w:hAnsi="宋体"/>
          <w:sz w:val="24"/>
          <w:szCs w:val="24"/>
          <w:highlight w:val="none"/>
          <w:u w:val="single"/>
          <w:lang w:val="en-US" w:eastAsia="zh-CN"/>
        </w:rPr>
        <w:t xml:space="preserve">                           </w:t>
      </w:r>
      <w:r>
        <w:rPr>
          <w:rFonts w:hint="eastAsia" w:ascii="宋体" w:hAnsi="宋体"/>
          <w:sz w:val="24"/>
          <w:szCs w:val="24"/>
          <w:highlight w:val="none"/>
          <w:u w:val="single"/>
        </w:rPr>
        <w:t xml:space="preserve">。 </w:t>
      </w:r>
    </w:p>
    <w:p w14:paraId="7FFA3EC0">
      <w:pPr>
        <w:snapToGrid w:val="0"/>
        <w:spacing w:line="660" w:lineRule="exact"/>
        <w:rPr>
          <w:rFonts w:ascii="宋体" w:hAnsi="宋体"/>
          <w:b/>
          <w:bCs/>
          <w:sz w:val="24"/>
          <w:szCs w:val="24"/>
          <w:highlight w:val="none"/>
        </w:rPr>
      </w:pPr>
      <w:r>
        <w:rPr>
          <w:rFonts w:hint="eastAsia" w:ascii="宋体" w:hAnsi="宋体"/>
          <w:sz w:val="24"/>
          <w:szCs w:val="24"/>
          <w:highlight w:val="none"/>
        </w:rPr>
        <w:t>6</w:t>
      </w:r>
      <w:r>
        <w:rPr>
          <w:rFonts w:hint="eastAsia" w:ascii="宋体" w:hAnsi="宋体"/>
          <w:b/>
          <w:bCs/>
          <w:sz w:val="24"/>
          <w:szCs w:val="24"/>
          <w:highlight w:val="none"/>
        </w:rPr>
        <w:t>. 合同生效、变更、暂停、解除与终止</w:t>
      </w:r>
    </w:p>
    <w:p w14:paraId="4A4D06E8">
      <w:pPr>
        <w:adjustRightInd w:val="0"/>
        <w:snapToGrid w:val="0"/>
        <w:spacing w:line="660" w:lineRule="exact"/>
        <w:ind w:firstLine="240" w:firstLineChars="100"/>
        <w:rPr>
          <w:rFonts w:ascii="宋体" w:hAnsi="宋体"/>
          <w:sz w:val="24"/>
          <w:szCs w:val="24"/>
          <w:highlight w:val="none"/>
        </w:rPr>
      </w:pPr>
      <w:r>
        <w:rPr>
          <w:rFonts w:hint="eastAsia" w:ascii="宋体" w:hAnsi="宋体"/>
          <w:sz w:val="24"/>
          <w:szCs w:val="24"/>
          <w:highlight w:val="none"/>
        </w:rPr>
        <w:t>6.1 生效</w:t>
      </w:r>
    </w:p>
    <w:p w14:paraId="34D70667">
      <w:pPr>
        <w:adjustRightInd w:val="0"/>
        <w:snapToGrid w:val="0"/>
        <w:spacing w:line="360" w:lineRule="auto"/>
        <w:ind w:firstLine="480"/>
        <w:rPr>
          <w:rFonts w:ascii="宋体" w:hAnsi="宋体"/>
          <w:sz w:val="24"/>
          <w:szCs w:val="24"/>
          <w:highlight w:val="none"/>
        </w:rPr>
      </w:pPr>
      <w:r>
        <w:rPr>
          <w:rFonts w:hint="eastAsia" w:ascii="宋体" w:hAnsi="宋体"/>
          <w:sz w:val="24"/>
          <w:szCs w:val="24"/>
          <w:highlight w:val="none"/>
        </w:rPr>
        <w:t>本合同生效条件：</w:t>
      </w:r>
      <w:r>
        <w:rPr>
          <w:rFonts w:hint="eastAsia" w:ascii="宋体" w:hAnsi="宋体"/>
          <w:sz w:val="24"/>
          <w:szCs w:val="24"/>
          <w:highlight w:val="none"/>
          <w:u w:val="single"/>
        </w:rPr>
        <w:t xml:space="preserve">   双方签字盖章后生效  </w:t>
      </w:r>
      <w:r>
        <w:rPr>
          <w:rFonts w:hint="eastAsia" w:ascii="宋体" w:hAnsi="宋体"/>
          <w:sz w:val="24"/>
          <w:szCs w:val="24"/>
          <w:highlight w:val="none"/>
        </w:rPr>
        <w:t>。</w:t>
      </w:r>
    </w:p>
    <w:p w14:paraId="19458F0E">
      <w:pPr>
        <w:adjustRightInd w:val="0"/>
        <w:snapToGrid w:val="0"/>
        <w:spacing w:line="360" w:lineRule="auto"/>
        <w:ind w:firstLine="235" w:firstLineChars="98"/>
        <w:rPr>
          <w:rFonts w:ascii="宋体" w:hAnsi="宋体"/>
          <w:sz w:val="24"/>
          <w:szCs w:val="24"/>
          <w:highlight w:val="none"/>
        </w:rPr>
      </w:pPr>
      <w:r>
        <w:rPr>
          <w:rFonts w:hint="eastAsia" w:ascii="宋体" w:hAnsi="宋体"/>
          <w:sz w:val="24"/>
          <w:szCs w:val="24"/>
          <w:highlight w:val="none"/>
        </w:rPr>
        <w:t>6.2 变更</w:t>
      </w:r>
    </w:p>
    <w:p w14:paraId="22E1F683">
      <w:pPr>
        <w:adjustRightInd w:val="0"/>
        <w:snapToGrid w:val="0"/>
        <w:spacing w:line="360" w:lineRule="auto"/>
        <w:ind w:firstLine="480" w:firstLineChars="200"/>
        <w:rPr>
          <w:rFonts w:ascii="宋体" w:hAnsi="宋体"/>
          <w:kern w:val="0"/>
          <w:sz w:val="24"/>
          <w:szCs w:val="24"/>
          <w:highlight w:val="none"/>
          <w:u w:val="single"/>
        </w:rPr>
      </w:pPr>
      <w:r>
        <w:rPr>
          <w:rFonts w:hint="eastAsia" w:ascii="宋体" w:hAnsi="宋体"/>
          <w:sz w:val="24"/>
          <w:szCs w:val="24"/>
          <w:highlight w:val="none"/>
        </w:rPr>
        <w:t>6.2.2 除不可抗力外， 因非监理人原因导致本合同期限延长时，附加工作酬金按下列方法确定：</w:t>
      </w:r>
      <w:r>
        <w:rPr>
          <w:rFonts w:hint="eastAsia" w:ascii="宋体" w:hAnsi="宋体"/>
          <w:kern w:val="0"/>
          <w:sz w:val="24"/>
          <w:szCs w:val="24"/>
          <w:highlight w:val="none"/>
          <w:u w:val="single"/>
        </w:rPr>
        <w:t>不增加工作酬金</w:t>
      </w:r>
    </w:p>
    <w:p w14:paraId="008BC36D">
      <w:pPr>
        <w:adjustRightInd w:val="0"/>
        <w:snapToGrid w:val="0"/>
        <w:spacing w:line="360" w:lineRule="auto"/>
        <w:ind w:firstLine="480" w:firstLineChars="200"/>
        <w:rPr>
          <w:rFonts w:ascii="宋体" w:hAnsi="宋体"/>
          <w:sz w:val="24"/>
          <w:szCs w:val="24"/>
          <w:highlight w:val="none"/>
          <w:u w:val="single"/>
        </w:rPr>
      </w:pPr>
      <w:r>
        <w:rPr>
          <w:rFonts w:hint="eastAsia" w:ascii="宋体" w:hAnsi="宋体"/>
          <w:sz w:val="24"/>
          <w:szCs w:val="24"/>
          <w:highlight w:val="none"/>
        </w:rPr>
        <w:t>6.2.3附加工作酬金按下列方法确定：</w:t>
      </w:r>
      <w:r>
        <w:rPr>
          <w:rFonts w:hint="eastAsia" w:ascii="宋体" w:hAnsi="宋体"/>
          <w:sz w:val="24"/>
          <w:szCs w:val="24"/>
          <w:highlight w:val="none"/>
          <w:u w:val="single"/>
        </w:rPr>
        <w:t>无</w:t>
      </w:r>
    </w:p>
    <w:p w14:paraId="05484DB2">
      <w:pPr>
        <w:adjustRightInd w:val="0"/>
        <w:snapToGrid w:val="0"/>
        <w:spacing w:line="360" w:lineRule="auto"/>
        <w:ind w:firstLine="480" w:firstLineChars="200"/>
        <w:rPr>
          <w:rFonts w:ascii="宋体" w:hAnsi="宋体"/>
          <w:kern w:val="0"/>
          <w:sz w:val="24"/>
          <w:szCs w:val="24"/>
          <w:highlight w:val="none"/>
          <w:u w:val="single"/>
        </w:rPr>
      </w:pPr>
      <w:r>
        <w:rPr>
          <w:rFonts w:hint="eastAsia" w:ascii="宋体" w:hAnsi="宋体"/>
          <w:sz w:val="24"/>
          <w:szCs w:val="24"/>
          <w:highlight w:val="none"/>
        </w:rPr>
        <w:t>6.2.5 正常工作酬金增加额按下列方法确定：</w:t>
      </w:r>
      <w:r>
        <w:rPr>
          <w:rFonts w:hint="eastAsia" w:ascii="宋体" w:hAnsi="宋体"/>
          <w:sz w:val="24"/>
          <w:szCs w:val="24"/>
          <w:highlight w:val="none"/>
          <w:u w:val="single"/>
        </w:rPr>
        <w:t>无</w:t>
      </w:r>
    </w:p>
    <w:p w14:paraId="13C693EB">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6.2.6 因工程规模、监理范围的变化导致监理人的正常工作量减少时，按减少工作量的比例从协议书约定的正常工作酬金中扣减相同比例的酬金。</w:t>
      </w:r>
    </w:p>
    <w:p w14:paraId="45DDBF26">
      <w:pPr>
        <w:snapToGrid w:val="0"/>
        <w:spacing w:line="360" w:lineRule="auto"/>
        <w:rPr>
          <w:rFonts w:ascii="宋体" w:hAnsi="宋体"/>
          <w:b/>
          <w:bCs/>
          <w:sz w:val="24"/>
          <w:szCs w:val="24"/>
          <w:highlight w:val="none"/>
        </w:rPr>
      </w:pPr>
      <w:r>
        <w:rPr>
          <w:rFonts w:hint="eastAsia" w:ascii="宋体" w:hAnsi="宋体"/>
          <w:b/>
          <w:bCs/>
          <w:sz w:val="24"/>
          <w:szCs w:val="24"/>
          <w:highlight w:val="none"/>
        </w:rPr>
        <w:t>7. 争议解决</w:t>
      </w:r>
    </w:p>
    <w:p w14:paraId="0F13A5E3">
      <w:pPr>
        <w:snapToGrid w:val="0"/>
        <w:spacing w:line="360" w:lineRule="auto"/>
        <w:ind w:firstLine="235" w:firstLineChars="98"/>
        <w:rPr>
          <w:rFonts w:ascii="宋体" w:hAnsi="宋体"/>
          <w:sz w:val="24"/>
          <w:szCs w:val="24"/>
          <w:highlight w:val="none"/>
        </w:rPr>
      </w:pPr>
      <w:r>
        <w:rPr>
          <w:rFonts w:hint="eastAsia" w:ascii="宋体" w:hAnsi="宋体"/>
          <w:sz w:val="24"/>
          <w:szCs w:val="24"/>
          <w:highlight w:val="none"/>
        </w:rPr>
        <w:t>7.2 调解</w:t>
      </w:r>
    </w:p>
    <w:p w14:paraId="2275CD93">
      <w:pPr>
        <w:snapToGrid w:val="0"/>
        <w:spacing w:line="360" w:lineRule="auto"/>
        <w:ind w:firstLine="470" w:firstLineChars="196"/>
        <w:rPr>
          <w:rFonts w:ascii="宋体" w:hAnsi="宋体"/>
          <w:sz w:val="24"/>
          <w:szCs w:val="24"/>
          <w:highlight w:val="none"/>
        </w:rPr>
      </w:pPr>
      <w:r>
        <w:rPr>
          <w:rFonts w:hint="eastAsia" w:ascii="宋体" w:hAnsi="宋体"/>
          <w:sz w:val="24"/>
          <w:szCs w:val="24"/>
          <w:highlight w:val="none"/>
        </w:rPr>
        <w:t>本合同争议进行调解时，可提交进行调解。</w:t>
      </w:r>
    </w:p>
    <w:p w14:paraId="4DDFF8BF">
      <w:pPr>
        <w:snapToGrid w:val="0"/>
        <w:spacing w:line="360" w:lineRule="auto"/>
        <w:ind w:firstLine="235" w:firstLineChars="98"/>
        <w:rPr>
          <w:rFonts w:ascii="宋体" w:hAnsi="宋体"/>
          <w:sz w:val="24"/>
          <w:szCs w:val="24"/>
          <w:highlight w:val="none"/>
        </w:rPr>
      </w:pPr>
      <w:r>
        <w:rPr>
          <w:rFonts w:hint="eastAsia" w:ascii="宋体" w:hAnsi="宋体"/>
          <w:sz w:val="24"/>
          <w:szCs w:val="24"/>
          <w:highlight w:val="none"/>
        </w:rPr>
        <w:t>7.3 仲裁或诉讼</w:t>
      </w:r>
    </w:p>
    <w:p w14:paraId="4353A866">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合同争议的最终解决方式为下列第</w:t>
      </w:r>
      <w:r>
        <w:rPr>
          <w:rFonts w:hint="eastAsia" w:ascii="宋体" w:hAnsi="宋体"/>
          <w:sz w:val="24"/>
          <w:szCs w:val="24"/>
          <w:highlight w:val="none"/>
          <w:u w:val="single"/>
        </w:rPr>
        <w:t>（1）</w:t>
      </w:r>
      <w:r>
        <w:rPr>
          <w:rFonts w:hint="eastAsia" w:ascii="宋体" w:hAnsi="宋体"/>
          <w:sz w:val="24"/>
          <w:szCs w:val="24"/>
          <w:highlight w:val="none"/>
        </w:rPr>
        <w:t>种方式：</w:t>
      </w:r>
    </w:p>
    <w:p w14:paraId="50AA93F6">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（1）提请</w:t>
      </w:r>
      <w:r>
        <w:rPr>
          <w:rFonts w:hint="eastAsia" w:ascii="宋体" w:hAnsi="宋体"/>
          <w:sz w:val="24"/>
          <w:szCs w:val="24"/>
          <w:highlight w:val="none"/>
          <w:u w:val="single"/>
        </w:rPr>
        <w:t xml:space="preserve"> 三门峡市 </w:t>
      </w:r>
      <w:r>
        <w:rPr>
          <w:rFonts w:hint="eastAsia" w:ascii="宋体" w:hAnsi="宋体"/>
          <w:sz w:val="24"/>
          <w:szCs w:val="24"/>
          <w:highlight w:val="none"/>
        </w:rPr>
        <w:t>仲裁委员会进行仲裁。</w:t>
      </w:r>
    </w:p>
    <w:p w14:paraId="776E1987">
      <w:pPr>
        <w:adjustRightInd w:val="0"/>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（2）向</w:t>
      </w:r>
      <w:r>
        <w:rPr>
          <w:rFonts w:hint="eastAsia" w:ascii="宋体" w:hAnsi="宋体"/>
          <w:sz w:val="24"/>
          <w:szCs w:val="24"/>
          <w:highlight w:val="none"/>
          <w:u w:val="single"/>
        </w:rPr>
        <w:t xml:space="preserve">     /   </w:t>
      </w:r>
      <w:r>
        <w:rPr>
          <w:rFonts w:hint="eastAsia" w:ascii="宋体" w:hAnsi="宋体"/>
          <w:sz w:val="24"/>
          <w:szCs w:val="24"/>
          <w:highlight w:val="none"/>
        </w:rPr>
        <w:t>人民法院提起诉讼。</w:t>
      </w:r>
    </w:p>
    <w:p w14:paraId="4CFEB046">
      <w:pPr>
        <w:adjustRightInd w:val="0"/>
        <w:snapToGrid w:val="0"/>
        <w:spacing w:line="360" w:lineRule="auto"/>
        <w:rPr>
          <w:rFonts w:ascii="宋体" w:hAnsi="宋体"/>
          <w:b/>
          <w:bCs/>
          <w:sz w:val="24"/>
          <w:szCs w:val="24"/>
          <w:highlight w:val="none"/>
        </w:rPr>
      </w:pPr>
      <w:r>
        <w:rPr>
          <w:rFonts w:hint="eastAsia" w:ascii="宋体" w:hAnsi="宋体"/>
          <w:b/>
          <w:bCs/>
          <w:sz w:val="24"/>
          <w:szCs w:val="24"/>
          <w:highlight w:val="none"/>
        </w:rPr>
        <w:t>8. 其他</w:t>
      </w:r>
    </w:p>
    <w:p w14:paraId="5555CC2F">
      <w:pPr>
        <w:adjustRightInd w:val="0"/>
        <w:snapToGrid w:val="0"/>
        <w:spacing w:line="360" w:lineRule="auto"/>
        <w:rPr>
          <w:rFonts w:ascii="宋体" w:hAnsi="宋体"/>
          <w:sz w:val="24"/>
          <w:szCs w:val="24"/>
          <w:highlight w:val="none"/>
        </w:rPr>
      </w:pPr>
      <w:r>
        <w:rPr>
          <w:rFonts w:hint="eastAsia" w:ascii="宋体" w:hAnsi="宋体"/>
          <w:sz w:val="24"/>
          <w:szCs w:val="24"/>
          <w:highlight w:val="none"/>
        </w:rPr>
        <w:t>8.2 检测费用</w:t>
      </w:r>
    </w:p>
    <w:p w14:paraId="075E8E81">
      <w:pPr>
        <w:adjustRightInd w:val="0"/>
        <w:snapToGrid w:val="0"/>
        <w:spacing w:line="360" w:lineRule="auto"/>
        <w:rPr>
          <w:rFonts w:ascii="宋体" w:hAnsi="宋体"/>
          <w:sz w:val="24"/>
          <w:szCs w:val="24"/>
          <w:highlight w:val="none"/>
        </w:rPr>
      </w:pPr>
      <w:r>
        <w:rPr>
          <w:rFonts w:hint="eastAsia" w:ascii="宋体" w:hAnsi="宋体"/>
          <w:sz w:val="24"/>
          <w:szCs w:val="24"/>
          <w:highlight w:val="none"/>
        </w:rPr>
        <w:t xml:space="preserve">    委托人应在检测工作完成后</w:t>
      </w:r>
      <w:r>
        <w:rPr>
          <w:rFonts w:hint="eastAsia" w:ascii="宋体" w:hAnsi="宋体"/>
          <w:sz w:val="24"/>
          <w:szCs w:val="24"/>
          <w:highlight w:val="none"/>
          <w:u w:val="single"/>
        </w:rPr>
        <w:t xml:space="preserve">   /  </w:t>
      </w:r>
      <w:r>
        <w:rPr>
          <w:rFonts w:hint="eastAsia" w:ascii="宋体" w:hAnsi="宋体"/>
          <w:sz w:val="24"/>
          <w:szCs w:val="24"/>
          <w:highlight w:val="none"/>
        </w:rPr>
        <w:t>天内支付检测费用。</w:t>
      </w:r>
    </w:p>
    <w:p w14:paraId="371A8845">
      <w:pPr>
        <w:adjustRightInd w:val="0"/>
        <w:snapToGrid w:val="0"/>
        <w:spacing w:line="360" w:lineRule="auto"/>
        <w:rPr>
          <w:rFonts w:ascii="宋体" w:hAnsi="宋体"/>
          <w:sz w:val="24"/>
          <w:szCs w:val="24"/>
          <w:highlight w:val="none"/>
        </w:rPr>
      </w:pPr>
      <w:r>
        <w:rPr>
          <w:rFonts w:hint="eastAsia" w:ascii="宋体" w:hAnsi="宋体"/>
          <w:sz w:val="24"/>
          <w:szCs w:val="24"/>
          <w:highlight w:val="none"/>
        </w:rPr>
        <w:t xml:space="preserve">  8.3 咨询费用</w:t>
      </w:r>
    </w:p>
    <w:p w14:paraId="24EF0B6D">
      <w:pPr>
        <w:adjustRightInd w:val="0"/>
        <w:snapToGrid w:val="0"/>
        <w:spacing w:line="360" w:lineRule="auto"/>
        <w:rPr>
          <w:rFonts w:ascii="宋体" w:hAnsi="宋体"/>
          <w:sz w:val="24"/>
          <w:szCs w:val="24"/>
          <w:highlight w:val="none"/>
        </w:rPr>
      </w:pPr>
      <w:r>
        <w:rPr>
          <w:rFonts w:hint="eastAsia" w:ascii="宋体" w:hAnsi="宋体"/>
          <w:sz w:val="24"/>
          <w:szCs w:val="24"/>
          <w:highlight w:val="none"/>
        </w:rPr>
        <w:t xml:space="preserve">    委托人应在咨询工作完成后</w:t>
      </w:r>
      <w:r>
        <w:rPr>
          <w:rFonts w:hint="eastAsia" w:ascii="宋体" w:hAnsi="宋体"/>
          <w:sz w:val="24"/>
          <w:szCs w:val="24"/>
          <w:highlight w:val="none"/>
          <w:u w:val="single"/>
        </w:rPr>
        <w:t xml:space="preserve">  /   </w:t>
      </w:r>
      <w:r>
        <w:rPr>
          <w:rFonts w:hint="eastAsia" w:ascii="宋体" w:hAnsi="宋体"/>
          <w:sz w:val="24"/>
          <w:szCs w:val="24"/>
          <w:highlight w:val="none"/>
        </w:rPr>
        <w:t>天内支付咨询费用。</w:t>
      </w:r>
    </w:p>
    <w:p w14:paraId="135C6A17">
      <w:pPr>
        <w:snapToGrid w:val="0"/>
        <w:spacing w:line="360" w:lineRule="auto"/>
        <w:ind w:firstLine="235" w:firstLineChars="98"/>
        <w:rPr>
          <w:rFonts w:ascii="宋体" w:hAnsi="宋体"/>
          <w:sz w:val="24"/>
          <w:szCs w:val="24"/>
          <w:highlight w:val="none"/>
        </w:rPr>
      </w:pPr>
      <w:r>
        <w:rPr>
          <w:rFonts w:hint="eastAsia" w:ascii="宋体" w:hAnsi="宋体"/>
          <w:sz w:val="24"/>
          <w:szCs w:val="24"/>
          <w:highlight w:val="none"/>
        </w:rPr>
        <w:t>8.4 奖励</w:t>
      </w:r>
    </w:p>
    <w:p w14:paraId="1F50B647">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合理化建议的奖励金额按下列方法确定为：</w:t>
      </w:r>
    </w:p>
    <w:p w14:paraId="7BEE4A69">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奖励金额＝工程投资节省额×奖励金额的比率；</w:t>
      </w:r>
    </w:p>
    <w:p w14:paraId="32B99F8B">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奖励金额的比率为</w:t>
      </w:r>
      <w:r>
        <w:rPr>
          <w:rFonts w:hint="eastAsia" w:ascii="宋体" w:hAnsi="宋体"/>
          <w:sz w:val="24"/>
          <w:szCs w:val="24"/>
          <w:highlight w:val="none"/>
          <w:u w:val="single"/>
        </w:rPr>
        <w:t xml:space="preserve">   /   </w:t>
      </w:r>
      <w:r>
        <w:rPr>
          <w:rFonts w:hint="eastAsia" w:ascii="宋体" w:hAnsi="宋体"/>
          <w:sz w:val="24"/>
          <w:szCs w:val="24"/>
          <w:highlight w:val="none"/>
        </w:rPr>
        <w:t>%。</w:t>
      </w:r>
    </w:p>
    <w:p w14:paraId="1297B12D">
      <w:pPr>
        <w:adjustRightInd w:val="0"/>
        <w:snapToGrid w:val="0"/>
        <w:spacing w:line="360" w:lineRule="auto"/>
        <w:ind w:firstLine="235" w:firstLineChars="98"/>
        <w:rPr>
          <w:rFonts w:ascii="宋体" w:hAnsi="宋体"/>
          <w:sz w:val="24"/>
          <w:szCs w:val="24"/>
          <w:highlight w:val="none"/>
        </w:rPr>
      </w:pPr>
      <w:r>
        <w:rPr>
          <w:rFonts w:hint="eastAsia" w:ascii="宋体" w:hAnsi="宋体"/>
          <w:sz w:val="24"/>
          <w:szCs w:val="24"/>
          <w:highlight w:val="none"/>
        </w:rPr>
        <w:t>8.6 保密</w:t>
      </w:r>
    </w:p>
    <w:p w14:paraId="56A83E06">
      <w:pPr>
        <w:adjustRightInd w:val="0"/>
        <w:snapToGrid w:val="0"/>
        <w:spacing w:line="360" w:lineRule="auto"/>
        <w:ind w:firstLine="480" w:firstLineChars="200"/>
        <w:rPr>
          <w:rFonts w:ascii="宋体" w:hAnsi="宋体"/>
          <w:sz w:val="24"/>
          <w:szCs w:val="24"/>
          <w:highlight w:val="none"/>
          <w:u w:val="single"/>
        </w:rPr>
      </w:pPr>
      <w:r>
        <w:rPr>
          <w:rFonts w:hint="eastAsia" w:ascii="宋体" w:hAnsi="宋体"/>
          <w:sz w:val="24"/>
          <w:szCs w:val="24"/>
          <w:highlight w:val="none"/>
        </w:rPr>
        <w:t>委托人申明的保密事项和期限：</w:t>
      </w:r>
      <w:r>
        <w:rPr>
          <w:rFonts w:hint="eastAsia" w:ascii="宋体" w:hAnsi="宋体"/>
          <w:sz w:val="24"/>
          <w:szCs w:val="24"/>
          <w:highlight w:val="none"/>
          <w:u w:val="single"/>
        </w:rPr>
        <w:t xml:space="preserve">           /              </w:t>
      </w:r>
      <w:r>
        <w:rPr>
          <w:rFonts w:hint="eastAsia" w:ascii="宋体" w:hAnsi="宋体"/>
          <w:sz w:val="24"/>
          <w:szCs w:val="24"/>
          <w:highlight w:val="none"/>
        </w:rPr>
        <w:t>。</w:t>
      </w:r>
    </w:p>
    <w:p w14:paraId="37B93FF5">
      <w:pPr>
        <w:adjustRightInd w:val="0"/>
        <w:snapToGrid w:val="0"/>
        <w:spacing w:line="360" w:lineRule="auto"/>
        <w:ind w:firstLine="480" w:firstLineChars="200"/>
        <w:rPr>
          <w:rFonts w:ascii="宋体" w:hAnsi="宋体"/>
          <w:sz w:val="24"/>
          <w:szCs w:val="24"/>
          <w:highlight w:val="none"/>
          <w:u w:val="single"/>
        </w:rPr>
      </w:pPr>
      <w:r>
        <w:rPr>
          <w:rFonts w:hint="eastAsia" w:ascii="宋体" w:hAnsi="宋体"/>
          <w:sz w:val="24"/>
          <w:szCs w:val="24"/>
          <w:highlight w:val="none"/>
        </w:rPr>
        <w:t>监理人申明的保密事项和期限：</w:t>
      </w:r>
      <w:r>
        <w:rPr>
          <w:rFonts w:hint="eastAsia" w:ascii="宋体" w:hAnsi="宋体"/>
          <w:sz w:val="24"/>
          <w:szCs w:val="24"/>
          <w:highlight w:val="none"/>
          <w:u w:val="single"/>
        </w:rPr>
        <w:t xml:space="preserve">            /             </w:t>
      </w:r>
      <w:r>
        <w:rPr>
          <w:rFonts w:hint="eastAsia" w:ascii="宋体" w:hAnsi="宋体"/>
          <w:sz w:val="24"/>
          <w:szCs w:val="24"/>
          <w:highlight w:val="none"/>
        </w:rPr>
        <w:t>。</w:t>
      </w:r>
    </w:p>
    <w:p w14:paraId="1CFFCE62">
      <w:pPr>
        <w:adjustRightInd w:val="0"/>
        <w:snapToGrid w:val="0"/>
        <w:spacing w:line="360" w:lineRule="auto"/>
        <w:ind w:firstLine="480" w:firstLineChars="200"/>
        <w:rPr>
          <w:rFonts w:ascii="宋体" w:hAnsi="宋体"/>
          <w:sz w:val="24"/>
          <w:szCs w:val="24"/>
          <w:highlight w:val="none"/>
          <w:u w:val="single"/>
        </w:rPr>
      </w:pPr>
      <w:r>
        <w:rPr>
          <w:rFonts w:hint="eastAsia" w:ascii="宋体" w:hAnsi="宋体"/>
          <w:sz w:val="24"/>
          <w:szCs w:val="24"/>
          <w:highlight w:val="none"/>
        </w:rPr>
        <w:t>第三方申明的保密事项和期限：</w:t>
      </w:r>
      <w:r>
        <w:rPr>
          <w:rFonts w:hint="eastAsia" w:ascii="宋体" w:hAnsi="宋体"/>
          <w:sz w:val="24"/>
          <w:szCs w:val="24"/>
          <w:highlight w:val="none"/>
          <w:u w:val="single"/>
        </w:rPr>
        <w:t xml:space="preserve">            /             </w:t>
      </w:r>
      <w:r>
        <w:rPr>
          <w:rFonts w:hint="eastAsia" w:ascii="宋体" w:hAnsi="宋体"/>
          <w:sz w:val="24"/>
          <w:szCs w:val="24"/>
          <w:highlight w:val="none"/>
        </w:rPr>
        <w:t>。</w:t>
      </w:r>
    </w:p>
    <w:p w14:paraId="312F9C95">
      <w:pPr>
        <w:snapToGrid w:val="0"/>
        <w:spacing w:line="360" w:lineRule="auto"/>
        <w:ind w:firstLine="235" w:firstLineChars="98"/>
        <w:rPr>
          <w:rFonts w:ascii="宋体" w:hAnsi="宋体"/>
          <w:sz w:val="24"/>
          <w:szCs w:val="24"/>
          <w:highlight w:val="none"/>
        </w:rPr>
      </w:pPr>
      <w:r>
        <w:rPr>
          <w:rFonts w:hint="eastAsia" w:ascii="宋体" w:hAnsi="宋体"/>
          <w:sz w:val="24"/>
          <w:szCs w:val="24"/>
          <w:highlight w:val="none"/>
        </w:rPr>
        <w:t>8.8著作权</w:t>
      </w:r>
    </w:p>
    <w:p w14:paraId="365B2D4C">
      <w:pPr>
        <w:snapToGrid w:val="0"/>
        <w:spacing w:line="360" w:lineRule="auto"/>
        <w:ind w:firstLine="480" w:firstLineChars="200"/>
        <w:rPr>
          <w:rFonts w:ascii="宋体" w:hAnsi="宋体"/>
          <w:sz w:val="24"/>
          <w:szCs w:val="24"/>
          <w:highlight w:val="none"/>
        </w:rPr>
      </w:pPr>
      <w:r>
        <w:rPr>
          <w:rFonts w:hint="eastAsia" w:ascii="宋体" w:hAnsi="宋体"/>
          <w:sz w:val="24"/>
          <w:szCs w:val="24"/>
          <w:highlight w:val="none"/>
        </w:rPr>
        <w:t>监理人在本合同履行期间及本合同终止后两年内出版涉及本工程的有关监理与相关服务的资料的限制条件：</w:t>
      </w:r>
    </w:p>
    <w:p w14:paraId="3B323311">
      <w:pPr>
        <w:adjustRightInd w:val="0"/>
        <w:snapToGrid w:val="0"/>
        <w:spacing w:before="156" w:beforeLines="50" w:after="156" w:afterLines="50" w:line="360" w:lineRule="auto"/>
        <w:ind w:firstLine="480" w:firstLineChars="200"/>
        <w:rPr>
          <w:rFonts w:ascii="宋体" w:hAnsi="宋体"/>
          <w:sz w:val="24"/>
          <w:szCs w:val="24"/>
          <w:highlight w:val="none"/>
        </w:rPr>
      </w:pPr>
      <w:r>
        <w:rPr>
          <w:rFonts w:hint="eastAsia" w:ascii="宋体" w:hAnsi="宋体"/>
          <w:sz w:val="24"/>
          <w:szCs w:val="24"/>
          <w:highlight w:val="none"/>
          <w:u w:val="single"/>
        </w:rPr>
        <w:t xml:space="preserve"> 经委托人书面同意         </w:t>
      </w:r>
      <w:r>
        <w:rPr>
          <w:rFonts w:hint="eastAsia" w:ascii="宋体" w:hAnsi="宋体"/>
          <w:sz w:val="24"/>
          <w:szCs w:val="24"/>
          <w:highlight w:val="none"/>
        </w:rPr>
        <w:t>。</w:t>
      </w:r>
    </w:p>
    <w:p w14:paraId="60E43088">
      <w:pPr>
        <w:adjustRightInd w:val="0"/>
        <w:snapToGrid w:val="0"/>
        <w:spacing w:before="156" w:beforeLines="50" w:after="156" w:afterLines="50" w:line="360" w:lineRule="auto"/>
        <w:ind w:firstLine="240" w:firstLineChars="100"/>
        <w:rPr>
          <w:rFonts w:ascii="宋体" w:hAnsi="宋体"/>
          <w:sz w:val="24"/>
          <w:szCs w:val="24"/>
          <w:highlight w:val="none"/>
        </w:rPr>
      </w:pPr>
      <w:r>
        <w:rPr>
          <w:rFonts w:hint="eastAsia" w:ascii="宋体" w:hAnsi="宋体"/>
          <w:sz w:val="24"/>
          <w:szCs w:val="24"/>
          <w:highlight w:val="none"/>
        </w:rPr>
        <w:t>9. 补充条款</w:t>
      </w:r>
    </w:p>
    <w:p w14:paraId="656D7D03">
      <w:pPr>
        <w:snapToGrid w:val="0"/>
        <w:spacing w:line="544" w:lineRule="atLeast"/>
        <w:ind w:firstLine="480" w:firstLineChars="200"/>
        <w:textAlignment w:val="baseline"/>
        <w:rPr>
          <w:rFonts w:ascii="宋体" w:hAnsi="宋体"/>
          <w:sz w:val="24"/>
          <w:szCs w:val="24"/>
          <w:highlight w:val="none"/>
          <w:u w:val="single"/>
        </w:rPr>
      </w:pPr>
      <w:r>
        <w:rPr>
          <w:rFonts w:hint="eastAsia" w:ascii="宋体" w:hAnsi="宋体"/>
          <w:sz w:val="24"/>
          <w:szCs w:val="24"/>
          <w:highlight w:val="none"/>
          <w:u w:val="single"/>
        </w:rPr>
        <w:t>9.1、投标书中载明的项目总监及其他监理人员未经建设单位同意不得更换或缺席，否则委托人有权终止合同。</w:t>
      </w:r>
    </w:p>
    <w:p w14:paraId="36170CA0">
      <w:pPr>
        <w:snapToGrid w:val="0"/>
        <w:spacing w:line="544" w:lineRule="atLeast"/>
        <w:ind w:firstLine="480" w:firstLineChars="200"/>
        <w:textAlignment w:val="baseline"/>
        <w:rPr>
          <w:rFonts w:ascii="宋体" w:hAnsi="宋体"/>
          <w:sz w:val="24"/>
          <w:szCs w:val="24"/>
          <w:highlight w:val="none"/>
          <w:u w:val="single"/>
        </w:rPr>
      </w:pPr>
      <w:r>
        <w:rPr>
          <w:rFonts w:hint="eastAsia" w:ascii="宋体" w:hAnsi="宋体"/>
          <w:sz w:val="24"/>
          <w:szCs w:val="24"/>
          <w:highlight w:val="none"/>
          <w:u w:val="single"/>
        </w:rPr>
        <w:t>9.2、工地现场实行签到制度，施工期间项目总监每周在现场工作时间不得少于5天，未经建设单位同意每缺席一天支付违约金800元；</w:t>
      </w:r>
    </w:p>
    <w:p w14:paraId="229223E8">
      <w:pPr>
        <w:snapToGrid w:val="0"/>
        <w:spacing w:line="544" w:lineRule="atLeast"/>
        <w:ind w:firstLine="480" w:firstLineChars="200"/>
        <w:textAlignment w:val="baseline"/>
        <w:rPr>
          <w:rFonts w:ascii="宋体" w:hAnsi="宋体"/>
          <w:sz w:val="24"/>
          <w:szCs w:val="24"/>
          <w:highlight w:val="none"/>
          <w:u w:val="single"/>
        </w:rPr>
      </w:pPr>
      <w:r>
        <w:rPr>
          <w:rFonts w:hint="eastAsia" w:ascii="宋体" w:hAnsi="宋体"/>
          <w:sz w:val="24"/>
          <w:szCs w:val="24"/>
          <w:highlight w:val="none"/>
          <w:u w:val="single"/>
        </w:rPr>
        <w:t>其他监理人员每周在现场工作时间不得少于6天；未经建设单位同意每人每缺席一天支付违约金600元。</w:t>
      </w:r>
    </w:p>
    <w:p w14:paraId="62F398AD">
      <w:pPr>
        <w:snapToGrid w:val="0"/>
        <w:spacing w:line="544" w:lineRule="atLeast"/>
        <w:ind w:firstLine="480" w:firstLineChars="200"/>
        <w:textAlignment w:val="baseline"/>
        <w:rPr>
          <w:rFonts w:ascii="宋体" w:hAnsi="宋体"/>
          <w:sz w:val="24"/>
          <w:szCs w:val="24"/>
          <w:highlight w:val="none"/>
          <w:u w:val="single"/>
        </w:rPr>
      </w:pPr>
      <w:r>
        <w:rPr>
          <w:rFonts w:hint="eastAsia" w:ascii="宋体" w:hAnsi="宋体"/>
          <w:sz w:val="24"/>
          <w:szCs w:val="24"/>
          <w:highlight w:val="none"/>
          <w:u w:val="single"/>
        </w:rPr>
        <w:t>9.3、如发现监理人员对施工单位有吃拿卡要行为，委托方每发现一次将对监理方处以一万元罚金，罚金从监理费中扣除。</w:t>
      </w:r>
    </w:p>
    <w:p w14:paraId="1922CC79">
      <w:pPr>
        <w:snapToGrid w:val="0"/>
        <w:spacing w:line="544" w:lineRule="atLeast"/>
        <w:ind w:firstLine="480" w:firstLineChars="200"/>
        <w:textAlignment w:val="baseline"/>
        <w:rPr>
          <w:rFonts w:ascii="宋体" w:hAnsi="宋体"/>
          <w:sz w:val="24"/>
          <w:szCs w:val="24"/>
          <w:highlight w:val="none"/>
          <w:u w:val="single"/>
        </w:rPr>
      </w:pPr>
      <w:r>
        <w:rPr>
          <w:rFonts w:hint="eastAsia" w:ascii="宋体" w:hAnsi="宋体"/>
          <w:sz w:val="24"/>
          <w:szCs w:val="24"/>
          <w:highlight w:val="none"/>
          <w:u w:val="single"/>
        </w:rPr>
        <w:t>9.4、如监理人在工程量签证时虚增工程量，委托人将对监理人处以虚增工程量2倍的罚款，罚款从监理费中扣除，同时取消监理人今后参加委托人所有工程监理的投标资格。</w:t>
      </w:r>
    </w:p>
    <w:p w14:paraId="07835698">
      <w:pPr>
        <w:snapToGrid w:val="0"/>
        <w:spacing w:line="544" w:lineRule="atLeast"/>
        <w:ind w:firstLine="480" w:firstLineChars="200"/>
        <w:textAlignment w:val="baseline"/>
        <w:rPr>
          <w:rFonts w:ascii="宋体" w:hAnsi="宋体"/>
          <w:sz w:val="24"/>
          <w:szCs w:val="24"/>
          <w:highlight w:val="none"/>
          <w:u w:val="single"/>
        </w:rPr>
      </w:pPr>
      <w:r>
        <w:rPr>
          <w:rFonts w:hint="eastAsia" w:ascii="宋体" w:hAnsi="宋体"/>
          <w:sz w:val="24"/>
          <w:szCs w:val="24"/>
          <w:highlight w:val="none"/>
          <w:u w:val="single"/>
        </w:rPr>
        <w:t>9.5、如果工程质量达不到合同要求，扣除不合格部分的全部监理费用，并处以相同数额的罚款。</w:t>
      </w:r>
    </w:p>
    <w:p w14:paraId="000E5E1A">
      <w:pPr>
        <w:snapToGrid w:val="0"/>
        <w:spacing w:line="544" w:lineRule="atLeast"/>
        <w:ind w:firstLine="480" w:firstLineChars="200"/>
        <w:textAlignment w:val="baseline"/>
        <w:rPr>
          <w:rFonts w:ascii="宋体" w:hAnsi="宋体"/>
          <w:sz w:val="24"/>
          <w:szCs w:val="24"/>
          <w:highlight w:val="none"/>
          <w:u w:val="single"/>
        </w:rPr>
      </w:pPr>
      <w:r>
        <w:rPr>
          <w:rFonts w:hint="eastAsia" w:ascii="宋体" w:hAnsi="宋体"/>
          <w:sz w:val="24"/>
          <w:szCs w:val="24"/>
          <w:highlight w:val="none"/>
          <w:u w:val="single"/>
        </w:rPr>
        <w:t>9.6、发现施工单位使用不合格材料而监理人未阻止的，每次处罚监理人2000元。</w:t>
      </w:r>
    </w:p>
    <w:p w14:paraId="0F54B71D">
      <w:pPr>
        <w:adjustRightInd w:val="0"/>
        <w:snapToGrid w:val="0"/>
        <w:spacing w:before="156" w:beforeLines="50" w:after="156" w:afterLines="50" w:line="360" w:lineRule="auto"/>
        <w:ind w:firstLine="480" w:firstLineChars="200"/>
        <w:rPr>
          <w:rFonts w:ascii="宋体" w:hAnsi="宋体"/>
          <w:sz w:val="24"/>
          <w:szCs w:val="24"/>
          <w:highlight w:val="none"/>
        </w:rPr>
      </w:pPr>
      <w:r>
        <w:rPr>
          <w:rFonts w:hint="eastAsia" w:ascii="宋体" w:hAnsi="宋体"/>
          <w:sz w:val="24"/>
          <w:szCs w:val="24"/>
          <w:highlight w:val="none"/>
          <w:u w:val="single"/>
        </w:rPr>
        <w:t>9.7、因为安全防护措施不符合要求造成施工过程中发生损失10000元以上安全事故的，每次处罚监理人5000—20000元。</w:t>
      </w:r>
    </w:p>
    <w:p w14:paraId="3838953A">
      <w:pPr>
        <w:snapToGrid w:val="0"/>
        <w:spacing w:before="156" w:beforeLines="50" w:after="156" w:afterLines="50" w:line="360" w:lineRule="auto"/>
        <w:ind w:firstLine="480" w:firstLineChars="200"/>
        <w:rPr>
          <w:rFonts w:ascii="宋体" w:hAnsi="宋体"/>
          <w:sz w:val="24"/>
          <w:szCs w:val="24"/>
          <w:highlight w:val="none"/>
        </w:rPr>
      </w:pPr>
    </w:p>
    <w:p w14:paraId="621BEC18">
      <w:pPr>
        <w:spacing w:line="360" w:lineRule="auto"/>
        <w:rPr>
          <w:rFonts w:ascii="宋体" w:hAnsi="宋体"/>
          <w:sz w:val="24"/>
          <w:szCs w:val="24"/>
          <w:highlight w:val="none"/>
        </w:rPr>
      </w:pPr>
    </w:p>
    <w:bookmarkEnd w:id="493"/>
    <w:bookmarkEnd w:id="494"/>
    <w:p w14:paraId="7CDAE2A7">
      <w:pPr>
        <w:jc w:val="center"/>
        <w:rPr>
          <w:rFonts w:ascii="宋体" w:hAnsi="宋体" w:eastAsia="宋体" w:cs="Courier New"/>
          <w:b/>
          <w:bCs/>
          <w:sz w:val="32"/>
          <w:szCs w:val="32"/>
        </w:rPr>
      </w:pPr>
      <w:bookmarkStart w:id="515" w:name="_Toc3615"/>
      <w:bookmarkStart w:id="516" w:name="_Toc23774491"/>
      <w:r>
        <w:rPr>
          <w:rFonts w:hint="eastAsia" w:ascii="宋体" w:hAnsi="宋体" w:eastAsia="宋体" w:cs="Courier New"/>
          <w:b/>
          <w:bCs/>
          <w:sz w:val="32"/>
          <w:szCs w:val="32"/>
        </w:rPr>
        <w:br w:type="page"/>
      </w:r>
      <w:r>
        <w:rPr>
          <w:rFonts w:hint="eastAsia" w:ascii="宋体" w:hAnsi="宋体" w:eastAsia="宋体" w:cs="Courier New"/>
          <w:b/>
          <w:bCs/>
          <w:sz w:val="32"/>
          <w:szCs w:val="32"/>
        </w:rPr>
        <w:t>第</w:t>
      </w:r>
      <w:r>
        <w:rPr>
          <w:rFonts w:hint="eastAsia" w:ascii="宋体" w:hAnsi="宋体" w:eastAsia="宋体" w:cs="Courier New"/>
          <w:b/>
          <w:bCs/>
          <w:sz w:val="32"/>
          <w:szCs w:val="32"/>
          <w:lang w:eastAsia="zh-CN"/>
        </w:rPr>
        <w:t>五</w:t>
      </w:r>
      <w:r>
        <w:rPr>
          <w:rFonts w:hint="eastAsia" w:ascii="宋体" w:hAnsi="宋体" w:eastAsia="宋体" w:cs="Courier New"/>
          <w:b/>
          <w:bCs/>
          <w:sz w:val="32"/>
          <w:szCs w:val="32"/>
        </w:rPr>
        <w:t>章  响应文件格式</w:t>
      </w:r>
      <w:bookmarkEnd w:id="487"/>
      <w:bookmarkEnd w:id="515"/>
      <w:bookmarkEnd w:id="516"/>
    </w:p>
    <w:p w14:paraId="5020C686">
      <w:pPr>
        <w:keepNext/>
        <w:keepLines/>
        <w:wordWrap w:val="0"/>
        <w:topLinePunct/>
        <w:spacing w:line="416" w:lineRule="auto"/>
        <w:jc w:val="center"/>
        <w:outlineLvl w:val="1"/>
        <w:rPr>
          <w:rFonts w:hint="default" w:ascii="宋体" w:hAnsi="宋体" w:eastAsia="宋体" w:cs="宋体"/>
          <w:b/>
          <w:bCs/>
          <w:sz w:val="36"/>
          <w:szCs w:val="36"/>
          <w:lang w:val="en-US" w:eastAsia="zh-CN"/>
        </w:rPr>
      </w:pPr>
      <w:bookmarkStart w:id="517" w:name="_Toc265572092"/>
      <w:bookmarkStart w:id="518" w:name="_Toc28975"/>
      <w:bookmarkStart w:id="519" w:name="_Toc9983"/>
      <w:r>
        <w:rPr>
          <w:rFonts w:hint="eastAsia" w:ascii="宋体" w:hAnsi="宋体" w:eastAsia="宋体" w:cs="宋体"/>
          <w:b/>
          <w:bCs/>
          <w:i w:val="0"/>
          <w:iCs w:val="0"/>
          <w:sz w:val="36"/>
          <w:szCs w:val="36"/>
          <w:u w:val="single"/>
          <w:lang w:eastAsia="zh-CN"/>
        </w:rPr>
        <w:t>（</w:t>
      </w:r>
      <w:r>
        <w:rPr>
          <w:rFonts w:hint="eastAsia" w:ascii="宋体" w:hAnsi="宋体" w:eastAsia="宋体" w:cs="宋体"/>
          <w:b/>
          <w:bCs/>
          <w:i w:val="0"/>
          <w:iCs w:val="0"/>
          <w:sz w:val="36"/>
          <w:szCs w:val="36"/>
          <w:u w:val="single"/>
        </w:rPr>
        <w:t>项目名称</w:t>
      </w:r>
      <w:r>
        <w:rPr>
          <w:rFonts w:hint="eastAsia" w:ascii="宋体" w:hAnsi="宋体" w:eastAsia="宋体" w:cs="宋体"/>
          <w:b/>
          <w:bCs/>
          <w:i w:val="0"/>
          <w:iCs w:val="0"/>
          <w:sz w:val="36"/>
          <w:szCs w:val="36"/>
          <w:u w:val="single"/>
          <w:lang w:eastAsia="zh-CN"/>
        </w:rPr>
        <w:t>）</w:t>
      </w:r>
    </w:p>
    <w:p w14:paraId="70F5C43F">
      <w:pPr>
        <w:wordWrap w:val="0"/>
        <w:topLinePunct/>
        <w:spacing w:before="312" w:beforeLines="100" w:after="312" w:afterLines="100" w:line="360" w:lineRule="auto"/>
        <w:jc w:val="center"/>
        <w:rPr>
          <w:rFonts w:ascii="宋体" w:hAnsi="宋体" w:eastAsia="宋体" w:cs="Courier New"/>
          <w:b/>
          <w:bCs/>
          <w:sz w:val="84"/>
          <w:szCs w:val="84"/>
        </w:rPr>
      </w:pPr>
    </w:p>
    <w:p w14:paraId="492A7434">
      <w:pPr>
        <w:wordWrap w:val="0"/>
        <w:topLinePunct/>
        <w:spacing w:before="312" w:beforeLines="100" w:after="312" w:afterLines="100" w:line="360" w:lineRule="auto"/>
        <w:jc w:val="center"/>
        <w:rPr>
          <w:rFonts w:ascii="宋体" w:hAnsi="宋体" w:eastAsia="宋体" w:cs="Courier New"/>
          <w:b/>
          <w:bCs/>
          <w:sz w:val="72"/>
          <w:szCs w:val="72"/>
        </w:rPr>
      </w:pPr>
      <w:r>
        <w:rPr>
          <w:rFonts w:hint="eastAsia" w:ascii="宋体" w:hAnsi="宋体" w:eastAsia="宋体" w:cs="Courier New"/>
          <w:b/>
          <w:bCs/>
          <w:sz w:val="72"/>
          <w:szCs w:val="72"/>
        </w:rPr>
        <w:t>响应文件</w:t>
      </w:r>
    </w:p>
    <w:p w14:paraId="38ED0865">
      <w:pPr>
        <w:wordWrap w:val="0"/>
        <w:topLinePunct/>
        <w:spacing w:before="312" w:beforeLines="100" w:after="312" w:afterLines="100" w:line="360" w:lineRule="auto"/>
        <w:ind w:firstLine="2940" w:firstLineChars="1050"/>
        <w:rPr>
          <w:rFonts w:ascii="宋体" w:hAnsi="宋体" w:eastAsia="宋体" w:cs="Courier New"/>
          <w:b/>
          <w:bCs/>
          <w:sz w:val="30"/>
          <w:szCs w:val="30"/>
        </w:rPr>
      </w:pPr>
      <w:r>
        <w:rPr>
          <w:rFonts w:hint="eastAsia" w:ascii="宋体" w:hAnsi="宋体" w:eastAsia="宋体" w:cs="Courier New"/>
          <w:sz w:val="28"/>
          <w:szCs w:val="28"/>
        </w:rPr>
        <w:t>项目编号：</w:t>
      </w:r>
    </w:p>
    <w:p w14:paraId="29BBCC69">
      <w:pPr>
        <w:wordWrap w:val="0"/>
        <w:topLinePunct/>
        <w:spacing w:before="312" w:beforeLines="100" w:after="312" w:afterLines="100" w:line="360" w:lineRule="auto"/>
        <w:jc w:val="center"/>
        <w:rPr>
          <w:rFonts w:ascii="宋体" w:hAnsi="宋体" w:eastAsia="宋体" w:cs="Courier New"/>
          <w:bCs/>
          <w:sz w:val="32"/>
          <w:szCs w:val="21"/>
        </w:rPr>
      </w:pPr>
    </w:p>
    <w:p w14:paraId="434D011D">
      <w:pPr>
        <w:wordWrap w:val="0"/>
        <w:topLinePunct/>
        <w:spacing w:before="312" w:beforeLines="100" w:after="312" w:afterLines="100" w:line="360" w:lineRule="auto"/>
        <w:jc w:val="center"/>
        <w:rPr>
          <w:rFonts w:ascii="宋体" w:hAnsi="宋体" w:eastAsia="宋体" w:cs="Courier New"/>
          <w:b/>
          <w:bCs/>
          <w:sz w:val="32"/>
          <w:szCs w:val="21"/>
          <w:u w:val="single"/>
        </w:rPr>
      </w:pPr>
    </w:p>
    <w:p w14:paraId="49094DDE">
      <w:pPr>
        <w:wordWrap w:val="0"/>
        <w:topLinePunct/>
        <w:spacing w:before="312" w:beforeLines="100" w:after="312" w:afterLines="100" w:line="360" w:lineRule="auto"/>
        <w:jc w:val="center"/>
        <w:rPr>
          <w:rFonts w:ascii="宋体" w:hAnsi="宋体" w:eastAsia="宋体" w:cs="Courier New"/>
          <w:b/>
          <w:bCs/>
          <w:sz w:val="32"/>
          <w:szCs w:val="21"/>
          <w:u w:val="single"/>
        </w:rPr>
      </w:pPr>
    </w:p>
    <w:p w14:paraId="4AD2E915">
      <w:pPr>
        <w:wordWrap w:val="0"/>
        <w:topLinePunct/>
        <w:spacing w:before="312" w:beforeLines="100" w:after="312" w:afterLines="100" w:line="360" w:lineRule="auto"/>
        <w:jc w:val="center"/>
        <w:rPr>
          <w:rFonts w:ascii="宋体" w:hAnsi="宋体" w:eastAsia="宋体" w:cs="Courier New"/>
          <w:b/>
          <w:bCs/>
          <w:sz w:val="32"/>
          <w:szCs w:val="21"/>
          <w:u w:val="single"/>
        </w:rPr>
      </w:pPr>
    </w:p>
    <w:p w14:paraId="11D9F555">
      <w:pPr>
        <w:wordWrap w:val="0"/>
        <w:topLinePunct/>
        <w:spacing w:before="312" w:beforeLines="100" w:after="312" w:afterLines="100" w:line="360" w:lineRule="auto"/>
        <w:jc w:val="center"/>
        <w:rPr>
          <w:rFonts w:ascii="宋体" w:hAnsi="宋体" w:eastAsia="宋体" w:cs="Courier New"/>
          <w:b/>
          <w:bCs/>
          <w:sz w:val="24"/>
          <w:szCs w:val="18"/>
          <w:u w:val="single"/>
        </w:rPr>
      </w:pPr>
      <w:r>
        <w:rPr>
          <w:rFonts w:hint="eastAsia" w:ascii="宋体" w:hAnsi="宋体" w:eastAsia="宋体" w:cs="Courier New"/>
          <w:b/>
          <w:bCs/>
          <w:sz w:val="24"/>
          <w:szCs w:val="18"/>
        </w:rPr>
        <w:t>供  应  商：</w:t>
      </w:r>
      <w:r>
        <w:rPr>
          <w:rFonts w:hint="eastAsia" w:ascii="宋体" w:hAnsi="宋体" w:eastAsia="宋体" w:cs="Courier New"/>
          <w:b/>
          <w:bCs/>
          <w:sz w:val="24"/>
          <w:szCs w:val="18"/>
          <w:u w:val="single"/>
        </w:rPr>
        <w:t xml:space="preserve">                 </w:t>
      </w:r>
      <w:r>
        <w:rPr>
          <w:rFonts w:hint="eastAsia" w:ascii="宋体" w:hAnsi="宋体" w:eastAsia="宋体" w:cs="Courier New"/>
          <w:b/>
          <w:bCs/>
          <w:sz w:val="24"/>
          <w:szCs w:val="18"/>
        </w:rPr>
        <w:t>（</w:t>
      </w:r>
      <w:r>
        <w:rPr>
          <w:rFonts w:hint="eastAsia" w:ascii="宋体" w:hAnsi="宋体" w:eastAsia="宋体" w:cs="Courier New"/>
          <w:b/>
          <w:bCs/>
          <w:sz w:val="24"/>
          <w:szCs w:val="18"/>
          <w:lang w:eastAsia="zh-CN"/>
        </w:rPr>
        <w:t>电子签章</w:t>
      </w:r>
      <w:r>
        <w:rPr>
          <w:rFonts w:hint="eastAsia" w:ascii="宋体" w:hAnsi="宋体" w:eastAsia="宋体" w:cs="Courier New"/>
          <w:b/>
          <w:bCs/>
          <w:sz w:val="24"/>
          <w:szCs w:val="18"/>
        </w:rPr>
        <w:t>）</w:t>
      </w:r>
    </w:p>
    <w:p w14:paraId="60E5DC48">
      <w:pPr>
        <w:wordWrap w:val="0"/>
        <w:topLinePunct/>
        <w:spacing w:before="312" w:beforeLines="100" w:after="312" w:afterLines="100" w:line="360" w:lineRule="auto"/>
        <w:jc w:val="center"/>
        <w:rPr>
          <w:rFonts w:ascii="宋体" w:hAnsi="宋体" w:eastAsia="宋体" w:cs="Courier New"/>
          <w:b/>
          <w:bCs/>
          <w:sz w:val="24"/>
          <w:szCs w:val="24"/>
        </w:rPr>
      </w:pPr>
      <w:r>
        <w:rPr>
          <w:rFonts w:hint="eastAsia" w:ascii="宋体" w:hAnsi="宋体" w:eastAsia="宋体" w:cs="Courier New"/>
          <w:b/>
          <w:bCs/>
          <w:sz w:val="24"/>
          <w:szCs w:val="24"/>
        </w:rPr>
        <w:t>法定代表人：</w:t>
      </w:r>
      <w:r>
        <w:rPr>
          <w:rFonts w:hint="eastAsia" w:ascii="宋体" w:hAnsi="宋体" w:eastAsia="宋体" w:cs="Courier New"/>
          <w:b/>
          <w:bCs/>
          <w:sz w:val="24"/>
          <w:szCs w:val="24"/>
          <w:u w:val="single"/>
        </w:rPr>
        <w:t xml:space="preserve">                  </w:t>
      </w:r>
      <w:r>
        <w:rPr>
          <w:rFonts w:hint="eastAsia" w:ascii="宋体" w:hAnsi="宋体" w:eastAsia="宋体" w:cs="Courier New"/>
          <w:b/>
          <w:bCs/>
          <w:sz w:val="24"/>
          <w:szCs w:val="18"/>
          <w:lang w:eastAsia="zh-CN"/>
        </w:rPr>
        <w:t>（电子签章）</w:t>
      </w:r>
    </w:p>
    <w:p w14:paraId="106D2F27">
      <w:pPr>
        <w:wordWrap w:val="0"/>
        <w:topLinePunct/>
        <w:spacing w:before="312" w:beforeLines="100" w:after="312" w:afterLines="100" w:line="360" w:lineRule="auto"/>
        <w:jc w:val="center"/>
        <w:rPr>
          <w:rFonts w:hint="eastAsia" w:ascii="宋体" w:hAnsi="宋体" w:eastAsia="宋体" w:cs="Courier New"/>
          <w:b/>
          <w:bCs/>
          <w:sz w:val="24"/>
          <w:szCs w:val="24"/>
        </w:rPr>
      </w:pPr>
      <w:r>
        <w:rPr>
          <w:rFonts w:hint="eastAsia" w:ascii="宋体" w:hAnsi="宋体" w:eastAsia="宋体" w:cs="Courier New"/>
          <w:b/>
          <w:bCs/>
          <w:sz w:val="24"/>
          <w:szCs w:val="24"/>
        </w:rPr>
        <w:t>日      期：</w:t>
      </w:r>
      <w:r>
        <w:rPr>
          <w:rFonts w:hint="eastAsia" w:ascii="宋体" w:hAnsi="宋体" w:eastAsia="宋体" w:cs="Courier New"/>
          <w:b/>
          <w:bCs/>
          <w:sz w:val="24"/>
          <w:szCs w:val="24"/>
          <w:u w:val="single"/>
        </w:rPr>
        <w:t xml:space="preserve">        </w:t>
      </w:r>
      <w:r>
        <w:rPr>
          <w:rFonts w:hint="eastAsia" w:ascii="宋体" w:hAnsi="宋体" w:eastAsia="宋体" w:cs="Courier New"/>
          <w:b/>
          <w:bCs/>
          <w:sz w:val="24"/>
          <w:szCs w:val="24"/>
        </w:rPr>
        <w:t xml:space="preserve"> 年 </w:t>
      </w:r>
      <w:r>
        <w:rPr>
          <w:rFonts w:hint="eastAsia" w:ascii="宋体" w:hAnsi="宋体" w:eastAsia="宋体" w:cs="Courier New"/>
          <w:b/>
          <w:bCs/>
          <w:sz w:val="24"/>
          <w:szCs w:val="24"/>
          <w:u w:val="single"/>
        </w:rPr>
        <w:t xml:space="preserve">      </w:t>
      </w:r>
      <w:r>
        <w:rPr>
          <w:rFonts w:hint="eastAsia" w:ascii="宋体" w:hAnsi="宋体" w:eastAsia="宋体" w:cs="Courier New"/>
          <w:b/>
          <w:bCs/>
          <w:sz w:val="24"/>
          <w:szCs w:val="24"/>
        </w:rPr>
        <w:t>月</w:t>
      </w:r>
      <w:r>
        <w:rPr>
          <w:rFonts w:hint="eastAsia" w:ascii="宋体" w:hAnsi="宋体" w:eastAsia="宋体" w:cs="Courier New"/>
          <w:b/>
          <w:bCs/>
          <w:sz w:val="24"/>
          <w:szCs w:val="24"/>
          <w:u w:val="single"/>
        </w:rPr>
        <w:t xml:space="preserve">       </w:t>
      </w:r>
      <w:r>
        <w:rPr>
          <w:rFonts w:hint="eastAsia" w:ascii="宋体" w:hAnsi="宋体" w:eastAsia="宋体" w:cs="Courier New"/>
          <w:b/>
          <w:bCs/>
          <w:sz w:val="24"/>
          <w:szCs w:val="24"/>
        </w:rPr>
        <w:t>日</w:t>
      </w:r>
    </w:p>
    <w:p w14:paraId="472DF4E9">
      <w:pPr>
        <w:rPr>
          <w:rFonts w:hint="eastAsia" w:ascii="宋体" w:hAnsi="宋体" w:eastAsia="宋体" w:cs="Courier New"/>
          <w:b/>
          <w:bCs/>
          <w:sz w:val="30"/>
          <w:szCs w:val="30"/>
        </w:rPr>
      </w:pPr>
      <w:r>
        <w:rPr>
          <w:rFonts w:hint="eastAsia" w:ascii="宋体" w:hAnsi="宋体" w:eastAsia="宋体" w:cs="Courier New"/>
          <w:b/>
          <w:bCs/>
          <w:sz w:val="30"/>
          <w:szCs w:val="30"/>
        </w:rPr>
        <w:br w:type="page"/>
      </w:r>
    </w:p>
    <w:p w14:paraId="16251926">
      <w:pPr>
        <w:widowControl/>
        <w:jc w:val="center"/>
        <w:rPr>
          <w:rFonts w:hint="eastAsia" w:ascii="宋体" w:hAnsi="宋体" w:eastAsia="宋体" w:cs="Courier New"/>
          <w:b/>
          <w:bCs/>
          <w:sz w:val="28"/>
          <w:szCs w:val="30"/>
          <w:highlight w:val="none"/>
          <w:lang w:eastAsia="zh-CN"/>
        </w:rPr>
      </w:pPr>
      <w:r>
        <w:rPr>
          <w:rFonts w:hint="eastAsia" w:ascii="宋体" w:hAnsi="宋体" w:eastAsia="宋体" w:cs="Courier New"/>
          <w:b/>
          <w:bCs/>
          <w:sz w:val="28"/>
          <w:szCs w:val="30"/>
          <w:highlight w:val="none"/>
          <w:lang w:eastAsia="zh-CN"/>
        </w:rPr>
        <w:t>目录</w:t>
      </w:r>
    </w:p>
    <w:p w14:paraId="34FD2698">
      <w:pPr>
        <w:widowControl/>
        <w:jc w:val="left"/>
        <w:rPr>
          <w:rFonts w:ascii="宋体" w:hAnsi="宋体" w:eastAsia="宋体" w:cs="Courier New"/>
          <w:b/>
          <w:bCs/>
          <w:sz w:val="28"/>
          <w:szCs w:val="30"/>
          <w:highlight w:val="none"/>
        </w:rPr>
      </w:pPr>
      <w:r>
        <w:rPr>
          <w:rFonts w:hint="eastAsia" w:ascii="宋体" w:hAnsi="宋体" w:eastAsia="宋体" w:cs="Courier New"/>
          <w:b/>
          <w:bCs/>
          <w:sz w:val="28"/>
          <w:szCs w:val="30"/>
          <w:highlight w:val="none"/>
        </w:rPr>
        <w:t>一、报价函及报价函附录</w:t>
      </w:r>
    </w:p>
    <w:p w14:paraId="6C5D5F9E">
      <w:pPr>
        <w:widowControl/>
        <w:jc w:val="left"/>
        <w:rPr>
          <w:rFonts w:ascii="宋体" w:hAnsi="宋体" w:eastAsia="宋体" w:cs="Courier New"/>
          <w:b/>
          <w:bCs/>
          <w:sz w:val="28"/>
          <w:szCs w:val="30"/>
          <w:highlight w:val="none"/>
        </w:rPr>
      </w:pPr>
      <w:r>
        <w:rPr>
          <w:rFonts w:hint="eastAsia" w:ascii="宋体" w:hAnsi="宋体" w:eastAsia="宋体" w:cs="Courier New"/>
          <w:b/>
          <w:bCs/>
          <w:sz w:val="28"/>
          <w:szCs w:val="30"/>
          <w:highlight w:val="none"/>
        </w:rPr>
        <w:t>二、法定代表人身份证明</w:t>
      </w:r>
    </w:p>
    <w:p w14:paraId="7A5E1882">
      <w:pPr>
        <w:widowControl/>
        <w:jc w:val="left"/>
        <w:rPr>
          <w:rFonts w:ascii="宋体" w:hAnsi="宋体" w:eastAsia="宋体" w:cs="Courier New"/>
          <w:b/>
          <w:bCs/>
          <w:sz w:val="28"/>
          <w:szCs w:val="30"/>
          <w:highlight w:val="none"/>
        </w:rPr>
      </w:pPr>
      <w:r>
        <w:rPr>
          <w:rFonts w:hint="eastAsia" w:ascii="宋体" w:hAnsi="宋体" w:eastAsia="宋体" w:cs="Courier New"/>
          <w:b/>
          <w:bCs/>
          <w:sz w:val="28"/>
          <w:szCs w:val="30"/>
          <w:highlight w:val="none"/>
        </w:rPr>
        <w:t>三、</w:t>
      </w:r>
      <w:r>
        <w:rPr>
          <w:rFonts w:ascii="宋体" w:hAnsi="宋体" w:eastAsia="宋体" w:cs="Courier New"/>
          <w:b/>
          <w:bCs/>
          <w:sz w:val="28"/>
          <w:szCs w:val="30"/>
          <w:highlight w:val="none"/>
        </w:rPr>
        <w:t>授权委托书</w:t>
      </w:r>
    </w:p>
    <w:p w14:paraId="393652D9">
      <w:pPr>
        <w:widowControl/>
        <w:jc w:val="left"/>
        <w:rPr>
          <w:rFonts w:ascii="宋体" w:hAnsi="宋体" w:eastAsia="宋体" w:cs="Courier New"/>
          <w:b/>
          <w:bCs/>
          <w:sz w:val="28"/>
          <w:szCs w:val="30"/>
          <w:highlight w:val="none"/>
        </w:rPr>
      </w:pPr>
      <w:r>
        <w:rPr>
          <w:rFonts w:hint="eastAsia" w:ascii="宋体" w:hAnsi="宋体" w:eastAsia="宋体" w:cs="Courier New"/>
          <w:b/>
          <w:bCs/>
          <w:sz w:val="28"/>
          <w:szCs w:val="30"/>
          <w:highlight w:val="none"/>
        </w:rPr>
        <w:t>四、供应商基本情况</w:t>
      </w:r>
    </w:p>
    <w:p w14:paraId="03326152">
      <w:pPr>
        <w:widowControl/>
        <w:jc w:val="left"/>
        <w:rPr>
          <w:rFonts w:hint="eastAsia" w:ascii="宋体" w:hAnsi="宋体" w:eastAsia="宋体" w:cs="Courier New"/>
          <w:b/>
          <w:bCs/>
          <w:sz w:val="28"/>
          <w:szCs w:val="30"/>
          <w:highlight w:val="none"/>
          <w:lang w:eastAsia="zh-CN"/>
        </w:rPr>
      </w:pPr>
      <w:r>
        <w:rPr>
          <w:rFonts w:hint="eastAsia" w:ascii="宋体" w:hAnsi="宋体" w:eastAsia="宋体" w:cs="Courier New"/>
          <w:b/>
          <w:bCs/>
          <w:sz w:val="28"/>
          <w:szCs w:val="30"/>
          <w:highlight w:val="none"/>
          <w:lang w:eastAsia="zh-CN"/>
        </w:rPr>
        <w:t>五</w:t>
      </w:r>
      <w:r>
        <w:rPr>
          <w:rFonts w:hint="eastAsia" w:ascii="宋体" w:hAnsi="宋体" w:eastAsia="宋体" w:cs="Courier New"/>
          <w:b/>
          <w:bCs/>
          <w:sz w:val="28"/>
          <w:szCs w:val="30"/>
          <w:highlight w:val="none"/>
        </w:rPr>
        <w:t>、</w:t>
      </w:r>
      <w:r>
        <w:rPr>
          <w:rFonts w:hint="eastAsia" w:ascii="宋体" w:hAnsi="宋体" w:eastAsia="宋体" w:cs="Courier New"/>
          <w:b/>
          <w:bCs/>
          <w:sz w:val="28"/>
          <w:szCs w:val="30"/>
          <w:highlight w:val="none"/>
          <w:lang w:eastAsia="zh-CN"/>
        </w:rPr>
        <w:t>技术部分（监理大纲）</w:t>
      </w:r>
    </w:p>
    <w:p w14:paraId="7B70B57E">
      <w:pPr>
        <w:widowControl/>
        <w:jc w:val="left"/>
        <w:rPr>
          <w:rFonts w:hint="eastAsia" w:ascii="宋体" w:hAnsi="宋体" w:eastAsia="宋体" w:cs="Courier New"/>
          <w:b/>
          <w:bCs/>
          <w:sz w:val="28"/>
          <w:szCs w:val="30"/>
          <w:highlight w:val="none"/>
          <w:lang w:eastAsia="zh-CN"/>
        </w:rPr>
      </w:pPr>
      <w:r>
        <w:rPr>
          <w:rFonts w:hint="eastAsia" w:ascii="宋体" w:hAnsi="宋体" w:eastAsia="宋体" w:cs="Courier New"/>
          <w:b/>
          <w:bCs/>
          <w:sz w:val="28"/>
          <w:szCs w:val="30"/>
          <w:highlight w:val="none"/>
          <w:lang w:eastAsia="zh-CN"/>
        </w:rPr>
        <w:t>六</w:t>
      </w:r>
      <w:r>
        <w:rPr>
          <w:rFonts w:hint="eastAsia" w:ascii="宋体" w:hAnsi="宋体" w:eastAsia="宋体" w:cs="Courier New"/>
          <w:b/>
          <w:bCs/>
          <w:sz w:val="28"/>
          <w:szCs w:val="30"/>
          <w:highlight w:val="none"/>
        </w:rPr>
        <w:t>、</w:t>
      </w:r>
      <w:r>
        <w:rPr>
          <w:rFonts w:hint="eastAsia" w:ascii="宋体" w:hAnsi="宋体" w:eastAsia="宋体" w:cs="Courier New"/>
          <w:b/>
          <w:bCs/>
          <w:sz w:val="28"/>
          <w:szCs w:val="30"/>
          <w:highlight w:val="none"/>
          <w:lang w:eastAsia="zh-CN"/>
        </w:rPr>
        <w:t>综合部分</w:t>
      </w:r>
    </w:p>
    <w:p w14:paraId="160708B0">
      <w:pPr>
        <w:widowControl/>
        <w:jc w:val="left"/>
        <w:rPr>
          <w:rFonts w:hint="eastAsia" w:ascii="宋体" w:hAnsi="宋体" w:eastAsia="宋体" w:cs="Times New Roman"/>
          <w:b/>
          <w:sz w:val="28"/>
          <w:szCs w:val="28"/>
          <w:highlight w:val="none"/>
          <w:lang w:val="zh-CN"/>
        </w:rPr>
      </w:pPr>
      <w:r>
        <w:rPr>
          <w:rFonts w:hint="eastAsia" w:ascii="宋体" w:hAnsi="宋体" w:eastAsia="宋体" w:cs="Courier New"/>
          <w:b/>
          <w:bCs/>
          <w:sz w:val="28"/>
          <w:szCs w:val="30"/>
          <w:highlight w:val="none"/>
          <w:lang w:eastAsia="zh-CN"/>
        </w:rPr>
        <w:t>七</w:t>
      </w:r>
      <w:r>
        <w:rPr>
          <w:rFonts w:hint="eastAsia" w:ascii="宋体" w:hAnsi="宋体" w:eastAsia="宋体" w:cs="Courier New"/>
          <w:b/>
          <w:bCs/>
          <w:sz w:val="28"/>
          <w:szCs w:val="30"/>
          <w:highlight w:val="none"/>
        </w:rPr>
        <w:t>、</w:t>
      </w:r>
      <w:r>
        <w:rPr>
          <w:rFonts w:hint="eastAsia" w:ascii="宋体" w:hAnsi="宋体" w:eastAsia="宋体" w:cs="Courier New"/>
          <w:b/>
          <w:bCs/>
          <w:sz w:val="28"/>
          <w:szCs w:val="30"/>
          <w:highlight w:val="none"/>
          <w:lang w:eastAsia="zh-CN"/>
        </w:rPr>
        <w:t>其他资料</w:t>
      </w:r>
      <w:r>
        <w:rPr>
          <w:rFonts w:ascii="宋体" w:hAnsi="宋体" w:eastAsia="宋体" w:cs="Courier New"/>
          <w:b/>
          <w:bCs/>
          <w:sz w:val="30"/>
          <w:szCs w:val="30"/>
          <w:highlight w:val="none"/>
        </w:rPr>
        <w:br w:type="page"/>
      </w:r>
    </w:p>
    <w:p w14:paraId="6D06E074">
      <w:pPr>
        <w:keepNext/>
        <w:keepLines/>
        <w:numPr>
          <w:ilvl w:val="0"/>
          <w:numId w:val="0"/>
        </w:numPr>
        <w:tabs>
          <w:tab w:val="left" w:pos="840"/>
        </w:tabs>
        <w:wordWrap w:val="0"/>
        <w:topLinePunct/>
        <w:spacing w:line="360" w:lineRule="auto"/>
        <w:ind w:leftChars="0" w:firstLine="3360" w:firstLineChars="1200"/>
        <w:jc w:val="both"/>
        <w:outlineLvl w:val="1"/>
        <w:rPr>
          <w:rFonts w:ascii="宋体" w:hAnsi="宋体" w:eastAsia="宋体" w:cs="宋体"/>
          <w:bCs/>
          <w:sz w:val="28"/>
          <w:szCs w:val="28"/>
          <w:highlight w:val="none"/>
        </w:rPr>
      </w:pPr>
      <w:r>
        <w:rPr>
          <w:rFonts w:hint="eastAsia" w:ascii="宋体" w:hAnsi="宋体" w:eastAsia="宋体" w:cs="Times New Roman"/>
          <w:b/>
          <w:sz w:val="28"/>
          <w:szCs w:val="28"/>
          <w:highlight w:val="none"/>
          <w:lang w:val="zh-CN"/>
        </w:rPr>
        <w:t>一、报价函及报价函附录</w:t>
      </w:r>
    </w:p>
    <w:p w14:paraId="15E57971">
      <w:pPr>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w:t>
      </w:r>
      <w:r>
        <w:rPr>
          <w:rFonts w:hint="eastAsia" w:ascii="宋体" w:hAnsi="宋体" w:eastAsia="宋体" w:cs="Times New Roman"/>
          <w:b/>
          <w:sz w:val="28"/>
          <w:szCs w:val="28"/>
          <w:highlight w:val="none"/>
          <w:lang w:val="zh-CN"/>
        </w:rPr>
        <w:t>报价函</w:t>
      </w:r>
    </w:p>
    <w:p w14:paraId="72A0E886">
      <w:pPr>
        <w:spacing w:line="360" w:lineRule="auto"/>
        <w:rPr>
          <w:rFonts w:ascii="宋体" w:hAnsi="宋体"/>
          <w:sz w:val="24"/>
        </w:rPr>
      </w:pPr>
    </w:p>
    <w:p w14:paraId="1A3B0371">
      <w:pPr>
        <w:spacing w:line="360" w:lineRule="auto"/>
        <w:rPr>
          <w:rFonts w:ascii="宋体" w:hAnsi="宋体"/>
          <w:sz w:val="24"/>
          <w:szCs w:val="24"/>
        </w:rPr>
      </w:pPr>
      <w:r>
        <w:rPr>
          <w:rFonts w:hint="eastAsia" w:ascii="宋体" w:hAnsi="宋体"/>
          <w:sz w:val="24"/>
          <w:szCs w:val="24"/>
        </w:rPr>
        <w:t xml:space="preserve">致： </w:t>
      </w:r>
      <w:r>
        <w:rPr>
          <w:rFonts w:hint="eastAsia" w:ascii="宋体" w:hAnsi="宋体"/>
          <w:sz w:val="24"/>
          <w:szCs w:val="24"/>
          <w:u w:val="single"/>
        </w:rPr>
        <w:t xml:space="preserve">               </w:t>
      </w:r>
      <w:r>
        <w:rPr>
          <w:rFonts w:hint="eastAsia" w:ascii="宋体" w:hAnsi="宋体"/>
          <w:sz w:val="24"/>
          <w:szCs w:val="24"/>
        </w:rPr>
        <w:t xml:space="preserve"> （采购人名称）</w:t>
      </w:r>
    </w:p>
    <w:p w14:paraId="092F3143">
      <w:pPr>
        <w:spacing w:line="360" w:lineRule="auto"/>
        <w:ind w:firstLine="360" w:firstLineChars="150"/>
        <w:rPr>
          <w:rFonts w:ascii="宋体" w:hAnsi="宋体"/>
          <w:sz w:val="24"/>
          <w:szCs w:val="24"/>
          <w:u w:val="single"/>
        </w:rPr>
      </w:pPr>
      <w:r>
        <w:rPr>
          <w:rFonts w:hint="eastAsia" w:ascii="宋体" w:hAnsi="宋体"/>
          <w:sz w:val="24"/>
          <w:szCs w:val="24"/>
        </w:rPr>
        <w:t>1．我方已仔细研究了</w:t>
      </w:r>
      <w:r>
        <w:rPr>
          <w:rFonts w:hint="eastAsia" w:ascii="宋体" w:hAnsi="宋体"/>
          <w:sz w:val="24"/>
          <w:szCs w:val="24"/>
          <w:u w:val="single"/>
        </w:rPr>
        <w:t xml:space="preserve">           </w:t>
      </w:r>
      <w:r>
        <w:rPr>
          <w:rFonts w:hint="eastAsia" w:ascii="宋体" w:hAnsi="宋体"/>
          <w:sz w:val="24"/>
          <w:szCs w:val="24"/>
        </w:rPr>
        <w:t>（项目名称）</w:t>
      </w:r>
      <w:r>
        <w:rPr>
          <w:rFonts w:hint="eastAsia" w:ascii="宋体" w:hAnsi="宋体"/>
          <w:sz w:val="24"/>
          <w:szCs w:val="24"/>
          <w:u w:val="single"/>
        </w:rPr>
        <w:t xml:space="preserve">          </w:t>
      </w:r>
      <w:r>
        <w:rPr>
          <w:rFonts w:hint="eastAsia" w:ascii="宋体" w:hAnsi="宋体"/>
          <w:sz w:val="24"/>
          <w:szCs w:val="24"/>
        </w:rPr>
        <w:t>（项目编号）竞争性磋商文件的全部内容，我方对该项目报价为人民币（大写）</w:t>
      </w:r>
      <w:r>
        <w:rPr>
          <w:rFonts w:hint="eastAsia" w:ascii="宋体" w:hAnsi="宋体"/>
          <w:sz w:val="24"/>
          <w:szCs w:val="24"/>
          <w:u w:val="single"/>
        </w:rPr>
        <w:t xml:space="preserve">                </w:t>
      </w:r>
    </w:p>
    <w:p w14:paraId="3F6E42B3">
      <w:pPr>
        <w:spacing w:line="360" w:lineRule="auto"/>
        <w:jc w:val="left"/>
        <w:rPr>
          <w:sz w:val="24"/>
          <w:szCs w:val="24"/>
        </w:rPr>
      </w:pPr>
      <w:r>
        <w:rPr>
          <w:rFonts w:hint="eastAsia" w:ascii="宋体" w:hAnsi="宋体"/>
          <w:sz w:val="24"/>
          <w:szCs w:val="24"/>
        </w:rPr>
        <w:t xml:space="preserve">（小写： </w:t>
      </w:r>
      <w:r>
        <w:rPr>
          <w:rFonts w:hint="eastAsia" w:ascii="宋体" w:hAnsi="宋体"/>
          <w:sz w:val="24"/>
          <w:szCs w:val="24"/>
          <w:u w:val="single"/>
        </w:rPr>
        <w:t xml:space="preserve">        </w:t>
      </w:r>
      <w:r>
        <w:rPr>
          <w:rFonts w:hint="eastAsia" w:ascii="宋体" w:hAnsi="宋体"/>
          <w:sz w:val="24"/>
          <w:szCs w:val="24"/>
        </w:rPr>
        <w:t>元），监理</w:t>
      </w:r>
      <w:r>
        <w:rPr>
          <w:rFonts w:hint="eastAsia" w:ascii="宋体" w:hAnsi="宋体"/>
          <w:sz w:val="24"/>
          <w:szCs w:val="24"/>
          <w:lang w:eastAsia="zh-CN"/>
        </w:rPr>
        <w:t>周</w:t>
      </w:r>
      <w:r>
        <w:rPr>
          <w:rFonts w:hint="eastAsia" w:ascii="宋体" w:hAnsi="宋体"/>
          <w:sz w:val="24"/>
          <w:szCs w:val="24"/>
        </w:rPr>
        <w:t>期</w:t>
      </w:r>
      <w:r>
        <w:rPr>
          <w:rFonts w:hint="eastAsia" w:ascii="宋体" w:hAnsi="宋体" w:cs="宋体"/>
          <w:sz w:val="24"/>
          <w:szCs w:val="24"/>
        </w:rPr>
        <w:t>：</w:t>
      </w:r>
      <w:r>
        <w:rPr>
          <w:rFonts w:hint="eastAsia" w:ascii="宋体" w:hAnsi="宋体" w:cs="宋体"/>
          <w:sz w:val="24"/>
          <w:szCs w:val="24"/>
          <w:u w:val="single"/>
        </w:rPr>
        <w:t xml:space="preserve">          </w:t>
      </w:r>
      <w:r>
        <w:rPr>
          <w:rFonts w:hint="eastAsia" w:ascii="宋体" w:hAnsi="宋体"/>
          <w:sz w:val="24"/>
          <w:szCs w:val="24"/>
        </w:rPr>
        <w:t>，质量</w:t>
      </w:r>
      <w:r>
        <w:rPr>
          <w:rFonts w:hint="eastAsia" w:ascii="宋体" w:hAnsi="宋体"/>
          <w:sz w:val="24"/>
          <w:szCs w:val="24"/>
          <w:lang w:eastAsia="zh-CN"/>
        </w:rPr>
        <w:t>标准</w:t>
      </w:r>
      <w:r>
        <w:rPr>
          <w:rFonts w:hint="eastAsia" w:ascii="宋体" w:hAnsi="宋体"/>
          <w:sz w:val="24"/>
          <w:szCs w:val="24"/>
        </w:rPr>
        <w:t>：</w:t>
      </w:r>
      <w:r>
        <w:rPr>
          <w:rFonts w:hint="eastAsia" w:ascii="宋体" w:hAnsi="宋体"/>
          <w:sz w:val="24"/>
          <w:szCs w:val="24"/>
          <w:u w:val="single"/>
        </w:rPr>
        <w:t xml:space="preserve">            </w:t>
      </w:r>
      <w:r>
        <w:rPr>
          <w:rFonts w:hint="eastAsia" w:ascii="宋体" w:hAnsi="宋体" w:cs="Arial"/>
          <w:sz w:val="24"/>
          <w:szCs w:val="24"/>
          <w:shd w:val="clear" w:color="auto" w:fill="FFFFFF"/>
        </w:rPr>
        <w:t>。</w:t>
      </w:r>
    </w:p>
    <w:p w14:paraId="52AD06A4">
      <w:pPr>
        <w:autoSpaceDE w:val="0"/>
        <w:autoSpaceDN w:val="0"/>
        <w:adjustRightInd w:val="0"/>
        <w:spacing w:line="360" w:lineRule="auto"/>
        <w:ind w:firstLine="360" w:firstLineChars="150"/>
        <w:jc w:val="left"/>
        <w:rPr>
          <w:rFonts w:ascii="宋体" w:hAnsi="宋体"/>
          <w:sz w:val="24"/>
          <w:szCs w:val="24"/>
        </w:rPr>
      </w:pPr>
      <w:r>
        <w:rPr>
          <w:rFonts w:hint="eastAsia" w:ascii="宋体" w:hAnsi="宋体"/>
          <w:sz w:val="24"/>
          <w:szCs w:val="24"/>
        </w:rPr>
        <w:t>2．我方承诺在磋商响应文件有效期(60日历天)内不修改、撤销磋商响应文件。</w:t>
      </w:r>
    </w:p>
    <w:p w14:paraId="7AB075D2">
      <w:pPr>
        <w:spacing w:line="360" w:lineRule="auto"/>
        <w:ind w:firstLine="360" w:firstLineChars="150"/>
        <w:rPr>
          <w:rFonts w:ascii="宋体" w:hAnsi="宋体"/>
          <w:sz w:val="24"/>
          <w:szCs w:val="24"/>
        </w:rPr>
      </w:pPr>
      <w:r>
        <w:rPr>
          <w:rFonts w:hint="eastAsia" w:ascii="宋体" w:hAnsi="宋体"/>
          <w:sz w:val="24"/>
          <w:szCs w:val="24"/>
        </w:rPr>
        <w:t>3．我方完全理解贵方不一定接受报价最低的供应商为成交供应商的行为。</w:t>
      </w:r>
    </w:p>
    <w:p w14:paraId="523C46BD">
      <w:pPr>
        <w:spacing w:line="360" w:lineRule="auto"/>
        <w:ind w:firstLine="360" w:firstLineChars="150"/>
        <w:rPr>
          <w:rFonts w:ascii="宋体" w:hAnsi="宋体"/>
          <w:sz w:val="24"/>
          <w:szCs w:val="24"/>
        </w:rPr>
      </w:pPr>
      <w:r>
        <w:rPr>
          <w:rFonts w:hint="eastAsia" w:ascii="宋体" w:hAnsi="宋体"/>
          <w:sz w:val="24"/>
          <w:szCs w:val="24"/>
        </w:rPr>
        <w:t>4.如我方成交：</w:t>
      </w:r>
    </w:p>
    <w:p w14:paraId="6F82DAB8">
      <w:pPr>
        <w:spacing w:line="360" w:lineRule="auto"/>
        <w:ind w:firstLine="360" w:firstLineChars="150"/>
        <w:rPr>
          <w:rFonts w:ascii="宋体" w:hAnsi="宋体"/>
          <w:sz w:val="24"/>
          <w:szCs w:val="24"/>
        </w:rPr>
      </w:pPr>
      <w:r>
        <w:rPr>
          <w:rFonts w:hint="eastAsia" w:ascii="宋体" w:hAnsi="宋体"/>
          <w:sz w:val="24"/>
          <w:szCs w:val="24"/>
        </w:rPr>
        <w:t>（1）我方承诺在收到成交通知书后，在成交通知书规定的期限内与你方签订合同。</w:t>
      </w:r>
    </w:p>
    <w:p w14:paraId="7AA741E7">
      <w:pPr>
        <w:spacing w:line="360" w:lineRule="auto"/>
        <w:ind w:firstLine="360" w:firstLineChars="150"/>
        <w:rPr>
          <w:rFonts w:ascii="宋体" w:hAnsi="宋体"/>
          <w:sz w:val="24"/>
          <w:szCs w:val="24"/>
        </w:rPr>
      </w:pPr>
      <w:r>
        <w:rPr>
          <w:rFonts w:hint="eastAsia" w:ascii="宋体" w:hAnsi="宋体"/>
          <w:sz w:val="24"/>
          <w:szCs w:val="24"/>
        </w:rPr>
        <w:t>（2）除非另外达成协议并生效，成交通知书和本竞争性磋商文件、磋商响应文件将成为约束双方的合同文件的组成部分。</w:t>
      </w:r>
    </w:p>
    <w:p w14:paraId="17282EB4">
      <w:pPr>
        <w:spacing w:line="360" w:lineRule="auto"/>
        <w:ind w:firstLine="360" w:firstLineChars="150"/>
        <w:rPr>
          <w:rFonts w:ascii="宋体" w:hAnsi="宋体"/>
          <w:sz w:val="24"/>
          <w:szCs w:val="24"/>
        </w:rPr>
      </w:pPr>
      <w:r>
        <w:rPr>
          <w:rFonts w:hint="eastAsia" w:ascii="宋体" w:hAnsi="宋体"/>
          <w:sz w:val="24"/>
          <w:szCs w:val="24"/>
        </w:rPr>
        <w:t>（3）如我方成交，我方愿意按竞争性磋商文件规定支付采购代理服务费。</w:t>
      </w:r>
    </w:p>
    <w:p w14:paraId="342FB384">
      <w:pPr>
        <w:spacing w:line="360" w:lineRule="auto"/>
        <w:ind w:firstLine="240" w:firstLineChars="100"/>
        <w:rPr>
          <w:rFonts w:ascii="宋体" w:hAnsi="宋体"/>
          <w:sz w:val="24"/>
          <w:szCs w:val="24"/>
        </w:rPr>
      </w:pPr>
      <w:r>
        <w:rPr>
          <w:rFonts w:hint="eastAsia" w:ascii="宋体" w:hAnsi="宋体"/>
          <w:sz w:val="24"/>
          <w:szCs w:val="24"/>
        </w:rPr>
        <w:t>5. 我方在此声明，所递交的磋商响应文件及有关资料内容完整、真实和准确。</w:t>
      </w:r>
    </w:p>
    <w:p w14:paraId="16676697">
      <w:pPr>
        <w:spacing w:line="360" w:lineRule="auto"/>
        <w:jc w:val="left"/>
        <w:rPr>
          <w:rFonts w:ascii="宋体" w:hAnsi="宋体"/>
          <w:spacing w:val="24"/>
          <w:sz w:val="24"/>
        </w:rPr>
      </w:pPr>
    </w:p>
    <w:p w14:paraId="3C56BA2B">
      <w:pPr>
        <w:keepNext w:val="0"/>
        <w:keepLines w:val="0"/>
        <w:pageBreakBefore w:val="0"/>
        <w:widowControl/>
        <w:numPr>
          <w:ilvl w:val="0"/>
          <w:numId w:val="0"/>
        </w:numPr>
        <w:tabs>
          <w:tab w:val="left" w:pos="0"/>
        </w:tabs>
        <w:kinsoku/>
        <w:wordWrap w:val="0"/>
        <w:overflowPunct/>
        <w:topLinePunct/>
        <w:autoSpaceDE/>
        <w:autoSpaceDN/>
        <w:bidi w:val="0"/>
        <w:adjustRightInd/>
        <w:snapToGrid/>
        <w:spacing w:before="100" w:beforeAutospacing="1" w:line="440" w:lineRule="exact"/>
        <w:ind w:leftChars="150"/>
        <w:jc w:val="left"/>
        <w:textAlignment w:val="auto"/>
        <w:rPr>
          <w:rFonts w:hint="eastAsia" w:ascii="宋体" w:hAnsi="宋体" w:eastAsia="宋体" w:cs="宋体"/>
          <w:kern w:val="0"/>
          <w:sz w:val="28"/>
          <w:szCs w:val="28"/>
          <w:highlight w:val="none"/>
        </w:rPr>
      </w:pPr>
    </w:p>
    <w:p w14:paraId="14CCF971">
      <w:pPr>
        <w:spacing w:line="360" w:lineRule="auto"/>
        <w:ind w:firstLine="420" w:firstLineChars="200"/>
        <w:jc w:val="right"/>
        <w:rPr>
          <w:rFonts w:hint="eastAsia" w:ascii="宋体" w:hAnsi="宋体" w:eastAsia="宋体" w:cs="宋体"/>
          <w:color w:val="auto"/>
          <w:highlight w:val="none"/>
        </w:rPr>
      </w:pPr>
    </w:p>
    <w:p w14:paraId="15AE5BD3">
      <w:pPr>
        <w:spacing w:line="360" w:lineRule="auto"/>
        <w:ind w:firstLine="420" w:firstLineChars="200"/>
        <w:jc w:val="right"/>
        <w:rPr>
          <w:rFonts w:hint="eastAsia" w:ascii="宋体" w:hAnsi="宋体" w:eastAsia="宋体" w:cs="宋体"/>
          <w:color w:val="auto"/>
          <w:highlight w:val="none"/>
        </w:rPr>
      </w:pPr>
    </w:p>
    <w:p w14:paraId="156AB85C">
      <w:pPr>
        <w:wordWrap w:val="0"/>
        <w:topLinePunct/>
        <w:spacing w:line="360" w:lineRule="auto"/>
        <w:jc w:val="right"/>
        <w:rPr>
          <w:rFonts w:ascii="宋体" w:hAnsi="宋体" w:eastAsia="宋体" w:cs="宋体"/>
          <w:sz w:val="28"/>
          <w:szCs w:val="28"/>
          <w:highlight w:val="none"/>
        </w:rPr>
      </w:pPr>
      <w:r>
        <w:rPr>
          <w:rFonts w:hint="eastAsia" w:ascii="宋体" w:hAnsi="宋体" w:eastAsia="宋体" w:cs="宋体"/>
          <w:sz w:val="28"/>
          <w:szCs w:val="28"/>
          <w:highlight w:val="none"/>
        </w:rPr>
        <w:t>供应商：</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w:t>
      </w:r>
      <w:r>
        <w:rPr>
          <w:rFonts w:hint="eastAsia"/>
          <w:color w:val="auto"/>
          <w:kern w:val="2"/>
          <w:sz w:val="24"/>
          <w:szCs w:val="24"/>
          <w:lang w:eastAsia="zh-CN"/>
        </w:rPr>
        <w:t>电子签章</w:t>
      </w:r>
      <w:r>
        <w:rPr>
          <w:rFonts w:hint="eastAsia" w:ascii="宋体" w:hAnsi="宋体" w:eastAsia="宋体" w:cs="宋体"/>
          <w:sz w:val="28"/>
          <w:szCs w:val="28"/>
          <w:highlight w:val="none"/>
        </w:rPr>
        <w:t>）</w:t>
      </w:r>
    </w:p>
    <w:p w14:paraId="4490D89F">
      <w:pPr>
        <w:wordWrap w:val="0"/>
        <w:topLinePunct/>
        <w:spacing w:line="360" w:lineRule="auto"/>
        <w:jc w:val="right"/>
        <w:rPr>
          <w:rFonts w:ascii="宋体" w:hAnsi="宋体" w:eastAsia="宋体" w:cs="宋体"/>
          <w:sz w:val="28"/>
          <w:szCs w:val="28"/>
          <w:highlight w:val="none"/>
        </w:rPr>
      </w:pPr>
      <w:r>
        <w:rPr>
          <w:rFonts w:hint="eastAsia" w:ascii="宋体" w:hAnsi="宋体" w:eastAsia="宋体" w:cs="宋体"/>
          <w:sz w:val="28"/>
          <w:szCs w:val="28"/>
          <w:highlight w:val="none"/>
        </w:rPr>
        <w:t>法定代表人：</w:t>
      </w:r>
      <w:r>
        <w:rPr>
          <w:rFonts w:hint="eastAsia" w:ascii="宋体" w:hAnsi="宋体" w:eastAsia="宋体" w:cs="宋体"/>
          <w:sz w:val="28"/>
          <w:szCs w:val="28"/>
          <w:highlight w:val="none"/>
          <w:u w:val="single"/>
        </w:rPr>
        <w:t xml:space="preserve">        </w:t>
      </w:r>
      <w:r>
        <w:rPr>
          <w:rFonts w:hint="eastAsia" w:ascii="宋体" w:hAnsi="宋体" w:eastAsia="宋体" w:cs="宋体"/>
          <w:sz w:val="28"/>
          <w:szCs w:val="28"/>
          <w:highlight w:val="none"/>
        </w:rPr>
        <w:t>（</w:t>
      </w:r>
      <w:r>
        <w:rPr>
          <w:rFonts w:hint="eastAsia"/>
          <w:color w:val="auto"/>
          <w:kern w:val="2"/>
          <w:sz w:val="24"/>
          <w:szCs w:val="24"/>
          <w:lang w:eastAsia="zh-CN"/>
        </w:rPr>
        <w:t>电子签章</w:t>
      </w:r>
      <w:r>
        <w:rPr>
          <w:rFonts w:hint="eastAsia" w:ascii="宋体" w:hAnsi="宋体" w:eastAsia="宋体" w:cs="宋体"/>
          <w:sz w:val="28"/>
          <w:szCs w:val="28"/>
          <w:highlight w:val="none"/>
        </w:rPr>
        <w:t>）</w:t>
      </w:r>
    </w:p>
    <w:p w14:paraId="2BFEA4D7">
      <w:pPr>
        <w:tabs>
          <w:tab w:val="left" w:pos="5380"/>
          <w:tab w:val="left" w:pos="6520"/>
          <w:tab w:val="left" w:pos="7680"/>
        </w:tabs>
        <w:wordWrap w:val="0"/>
        <w:topLinePunct/>
        <w:autoSpaceDE w:val="0"/>
        <w:autoSpaceDN w:val="0"/>
        <w:adjustRightInd w:val="0"/>
        <w:spacing w:line="360" w:lineRule="auto"/>
        <w:ind w:right="-20" w:firstLine="1400" w:firstLineChars="500"/>
        <w:jc w:val="right"/>
        <w:rPr>
          <w:rFonts w:hint="eastAsia" w:ascii="宋体" w:hAnsi="宋体" w:eastAsia="宋体" w:cs="Times New Roman"/>
          <w:b/>
          <w:sz w:val="28"/>
          <w:szCs w:val="28"/>
          <w:highlight w:val="none"/>
          <w:lang w:val="zh-CN"/>
        </w:rPr>
      </w:pPr>
      <w:r>
        <w:rPr>
          <w:rFonts w:hint="eastAsia" w:ascii="宋体" w:hAnsi="宋体" w:eastAsia="宋体" w:cs="宋体"/>
          <w:kern w:val="0"/>
          <w:sz w:val="28"/>
          <w:szCs w:val="28"/>
          <w:highlight w:val="none"/>
        </w:rPr>
        <w:t>日      期：</w:t>
      </w:r>
      <w:r>
        <w:rPr>
          <w:rFonts w:hint="eastAsia" w:ascii="宋体" w:hAnsi="宋体" w:eastAsia="宋体" w:cs="宋体"/>
          <w:kern w:val="0"/>
          <w:sz w:val="28"/>
          <w:szCs w:val="28"/>
          <w:highlight w:val="none"/>
          <w:u w:val="single"/>
        </w:rPr>
        <w:t xml:space="preserve">    </w:t>
      </w:r>
      <w:r>
        <w:rPr>
          <w:rFonts w:hint="eastAsia" w:ascii="宋体" w:hAnsi="宋体" w:eastAsia="宋体" w:cs="宋体"/>
          <w:spacing w:val="43"/>
          <w:kern w:val="0"/>
          <w:sz w:val="28"/>
          <w:szCs w:val="28"/>
          <w:highlight w:val="none"/>
          <w:u w:val="single"/>
        </w:rPr>
        <w:t xml:space="preserve"> </w:t>
      </w:r>
      <w:r>
        <w:rPr>
          <w:rFonts w:hint="eastAsia" w:ascii="宋体" w:hAnsi="宋体" w:eastAsia="宋体" w:cs="宋体"/>
          <w:kern w:val="0"/>
          <w:sz w:val="28"/>
          <w:szCs w:val="28"/>
          <w:highlight w:val="none"/>
        </w:rPr>
        <w:t>年</w:t>
      </w:r>
      <w:r>
        <w:rPr>
          <w:rFonts w:hint="eastAsia" w:ascii="宋体" w:hAnsi="宋体" w:eastAsia="宋体" w:cs="宋体"/>
          <w:kern w:val="0"/>
          <w:sz w:val="28"/>
          <w:szCs w:val="28"/>
          <w:highlight w:val="none"/>
          <w:u w:val="single"/>
        </w:rPr>
        <w:t xml:space="preserve">      </w:t>
      </w:r>
      <w:r>
        <w:rPr>
          <w:rFonts w:hint="eastAsia" w:ascii="宋体" w:hAnsi="宋体" w:eastAsia="宋体" w:cs="宋体"/>
          <w:kern w:val="0"/>
          <w:sz w:val="28"/>
          <w:szCs w:val="28"/>
          <w:highlight w:val="none"/>
        </w:rPr>
        <w:t>月</w:t>
      </w:r>
      <w:r>
        <w:rPr>
          <w:rFonts w:hint="eastAsia" w:ascii="宋体" w:hAnsi="宋体" w:eastAsia="宋体" w:cs="宋体"/>
          <w:kern w:val="0"/>
          <w:sz w:val="28"/>
          <w:szCs w:val="28"/>
          <w:highlight w:val="none"/>
          <w:u w:val="single"/>
        </w:rPr>
        <w:t xml:space="preserve">     </w:t>
      </w:r>
      <w:r>
        <w:rPr>
          <w:rFonts w:hint="eastAsia" w:ascii="宋体" w:hAnsi="宋体" w:eastAsia="宋体" w:cs="宋体"/>
          <w:kern w:val="0"/>
          <w:sz w:val="28"/>
          <w:szCs w:val="28"/>
          <w:highlight w:val="none"/>
        </w:rPr>
        <w:t>日</w:t>
      </w:r>
    </w:p>
    <w:p w14:paraId="0799A0FB">
      <w:pPr>
        <w:spacing w:line="360" w:lineRule="auto"/>
        <w:ind w:firstLine="420" w:firstLineChars="200"/>
        <w:jc w:val="right"/>
        <w:rPr>
          <w:rFonts w:hint="eastAsia" w:ascii="宋体" w:hAnsi="宋体" w:eastAsia="宋体" w:cs="宋体"/>
          <w:color w:val="auto"/>
          <w:highlight w:val="none"/>
        </w:rPr>
      </w:pPr>
    </w:p>
    <w:p w14:paraId="4838F9F7">
      <w:pPr>
        <w:spacing w:line="360" w:lineRule="auto"/>
        <w:ind w:right="840"/>
        <w:rPr>
          <w:rFonts w:hint="eastAsia" w:ascii="宋体" w:hAnsi="宋体" w:eastAsia="宋体" w:cs="宋体"/>
          <w:color w:val="auto"/>
          <w:highlight w:val="none"/>
        </w:rPr>
      </w:pPr>
    </w:p>
    <w:p w14:paraId="69E16F35">
      <w:pPr>
        <w:rPr>
          <w:rFonts w:hint="eastAsia" w:ascii="宋体" w:hAnsi="宋体" w:eastAsia="宋体" w:cs="宋体"/>
          <w:b/>
          <w:bCs/>
          <w:color w:val="auto"/>
          <w:sz w:val="24"/>
          <w:szCs w:val="24"/>
          <w:highlight w:val="none"/>
        </w:rPr>
      </w:pPr>
    </w:p>
    <w:p w14:paraId="503C1252">
      <w:pPr>
        <w:rPr>
          <w:rFonts w:hint="eastAsia" w:ascii="宋体" w:hAnsi="宋体" w:eastAsia="宋体" w:cs="Times New Roman"/>
          <w:b/>
          <w:bCs/>
          <w:sz w:val="28"/>
          <w:szCs w:val="28"/>
          <w:highlight w:val="none"/>
        </w:rPr>
      </w:pPr>
      <w:r>
        <w:rPr>
          <w:rFonts w:hint="eastAsia" w:ascii="宋体" w:hAnsi="宋体" w:eastAsia="宋体" w:cs="Times New Roman"/>
          <w:b/>
          <w:bCs/>
          <w:sz w:val="28"/>
          <w:szCs w:val="28"/>
          <w:highlight w:val="none"/>
        </w:rPr>
        <w:br w:type="page"/>
      </w:r>
    </w:p>
    <w:p w14:paraId="46C99E20">
      <w:pPr>
        <w:keepNext/>
        <w:keepLines/>
        <w:wordWrap w:val="0"/>
        <w:topLinePunct/>
        <w:spacing w:line="360" w:lineRule="auto"/>
        <w:jc w:val="center"/>
        <w:outlineLvl w:val="2"/>
        <w:rPr>
          <w:rFonts w:ascii="宋体" w:hAnsi="宋体" w:eastAsia="宋体" w:cs="Times New Roman"/>
          <w:b/>
          <w:bCs/>
          <w:sz w:val="28"/>
          <w:szCs w:val="28"/>
          <w:highlight w:val="none"/>
          <w:lang w:val="zh-CN"/>
        </w:rPr>
      </w:pPr>
      <w:r>
        <w:rPr>
          <w:rFonts w:hint="eastAsia" w:ascii="宋体" w:hAnsi="宋体" w:eastAsia="宋体" w:cs="Times New Roman"/>
          <w:b/>
          <w:bCs/>
          <w:sz w:val="28"/>
          <w:szCs w:val="28"/>
          <w:highlight w:val="none"/>
        </w:rPr>
        <w:t>（二）报价函附录（第一轮报价）</w:t>
      </w:r>
    </w:p>
    <w:tbl>
      <w:tblPr>
        <w:tblStyle w:val="16"/>
        <w:tblW w:w="96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1859"/>
        <w:gridCol w:w="1512"/>
        <w:gridCol w:w="3594"/>
      </w:tblGrid>
      <w:tr w14:paraId="24D6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694" w:type="dxa"/>
            <w:tcBorders>
              <w:top w:val="single" w:color="auto" w:sz="4" w:space="0"/>
              <w:left w:val="single" w:color="auto" w:sz="4" w:space="0"/>
              <w:bottom w:val="single" w:color="auto" w:sz="4" w:space="0"/>
              <w:right w:val="single" w:color="auto" w:sz="4" w:space="0"/>
            </w:tcBorders>
            <w:vAlign w:val="center"/>
          </w:tcPr>
          <w:p w14:paraId="0D6946F6">
            <w:pPr>
              <w:widowControl/>
              <w:wordWrap w:val="0"/>
              <w:topLinePunct/>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项目名称</w:t>
            </w:r>
          </w:p>
        </w:tc>
        <w:tc>
          <w:tcPr>
            <w:tcW w:w="6965" w:type="dxa"/>
            <w:gridSpan w:val="3"/>
            <w:tcBorders>
              <w:top w:val="single" w:color="auto" w:sz="4" w:space="0"/>
              <w:left w:val="single" w:color="auto" w:sz="4" w:space="0"/>
              <w:bottom w:val="single" w:color="auto" w:sz="4" w:space="0"/>
              <w:right w:val="single" w:color="auto" w:sz="4" w:space="0"/>
            </w:tcBorders>
            <w:vAlign w:val="center"/>
          </w:tcPr>
          <w:p w14:paraId="1EBB54BB">
            <w:pPr>
              <w:widowControl/>
              <w:wordWrap w:val="0"/>
              <w:topLinePunct/>
              <w:spacing w:line="360" w:lineRule="auto"/>
              <w:jc w:val="center"/>
              <w:rPr>
                <w:rFonts w:ascii="宋体" w:hAnsi="宋体" w:eastAsia="宋体" w:cs="宋体"/>
                <w:sz w:val="24"/>
                <w:szCs w:val="24"/>
                <w:highlight w:val="none"/>
              </w:rPr>
            </w:pPr>
          </w:p>
        </w:tc>
      </w:tr>
      <w:tr w14:paraId="2CB67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694" w:type="dxa"/>
            <w:tcBorders>
              <w:top w:val="single" w:color="auto" w:sz="4" w:space="0"/>
              <w:left w:val="single" w:color="auto" w:sz="4" w:space="0"/>
              <w:bottom w:val="single" w:color="auto" w:sz="4" w:space="0"/>
              <w:right w:val="single" w:color="auto" w:sz="4" w:space="0"/>
            </w:tcBorders>
            <w:vAlign w:val="center"/>
          </w:tcPr>
          <w:p w14:paraId="2B45B0E7">
            <w:pPr>
              <w:widowControl/>
              <w:wordWrap w:val="0"/>
              <w:topLinePunct/>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供应商</w:t>
            </w:r>
          </w:p>
        </w:tc>
        <w:tc>
          <w:tcPr>
            <w:tcW w:w="6965" w:type="dxa"/>
            <w:gridSpan w:val="3"/>
            <w:tcBorders>
              <w:top w:val="single" w:color="auto" w:sz="4" w:space="0"/>
              <w:left w:val="single" w:color="auto" w:sz="4" w:space="0"/>
              <w:bottom w:val="single" w:color="auto" w:sz="4" w:space="0"/>
              <w:right w:val="single" w:color="auto" w:sz="4" w:space="0"/>
            </w:tcBorders>
            <w:vAlign w:val="center"/>
          </w:tcPr>
          <w:p w14:paraId="5CE3E890">
            <w:pPr>
              <w:widowControl/>
              <w:wordWrap w:val="0"/>
              <w:topLinePunct/>
              <w:spacing w:line="360" w:lineRule="auto"/>
              <w:jc w:val="center"/>
              <w:rPr>
                <w:rFonts w:ascii="宋体" w:hAnsi="宋体" w:eastAsia="宋体" w:cs="宋体"/>
                <w:sz w:val="24"/>
                <w:szCs w:val="24"/>
                <w:highlight w:val="none"/>
              </w:rPr>
            </w:pPr>
          </w:p>
        </w:tc>
      </w:tr>
      <w:tr w14:paraId="51E40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jc w:val="center"/>
        </w:trPr>
        <w:tc>
          <w:tcPr>
            <w:tcW w:w="2694" w:type="dxa"/>
            <w:tcBorders>
              <w:top w:val="single" w:color="auto" w:sz="4" w:space="0"/>
              <w:left w:val="single" w:color="auto" w:sz="4" w:space="0"/>
              <w:right w:val="single" w:color="auto" w:sz="4" w:space="0"/>
            </w:tcBorders>
            <w:vAlign w:val="center"/>
          </w:tcPr>
          <w:p w14:paraId="247ACA50">
            <w:pPr>
              <w:widowControl/>
              <w:wordWrap w:val="0"/>
              <w:topLinePunct/>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磋商总报价</w:t>
            </w:r>
            <w:r>
              <w:rPr>
                <w:rFonts w:hint="eastAsia" w:ascii="宋体" w:hAnsi="宋体" w:eastAsia="宋体" w:cs="宋体"/>
                <w:sz w:val="24"/>
                <w:szCs w:val="24"/>
                <w:highlight w:val="none"/>
                <w:lang w:eastAsia="zh-CN"/>
              </w:rPr>
              <w:t>（元）</w:t>
            </w:r>
          </w:p>
        </w:tc>
        <w:tc>
          <w:tcPr>
            <w:tcW w:w="6965" w:type="dxa"/>
            <w:gridSpan w:val="3"/>
            <w:tcBorders>
              <w:top w:val="single" w:color="auto" w:sz="4" w:space="0"/>
              <w:left w:val="single" w:color="auto" w:sz="4" w:space="0"/>
              <w:right w:val="single" w:color="auto" w:sz="4" w:space="0"/>
            </w:tcBorders>
            <w:vAlign w:val="center"/>
          </w:tcPr>
          <w:p w14:paraId="326B7207">
            <w:pPr>
              <w:widowControl/>
              <w:wordWrap w:val="0"/>
              <w:topLinePunct/>
              <w:spacing w:line="360" w:lineRule="auto"/>
              <w:rPr>
                <w:rFonts w:hint="eastAsia" w:ascii="宋体" w:hAnsi="宋体" w:eastAsia="宋体" w:cs="宋体"/>
                <w:b/>
                <w:bCs/>
                <w:sz w:val="24"/>
                <w:szCs w:val="24"/>
                <w:highlight w:val="none"/>
              </w:rPr>
            </w:pPr>
          </w:p>
          <w:p w14:paraId="1FC7FD81">
            <w:pPr>
              <w:widowControl/>
              <w:wordWrap w:val="0"/>
              <w:topLinePunct/>
              <w:spacing w:line="360" w:lineRule="auto"/>
              <w:rPr>
                <w:rFonts w:hint="eastAsia" w:ascii="宋体" w:hAnsi="宋体" w:eastAsia="宋体" w:cs="宋体"/>
                <w:b/>
                <w:bCs/>
                <w:sz w:val="24"/>
                <w:szCs w:val="24"/>
                <w:highlight w:val="none"/>
                <w:u w:val="single"/>
                <w:lang w:val="en-US" w:eastAsia="zh-CN"/>
              </w:rPr>
            </w:pPr>
            <w:r>
              <w:rPr>
                <w:rFonts w:hint="eastAsia" w:ascii="宋体" w:hAnsi="宋体" w:eastAsia="宋体" w:cs="宋体"/>
                <w:b/>
                <w:bCs/>
                <w:sz w:val="24"/>
                <w:szCs w:val="24"/>
                <w:highlight w:val="none"/>
                <w:u w:val="none"/>
                <w:lang w:val="en-US" w:eastAsia="zh-CN"/>
              </w:rPr>
              <w:t>大写：</w:t>
            </w:r>
            <w:r>
              <w:rPr>
                <w:rFonts w:hint="eastAsia" w:ascii="宋体" w:hAnsi="宋体" w:eastAsia="宋体" w:cs="宋体"/>
                <w:b/>
                <w:bCs/>
                <w:sz w:val="24"/>
                <w:szCs w:val="24"/>
                <w:highlight w:val="none"/>
                <w:u w:val="single"/>
                <w:lang w:val="en-US" w:eastAsia="zh-CN"/>
              </w:rPr>
              <w:t xml:space="preserve">              </w:t>
            </w:r>
            <w:r>
              <w:rPr>
                <w:rFonts w:hint="eastAsia" w:ascii="宋体" w:hAnsi="宋体" w:eastAsia="宋体" w:cs="宋体"/>
                <w:b/>
                <w:bCs/>
                <w:sz w:val="24"/>
                <w:szCs w:val="24"/>
                <w:highlight w:val="none"/>
                <w:u w:val="none"/>
                <w:lang w:val="en-US" w:eastAsia="zh-CN"/>
              </w:rPr>
              <w:t>；</w:t>
            </w:r>
          </w:p>
          <w:p w14:paraId="3F31FED8">
            <w:pPr>
              <w:widowControl/>
              <w:wordWrap w:val="0"/>
              <w:topLinePunct/>
              <w:spacing w:line="360" w:lineRule="auto"/>
              <w:rPr>
                <w:rFonts w:hint="default" w:ascii="宋体" w:hAnsi="宋体" w:eastAsia="宋体" w:cs="宋体"/>
                <w:b/>
                <w:bCs/>
                <w:sz w:val="24"/>
                <w:szCs w:val="24"/>
                <w:highlight w:val="none"/>
                <w:u w:val="single"/>
                <w:lang w:val="en-US" w:eastAsia="zh-CN"/>
              </w:rPr>
            </w:pPr>
            <w:r>
              <w:rPr>
                <w:rFonts w:hint="eastAsia" w:ascii="宋体" w:hAnsi="宋体" w:eastAsia="宋体" w:cs="宋体"/>
                <w:b/>
                <w:bCs/>
                <w:sz w:val="24"/>
                <w:szCs w:val="24"/>
                <w:highlight w:val="none"/>
                <w:u w:val="none"/>
                <w:lang w:val="en-US" w:eastAsia="zh-CN"/>
              </w:rPr>
              <w:t>小写：</w:t>
            </w:r>
            <w:r>
              <w:rPr>
                <w:rFonts w:hint="eastAsia" w:ascii="宋体" w:hAnsi="宋体" w:eastAsia="宋体" w:cs="宋体"/>
                <w:b/>
                <w:bCs/>
                <w:sz w:val="24"/>
                <w:szCs w:val="24"/>
                <w:highlight w:val="none"/>
                <w:u w:val="single"/>
                <w:lang w:val="en-US" w:eastAsia="zh-CN"/>
              </w:rPr>
              <w:t xml:space="preserve">              </w:t>
            </w:r>
            <w:r>
              <w:rPr>
                <w:rFonts w:hint="eastAsia" w:ascii="宋体" w:hAnsi="宋体" w:eastAsia="宋体" w:cs="宋体"/>
                <w:b/>
                <w:bCs/>
                <w:sz w:val="24"/>
                <w:szCs w:val="24"/>
                <w:highlight w:val="none"/>
                <w:u w:val="none"/>
                <w:lang w:val="en-US" w:eastAsia="zh-CN"/>
              </w:rPr>
              <w:t>；</w:t>
            </w:r>
          </w:p>
          <w:p w14:paraId="4B443A0E">
            <w:pPr>
              <w:widowControl/>
              <w:wordWrap w:val="0"/>
              <w:topLinePunct/>
              <w:spacing w:line="360" w:lineRule="auto"/>
              <w:rPr>
                <w:rFonts w:ascii="宋体" w:hAnsi="宋体" w:eastAsia="宋体" w:cs="宋体"/>
                <w:b/>
                <w:bCs/>
                <w:sz w:val="24"/>
                <w:szCs w:val="24"/>
                <w:highlight w:val="none"/>
              </w:rPr>
            </w:pPr>
            <w:r>
              <w:rPr>
                <w:rFonts w:hint="eastAsia" w:ascii="宋体" w:hAnsi="宋体" w:eastAsia="宋体" w:cs="宋体"/>
                <w:b/>
                <w:bCs/>
                <w:sz w:val="24"/>
                <w:szCs w:val="24"/>
                <w:highlight w:val="none"/>
              </w:rPr>
              <w:t>（供应商应在此填列第一次报价，但以供应商最后一次的磋商报价为成交价）</w:t>
            </w:r>
          </w:p>
        </w:tc>
      </w:tr>
      <w:tr w14:paraId="5A5F6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694" w:type="dxa"/>
            <w:tcBorders>
              <w:top w:val="single" w:color="auto" w:sz="4" w:space="0"/>
              <w:left w:val="single" w:color="auto" w:sz="4" w:space="0"/>
              <w:bottom w:val="single" w:color="auto" w:sz="4" w:space="0"/>
              <w:right w:val="single" w:color="auto" w:sz="4" w:space="0"/>
            </w:tcBorders>
            <w:vAlign w:val="center"/>
          </w:tcPr>
          <w:p w14:paraId="1F6CCCD3">
            <w:pPr>
              <w:widowControl/>
              <w:wordWrap w:val="0"/>
              <w:topLinePunct/>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监理周期</w:t>
            </w:r>
          </w:p>
        </w:tc>
        <w:tc>
          <w:tcPr>
            <w:tcW w:w="6965" w:type="dxa"/>
            <w:gridSpan w:val="3"/>
            <w:tcBorders>
              <w:top w:val="single" w:color="auto" w:sz="4" w:space="0"/>
              <w:left w:val="single" w:color="auto" w:sz="4" w:space="0"/>
              <w:bottom w:val="single" w:color="auto" w:sz="4" w:space="0"/>
              <w:right w:val="single" w:color="auto" w:sz="4" w:space="0"/>
            </w:tcBorders>
            <w:vAlign w:val="center"/>
          </w:tcPr>
          <w:p w14:paraId="159443C6">
            <w:pPr>
              <w:widowControl/>
              <w:wordWrap w:val="0"/>
              <w:topLinePunct/>
              <w:spacing w:line="360" w:lineRule="auto"/>
              <w:jc w:val="center"/>
              <w:rPr>
                <w:rFonts w:ascii="宋体" w:hAnsi="宋体" w:eastAsia="宋体" w:cs="宋体"/>
                <w:sz w:val="24"/>
                <w:szCs w:val="24"/>
                <w:highlight w:val="none"/>
              </w:rPr>
            </w:pPr>
          </w:p>
        </w:tc>
      </w:tr>
      <w:tr w14:paraId="71D3D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694" w:type="dxa"/>
            <w:tcBorders>
              <w:top w:val="single" w:color="auto" w:sz="4" w:space="0"/>
              <w:left w:val="single" w:color="auto" w:sz="4" w:space="0"/>
              <w:bottom w:val="single" w:color="auto" w:sz="4" w:space="0"/>
              <w:right w:val="single" w:color="auto" w:sz="4" w:space="0"/>
            </w:tcBorders>
            <w:vAlign w:val="center"/>
          </w:tcPr>
          <w:p w14:paraId="08B71C3B">
            <w:pPr>
              <w:widowControl/>
              <w:wordWrap w:val="0"/>
              <w:topLinePunct/>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质量标准</w:t>
            </w:r>
          </w:p>
        </w:tc>
        <w:tc>
          <w:tcPr>
            <w:tcW w:w="6965" w:type="dxa"/>
            <w:gridSpan w:val="3"/>
            <w:tcBorders>
              <w:top w:val="single" w:color="auto" w:sz="4" w:space="0"/>
              <w:left w:val="single" w:color="auto" w:sz="4" w:space="0"/>
              <w:bottom w:val="single" w:color="auto" w:sz="4" w:space="0"/>
              <w:right w:val="single" w:color="auto" w:sz="4" w:space="0"/>
            </w:tcBorders>
            <w:vAlign w:val="center"/>
          </w:tcPr>
          <w:p w14:paraId="030DCDF1">
            <w:pPr>
              <w:widowControl/>
              <w:wordWrap w:val="0"/>
              <w:topLinePunct/>
              <w:spacing w:line="360" w:lineRule="auto"/>
              <w:jc w:val="center"/>
              <w:rPr>
                <w:rFonts w:ascii="宋体" w:hAnsi="宋体" w:eastAsia="宋体" w:cs="宋体"/>
                <w:sz w:val="24"/>
                <w:szCs w:val="24"/>
                <w:highlight w:val="none"/>
              </w:rPr>
            </w:pPr>
          </w:p>
        </w:tc>
      </w:tr>
      <w:tr w14:paraId="438C8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694" w:type="dxa"/>
            <w:tcBorders>
              <w:top w:val="single" w:color="auto" w:sz="4" w:space="0"/>
              <w:left w:val="single" w:color="auto" w:sz="4" w:space="0"/>
              <w:bottom w:val="single" w:color="auto" w:sz="4" w:space="0"/>
              <w:right w:val="single" w:color="auto" w:sz="4" w:space="0"/>
            </w:tcBorders>
            <w:vAlign w:val="center"/>
          </w:tcPr>
          <w:p w14:paraId="758A922F">
            <w:pPr>
              <w:widowControl/>
              <w:wordWrap w:val="0"/>
              <w:topLinePunct/>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项目</w:t>
            </w:r>
            <w:r>
              <w:rPr>
                <w:rFonts w:hint="eastAsia" w:ascii="宋体" w:hAnsi="宋体" w:eastAsia="宋体" w:cs="宋体"/>
                <w:sz w:val="24"/>
                <w:szCs w:val="24"/>
                <w:highlight w:val="none"/>
                <w:lang w:eastAsia="zh-CN"/>
              </w:rPr>
              <w:t>总监</w:t>
            </w:r>
          </w:p>
        </w:tc>
        <w:tc>
          <w:tcPr>
            <w:tcW w:w="1859" w:type="dxa"/>
            <w:tcBorders>
              <w:top w:val="single" w:color="auto" w:sz="4" w:space="0"/>
              <w:left w:val="single" w:color="auto" w:sz="4" w:space="0"/>
              <w:bottom w:val="single" w:color="auto" w:sz="4" w:space="0"/>
              <w:right w:val="single" w:color="auto" w:sz="4" w:space="0"/>
            </w:tcBorders>
            <w:vAlign w:val="center"/>
          </w:tcPr>
          <w:p w14:paraId="2F10A959">
            <w:pPr>
              <w:widowControl/>
              <w:wordWrap w:val="0"/>
              <w:topLinePunct/>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姓名：</w:t>
            </w:r>
          </w:p>
        </w:tc>
        <w:tc>
          <w:tcPr>
            <w:tcW w:w="1512" w:type="dxa"/>
            <w:tcBorders>
              <w:top w:val="single" w:color="auto" w:sz="4" w:space="0"/>
              <w:left w:val="single" w:color="auto" w:sz="4" w:space="0"/>
              <w:bottom w:val="single" w:color="auto" w:sz="4" w:space="0"/>
              <w:right w:val="single" w:color="auto" w:sz="4" w:space="0"/>
            </w:tcBorders>
            <w:vAlign w:val="center"/>
          </w:tcPr>
          <w:p w14:paraId="77CE926A">
            <w:pPr>
              <w:widowControl/>
              <w:wordWrap w:val="0"/>
              <w:topLinePunct/>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注册</w:t>
            </w:r>
            <w:r>
              <w:rPr>
                <w:rFonts w:hint="eastAsia" w:ascii="宋体" w:hAnsi="宋体" w:eastAsia="宋体" w:cs="宋体"/>
                <w:sz w:val="24"/>
                <w:szCs w:val="24"/>
                <w:highlight w:val="none"/>
                <w:lang w:eastAsia="zh-CN"/>
              </w:rPr>
              <w:t>编</w:t>
            </w:r>
            <w:r>
              <w:rPr>
                <w:rFonts w:hint="eastAsia" w:ascii="宋体" w:hAnsi="宋体" w:eastAsia="宋体" w:cs="宋体"/>
                <w:sz w:val="24"/>
                <w:szCs w:val="24"/>
                <w:highlight w:val="none"/>
              </w:rPr>
              <w:t>号</w:t>
            </w:r>
          </w:p>
        </w:tc>
        <w:tc>
          <w:tcPr>
            <w:tcW w:w="3594" w:type="dxa"/>
            <w:tcBorders>
              <w:top w:val="single" w:color="auto" w:sz="4" w:space="0"/>
              <w:left w:val="single" w:color="auto" w:sz="4" w:space="0"/>
              <w:bottom w:val="single" w:color="auto" w:sz="4" w:space="0"/>
              <w:right w:val="single" w:color="auto" w:sz="4" w:space="0"/>
            </w:tcBorders>
            <w:vAlign w:val="center"/>
          </w:tcPr>
          <w:p w14:paraId="7335413A">
            <w:pPr>
              <w:widowControl/>
              <w:wordWrap w:val="0"/>
              <w:topLinePunct/>
              <w:spacing w:line="360" w:lineRule="auto"/>
              <w:jc w:val="left"/>
              <w:rPr>
                <w:rFonts w:ascii="宋体" w:hAnsi="宋体" w:eastAsia="宋体" w:cs="宋体"/>
                <w:sz w:val="24"/>
                <w:szCs w:val="24"/>
                <w:highlight w:val="none"/>
              </w:rPr>
            </w:pPr>
          </w:p>
        </w:tc>
      </w:tr>
      <w:tr w14:paraId="601E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694" w:type="dxa"/>
            <w:tcBorders>
              <w:top w:val="single" w:color="auto" w:sz="4" w:space="0"/>
              <w:left w:val="single" w:color="auto" w:sz="4" w:space="0"/>
              <w:bottom w:val="single" w:color="auto" w:sz="4" w:space="0"/>
              <w:right w:val="single" w:color="auto" w:sz="4" w:space="0"/>
            </w:tcBorders>
            <w:vAlign w:val="center"/>
          </w:tcPr>
          <w:p w14:paraId="17BFC02E">
            <w:pPr>
              <w:widowControl/>
              <w:wordWrap w:val="0"/>
              <w:topLinePunct/>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联系人</w:t>
            </w:r>
          </w:p>
        </w:tc>
        <w:tc>
          <w:tcPr>
            <w:tcW w:w="1859" w:type="dxa"/>
            <w:tcBorders>
              <w:top w:val="single" w:color="auto" w:sz="4" w:space="0"/>
              <w:left w:val="single" w:color="auto" w:sz="4" w:space="0"/>
              <w:bottom w:val="single" w:color="auto" w:sz="4" w:space="0"/>
              <w:right w:val="single" w:color="auto" w:sz="4" w:space="0"/>
            </w:tcBorders>
            <w:vAlign w:val="center"/>
          </w:tcPr>
          <w:p w14:paraId="79942743">
            <w:pPr>
              <w:widowControl/>
              <w:wordWrap w:val="0"/>
              <w:topLinePunct/>
              <w:spacing w:line="360" w:lineRule="auto"/>
              <w:jc w:val="left"/>
              <w:rPr>
                <w:rFonts w:ascii="宋体" w:hAnsi="宋体" w:eastAsia="宋体" w:cs="宋体"/>
                <w:sz w:val="24"/>
                <w:szCs w:val="24"/>
                <w:highlight w:val="none"/>
              </w:rPr>
            </w:pPr>
          </w:p>
        </w:tc>
        <w:tc>
          <w:tcPr>
            <w:tcW w:w="1512" w:type="dxa"/>
            <w:tcBorders>
              <w:top w:val="single" w:color="auto" w:sz="4" w:space="0"/>
              <w:left w:val="single" w:color="auto" w:sz="4" w:space="0"/>
              <w:bottom w:val="single" w:color="auto" w:sz="4" w:space="0"/>
              <w:right w:val="single" w:color="auto" w:sz="4" w:space="0"/>
            </w:tcBorders>
            <w:vAlign w:val="center"/>
          </w:tcPr>
          <w:p w14:paraId="255CFE3C">
            <w:pPr>
              <w:widowControl/>
              <w:wordWrap w:val="0"/>
              <w:topLinePunct/>
              <w:spacing w:line="360" w:lineRule="auto"/>
              <w:jc w:val="left"/>
              <w:rPr>
                <w:rFonts w:ascii="宋体" w:hAnsi="宋体" w:eastAsia="宋体" w:cs="宋体"/>
                <w:sz w:val="24"/>
                <w:szCs w:val="24"/>
                <w:highlight w:val="none"/>
              </w:rPr>
            </w:pPr>
            <w:r>
              <w:rPr>
                <w:rFonts w:hint="eastAsia" w:ascii="宋体" w:hAnsi="宋体" w:eastAsia="宋体" w:cs="宋体"/>
                <w:sz w:val="24"/>
                <w:szCs w:val="24"/>
                <w:highlight w:val="none"/>
              </w:rPr>
              <w:t>联系电话</w:t>
            </w:r>
          </w:p>
        </w:tc>
        <w:tc>
          <w:tcPr>
            <w:tcW w:w="3594" w:type="dxa"/>
            <w:tcBorders>
              <w:top w:val="single" w:color="auto" w:sz="4" w:space="0"/>
              <w:left w:val="single" w:color="auto" w:sz="4" w:space="0"/>
              <w:bottom w:val="single" w:color="auto" w:sz="4" w:space="0"/>
              <w:right w:val="single" w:color="auto" w:sz="4" w:space="0"/>
            </w:tcBorders>
            <w:vAlign w:val="center"/>
          </w:tcPr>
          <w:p w14:paraId="1539C67B">
            <w:pPr>
              <w:widowControl/>
              <w:wordWrap w:val="0"/>
              <w:topLinePunct/>
              <w:spacing w:line="360" w:lineRule="auto"/>
              <w:jc w:val="left"/>
              <w:rPr>
                <w:rFonts w:ascii="宋体" w:hAnsi="宋体" w:eastAsia="宋体" w:cs="宋体"/>
                <w:sz w:val="24"/>
                <w:szCs w:val="24"/>
                <w:highlight w:val="none"/>
              </w:rPr>
            </w:pPr>
          </w:p>
        </w:tc>
      </w:tr>
      <w:tr w14:paraId="29EF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2694" w:type="dxa"/>
            <w:tcBorders>
              <w:top w:val="single" w:color="auto" w:sz="4" w:space="0"/>
              <w:left w:val="single" w:color="auto" w:sz="4" w:space="0"/>
              <w:bottom w:val="single" w:color="auto" w:sz="4" w:space="0"/>
              <w:right w:val="single" w:color="auto" w:sz="4" w:space="0"/>
            </w:tcBorders>
            <w:vAlign w:val="center"/>
          </w:tcPr>
          <w:p w14:paraId="151BFC0A">
            <w:pPr>
              <w:widowControl/>
              <w:wordWrap w:val="0"/>
              <w:topLinePunct/>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磋商有效期</w:t>
            </w:r>
          </w:p>
        </w:tc>
        <w:tc>
          <w:tcPr>
            <w:tcW w:w="6965" w:type="dxa"/>
            <w:gridSpan w:val="3"/>
            <w:tcBorders>
              <w:top w:val="single" w:color="auto" w:sz="4" w:space="0"/>
              <w:left w:val="single" w:color="auto" w:sz="4" w:space="0"/>
              <w:bottom w:val="single" w:color="auto" w:sz="4" w:space="0"/>
              <w:right w:val="single" w:color="auto" w:sz="4" w:space="0"/>
            </w:tcBorders>
            <w:vAlign w:val="center"/>
          </w:tcPr>
          <w:p w14:paraId="6A9E1AFC">
            <w:pPr>
              <w:widowControl/>
              <w:wordWrap w:val="0"/>
              <w:topLinePunct/>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响应文件递交截止之日起</w:t>
            </w:r>
            <w:r>
              <w:rPr>
                <w:rFonts w:hint="eastAsia" w:ascii="宋体" w:hAnsi="宋体" w:eastAsia="宋体" w:cs="宋体"/>
                <w:sz w:val="24"/>
                <w:szCs w:val="24"/>
                <w:highlight w:val="none"/>
                <w:u w:val="single"/>
              </w:rPr>
              <w:t xml:space="preserve"> 60</w:t>
            </w:r>
            <w:r>
              <w:rPr>
                <w:rFonts w:hint="eastAsia" w:ascii="宋体" w:hAnsi="宋体" w:eastAsia="宋体" w:cs="宋体"/>
                <w:sz w:val="24"/>
                <w:szCs w:val="24"/>
                <w:highlight w:val="none"/>
              </w:rPr>
              <w:t>日历天</w:t>
            </w:r>
          </w:p>
        </w:tc>
      </w:tr>
      <w:tr w14:paraId="2733E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jc w:val="center"/>
        </w:trPr>
        <w:tc>
          <w:tcPr>
            <w:tcW w:w="2694" w:type="dxa"/>
            <w:tcBorders>
              <w:top w:val="single" w:color="auto" w:sz="4" w:space="0"/>
              <w:left w:val="single" w:color="auto" w:sz="4" w:space="0"/>
              <w:bottom w:val="single" w:color="auto" w:sz="4" w:space="0"/>
              <w:right w:val="single" w:color="auto" w:sz="4" w:space="0"/>
            </w:tcBorders>
            <w:vAlign w:val="center"/>
          </w:tcPr>
          <w:p w14:paraId="15D23649">
            <w:pPr>
              <w:widowControl/>
              <w:wordWrap w:val="0"/>
              <w:topLinePunct/>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备注</w:t>
            </w:r>
          </w:p>
        </w:tc>
        <w:tc>
          <w:tcPr>
            <w:tcW w:w="6965" w:type="dxa"/>
            <w:gridSpan w:val="3"/>
            <w:tcBorders>
              <w:top w:val="single" w:color="auto" w:sz="4" w:space="0"/>
              <w:left w:val="single" w:color="auto" w:sz="4" w:space="0"/>
              <w:bottom w:val="single" w:color="auto" w:sz="4" w:space="0"/>
              <w:right w:val="single" w:color="auto" w:sz="4" w:space="0"/>
            </w:tcBorders>
            <w:vAlign w:val="center"/>
          </w:tcPr>
          <w:p w14:paraId="233F9347">
            <w:pPr>
              <w:widowControl/>
              <w:wordWrap w:val="0"/>
              <w:topLinePunct/>
              <w:spacing w:line="360" w:lineRule="auto"/>
              <w:rPr>
                <w:rFonts w:ascii="宋体" w:hAnsi="宋体" w:eastAsia="宋体" w:cs="宋体"/>
                <w:sz w:val="24"/>
                <w:szCs w:val="24"/>
                <w:highlight w:val="none"/>
              </w:rPr>
            </w:pPr>
          </w:p>
        </w:tc>
      </w:tr>
    </w:tbl>
    <w:p w14:paraId="172C3B9C">
      <w:pPr>
        <w:wordWrap w:val="0"/>
        <w:topLinePunct/>
        <w:spacing w:line="360" w:lineRule="auto"/>
        <w:jc w:val="right"/>
        <w:rPr>
          <w:rFonts w:hint="eastAsia" w:ascii="宋体" w:hAnsi="宋体" w:eastAsia="宋体" w:cs="宋体"/>
          <w:sz w:val="28"/>
          <w:szCs w:val="28"/>
          <w:highlight w:val="none"/>
        </w:rPr>
      </w:pPr>
    </w:p>
    <w:p w14:paraId="70A60B02">
      <w:pPr>
        <w:wordWrap w:val="0"/>
        <w:topLinePunct/>
        <w:spacing w:line="360" w:lineRule="auto"/>
        <w:jc w:val="right"/>
        <w:rPr>
          <w:rFonts w:ascii="宋体" w:hAnsi="宋体" w:eastAsia="宋体" w:cs="宋体"/>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color w:val="auto"/>
          <w:kern w:val="2"/>
          <w:sz w:val="24"/>
          <w:szCs w:val="24"/>
          <w:lang w:eastAsia="zh-CN"/>
        </w:rPr>
        <w:t>电子签章</w:t>
      </w:r>
      <w:r>
        <w:rPr>
          <w:rFonts w:hint="eastAsia" w:ascii="宋体" w:hAnsi="宋体" w:eastAsia="宋体" w:cs="宋体"/>
          <w:sz w:val="24"/>
          <w:szCs w:val="24"/>
          <w:highlight w:val="none"/>
        </w:rPr>
        <w:t>）</w:t>
      </w:r>
    </w:p>
    <w:p w14:paraId="28F54A32">
      <w:pPr>
        <w:wordWrap w:val="0"/>
        <w:topLinePunct/>
        <w:spacing w:line="360" w:lineRule="auto"/>
        <w:jc w:val="right"/>
        <w:rPr>
          <w:rFonts w:ascii="宋体" w:hAnsi="宋体" w:eastAsia="宋体" w:cs="宋体"/>
          <w:sz w:val="24"/>
          <w:szCs w:val="24"/>
          <w:highlight w:val="non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color w:val="auto"/>
          <w:kern w:val="2"/>
          <w:sz w:val="24"/>
          <w:szCs w:val="24"/>
          <w:lang w:eastAsia="zh-CN"/>
        </w:rPr>
        <w:t>电子签章</w:t>
      </w:r>
      <w:r>
        <w:rPr>
          <w:rFonts w:hint="eastAsia" w:ascii="宋体" w:hAnsi="宋体" w:eastAsia="宋体" w:cs="宋体"/>
          <w:sz w:val="24"/>
          <w:szCs w:val="24"/>
          <w:highlight w:val="none"/>
        </w:rPr>
        <w:t>）</w:t>
      </w:r>
    </w:p>
    <w:p w14:paraId="39D40979">
      <w:pPr>
        <w:tabs>
          <w:tab w:val="left" w:pos="5380"/>
          <w:tab w:val="left" w:pos="6520"/>
          <w:tab w:val="left" w:pos="7680"/>
        </w:tabs>
        <w:wordWrap w:val="0"/>
        <w:topLinePunct/>
        <w:autoSpaceDE w:val="0"/>
        <w:autoSpaceDN w:val="0"/>
        <w:adjustRightInd w:val="0"/>
        <w:spacing w:line="360" w:lineRule="auto"/>
        <w:ind w:right="-20" w:firstLine="1200" w:firstLineChars="500"/>
        <w:jc w:val="right"/>
        <w:rPr>
          <w:rFonts w:hint="eastAsia" w:ascii="宋体" w:hAnsi="宋体" w:eastAsia="宋体" w:cs="Times New Roman"/>
          <w:b/>
          <w:sz w:val="24"/>
          <w:szCs w:val="24"/>
          <w:highlight w:val="none"/>
          <w:lang w:val="zh-CN"/>
        </w:rPr>
      </w:pPr>
      <w:r>
        <w:rPr>
          <w:rFonts w:hint="eastAsia" w:ascii="宋体" w:hAnsi="宋体" w:eastAsia="宋体" w:cs="宋体"/>
          <w:kern w:val="0"/>
          <w:sz w:val="24"/>
          <w:szCs w:val="24"/>
          <w:highlight w:val="none"/>
        </w:rPr>
        <w:t>日      期：</w:t>
      </w:r>
      <w:r>
        <w:rPr>
          <w:rFonts w:hint="eastAsia" w:ascii="宋体" w:hAnsi="宋体" w:eastAsia="宋体" w:cs="宋体"/>
          <w:kern w:val="0"/>
          <w:sz w:val="24"/>
          <w:szCs w:val="24"/>
          <w:highlight w:val="none"/>
          <w:u w:val="single"/>
        </w:rPr>
        <w:t xml:space="preserve">    </w:t>
      </w:r>
      <w:r>
        <w:rPr>
          <w:rFonts w:hint="eastAsia" w:ascii="宋体" w:hAnsi="宋体" w:eastAsia="宋体" w:cs="宋体"/>
          <w:spacing w:val="43"/>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日</w:t>
      </w:r>
    </w:p>
    <w:p w14:paraId="721AD0E2">
      <w:pPr>
        <w:keepNext/>
        <w:keepLines/>
        <w:numPr>
          <w:ilvl w:val="0"/>
          <w:numId w:val="0"/>
        </w:numPr>
        <w:tabs>
          <w:tab w:val="left" w:pos="840"/>
        </w:tabs>
        <w:wordWrap w:val="0"/>
        <w:topLinePunct/>
        <w:spacing w:line="360" w:lineRule="auto"/>
        <w:ind w:leftChars="0"/>
        <w:jc w:val="center"/>
        <w:outlineLvl w:val="1"/>
        <w:rPr>
          <w:rFonts w:ascii="宋体" w:hAnsi="宋体" w:eastAsia="宋体" w:cs="宋体"/>
          <w:bCs/>
          <w:sz w:val="24"/>
          <w:szCs w:val="24"/>
          <w:highlight w:val="none"/>
        </w:rPr>
      </w:pPr>
      <w:r>
        <w:rPr>
          <w:rFonts w:hint="eastAsia" w:ascii="宋体" w:hAnsi="宋体" w:eastAsia="宋体" w:cs="Times New Roman"/>
          <w:b/>
          <w:sz w:val="24"/>
          <w:szCs w:val="24"/>
          <w:highlight w:val="none"/>
          <w:lang w:val="zh-CN"/>
        </w:rPr>
        <w:br w:type="page"/>
      </w:r>
      <w:r>
        <w:rPr>
          <w:rFonts w:hint="eastAsia" w:ascii="宋体" w:hAnsi="宋体" w:eastAsia="宋体" w:cs="Times New Roman"/>
          <w:b/>
          <w:sz w:val="28"/>
          <w:szCs w:val="28"/>
          <w:highlight w:val="none"/>
          <w:lang w:val="zh-CN"/>
        </w:rPr>
        <w:t>二、法定代表人身份证明</w:t>
      </w:r>
    </w:p>
    <w:p w14:paraId="59722BE4">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响 应 人：</w:t>
      </w:r>
      <w:r>
        <w:rPr>
          <w:rFonts w:hint="eastAsia" w:ascii="宋体" w:hAnsi="宋体" w:eastAsia="宋体" w:cs="宋体"/>
          <w:sz w:val="24"/>
          <w:szCs w:val="24"/>
          <w:highlight w:val="none"/>
          <w:u w:val="single"/>
        </w:rPr>
        <w:t xml:space="preserve">                                                   </w:t>
      </w:r>
    </w:p>
    <w:p w14:paraId="1EC29020">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单位性质：</w:t>
      </w:r>
      <w:r>
        <w:rPr>
          <w:rFonts w:hint="eastAsia" w:ascii="宋体" w:hAnsi="宋体" w:eastAsia="宋体" w:cs="宋体"/>
          <w:sz w:val="24"/>
          <w:szCs w:val="24"/>
          <w:highlight w:val="none"/>
          <w:u w:val="single"/>
        </w:rPr>
        <w:t xml:space="preserve">                                                   </w:t>
      </w:r>
    </w:p>
    <w:p w14:paraId="53203F82">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地    址：</w:t>
      </w:r>
      <w:r>
        <w:rPr>
          <w:rFonts w:hint="eastAsia" w:ascii="宋体" w:hAnsi="宋体" w:eastAsia="宋体" w:cs="宋体"/>
          <w:sz w:val="24"/>
          <w:szCs w:val="24"/>
          <w:highlight w:val="none"/>
          <w:u w:val="single"/>
        </w:rPr>
        <w:t xml:space="preserve">                                                   </w:t>
      </w:r>
    </w:p>
    <w:p w14:paraId="1405FF2D">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成立时间：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日</w:t>
      </w:r>
    </w:p>
    <w:p w14:paraId="60A51736">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经营期限：</w:t>
      </w:r>
      <w:r>
        <w:rPr>
          <w:rFonts w:hint="eastAsia" w:ascii="宋体" w:hAnsi="宋体" w:eastAsia="宋体" w:cs="宋体"/>
          <w:sz w:val="24"/>
          <w:szCs w:val="24"/>
          <w:highlight w:val="none"/>
          <w:u w:val="single"/>
        </w:rPr>
        <w:t xml:space="preserve">                                                   </w:t>
      </w:r>
    </w:p>
    <w:p w14:paraId="51FBE2FA">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姓    名：</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性    别：</w:t>
      </w:r>
      <w:r>
        <w:rPr>
          <w:rFonts w:hint="eastAsia" w:ascii="宋体" w:hAnsi="宋体" w:eastAsia="宋体" w:cs="宋体"/>
          <w:sz w:val="24"/>
          <w:szCs w:val="24"/>
          <w:highlight w:val="none"/>
          <w:u w:val="single"/>
        </w:rPr>
        <w:t xml:space="preserve">                 </w:t>
      </w:r>
    </w:p>
    <w:p w14:paraId="6F274022">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年    龄：</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职    务：</w:t>
      </w:r>
      <w:r>
        <w:rPr>
          <w:rFonts w:hint="eastAsia" w:ascii="宋体" w:hAnsi="宋体" w:eastAsia="宋体" w:cs="宋体"/>
          <w:sz w:val="24"/>
          <w:szCs w:val="24"/>
          <w:highlight w:val="none"/>
          <w:u w:val="single"/>
        </w:rPr>
        <w:t xml:space="preserve">                 </w:t>
      </w:r>
    </w:p>
    <w:p w14:paraId="41764516">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系</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（供应商名称）的法定代表人。</w:t>
      </w:r>
    </w:p>
    <w:p w14:paraId="063BAAB7">
      <w:pPr>
        <w:wordWrap w:val="0"/>
        <w:topLinePunct/>
        <w:spacing w:line="360" w:lineRule="auto"/>
        <w:rPr>
          <w:rFonts w:ascii="宋体" w:hAnsi="宋体" w:eastAsia="宋体" w:cs="宋体"/>
          <w:sz w:val="24"/>
          <w:szCs w:val="24"/>
          <w:highlight w:val="none"/>
        </w:rPr>
      </w:pPr>
      <w:r>
        <w:rPr>
          <w:rFonts w:hint="eastAsia" w:ascii="宋体" w:hAnsi="宋体" w:eastAsia="宋体" w:cs="宋体"/>
          <w:sz w:val="24"/>
          <w:szCs w:val="24"/>
          <w:highlight w:val="none"/>
        </w:rPr>
        <w:t>特此证明。</w:t>
      </w:r>
    </w:p>
    <w:p w14:paraId="567AFA6E">
      <w:pPr>
        <w:wordWrap w:val="0"/>
        <w:topLinePunct/>
        <w:spacing w:after="120"/>
        <w:ind w:left="420" w:leftChars="200"/>
        <w:rPr>
          <w:rFonts w:ascii="宋体" w:hAnsi="宋体" w:eastAsia="宋体" w:cs="宋体"/>
          <w:sz w:val="24"/>
          <w:szCs w:val="24"/>
          <w:highlight w:val="none"/>
        </w:rPr>
      </w:pPr>
      <w:r>
        <w:rPr>
          <w:rFonts w:hint="eastAsia" w:ascii="宋体" w:hAnsi="宋体" w:eastAsia="宋体" w:cs="宋体"/>
          <w:sz w:val="24"/>
          <w:szCs w:val="24"/>
          <w:highlight w:val="none"/>
        </w:rPr>
        <w:t>附：法定代表人身份证</w:t>
      </w:r>
      <w:r>
        <w:rPr>
          <w:rFonts w:hint="eastAsia" w:ascii="宋体" w:hAnsi="宋体" w:eastAsia="宋体" w:cs="Times New Roman"/>
          <w:sz w:val="24"/>
          <w:szCs w:val="24"/>
          <w:highlight w:val="none"/>
        </w:rPr>
        <w:t>复印件（或扫描件）</w:t>
      </w:r>
    </w:p>
    <w:p w14:paraId="08368DF5">
      <w:pPr>
        <w:wordWrap w:val="0"/>
        <w:topLinePunct/>
        <w:spacing w:after="120"/>
        <w:ind w:left="420" w:leftChars="200" w:firstLine="480" w:firstLineChars="200"/>
        <w:rPr>
          <w:rFonts w:ascii="宋体" w:hAnsi="宋体" w:eastAsia="宋体" w:cs="宋体"/>
          <w:sz w:val="24"/>
          <w:szCs w:val="24"/>
          <w:highlight w:val="none"/>
        </w:rPr>
      </w:pPr>
    </w:p>
    <w:p w14:paraId="25807EED">
      <w:pPr>
        <w:wordWrap w:val="0"/>
        <w:topLinePunct/>
        <w:spacing w:line="360" w:lineRule="auto"/>
        <w:jc w:val="right"/>
        <w:rPr>
          <w:rFonts w:ascii="宋体" w:hAnsi="宋体" w:eastAsia="宋体" w:cs="宋体"/>
          <w:sz w:val="28"/>
          <w:szCs w:val="28"/>
          <w:highlight w:val="none"/>
        </w:rPr>
      </w:pPr>
    </w:p>
    <w:p w14:paraId="6FFE3026">
      <w:pPr>
        <w:wordWrap w:val="0"/>
        <w:topLinePunct/>
        <w:spacing w:line="360" w:lineRule="auto"/>
        <w:jc w:val="right"/>
        <w:rPr>
          <w:rFonts w:ascii="宋体" w:hAnsi="宋体" w:eastAsia="宋体" w:cs="宋体"/>
          <w:sz w:val="28"/>
          <w:szCs w:val="28"/>
          <w:highlight w:val="none"/>
        </w:rPr>
      </w:pPr>
    </w:p>
    <w:p w14:paraId="1C706E61">
      <w:pPr>
        <w:wordWrap w:val="0"/>
        <w:topLinePunct/>
        <w:spacing w:line="360" w:lineRule="auto"/>
        <w:jc w:val="right"/>
        <w:rPr>
          <w:rFonts w:ascii="宋体" w:hAnsi="宋体" w:eastAsia="宋体" w:cs="宋体"/>
          <w:sz w:val="28"/>
          <w:szCs w:val="28"/>
          <w:highlight w:val="none"/>
        </w:rPr>
      </w:pPr>
    </w:p>
    <w:p w14:paraId="0229EB5C">
      <w:pPr>
        <w:wordWrap w:val="0"/>
        <w:topLinePunct/>
        <w:spacing w:line="360" w:lineRule="auto"/>
        <w:jc w:val="right"/>
        <w:rPr>
          <w:rFonts w:ascii="宋体" w:hAnsi="宋体" w:eastAsia="宋体" w:cs="宋体"/>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color w:val="auto"/>
          <w:kern w:val="2"/>
          <w:sz w:val="24"/>
          <w:szCs w:val="24"/>
          <w:lang w:eastAsia="zh-CN"/>
        </w:rPr>
        <w:t>电子签章</w:t>
      </w:r>
      <w:r>
        <w:rPr>
          <w:rFonts w:hint="eastAsia" w:ascii="宋体" w:hAnsi="宋体" w:eastAsia="宋体" w:cs="宋体"/>
          <w:sz w:val="24"/>
          <w:szCs w:val="24"/>
          <w:highlight w:val="none"/>
        </w:rPr>
        <w:t>）</w:t>
      </w:r>
    </w:p>
    <w:p w14:paraId="17B189E9">
      <w:pPr>
        <w:wordWrap w:val="0"/>
        <w:topLinePunct/>
        <w:spacing w:line="360" w:lineRule="auto"/>
        <w:jc w:val="right"/>
        <w:rPr>
          <w:rFonts w:ascii="宋体" w:hAnsi="宋体" w:eastAsia="宋体" w:cs="宋体"/>
          <w:sz w:val="24"/>
          <w:szCs w:val="24"/>
          <w:highlight w:val="non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color w:val="auto"/>
          <w:kern w:val="2"/>
          <w:sz w:val="24"/>
          <w:szCs w:val="24"/>
          <w:lang w:eastAsia="zh-CN"/>
        </w:rPr>
        <w:t>电子签章</w:t>
      </w:r>
      <w:r>
        <w:rPr>
          <w:rFonts w:hint="eastAsia" w:ascii="宋体" w:hAnsi="宋体" w:eastAsia="宋体" w:cs="宋体"/>
          <w:sz w:val="24"/>
          <w:szCs w:val="24"/>
          <w:highlight w:val="none"/>
        </w:rPr>
        <w:t>）</w:t>
      </w:r>
    </w:p>
    <w:p w14:paraId="725C15F2">
      <w:pPr>
        <w:tabs>
          <w:tab w:val="left" w:pos="5380"/>
          <w:tab w:val="left" w:pos="6520"/>
          <w:tab w:val="left" w:pos="7680"/>
        </w:tabs>
        <w:wordWrap w:val="0"/>
        <w:topLinePunct/>
        <w:autoSpaceDE w:val="0"/>
        <w:autoSpaceDN w:val="0"/>
        <w:adjustRightInd w:val="0"/>
        <w:spacing w:line="360" w:lineRule="auto"/>
        <w:ind w:right="-20" w:firstLine="1200" w:firstLineChars="500"/>
        <w:jc w:val="right"/>
        <w:rPr>
          <w:rFonts w:ascii="宋体" w:hAnsi="宋体" w:eastAsia="宋体" w:cs="宋体"/>
          <w:sz w:val="24"/>
          <w:szCs w:val="24"/>
          <w:highlight w:val="none"/>
        </w:rPr>
      </w:pPr>
      <w:r>
        <w:rPr>
          <w:rFonts w:hint="eastAsia" w:ascii="宋体" w:hAnsi="宋体" w:eastAsia="宋体" w:cs="宋体"/>
          <w:kern w:val="0"/>
          <w:sz w:val="24"/>
          <w:szCs w:val="24"/>
          <w:highlight w:val="none"/>
        </w:rPr>
        <w:t>日      期：</w:t>
      </w:r>
      <w:r>
        <w:rPr>
          <w:rFonts w:hint="eastAsia" w:ascii="宋体" w:hAnsi="宋体" w:eastAsia="宋体" w:cs="宋体"/>
          <w:kern w:val="0"/>
          <w:sz w:val="24"/>
          <w:szCs w:val="24"/>
          <w:highlight w:val="none"/>
          <w:u w:val="single"/>
        </w:rPr>
        <w:t xml:space="preserve">    </w:t>
      </w:r>
      <w:r>
        <w:rPr>
          <w:rFonts w:hint="eastAsia" w:ascii="宋体" w:hAnsi="宋体" w:eastAsia="宋体" w:cs="宋体"/>
          <w:spacing w:val="43"/>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日</w:t>
      </w:r>
    </w:p>
    <w:p w14:paraId="304D280B">
      <w:pPr>
        <w:wordWrap w:val="0"/>
        <w:topLinePunct/>
        <w:spacing w:line="360" w:lineRule="auto"/>
        <w:rPr>
          <w:rFonts w:ascii="宋体" w:hAnsi="宋体" w:eastAsia="宋体" w:cs="宋体"/>
          <w:sz w:val="24"/>
          <w:szCs w:val="24"/>
          <w:highlight w:val="none"/>
        </w:rPr>
      </w:pPr>
    </w:p>
    <w:p w14:paraId="010546D1">
      <w:pPr>
        <w:keepNext/>
        <w:keepLines/>
        <w:numPr>
          <w:ilvl w:val="0"/>
          <w:numId w:val="0"/>
        </w:numPr>
        <w:tabs>
          <w:tab w:val="left" w:pos="840"/>
        </w:tabs>
        <w:wordWrap w:val="0"/>
        <w:topLinePunct/>
        <w:spacing w:line="360" w:lineRule="auto"/>
        <w:ind w:leftChars="0"/>
        <w:jc w:val="center"/>
        <w:outlineLvl w:val="1"/>
        <w:rPr>
          <w:rFonts w:ascii="宋体" w:hAnsi="宋体" w:eastAsia="宋体" w:cs="宋体"/>
          <w:bCs/>
          <w:sz w:val="28"/>
          <w:szCs w:val="28"/>
          <w:highlight w:val="none"/>
        </w:rPr>
      </w:pPr>
      <w:r>
        <w:rPr>
          <w:rFonts w:ascii="宋体" w:hAnsi="宋体" w:eastAsia="宋体" w:cs="宋体"/>
          <w:b/>
          <w:bCs/>
          <w:sz w:val="24"/>
          <w:szCs w:val="21"/>
          <w:highlight w:val="none"/>
        </w:rPr>
        <w:br w:type="page"/>
      </w:r>
      <w:r>
        <w:rPr>
          <w:rFonts w:hint="eastAsia" w:ascii="宋体" w:hAnsi="宋体" w:eastAsia="宋体" w:cs="宋体"/>
          <w:b/>
          <w:bCs/>
          <w:sz w:val="24"/>
          <w:szCs w:val="21"/>
          <w:highlight w:val="none"/>
          <w:lang w:val="en-US" w:eastAsia="zh-CN"/>
        </w:rPr>
        <w:t>三、</w:t>
      </w:r>
      <w:r>
        <w:rPr>
          <w:rFonts w:hint="eastAsia" w:ascii="宋体" w:hAnsi="宋体" w:eastAsia="宋体" w:cs="Times New Roman"/>
          <w:b/>
          <w:sz w:val="28"/>
          <w:szCs w:val="28"/>
          <w:highlight w:val="none"/>
          <w:lang w:val="zh-CN"/>
        </w:rPr>
        <w:t>授权委托书</w:t>
      </w:r>
    </w:p>
    <w:p w14:paraId="17709BD4">
      <w:pPr>
        <w:wordWrap w:val="0"/>
        <w:topLinePunct/>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本人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（姓名）系</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（供应商名称）的法定代表人，现委托</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（姓名）为我方代理人。代理人根据授权，以我方名义签署、澄清、说明、补正、递交、撤回、修改</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（项目名称）投标文件、签订合同和处理有关事宜，其法律后果由我方承担。</w:t>
      </w:r>
    </w:p>
    <w:p w14:paraId="29334742">
      <w:pPr>
        <w:wordWrap w:val="0"/>
        <w:topLinePunct/>
        <w:spacing w:before="156" w:beforeLines="5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委托期限：</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216A8961">
      <w:pPr>
        <w:wordWrap w:val="0"/>
        <w:topLinePunct/>
        <w:spacing w:before="312" w:beforeLines="100" w:after="312" w:afterLines="10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代理人无转委托权。</w:t>
      </w:r>
    </w:p>
    <w:p w14:paraId="3F6552DB">
      <w:pPr>
        <w:wordWrap w:val="0"/>
        <w:topLinePunct/>
        <w:spacing w:after="312" w:afterLines="100"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附：委托代理人身份证复印件</w:t>
      </w:r>
      <w:r>
        <w:rPr>
          <w:rFonts w:hint="eastAsia" w:ascii="宋体" w:hAnsi="宋体" w:eastAsia="宋体" w:cs="Times New Roman"/>
          <w:sz w:val="24"/>
          <w:szCs w:val="24"/>
          <w:highlight w:val="none"/>
        </w:rPr>
        <w:t>（或扫描件）</w:t>
      </w:r>
    </w:p>
    <w:p w14:paraId="65160AE1">
      <w:pPr>
        <w:wordWrap w:val="0"/>
        <w:topLinePunct/>
        <w:spacing w:line="360" w:lineRule="auto"/>
        <w:rPr>
          <w:rFonts w:ascii="宋体" w:hAnsi="宋体" w:eastAsia="宋体" w:cs="宋体"/>
          <w:sz w:val="24"/>
          <w:szCs w:val="24"/>
          <w:highlight w:val="none"/>
        </w:rPr>
      </w:pPr>
    </w:p>
    <w:p w14:paraId="64AF2047">
      <w:pPr>
        <w:wordWrap w:val="0"/>
        <w:topLinePunct/>
        <w:spacing w:line="360" w:lineRule="auto"/>
        <w:rPr>
          <w:rFonts w:ascii="宋体" w:hAnsi="宋体" w:eastAsia="宋体" w:cs="宋体"/>
          <w:sz w:val="24"/>
          <w:szCs w:val="24"/>
          <w:highlight w:val="none"/>
        </w:rPr>
      </w:pPr>
    </w:p>
    <w:p w14:paraId="15A5961E">
      <w:pPr>
        <w:wordWrap w:val="0"/>
        <w:topLinePunct/>
        <w:spacing w:line="360" w:lineRule="auto"/>
        <w:jc w:val="right"/>
        <w:rPr>
          <w:rFonts w:ascii="宋体" w:hAnsi="宋体" w:eastAsia="宋体" w:cs="宋体"/>
          <w:sz w:val="24"/>
          <w:szCs w:val="24"/>
          <w:highlight w:val="none"/>
        </w:rPr>
      </w:pPr>
      <w:r>
        <w:rPr>
          <w:rFonts w:hint="eastAsia" w:ascii="宋体" w:hAnsi="宋体" w:eastAsia="宋体" w:cs="宋体"/>
          <w:sz w:val="24"/>
          <w:szCs w:val="24"/>
          <w:highlight w:val="none"/>
        </w:rPr>
        <w:t>供应商：</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color w:val="auto"/>
          <w:kern w:val="2"/>
          <w:sz w:val="24"/>
          <w:szCs w:val="24"/>
          <w:lang w:eastAsia="zh-CN"/>
        </w:rPr>
        <w:t>电子签章</w:t>
      </w:r>
      <w:r>
        <w:rPr>
          <w:rFonts w:hint="eastAsia" w:ascii="宋体" w:hAnsi="宋体" w:eastAsia="宋体" w:cs="宋体"/>
          <w:sz w:val="24"/>
          <w:szCs w:val="24"/>
          <w:highlight w:val="none"/>
        </w:rPr>
        <w:t>）</w:t>
      </w:r>
    </w:p>
    <w:p w14:paraId="37466A09">
      <w:pPr>
        <w:wordWrap w:val="0"/>
        <w:topLinePunct/>
        <w:spacing w:line="360" w:lineRule="auto"/>
        <w:jc w:val="right"/>
        <w:rPr>
          <w:rFonts w:ascii="宋体" w:hAnsi="宋体" w:eastAsia="宋体" w:cs="宋体"/>
          <w:sz w:val="24"/>
          <w:szCs w:val="24"/>
          <w:highlight w:val="none"/>
        </w:rPr>
      </w:pPr>
      <w:r>
        <w:rPr>
          <w:rFonts w:hint="eastAsia" w:ascii="宋体" w:hAnsi="宋体" w:eastAsia="宋体" w:cs="宋体"/>
          <w:sz w:val="24"/>
          <w:szCs w:val="24"/>
          <w:highlight w:val="none"/>
        </w:rPr>
        <w:t>法定代表人：</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r>
        <w:rPr>
          <w:rFonts w:hint="eastAsia"/>
          <w:color w:val="auto"/>
          <w:kern w:val="2"/>
          <w:sz w:val="24"/>
          <w:szCs w:val="24"/>
          <w:lang w:eastAsia="zh-CN"/>
        </w:rPr>
        <w:t>电子签章</w:t>
      </w:r>
      <w:r>
        <w:rPr>
          <w:rFonts w:hint="eastAsia" w:ascii="宋体" w:hAnsi="宋体" w:eastAsia="宋体" w:cs="宋体"/>
          <w:sz w:val="24"/>
          <w:szCs w:val="24"/>
          <w:highlight w:val="none"/>
        </w:rPr>
        <w:t>）</w:t>
      </w:r>
    </w:p>
    <w:p w14:paraId="76187B8F">
      <w:pPr>
        <w:tabs>
          <w:tab w:val="left" w:pos="5380"/>
          <w:tab w:val="left" w:pos="6520"/>
          <w:tab w:val="left" w:pos="7680"/>
        </w:tabs>
        <w:wordWrap w:val="0"/>
        <w:topLinePunct/>
        <w:autoSpaceDE w:val="0"/>
        <w:autoSpaceDN w:val="0"/>
        <w:adjustRightInd w:val="0"/>
        <w:spacing w:line="360" w:lineRule="auto"/>
        <w:ind w:right="-20" w:firstLine="1200" w:firstLineChars="500"/>
        <w:jc w:val="right"/>
        <w:rPr>
          <w:rFonts w:ascii="宋体" w:hAnsi="宋体" w:eastAsia="宋体" w:cs="宋体"/>
          <w:sz w:val="24"/>
          <w:szCs w:val="24"/>
          <w:highlight w:val="none"/>
        </w:rPr>
      </w:pPr>
      <w:r>
        <w:rPr>
          <w:rFonts w:hint="eastAsia" w:ascii="宋体" w:hAnsi="宋体" w:eastAsia="宋体" w:cs="宋体"/>
          <w:kern w:val="0"/>
          <w:sz w:val="24"/>
          <w:szCs w:val="24"/>
          <w:highlight w:val="none"/>
        </w:rPr>
        <w:t>日      期：</w:t>
      </w:r>
      <w:r>
        <w:rPr>
          <w:rFonts w:hint="eastAsia" w:ascii="宋体" w:hAnsi="宋体" w:eastAsia="宋体" w:cs="宋体"/>
          <w:kern w:val="0"/>
          <w:sz w:val="24"/>
          <w:szCs w:val="24"/>
          <w:highlight w:val="none"/>
          <w:u w:val="single"/>
        </w:rPr>
        <w:t xml:space="preserve">    </w:t>
      </w:r>
      <w:r>
        <w:rPr>
          <w:rFonts w:hint="eastAsia" w:ascii="宋体" w:hAnsi="宋体" w:eastAsia="宋体" w:cs="宋体"/>
          <w:spacing w:val="43"/>
          <w:kern w:val="0"/>
          <w:sz w:val="24"/>
          <w:szCs w:val="24"/>
          <w:highlight w:val="none"/>
          <w:u w:val="single"/>
        </w:rPr>
        <w:t xml:space="preserve"> </w:t>
      </w:r>
      <w:r>
        <w:rPr>
          <w:rFonts w:hint="eastAsia" w:ascii="宋体" w:hAnsi="宋体" w:eastAsia="宋体" w:cs="宋体"/>
          <w:kern w:val="0"/>
          <w:sz w:val="24"/>
          <w:szCs w:val="24"/>
          <w:highlight w:val="none"/>
        </w:rPr>
        <w:t>年</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月</w:t>
      </w:r>
      <w:r>
        <w:rPr>
          <w:rFonts w:hint="eastAsia" w:ascii="宋体" w:hAnsi="宋体" w:eastAsia="宋体" w:cs="宋体"/>
          <w:kern w:val="0"/>
          <w:sz w:val="24"/>
          <w:szCs w:val="24"/>
          <w:highlight w:val="none"/>
          <w:u w:val="single"/>
        </w:rPr>
        <w:t xml:space="preserve">     </w:t>
      </w:r>
      <w:r>
        <w:rPr>
          <w:rFonts w:hint="eastAsia" w:ascii="宋体" w:hAnsi="宋体" w:eastAsia="宋体" w:cs="宋体"/>
          <w:kern w:val="0"/>
          <w:sz w:val="24"/>
          <w:szCs w:val="24"/>
          <w:highlight w:val="none"/>
        </w:rPr>
        <w:t>日</w:t>
      </w:r>
    </w:p>
    <w:p w14:paraId="116B9DEC">
      <w:pPr>
        <w:wordWrap w:val="0"/>
        <w:topLinePunct/>
        <w:spacing w:before="312" w:beforeLines="100" w:after="156" w:afterLines="50" w:line="360" w:lineRule="auto"/>
        <w:rPr>
          <w:rFonts w:ascii="宋体" w:hAnsi="宋体" w:eastAsia="宋体" w:cs="宋体"/>
          <w:szCs w:val="21"/>
          <w:highlight w:val="none"/>
        </w:rPr>
      </w:pPr>
    </w:p>
    <w:p w14:paraId="7C921E11">
      <w:pPr>
        <w:wordWrap w:val="0"/>
        <w:topLinePunct/>
        <w:spacing w:before="312" w:beforeLines="100" w:after="156" w:afterLines="50" w:line="360" w:lineRule="auto"/>
        <w:rPr>
          <w:rFonts w:ascii="宋体" w:hAnsi="宋体" w:eastAsia="宋体" w:cs="宋体"/>
          <w:szCs w:val="21"/>
          <w:highlight w:val="none"/>
        </w:rPr>
      </w:pPr>
    </w:p>
    <w:p w14:paraId="15D3F23C">
      <w:pPr>
        <w:wordWrap w:val="0"/>
        <w:topLinePunct/>
        <w:spacing w:before="312" w:beforeLines="100" w:after="156" w:afterLines="50" w:line="360" w:lineRule="auto"/>
        <w:rPr>
          <w:rFonts w:ascii="宋体" w:hAnsi="宋体" w:eastAsia="宋体" w:cs="宋体"/>
          <w:szCs w:val="21"/>
          <w:highlight w:val="none"/>
        </w:rPr>
      </w:pPr>
    </w:p>
    <w:p w14:paraId="19F6875D">
      <w:pPr>
        <w:wordWrap w:val="0"/>
        <w:topLinePunct/>
        <w:spacing w:before="312" w:beforeLines="100" w:after="156" w:afterLines="50" w:line="360" w:lineRule="auto"/>
        <w:rPr>
          <w:rFonts w:ascii="宋体" w:hAnsi="宋体" w:eastAsia="宋体" w:cs="宋体"/>
          <w:szCs w:val="21"/>
          <w:highlight w:val="none"/>
        </w:rPr>
      </w:pPr>
    </w:p>
    <w:p w14:paraId="30796604">
      <w:pPr>
        <w:wordWrap w:val="0"/>
        <w:topLinePunct/>
        <w:spacing w:before="312" w:beforeLines="100" w:after="156" w:afterLines="50" w:line="360" w:lineRule="auto"/>
        <w:rPr>
          <w:rFonts w:ascii="宋体" w:hAnsi="宋体" w:eastAsia="宋体" w:cs="宋体"/>
          <w:sz w:val="28"/>
          <w:szCs w:val="28"/>
          <w:highlight w:val="none"/>
        </w:rPr>
      </w:pPr>
    </w:p>
    <w:p w14:paraId="2842D6EF">
      <w:pPr>
        <w:wordWrap w:val="0"/>
        <w:topLinePunct/>
        <w:spacing w:line="360" w:lineRule="auto"/>
        <w:rPr>
          <w:rFonts w:ascii="宋体" w:hAnsi="宋体" w:eastAsia="宋体" w:cs="宋体"/>
          <w:b/>
          <w:sz w:val="24"/>
          <w:szCs w:val="21"/>
          <w:highlight w:val="none"/>
        </w:rPr>
      </w:pPr>
    </w:p>
    <w:p w14:paraId="2CEBB260">
      <w:pPr>
        <w:rPr>
          <w:rFonts w:hint="eastAsia" w:ascii="宋体" w:hAnsi="宋体" w:eastAsia="宋体" w:cs="Times New Roman"/>
          <w:b/>
          <w:sz w:val="28"/>
          <w:szCs w:val="28"/>
          <w:highlight w:val="none"/>
          <w:lang w:val="zh-CN"/>
        </w:rPr>
      </w:pPr>
      <w:r>
        <w:rPr>
          <w:rFonts w:hint="eastAsia" w:ascii="宋体" w:hAnsi="宋体" w:eastAsia="宋体" w:cs="Times New Roman"/>
          <w:b/>
          <w:sz w:val="28"/>
          <w:szCs w:val="28"/>
          <w:highlight w:val="none"/>
          <w:lang w:val="zh-CN"/>
        </w:rPr>
        <w:br w:type="page"/>
      </w:r>
    </w:p>
    <w:p w14:paraId="5DCE3F86">
      <w:pPr>
        <w:numPr>
          <w:ilvl w:val="0"/>
          <w:numId w:val="11"/>
        </w:numPr>
        <w:autoSpaceDE/>
        <w:autoSpaceDN/>
        <w:spacing w:line="360" w:lineRule="auto"/>
        <w:jc w:val="center"/>
        <w:rPr>
          <w:rFonts w:hint="eastAsia" w:ascii="宋体" w:hAnsi="宋体" w:eastAsia="宋体" w:cs="Times New Roman"/>
          <w:b/>
          <w:sz w:val="28"/>
          <w:szCs w:val="28"/>
          <w:highlight w:val="none"/>
          <w:lang w:val="zh-CN"/>
        </w:rPr>
      </w:pPr>
      <w:r>
        <w:rPr>
          <w:rFonts w:hint="eastAsia" w:ascii="宋体" w:hAnsi="宋体" w:eastAsia="宋体" w:cs="Times New Roman"/>
          <w:b/>
          <w:sz w:val="28"/>
          <w:szCs w:val="28"/>
          <w:highlight w:val="none"/>
          <w:lang w:val="zh-CN"/>
        </w:rPr>
        <w:t>供应商基本情况</w:t>
      </w:r>
    </w:p>
    <w:p w14:paraId="2779F66E">
      <w:pPr>
        <w:numPr>
          <w:ilvl w:val="0"/>
          <w:numId w:val="0"/>
        </w:numPr>
        <w:autoSpaceDE/>
        <w:autoSpaceDN/>
        <w:spacing w:line="360" w:lineRule="auto"/>
        <w:jc w:val="center"/>
        <w:rPr>
          <w:rFonts w:cs="楷体"/>
          <w:b/>
          <w:kern w:val="2"/>
          <w:sz w:val="28"/>
          <w:szCs w:val="28"/>
          <w:lang w:eastAsia="zh-CN"/>
        </w:rPr>
      </w:pPr>
      <w:r>
        <w:rPr>
          <w:rFonts w:hint="eastAsia" w:cs="楷体"/>
          <w:b/>
          <w:kern w:val="2"/>
          <w:sz w:val="28"/>
          <w:szCs w:val="28"/>
          <w:lang w:eastAsia="zh-CN"/>
        </w:rPr>
        <w:t>（一）投标人基本情况表</w:t>
      </w:r>
    </w:p>
    <w:tbl>
      <w:tblPr>
        <w:tblStyle w:val="16"/>
        <w:tblW w:w="94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3"/>
        <w:gridCol w:w="1027"/>
        <w:gridCol w:w="1066"/>
        <w:gridCol w:w="1344"/>
        <w:gridCol w:w="747"/>
        <w:gridCol w:w="596"/>
        <w:gridCol w:w="1344"/>
        <w:gridCol w:w="44"/>
        <w:gridCol w:w="1299"/>
      </w:tblGrid>
      <w:tr w14:paraId="5518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1933" w:type="dxa"/>
            <w:noWrap/>
            <w:vAlign w:val="center"/>
          </w:tcPr>
          <w:p w14:paraId="48749E77">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投标人名称</w:t>
            </w:r>
          </w:p>
        </w:tc>
        <w:tc>
          <w:tcPr>
            <w:tcW w:w="7467" w:type="dxa"/>
            <w:gridSpan w:val="8"/>
            <w:noWrap/>
            <w:vAlign w:val="center"/>
          </w:tcPr>
          <w:p w14:paraId="7A3E994E">
            <w:pPr>
              <w:adjustRightInd w:val="0"/>
              <w:spacing w:line="420" w:lineRule="exact"/>
              <w:jc w:val="center"/>
              <w:rPr>
                <w:rFonts w:hint="eastAsia" w:asciiTheme="minorEastAsia" w:hAnsiTheme="minorEastAsia" w:eastAsiaTheme="minorEastAsia" w:cstheme="minorEastAsia"/>
                <w:sz w:val="24"/>
                <w:szCs w:val="24"/>
                <w:lang w:eastAsia="zh-CN"/>
              </w:rPr>
            </w:pPr>
          </w:p>
        </w:tc>
      </w:tr>
      <w:tr w14:paraId="43017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933" w:type="dxa"/>
            <w:noWrap/>
            <w:vAlign w:val="center"/>
          </w:tcPr>
          <w:p w14:paraId="4A65E4B6">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注册地址</w:t>
            </w:r>
          </w:p>
        </w:tc>
        <w:tc>
          <w:tcPr>
            <w:tcW w:w="3437" w:type="dxa"/>
            <w:gridSpan w:val="3"/>
            <w:noWrap/>
            <w:vAlign w:val="center"/>
          </w:tcPr>
          <w:p w14:paraId="2586A8D7">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1343" w:type="dxa"/>
            <w:gridSpan w:val="2"/>
            <w:noWrap/>
            <w:vAlign w:val="center"/>
          </w:tcPr>
          <w:p w14:paraId="2A31B485">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邮政编码</w:t>
            </w:r>
          </w:p>
        </w:tc>
        <w:tc>
          <w:tcPr>
            <w:tcW w:w="2687" w:type="dxa"/>
            <w:gridSpan w:val="3"/>
            <w:noWrap/>
            <w:vAlign w:val="center"/>
          </w:tcPr>
          <w:p w14:paraId="282CF3F2">
            <w:pPr>
              <w:adjustRightInd w:val="0"/>
              <w:spacing w:line="420" w:lineRule="exact"/>
              <w:jc w:val="center"/>
              <w:rPr>
                <w:rFonts w:hint="eastAsia" w:asciiTheme="minorEastAsia" w:hAnsiTheme="minorEastAsia" w:eastAsiaTheme="minorEastAsia" w:cstheme="minorEastAsia"/>
                <w:sz w:val="24"/>
                <w:szCs w:val="24"/>
                <w:lang w:eastAsia="zh-CN"/>
              </w:rPr>
            </w:pPr>
          </w:p>
        </w:tc>
      </w:tr>
      <w:tr w14:paraId="40E8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3" w:hRule="atLeast"/>
          <w:jc w:val="center"/>
        </w:trPr>
        <w:tc>
          <w:tcPr>
            <w:tcW w:w="1933" w:type="dxa"/>
            <w:vMerge w:val="restart"/>
            <w:noWrap/>
            <w:vAlign w:val="center"/>
          </w:tcPr>
          <w:p w14:paraId="2F05A930">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联系方式</w:t>
            </w:r>
          </w:p>
        </w:tc>
        <w:tc>
          <w:tcPr>
            <w:tcW w:w="1027" w:type="dxa"/>
            <w:noWrap/>
            <w:vAlign w:val="center"/>
          </w:tcPr>
          <w:p w14:paraId="71FF83A9">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联系人</w:t>
            </w:r>
          </w:p>
        </w:tc>
        <w:tc>
          <w:tcPr>
            <w:tcW w:w="2410" w:type="dxa"/>
            <w:gridSpan w:val="2"/>
            <w:noWrap/>
            <w:vAlign w:val="center"/>
          </w:tcPr>
          <w:p w14:paraId="10D028E8">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1343" w:type="dxa"/>
            <w:gridSpan w:val="2"/>
            <w:noWrap/>
            <w:vAlign w:val="center"/>
          </w:tcPr>
          <w:p w14:paraId="1F7F85E2">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电 话</w:t>
            </w:r>
          </w:p>
        </w:tc>
        <w:tc>
          <w:tcPr>
            <w:tcW w:w="2687" w:type="dxa"/>
            <w:gridSpan w:val="3"/>
            <w:noWrap/>
            <w:vAlign w:val="center"/>
          </w:tcPr>
          <w:p w14:paraId="6C8122E0">
            <w:pPr>
              <w:adjustRightInd w:val="0"/>
              <w:spacing w:line="420" w:lineRule="exact"/>
              <w:jc w:val="center"/>
              <w:rPr>
                <w:rFonts w:hint="eastAsia" w:asciiTheme="minorEastAsia" w:hAnsiTheme="minorEastAsia" w:eastAsiaTheme="minorEastAsia" w:cstheme="minorEastAsia"/>
                <w:sz w:val="24"/>
                <w:szCs w:val="24"/>
                <w:lang w:eastAsia="zh-CN"/>
              </w:rPr>
            </w:pPr>
          </w:p>
        </w:tc>
      </w:tr>
      <w:tr w14:paraId="5B2F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1933" w:type="dxa"/>
            <w:vMerge w:val="continue"/>
            <w:noWrap/>
            <w:vAlign w:val="center"/>
          </w:tcPr>
          <w:p w14:paraId="1C55370C">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1027" w:type="dxa"/>
            <w:noWrap/>
            <w:vAlign w:val="center"/>
          </w:tcPr>
          <w:p w14:paraId="3FDC49F8">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传真</w:t>
            </w:r>
          </w:p>
        </w:tc>
        <w:tc>
          <w:tcPr>
            <w:tcW w:w="2410" w:type="dxa"/>
            <w:gridSpan w:val="2"/>
            <w:noWrap/>
            <w:vAlign w:val="center"/>
          </w:tcPr>
          <w:p w14:paraId="090C8A12">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1343" w:type="dxa"/>
            <w:gridSpan w:val="2"/>
            <w:noWrap/>
            <w:vAlign w:val="center"/>
          </w:tcPr>
          <w:p w14:paraId="7666F071">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网 址</w:t>
            </w:r>
          </w:p>
        </w:tc>
        <w:tc>
          <w:tcPr>
            <w:tcW w:w="2687" w:type="dxa"/>
            <w:gridSpan w:val="3"/>
            <w:noWrap/>
            <w:vAlign w:val="center"/>
          </w:tcPr>
          <w:p w14:paraId="5592373A">
            <w:pPr>
              <w:adjustRightInd w:val="0"/>
              <w:spacing w:line="420" w:lineRule="exact"/>
              <w:jc w:val="center"/>
              <w:rPr>
                <w:rFonts w:hint="eastAsia" w:asciiTheme="minorEastAsia" w:hAnsiTheme="minorEastAsia" w:eastAsiaTheme="minorEastAsia" w:cstheme="minorEastAsia"/>
                <w:sz w:val="24"/>
                <w:szCs w:val="24"/>
                <w:lang w:eastAsia="zh-CN"/>
              </w:rPr>
            </w:pPr>
          </w:p>
        </w:tc>
      </w:tr>
      <w:tr w14:paraId="1184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933" w:type="dxa"/>
            <w:noWrap/>
            <w:vAlign w:val="center"/>
          </w:tcPr>
          <w:p w14:paraId="281B1271">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组织结构</w:t>
            </w:r>
          </w:p>
        </w:tc>
        <w:tc>
          <w:tcPr>
            <w:tcW w:w="7467" w:type="dxa"/>
            <w:gridSpan w:val="8"/>
            <w:noWrap/>
            <w:vAlign w:val="center"/>
          </w:tcPr>
          <w:p w14:paraId="1E18CA6C">
            <w:pPr>
              <w:adjustRightInd w:val="0"/>
              <w:spacing w:line="420" w:lineRule="exact"/>
              <w:jc w:val="center"/>
              <w:rPr>
                <w:rFonts w:hint="eastAsia" w:asciiTheme="minorEastAsia" w:hAnsiTheme="minorEastAsia" w:eastAsiaTheme="minorEastAsia" w:cstheme="minorEastAsia"/>
                <w:sz w:val="24"/>
                <w:szCs w:val="24"/>
                <w:lang w:eastAsia="zh-CN"/>
              </w:rPr>
            </w:pPr>
          </w:p>
        </w:tc>
      </w:tr>
      <w:tr w14:paraId="5F25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933" w:type="dxa"/>
            <w:noWrap/>
            <w:vAlign w:val="center"/>
          </w:tcPr>
          <w:p w14:paraId="2F7A5B73">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法定代表人</w:t>
            </w:r>
          </w:p>
        </w:tc>
        <w:tc>
          <w:tcPr>
            <w:tcW w:w="1027" w:type="dxa"/>
            <w:noWrap/>
            <w:vAlign w:val="center"/>
          </w:tcPr>
          <w:p w14:paraId="337235C8">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姓名</w:t>
            </w:r>
          </w:p>
        </w:tc>
        <w:tc>
          <w:tcPr>
            <w:tcW w:w="1066" w:type="dxa"/>
            <w:noWrap/>
            <w:vAlign w:val="center"/>
          </w:tcPr>
          <w:p w14:paraId="38A73FDC">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1344" w:type="dxa"/>
            <w:noWrap/>
            <w:vAlign w:val="center"/>
          </w:tcPr>
          <w:p w14:paraId="0CD202F7">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技术职称</w:t>
            </w:r>
          </w:p>
        </w:tc>
        <w:tc>
          <w:tcPr>
            <w:tcW w:w="1343" w:type="dxa"/>
            <w:gridSpan w:val="2"/>
            <w:noWrap/>
            <w:vAlign w:val="center"/>
          </w:tcPr>
          <w:p w14:paraId="17FA8E3F">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1344" w:type="dxa"/>
            <w:noWrap/>
            <w:vAlign w:val="center"/>
          </w:tcPr>
          <w:p w14:paraId="76EB4F34">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电话</w:t>
            </w:r>
          </w:p>
        </w:tc>
        <w:tc>
          <w:tcPr>
            <w:tcW w:w="1343" w:type="dxa"/>
            <w:gridSpan w:val="2"/>
            <w:noWrap/>
            <w:vAlign w:val="center"/>
          </w:tcPr>
          <w:p w14:paraId="0DD00BCB">
            <w:pPr>
              <w:adjustRightInd w:val="0"/>
              <w:spacing w:line="420" w:lineRule="exact"/>
              <w:jc w:val="center"/>
              <w:rPr>
                <w:rFonts w:hint="eastAsia" w:asciiTheme="minorEastAsia" w:hAnsiTheme="minorEastAsia" w:eastAsiaTheme="minorEastAsia" w:cstheme="minorEastAsia"/>
                <w:sz w:val="24"/>
                <w:szCs w:val="24"/>
                <w:lang w:eastAsia="zh-CN"/>
              </w:rPr>
            </w:pPr>
          </w:p>
        </w:tc>
      </w:tr>
      <w:tr w14:paraId="04EC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933" w:type="dxa"/>
            <w:noWrap/>
            <w:vAlign w:val="center"/>
          </w:tcPr>
          <w:p w14:paraId="3B1541AF">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技术负责人</w:t>
            </w:r>
          </w:p>
        </w:tc>
        <w:tc>
          <w:tcPr>
            <w:tcW w:w="1027" w:type="dxa"/>
            <w:noWrap/>
            <w:vAlign w:val="center"/>
          </w:tcPr>
          <w:p w14:paraId="3AD61297">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姓名</w:t>
            </w:r>
          </w:p>
        </w:tc>
        <w:tc>
          <w:tcPr>
            <w:tcW w:w="1066" w:type="dxa"/>
            <w:noWrap/>
            <w:vAlign w:val="center"/>
          </w:tcPr>
          <w:p w14:paraId="0879EAF3">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1344" w:type="dxa"/>
            <w:noWrap/>
            <w:vAlign w:val="center"/>
          </w:tcPr>
          <w:p w14:paraId="128453A2">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技术职称</w:t>
            </w:r>
          </w:p>
        </w:tc>
        <w:tc>
          <w:tcPr>
            <w:tcW w:w="1343" w:type="dxa"/>
            <w:gridSpan w:val="2"/>
            <w:noWrap/>
            <w:vAlign w:val="center"/>
          </w:tcPr>
          <w:p w14:paraId="7257B38F">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1344" w:type="dxa"/>
            <w:noWrap/>
            <w:vAlign w:val="center"/>
          </w:tcPr>
          <w:p w14:paraId="5189F62A">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电话</w:t>
            </w:r>
          </w:p>
        </w:tc>
        <w:tc>
          <w:tcPr>
            <w:tcW w:w="1343" w:type="dxa"/>
            <w:gridSpan w:val="2"/>
            <w:noWrap/>
            <w:vAlign w:val="center"/>
          </w:tcPr>
          <w:p w14:paraId="092443C1">
            <w:pPr>
              <w:adjustRightInd w:val="0"/>
              <w:spacing w:line="420" w:lineRule="exact"/>
              <w:jc w:val="center"/>
              <w:rPr>
                <w:rFonts w:hint="eastAsia" w:asciiTheme="minorEastAsia" w:hAnsiTheme="minorEastAsia" w:eastAsiaTheme="minorEastAsia" w:cstheme="minorEastAsia"/>
                <w:sz w:val="24"/>
                <w:szCs w:val="24"/>
                <w:lang w:eastAsia="zh-CN"/>
              </w:rPr>
            </w:pPr>
          </w:p>
        </w:tc>
      </w:tr>
      <w:tr w14:paraId="5233F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933" w:type="dxa"/>
            <w:noWrap/>
            <w:vAlign w:val="center"/>
          </w:tcPr>
          <w:p w14:paraId="5217E7EA">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成立时间</w:t>
            </w:r>
          </w:p>
        </w:tc>
        <w:tc>
          <w:tcPr>
            <w:tcW w:w="3437" w:type="dxa"/>
            <w:gridSpan w:val="3"/>
            <w:noWrap/>
            <w:vAlign w:val="center"/>
          </w:tcPr>
          <w:p w14:paraId="4745B6D9">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4030" w:type="dxa"/>
            <w:gridSpan w:val="5"/>
            <w:noWrap/>
            <w:vAlign w:val="center"/>
          </w:tcPr>
          <w:p w14:paraId="3BEA68DB">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员工总人数：</w:t>
            </w:r>
          </w:p>
        </w:tc>
      </w:tr>
      <w:tr w14:paraId="70B5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82" w:hRule="atLeast"/>
          <w:jc w:val="center"/>
        </w:trPr>
        <w:tc>
          <w:tcPr>
            <w:tcW w:w="1933" w:type="dxa"/>
            <w:noWrap/>
            <w:vAlign w:val="center"/>
          </w:tcPr>
          <w:p w14:paraId="7D9B99E4">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企业资质等级</w:t>
            </w:r>
          </w:p>
        </w:tc>
        <w:tc>
          <w:tcPr>
            <w:tcW w:w="3437" w:type="dxa"/>
            <w:gridSpan w:val="3"/>
            <w:noWrap/>
            <w:vAlign w:val="center"/>
          </w:tcPr>
          <w:p w14:paraId="7CEEE328">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747" w:type="dxa"/>
            <w:vMerge w:val="restart"/>
            <w:noWrap/>
            <w:vAlign w:val="center"/>
          </w:tcPr>
          <w:p w14:paraId="60E0EEEF">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其中</w:t>
            </w:r>
          </w:p>
        </w:tc>
        <w:tc>
          <w:tcPr>
            <w:tcW w:w="1984" w:type="dxa"/>
            <w:gridSpan w:val="3"/>
            <w:noWrap/>
            <w:vAlign w:val="center"/>
          </w:tcPr>
          <w:p w14:paraId="229EEBAA">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项目总监理工程师</w:t>
            </w:r>
          </w:p>
        </w:tc>
        <w:tc>
          <w:tcPr>
            <w:tcW w:w="1299" w:type="dxa"/>
            <w:noWrap/>
            <w:vAlign w:val="center"/>
          </w:tcPr>
          <w:p w14:paraId="6300D262">
            <w:pPr>
              <w:adjustRightInd w:val="0"/>
              <w:spacing w:line="420" w:lineRule="exact"/>
              <w:jc w:val="center"/>
              <w:rPr>
                <w:rFonts w:hint="eastAsia" w:asciiTheme="minorEastAsia" w:hAnsiTheme="minorEastAsia" w:eastAsiaTheme="minorEastAsia" w:cstheme="minorEastAsia"/>
                <w:sz w:val="24"/>
                <w:szCs w:val="24"/>
                <w:lang w:eastAsia="zh-CN"/>
              </w:rPr>
            </w:pPr>
          </w:p>
        </w:tc>
      </w:tr>
      <w:tr w14:paraId="30D64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933" w:type="dxa"/>
            <w:noWrap/>
            <w:vAlign w:val="center"/>
          </w:tcPr>
          <w:p w14:paraId="1A90F9A0">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营业执照号</w:t>
            </w:r>
          </w:p>
        </w:tc>
        <w:tc>
          <w:tcPr>
            <w:tcW w:w="3437" w:type="dxa"/>
            <w:gridSpan w:val="3"/>
            <w:noWrap/>
            <w:vAlign w:val="center"/>
          </w:tcPr>
          <w:p w14:paraId="01BC40CB">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747" w:type="dxa"/>
            <w:vMerge w:val="continue"/>
            <w:noWrap/>
            <w:vAlign w:val="center"/>
          </w:tcPr>
          <w:p w14:paraId="0142AB8A">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1984" w:type="dxa"/>
            <w:gridSpan w:val="3"/>
            <w:noWrap/>
            <w:vAlign w:val="center"/>
          </w:tcPr>
          <w:p w14:paraId="5C341EA1">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高级职称人员</w:t>
            </w:r>
          </w:p>
        </w:tc>
        <w:tc>
          <w:tcPr>
            <w:tcW w:w="1299" w:type="dxa"/>
            <w:noWrap/>
            <w:vAlign w:val="center"/>
          </w:tcPr>
          <w:p w14:paraId="4B8D1B95">
            <w:pPr>
              <w:adjustRightInd w:val="0"/>
              <w:spacing w:line="420" w:lineRule="exact"/>
              <w:jc w:val="center"/>
              <w:rPr>
                <w:rFonts w:hint="eastAsia" w:asciiTheme="minorEastAsia" w:hAnsiTheme="minorEastAsia" w:eastAsiaTheme="minorEastAsia" w:cstheme="minorEastAsia"/>
                <w:sz w:val="24"/>
                <w:szCs w:val="24"/>
                <w:lang w:eastAsia="zh-CN"/>
              </w:rPr>
            </w:pPr>
          </w:p>
        </w:tc>
      </w:tr>
      <w:tr w14:paraId="1E094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6" w:hRule="atLeast"/>
          <w:jc w:val="center"/>
        </w:trPr>
        <w:tc>
          <w:tcPr>
            <w:tcW w:w="1933" w:type="dxa"/>
            <w:noWrap/>
            <w:vAlign w:val="center"/>
          </w:tcPr>
          <w:p w14:paraId="433D2323">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注册资金</w:t>
            </w:r>
          </w:p>
        </w:tc>
        <w:tc>
          <w:tcPr>
            <w:tcW w:w="3437" w:type="dxa"/>
            <w:gridSpan w:val="3"/>
            <w:noWrap/>
            <w:vAlign w:val="center"/>
          </w:tcPr>
          <w:p w14:paraId="502B782D">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747" w:type="dxa"/>
            <w:vMerge w:val="continue"/>
            <w:noWrap/>
            <w:vAlign w:val="center"/>
          </w:tcPr>
          <w:p w14:paraId="1FA19273">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1984" w:type="dxa"/>
            <w:gridSpan w:val="3"/>
            <w:noWrap/>
            <w:vAlign w:val="center"/>
          </w:tcPr>
          <w:p w14:paraId="319164A1">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中级职称人员</w:t>
            </w:r>
          </w:p>
        </w:tc>
        <w:tc>
          <w:tcPr>
            <w:tcW w:w="1299" w:type="dxa"/>
            <w:noWrap/>
            <w:vAlign w:val="center"/>
          </w:tcPr>
          <w:p w14:paraId="05E3D1AD">
            <w:pPr>
              <w:adjustRightInd w:val="0"/>
              <w:spacing w:line="420" w:lineRule="exact"/>
              <w:jc w:val="center"/>
              <w:rPr>
                <w:rFonts w:hint="eastAsia" w:asciiTheme="minorEastAsia" w:hAnsiTheme="minorEastAsia" w:eastAsiaTheme="minorEastAsia" w:cstheme="minorEastAsia"/>
                <w:sz w:val="24"/>
                <w:szCs w:val="24"/>
                <w:lang w:eastAsia="zh-CN"/>
              </w:rPr>
            </w:pPr>
          </w:p>
        </w:tc>
      </w:tr>
      <w:tr w14:paraId="046CD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3" w:hRule="atLeast"/>
          <w:jc w:val="center"/>
        </w:trPr>
        <w:tc>
          <w:tcPr>
            <w:tcW w:w="1933" w:type="dxa"/>
            <w:noWrap/>
            <w:vAlign w:val="center"/>
          </w:tcPr>
          <w:p w14:paraId="53ACE7AF">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开户银行</w:t>
            </w:r>
          </w:p>
        </w:tc>
        <w:tc>
          <w:tcPr>
            <w:tcW w:w="3437" w:type="dxa"/>
            <w:gridSpan w:val="3"/>
            <w:noWrap/>
            <w:vAlign w:val="center"/>
          </w:tcPr>
          <w:p w14:paraId="74DE63F5">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747" w:type="dxa"/>
            <w:vMerge w:val="continue"/>
            <w:noWrap/>
            <w:vAlign w:val="center"/>
          </w:tcPr>
          <w:p w14:paraId="0EA12973">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1984" w:type="dxa"/>
            <w:gridSpan w:val="3"/>
            <w:noWrap/>
            <w:vAlign w:val="center"/>
          </w:tcPr>
          <w:p w14:paraId="2219892E">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初级职称人员</w:t>
            </w:r>
          </w:p>
        </w:tc>
        <w:tc>
          <w:tcPr>
            <w:tcW w:w="1299" w:type="dxa"/>
            <w:noWrap/>
            <w:vAlign w:val="center"/>
          </w:tcPr>
          <w:p w14:paraId="738C9E96">
            <w:pPr>
              <w:adjustRightInd w:val="0"/>
              <w:spacing w:line="420" w:lineRule="exact"/>
              <w:jc w:val="center"/>
              <w:rPr>
                <w:rFonts w:hint="eastAsia" w:asciiTheme="minorEastAsia" w:hAnsiTheme="minorEastAsia" w:eastAsiaTheme="minorEastAsia" w:cstheme="minorEastAsia"/>
                <w:sz w:val="24"/>
                <w:szCs w:val="24"/>
                <w:lang w:eastAsia="zh-CN"/>
              </w:rPr>
            </w:pPr>
          </w:p>
        </w:tc>
      </w:tr>
      <w:tr w14:paraId="1A466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4" w:hRule="atLeast"/>
          <w:jc w:val="center"/>
        </w:trPr>
        <w:tc>
          <w:tcPr>
            <w:tcW w:w="1933" w:type="dxa"/>
            <w:noWrap/>
            <w:vAlign w:val="center"/>
          </w:tcPr>
          <w:p w14:paraId="5E2EDA11">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账号</w:t>
            </w:r>
          </w:p>
        </w:tc>
        <w:tc>
          <w:tcPr>
            <w:tcW w:w="3437" w:type="dxa"/>
            <w:gridSpan w:val="3"/>
            <w:noWrap/>
            <w:vAlign w:val="center"/>
          </w:tcPr>
          <w:p w14:paraId="52BE19FB">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747" w:type="dxa"/>
            <w:vMerge w:val="continue"/>
            <w:noWrap/>
            <w:vAlign w:val="center"/>
          </w:tcPr>
          <w:p w14:paraId="511B7E6C">
            <w:pPr>
              <w:adjustRightInd w:val="0"/>
              <w:spacing w:line="420" w:lineRule="exact"/>
              <w:jc w:val="center"/>
              <w:rPr>
                <w:rFonts w:hint="eastAsia" w:asciiTheme="minorEastAsia" w:hAnsiTheme="minorEastAsia" w:eastAsiaTheme="minorEastAsia" w:cstheme="minorEastAsia"/>
                <w:sz w:val="24"/>
                <w:szCs w:val="24"/>
                <w:lang w:eastAsia="zh-CN"/>
              </w:rPr>
            </w:pPr>
          </w:p>
        </w:tc>
        <w:tc>
          <w:tcPr>
            <w:tcW w:w="1984" w:type="dxa"/>
            <w:gridSpan w:val="3"/>
            <w:noWrap/>
            <w:vAlign w:val="center"/>
          </w:tcPr>
          <w:p w14:paraId="7BD8A4E1">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技 工</w:t>
            </w:r>
          </w:p>
        </w:tc>
        <w:tc>
          <w:tcPr>
            <w:tcW w:w="1299" w:type="dxa"/>
            <w:noWrap/>
            <w:vAlign w:val="center"/>
          </w:tcPr>
          <w:p w14:paraId="0AE8ADC5">
            <w:pPr>
              <w:adjustRightInd w:val="0"/>
              <w:spacing w:line="420" w:lineRule="exact"/>
              <w:jc w:val="center"/>
              <w:rPr>
                <w:rFonts w:hint="eastAsia" w:asciiTheme="minorEastAsia" w:hAnsiTheme="minorEastAsia" w:eastAsiaTheme="minorEastAsia" w:cstheme="minorEastAsia"/>
                <w:sz w:val="24"/>
                <w:szCs w:val="24"/>
                <w:lang w:eastAsia="zh-CN"/>
              </w:rPr>
            </w:pPr>
          </w:p>
        </w:tc>
      </w:tr>
      <w:tr w14:paraId="6D4A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jc w:val="center"/>
        </w:trPr>
        <w:tc>
          <w:tcPr>
            <w:tcW w:w="1933" w:type="dxa"/>
            <w:noWrap/>
            <w:vAlign w:val="center"/>
          </w:tcPr>
          <w:p w14:paraId="7035C0AA">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经营范围</w:t>
            </w:r>
          </w:p>
        </w:tc>
        <w:tc>
          <w:tcPr>
            <w:tcW w:w="7467" w:type="dxa"/>
            <w:gridSpan w:val="8"/>
            <w:noWrap/>
            <w:vAlign w:val="center"/>
          </w:tcPr>
          <w:p w14:paraId="29FB551C">
            <w:pPr>
              <w:adjustRightInd w:val="0"/>
              <w:spacing w:line="420" w:lineRule="exact"/>
              <w:jc w:val="center"/>
              <w:rPr>
                <w:rFonts w:hint="eastAsia" w:asciiTheme="minorEastAsia" w:hAnsiTheme="minorEastAsia" w:eastAsiaTheme="minorEastAsia" w:cstheme="minorEastAsia"/>
                <w:sz w:val="24"/>
                <w:szCs w:val="24"/>
                <w:lang w:eastAsia="zh-CN"/>
              </w:rPr>
            </w:pPr>
          </w:p>
        </w:tc>
      </w:tr>
      <w:tr w14:paraId="1A50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1933" w:type="dxa"/>
            <w:noWrap/>
            <w:vAlign w:val="center"/>
          </w:tcPr>
          <w:p w14:paraId="2AE63A69">
            <w:pPr>
              <w:adjustRightInd w:val="0"/>
              <w:spacing w:line="420" w:lineRule="exact"/>
              <w:jc w:val="center"/>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备注</w:t>
            </w:r>
          </w:p>
        </w:tc>
        <w:tc>
          <w:tcPr>
            <w:tcW w:w="7467" w:type="dxa"/>
            <w:gridSpan w:val="8"/>
            <w:noWrap/>
            <w:vAlign w:val="center"/>
          </w:tcPr>
          <w:p w14:paraId="02C55CBE">
            <w:pPr>
              <w:adjustRightInd w:val="0"/>
              <w:spacing w:line="420" w:lineRule="exact"/>
              <w:jc w:val="center"/>
              <w:rPr>
                <w:rFonts w:hint="eastAsia" w:asciiTheme="minorEastAsia" w:hAnsiTheme="minorEastAsia" w:eastAsiaTheme="minorEastAsia" w:cstheme="minorEastAsia"/>
                <w:sz w:val="24"/>
                <w:szCs w:val="24"/>
                <w:lang w:eastAsia="zh-CN"/>
              </w:rPr>
            </w:pPr>
          </w:p>
        </w:tc>
      </w:tr>
    </w:tbl>
    <w:p w14:paraId="4144F5EE">
      <w:pPr>
        <w:adjustRightInd w:val="0"/>
        <w:spacing w:line="420" w:lineRule="exact"/>
        <w:rPr>
          <w:rFonts w:cs="楷体"/>
          <w:sz w:val="24"/>
          <w:lang w:eastAsia="zh-CN"/>
        </w:rPr>
      </w:pPr>
    </w:p>
    <w:p w14:paraId="3BB4151B">
      <w:pPr>
        <w:autoSpaceDE/>
        <w:autoSpaceDN/>
        <w:spacing w:line="360" w:lineRule="auto"/>
        <w:jc w:val="center"/>
        <w:rPr>
          <w:rFonts w:cs="楷体"/>
          <w:b/>
          <w:color w:val="000000"/>
          <w:sz w:val="24"/>
          <w:szCs w:val="20"/>
          <w:lang w:eastAsia="zh-CN"/>
        </w:rPr>
      </w:pPr>
      <w:r>
        <w:rPr>
          <w:rFonts w:cs="楷体"/>
          <w:sz w:val="28"/>
          <w:szCs w:val="28"/>
          <w:lang w:eastAsia="zh-CN"/>
        </w:rPr>
        <w:br w:type="page"/>
      </w:r>
      <w:r>
        <w:rPr>
          <w:rFonts w:hint="eastAsia" w:cs="楷体"/>
          <w:b/>
          <w:color w:val="000000"/>
          <w:kern w:val="2"/>
          <w:sz w:val="28"/>
          <w:szCs w:val="28"/>
          <w:lang w:eastAsia="zh-CN"/>
        </w:rPr>
        <w:t>（二）主要人员简历表</w:t>
      </w:r>
    </w:p>
    <w:tbl>
      <w:tblPr>
        <w:tblStyle w:val="16"/>
        <w:tblW w:w="9040" w:type="dxa"/>
        <w:jc w:val="center"/>
        <w:tblLayout w:type="fixed"/>
        <w:tblCellMar>
          <w:top w:w="0" w:type="dxa"/>
          <w:left w:w="0" w:type="dxa"/>
          <w:bottom w:w="0" w:type="dxa"/>
          <w:right w:w="0" w:type="dxa"/>
        </w:tblCellMar>
      </w:tblPr>
      <w:tblGrid>
        <w:gridCol w:w="1453"/>
        <w:gridCol w:w="442"/>
        <w:gridCol w:w="882"/>
        <w:gridCol w:w="1135"/>
        <w:gridCol w:w="1307"/>
        <w:gridCol w:w="868"/>
        <w:gridCol w:w="1544"/>
        <w:gridCol w:w="198"/>
        <w:gridCol w:w="1211"/>
      </w:tblGrid>
      <w:tr w14:paraId="3DDA9A5D">
        <w:tblPrEx>
          <w:tblCellMar>
            <w:top w:w="0" w:type="dxa"/>
            <w:left w:w="0" w:type="dxa"/>
            <w:bottom w:w="0" w:type="dxa"/>
            <w:right w:w="0" w:type="dxa"/>
          </w:tblCellMar>
        </w:tblPrEx>
        <w:trPr>
          <w:trHeight w:val="715" w:hRule="atLeast"/>
          <w:jc w:val="center"/>
        </w:trPr>
        <w:tc>
          <w:tcPr>
            <w:tcW w:w="1453" w:type="dxa"/>
            <w:tcBorders>
              <w:top w:val="single" w:color="000000" w:sz="4" w:space="0"/>
              <w:left w:val="single" w:color="000000" w:sz="4" w:space="0"/>
              <w:bottom w:val="single" w:color="000000" w:sz="4" w:space="0"/>
              <w:right w:val="single" w:color="000000" w:sz="4" w:space="0"/>
            </w:tcBorders>
            <w:noWrap/>
            <w:vAlign w:val="center"/>
          </w:tcPr>
          <w:p w14:paraId="3CEB56FF">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r>
              <w:rPr>
                <w:rFonts w:hint="eastAsia" w:asciiTheme="minorEastAsia" w:hAnsiTheme="minorEastAsia" w:eastAsiaTheme="minorEastAsia" w:cstheme="minorEastAsia"/>
                <w:color w:val="000000"/>
                <w:spacing w:val="1"/>
                <w:sz w:val="24"/>
                <w:szCs w:val="24"/>
                <w:lang w:eastAsia="zh-CN"/>
              </w:rPr>
              <w:t>姓</w:t>
            </w:r>
            <w:r>
              <w:rPr>
                <w:rFonts w:hint="eastAsia" w:asciiTheme="minorEastAsia" w:hAnsiTheme="minorEastAsia" w:eastAsiaTheme="minorEastAsia" w:cstheme="minorEastAsia"/>
                <w:color w:val="000000"/>
                <w:spacing w:val="1"/>
                <w:sz w:val="24"/>
                <w:szCs w:val="24"/>
                <w:lang w:eastAsia="zh-CN"/>
              </w:rPr>
              <w:tab/>
            </w:r>
            <w:r>
              <w:rPr>
                <w:rFonts w:hint="eastAsia" w:asciiTheme="minorEastAsia" w:hAnsiTheme="minorEastAsia" w:eastAsiaTheme="minorEastAsia" w:cstheme="minorEastAsia"/>
                <w:color w:val="000000"/>
                <w:spacing w:val="1"/>
                <w:sz w:val="24"/>
                <w:szCs w:val="24"/>
                <w:lang w:eastAsia="zh-CN"/>
              </w:rPr>
              <w:t>名</w:t>
            </w:r>
          </w:p>
        </w:tc>
        <w:tc>
          <w:tcPr>
            <w:tcW w:w="1324" w:type="dxa"/>
            <w:gridSpan w:val="2"/>
            <w:tcBorders>
              <w:top w:val="single" w:color="000000" w:sz="4" w:space="0"/>
              <w:left w:val="single" w:color="000000" w:sz="4" w:space="0"/>
              <w:bottom w:val="single" w:color="000000" w:sz="4" w:space="0"/>
              <w:right w:val="single" w:color="000000" w:sz="4" w:space="0"/>
            </w:tcBorders>
            <w:noWrap/>
            <w:vAlign w:val="center"/>
          </w:tcPr>
          <w:p w14:paraId="46257ACD">
            <w:pPr>
              <w:adjustRightInd w:val="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561FF99">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r>
              <w:rPr>
                <w:rFonts w:hint="eastAsia" w:asciiTheme="minorEastAsia" w:hAnsiTheme="minorEastAsia" w:eastAsiaTheme="minorEastAsia" w:cstheme="minorEastAsia"/>
                <w:color w:val="000000"/>
                <w:spacing w:val="1"/>
                <w:sz w:val="24"/>
                <w:szCs w:val="24"/>
                <w:lang w:eastAsia="zh-CN"/>
              </w:rPr>
              <w:t>年  龄</w:t>
            </w:r>
          </w:p>
        </w:tc>
        <w:tc>
          <w:tcPr>
            <w:tcW w:w="1307" w:type="dxa"/>
            <w:tcBorders>
              <w:top w:val="single" w:color="000000" w:sz="4" w:space="0"/>
              <w:left w:val="single" w:color="000000" w:sz="4" w:space="0"/>
              <w:bottom w:val="single" w:color="000000" w:sz="4" w:space="0"/>
              <w:right w:val="single" w:color="000000" w:sz="4" w:space="0"/>
            </w:tcBorders>
            <w:noWrap/>
            <w:vAlign w:val="center"/>
          </w:tcPr>
          <w:p w14:paraId="231E6C42">
            <w:pPr>
              <w:adjustRightInd w:val="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2610" w:type="dxa"/>
            <w:gridSpan w:val="3"/>
            <w:tcBorders>
              <w:top w:val="single" w:color="000000" w:sz="4" w:space="0"/>
              <w:left w:val="single" w:color="000000" w:sz="4" w:space="0"/>
              <w:bottom w:val="single" w:color="000000" w:sz="4" w:space="0"/>
              <w:right w:val="single" w:color="000000" w:sz="4" w:space="0"/>
            </w:tcBorders>
            <w:noWrap/>
            <w:vAlign w:val="center"/>
          </w:tcPr>
          <w:p w14:paraId="104FE980">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r>
              <w:rPr>
                <w:rFonts w:hint="eastAsia" w:asciiTheme="minorEastAsia" w:hAnsiTheme="minorEastAsia" w:eastAsiaTheme="minorEastAsia" w:cstheme="minorEastAsia"/>
                <w:color w:val="000000"/>
                <w:spacing w:val="1"/>
                <w:sz w:val="24"/>
                <w:szCs w:val="24"/>
                <w:lang w:eastAsia="zh-CN"/>
              </w:rPr>
              <w:t>学历</w:t>
            </w:r>
          </w:p>
        </w:tc>
        <w:tc>
          <w:tcPr>
            <w:tcW w:w="1211" w:type="dxa"/>
            <w:tcBorders>
              <w:top w:val="single" w:color="000000" w:sz="4" w:space="0"/>
              <w:left w:val="single" w:color="000000" w:sz="4" w:space="0"/>
              <w:bottom w:val="single" w:color="000000" w:sz="4" w:space="0"/>
              <w:right w:val="single" w:color="000000" w:sz="4" w:space="0"/>
            </w:tcBorders>
            <w:noWrap/>
            <w:vAlign w:val="center"/>
          </w:tcPr>
          <w:p w14:paraId="70565FE9">
            <w:pPr>
              <w:adjustRightInd w:val="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r>
      <w:tr w14:paraId="5E0F85D5">
        <w:tblPrEx>
          <w:tblCellMar>
            <w:top w:w="0" w:type="dxa"/>
            <w:left w:w="0" w:type="dxa"/>
            <w:bottom w:w="0" w:type="dxa"/>
            <w:right w:w="0" w:type="dxa"/>
          </w:tblCellMar>
        </w:tblPrEx>
        <w:trPr>
          <w:trHeight w:val="715" w:hRule="atLeast"/>
          <w:jc w:val="center"/>
        </w:trPr>
        <w:tc>
          <w:tcPr>
            <w:tcW w:w="1453" w:type="dxa"/>
            <w:tcBorders>
              <w:top w:val="single" w:color="000000" w:sz="4" w:space="0"/>
              <w:left w:val="single" w:color="000000" w:sz="4" w:space="0"/>
              <w:bottom w:val="single" w:color="000000" w:sz="4" w:space="0"/>
              <w:right w:val="single" w:color="000000" w:sz="4" w:space="0"/>
            </w:tcBorders>
            <w:noWrap/>
            <w:vAlign w:val="center"/>
          </w:tcPr>
          <w:p w14:paraId="3D51F7DB">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r>
              <w:rPr>
                <w:rFonts w:hint="eastAsia" w:asciiTheme="minorEastAsia" w:hAnsiTheme="minorEastAsia" w:eastAsiaTheme="minorEastAsia" w:cstheme="minorEastAsia"/>
                <w:color w:val="000000"/>
                <w:spacing w:val="1"/>
                <w:sz w:val="24"/>
                <w:szCs w:val="24"/>
                <w:lang w:eastAsia="zh-CN"/>
              </w:rPr>
              <w:t>职</w:t>
            </w:r>
            <w:r>
              <w:rPr>
                <w:rFonts w:hint="eastAsia" w:asciiTheme="minorEastAsia" w:hAnsiTheme="minorEastAsia" w:eastAsiaTheme="minorEastAsia" w:cstheme="minorEastAsia"/>
                <w:color w:val="000000"/>
                <w:spacing w:val="1"/>
                <w:sz w:val="24"/>
                <w:szCs w:val="24"/>
                <w:lang w:eastAsia="zh-CN"/>
              </w:rPr>
              <w:tab/>
            </w:r>
            <w:r>
              <w:rPr>
                <w:rFonts w:hint="eastAsia" w:asciiTheme="minorEastAsia" w:hAnsiTheme="minorEastAsia" w:eastAsiaTheme="minorEastAsia" w:cstheme="minorEastAsia"/>
                <w:color w:val="000000"/>
                <w:spacing w:val="1"/>
                <w:sz w:val="24"/>
                <w:szCs w:val="24"/>
                <w:lang w:eastAsia="zh-CN"/>
              </w:rPr>
              <w:t>称</w:t>
            </w:r>
          </w:p>
        </w:tc>
        <w:tc>
          <w:tcPr>
            <w:tcW w:w="1324" w:type="dxa"/>
            <w:gridSpan w:val="2"/>
            <w:tcBorders>
              <w:top w:val="single" w:color="000000" w:sz="4" w:space="0"/>
              <w:left w:val="single" w:color="000000" w:sz="4" w:space="0"/>
              <w:bottom w:val="single" w:color="000000" w:sz="4" w:space="0"/>
              <w:right w:val="single" w:color="000000" w:sz="4" w:space="0"/>
            </w:tcBorders>
            <w:noWrap/>
            <w:vAlign w:val="center"/>
          </w:tcPr>
          <w:p w14:paraId="517FDBA9">
            <w:pPr>
              <w:adjustRightInd w:val="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1376D7A">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r>
              <w:rPr>
                <w:rFonts w:hint="eastAsia" w:asciiTheme="minorEastAsia" w:hAnsiTheme="minorEastAsia" w:eastAsiaTheme="minorEastAsia" w:cstheme="minorEastAsia"/>
                <w:color w:val="000000"/>
                <w:spacing w:val="1"/>
                <w:sz w:val="24"/>
                <w:szCs w:val="24"/>
                <w:lang w:eastAsia="zh-CN"/>
              </w:rPr>
              <w:t>职  务</w:t>
            </w:r>
          </w:p>
        </w:tc>
        <w:tc>
          <w:tcPr>
            <w:tcW w:w="1307" w:type="dxa"/>
            <w:tcBorders>
              <w:top w:val="single" w:color="000000" w:sz="4" w:space="0"/>
              <w:left w:val="single" w:color="000000" w:sz="4" w:space="0"/>
              <w:bottom w:val="single" w:color="000000" w:sz="4" w:space="0"/>
              <w:right w:val="single" w:color="000000" w:sz="4" w:space="0"/>
            </w:tcBorders>
            <w:noWrap/>
            <w:vAlign w:val="center"/>
          </w:tcPr>
          <w:p w14:paraId="6BE9A859">
            <w:pPr>
              <w:adjustRightInd w:val="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2610" w:type="dxa"/>
            <w:gridSpan w:val="3"/>
            <w:tcBorders>
              <w:top w:val="single" w:color="000000" w:sz="4" w:space="0"/>
              <w:left w:val="single" w:color="000000" w:sz="4" w:space="0"/>
              <w:bottom w:val="single" w:color="000000" w:sz="4" w:space="0"/>
              <w:right w:val="single" w:color="000000" w:sz="4" w:space="0"/>
            </w:tcBorders>
            <w:noWrap/>
            <w:vAlign w:val="center"/>
          </w:tcPr>
          <w:p w14:paraId="2198C977">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r>
              <w:rPr>
                <w:rFonts w:hint="eastAsia" w:asciiTheme="minorEastAsia" w:hAnsiTheme="minorEastAsia" w:eastAsiaTheme="minorEastAsia" w:cstheme="minorEastAsia"/>
                <w:color w:val="000000"/>
                <w:spacing w:val="1"/>
                <w:sz w:val="24"/>
                <w:szCs w:val="24"/>
                <w:lang w:eastAsia="zh-CN"/>
              </w:rPr>
              <w:t>拟在本合同任职</w:t>
            </w:r>
          </w:p>
        </w:tc>
        <w:tc>
          <w:tcPr>
            <w:tcW w:w="1211" w:type="dxa"/>
            <w:tcBorders>
              <w:top w:val="single" w:color="000000" w:sz="4" w:space="0"/>
              <w:left w:val="single" w:color="000000" w:sz="4" w:space="0"/>
              <w:bottom w:val="single" w:color="000000" w:sz="4" w:space="0"/>
              <w:right w:val="single" w:color="000000" w:sz="4" w:space="0"/>
            </w:tcBorders>
            <w:noWrap/>
            <w:vAlign w:val="center"/>
          </w:tcPr>
          <w:p w14:paraId="3DDEFC59">
            <w:pPr>
              <w:adjustRightInd w:val="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r>
      <w:tr w14:paraId="3B34ED87">
        <w:tblPrEx>
          <w:tblCellMar>
            <w:top w:w="0" w:type="dxa"/>
            <w:left w:w="0" w:type="dxa"/>
            <w:bottom w:w="0" w:type="dxa"/>
            <w:right w:w="0" w:type="dxa"/>
          </w:tblCellMar>
        </w:tblPrEx>
        <w:trPr>
          <w:trHeight w:val="715" w:hRule="atLeast"/>
          <w:jc w:val="center"/>
        </w:trPr>
        <w:tc>
          <w:tcPr>
            <w:tcW w:w="1453" w:type="dxa"/>
            <w:tcBorders>
              <w:top w:val="single" w:color="000000" w:sz="4" w:space="0"/>
              <w:left w:val="single" w:color="000000" w:sz="4" w:space="0"/>
              <w:bottom w:val="single" w:color="000000" w:sz="4" w:space="0"/>
              <w:right w:val="single" w:color="000000" w:sz="4" w:space="0"/>
            </w:tcBorders>
            <w:noWrap/>
            <w:vAlign w:val="center"/>
          </w:tcPr>
          <w:p w14:paraId="4168622C">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r>
              <w:rPr>
                <w:rFonts w:hint="eastAsia" w:asciiTheme="minorEastAsia" w:hAnsiTheme="minorEastAsia" w:eastAsiaTheme="minorEastAsia" w:cstheme="minorEastAsia"/>
                <w:color w:val="000000"/>
                <w:spacing w:val="1"/>
                <w:sz w:val="24"/>
                <w:szCs w:val="24"/>
                <w:lang w:eastAsia="zh-CN"/>
              </w:rPr>
              <w:t>毕业学校</w:t>
            </w:r>
          </w:p>
        </w:tc>
        <w:tc>
          <w:tcPr>
            <w:tcW w:w="7587" w:type="dxa"/>
            <w:gridSpan w:val="8"/>
            <w:tcBorders>
              <w:top w:val="single" w:color="000000" w:sz="4" w:space="0"/>
              <w:left w:val="single" w:color="000000" w:sz="4" w:space="0"/>
              <w:bottom w:val="single" w:color="000000" w:sz="4" w:space="0"/>
              <w:right w:val="single" w:color="000000" w:sz="4" w:space="0"/>
            </w:tcBorders>
            <w:noWrap/>
            <w:vAlign w:val="center"/>
          </w:tcPr>
          <w:p w14:paraId="3DC0F472">
            <w:pPr>
              <w:tabs>
                <w:tab w:val="left" w:pos="2820"/>
                <w:tab w:val="left" w:pos="4080"/>
              </w:tabs>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r>
              <w:rPr>
                <w:rFonts w:hint="eastAsia" w:asciiTheme="minorEastAsia" w:hAnsiTheme="minorEastAsia" w:eastAsiaTheme="minorEastAsia" w:cstheme="minorEastAsia"/>
                <w:color w:val="000000"/>
                <w:spacing w:val="1"/>
                <w:sz w:val="24"/>
                <w:szCs w:val="24"/>
                <w:lang w:eastAsia="zh-CN"/>
              </w:rPr>
              <w:t>年毕业于</w:t>
            </w:r>
            <w:r>
              <w:rPr>
                <w:rFonts w:hint="eastAsia" w:asciiTheme="minorEastAsia" w:hAnsiTheme="minorEastAsia" w:eastAsiaTheme="minorEastAsia" w:cstheme="minorEastAsia"/>
                <w:color w:val="000000"/>
                <w:spacing w:val="1"/>
                <w:sz w:val="24"/>
                <w:szCs w:val="24"/>
                <w:lang w:eastAsia="zh-CN"/>
              </w:rPr>
              <w:tab/>
            </w:r>
            <w:r>
              <w:rPr>
                <w:rFonts w:hint="eastAsia" w:asciiTheme="minorEastAsia" w:hAnsiTheme="minorEastAsia" w:eastAsiaTheme="minorEastAsia" w:cstheme="minorEastAsia"/>
                <w:color w:val="000000"/>
                <w:spacing w:val="1"/>
                <w:sz w:val="24"/>
                <w:szCs w:val="24"/>
                <w:lang w:eastAsia="zh-CN"/>
              </w:rPr>
              <w:t>学校</w:t>
            </w:r>
            <w:r>
              <w:rPr>
                <w:rFonts w:hint="eastAsia" w:asciiTheme="minorEastAsia" w:hAnsiTheme="minorEastAsia" w:eastAsiaTheme="minorEastAsia" w:cstheme="minorEastAsia"/>
                <w:color w:val="000000"/>
                <w:spacing w:val="1"/>
                <w:sz w:val="24"/>
                <w:szCs w:val="24"/>
                <w:lang w:eastAsia="zh-CN"/>
              </w:rPr>
              <w:tab/>
            </w:r>
            <w:r>
              <w:rPr>
                <w:rFonts w:hint="eastAsia" w:asciiTheme="minorEastAsia" w:hAnsiTheme="minorEastAsia" w:eastAsiaTheme="minorEastAsia" w:cstheme="minorEastAsia"/>
                <w:color w:val="000000"/>
                <w:spacing w:val="1"/>
                <w:sz w:val="24"/>
                <w:szCs w:val="24"/>
                <w:lang w:eastAsia="zh-CN"/>
              </w:rPr>
              <w:t>专业</w:t>
            </w:r>
          </w:p>
        </w:tc>
      </w:tr>
      <w:tr w14:paraId="0040F96D">
        <w:tblPrEx>
          <w:tblCellMar>
            <w:top w:w="0" w:type="dxa"/>
            <w:left w:w="0" w:type="dxa"/>
            <w:bottom w:w="0" w:type="dxa"/>
            <w:right w:w="0" w:type="dxa"/>
          </w:tblCellMar>
        </w:tblPrEx>
        <w:trPr>
          <w:trHeight w:val="685" w:hRule="atLeast"/>
          <w:jc w:val="center"/>
        </w:trPr>
        <w:tc>
          <w:tcPr>
            <w:tcW w:w="9040" w:type="dxa"/>
            <w:gridSpan w:val="9"/>
            <w:tcBorders>
              <w:top w:val="single" w:color="000000" w:sz="4" w:space="0"/>
              <w:left w:val="single" w:color="000000" w:sz="4" w:space="0"/>
              <w:bottom w:val="single" w:color="000000" w:sz="4" w:space="0"/>
              <w:right w:val="single" w:color="000000" w:sz="4" w:space="0"/>
            </w:tcBorders>
            <w:noWrap/>
            <w:vAlign w:val="center"/>
          </w:tcPr>
          <w:p w14:paraId="52FB5DB0">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r>
              <w:rPr>
                <w:rFonts w:hint="eastAsia" w:asciiTheme="minorEastAsia" w:hAnsiTheme="minorEastAsia" w:eastAsiaTheme="minorEastAsia" w:cstheme="minorEastAsia"/>
                <w:color w:val="000000"/>
                <w:spacing w:val="1"/>
                <w:sz w:val="24"/>
                <w:szCs w:val="24"/>
                <w:lang w:eastAsia="zh-CN"/>
              </w:rPr>
              <w:t>主要工作经历</w:t>
            </w:r>
          </w:p>
        </w:tc>
      </w:tr>
      <w:tr w14:paraId="7E01B9C0">
        <w:tblPrEx>
          <w:tblCellMar>
            <w:top w:w="0" w:type="dxa"/>
            <w:left w:w="0" w:type="dxa"/>
            <w:bottom w:w="0" w:type="dxa"/>
            <w:right w:w="0" w:type="dxa"/>
          </w:tblCellMar>
        </w:tblPrEx>
        <w:trPr>
          <w:trHeight w:val="759" w:hRule="atLeast"/>
          <w:jc w:val="center"/>
        </w:trPr>
        <w:tc>
          <w:tcPr>
            <w:tcW w:w="1895" w:type="dxa"/>
            <w:gridSpan w:val="2"/>
            <w:tcBorders>
              <w:top w:val="single" w:color="000000" w:sz="4" w:space="0"/>
              <w:left w:val="single" w:color="000000" w:sz="4" w:space="0"/>
              <w:bottom w:val="single" w:color="000000" w:sz="4" w:space="0"/>
              <w:right w:val="single" w:color="000000" w:sz="4" w:space="0"/>
            </w:tcBorders>
            <w:noWrap/>
            <w:vAlign w:val="center"/>
          </w:tcPr>
          <w:p w14:paraId="72A0D8FB">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r>
              <w:rPr>
                <w:rFonts w:hint="eastAsia" w:asciiTheme="minorEastAsia" w:hAnsiTheme="minorEastAsia" w:eastAsiaTheme="minorEastAsia" w:cstheme="minorEastAsia"/>
                <w:color w:val="000000"/>
                <w:spacing w:val="1"/>
                <w:sz w:val="24"/>
                <w:szCs w:val="24"/>
                <w:lang w:eastAsia="zh-CN"/>
              </w:rPr>
              <w:t>时</w:t>
            </w:r>
            <w:r>
              <w:rPr>
                <w:rFonts w:hint="eastAsia" w:asciiTheme="minorEastAsia" w:hAnsiTheme="minorEastAsia" w:eastAsiaTheme="minorEastAsia" w:cstheme="minorEastAsia"/>
                <w:color w:val="000000"/>
                <w:spacing w:val="1"/>
                <w:sz w:val="24"/>
                <w:szCs w:val="24"/>
                <w:lang w:eastAsia="zh-CN"/>
              </w:rPr>
              <w:tab/>
            </w:r>
            <w:r>
              <w:rPr>
                <w:rFonts w:hint="eastAsia" w:asciiTheme="minorEastAsia" w:hAnsiTheme="minorEastAsia" w:eastAsiaTheme="minorEastAsia" w:cstheme="minorEastAsia"/>
                <w:color w:val="000000"/>
                <w:spacing w:val="1"/>
                <w:sz w:val="24"/>
                <w:szCs w:val="24"/>
                <w:lang w:eastAsia="zh-CN"/>
              </w:rPr>
              <w:t>间</w:t>
            </w:r>
          </w:p>
        </w:tc>
        <w:tc>
          <w:tcPr>
            <w:tcW w:w="4192" w:type="dxa"/>
            <w:gridSpan w:val="4"/>
            <w:tcBorders>
              <w:top w:val="single" w:color="000000" w:sz="4" w:space="0"/>
              <w:left w:val="single" w:color="000000" w:sz="4" w:space="0"/>
              <w:bottom w:val="single" w:color="000000" w:sz="4" w:space="0"/>
              <w:right w:val="single" w:color="000000" w:sz="4" w:space="0"/>
            </w:tcBorders>
            <w:noWrap/>
            <w:vAlign w:val="center"/>
          </w:tcPr>
          <w:p w14:paraId="4D0B8B5A">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r>
              <w:rPr>
                <w:rFonts w:hint="eastAsia" w:asciiTheme="minorEastAsia" w:hAnsiTheme="minorEastAsia" w:eastAsiaTheme="minorEastAsia" w:cstheme="minorEastAsia"/>
                <w:color w:val="000000"/>
                <w:spacing w:val="1"/>
                <w:sz w:val="24"/>
                <w:szCs w:val="24"/>
                <w:lang w:eastAsia="zh-CN"/>
              </w:rPr>
              <w:t>参加过的类似项目</w:t>
            </w: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3912F94E">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r>
              <w:rPr>
                <w:rFonts w:hint="eastAsia" w:asciiTheme="minorEastAsia" w:hAnsiTheme="minorEastAsia" w:eastAsiaTheme="minorEastAsia" w:cstheme="minorEastAsia"/>
                <w:color w:val="000000"/>
                <w:spacing w:val="1"/>
                <w:sz w:val="24"/>
                <w:szCs w:val="24"/>
                <w:lang w:eastAsia="zh-CN"/>
              </w:rPr>
              <w:t>担任职务</w:t>
            </w:r>
          </w:p>
        </w:tc>
        <w:tc>
          <w:tcPr>
            <w:tcW w:w="1409" w:type="dxa"/>
            <w:gridSpan w:val="2"/>
            <w:tcBorders>
              <w:top w:val="single" w:color="000000" w:sz="4" w:space="0"/>
              <w:left w:val="single" w:color="000000" w:sz="4" w:space="0"/>
              <w:bottom w:val="single" w:color="000000" w:sz="4" w:space="0"/>
              <w:right w:val="single" w:color="000000" w:sz="4" w:space="0"/>
            </w:tcBorders>
            <w:noWrap/>
            <w:vAlign w:val="center"/>
          </w:tcPr>
          <w:p w14:paraId="26771666">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r>
              <w:rPr>
                <w:rFonts w:hint="eastAsia" w:asciiTheme="minorEastAsia" w:hAnsiTheme="minorEastAsia" w:eastAsiaTheme="minorEastAsia" w:cstheme="minorEastAsia"/>
                <w:color w:val="000000"/>
                <w:spacing w:val="1"/>
                <w:sz w:val="24"/>
                <w:szCs w:val="24"/>
                <w:lang w:eastAsia="zh-CN"/>
              </w:rPr>
              <w:t>发包人及联系电话</w:t>
            </w:r>
          </w:p>
        </w:tc>
      </w:tr>
      <w:tr w14:paraId="67A778FB">
        <w:tblPrEx>
          <w:tblCellMar>
            <w:top w:w="0" w:type="dxa"/>
            <w:left w:w="0" w:type="dxa"/>
            <w:bottom w:w="0" w:type="dxa"/>
            <w:right w:w="0" w:type="dxa"/>
          </w:tblCellMar>
        </w:tblPrEx>
        <w:trPr>
          <w:trHeight w:val="715" w:hRule="atLeast"/>
          <w:jc w:val="center"/>
        </w:trPr>
        <w:tc>
          <w:tcPr>
            <w:tcW w:w="1895" w:type="dxa"/>
            <w:gridSpan w:val="2"/>
            <w:tcBorders>
              <w:top w:val="single" w:color="000000" w:sz="4" w:space="0"/>
              <w:left w:val="single" w:color="000000" w:sz="4" w:space="0"/>
              <w:bottom w:val="single" w:color="000000" w:sz="4" w:space="0"/>
              <w:right w:val="single" w:color="000000" w:sz="4" w:space="0"/>
            </w:tcBorders>
            <w:noWrap/>
            <w:vAlign w:val="center"/>
          </w:tcPr>
          <w:p w14:paraId="3BF38BC8">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4192" w:type="dxa"/>
            <w:gridSpan w:val="4"/>
            <w:tcBorders>
              <w:top w:val="single" w:color="000000" w:sz="4" w:space="0"/>
              <w:left w:val="single" w:color="000000" w:sz="4" w:space="0"/>
              <w:bottom w:val="single" w:color="000000" w:sz="4" w:space="0"/>
              <w:right w:val="single" w:color="000000" w:sz="4" w:space="0"/>
            </w:tcBorders>
            <w:noWrap/>
            <w:vAlign w:val="center"/>
          </w:tcPr>
          <w:p w14:paraId="00164FF0">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2405E24D">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409" w:type="dxa"/>
            <w:gridSpan w:val="2"/>
            <w:tcBorders>
              <w:top w:val="single" w:color="000000" w:sz="4" w:space="0"/>
              <w:left w:val="single" w:color="000000" w:sz="4" w:space="0"/>
              <w:bottom w:val="single" w:color="000000" w:sz="4" w:space="0"/>
              <w:right w:val="single" w:color="000000" w:sz="4" w:space="0"/>
            </w:tcBorders>
            <w:noWrap/>
            <w:vAlign w:val="center"/>
          </w:tcPr>
          <w:p w14:paraId="2D840289">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r>
      <w:tr w14:paraId="7916F4ED">
        <w:tblPrEx>
          <w:tblCellMar>
            <w:top w:w="0" w:type="dxa"/>
            <w:left w:w="0" w:type="dxa"/>
            <w:bottom w:w="0" w:type="dxa"/>
            <w:right w:w="0" w:type="dxa"/>
          </w:tblCellMar>
        </w:tblPrEx>
        <w:trPr>
          <w:trHeight w:val="685" w:hRule="atLeast"/>
          <w:jc w:val="center"/>
        </w:trPr>
        <w:tc>
          <w:tcPr>
            <w:tcW w:w="1895" w:type="dxa"/>
            <w:gridSpan w:val="2"/>
            <w:tcBorders>
              <w:top w:val="single" w:color="000000" w:sz="4" w:space="0"/>
              <w:left w:val="single" w:color="000000" w:sz="4" w:space="0"/>
              <w:bottom w:val="single" w:color="000000" w:sz="4" w:space="0"/>
              <w:right w:val="single" w:color="000000" w:sz="4" w:space="0"/>
            </w:tcBorders>
            <w:noWrap/>
            <w:vAlign w:val="center"/>
          </w:tcPr>
          <w:p w14:paraId="4DDF4058">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4192" w:type="dxa"/>
            <w:gridSpan w:val="4"/>
            <w:tcBorders>
              <w:top w:val="single" w:color="000000" w:sz="4" w:space="0"/>
              <w:left w:val="single" w:color="000000" w:sz="4" w:space="0"/>
              <w:bottom w:val="single" w:color="000000" w:sz="4" w:space="0"/>
              <w:right w:val="single" w:color="000000" w:sz="4" w:space="0"/>
            </w:tcBorders>
            <w:noWrap/>
            <w:vAlign w:val="center"/>
          </w:tcPr>
          <w:p w14:paraId="39A64711">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3D143F05">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409" w:type="dxa"/>
            <w:gridSpan w:val="2"/>
            <w:tcBorders>
              <w:top w:val="single" w:color="000000" w:sz="4" w:space="0"/>
              <w:left w:val="single" w:color="000000" w:sz="4" w:space="0"/>
              <w:bottom w:val="single" w:color="000000" w:sz="4" w:space="0"/>
              <w:right w:val="single" w:color="000000" w:sz="4" w:space="0"/>
            </w:tcBorders>
            <w:noWrap/>
            <w:vAlign w:val="center"/>
          </w:tcPr>
          <w:p w14:paraId="02F8AAC1">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r>
      <w:tr w14:paraId="53C1BA70">
        <w:tblPrEx>
          <w:tblCellMar>
            <w:top w:w="0" w:type="dxa"/>
            <w:left w:w="0" w:type="dxa"/>
            <w:bottom w:w="0" w:type="dxa"/>
            <w:right w:w="0" w:type="dxa"/>
          </w:tblCellMar>
        </w:tblPrEx>
        <w:trPr>
          <w:trHeight w:val="715" w:hRule="atLeast"/>
          <w:jc w:val="center"/>
        </w:trPr>
        <w:tc>
          <w:tcPr>
            <w:tcW w:w="1895" w:type="dxa"/>
            <w:gridSpan w:val="2"/>
            <w:tcBorders>
              <w:top w:val="single" w:color="000000" w:sz="4" w:space="0"/>
              <w:left w:val="single" w:color="000000" w:sz="4" w:space="0"/>
              <w:bottom w:val="single" w:color="000000" w:sz="4" w:space="0"/>
              <w:right w:val="single" w:color="000000" w:sz="4" w:space="0"/>
            </w:tcBorders>
            <w:noWrap/>
            <w:vAlign w:val="center"/>
          </w:tcPr>
          <w:p w14:paraId="6A25CC93">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4192" w:type="dxa"/>
            <w:gridSpan w:val="4"/>
            <w:tcBorders>
              <w:top w:val="single" w:color="000000" w:sz="4" w:space="0"/>
              <w:left w:val="single" w:color="000000" w:sz="4" w:space="0"/>
              <w:bottom w:val="single" w:color="000000" w:sz="4" w:space="0"/>
              <w:right w:val="single" w:color="000000" w:sz="4" w:space="0"/>
            </w:tcBorders>
            <w:noWrap/>
            <w:vAlign w:val="center"/>
          </w:tcPr>
          <w:p w14:paraId="0196C061">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7C97CAF9">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409" w:type="dxa"/>
            <w:gridSpan w:val="2"/>
            <w:tcBorders>
              <w:top w:val="single" w:color="000000" w:sz="4" w:space="0"/>
              <w:left w:val="single" w:color="000000" w:sz="4" w:space="0"/>
              <w:bottom w:val="single" w:color="000000" w:sz="4" w:space="0"/>
              <w:right w:val="single" w:color="000000" w:sz="4" w:space="0"/>
            </w:tcBorders>
            <w:noWrap/>
            <w:vAlign w:val="center"/>
          </w:tcPr>
          <w:p w14:paraId="6D95D36D">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r>
      <w:tr w14:paraId="3D98242A">
        <w:tblPrEx>
          <w:tblCellMar>
            <w:top w:w="0" w:type="dxa"/>
            <w:left w:w="0" w:type="dxa"/>
            <w:bottom w:w="0" w:type="dxa"/>
            <w:right w:w="0" w:type="dxa"/>
          </w:tblCellMar>
        </w:tblPrEx>
        <w:trPr>
          <w:trHeight w:val="715" w:hRule="atLeast"/>
          <w:jc w:val="center"/>
        </w:trPr>
        <w:tc>
          <w:tcPr>
            <w:tcW w:w="1895" w:type="dxa"/>
            <w:gridSpan w:val="2"/>
            <w:tcBorders>
              <w:top w:val="single" w:color="000000" w:sz="4" w:space="0"/>
              <w:left w:val="single" w:color="000000" w:sz="4" w:space="0"/>
              <w:bottom w:val="single" w:color="000000" w:sz="4" w:space="0"/>
              <w:right w:val="single" w:color="000000" w:sz="4" w:space="0"/>
            </w:tcBorders>
            <w:noWrap/>
            <w:vAlign w:val="center"/>
          </w:tcPr>
          <w:p w14:paraId="64633EB7">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4192" w:type="dxa"/>
            <w:gridSpan w:val="4"/>
            <w:tcBorders>
              <w:top w:val="single" w:color="000000" w:sz="4" w:space="0"/>
              <w:left w:val="single" w:color="000000" w:sz="4" w:space="0"/>
              <w:bottom w:val="single" w:color="000000" w:sz="4" w:space="0"/>
              <w:right w:val="single" w:color="000000" w:sz="4" w:space="0"/>
            </w:tcBorders>
            <w:noWrap/>
            <w:vAlign w:val="center"/>
          </w:tcPr>
          <w:p w14:paraId="543517EC">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0F473665">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409" w:type="dxa"/>
            <w:gridSpan w:val="2"/>
            <w:tcBorders>
              <w:top w:val="single" w:color="000000" w:sz="4" w:space="0"/>
              <w:left w:val="single" w:color="000000" w:sz="4" w:space="0"/>
              <w:bottom w:val="single" w:color="000000" w:sz="4" w:space="0"/>
              <w:right w:val="single" w:color="000000" w:sz="4" w:space="0"/>
            </w:tcBorders>
            <w:noWrap/>
            <w:vAlign w:val="center"/>
          </w:tcPr>
          <w:p w14:paraId="76530BB0">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r>
      <w:tr w14:paraId="4DC92A4C">
        <w:tblPrEx>
          <w:tblCellMar>
            <w:top w:w="0" w:type="dxa"/>
            <w:left w:w="0" w:type="dxa"/>
            <w:bottom w:w="0" w:type="dxa"/>
            <w:right w:w="0" w:type="dxa"/>
          </w:tblCellMar>
        </w:tblPrEx>
        <w:trPr>
          <w:trHeight w:val="715" w:hRule="atLeast"/>
          <w:jc w:val="center"/>
        </w:trPr>
        <w:tc>
          <w:tcPr>
            <w:tcW w:w="1895" w:type="dxa"/>
            <w:gridSpan w:val="2"/>
            <w:tcBorders>
              <w:top w:val="single" w:color="000000" w:sz="4" w:space="0"/>
              <w:left w:val="single" w:color="000000" w:sz="4" w:space="0"/>
              <w:bottom w:val="single" w:color="000000" w:sz="4" w:space="0"/>
              <w:right w:val="single" w:color="000000" w:sz="4" w:space="0"/>
            </w:tcBorders>
            <w:noWrap/>
            <w:vAlign w:val="center"/>
          </w:tcPr>
          <w:p w14:paraId="66E5FFF8">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4192" w:type="dxa"/>
            <w:gridSpan w:val="4"/>
            <w:tcBorders>
              <w:top w:val="single" w:color="000000" w:sz="4" w:space="0"/>
              <w:left w:val="single" w:color="000000" w:sz="4" w:space="0"/>
              <w:bottom w:val="single" w:color="000000" w:sz="4" w:space="0"/>
              <w:right w:val="single" w:color="000000" w:sz="4" w:space="0"/>
            </w:tcBorders>
            <w:noWrap/>
            <w:vAlign w:val="center"/>
          </w:tcPr>
          <w:p w14:paraId="2D8D9439">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594AAD81">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409" w:type="dxa"/>
            <w:gridSpan w:val="2"/>
            <w:tcBorders>
              <w:top w:val="single" w:color="000000" w:sz="4" w:space="0"/>
              <w:left w:val="single" w:color="000000" w:sz="4" w:space="0"/>
              <w:bottom w:val="single" w:color="000000" w:sz="4" w:space="0"/>
              <w:right w:val="single" w:color="000000" w:sz="4" w:space="0"/>
            </w:tcBorders>
            <w:noWrap/>
            <w:vAlign w:val="center"/>
          </w:tcPr>
          <w:p w14:paraId="54ED5E66">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r>
      <w:tr w14:paraId="4781EB2D">
        <w:tblPrEx>
          <w:tblCellMar>
            <w:top w:w="0" w:type="dxa"/>
            <w:left w:w="0" w:type="dxa"/>
            <w:bottom w:w="0" w:type="dxa"/>
            <w:right w:w="0" w:type="dxa"/>
          </w:tblCellMar>
        </w:tblPrEx>
        <w:trPr>
          <w:trHeight w:val="715" w:hRule="atLeast"/>
          <w:jc w:val="center"/>
        </w:trPr>
        <w:tc>
          <w:tcPr>
            <w:tcW w:w="1895" w:type="dxa"/>
            <w:gridSpan w:val="2"/>
            <w:tcBorders>
              <w:top w:val="single" w:color="000000" w:sz="4" w:space="0"/>
              <w:left w:val="single" w:color="000000" w:sz="4" w:space="0"/>
              <w:bottom w:val="single" w:color="000000" w:sz="4" w:space="0"/>
              <w:right w:val="single" w:color="000000" w:sz="4" w:space="0"/>
            </w:tcBorders>
            <w:noWrap/>
            <w:vAlign w:val="center"/>
          </w:tcPr>
          <w:p w14:paraId="1D075EA5">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4192" w:type="dxa"/>
            <w:gridSpan w:val="4"/>
            <w:tcBorders>
              <w:top w:val="single" w:color="000000" w:sz="4" w:space="0"/>
              <w:left w:val="single" w:color="000000" w:sz="4" w:space="0"/>
              <w:bottom w:val="single" w:color="000000" w:sz="4" w:space="0"/>
              <w:right w:val="single" w:color="000000" w:sz="4" w:space="0"/>
            </w:tcBorders>
            <w:noWrap/>
            <w:vAlign w:val="center"/>
          </w:tcPr>
          <w:p w14:paraId="40DDCE00">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7DE6B991">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409" w:type="dxa"/>
            <w:gridSpan w:val="2"/>
            <w:tcBorders>
              <w:top w:val="single" w:color="000000" w:sz="4" w:space="0"/>
              <w:left w:val="single" w:color="000000" w:sz="4" w:space="0"/>
              <w:bottom w:val="single" w:color="000000" w:sz="4" w:space="0"/>
              <w:right w:val="single" w:color="000000" w:sz="4" w:space="0"/>
            </w:tcBorders>
            <w:noWrap/>
            <w:vAlign w:val="center"/>
          </w:tcPr>
          <w:p w14:paraId="73B31E0C">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r>
      <w:tr w14:paraId="75EE2106">
        <w:tblPrEx>
          <w:tblCellMar>
            <w:top w:w="0" w:type="dxa"/>
            <w:left w:w="0" w:type="dxa"/>
            <w:bottom w:w="0" w:type="dxa"/>
            <w:right w:w="0" w:type="dxa"/>
          </w:tblCellMar>
        </w:tblPrEx>
        <w:trPr>
          <w:trHeight w:val="685" w:hRule="atLeast"/>
          <w:jc w:val="center"/>
        </w:trPr>
        <w:tc>
          <w:tcPr>
            <w:tcW w:w="1895" w:type="dxa"/>
            <w:gridSpan w:val="2"/>
            <w:tcBorders>
              <w:top w:val="single" w:color="000000" w:sz="4" w:space="0"/>
              <w:left w:val="single" w:color="000000" w:sz="4" w:space="0"/>
              <w:bottom w:val="single" w:color="000000" w:sz="4" w:space="0"/>
              <w:right w:val="single" w:color="000000" w:sz="4" w:space="0"/>
            </w:tcBorders>
            <w:noWrap/>
            <w:vAlign w:val="center"/>
          </w:tcPr>
          <w:p w14:paraId="21974B4A">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4192" w:type="dxa"/>
            <w:gridSpan w:val="4"/>
            <w:tcBorders>
              <w:top w:val="single" w:color="000000" w:sz="4" w:space="0"/>
              <w:left w:val="single" w:color="000000" w:sz="4" w:space="0"/>
              <w:bottom w:val="single" w:color="000000" w:sz="4" w:space="0"/>
              <w:right w:val="single" w:color="000000" w:sz="4" w:space="0"/>
            </w:tcBorders>
            <w:noWrap/>
            <w:vAlign w:val="center"/>
          </w:tcPr>
          <w:p w14:paraId="02DE0CD9">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74C59893">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409" w:type="dxa"/>
            <w:gridSpan w:val="2"/>
            <w:tcBorders>
              <w:top w:val="single" w:color="000000" w:sz="4" w:space="0"/>
              <w:left w:val="single" w:color="000000" w:sz="4" w:space="0"/>
              <w:bottom w:val="single" w:color="000000" w:sz="4" w:space="0"/>
              <w:right w:val="single" w:color="000000" w:sz="4" w:space="0"/>
            </w:tcBorders>
            <w:noWrap/>
            <w:vAlign w:val="center"/>
          </w:tcPr>
          <w:p w14:paraId="4F0F002B">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r>
      <w:tr w14:paraId="119EB7C4">
        <w:tblPrEx>
          <w:tblCellMar>
            <w:top w:w="0" w:type="dxa"/>
            <w:left w:w="0" w:type="dxa"/>
            <w:bottom w:w="0" w:type="dxa"/>
            <w:right w:w="0" w:type="dxa"/>
          </w:tblCellMar>
        </w:tblPrEx>
        <w:trPr>
          <w:trHeight w:val="726" w:hRule="atLeast"/>
          <w:jc w:val="center"/>
        </w:trPr>
        <w:tc>
          <w:tcPr>
            <w:tcW w:w="1895" w:type="dxa"/>
            <w:gridSpan w:val="2"/>
            <w:tcBorders>
              <w:top w:val="single" w:color="000000" w:sz="4" w:space="0"/>
              <w:left w:val="single" w:color="000000" w:sz="4" w:space="0"/>
              <w:bottom w:val="single" w:color="000000" w:sz="4" w:space="0"/>
              <w:right w:val="single" w:color="000000" w:sz="4" w:space="0"/>
            </w:tcBorders>
            <w:noWrap/>
            <w:vAlign w:val="center"/>
          </w:tcPr>
          <w:p w14:paraId="15BC9F4C">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4192" w:type="dxa"/>
            <w:gridSpan w:val="4"/>
            <w:tcBorders>
              <w:top w:val="single" w:color="000000" w:sz="4" w:space="0"/>
              <w:left w:val="single" w:color="000000" w:sz="4" w:space="0"/>
              <w:bottom w:val="single" w:color="000000" w:sz="4" w:space="0"/>
              <w:right w:val="single" w:color="000000" w:sz="4" w:space="0"/>
            </w:tcBorders>
            <w:noWrap/>
            <w:vAlign w:val="center"/>
          </w:tcPr>
          <w:p w14:paraId="5C09301B">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544" w:type="dxa"/>
            <w:tcBorders>
              <w:top w:val="single" w:color="000000" w:sz="4" w:space="0"/>
              <w:left w:val="single" w:color="000000" w:sz="4" w:space="0"/>
              <w:bottom w:val="single" w:color="000000" w:sz="4" w:space="0"/>
              <w:right w:val="single" w:color="000000" w:sz="4" w:space="0"/>
            </w:tcBorders>
            <w:noWrap/>
            <w:vAlign w:val="center"/>
          </w:tcPr>
          <w:p w14:paraId="4476FACF">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c>
          <w:tcPr>
            <w:tcW w:w="1409" w:type="dxa"/>
            <w:gridSpan w:val="2"/>
            <w:tcBorders>
              <w:top w:val="single" w:color="000000" w:sz="4" w:space="0"/>
              <w:left w:val="single" w:color="000000" w:sz="4" w:space="0"/>
              <w:bottom w:val="single" w:color="000000" w:sz="4" w:space="0"/>
              <w:right w:val="single" w:color="000000" w:sz="4" w:space="0"/>
            </w:tcBorders>
            <w:noWrap/>
            <w:vAlign w:val="center"/>
          </w:tcPr>
          <w:p w14:paraId="56517CFC">
            <w:pPr>
              <w:adjustRightInd w:val="0"/>
              <w:spacing w:before="50"/>
              <w:ind w:right="97" w:firstLine="67" w:firstLineChars="28"/>
              <w:jc w:val="center"/>
              <w:rPr>
                <w:rFonts w:hint="eastAsia" w:asciiTheme="minorEastAsia" w:hAnsiTheme="minorEastAsia" w:eastAsiaTheme="minorEastAsia" w:cstheme="minorEastAsia"/>
                <w:color w:val="000000"/>
                <w:spacing w:val="1"/>
                <w:sz w:val="24"/>
                <w:szCs w:val="24"/>
                <w:lang w:eastAsia="zh-CN"/>
              </w:rPr>
            </w:pPr>
          </w:p>
        </w:tc>
      </w:tr>
    </w:tbl>
    <w:p w14:paraId="3AFCF0D9">
      <w:pPr>
        <w:adjustRightInd w:val="0"/>
        <w:spacing w:before="50"/>
        <w:ind w:right="97"/>
        <w:jc w:val="both"/>
        <w:rPr>
          <w:rFonts w:cs="楷体"/>
          <w:b/>
          <w:color w:val="000000"/>
          <w:kern w:val="2"/>
          <w:sz w:val="24"/>
          <w:lang w:eastAsia="zh-CN"/>
        </w:rPr>
      </w:pPr>
    </w:p>
    <w:p w14:paraId="4CD5C2EC">
      <w:pPr>
        <w:adjustRightInd w:val="0"/>
        <w:spacing w:before="50"/>
        <w:ind w:right="97"/>
        <w:jc w:val="both"/>
        <w:rPr>
          <w:rFonts w:cs="楷体"/>
          <w:b/>
          <w:color w:val="000000"/>
          <w:kern w:val="2"/>
          <w:sz w:val="24"/>
          <w:lang w:eastAsia="zh-CN"/>
        </w:rPr>
      </w:pPr>
      <w:r>
        <w:rPr>
          <w:rFonts w:hint="eastAsia" w:cs="楷体"/>
          <w:b/>
          <w:color w:val="000000"/>
          <w:kern w:val="2"/>
          <w:sz w:val="24"/>
          <w:lang w:eastAsia="zh-CN"/>
        </w:rPr>
        <w:t>注：附相关人员身份证、劳动合同、职称证或资格证原件扫描件等证明资料；</w:t>
      </w:r>
    </w:p>
    <w:p w14:paraId="3BAB80CD">
      <w:pPr>
        <w:adjustRightInd w:val="0"/>
        <w:spacing w:line="420" w:lineRule="exact"/>
        <w:ind w:left="284"/>
        <w:jc w:val="center"/>
        <w:rPr>
          <w:rFonts w:cs="楷体"/>
          <w:color w:val="FF0000"/>
          <w:sz w:val="28"/>
          <w:szCs w:val="28"/>
          <w:lang w:eastAsia="zh-CN"/>
        </w:rPr>
      </w:pPr>
    </w:p>
    <w:p w14:paraId="496F63C2">
      <w:pPr>
        <w:autoSpaceDE/>
        <w:autoSpaceDN/>
        <w:spacing w:line="360" w:lineRule="auto"/>
        <w:jc w:val="center"/>
        <w:rPr>
          <w:rFonts w:cs="楷体"/>
          <w:b/>
          <w:color w:val="000000"/>
          <w:kern w:val="2"/>
          <w:sz w:val="32"/>
          <w:lang w:eastAsia="zh-CN"/>
        </w:rPr>
      </w:pPr>
      <w:r>
        <w:rPr>
          <w:rFonts w:cs="楷体"/>
          <w:color w:val="FF0000"/>
          <w:sz w:val="28"/>
          <w:szCs w:val="28"/>
          <w:lang w:eastAsia="zh-CN"/>
        </w:rPr>
        <w:br w:type="page"/>
      </w:r>
      <w:r>
        <w:rPr>
          <w:rFonts w:hint="eastAsia" w:cs="楷体"/>
          <w:b/>
          <w:color w:val="000000"/>
          <w:kern w:val="2"/>
          <w:sz w:val="28"/>
          <w:szCs w:val="28"/>
          <w:lang w:eastAsia="zh-CN"/>
        </w:rPr>
        <w:t>（三）投标人资格证明材料</w:t>
      </w:r>
    </w:p>
    <w:p w14:paraId="34E0E959">
      <w:pPr>
        <w:autoSpaceDE/>
        <w:autoSpaceDN/>
        <w:spacing w:line="360" w:lineRule="auto"/>
        <w:jc w:val="center"/>
        <w:rPr>
          <w:rFonts w:cs="楷体"/>
          <w:color w:val="FF0000"/>
          <w:kern w:val="2"/>
          <w:sz w:val="24"/>
          <w:szCs w:val="24"/>
          <w:lang w:eastAsia="zh-CN"/>
        </w:rPr>
      </w:pPr>
      <w:r>
        <w:rPr>
          <w:rFonts w:hint="eastAsia" w:cs="楷体"/>
          <w:color w:val="000000"/>
          <w:kern w:val="2"/>
          <w:sz w:val="24"/>
          <w:szCs w:val="24"/>
          <w:lang w:eastAsia="zh-CN"/>
        </w:rPr>
        <w:t>（格式自拟，应逐页加盖电子签章。）</w:t>
      </w:r>
    </w:p>
    <w:p w14:paraId="2DD76D81">
      <w:pPr>
        <w:autoSpaceDE/>
        <w:autoSpaceDN/>
        <w:spacing w:line="360" w:lineRule="auto"/>
        <w:jc w:val="both"/>
        <w:rPr>
          <w:rFonts w:cs="楷体"/>
          <w:color w:val="FF0000"/>
          <w:kern w:val="2"/>
          <w:sz w:val="21"/>
          <w:lang w:eastAsia="zh-CN"/>
        </w:rPr>
      </w:pPr>
    </w:p>
    <w:p w14:paraId="0E4BDDF6">
      <w:pPr>
        <w:autoSpaceDE/>
        <w:autoSpaceDN/>
        <w:spacing w:line="360" w:lineRule="auto"/>
        <w:jc w:val="both"/>
        <w:rPr>
          <w:rFonts w:cs="楷体"/>
          <w:color w:val="FF0000"/>
          <w:kern w:val="2"/>
          <w:sz w:val="21"/>
          <w:lang w:eastAsia="zh-CN"/>
        </w:rPr>
      </w:pPr>
    </w:p>
    <w:p w14:paraId="5EBD72EA">
      <w:pPr>
        <w:autoSpaceDE/>
        <w:autoSpaceDN/>
        <w:spacing w:line="360" w:lineRule="auto"/>
        <w:jc w:val="both"/>
        <w:rPr>
          <w:rFonts w:cs="楷体"/>
          <w:color w:val="FF0000"/>
          <w:kern w:val="2"/>
          <w:sz w:val="21"/>
          <w:lang w:eastAsia="zh-CN"/>
        </w:rPr>
      </w:pPr>
    </w:p>
    <w:p w14:paraId="3A1E6EA8">
      <w:pPr>
        <w:autoSpaceDE/>
        <w:autoSpaceDN/>
        <w:spacing w:before="260" w:after="260" w:line="415" w:lineRule="auto"/>
        <w:jc w:val="center"/>
        <w:outlineLvl w:val="1"/>
        <w:rPr>
          <w:rFonts w:cs="楷体"/>
          <w:b/>
          <w:color w:val="FF0000"/>
          <w:kern w:val="2"/>
          <w:sz w:val="28"/>
          <w:szCs w:val="20"/>
          <w:lang w:eastAsia="zh-CN"/>
        </w:rPr>
      </w:pPr>
      <w:bookmarkStart w:id="520" w:name="_Toc13126"/>
      <w:bookmarkStart w:id="521" w:name="_Toc251767428"/>
      <w:bookmarkStart w:id="522" w:name="_Toc14794"/>
    </w:p>
    <w:p w14:paraId="276E9479">
      <w:pPr>
        <w:autoSpaceDE/>
        <w:autoSpaceDN/>
        <w:spacing w:line="360" w:lineRule="auto"/>
        <w:jc w:val="center"/>
        <w:rPr>
          <w:rFonts w:cs="楷体"/>
          <w:b/>
          <w:color w:val="FF0000"/>
          <w:kern w:val="2"/>
          <w:sz w:val="28"/>
          <w:szCs w:val="28"/>
          <w:lang w:eastAsia="zh-CN"/>
        </w:rPr>
      </w:pPr>
      <w:r>
        <w:rPr>
          <w:rFonts w:cs="楷体"/>
          <w:b/>
          <w:color w:val="FF0000"/>
          <w:kern w:val="2"/>
          <w:sz w:val="28"/>
          <w:szCs w:val="20"/>
          <w:lang w:eastAsia="zh-CN"/>
        </w:rPr>
        <w:br w:type="page"/>
      </w:r>
      <w:r>
        <w:rPr>
          <w:rFonts w:hint="eastAsia" w:cs="楷体"/>
          <w:b/>
          <w:color w:val="auto"/>
          <w:kern w:val="2"/>
          <w:sz w:val="28"/>
          <w:szCs w:val="20"/>
          <w:lang w:eastAsia="zh-CN"/>
        </w:rPr>
        <w:t>五</w:t>
      </w:r>
      <w:r>
        <w:rPr>
          <w:rFonts w:hint="eastAsia" w:cs="楷体"/>
          <w:b/>
          <w:color w:val="auto"/>
          <w:kern w:val="2"/>
          <w:sz w:val="28"/>
          <w:szCs w:val="28"/>
          <w:lang w:eastAsia="zh-CN"/>
        </w:rPr>
        <w:t>、</w:t>
      </w:r>
      <w:r>
        <w:rPr>
          <w:rFonts w:hint="eastAsia" w:cs="楷体"/>
          <w:b/>
          <w:color w:val="000000"/>
          <w:kern w:val="2"/>
          <w:sz w:val="28"/>
          <w:szCs w:val="28"/>
          <w:lang w:eastAsia="zh-CN"/>
        </w:rPr>
        <w:t>技术部分（监理大纲</w:t>
      </w:r>
      <w:bookmarkEnd w:id="520"/>
      <w:bookmarkEnd w:id="521"/>
      <w:bookmarkEnd w:id="522"/>
      <w:r>
        <w:rPr>
          <w:rFonts w:hint="eastAsia" w:cs="楷体"/>
          <w:b/>
          <w:color w:val="000000"/>
          <w:kern w:val="2"/>
          <w:sz w:val="28"/>
          <w:szCs w:val="28"/>
          <w:lang w:eastAsia="zh-CN"/>
        </w:rPr>
        <w:t>）</w:t>
      </w:r>
    </w:p>
    <w:p w14:paraId="299CAD8F">
      <w:pPr>
        <w:tabs>
          <w:tab w:val="left" w:pos="425"/>
        </w:tabs>
        <w:autoSpaceDE/>
        <w:autoSpaceDN/>
        <w:spacing w:before="260" w:after="260" w:line="413" w:lineRule="auto"/>
        <w:ind w:left="425" w:hanging="425"/>
        <w:jc w:val="center"/>
        <w:outlineLvl w:val="1"/>
        <w:rPr>
          <w:rFonts w:cs="楷体"/>
          <w:b/>
          <w:color w:val="FF0000"/>
          <w:kern w:val="2"/>
          <w:sz w:val="24"/>
          <w:szCs w:val="24"/>
          <w:lang w:eastAsia="zh-CN"/>
        </w:rPr>
      </w:pPr>
      <w:r>
        <w:rPr>
          <w:rFonts w:hint="eastAsia"/>
          <w:kern w:val="2"/>
          <w:sz w:val="24"/>
          <w:szCs w:val="24"/>
        </w:rPr>
        <w:t>（格式自拟，应逐页加盖</w:t>
      </w:r>
      <w:r>
        <w:rPr>
          <w:rFonts w:hint="eastAsia" w:cs="Times New Roman"/>
          <w:color w:val="000000"/>
          <w:kern w:val="2"/>
          <w:sz w:val="24"/>
          <w:szCs w:val="24"/>
        </w:rPr>
        <w:t>电子签章</w:t>
      </w:r>
      <w:r>
        <w:rPr>
          <w:rFonts w:hint="eastAsia"/>
          <w:kern w:val="2"/>
          <w:sz w:val="24"/>
          <w:szCs w:val="24"/>
        </w:rPr>
        <w:t>。）</w:t>
      </w:r>
    </w:p>
    <w:p w14:paraId="3C5D41A4">
      <w:pPr>
        <w:autoSpaceDE/>
        <w:autoSpaceDN/>
        <w:jc w:val="both"/>
        <w:rPr>
          <w:rFonts w:cs="楷体"/>
          <w:color w:val="FF0000"/>
          <w:kern w:val="2"/>
          <w:sz w:val="28"/>
          <w:lang w:eastAsia="zh-CN"/>
        </w:rPr>
      </w:pPr>
    </w:p>
    <w:p w14:paraId="1EDF28A2">
      <w:pPr>
        <w:autoSpaceDE/>
        <w:autoSpaceDN/>
        <w:jc w:val="both"/>
        <w:rPr>
          <w:rFonts w:cs="楷体"/>
          <w:color w:val="FF0000"/>
          <w:kern w:val="2"/>
          <w:sz w:val="28"/>
          <w:lang w:eastAsia="zh-CN"/>
        </w:rPr>
      </w:pPr>
    </w:p>
    <w:p w14:paraId="2F8695FA">
      <w:pPr>
        <w:autoSpaceDE/>
        <w:autoSpaceDN/>
        <w:jc w:val="both"/>
        <w:rPr>
          <w:rFonts w:cs="楷体"/>
          <w:color w:val="FF0000"/>
          <w:kern w:val="2"/>
          <w:sz w:val="28"/>
          <w:lang w:eastAsia="zh-CN"/>
        </w:rPr>
      </w:pPr>
    </w:p>
    <w:p w14:paraId="7209790F">
      <w:pPr>
        <w:autoSpaceDE/>
        <w:autoSpaceDN/>
        <w:jc w:val="both"/>
        <w:rPr>
          <w:rFonts w:cs="楷体"/>
          <w:color w:val="FF0000"/>
          <w:kern w:val="2"/>
          <w:sz w:val="28"/>
          <w:lang w:eastAsia="zh-CN"/>
        </w:rPr>
      </w:pPr>
    </w:p>
    <w:p w14:paraId="2ECE7EEA">
      <w:pPr>
        <w:autoSpaceDE/>
        <w:autoSpaceDN/>
        <w:jc w:val="both"/>
        <w:rPr>
          <w:rFonts w:cs="楷体"/>
          <w:color w:val="FF0000"/>
          <w:kern w:val="2"/>
          <w:sz w:val="28"/>
          <w:lang w:eastAsia="zh-CN"/>
        </w:rPr>
      </w:pPr>
    </w:p>
    <w:p w14:paraId="19A023CD">
      <w:pPr>
        <w:autoSpaceDE/>
        <w:autoSpaceDN/>
        <w:spacing w:line="360" w:lineRule="auto"/>
        <w:jc w:val="center"/>
        <w:rPr>
          <w:rFonts w:cs="楷体"/>
          <w:b/>
          <w:color w:val="000000"/>
          <w:kern w:val="2"/>
          <w:sz w:val="28"/>
          <w:szCs w:val="20"/>
          <w:lang w:eastAsia="zh-CN"/>
        </w:rPr>
      </w:pPr>
      <w:bookmarkStart w:id="523" w:name="_Toc25654"/>
      <w:bookmarkStart w:id="524" w:name="_Toc7289"/>
      <w:r>
        <w:rPr>
          <w:rFonts w:cs="楷体"/>
          <w:b/>
          <w:color w:val="FF0000"/>
          <w:kern w:val="2"/>
          <w:sz w:val="28"/>
          <w:szCs w:val="20"/>
          <w:lang w:eastAsia="zh-CN"/>
        </w:rPr>
        <w:br w:type="page"/>
      </w:r>
      <w:bookmarkEnd w:id="523"/>
      <w:bookmarkEnd w:id="524"/>
      <w:bookmarkStart w:id="525" w:name="_Toc251767433"/>
      <w:bookmarkStart w:id="526" w:name="_Toc18815"/>
      <w:bookmarkStart w:id="527" w:name="_Toc191983698"/>
      <w:bookmarkStart w:id="528" w:name="_Toc21366"/>
      <w:r>
        <w:rPr>
          <w:rFonts w:hint="eastAsia" w:cs="楷体"/>
          <w:b/>
          <w:color w:val="auto"/>
          <w:kern w:val="2"/>
          <w:sz w:val="28"/>
          <w:szCs w:val="20"/>
          <w:lang w:eastAsia="zh-CN"/>
        </w:rPr>
        <w:t>六</w:t>
      </w:r>
      <w:r>
        <w:rPr>
          <w:rFonts w:hint="eastAsia" w:cs="楷体"/>
          <w:b/>
          <w:color w:val="000000"/>
          <w:kern w:val="2"/>
          <w:sz w:val="28"/>
          <w:szCs w:val="28"/>
          <w:lang w:eastAsia="zh-CN"/>
        </w:rPr>
        <w:t>、</w:t>
      </w:r>
      <w:bookmarkEnd w:id="525"/>
      <w:bookmarkEnd w:id="526"/>
      <w:bookmarkEnd w:id="527"/>
      <w:bookmarkEnd w:id="528"/>
      <w:r>
        <w:rPr>
          <w:rFonts w:hint="eastAsia" w:cs="楷体"/>
          <w:b/>
          <w:color w:val="000000"/>
          <w:kern w:val="2"/>
          <w:sz w:val="28"/>
          <w:szCs w:val="28"/>
          <w:lang w:eastAsia="zh-CN"/>
        </w:rPr>
        <w:t>综合标</w:t>
      </w:r>
    </w:p>
    <w:p w14:paraId="2EC13063">
      <w:pPr>
        <w:autoSpaceDE/>
        <w:autoSpaceDN/>
        <w:spacing w:line="360" w:lineRule="auto"/>
        <w:jc w:val="center"/>
        <w:rPr>
          <w:rFonts w:cs="楷体"/>
          <w:b/>
          <w:color w:val="000000"/>
          <w:kern w:val="2"/>
          <w:sz w:val="24"/>
          <w:szCs w:val="24"/>
          <w:lang w:eastAsia="zh-CN"/>
        </w:rPr>
      </w:pPr>
      <w:bookmarkStart w:id="529" w:name="_Toc5829"/>
      <w:bookmarkStart w:id="530" w:name="_Toc24078"/>
      <w:bookmarkStart w:id="531" w:name="_Toc251767434"/>
      <w:bookmarkStart w:id="532" w:name="_Toc191983699"/>
      <w:r>
        <w:rPr>
          <w:rFonts w:hint="eastAsia" w:cs="楷体"/>
          <w:b/>
          <w:color w:val="000000"/>
          <w:kern w:val="2"/>
          <w:sz w:val="24"/>
          <w:szCs w:val="24"/>
          <w:lang w:eastAsia="zh-CN"/>
        </w:rPr>
        <w:t>（一）项目管理机构人员配备表</w:t>
      </w:r>
      <w:bookmarkEnd w:id="529"/>
      <w:bookmarkEnd w:id="530"/>
      <w:bookmarkEnd w:id="531"/>
      <w:bookmarkEnd w:id="532"/>
    </w:p>
    <w:tbl>
      <w:tblPr>
        <w:tblStyle w:val="16"/>
        <w:tblW w:w="8403" w:type="dxa"/>
        <w:jc w:val="center"/>
        <w:tblLayout w:type="fixed"/>
        <w:tblCellMar>
          <w:top w:w="0" w:type="dxa"/>
          <w:left w:w="0" w:type="dxa"/>
          <w:bottom w:w="0" w:type="dxa"/>
          <w:right w:w="0" w:type="dxa"/>
        </w:tblCellMar>
      </w:tblPr>
      <w:tblGrid>
        <w:gridCol w:w="817"/>
        <w:gridCol w:w="817"/>
        <w:gridCol w:w="817"/>
        <w:gridCol w:w="817"/>
        <w:gridCol w:w="881"/>
        <w:gridCol w:w="881"/>
        <w:gridCol w:w="881"/>
        <w:gridCol w:w="881"/>
        <w:gridCol w:w="882"/>
        <w:gridCol w:w="729"/>
      </w:tblGrid>
      <w:tr w14:paraId="22E6FBEE">
        <w:tblPrEx>
          <w:tblCellMar>
            <w:top w:w="0" w:type="dxa"/>
            <w:left w:w="0" w:type="dxa"/>
            <w:bottom w:w="0" w:type="dxa"/>
            <w:right w:w="0" w:type="dxa"/>
          </w:tblCellMar>
        </w:tblPrEx>
        <w:trPr>
          <w:trHeight w:val="489" w:hRule="atLeast"/>
          <w:jc w:val="center"/>
        </w:trPr>
        <w:tc>
          <w:tcPr>
            <w:tcW w:w="817" w:type="dxa"/>
            <w:vMerge w:val="restart"/>
            <w:tcBorders>
              <w:top w:val="single" w:color="000000" w:sz="4" w:space="0"/>
              <w:left w:val="single" w:color="000000" w:sz="4" w:space="0"/>
              <w:bottom w:val="single" w:color="000000" w:sz="4" w:space="0"/>
              <w:right w:val="single" w:color="000000" w:sz="4" w:space="0"/>
            </w:tcBorders>
            <w:noWrap/>
            <w:vAlign w:val="center"/>
          </w:tcPr>
          <w:p w14:paraId="1DDA1520">
            <w:pPr>
              <w:adjustRightInd w:val="0"/>
              <w:spacing w:before="50"/>
              <w:ind w:right="97" w:firstLine="67" w:firstLineChars="28"/>
              <w:jc w:val="center"/>
              <w:rPr>
                <w:rFonts w:cs="楷体"/>
                <w:color w:val="000000"/>
                <w:spacing w:val="1"/>
                <w:sz w:val="24"/>
                <w:szCs w:val="24"/>
                <w:lang w:eastAsia="zh-CN"/>
              </w:rPr>
            </w:pPr>
            <w:r>
              <w:rPr>
                <w:rFonts w:hint="eastAsia" w:cs="楷体"/>
                <w:color w:val="000000"/>
                <w:spacing w:val="1"/>
                <w:sz w:val="24"/>
                <w:szCs w:val="24"/>
                <w:lang w:eastAsia="zh-CN"/>
              </w:rPr>
              <w:t>职务</w:t>
            </w:r>
          </w:p>
        </w:tc>
        <w:tc>
          <w:tcPr>
            <w:tcW w:w="817" w:type="dxa"/>
            <w:vMerge w:val="restart"/>
            <w:tcBorders>
              <w:top w:val="single" w:color="000000" w:sz="4" w:space="0"/>
              <w:left w:val="single" w:color="000000" w:sz="4" w:space="0"/>
              <w:bottom w:val="single" w:color="000000" w:sz="4" w:space="0"/>
              <w:right w:val="single" w:color="000000" w:sz="4" w:space="0"/>
            </w:tcBorders>
            <w:noWrap/>
            <w:vAlign w:val="center"/>
          </w:tcPr>
          <w:p w14:paraId="7ADC3DEE">
            <w:pPr>
              <w:adjustRightInd w:val="0"/>
              <w:spacing w:before="50"/>
              <w:ind w:right="97" w:firstLine="67" w:firstLineChars="28"/>
              <w:jc w:val="center"/>
              <w:rPr>
                <w:rFonts w:cs="楷体"/>
                <w:color w:val="000000"/>
                <w:spacing w:val="1"/>
                <w:sz w:val="24"/>
                <w:szCs w:val="24"/>
                <w:lang w:eastAsia="zh-CN"/>
              </w:rPr>
            </w:pPr>
            <w:r>
              <w:rPr>
                <w:rFonts w:hint="eastAsia" w:cs="楷体"/>
                <w:color w:val="000000"/>
                <w:spacing w:val="1"/>
                <w:sz w:val="24"/>
                <w:szCs w:val="24"/>
                <w:lang w:eastAsia="zh-CN"/>
              </w:rPr>
              <w:t>姓名</w:t>
            </w:r>
          </w:p>
        </w:tc>
        <w:tc>
          <w:tcPr>
            <w:tcW w:w="817" w:type="dxa"/>
            <w:vMerge w:val="restart"/>
            <w:tcBorders>
              <w:top w:val="single" w:color="000000" w:sz="4" w:space="0"/>
              <w:left w:val="single" w:color="000000" w:sz="4" w:space="0"/>
              <w:bottom w:val="single" w:color="000000" w:sz="4" w:space="0"/>
              <w:right w:val="single" w:color="000000" w:sz="4" w:space="0"/>
            </w:tcBorders>
            <w:noWrap/>
            <w:vAlign w:val="center"/>
          </w:tcPr>
          <w:p w14:paraId="15B6615E">
            <w:pPr>
              <w:adjustRightInd w:val="0"/>
              <w:spacing w:before="50"/>
              <w:ind w:right="97" w:firstLine="67" w:firstLineChars="28"/>
              <w:jc w:val="center"/>
              <w:rPr>
                <w:rFonts w:cs="楷体"/>
                <w:color w:val="000000"/>
                <w:spacing w:val="1"/>
                <w:sz w:val="24"/>
                <w:szCs w:val="24"/>
                <w:lang w:eastAsia="zh-CN"/>
              </w:rPr>
            </w:pPr>
            <w:r>
              <w:rPr>
                <w:rFonts w:hint="eastAsia" w:cs="楷体"/>
                <w:color w:val="000000"/>
                <w:spacing w:val="1"/>
                <w:sz w:val="24"/>
                <w:szCs w:val="24"/>
                <w:lang w:eastAsia="zh-CN"/>
              </w:rPr>
              <w:t>职称</w:t>
            </w:r>
          </w:p>
        </w:tc>
        <w:tc>
          <w:tcPr>
            <w:tcW w:w="817" w:type="dxa"/>
            <w:vMerge w:val="restart"/>
            <w:tcBorders>
              <w:top w:val="single" w:color="000000" w:sz="4" w:space="0"/>
              <w:left w:val="single" w:color="000000" w:sz="4" w:space="0"/>
              <w:right w:val="single" w:color="auto" w:sz="4" w:space="0"/>
            </w:tcBorders>
            <w:noWrap/>
            <w:vAlign w:val="center"/>
          </w:tcPr>
          <w:p w14:paraId="18D2AFB7">
            <w:pPr>
              <w:adjustRightInd w:val="0"/>
              <w:spacing w:before="50"/>
              <w:ind w:right="97" w:firstLine="67" w:firstLineChars="28"/>
              <w:jc w:val="center"/>
              <w:rPr>
                <w:rFonts w:cs="楷体"/>
                <w:color w:val="000000"/>
                <w:spacing w:val="1"/>
                <w:sz w:val="24"/>
                <w:szCs w:val="24"/>
                <w:lang w:eastAsia="zh-CN"/>
              </w:rPr>
            </w:pPr>
            <w:r>
              <w:rPr>
                <w:rFonts w:hint="eastAsia" w:cs="楷体"/>
                <w:color w:val="000000"/>
                <w:spacing w:val="1"/>
                <w:sz w:val="24"/>
                <w:szCs w:val="24"/>
                <w:lang w:eastAsia="zh-CN"/>
              </w:rPr>
              <w:t>年龄</w:t>
            </w:r>
          </w:p>
        </w:tc>
        <w:tc>
          <w:tcPr>
            <w:tcW w:w="4406" w:type="dxa"/>
            <w:gridSpan w:val="5"/>
            <w:tcBorders>
              <w:top w:val="single" w:color="000000" w:sz="4" w:space="0"/>
              <w:left w:val="single" w:color="auto" w:sz="4" w:space="0"/>
              <w:bottom w:val="single" w:color="000000" w:sz="4" w:space="0"/>
              <w:right w:val="single" w:color="000000" w:sz="4" w:space="0"/>
            </w:tcBorders>
            <w:noWrap/>
            <w:vAlign w:val="center"/>
          </w:tcPr>
          <w:p w14:paraId="6630EE34">
            <w:pPr>
              <w:adjustRightInd w:val="0"/>
              <w:spacing w:before="50"/>
              <w:ind w:right="97"/>
              <w:jc w:val="center"/>
              <w:rPr>
                <w:rFonts w:cs="楷体"/>
                <w:color w:val="000000"/>
                <w:spacing w:val="1"/>
                <w:sz w:val="24"/>
                <w:szCs w:val="24"/>
                <w:lang w:eastAsia="zh-CN"/>
              </w:rPr>
            </w:pPr>
            <w:r>
              <w:rPr>
                <w:rFonts w:hint="eastAsia" w:cs="楷体"/>
                <w:color w:val="000000"/>
                <w:spacing w:val="1"/>
                <w:sz w:val="24"/>
                <w:szCs w:val="24"/>
                <w:lang w:eastAsia="zh-CN"/>
              </w:rPr>
              <w:t>执业或职业资格证明</w:t>
            </w:r>
          </w:p>
        </w:tc>
        <w:tc>
          <w:tcPr>
            <w:tcW w:w="729" w:type="dxa"/>
            <w:vMerge w:val="restart"/>
            <w:tcBorders>
              <w:top w:val="single" w:color="000000" w:sz="4" w:space="0"/>
              <w:left w:val="single" w:color="000000" w:sz="4" w:space="0"/>
              <w:right w:val="single" w:color="000000" w:sz="4" w:space="0"/>
            </w:tcBorders>
            <w:noWrap/>
            <w:vAlign w:val="center"/>
          </w:tcPr>
          <w:p w14:paraId="504E41AB">
            <w:pPr>
              <w:adjustRightInd w:val="0"/>
              <w:spacing w:before="50"/>
              <w:ind w:right="97" w:firstLine="67" w:firstLineChars="28"/>
              <w:jc w:val="center"/>
              <w:rPr>
                <w:rFonts w:cs="楷体"/>
                <w:color w:val="000000"/>
                <w:spacing w:val="1"/>
                <w:sz w:val="24"/>
                <w:szCs w:val="24"/>
                <w:lang w:eastAsia="zh-CN"/>
              </w:rPr>
            </w:pPr>
            <w:r>
              <w:rPr>
                <w:rFonts w:hint="eastAsia" w:cs="楷体"/>
                <w:color w:val="000000"/>
                <w:spacing w:val="1"/>
                <w:sz w:val="24"/>
                <w:szCs w:val="24"/>
                <w:lang w:eastAsia="zh-CN"/>
              </w:rPr>
              <w:t>备注</w:t>
            </w:r>
          </w:p>
        </w:tc>
      </w:tr>
      <w:tr w14:paraId="0D06ACE6">
        <w:tblPrEx>
          <w:tblCellMar>
            <w:top w:w="0" w:type="dxa"/>
            <w:left w:w="0" w:type="dxa"/>
            <w:bottom w:w="0" w:type="dxa"/>
            <w:right w:w="0" w:type="dxa"/>
          </w:tblCellMar>
        </w:tblPrEx>
        <w:trPr>
          <w:trHeight w:val="489" w:hRule="atLeast"/>
          <w:jc w:val="center"/>
        </w:trPr>
        <w:tc>
          <w:tcPr>
            <w:tcW w:w="817" w:type="dxa"/>
            <w:vMerge w:val="continue"/>
            <w:tcBorders>
              <w:top w:val="single" w:color="000000" w:sz="4" w:space="0"/>
              <w:left w:val="single" w:color="000000" w:sz="4" w:space="0"/>
              <w:bottom w:val="single" w:color="000000" w:sz="4" w:space="0"/>
              <w:right w:val="single" w:color="000000" w:sz="4" w:space="0"/>
            </w:tcBorders>
            <w:noWrap/>
            <w:vAlign w:val="center"/>
          </w:tcPr>
          <w:p w14:paraId="10B8D606">
            <w:pPr>
              <w:adjustRightInd w:val="0"/>
              <w:spacing w:before="50"/>
              <w:ind w:right="97" w:firstLine="67" w:firstLineChars="28"/>
              <w:jc w:val="center"/>
              <w:rPr>
                <w:rFonts w:cs="楷体"/>
                <w:color w:val="000000"/>
                <w:spacing w:val="1"/>
                <w:sz w:val="24"/>
                <w:szCs w:val="24"/>
                <w:lang w:eastAsia="zh-CN"/>
              </w:rPr>
            </w:pPr>
          </w:p>
        </w:tc>
        <w:tc>
          <w:tcPr>
            <w:tcW w:w="817" w:type="dxa"/>
            <w:vMerge w:val="continue"/>
            <w:tcBorders>
              <w:top w:val="single" w:color="000000" w:sz="4" w:space="0"/>
              <w:left w:val="single" w:color="000000" w:sz="4" w:space="0"/>
              <w:bottom w:val="single" w:color="000000" w:sz="4" w:space="0"/>
              <w:right w:val="single" w:color="000000" w:sz="4" w:space="0"/>
            </w:tcBorders>
            <w:noWrap/>
            <w:vAlign w:val="center"/>
          </w:tcPr>
          <w:p w14:paraId="5175D0B6">
            <w:pPr>
              <w:adjustRightInd w:val="0"/>
              <w:spacing w:before="50"/>
              <w:ind w:right="97" w:firstLine="67" w:firstLineChars="28"/>
              <w:jc w:val="center"/>
              <w:rPr>
                <w:rFonts w:cs="楷体"/>
                <w:color w:val="000000"/>
                <w:spacing w:val="1"/>
                <w:sz w:val="24"/>
                <w:szCs w:val="24"/>
                <w:lang w:eastAsia="zh-CN"/>
              </w:rPr>
            </w:pPr>
          </w:p>
        </w:tc>
        <w:tc>
          <w:tcPr>
            <w:tcW w:w="817" w:type="dxa"/>
            <w:vMerge w:val="continue"/>
            <w:tcBorders>
              <w:top w:val="single" w:color="000000" w:sz="4" w:space="0"/>
              <w:left w:val="single" w:color="000000" w:sz="4" w:space="0"/>
              <w:bottom w:val="single" w:color="000000" w:sz="4" w:space="0"/>
              <w:right w:val="single" w:color="000000" w:sz="4" w:space="0"/>
            </w:tcBorders>
            <w:noWrap/>
            <w:vAlign w:val="center"/>
          </w:tcPr>
          <w:p w14:paraId="7BEB2C62">
            <w:pPr>
              <w:adjustRightInd w:val="0"/>
              <w:spacing w:before="50"/>
              <w:ind w:right="97" w:firstLine="67" w:firstLineChars="28"/>
              <w:jc w:val="center"/>
              <w:rPr>
                <w:rFonts w:cs="楷体"/>
                <w:color w:val="000000"/>
                <w:spacing w:val="1"/>
                <w:sz w:val="24"/>
                <w:szCs w:val="24"/>
                <w:lang w:eastAsia="zh-CN"/>
              </w:rPr>
            </w:pPr>
          </w:p>
        </w:tc>
        <w:tc>
          <w:tcPr>
            <w:tcW w:w="817" w:type="dxa"/>
            <w:vMerge w:val="continue"/>
            <w:tcBorders>
              <w:left w:val="single" w:color="000000" w:sz="4" w:space="0"/>
              <w:bottom w:val="single" w:color="000000" w:sz="4" w:space="0"/>
              <w:right w:val="single" w:color="auto" w:sz="4" w:space="0"/>
            </w:tcBorders>
            <w:noWrap/>
            <w:vAlign w:val="center"/>
          </w:tcPr>
          <w:p w14:paraId="1F877C5C">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auto" w:sz="4" w:space="0"/>
              <w:bottom w:val="single" w:color="000000" w:sz="4" w:space="0"/>
              <w:right w:val="single" w:color="000000" w:sz="4" w:space="0"/>
            </w:tcBorders>
            <w:noWrap/>
            <w:vAlign w:val="center"/>
          </w:tcPr>
          <w:p w14:paraId="43F010E2">
            <w:pPr>
              <w:adjustRightInd w:val="0"/>
              <w:spacing w:before="50"/>
              <w:ind w:right="97" w:firstLine="67" w:firstLineChars="28"/>
              <w:jc w:val="center"/>
              <w:rPr>
                <w:rFonts w:cs="楷体"/>
                <w:color w:val="000000"/>
                <w:spacing w:val="1"/>
                <w:sz w:val="24"/>
                <w:szCs w:val="24"/>
                <w:lang w:eastAsia="zh-CN"/>
              </w:rPr>
            </w:pPr>
            <w:r>
              <w:rPr>
                <w:rFonts w:hint="eastAsia" w:cs="楷体"/>
                <w:color w:val="000000"/>
                <w:spacing w:val="1"/>
                <w:sz w:val="24"/>
                <w:szCs w:val="24"/>
                <w:lang w:eastAsia="zh-CN"/>
              </w:rPr>
              <w:t>证书名称</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72CE0C13">
            <w:pPr>
              <w:adjustRightInd w:val="0"/>
              <w:spacing w:before="50"/>
              <w:ind w:right="97" w:firstLine="67" w:firstLineChars="28"/>
              <w:jc w:val="center"/>
              <w:rPr>
                <w:rFonts w:cs="楷体"/>
                <w:color w:val="000000"/>
                <w:spacing w:val="1"/>
                <w:sz w:val="24"/>
                <w:szCs w:val="24"/>
                <w:lang w:eastAsia="zh-CN"/>
              </w:rPr>
            </w:pPr>
            <w:r>
              <w:rPr>
                <w:rFonts w:hint="eastAsia" w:cs="楷体"/>
                <w:color w:val="000000"/>
                <w:spacing w:val="1"/>
                <w:sz w:val="24"/>
                <w:szCs w:val="24"/>
                <w:lang w:eastAsia="zh-CN"/>
              </w:rPr>
              <w:t>级别</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12F213FC">
            <w:pPr>
              <w:adjustRightInd w:val="0"/>
              <w:spacing w:before="49"/>
              <w:ind w:right="97" w:firstLine="67" w:firstLineChars="28"/>
              <w:jc w:val="center"/>
              <w:rPr>
                <w:rFonts w:cs="楷体"/>
                <w:color w:val="000000"/>
                <w:spacing w:val="1"/>
                <w:sz w:val="24"/>
                <w:szCs w:val="24"/>
                <w:lang w:eastAsia="zh-CN"/>
              </w:rPr>
            </w:pPr>
            <w:r>
              <w:rPr>
                <w:rFonts w:hint="eastAsia" w:cs="楷体"/>
                <w:color w:val="000000"/>
                <w:spacing w:val="1"/>
                <w:sz w:val="24"/>
                <w:szCs w:val="24"/>
                <w:lang w:eastAsia="zh-CN"/>
              </w:rPr>
              <w:t>证号</w:t>
            </w: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0FC859F0">
            <w:pPr>
              <w:adjustRightInd w:val="0"/>
              <w:spacing w:before="50"/>
              <w:ind w:right="97" w:firstLine="67" w:firstLineChars="28"/>
              <w:jc w:val="center"/>
              <w:rPr>
                <w:rFonts w:cs="楷体"/>
                <w:color w:val="000000"/>
                <w:spacing w:val="1"/>
                <w:sz w:val="24"/>
                <w:szCs w:val="24"/>
                <w:lang w:eastAsia="zh-CN"/>
              </w:rPr>
            </w:pPr>
            <w:r>
              <w:rPr>
                <w:rFonts w:hint="eastAsia" w:cs="楷体"/>
                <w:color w:val="000000"/>
                <w:spacing w:val="1"/>
                <w:sz w:val="24"/>
                <w:szCs w:val="24"/>
                <w:lang w:eastAsia="zh-CN"/>
              </w:rPr>
              <w:t>专业</w:t>
            </w:r>
          </w:p>
        </w:tc>
        <w:tc>
          <w:tcPr>
            <w:tcW w:w="882" w:type="dxa"/>
            <w:tcBorders>
              <w:top w:val="single" w:color="000000" w:sz="4" w:space="0"/>
              <w:left w:val="single" w:color="000000" w:sz="4" w:space="0"/>
              <w:bottom w:val="single" w:color="000000" w:sz="4" w:space="0"/>
              <w:right w:val="single" w:color="000000" w:sz="4" w:space="0"/>
            </w:tcBorders>
            <w:noWrap/>
            <w:vAlign w:val="center"/>
          </w:tcPr>
          <w:p w14:paraId="7B3D54C5">
            <w:pPr>
              <w:adjustRightInd w:val="0"/>
              <w:spacing w:before="50"/>
              <w:ind w:right="97" w:firstLine="67" w:firstLineChars="28"/>
              <w:jc w:val="center"/>
              <w:rPr>
                <w:rFonts w:cs="楷体"/>
                <w:color w:val="000000"/>
                <w:spacing w:val="1"/>
                <w:sz w:val="24"/>
                <w:szCs w:val="24"/>
                <w:lang w:eastAsia="zh-CN"/>
              </w:rPr>
            </w:pPr>
            <w:r>
              <w:rPr>
                <w:rFonts w:hint="eastAsia" w:cs="楷体"/>
                <w:color w:val="000000"/>
                <w:spacing w:val="1"/>
                <w:sz w:val="24"/>
                <w:szCs w:val="24"/>
                <w:lang w:eastAsia="zh-CN"/>
              </w:rPr>
              <w:t>养老保险</w:t>
            </w:r>
          </w:p>
        </w:tc>
        <w:tc>
          <w:tcPr>
            <w:tcW w:w="729" w:type="dxa"/>
            <w:vMerge w:val="continue"/>
            <w:tcBorders>
              <w:left w:val="single" w:color="000000" w:sz="4" w:space="0"/>
              <w:bottom w:val="single" w:color="000000" w:sz="4" w:space="0"/>
              <w:right w:val="single" w:color="000000" w:sz="4" w:space="0"/>
            </w:tcBorders>
            <w:noWrap/>
            <w:vAlign w:val="center"/>
          </w:tcPr>
          <w:p w14:paraId="0F879052">
            <w:pPr>
              <w:adjustRightInd w:val="0"/>
              <w:ind w:right="97" w:firstLine="67" w:firstLineChars="28"/>
              <w:jc w:val="center"/>
              <w:rPr>
                <w:rFonts w:cs="楷体"/>
                <w:color w:val="000000"/>
                <w:spacing w:val="1"/>
                <w:sz w:val="24"/>
                <w:szCs w:val="24"/>
                <w:lang w:eastAsia="zh-CN"/>
              </w:rPr>
            </w:pPr>
          </w:p>
        </w:tc>
      </w:tr>
      <w:tr w14:paraId="3D5E95EB">
        <w:tblPrEx>
          <w:tblCellMar>
            <w:top w:w="0" w:type="dxa"/>
            <w:left w:w="0" w:type="dxa"/>
            <w:bottom w:w="0" w:type="dxa"/>
            <w:right w:w="0" w:type="dxa"/>
          </w:tblCellMar>
        </w:tblPrEx>
        <w:trPr>
          <w:trHeight w:val="489" w:hRule="atLeast"/>
          <w:jc w:val="center"/>
        </w:trPr>
        <w:tc>
          <w:tcPr>
            <w:tcW w:w="817" w:type="dxa"/>
            <w:tcBorders>
              <w:top w:val="single" w:color="000000" w:sz="4" w:space="0"/>
              <w:left w:val="single" w:color="000000" w:sz="4" w:space="0"/>
              <w:bottom w:val="single" w:color="000000" w:sz="4" w:space="0"/>
              <w:right w:val="single" w:color="000000" w:sz="4" w:space="0"/>
            </w:tcBorders>
            <w:noWrap/>
            <w:vAlign w:val="center"/>
          </w:tcPr>
          <w:p w14:paraId="28386181">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608828A8">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5AEFBA13">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auto" w:sz="4" w:space="0"/>
            </w:tcBorders>
            <w:noWrap/>
            <w:vAlign w:val="center"/>
          </w:tcPr>
          <w:p w14:paraId="2305D1FA">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auto" w:sz="4" w:space="0"/>
              <w:bottom w:val="single" w:color="000000" w:sz="4" w:space="0"/>
              <w:right w:val="single" w:color="000000" w:sz="4" w:space="0"/>
            </w:tcBorders>
            <w:noWrap/>
            <w:vAlign w:val="center"/>
          </w:tcPr>
          <w:p w14:paraId="348767B6">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48DC788F">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2B3FD20B">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5D8ECCEF">
            <w:pPr>
              <w:adjustRightInd w:val="0"/>
              <w:spacing w:before="50"/>
              <w:ind w:right="97" w:firstLine="67" w:firstLineChars="28"/>
              <w:jc w:val="center"/>
              <w:rPr>
                <w:rFonts w:cs="楷体"/>
                <w:color w:val="000000"/>
                <w:spacing w:val="1"/>
                <w:sz w:val="24"/>
                <w:szCs w:val="24"/>
                <w:lang w:eastAsia="zh-CN"/>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14:paraId="3083319C">
            <w:pPr>
              <w:adjustRightInd w:val="0"/>
              <w:spacing w:before="50"/>
              <w:ind w:right="97" w:firstLine="67" w:firstLineChars="28"/>
              <w:jc w:val="center"/>
              <w:rPr>
                <w:rFonts w:cs="楷体"/>
                <w:color w:val="000000"/>
                <w:spacing w:val="1"/>
                <w:sz w:val="24"/>
                <w:szCs w:val="24"/>
                <w:lang w:eastAsia="zh-CN"/>
              </w:rPr>
            </w:pP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22A583A3">
            <w:pPr>
              <w:adjustRightInd w:val="0"/>
              <w:spacing w:before="50"/>
              <w:ind w:right="97" w:firstLine="67" w:firstLineChars="28"/>
              <w:jc w:val="center"/>
              <w:rPr>
                <w:rFonts w:cs="楷体"/>
                <w:color w:val="000000"/>
                <w:spacing w:val="1"/>
                <w:sz w:val="24"/>
                <w:szCs w:val="24"/>
                <w:lang w:eastAsia="zh-CN"/>
              </w:rPr>
            </w:pPr>
          </w:p>
        </w:tc>
      </w:tr>
      <w:tr w14:paraId="65CECFEA">
        <w:tblPrEx>
          <w:tblCellMar>
            <w:top w:w="0" w:type="dxa"/>
            <w:left w:w="0" w:type="dxa"/>
            <w:bottom w:w="0" w:type="dxa"/>
            <w:right w:w="0" w:type="dxa"/>
          </w:tblCellMar>
        </w:tblPrEx>
        <w:trPr>
          <w:trHeight w:val="489" w:hRule="atLeast"/>
          <w:jc w:val="center"/>
        </w:trPr>
        <w:tc>
          <w:tcPr>
            <w:tcW w:w="817" w:type="dxa"/>
            <w:tcBorders>
              <w:top w:val="single" w:color="000000" w:sz="4" w:space="0"/>
              <w:left w:val="single" w:color="000000" w:sz="4" w:space="0"/>
              <w:bottom w:val="single" w:color="000000" w:sz="4" w:space="0"/>
              <w:right w:val="single" w:color="000000" w:sz="4" w:space="0"/>
            </w:tcBorders>
            <w:noWrap/>
            <w:vAlign w:val="center"/>
          </w:tcPr>
          <w:p w14:paraId="6AFEF7EC">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0B3A8589">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6EA15F2B">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auto" w:sz="4" w:space="0"/>
            </w:tcBorders>
            <w:noWrap/>
            <w:vAlign w:val="center"/>
          </w:tcPr>
          <w:p w14:paraId="08DB91CA">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auto" w:sz="4" w:space="0"/>
              <w:bottom w:val="single" w:color="000000" w:sz="4" w:space="0"/>
              <w:right w:val="single" w:color="000000" w:sz="4" w:space="0"/>
            </w:tcBorders>
            <w:noWrap/>
            <w:vAlign w:val="center"/>
          </w:tcPr>
          <w:p w14:paraId="504EDE5E">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174F71C3">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6409C3A3">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13405709">
            <w:pPr>
              <w:adjustRightInd w:val="0"/>
              <w:spacing w:before="50"/>
              <w:ind w:right="97" w:firstLine="67" w:firstLineChars="28"/>
              <w:jc w:val="center"/>
              <w:rPr>
                <w:rFonts w:cs="楷体"/>
                <w:color w:val="000000"/>
                <w:spacing w:val="1"/>
                <w:sz w:val="24"/>
                <w:szCs w:val="24"/>
                <w:lang w:eastAsia="zh-CN"/>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14:paraId="78AC18B6">
            <w:pPr>
              <w:adjustRightInd w:val="0"/>
              <w:spacing w:before="50"/>
              <w:ind w:right="97" w:firstLine="67" w:firstLineChars="28"/>
              <w:jc w:val="center"/>
              <w:rPr>
                <w:rFonts w:cs="楷体"/>
                <w:color w:val="000000"/>
                <w:spacing w:val="1"/>
                <w:sz w:val="24"/>
                <w:szCs w:val="24"/>
                <w:lang w:eastAsia="zh-CN"/>
              </w:rPr>
            </w:pP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3A509199">
            <w:pPr>
              <w:adjustRightInd w:val="0"/>
              <w:spacing w:before="50"/>
              <w:ind w:right="97" w:firstLine="67" w:firstLineChars="28"/>
              <w:jc w:val="center"/>
              <w:rPr>
                <w:rFonts w:cs="楷体"/>
                <w:color w:val="000000"/>
                <w:spacing w:val="1"/>
                <w:sz w:val="24"/>
                <w:szCs w:val="24"/>
                <w:lang w:eastAsia="zh-CN"/>
              </w:rPr>
            </w:pPr>
          </w:p>
        </w:tc>
      </w:tr>
      <w:tr w14:paraId="62566700">
        <w:tblPrEx>
          <w:tblCellMar>
            <w:top w:w="0" w:type="dxa"/>
            <w:left w:w="0" w:type="dxa"/>
            <w:bottom w:w="0" w:type="dxa"/>
            <w:right w:w="0" w:type="dxa"/>
          </w:tblCellMar>
        </w:tblPrEx>
        <w:trPr>
          <w:trHeight w:val="489" w:hRule="atLeast"/>
          <w:jc w:val="center"/>
        </w:trPr>
        <w:tc>
          <w:tcPr>
            <w:tcW w:w="817" w:type="dxa"/>
            <w:tcBorders>
              <w:top w:val="single" w:color="000000" w:sz="4" w:space="0"/>
              <w:left w:val="single" w:color="000000" w:sz="4" w:space="0"/>
              <w:bottom w:val="single" w:color="000000" w:sz="4" w:space="0"/>
              <w:right w:val="single" w:color="000000" w:sz="4" w:space="0"/>
            </w:tcBorders>
            <w:noWrap/>
            <w:vAlign w:val="center"/>
          </w:tcPr>
          <w:p w14:paraId="5CFA250B">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2009E0C4">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503D4EC4">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auto" w:sz="4" w:space="0"/>
            </w:tcBorders>
            <w:noWrap/>
            <w:vAlign w:val="center"/>
          </w:tcPr>
          <w:p w14:paraId="783A836A">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auto" w:sz="4" w:space="0"/>
              <w:bottom w:val="single" w:color="000000" w:sz="4" w:space="0"/>
              <w:right w:val="single" w:color="000000" w:sz="4" w:space="0"/>
            </w:tcBorders>
            <w:noWrap/>
            <w:vAlign w:val="center"/>
          </w:tcPr>
          <w:p w14:paraId="31ECB1C6">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147D30E4">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02B61C00">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48A3FEE9">
            <w:pPr>
              <w:adjustRightInd w:val="0"/>
              <w:spacing w:before="50"/>
              <w:ind w:right="97" w:firstLine="67" w:firstLineChars="28"/>
              <w:jc w:val="center"/>
              <w:rPr>
                <w:rFonts w:cs="楷体"/>
                <w:color w:val="000000"/>
                <w:spacing w:val="1"/>
                <w:sz w:val="24"/>
                <w:szCs w:val="24"/>
                <w:lang w:eastAsia="zh-CN"/>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14:paraId="604C2A90">
            <w:pPr>
              <w:adjustRightInd w:val="0"/>
              <w:spacing w:before="50"/>
              <w:ind w:right="97" w:firstLine="67" w:firstLineChars="28"/>
              <w:jc w:val="center"/>
              <w:rPr>
                <w:rFonts w:cs="楷体"/>
                <w:color w:val="000000"/>
                <w:spacing w:val="1"/>
                <w:sz w:val="24"/>
                <w:szCs w:val="24"/>
                <w:lang w:eastAsia="zh-CN"/>
              </w:rPr>
            </w:pP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5747FF6E">
            <w:pPr>
              <w:adjustRightInd w:val="0"/>
              <w:spacing w:before="50"/>
              <w:ind w:right="97" w:firstLine="67" w:firstLineChars="28"/>
              <w:jc w:val="center"/>
              <w:rPr>
                <w:rFonts w:cs="楷体"/>
                <w:color w:val="000000"/>
                <w:spacing w:val="1"/>
                <w:sz w:val="24"/>
                <w:szCs w:val="24"/>
                <w:lang w:eastAsia="zh-CN"/>
              </w:rPr>
            </w:pPr>
          </w:p>
        </w:tc>
      </w:tr>
      <w:tr w14:paraId="221CB71A">
        <w:tblPrEx>
          <w:tblCellMar>
            <w:top w:w="0" w:type="dxa"/>
            <w:left w:w="0" w:type="dxa"/>
            <w:bottom w:w="0" w:type="dxa"/>
            <w:right w:w="0" w:type="dxa"/>
          </w:tblCellMar>
        </w:tblPrEx>
        <w:trPr>
          <w:trHeight w:val="489" w:hRule="atLeast"/>
          <w:jc w:val="center"/>
        </w:trPr>
        <w:tc>
          <w:tcPr>
            <w:tcW w:w="817" w:type="dxa"/>
            <w:tcBorders>
              <w:top w:val="single" w:color="000000" w:sz="4" w:space="0"/>
              <w:left w:val="single" w:color="000000" w:sz="4" w:space="0"/>
              <w:bottom w:val="single" w:color="000000" w:sz="4" w:space="0"/>
              <w:right w:val="single" w:color="000000" w:sz="4" w:space="0"/>
            </w:tcBorders>
            <w:noWrap/>
            <w:vAlign w:val="center"/>
          </w:tcPr>
          <w:p w14:paraId="59F0B4ED">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6A2991BF">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34ADA9C5">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auto" w:sz="4" w:space="0"/>
            </w:tcBorders>
            <w:noWrap/>
            <w:vAlign w:val="center"/>
          </w:tcPr>
          <w:p w14:paraId="785CD294">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auto" w:sz="4" w:space="0"/>
              <w:bottom w:val="single" w:color="000000" w:sz="4" w:space="0"/>
              <w:right w:val="single" w:color="000000" w:sz="4" w:space="0"/>
            </w:tcBorders>
            <w:noWrap/>
            <w:vAlign w:val="center"/>
          </w:tcPr>
          <w:p w14:paraId="2C54135E">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4381AE7C">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5A6E4D3B">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6F18DB6E">
            <w:pPr>
              <w:adjustRightInd w:val="0"/>
              <w:spacing w:before="50"/>
              <w:ind w:right="97" w:firstLine="67" w:firstLineChars="28"/>
              <w:jc w:val="center"/>
              <w:rPr>
                <w:rFonts w:cs="楷体"/>
                <w:color w:val="000000"/>
                <w:spacing w:val="1"/>
                <w:sz w:val="24"/>
                <w:szCs w:val="24"/>
                <w:lang w:eastAsia="zh-CN"/>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14:paraId="7BF5A37B">
            <w:pPr>
              <w:adjustRightInd w:val="0"/>
              <w:spacing w:before="50"/>
              <w:ind w:right="97" w:firstLine="67" w:firstLineChars="28"/>
              <w:jc w:val="center"/>
              <w:rPr>
                <w:rFonts w:cs="楷体"/>
                <w:color w:val="000000"/>
                <w:spacing w:val="1"/>
                <w:sz w:val="24"/>
                <w:szCs w:val="24"/>
                <w:lang w:eastAsia="zh-CN"/>
              </w:rPr>
            </w:pP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34C88270">
            <w:pPr>
              <w:adjustRightInd w:val="0"/>
              <w:spacing w:before="50"/>
              <w:ind w:right="97" w:firstLine="67" w:firstLineChars="28"/>
              <w:jc w:val="center"/>
              <w:rPr>
                <w:rFonts w:cs="楷体"/>
                <w:color w:val="000000"/>
                <w:spacing w:val="1"/>
                <w:sz w:val="24"/>
                <w:szCs w:val="24"/>
                <w:lang w:eastAsia="zh-CN"/>
              </w:rPr>
            </w:pPr>
          </w:p>
        </w:tc>
      </w:tr>
      <w:tr w14:paraId="609440EE">
        <w:tblPrEx>
          <w:tblCellMar>
            <w:top w:w="0" w:type="dxa"/>
            <w:left w:w="0" w:type="dxa"/>
            <w:bottom w:w="0" w:type="dxa"/>
            <w:right w:w="0" w:type="dxa"/>
          </w:tblCellMar>
        </w:tblPrEx>
        <w:trPr>
          <w:trHeight w:val="489" w:hRule="atLeast"/>
          <w:jc w:val="center"/>
        </w:trPr>
        <w:tc>
          <w:tcPr>
            <w:tcW w:w="817" w:type="dxa"/>
            <w:tcBorders>
              <w:top w:val="single" w:color="000000" w:sz="4" w:space="0"/>
              <w:left w:val="single" w:color="000000" w:sz="4" w:space="0"/>
              <w:bottom w:val="single" w:color="000000" w:sz="4" w:space="0"/>
              <w:right w:val="single" w:color="000000" w:sz="4" w:space="0"/>
            </w:tcBorders>
            <w:noWrap/>
            <w:vAlign w:val="center"/>
          </w:tcPr>
          <w:p w14:paraId="0819B522">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7A7CC3AE">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4EE63854">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auto" w:sz="4" w:space="0"/>
            </w:tcBorders>
            <w:noWrap/>
            <w:vAlign w:val="center"/>
          </w:tcPr>
          <w:p w14:paraId="7924E768">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auto" w:sz="4" w:space="0"/>
              <w:bottom w:val="single" w:color="000000" w:sz="4" w:space="0"/>
              <w:right w:val="single" w:color="000000" w:sz="4" w:space="0"/>
            </w:tcBorders>
            <w:noWrap/>
            <w:vAlign w:val="center"/>
          </w:tcPr>
          <w:p w14:paraId="02E83E2A">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2AD1569B">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3FE3D80C">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2777C5D9">
            <w:pPr>
              <w:adjustRightInd w:val="0"/>
              <w:spacing w:before="50"/>
              <w:ind w:right="97" w:firstLine="67" w:firstLineChars="28"/>
              <w:jc w:val="center"/>
              <w:rPr>
                <w:rFonts w:cs="楷体"/>
                <w:color w:val="000000"/>
                <w:spacing w:val="1"/>
                <w:sz w:val="24"/>
                <w:szCs w:val="24"/>
                <w:lang w:eastAsia="zh-CN"/>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14:paraId="57D68180">
            <w:pPr>
              <w:adjustRightInd w:val="0"/>
              <w:spacing w:before="50"/>
              <w:ind w:right="97" w:firstLine="67" w:firstLineChars="28"/>
              <w:jc w:val="center"/>
              <w:rPr>
                <w:rFonts w:cs="楷体"/>
                <w:color w:val="000000"/>
                <w:spacing w:val="1"/>
                <w:sz w:val="24"/>
                <w:szCs w:val="24"/>
                <w:lang w:eastAsia="zh-CN"/>
              </w:rPr>
            </w:pP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43E98FE5">
            <w:pPr>
              <w:adjustRightInd w:val="0"/>
              <w:spacing w:before="50"/>
              <w:ind w:right="97" w:firstLine="67" w:firstLineChars="28"/>
              <w:jc w:val="center"/>
              <w:rPr>
                <w:rFonts w:cs="楷体"/>
                <w:color w:val="000000"/>
                <w:spacing w:val="1"/>
                <w:sz w:val="24"/>
                <w:szCs w:val="24"/>
                <w:lang w:eastAsia="zh-CN"/>
              </w:rPr>
            </w:pPr>
          </w:p>
        </w:tc>
      </w:tr>
      <w:tr w14:paraId="47321619">
        <w:tblPrEx>
          <w:tblCellMar>
            <w:top w:w="0" w:type="dxa"/>
            <w:left w:w="0" w:type="dxa"/>
            <w:bottom w:w="0" w:type="dxa"/>
            <w:right w:w="0" w:type="dxa"/>
          </w:tblCellMar>
        </w:tblPrEx>
        <w:trPr>
          <w:trHeight w:val="489" w:hRule="atLeast"/>
          <w:jc w:val="center"/>
        </w:trPr>
        <w:tc>
          <w:tcPr>
            <w:tcW w:w="817" w:type="dxa"/>
            <w:tcBorders>
              <w:top w:val="single" w:color="000000" w:sz="4" w:space="0"/>
              <w:left w:val="single" w:color="000000" w:sz="4" w:space="0"/>
              <w:bottom w:val="single" w:color="000000" w:sz="4" w:space="0"/>
              <w:right w:val="single" w:color="000000" w:sz="4" w:space="0"/>
            </w:tcBorders>
            <w:noWrap/>
            <w:vAlign w:val="center"/>
          </w:tcPr>
          <w:p w14:paraId="5C7DC468">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0D147BA3">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38C83B63">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auto" w:sz="4" w:space="0"/>
            </w:tcBorders>
            <w:noWrap/>
            <w:vAlign w:val="center"/>
          </w:tcPr>
          <w:p w14:paraId="177E4850">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auto" w:sz="4" w:space="0"/>
              <w:bottom w:val="single" w:color="000000" w:sz="4" w:space="0"/>
              <w:right w:val="single" w:color="000000" w:sz="4" w:space="0"/>
            </w:tcBorders>
            <w:noWrap/>
            <w:vAlign w:val="center"/>
          </w:tcPr>
          <w:p w14:paraId="6E57297A">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553115A6">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051F7108">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4985D268">
            <w:pPr>
              <w:adjustRightInd w:val="0"/>
              <w:spacing w:before="50"/>
              <w:ind w:right="97" w:firstLine="67" w:firstLineChars="28"/>
              <w:jc w:val="center"/>
              <w:rPr>
                <w:rFonts w:cs="楷体"/>
                <w:color w:val="000000"/>
                <w:spacing w:val="1"/>
                <w:sz w:val="24"/>
                <w:szCs w:val="24"/>
                <w:lang w:eastAsia="zh-CN"/>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14:paraId="7147EA33">
            <w:pPr>
              <w:adjustRightInd w:val="0"/>
              <w:spacing w:before="50"/>
              <w:ind w:right="97" w:firstLine="67" w:firstLineChars="28"/>
              <w:jc w:val="center"/>
              <w:rPr>
                <w:rFonts w:cs="楷体"/>
                <w:color w:val="000000"/>
                <w:spacing w:val="1"/>
                <w:sz w:val="24"/>
                <w:szCs w:val="24"/>
                <w:lang w:eastAsia="zh-CN"/>
              </w:rPr>
            </w:pP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39E39422">
            <w:pPr>
              <w:adjustRightInd w:val="0"/>
              <w:spacing w:before="50"/>
              <w:ind w:right="97" w:firstLine="67" w:firstLineChars="28"/>
              <w:jc w:val="center"/>
              <w:rPr>
                <w:rFonts w:cs="楷体"/>
                <w:color w:val="000000"/>
                <w:spacing w:val="1"/>
                <w:sz w:val="24"/>
                <w:szCs w:val="24"/>
                <w:lang w:eastAsia="zh-CN"/>
              </w:rPr>
            </w:pPr>
          </w:p>
        </w:tc>
      </w:tr>
      <w:tr w14:paraId="39099454">
        <w:tblPrEx>
          <w:tblCellMar>
            <w:top w:w="0" w:type="dxa"/>
            <w:left w:w="0" w:type="dxa"/>
            <w:bottom w:w="0" w:type="dxa"/>
            <w:right w:w="0" w:type="dxa"/>
          </w:tblCellMar>
        </w:tblPrEx>
        <w:trPr>
          <w:trHeight w:val="489" w:hRule="atLeast"/>
          <w:jc w:val="center"/>
        </w:trPr>
        <w:tc>
          <w:tcPr>
            <w:tcW w:w="817" w:type="dxa"/>
            <w:tcBorders>
              <w:top w:val="single" w:color="000000" w:sz="4" w:space="0"/>
              <w:left w:val="single" w:color="000000" w:sz="4" w:space="0"/>
              <w:bottom w:val="single" w:color="000000" w:sz="4" w:space="0"/>
              <w:right w:val="single" w:color="000000" w:sz="4" w:space="0"/>
            </w:tcBorders>
            <w:noWrap/>
            <w:vAlign w:val="center"/>
          </w:tcPr>
          <w:p w14:paraId="711665C8">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762D29A1">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7CAEB42F">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auto" w:sz="4" w:space="0"/>
            </w:tcBorders>
            <w:noWrap/>
            <w:vAlign w:val="center"/>
          </w:tcPr>
          <w:p w14:paraId="41CC032D">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auto" w:sz="4" w:space="0"/>
              <w:bottom w:val="single" w:color="000000" w:sz="4" w:space="0"/>
              <w:right w:val="single" w:color="000000" w:sz="4" w:space="0"/>
            </w:tcBorders>
            <w:noWrap/>
            <w:vAlign w:val="center"/>
          </w:tcPr>
          <w:p w14:paraId="06EF0960">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2B689BCD">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2A920BA0">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6E2E764D">
            <w:pPr>
              <w:adjustRightInd w:val="0"/>
              <w:spacing w:before="50"/>
              <w:ind w:right="97" w:firstLine="67" w:firstLineChars="28"/>
              <w:jc w:val="center"/>
              <w:rPr>
                <w:rFonts w:cs="楷体"/>
                <w:color w:val="000000"/>
                <w:spacing w:val="1"/>
                <w:sz w:val="24"/>
                <w:szCs w:val="24"/>
                <w:lang w:eastAsia="zh-CN"/>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14:paraId="51457027">
            <w:pPr>
              <w:adjustRightInd w:val="0"/>
              <w:spacing w:before="50"/>
              <w:ind w:right="97" w:firstLine="67" w:firstLineChars="28"/>
              <w:jc w:val="center"/>
              <w:rPr>
                <w:rFonts w:cs="楷体"/>
                <w:color w:val="000000"/>
                <w:spacing w:val="1"/>
                <w:sz w:val="24"/>
                <w:szCs w:val="24"/>
                <w:lang w:eastAsia="zh-CN"/>
              </w:rPr>
            </w:pP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5C15070F">
            <w:pPr>
              <w:adjustRightInd w:val="0"/>
              <w:spacing w:before="50"/>
              <w:ind w:right="97" w:firstLine="67" w:firstLineChars="28"/>
              <w:jc w:val="center"/>
              <w:rPr>
                <w:rFonts w:cs="楷体"/>
                <w:color w:val="000000"/>
                <w:spacing w:val="1"/>
                <w:sz w:val="24"/>
                <w:szCs w:val="24"/>
                <w:lang w:eastAsia="zh-CN"/>
              </w:rPr>
            </w:pPr>
          </w:p>
        </w:tc>
      </w:tr>
      <w:tr w14:paraId="497D819F">
        <w:tblPrEx>
          <w:tblCellMar>
            <w:top w:w="0" w:type="dxa"/>
            <w:left w:w="0" w:type="dxa"/>
            <w:bottom w:w="0" w:type="dxa"/>
            <w:right w:w="0" w:type="dxa"/>
          </w:tblCellMar>
        </w:tblPrEx>
        <w:trPr>
          <w:trHeight w:val="489" w:hRule="atLeast"/>
          <w:jc w:val="center"/>
        </w:trPr>
        <w:tc>
          <w:tcPr>
            <w:tcW w:w="817" w:type="dxa"/>
            <w:tcBorders>
              <w:top w:val="single" w:color="000000" w:sz="4" w:space="0"/>
              <w:left w:val="single" w:color="000000" w:sz="4" w:space="0"/>
              <w:bottom w:val="single" w:color="000000" w:sz="4" w:space="0"/>
              <w:right w:val="single" w:color="000000" w:sz="4" w:space="0"/>
            </w:tcBorders>
            <w:noWrap/>
            <w:vAlign w:val="center"/>
          </w:tcPr>
          <w:p w14:paraId="534060AC">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2DC01570">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27D3AC91">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auto" w:sz="4" w:space="0"/>
            </w:tcBorders>
            <w:noWrap/>
            <w:vAlign w:val="center"/>
          </w:tcPr>
          <w:p w14:paraId="3397B7C4">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auto" w:sz="4" w:space="0"/>
              <w:bottom w:val="single" w:color="000000" w:sz="4" w:space="0"/>
              <w:right w:val="single" w:color="000000" w:sz="4" w:space="0"/>
            </w:tcBorders>
            <w:noWrap/>
            <w:vAlign w:val="center"/>
          </w:tcPr>
          <w:p w14:paraId="20B9E526">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45A6111B">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49C8E80A">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3F56C4DA">
            <w:pPr>
              <w:adjustRightInd w:val="0"/>
              <w:spacing w:before="50"/>
              <w:ind w:right="97" w:firstLine="67" w:firstLineChars="28"/>
              <w:jc w:val="center"/>
              <w:rPr>
                <w:rFonts w:cs="楷体"/>
                <w:color w:val="000000"/>
                <w:spacing w:val="1"/>
                <w:sz w:val="24"/>
                <w:szCs w:val="24"/>
                <w:lang w:eastAsia="zh-CN"/>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14:paraId="67BF0A6A">
            <w:pPr>
              <w:adjustRightInd w:val="0"/>
              <w:spacing w:before="50"/>
              <w:ind w:right="97" w:firstLine="67" w:firstLineChars="28"/>
              <w:jc w:val="center"/>
              <w:rPr>
                <w:rFonts w:cs="楷体"/>
                <w:color w:val="000000"/>
                <w:spacing w:val="1"/>
                <w:sz w:val="24"/>
                <w:szCs w:val="24"/>
                <w:lang w:eastAsia="zh-CN"/>
              </w:rPr>
            </w:pP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1AA0AB89">
            <w:pPr>
              <w:adjustRightInd w:val="0"/>
              <w:spacing w:before="50"/>
              <w:ind w:right="97" w:firstLine="67" w:firstLineChars="28"/>
              <w:jc w:val="center"/>
              <w:rPr>
                <w:rFonts w:cs="楷体"/>
                <w:color w:val="000000"/>
                <w:spacing w:val="1"/>
                <w:sz w:val="24"/>
                <w:szCs w:val="24"/>
                <w:lang w:eastAsia="zh-CN"/>
              </w:rPr>
            </w:pPr>
          </w:p>
        </w:tc>
      </w:tr>
      <w:tr w14:paraId="493E23DF">
        <w:tblPrEx>
          <w:tblCellMar>
            <w:top w:w="0" w:type="dxa"/>
            <w:left w:w="0" w:type="dxa"/>
            <w:bottom w:w="0" w:type="dxa"/>
            <w:right w:w="0" w:type="dxa"/>
          </w:tblCellMar>
        </w:tblPrEx>
        <w:trPr>
          <w:trHeight w:val="489" w:hRule="atLeast"/>
          <w:jc w:val="center"/>
        </w:trPr>
        <w:tc>
          <w:tcPr>
            <w:tcW w:w="817" w:type="dxa"/>
            <w:tcBorders>
              <w:top w:val="single" w:color="000000" w:sz="4" w:space="0"/>
              <w:left w:val="single" w:color="000000" w:sz="4" w:space="0"/>
              <w:bottom w:val="single" w:color="000000" w:sz="4" w:space="0"/>
              <w:right w:val="single" w:color="000000" w:sz="4" w:space="0"/>
            </w:tcBorders>
            <w:noWrap/>
            <w:vAlign w:val="center"/>
          </w:tcPr>
          <w:p w14:paraId="0E9D170A">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61316600">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5823CDF6">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auto" w:sz="4" w:space="0"/>
            </w:tcBorders>
            <w:noWrap/>
            <w:vAlign w:val="center"/>
          </w:tcPr>
          <w:p w14:paraId="3CC8E75F">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auto" w:sz="4" w:space="0"/>
              <w:bottom w:val="single" w:color="000000" w:sz="4" w:space="0"/>
              <w:right w:val="single" w:color="000000" w:sz="4" w:space="0"/>
            </w:tcBorders>
            <w:noWrap/>
            <w:vAlign w:val="center"/>
          </w:tcPr>
          <w:p w14:paraId="6CE4FDFE">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125ECC01">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48769D05">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424E778D">
            <w:pPr>
              <w:adjustRightInd w:val="0"/>
              <w:spacing w:before="50"/>
              <w:ind w:right="97" w:firstLine="67" w:firstLineChars="28"/>
              <w:jc w:val="center"/>
              <w:rPr>
                <w:rFonts w:cs="楷体"/>
                <w:color w:val="000000"/>
                <w:spacing w:val="1"/>
                <w:sz w:val="24"/>
                <w:szCs w:val="24"/>
                <w:lang w:eastAsia="zh-CN"/>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14:paraId="14E2A147">
            <w:pPr>
              <w:adjustRightInd w:val="0"/>
              <w:spacing w:before="50"/>
              <w:ind w:right="97" w:firstLine="67" w:firstLineChars="28"/>
              <w:jc w:val="center"/>
              <w:rPr>
                <w:rFonts w:cs="楷体"/>
                <w:color w:val="000000"/>
                <w:spacing w:val="1"/>
                <w:sz w:val="24"/>
                <w:szCs w:val="24"/>
                <w:lang w:eastAsia="zh-CN"/>
              </w:rPr>
            </w:pP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6B50E8E5">
            <w:pPr>
              <w:adjustRightInd w:val="0"/>
              <w:spacing w:before="50"/>
              <w:ind w:right="97" w:firstLine="67" w:firstLineChars="28"/>
              <w:jc w:val="center"/>
              <w:rPr>
                <w:rFonts w:cs="楷体"/>
                <w:color w:val="000000"/>
                <w:spacing w:val="1"/>
                <w:sz w:val="24"/>
                <w:szCs w:val="24"/>
                <w:lang w:eastAsia="zh-CN"/>
              </w:rPr>
            </w:pPr>
          </w:p>
        </w:tc>
      </w:tr>
      <w:tr w14:paraId="00169379">
        <w:tblPrEx>
          <w:tblCellMar>
            <w:top w:w="0" w:type="dxa"/>
            <w:left w:w="0" w:type="dxa"/>
            <w:bottom w:w="0" w:type="dxa"/>
            <w:right w:w="0" w:type="dxa"/>
          </w:tblCellMar>
        </w:tblPrEx>
        <w:trPr>
          <w:trHeight w:val="489" w:hRule="atLeast"/>
          <w:jc w:val="center"/>
        </w:trPr>
        <w:tc>
          <w:tcPr>
            <w:tcW w:w="817" w:type="dxa"/>
            <w:tcBorders>
              <w:top w:val="single" w:color="000000" w:sz="4" w:space="0"/>
              <w:left w:val="single" w:color="000000" w:sz="4" w:space="0"/>
              <w:bottom w:val="single" w:color="000000" w:sz="4" w:space="0"/>
              <w:right w:val="single" w:color="000000" w:sz="4" w:space="0"/>
            </w:tcBorders>
            <w:noWrap/>
            <w:vAlign w:val="center"/>
          </w:tcPr>
          <w:p w14:paraId="0051E0D4">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008D190B">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35A61788">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auto" w:sz="4" w:space="0"/>
            </w:tcBorders>
            <w:noWrap/>
            <w:vAlign w:val="center"/>
          </w:tcPr>
          <w:p w14:paraId="17B409DF">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auto" w:sz="4" w:space="0"/>
              <w:bottom w:val="single" w:color="000000" w:sz="4" w:space="0"/>
              <w:right w:val="single" w:color="000000" w:sz="4" w:space="0"/>
            </w:tcBorders>
            <w:noWrap/>
            <w:vAlign w:val="center"/>
          </w:tcPr>
          <w:p w14:paraId="3E434FE3">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4E3C1D07">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186E538E">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0517DC25">
            <w:pPr>
              <w:adjustRightInd w:val="0"/>
              <w:spacing w:before="50"/>
              <w:ind w:right="97" w:firstLine="67" w:firstLineChars="28"/>
              <w:jc w:val="center"/>
              <w:rPr>
                <w:rFonts w:cs="楷体"/>
                <w:color w:val="000000"/>
                <w:spacing w:val="1"/>
                <w:sz w:val="24"/>
                <w:szCs w:val="24"/>
                <w:lang w:eastAsia="zh-CN"/>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14:paraId="5E2D911E">
            <w:pPr>
              <w:adjustRightInd w:val="0"/>
              <w:spacing w:before="50"/>
              <w:ind w:right="97" w:firstLine="67" w:firstLineChars="28"/>
              <w:jc w:val="center"/>
              <w:rPr>
                <w:rFonts w:cs="楷体"/>
                <w:color w:val="000000"/>
                <w:spacing w:val="1"/>
                <w:sz w:val="24"/>
                <w:szCs w:val="24"/>
                <w:lang w:eastAsia="zh-CN"/>
              </w:rPr>
            </w:pP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6444FCFA">
            <w:pPr>
              <w:adjustRightInd w:val="0"/>
              <w:spacing w:before="50"/>
              <w:ind w:right="97" w:firstLine="67" w:firstLineChars="28"/>
              <w:jc w:val="center"/>
              <w:rPr>
                <w:rFonts w:cs="楷体"/>
                <w:color w:val="000000"/>
                <w:spacing w:val="1"/>
                <w:sz w:val="24"/>
                <w:szCs w:val="24"/>
                <w:lang w:eastAsia="zh-CN"/>
              </w:rPr>
            </w:pPr>
          </w:p>
        </w:tc>
      </w:tr>
      <w:tr w14:paraId="5B78F5FC">
        <w:tblPrEx>
          <w:tblCellMar>
            <w:top w:w="0" w:type="dxa"/>
            <w:left w:w="0" w:type="dxa"/>
            <w:bottom w:w="0" w:type="dxa"/>
            <w:right w:w="0" w:type="dxa"/>
          </w:tblCellMar>
        </w:tblPrEx>
        <w:trPr>
          <w:trHeight w:val="489" w:hRule="atLeast"/>
          <w:jc w:val="center"/>
        </w:trPr>
        <w:tc>
          <w:tcPr>
            <w:tcW w:w="817" w:type="dxa"/>
            <w:tcBorders>
              <w:top w:val="single" w:color="000000" w:sz="4" w:space="0"/>
              <w:left w:val="single" w:color="000000" w:sz="4" w:space="0"/>
              <w:bottom w:val="single" w:color="000000" w:sz="4" w:space="0"/>
              <w:right w:val="single" w:color="000000" w:sz="4" w:space="0"/>
            </w:tcBorders>
            <w:noWrap/>
            <w:vAlign w:val="center"/>
          </w:tcPr>
          <w:p w14:paraId="468AEE3D">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317BA1A3">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370818B2">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auto" w:sz="4" w:space="0"/>
            </w:tcBorders>
            <w:noWrap/>
            <w:vAlign w:val="center"/>
          </w:tcPr>
          <w:p w14:paraId="7487F07F">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auto" w:sz="4" w:space="0"/>
              <w:bottom w:val="single" w:color="000000" w:sz="4" w:space="0"/>
              <w:right w:val="single" w:color="000000" w:sz="4" w:space="0"/>
            </w:tcBorders>
            <w:noWrap/>
            <w:vAlign w:val="center"/>
          </w:tcPr>
          <w:p w14:paraId="77CDCEFC">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2937B634">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25761D06">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1801B929">
            <w:pPr>
              <w:adjustRightInd w:val="0"/>
              <w:spacing w:before="50"/>
              <w:ind w:right="97" w:firstLine="67" w:firstLineChars="28"/>
              <w:jc w:val="center"/>
              <w:rPr>
                <w:rFonts w:cs="楷体"/>
                <w:color w:val="000000"/>
                <w:spacing w:val="1"/>
                <w:sz w:val="24"/>
                <w:szCs w:val="24"/>
                <w:lang w:eastAsia="zh-CN"/>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14:paraId="1E64EB8E">
            <w:pPr>
              <w:adjustRightInd w:val="0"/>
              <w:spacing w:before="50"/>
              <w:ind w:right="97" w:firstLine="67" w:firstLineChars="28"/>
              <w:jc w:val="center"/>
              <w:rPr>
                <w:rFonts w:cs="楷体"/>
                <w:color w:val="000000"/>
                <w:spacing w:val="1"/>
                <w:sz w:val="24"/>
                <w:szCs w:val="24"/>
                <w:lang w:eastAsia="zh-CN"/>
              </w:rPr>
            </w:pP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36B1E377">
            <w:pPr>
              <w:adjustRightInd w:val="0"/>
              <w:spacing w:before="50"/>
              <w:ind w:right="97" w:firstLine="67" w:firstLineChars="28"/>
              <w:jc w:val="center"/>
              <w:rPr>
                <w:rFonts w:cs="楷体"/>
                <w:color w:val="000000"/>
                <w:spacing w:val="1"/>
                <w:sz w:val="24"/>
                <w:szCs w:val="24"/>
                <w:lang w:eastAsia="zh-CN"/>
              </w:rPr>
            </w:pPr>
          </w:p>
        </w:tc>
      </w:tr>
      <w:tr w14:paraId="311AFBF6">
        <w:tblPrEx>
          <w:tblCellMar>
            <w:top w:w="0" w:type="dxa"/>
            <w:left w:w="0" w:type="dxa"/>
            <w:bottom w:w="0" w:type="dxa"/>
            <w:right w:w="0" w:type="dxa"/>
          </w:tblCellMar>
        </w:tblPrEx>
        <w:trPr>
          <w:trHeight w:val="489" w:hRule="atLeast"/>
          <w:jc w:val="center"/>
        </w:trPr>
        <w:tc>
          <w:tcPr>
            <w:tcW w:w="817" w:type="dxa"/>
            <w:tcBorders>
              <w:top w:val="single" w:color="000000" w:sz="4" w:space="0"/>
              <w:left w:val="single" w:color="000000" w:sz="4" w:space="0"/>
              <w:bottom w:val="single" w:color="000000" w:sz="4" w:space="0"/>
              <w:right w:val="single" w:color="000000" w:sz="4" w:space="0"/>
            </w:tcBorders>
            <w:noWrap/>
            <w:vAlign w:val="center"/>
          </w:tcPr>
          <w:p w14:paraId="209D7814">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7A8F9A89">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47216848">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auto" w:sz="4" w:space="0"/>
            </w:tcBorders>
            <w:noWrap/>
            <w:vAlign w:val="center"/>
          </w:tcPr>
          <w:p w14:paraId="64D25931">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auto" w:sz="4" w:space="0"/>
              <w:bottom w:val="single" w:color="000000" w:sz="4" w:space="0"/>
              <w:right w:val="single" w:color="000000" w:sz="4" w:space="0"/>
            </w:tcBorders>
            <w:noWrap/>
            <w:vAlign w:val="center"/>
          </w:tcPr>
          <w:p w14:paraId="2FC25FE6">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4F30E040">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0993D40C">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486127EA">
            <w:pPr>
              <w:adjustRightInd w:val="0"/>
              <w:spacing w:before="50"/>
              <w:ind w:right="97" w:firstLine="67" w:firstLineChars="28"/>
              <w:jc w:val="center"/>
              <w:rPr>
                <w:rFonts w:cs="楷体"/>
                <w:color w:val="000000"/>
                <w:spacing w:val="1"/>
                <w:sz w:val="24"/>
                <w:szCs w:val="24"/>
                <w:lang w:eastAsia="zh-CN"/>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14:paraId="67F2591E">
            <w:pPr>
              <w:adjustRightInd w:val="0"/>
              <w:spacing w:before="50"/>
              <w:ind w:right="97" w:firstLine="67" w:firstLineChars="28"/>
              <w:jc w:val="center"/>
              <w:rPr>
                <w:rFonts w:cs="楷体"/>
                <w:color w:val="000000"/>
                <w:spacing w:val="1"/>
                <w:sz w:val="24"/>
                <w:szCs w:val="24"/>
                <w:lang w:eastAsia="zh-CN"/>
              </w:rPr>
            </w:pP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10311518">
            <w:pPr>
              <w:adjustRightInd w:val="0"/>
              <w:spacing w:before="50"/>
              <w:ind w:right="97" w:firstLine="67" w:firstLineChars="28"/>
              <w:jc w:val="center"/>
              <w:rPr>
                <w:rFonts w:cs="楷体"/>
                <w:color w:val="000000"/>
                <w:spacing w:val="1"/>
                <w:sz w:val="24"/>
                <w:szCs w:val="24"/>
                <w:lang w:eastAsia="zh-CN"/>
              </w:rPr>
            </w:pPr>
          </w:p>
        </w:tc>
      </w:tr>
      <w:tr w14:paraId="6B923D67">
        <w:tblPrEx>
          <w:tblCellMar>
            <w:top w:w="0" w:type="dxa"/>
            <w:left w:w="0" w:type="dxa"/>
            <w:bottom w:w="0" w:type="dxa"/>
            <w:right w:w="0" w:type="dxa"/>
          </w:tblCellMar>
        </w:tblPrEx>
        <w:trPr>
          <w:trHeight w:val="489" w:hRule="atLeast"/>
          <w:jc w:val="center"/>
        </w:trPr>
        <w:tc>
          <w:tcPr>
            <w:tcW w:w="817" w:type="dxa"/>
            <w:tcBorders>
              <w:top w:val="single" w:color="000000" w:sz="4" w:space="0"/>
              <w:left w:val="single" w:color="000000" w:sz="4" w:space="0"/>
              <w:bottom w:val="single" w:color="000000" w:sz="4" w:space="0"/>
              <w:right w:val="single" w:color="000000" w:sz="4" w:space="0"/>
            </w:tcBorders>
            <w:noWrap/>
            <w:vAlign w:val="center"/>
          </w:tcPr>
          <w:p w14:paraId="2313AA7D">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0051D9A2">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000000" w:sz="4" w:space="0"/>
            </w:tcBorders>
            <w:noWrap/>
            <w:vAlign w:val="center"/>
          </w:tcPr>
          <w:p w14:paraId="392AE6A8">
            <w:pPr>
              <w:adjustRightInd w:val="0"/>
              <w:spacing w:before="50"/>
              <w:ind w:right="97" w:firstLine="67" w:firstLineChars="28"/>
              <w:jc w:val="center"/>
              <w:rPr>
                <w:rFonts w:cs="楷体"/>
                <w:color w:val="000000"/>
                <w:spacing w:val="1"/>
                <w:sz w:val="24"/>
                <w:szCs w:val="24"/>
                <w:lang w:eastAsia="zh-CN"/>
              </w:rPr>
            </w:pPr>
          </w:p>
        </w:tc>
        <w:tc>
          <w:tcPr>
            <w:tcW w:w="817" w:type="dxa"/>
            <w:tcBorders>
              <w:top w:val="single" w:color="000000" w:sz="4" w:space="0"/>
              <w:left w:val="single" w:color="000000" w:sz="4" w:space="0"/>
              <w:bottom w:val="single" w:color="000000" w:sz="4" w:space="0"/>
              <w:right w:val="single" w:color="auto" w:sz="4" w:space="0"/>
            </w:tcBorders>
            <w:noWrap/>
            <w:vAlign w:val="center"/>
          </w:tcPr>
          <w:p w14:paraId="5306A445">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auto" w:sz="4" w:space="0"/>
              <w:bottom w:val="single" w:color="000000" w:sz="4" w:space="0"/>
              <w:right w:val="single" w:color="000000" w:sz="4" w:space="0"/>
            </w:tcBorders>
            <w:noWrap/>
            <w:vAlign w:val="center"/>
          </w:tcPr>
          <w:p w14:paraId="47A114C0">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6E78DADF">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43EA008D">
            <w:pPr>
              <w:adjustRightInd w:val="0"/>
              <w:spacing w:before="50"/>
              <w:ind w:right="97" w:firstLine="67" w:firstLineChars="28"/>
              <w:jc w:val="center"/>
              <w:rPr>
                <w:rFonts w:cs="楷体"/>
                <w:color w:val="000000"/>
                <w:spacing w:val="1"/>
                <w:sz w:val="24"/>
                <w:szCs w:val="24"/>
                <w:lang w:eastAsia="zh-CN"/>
              </w:rPr>
            </w:pPr>
          </w:p>
        </w:tc>
        <w:tc>
          <w:tcPr>
            <w:tcW w:w="881" w:type="dxa"/>
            <w:tcBorders>
              <w:top w:val="single" w:color="000000" w:sz="4" w:space="0"/>
              <w:left w:val="single" w:color="000000" w:sz="4" w:space="0"/>
              <w:bottom w:val="single" w:color="000000" w:sz="4" w:space="0"/>
              <w:right w:val="single" w:color="000000" w:sz="4" w:space="0"/>
            </w:tcBorders>
            <w:noWrap/>
            <w:vAlign w:val="center"/>
          </w:tcPr>
          <w:p w14:paraId="7AF9B0F3">
            <w:pPr>
              <w:adjustRightInd w:val="0"/>
              <w:spacing w:before="50"/>
              <w:ind w:right="97" w:firstLine="67" w:firstLineChars="28"/>
              <w:jc w:val="center"/>
              <w:rPr>
                <w:rFonts w:cs="楷体"/>
                <w:color w:val="000000"/>
                <w:spacing w:val="1"/>
                <w:sz w:val="24"/>
                <w:szCs w:val="24"/>
                <w:lang w:eastAsia="zh-CN"/>
              </w:rPr>
            </w:pPr>
          </w:p>
        </w:tc>
        <w:tc>
          <w:tcPr>
            <w:tcW w:w="882" w:type="dxa"/>
            <w:tcBorders>
              <w:top w:val="single" w:color="000000" w:sz="4" w:space="0"/>
              <w:left w:val="single" w:color="000000" w:sz="4" w:space="0"/>
              <w:bottom w:val="single" w:color="000000" w:sz="4" w:space="0"/>
              <w:right w:val="single" w:color="000000" w:sz="4" w:space="0"/>
            </w:tcBorders>
            <w:noWrap/>
            <w:vAlign w:val="center"/>
          </w:tcPr>
          <w:p w14:paraId="45FC661E">
            <w:pPr>
              <w:adjustRightInd w:val="0"/>
              <w:spacing w:before="50"/>
              <w:ind w:right="97" w:firstLine="67" w:firstLineChars="28"/>
              <w:jc w:val="center"/>
              <w:rPr>
                <w:rFonts w:cs="楷体"/>
                <w:color w:val="000000"/>
                <w:spacing w:val="1"/>
                <w:sz w:val="24"/>
                <w:szCs w:val="24"/>
                <w:lang w:eastAsia="zh-CN"/>
              </w:rPr>
            </w:pPr>
          </w:p>
        </w:tc>
        <w:tc>
          <w:tcPr>
            <w:tcW w:w="729" w:type="dxa"/>
            <w:tcBorders>
              <w:top w:val="single" w:color="000000" w:sz="4" w:space="0"/>
              <w:left w:val="single" w:color="000000" w:sz="4" w:space="0"/>
              <w:bottom w:val="single" w:color="000000" w:sz="4" w:space="0"/>
              <w:right w:val="single" w:color="000000" w:sz="4" w:space="0"/>
            </w:tcBorders>
            <w:noWrap/>
            <w:vAlign w:val="center"/>
          </w:tcPr>
          <w:p w14:paraId="0229986E">
            <w:pPr>
              <w:adjustRightInd w:val="0"/>
              <w:spacing w:before="50"/>
              <w:ind w:right="97" w:firstLine="67" w:firstLineChars="28"/>
              <w:jc w:val="center"/>
              <w:rPr>
                <w:rFonts w:cs="楷体"/>
                <w:color w:val="000000"/>
                <w:spacing w:val="1"/>
                <w:sz w:val="24"/>
                <w:szCs w:val="24"/>
                <w:lang w:eastAsia="zh-CN"/>
              </w:rPr>
            </w:pPr>
          </w:p>
        </w:tc>
      </w:tr>
    </w:tbl>
    <w:p w14:paraId="49C4739B">
      <w:pPr>
        <w:autoSpaceDE/>
        <w:autoSpaceDN/>
        <w:spacing w:line="360" w:lineRule="auto"/>
        <w:jc w:val="both"/>
        <w:rPr>
          <w:rFonts w:cs="楷体"/>
          <w:b/>
          <w:color w:val="000000"/>
          <w:kern w:val="2"/>
          <w:sz w:val="24"/>
          <w:szCs w:val="24"/>
          <w:lang w:eastAsia="zh-CN"/>
        </w:rPr>
      </w:pPr>
    </w:p>
    <w:p w14:paraId="0470181C">
      <w:pPr>
        <w:autoSpaceDE/>
        <w:autoSpaceDN/>
        <w:jc w:val="right"/>
        <w:rPr>
          <w:rFonts w:cs="Times New Roman"/>
          <w:color w:val="000000"/>
          <w:kern w:val="2"/>
          <w:sz w:val="28"/>
          <w:szCs w:val="21"/>
          <w:lang w:eastAsia="zh-CN"/>
        </w:rPr>
      </w:pPr>
    </w:p>
    <w:p w14:paraId="768E6CFD">
      <w:pPr>
        <w:autoSpaceDE/>
        <w:autoSpaceDN/>
        <w:spacing w:line="360" w:lineRule="auto"/>
        <w:ind w:firstLine="3360" w:firstLineChars="1400"/>
        <w:jc w:val="both"/>
        <w:rPr>
          <w:color w:val="auto"/>
          <w:kern w:val="2"/>
          <w:sz w:val="24"/>
          <w:szCs w:val="24"/>
          <w:lang w:eastAsia="zh-CN"/>
        </w:rPr>
      </w:pPr>
      <w:r>
        <w:rPr>
          <w:rFonts w:hint="eastAsia"/>
          <w:color w:val="auto"/>
          <w:kern w:val="2"/>
          <w:sz w:val="24"/>
          <w:szCs w:val="24"/>
          <w:lang w:eastAsia="zh-CN"/>
        </w:rPr>
        <w:t>供应商：（电子签章）</w:t>
      </w:r>
    </w:p>
    <w:p w14:paraId="7C2B9273">
      <w:pPr>
        <w:autoSpaceDE/>
        <w:autoSpaceDN/>
        <w:spacing w:line="360" w:lineRule="auto"/>
        <w:ind w:firstLine="3360" w:firstLineChars="1400"/>
        <w:jc w:val="both"/>
        <w:rPr>
          <w:color w:val="auto"/>
          <w:kern w:val="2"/>
          <w:sz w:val="24"/>
          <w:szCs w:val="24"/>
          <w:lang w:eastAsia="zh-CN"/>
        </w:rPr>
      </w:pPr>
      <w:r>
        <w:rPr>
          <w:rFonts w:hint="eastAsia"/>
          <w:color w:val="auto"/>
          <w:kern w:val="2"/>
          <w:sz w:val="24"/>
          <w:szCs w:val="24"/>
          <w:lang w:eastAsia="zh-CN"/>
        </w:rPr>
        <w:t>法定代表人：（电子签章）</w:t>
      </w:r>
    </w:p>
    <w:p w14:paraId="70A77A36">
      <w:pPr>
        <w:autoSpaceDE/>
        <w:autoSpaceDN/>
        <w:spacing w:line="360" w:lineRule="auto"/>
        <w:ind w:firstLine="3360" w:firstLineChars="1400"/>
        <w:jc w:val="both"/>
        <w:rPr>
          <w:color w:val="auto"/>
          <w:kern w:val="2"/>
          <w:sz w:val="24"/>
          <w:szCs w:val="24"/>
          <w:lang w:eastAsia="zh-CN"/>
        </w:rPr>
      </w:pPr>
      <w:r>
        <w:rPr>
          <w:rFonts w:hint="eastAsia"/>
          <w:color w:val="auto"/>
          <w:kern w:val="2"/>
          <w:sz w:val="24"/>
          <w:szCs w:val="24"/>
          <w:lang w:eastAsia="zh-CN"/>
        </w:rPr>
        <w:t>年   月   日</w:t>
      </w:r>
    </w:p>
    <w:p w14:paraId="630B144A">
      <w:pPr>
        <w:autoSpaceDE/>
        <w:autoSpaceDN/>
        <w:spacing w:line="360" w:lineRule="auto"/>
        <w:jc w:val="both"/>
        <w:rPr>
          <w:rFonts w:cs="楷体"/>
          <w:b/>
          <w:color w:val="000000"/>
          <w:kern w:val="2"/>
          <w:sz w:val="24"/>
          <w:lang w:eastAsia="zh-CN"/>
        </w:rPr>
      </w:pPr>
    </w:p>
    <w:p w14:paraId="3A530948">
      <w:pPr>
        <w:autoSpaceDE/>
        <w:autoSpaceDN/>
        <w:spacing w:line="360" w:lineRule="auto"/>
        <w:jc w:val="center"/>
        <w:rPr>
          <w:rFonts w:cs="楷体"/>
          <w:b/>
          <w:color w:val="000000"/>
          <w:kern w:val="2"/>
          <w:sz w:val="24"/>
          <w:szCs w:val="24"/>
          <w:lang w:eastAsia="zh-CN"/>
        </w:rPr>
      </w:pPr>
      <w:bookmarkStart w:id="533" w:name="_Toc2446"/>
      <w:bookmarkStart w:id="534" w:name="_Toc18241"/>
      <w:r>
        <w:rPr>
          <w:rFonts w:cs="楷体"/>
          <w:b/>
          <w:color w:val="000000"/>
          <w:sz w:val="24"/>
          <w:szCs w:val="20"/>
          <w:lang w:eastAsia="zh-CN"/>
        </w:rPr>
        <w:br w:type="page"/>
      </w:r>
      <w:r>
        <w:rPr>
          <w:rFonts w:hint="eastAsia" w:cs="楷体"/>
          <w:b/>
          <w:color w:val="000000"/>
          <w:kern w:val="2"/>
          <w:sz w:val="24"/>
          <w:szCs w:val="24"/>
          <w:lang w:eastAsia="zh-CN"/>
        </w:rPr>
        <w:t>（二）</w:t>
      </w:r>
      <w:bookmarkEnd w:id="533"/>
      <w:bookmarkEnd w:id="534"/>
      <w:bookmarkStart w:id="535" w:name="_Toc22378"/>
      <w:r>
        <w:rPr>
          <w:rFonts w:hint="eastAsia" w:cs="楷体"/>
          <w:b/>
          <w:color w:val="000000"/>
          <w:kern w:val="2"/>
          <w:sz w:val="24"/>
          <w:szCs w:val="24"/>
          <w:lang w:eastAsia="zh-CN"/>
        </w:rPr>
        <w:t>本项目中似使用的主要仪器设备一览表</w:t>
      </w:r>
      <w:bookmarkEnd w:id="535"/>
    </w:p>
    <w:tbl>
      <w:tblPr>
        <w:tblStyle w:val="16"/>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0"/>
        <w:gridCol w:w="2641"/>
        <w:gridCol w:w="1701"/>
        <w:gridCol w:w="1559"/>
        <w:gridCol w:w="1701"/>
      </w:tblGrid>
      <w:tr w14:paraId="31260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jc w:val="center"/>
        </w:trPr>
        <w:tc>
          <w:tcPr>
            <w:tcW w:w="1720" w:type="dxa"/>
            <w:noWrap/>
            <w:vAlign w:val="center"/>
          </w:tcPr>
          <w:p w14:paraId="2D7BFE51">
            <w:pPr>
              <w:adjustRightInd w:val="0"/>
              <w:spacing w:before="50"/>
              <w:ind w:right="97" w:firstLine="67" w:firstLineChars="28"/>
              <w:jc w:val="center"/>
              <w:rPr>
                <w:rFonts w:cs="楷体"/>
                <w:color w:val="000000"/>
                <w:spacing w:val="1"/>
                <w:sz w:val="24"/>
                <w:szCs w:val="24"/>
                <w:lang w:eastAsia="zh-CN"/>
              </w:rPr>
            </w:pPr>
            <w:r>
              <w:rPr>
                <w:rFonts w:hint="eastAsia" w:cs="楷体"/>
                <w:color w:val="000000"/>
                <w:spacing w:val="1"/>
                <w:sz w:val="24"/>
                <w:szCs w:val="24"/>
                <w:lang w:eastAsia="zh-CN"/>
              </w:rPr>
              <w:t>设备名称</w:t>
            </w:r>
          </w:p>
        </w:tc>
        <w:tc>
          <w:tcPr>
            <w:tcW w:w="2641" w:type="dxa"/>
            <w:noWrap/>
            <w:vAlign w:val="center"/>
          </w:tcPr>
          <w:p w14:paraId="69F0D205">
            <w:pPr>
              <w:adjustRightInd w:val="0"/>
              <w:spacing w:before="50"/>
              <w:ind w:right="97" w:firstLine="67" w:firstLineChars="28"/>
              <w:jc w:val="center"/>
              <w:rPr>
                <w:rFonts w:cs="楷体"/>
                <w:color w:val="000000"/>
                <w:spacing w:val="1"/>
                <w:sz w:val="24"/>
                <w:szCs w:val="24"/>
                <w:lang w:eastAsia="zh-CN"/>
              </w:rPr>
            </w:pPr>
            <w:r>
              <w:rPr>
                <w:rFonts w:hint="eastAsia" w:cs="楷体"/>
                <w:color w:val="000000"/>
                <w:spacing w:val="1"/>
                <w:sz w:val="24"/>
                <w:szCs w:val="24"/>
                <w:lang w:eastAsia="zh-CN"/>
              </w:rPr>
              <w:t>规格型号</w:t>
            </w:r>
          </w:p>
        </w:tc>
        <w:tc>
          <w:tcPr>
            <w:tcW w:w="1701" w:type="dxa"/>
            <w:noWrap/>
            <w:vAlign w:val="center"/>
          </w:tcPr>
          <w:p w14:paraId="5B61945C">
            <w:pPr>
              <w:adjustRightInd w:val="0"/>
              <w:spacing w:before="50"/>
              <w:ind w:right="97" w:firstLine="67" w:firstLineChars="28"/>
              <w:jc w:val="center"/>
              <w:rPr>
                <w:rFonts w:cs="楷体"/>
                <w:color w:val="000000"/>
                <w:spacing w:val="1"/>
                <w:sz w:val="24"/>
                <w:szCs w:val="24"/>
                <w:lang w:eastAsia="zh-CN"/>
              </w:rPr>
            </w:pPr>
            <w:r>
              <w:rPr>
                <w:rFonts w:hint="eastAsia" w:cs="楷体"/>
                <w:color w:val="000000"/>
                <w:spacing w:val="1"/>
                <w:sz w:val="24"/>
                <w:szCs w:val="24"/>
                <w:lang w:eastAsia="zh-CN"/>
              </w:rPr>
              <w:t>数量</w:t>
            </w:r>
          </w:p>
        </w:tc>
        <w:tc>
          <w:tcPr>
            <w:tcW w:w="1559" w:type="dxa"/>
            <w:noWrap/>
            <w:vAlign w:val="center"/>
          </w:tcPr>
          <w:p w14:paraId="19EEC83C">
            <w:pPr>
              <w:adjustRightInd w:val="0"/>
              <w:spacing w:before="50"/>
              <w:ind w:right="97" w:firstLine="67" w:firstLineChars="28"/>
              <w:jc w:val="center"/>
              <w:rPr>
                <w:rFonts w:cs="楷体"/>
                <w:color w:val="000000"/>
                <w:spacing w:val="1"/>
                <w:sz w:val="24"/>
                <w:szCs w:val="24"/>
                <w:lang w:eastAsia="zh-CN"/>
              </w:rPr>
            </w:pPr>
            <w:r>
              <w:rPr>
                <w:rFonts w:hint="eastAsia" w:cs="楷体"/>
                <w:color w:val="000000"/>
                <w:spacing w:val="1"/>
                <w:sz w:val="24"/>
                <w:szCs w:val="24"/>
                <w:lang w:eastAsia="zh-CN"/>
              </w:rPr>
              <w:t>用途</w:t>
            </w:r>
          </w:p>
        </w:tc>
        <w:tc>
          <w:tcPr>
            <w:tcW w:w="1701" w:type="dxa"/>
            <w:noWrap/>
            <w:vAlign w:val="center"/>
          </w:tcPr>
          <w:p w14:paraId="5E6B5D65">
            <w:pPr>
              <w:adjustRightInd w:val="0"/>
              <w:spacing w:before="50"/>
              <w:ind w:right="97" w:firstLine="67" w:firstLineChars="28"/>
              <w:jc w:val="center"/>
              <w:rPr>
                <w:rFonts w:cs="楷体"/>
                <w:color w:val="000000"/>
                <w:spacing w:val="1"/>
                <w:sz w:val="24"/>
                <w:szCs w:val="24"/>
                <w:lang w:eastAsia="zh-CN"/>
              </w:rPr>
            </w:pPr>
            <w:r>
              <w:rPr>
                <w:rFonts w:hint="eastAsia" w:cs="楷体"/>
                <w:color w:val="000000"/>
                <w:spacing w:val="1"/>
                <w:sz w:val="24"/>
                <w:szCs w:val="24"/>
                <w:lang w:eastAsia="zh-CN"/>
              </w:rPr>
              <w:t>自有/租赁</w:t>
            </w:r>
          </w:p>
        </w:tc>
      </w:tr>
      <w:tr w14:paraId="5024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20" w:type="dxa"/>
            <w:noWrap/>
            <w:vAlign w:val="center"/>
          </w:tcPr>
          <w:p w14:paraId="5D786714">
            <w:pPr>
              <w:adjustRightInd w:val="0"/>
              <w:spacing w:before="50"/>
              <w:ind w:right="97" w:firstLine="67" w:firstLineChars="28"/>
              <w:jc w:val="center"/>
              <w:rPr>
                <w:rFonts w:cs="楷体"/>
                <w:color w:val="000000"/>
                <w:spacing w:val="1"/>
                <w:sz w:val="24"/>
                <w:szCs w:val="24"/>
                <w:lang w:eastAsia="zh-CN"/>
              </w:rPr>
            </w:pPr>
          </w:p>
        </w:tc>
        <w:tc>
          <w:tcPr>
            <w:tcW w:w="2641" w:type="dxa"/>
            <w:noWrap/>
            <w:vAlign w:val="center"/>
          </w:tcPr>
          <w:p w14:paraId="14DC6436">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55314AB9">
            <w:pPr>
              <w:adjustRightInd w:val="0"/>
              <w:spacing w:before="50"/>
              <w:ind w:right="97" w:firstLine="67" w:firstLineChars="28"/>
              <w:jc w:val="center"/>
              <w:rPr>
                <w:rFonts w:cs="楷体"/>
                <w:color w:val="000000"/>
                <w:spacing w:val="1"/>
                <w:sz w:val="24"/>
                <w:szCs w:val="24"/>
                <w:lang w:eastAsia="zh-CN"/>
              </w:rPr>
            </w:pPr>
          </w:p>
        </w:tc>
        <w:tc>
          <w:tcPr>
            <w:tcW w:w="1559" w:type="dxa"/>
            <w:noWrap/>
            <w:vAlign w:val="center"/>
          </w:tcPr>
          <w:p w14:paraId="42CB015E">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3039716D">
            <w:pPr>
              <w:adjustRightInd w:val="0"/>
              <w:spacing w:before="50"/>
              <w:ind w:right="97" w:firstLine="67" w:firstLineChars="28"/>
              <w:jc w:val="center"/>
              <w:rPr>
                <w:rFonts w:cs="楷体"/>
                <w:color w:val="000000"/>
                <w:spacing w:val="1"/>
                <w:sz w:val="24"/>
                <w:szCs w:val="24"/>
                <w:lang w:eastAsia="zh-CN"/>
              </w:rPr>
            </w:pPr>
          </w:p>
        </w:tc>
      </w:tr>
      <w:tr w14:paraId="0D90B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20" w:type="dxa"/>
            <w:noWrap/>
            <w:vAlign w:val="center"/>
          </w:tcPr>
          <w:p w14:paraId="3EF404FF">
            <w:pPr>
              <w:adjustRightInd w:val="0"/>
              <w:spacing w:before="50"/>
              <w:ind w:right="97" w:firstLine="67" w:firstLineChars="28"/>
              <w:jc w:val="center"/>
              <w:rPr>
                <w:rFonts w:cs="楷体"/>
                <w:color w:val="000000"/>
                <w:spacing w:val="1"/>
                <w:sz w:val="24"/>
                <w:szCs w:val="24"/>
                <w:lang w:eastAsia="zh-CN"/>
              </w:rPr>
            </w:pPr>
          </w:p>
        </w:tc>
        <w:tc>
          <w:tcPr>
            <w:tcW w:w="2641" w:type="dxa"/>
            <w:noWrap/>
            <w:vAlign w:val="center"/>
          </w:tcPr>
          <w:p w14:paraId="4A8F07FA">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5DC1FA29">
            <w:pPr>
              <w:adjustRightInd w:val="0"/>
              <w:spacing w:before="50"/>
              <w:ind w:right="97" w:firstLine="67" w:firstLineChars="28"/>
              <w:jc w:val="center"/>
              <w:rPr>
                <w:rFonts w:cs="楷体"/>
                <w:color w:val="000000"/>
                <w:spacing w:val="1"/>
                <w:sz w:val="24"/>
                <w:szCs w:val="24"/>
                <w:lang w:eastAsia="zh-CN"/>
              </w:rPr>
            </w:pPr>
          </w:p>
        </w:tc>
        <w:tc>
          <w:tcPr>
            <w:tcW w:w="1559" w:type="dxa"/>
            <w:noWrap/>
            <w:vAlign w:val="center"/>
          </w:tcPr>
          <w:p w14:paraId="48891CF5">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7DB00564">
            <w:pPr>
              <w:adjustRightInd w:val="0"/>
              <w:spacing w:before="50"/>
              <w:ind w:right="97" w:firstLine="67" w:firstLineChars="28"/>
              <w:jc w:val="center"/>
              <w:rPr>
                <w:rFonts w:cs="楷体"/>
                <w:color w:val="000000"/>
                <w:spacing w:val="1"/>
                <w:sz w:val="24"/>
                <w:szCs w:val="24"/>
                <w:lang w:eastAsia="zh-CN"/>
              </w:rPr>
            </w:pPr>
          </w:p>
        </w:tc>
      </w:tr>
      <w:tr w14:paraId="3CCAA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20" w:type="dxa"/>
            <w:noWrap/>
            <w:vAlign w:val="center"/>
          </w:tcPr>
          <w:p w14:paraId="5D2892E3">
            <w:pPr>
              <w:adjustRightInd w:val="0"/>
              <w:spacing w:before="50"/>
              <w:ind w:right="97" w:firstLine="67" w:firstLineChars="28"/>
              <w:jc w:val="center"/>
              <w:rPr>
                <w:rFonts w:cs="楷体"/>
                <w:color w:val="000000"/>
                <w:spacing w:val="1"/>
                <w:sz w:val="24"/>
                <w:szCs w:val="24"/>
                <w:lang w:eastAsia="zh-CN"/>
              </w:rPr>
            </w:pPr>
          </w:p>
        </w:tc>
        <w:tc>
          <w:tcPr>
            <w:tcW w:w="2641" w:type="dxa"/>
            <w:noWrap/>
            <w:vAlign w:val="center"/>
          </w:tcPr>
          <w:p w14:paraId="457E6AF2">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6E45E1E5">
            <w:pPr>
              <w:adjustRightInd w:val="0"/>
              <w:spacing w:before="50"/>
              <w:ind w:right="97" w:firstLine="67" w:firstLineChars="28"/>
              <w:jc w:val="center"/>
              <w:rPr>
                <w:rFonts w:cs="楷体"/>
                <w:color w:val="000000"/>
                <w:spacing w:val="1"/>
                <w:sz w:val="24"/>
                <w:szCs w:val="24"/>
                <w:lang w:eastAsia="zh-CN"/>
              </w:rPr>
            </w:pPr>
          </w:p>
        </w:tc>
        <w:tc>
          <w:tcPr>
            <w:tcW w:w="1559" w:type="dxa"/>
            <w:noWrap/>
            <w:vAlign w:val="center"/>
          </w:tcPr>
          <w:p w14:paraId="6A259240">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55DC2978">
            <w:pPr>
              <w:adjustRightInd w:val="0"/>
              <w:spacing w:before="50"/>
              <w:ind w:right="97" w:firstLine="67" w:firstLineChars="28"/>
              <w:jc w:val="center"/>
              <w:rPr>
                <w:rFonts w:cs="楷体"/>
                <w:color w:val="000000"/>
                <w:spacing w:val="1"/>
                <w:sz w:val="24"/>
                <w:szCs w:val="24"/>
                <w:lang w:eastAsia="zh-CN"/>
              </w:rPr>
            </w:pPr>
          </w:p>
        </w:tc>
      </w:tr>
      <w:tr w14:paraId="3F19D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20" w:type="dxa"/>
            <w:noWrap/>
            <w:vAlign w:val="center"/>
          </w:tcPr>
          <w:p w14:paraId="2055F396">
            <w:pPr>
              <w:adjustRightInd w:val="0"/>
              <w:spacing w:before="50"/>
              <w:ind w:right="97" w:firstLine="67" w:firstLineChars="28"/>
              <w:jc w:val="center"/>
              <w:rPr>
                <w:rFonts w:cs="楷体"/>
                <w:color w:val="000000"/>
                <w:spacing w:val="1"/>
                <w:sz w:val="24"/>
                <w:szCs w:val="24"/>
                <w:lang w:eastAsia="zh-CN"/>
              </w:rPr>
            </w:pPr>
          </w:p>
        </w:tc>
        <w:tc>
          <w:tcPr>
            <w:tcW w:w="2641" w:type="dxa"/>
            <w:noWrap/>
            <w:vAlign w:val="center"/>
          </w:tcPr>
          <w:p w14:paraId="73C0D17C">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6D799AA7">
            <w:pPr>
              <w:adjustRightInd w:val="0"/>
              <w:spacing w:before="50"/>
              <w:ind w:right="97" w:firstLine="67" w:firstLineChars="28"/>
              <w:jc w:val="center"/>
              <w:rPr>
                <w:rFonts w:cs="楷体"/>
                <w:color w:val="000000"/>
                <w:spacing w:val="1"/>
                <w:sz w:val="24"/>
                <w:szCs w:val="24"/>
                <w:lang w:eastAsia="zh-CN"/>
              </w:rPr>
            </w:pPr>
          </w:p>
        </w:tc>
        <w:tc>
          <w:tcPr>
            <w:tcW w:w="1559" w:type="dxa"/>
            <w:noWrap/>
            <w:vAlign w:val="center"/>
          </w:tcPr>
          <w:p w14:paraId="58E869E0">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4171E3FB">
            <w:pPr>
              <w:adjustRightInd w:val="0"/>
              <w:spacing w:before="50"/>
              <w:ind w:right="97" w:firstLine="67" w:firstLineChars="28"/>
              <w:jc w:val="center"/>
              <w:rPr>
                <w:rFonts w:cs="楷体"/>
                <w:color w:val="000000"/>
                <w:spacing w:val="1"/>
                <w:sz w:val="24"/>
                <w:szCs w:val="24"/>
                <w:lang w:eastAsia="zh-CN"/>
              </w:rPr>
            </w:pPr>
          </w:p>
        </w:tc>
      </w:tr>
      <w:tr w14:paraId="7295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20" w:type="dxa"/>
            <w:noWrap/>
            <w:vAlign w:val="center"/>
          </w:tcPr>
          <w:p w14:paraId="08DBFFD4">
            <w:pPr>
              <w:adjustRightInd w:val="0"/>
              <w:spacing w:before="50"/>
              <w:ind w:right="97" w:firstLine="67" w:firstLineChars="28"/>
              <w:jc w:val="center"/>
              <w:rPr>
                <w:rFonts w:cs="楷体"/>
                <w:color w:val="000000"/>
                <w:spacing w:val="1"/>
                <w:sz w:val="24"/>
                <w:szCs w:val="24"/>
                <w:lang w:eastAsia="zh-CN"/>
              </w:rPr>
            </w:pPr>
          </w:p>
        </w:tc>
        <w:tc>
          <w:tcPr>
            <w:tcW w:w="2641" w:type="dxa"/>
            <w:noWrap/>
            <w:vAlign w:val="center"/>
          </w:tcPr>
          <w:p w14:paraId="566D5F7E">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7DDD5F80">
            <w:pPr>
              <w:adjustRightInd w:val="0"/>
              <w:spacing w:before="50"/>
              <w:ind w:right="97" w:firstLine="67" w:firstLineChars="28"/>
              <w:jc w:val="center"/>
              <w:rPr>
                <w:rFonts w:cs="楷体"/>
                <w:color w:val="000000"/>
                <w:spacing w:val="1"/>
                <w:sz w:val="24"/>
                <w:szCs w:val="24"/>
                <w:lang w:eastAsia="zh-CN"/>
              </w:rPr>
            </w:pPr>
          </w:p>
        </w:tc>
        <w:tc>
          <w:tcPr>
            <w:tcW w:w="1559" w:type="dxa"/>
            <w:noWrap/>
            <w:vAlign w:val="center"/>
          </w:tcPr>
          <w:p w14:paraId="7B6F7CB6">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63A3C7A6">
            <w:pPr>
              <w:adjustRightInd w:val="0"/>
              <w:spacing w:before="50"/>
              <w:ind w:right="97" w:firstLine="67" w:firstLineChars="28"/>
              <w:jc w:val="center"/>
              <w:rPr>
                <w:rFonts w:cs="楷体"/>
                <w:color w:val="000000"/>
                <w:spacing w:val="1"/>
                <w:sz w:val="24"/>
                <w:szCs w:val="24"/>
                <w:lang w:eastAsia="zh-CN"/>
              </w:rPr>
            </w:pPr>
          </w:p>
        </w:tc>
      </w:tr>
      <w:tr w14:paraId="2B406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20" w:type="dxa"/>
            <w:noWrap/>
            <w:vAlign w:val="center"/>
          </w:tcPr>
          <w:p w14:paraId="319A5FA3">
            <w:pPr>
              <w:adjustRightInd w:val="0"/>
              <w:spacing w:before="50"/>
              <w:ind w:right="97" w:firstLine="67" w:firstLineChars="28"/>
              <w:jc w:val="center"/>
              <w:rPr>
                <w:rFonts w:cs="楷体"/>
                <w:color w:val="000000"/>
                <w:spacing w:val="1"/>
                <w:sz w:val="24"/>
                <w:szCs w:val="24"/>
                <w:lang w:eastAsia="zh-CN"/>
              </w:rPr>
            </w:pPr>
          </w:p>
        </w:tc>
        <w:tc>
          <w:tcPr>
            <w:tcW w:w="2641" w:type="dxa"/>
            <w:noWrap/>
            <w:vAlign w:val="center"/>
          </w:tcPr>
          <w:p w14:paraId="37932E79">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41D9C2B6">
            <w:pPr>
              <w:adjustRightInd w:val="0"/>
              <w:spacing w:before="50"/>
              <w:ind w:right="97" w:firstLine="67" w:firstLineChars="28"/>
              <w:jc w:val="center"/>
              <w:rPr>
                <w:rFonts w:cs="楷体"/>
                <w:color w:val="000000"/>
                <w:spacing w:val="1"/>
                <w:sz w:val="24"/>
                <w:szCs w:val="24"/>
                <w:lang w:eastAsia="zh-CN"/>
              </w:rPr>
            </w:pPr>
          </w:p>
        </w:tc>
        <w:tc>
          <w:tcPr>
            <w:tcW w:w="1559" w:type="dxa"/>
            <w:noWrap/>
            <w:vAlign w:val="center"/>
          </w:tcPr>
          <w:p w14:paraId="0A429C87">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1A38AA1A">
            <w:pPr>
              <w:adjustRightInd w:val="0"/>
              <w:spacing w:before="50"/>
              <w:ind w:right="97" w:firstLine="67" w:firstLineChars="28"/>
              <w:jc w:val="center"/>
              <w:rPr>
                <w:rFonts w:cs="楷体"/>
                <w:color w:val="000000"/>
                <w:spacing w:val="1"/>
                <w:sz w:val="24"/>
                <w:szCs w:val="24"/>
                <w:lang w:eastAsia="zh-CN"/>
              </w:rPr>
            </w:pPr>
          </w:p>
        </w:tc>
      </w:tr>
      <w:tr w14:paraId="1A7E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20" w:type="dxa"/>
            <w:noWrap/>
            <w:vAlign w:val="center"/>
          </w:tcPr>
          <w:p w14:paraId="0E5E272D">
            <w:pPr>
              <w:adjustRightInd w:val="0"/>
              <w:spacing w:before="50"/>
              <w:ind w:right="97" w:firstLine="67" w:firstLineChars="28"/>
              <w:jc w:val="center"/>
              <w:rPr>
                <w:rFonts w:cs="楷体"/>
                <w:color w:val="000000"/>
                <w:spacing w:val="1"/>
                <w:sz w:val="24"/>
                <w:szCs w:val="24"/>
                <w:lang w:eastAsia="zh-CN"/>
              </w:rPr>
            </w:pPr>
          </w:p>
        </w:tc>
        <w:tc>
          <w:tcPr>
            <w:tcW w:w="2641" w:type="dxa"/>
            <w:noWrap/>
            <w:vAlign w:val="center"/>
          </w:tcPr>
          <w:p w14:paraId="37C9402C">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1AA18F8A">
            <w:pPr>
              <w:adjustRightInd w:val="0"/>
              <w:spacing w:before="50"/>
              <w:ind w:right="97" w:firstLine="67" w:firstLineChars="28"/>
              <w:jc w:val="center"/>
              <w:rPr>
                <w:rFonts w:cs="楷体"/>
                <w:color w:val="000000"/>
                <w:spacing w:val="1"/>
                <w:sz w:val="24"/>
                <w:szCs w:val="24"/>
                <w:lang w:eastAsia="zh-CN"/>
              </w:rPr>
            </w:pPr>
          </w:p>
        </w:tc>
        <w:tc>
          <w:tcPr>
            <w:tcW w:w="1559" w:type="dxa"/>
            <w:noWrap/>
            <w:vAlign w:val="center"/>
          </w:tcPr>
          <w:p w14:paraId="35A0E294">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276D4411">
            <w:pPr>
              <w:adjustRightInd w:val="0"/>
              <w:spacing w:before="50"/>
              <w:ind w:right="97" w:firstLine="67" w:firstLineChars="28"/>
              <w:jc w:val="center"/>
              <w:rPr>
                <w:rFonts w:cs="楷体"/>
                <w:color w:val="000000"/>
                <w:spacing w:val="1"/>
                <w:sz w:val="24"/>
                <w:szCs w:val="24"/>
                <w:lang w:eastAsia="zh-CN"/>
              </w:rPr>
            </w:pPr>
          </w:p>
        </w:tc>
      </w:tr>
      <w:tr w14:paraId="06A24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20" w:type="dxa"/>
            <w:noWrap/>
            <w:vAlign w:val="center"/>
          </w:tcPr>
          <w:p w14:paraId="32213205">
            <w:pPr>
              <w:adjustRightInd w:val="0"/>
              <w:spacing w:before="50"/>
              <w:ind w:right="97" w:firstLine="67" w:firstLineChars="28"/>
              <w:jc w:val="center"/>
              <w:rPr>
                <w:rFonts w:cs="楷体"/>
                <w:color w:val="000000"/>
                <w:spacing w:val="1"/>
                <w:sz w:val="24"/>
                <w:szCs w:val="24"/>
                <w:lang w:eastAsia="zh-CN"/>
              </w:rPr>
            </w:pPr>
          </w:p>
        </w:tc>
        <w:tc>
          <w:tcPr>
            <w:tcW w:w="2641" w:type="dxa"/>
            <w:noWrap/>
            <w:vAlign w:val="center"/>
          </w:tcPr>
          <w:p w14:paraId="69DD2DFA">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087646BC">
            <w:pPr>
              <w:adjustRightInd w:val="0"/>
              <w:spacing w:before="50"/>
              <w:ind w:right="97" w:firstLine="67" w:firstLineChars="28"/>
              <w:jc w:val="center"/>
              <w:rPr>
                <w:rFonts w:cs="楷体"/>
                <w:color w:val="000000"/>
                <w:spacing w:val="1"/>
                <w:sz w:val="24"/>
                <w:szCs w:val="24"/>
                <w:lang w:eastAsia="zh-CN"/>
              </w:rPr>
            </w:pPr>
          </w:p>
        </w:tc>
        <w:tc>
          <w:tcPr>
            <w:tcW w:w="1559" w:type="dxa"/>
            <w:noWrap/>
            <w:vAlign w:val="center"/>
          </w:tcPr>
          <w:p w14:paraId="5CACDF74">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593429F2">
            <w:pPr>
              <w:adjustRightInd w:val="0"/>
              <w:spacing w:before="50"/>
              <w:ind w:right="97" w:firstLine="67" w:firstLineChars="28"/>
              <w:jc w:val="center"/>
              <w:rPr>
                <w:rFonts w:cs="楷体"/>
                <w:color w:val="000000"/>
                <w:spacing w:val="1"/>
                <w:sz w:val="24"/>
                <w:szCs w:val="24"/>
                <w:lang w:eastAsia="zh-CN"/>
              </w:rPr>
            </w:pPr>
          </w:p>
        </w:tc>
      </w:tr>
      <w:tr w14:paraId="25A68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20" w:type="dxa"/>
            <w:noWrap/>
            <w:vAlign w:val="center"/>
          </w:tcPr>
          <w:p w14:paraId="37B88AB3">
            <w:pPr>
              <w:adjustRightInd w:val="0"/>
              <w:spacing w:before="50"/>
              <w:ind w:right="97" w:firstLine="67" w:firstLineChars="28"/>
              <w:jc w:val="center"/>
              <w:rPr>
                <w:rFonts w:cs="楷体"/>
                <w:color w:val="000000"/>
                <w:spacing w:val="1"/>
                <w:sz w:val="24"/>
                <w:szCs w:val="24"/>
                <w:lang w:eastAsia="zh-CN"/>
              </w:rPr>
            </w:pPr>
          </w:p>
        </w:tc>
        <w:tc>
          <w:tcPr>
            <w:tcW w:w="2641" w:type="dxa"/>
            <w:noWrap/>
            <w:vAlign w:val="center"/>
          </w:tcPr>
          <w:p w14:paraId="114E5F9A">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558AD1D1">
            <w:pPr>
              <w:adjustRightInd w:val="0"/>
              <w:spacing w:before="50"/>
              <w:ind w:right="97" w:firstLine="67" w:firstLineChars="28"/>
              <w:jc w:val="center"/>
              <w:rPr>
                <w:rFonts w:cs="楷体"/>
                <w:color w:val="000000"/>
                <w:spacing w:val="1"/>
                <w:sz w:val="24"/>
                <w:szCs w:val="24"/>
                <w:lang w:eastAsia="zh-CN"/>
              </w:rPr>
            </w:pPr>
          </w:p>
        </w:tc>
        <w:tc>
          <w:tcPr>
            <w:tcW w:w="1559" w:type="dxa"/>
            <w:noWrap/>
            <w:vAlign w:val="center"/>
          </w:tcPr>
          <w:p w14:paraId="68B28C78">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09D927BD">
            <w:pPr>
              <w:adjustRightInd w:val="0"/>
              <w:spacing w:before="50"/>
              <w:ind w:right="97" w:firstLine="67" w:firstLineChars="28"/>
              <w:jc w:val="center"/>
              <w:rPr>
                <w:rFonts w:cs="楷体"/>
                <w:color w:val="000000"/>
                <w:spacing w:val="1"/>
                <w:sz w:val="24"/>
                <w:szCs w:val="24"/>
                <w:lang w:eastAsia="zh-CN"/>
              </w:rPr>
            </w:pPr>
          </w:p>
        </w:tc>
      </w:tr>
      <w:tr w14:paraId="5DBE9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1720" w:type="dxa"/>
            <w:noWrap/>
            <w:vAlign w:val="center"/>
          </w:tcPr>
          <w:p w14:paraId="60836289">
            <w:pPr>
              <w:adjustRightInd w:val="0"/>
              <w:spacing w:before="50"/>
              <w:ind w:right="97" w:firstLine="67" w:firstLineChars="28"/>
              <w:jc w:val="center"/>
              <w:rPr>
                <w:rFonts w:cs="楷体"/>
                <w:color w:val="000000"/>
                <w:spacing w:val="1"/>
                <w:sz w:val="24"/>
                <w:szCs w:val="24"/>
                <w:lang w:eastAsia="zh-CN"/>
              </w:rPr>
            </w:pPr>
          </w:p>
        </w:tc>
        <w:tc>
          <w:tcPr>
            <w:tcW w:w="2641" w:type="dxa"/>
            <w:noWrap/>
            <w:vAlign w:val="center"/>
          </w:tcPr>
          <w:p w14:paraId="6A220EE7">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29AB70B5">
            <w:pPr>
              <w:adjustRightInd w:val="0"/>
              <w:spacing w:before="50"/>
              <w:ind w:right="97" w:firstLine="67" w:firstLineChars="28"/>
              <w:jc w:val="center"/>
              <w:rPr>
                <w:rFonts w:cs="楷体"/>
                <w:color w:val="000000"/>
                <w:spacing w:val="1"/>
                <w:sz w:val="24"/>
                <w:szCs w:val="24"/>
                <w:lang w:eastAsia="zh-CN"/>
              </w:rPr>
            </w:pPr>
          </w:p>
        </w:tc>
        <w:tc>
          <w:tcPr>
            <w:tcW w:w="1559" w:type="dxa"/>
            <w:noWrap/>
            <w:vAlign w:val="center"/>
          </w:tcPr>
          <w:p w14:paraId="4D1EEA41">
            <w:pPr>
              <w:adjustRightInd w:val="0"/>
              <w:spacing w:before="50"/>
              <w:ind w:right="97" w:firstLine="67" w:firstLineChars="28"/>
              <w:jc w:val="center"/>
              <w:rPr>
                <w:rFonts w:cs="楷体"/>
                <w:color w:val="000000"/>
                <w:spacing w:val="1"/>
                <w:sz w:val="24"/>
                <w:szCs w:val="24"/>
                <w:lang w:eastAsia="zh-CN"/>
              </w:rPr>
            </w:pPr>
          </w:p>
        </w:tc>
        <w:tc>
          <w:tcPr>
            <w:tcW w:w="1701" w:type="dxa"/>
            <w:noWrap/>
            <w:vAlign w:val="center"/>
          </w:tcPr>
          <w:p w14:paraId="2C592EC2">
            <w:pPr>
              <w:adjustRightInd w:val="0"/>
              <w:spacing w:before="50"/>
              <w:ind w:right="97" w:firstLine="67" w:firstLineChars="28"/>
              <w:jc w:val="center"/>
              <w:rPr>
                <w:rFonts w:cs="楷体"/>
                <w:color w:val="000000"/>
                <w:spacing w:val="1"/>
                <w:sz w:val="24"/>
                <w:szCs w:val="24"/>
                <w:lang w:eastAsia="zh-CN"/>
              </w:rPr>
            </w:pPr>
          </w:p>
        </w:tc>
      </w:tr>
    </w:tbl>
    <w:p w14:paraId="28E1F01C">
      <w:pPr>
        <w:adjustRightInd w:val="0"/>
        <w:spacing w:before="50"/>
        <w:ind w:right="97" w:firstLine="67" w:firstLineChars="28"/>
        <w:jc w:val="both"/>
        <w:rPr>
          <w:rFonts w:cs="楷体"/>
          <w:color w:val="000000"/>
          <w:kern w:val="2"/>
          <w:sz w:val="24"/>
          <w:szCs w:val="24"/>
          <w:lang w:eastAsia="zh-CN"/>
        </w:rPr>
      </w:pPr>
    </w:p>
    <w:p w14:paraId="00AC4B06">
      <w:pPr>
        <w:autoSpaceDE/>
        <w:autoSpaceDN/>
        <w:spacing w:line="360" w:lineRule="auto"/>
        <w:ind w:firstLine="3360" w:firstLineChars="1400"/>
        <w:jc w:val="both"/>
        <w:rPr>
          <w:rFonts w:hint="eastAsia"/>
          <w:kern w:val="2"/>
          <w:sz w:val="24"/>
          <w:szCs w:val="24"/>
          <w:lang w:eastAsia="zh-CN"/>
        </w:rPr>
      </w:pPr>
    </w:p>
    <w:p w14:paraId="134BE194">
      <w:pPr>
        <w:autoSpaceDE/>
        <w:autoSpaceDN/>
        <w:spacing w:line="360" w:lineRule="auto"/>
        <w:ind w:firstLine="3360" w:firstLineChars="1400"/>
        <w:jc w:val="both"/>
        <w:rPr>
          <w:kern w:val="2"/>
          <w:sz w:val="24"/>
          <w:szCs w:val="24"/>
          <w:lang w:eastAsia="zh-CN"/>
        </w:rPr>
      </w:pPr>
      <w:r>
        <w:rPr>
          <w:rFonts w:hint="eastAsia"/>
          <w:kern w:val="2"/>
          <w:sz w:val="24"/>
          <w:szCs w:val="24"/>
          <w:lang w:eastAsia="zh-CN"/>
        </w:rPr>
        <w:t>供应商：（电子签章）</w:t>
      </w:r>
    </w:p>
    <w:p w14:paraId="0C1FD330">
      <w:pPr>
        <w:autoSpaceDE/>
        <w:autoSpaceDN/>
        <w:spacing w:line="360" w:lineRule="auto"/>
        <w:ind w:firstLine="3360" w:firstLineChars="1400"/>
        <w:jc w:val="both"/>
        <w:rPr>
          <w:kern w:val="2"/>
          <w:sz w:val="24"/>
          <w:szCs w:val="24"/>
          <w:lang w:eastAsia="zh-CN"/>
        </w:rPr>
      </w:pPr>
      <w:r>
        <w:rPr>
          <w:rFonts w:hint="eastAsia"/>
          <w:kern w:val="2"/>
          <w:sz w:val="24"/>
          <w:szCs w:val="24"/>
          <w:lang w:eastAsia="zh-CN"/>
        </w:rPr>
        <w:t>法定代表人：（电子签章）</w:t>
      </w:r>
    </w:p>
    <w:p w14:paraId="77F16154">
      <w:pPr>
        <w:autoSpaceDE/>
        <w:autoSpaceDN/>
        <w:spacing w:line="360" w:lineRule="auto"/>
        <w:ind w:firstLine="3360" w:firstLineChars="1400"/>
        <w:jc w:val="both"/>
        <w:rPr>
          <w:kern w:val="2"/>
          <w:sz w:val="24"/>
          <w:szCs w:val="24"/>
          <w:lang w:eastAsia="zh-CN"/>
        </w:rPr>
      </w:pPr>
      <w:r>
        <w:rPr>
          <w:rFonts w:hint="eastAsia"/>
          <w:kern w:val="2"/>
          <w:sz w:val="24"/>
          <w:szCs w:val="24"/>
          <w:lang w:eastAsia="zh-CN"/>
        </w:rPr>
        <w:t>年   月   日</w:t>
      </w:r>
    </w:p>
    <w:p w14:paraId="4949410A">
      <w:pPr>
        <w:tabs>
          <w:tab w:val="left" w:pos="425"/>
        </w:tabs>
        <w:autoSpaceDE/>
        <w:autoSpaceDN/>
        <w:spacing w:before="260" w:after="260" w:line="413" w:lineRule="auto"/>
        <w:ind w:left="425" w:hanging="425"/>
        <w:jc w:val="center"/>
        <w:outlineLvl w:val="1"/>
        <w:rPr>
          <w:rFonts w:cs="楷体"/>
          <w:b/>
          <w:color w:val="000000"/>
          <w:kern w:val="2"/>
          <w:sz w:val="24"/>
          <w:szCs w:val="20"/>
          <w:lang w:eastAsia="zh-CN"/>
        </w:rPr>
      </w:pPr>
      <w:bookmarkStart w:id="536" w:name="_Toc3922"/>
      <w:bookmarkStart w:id="537" w:name="_Toc9778"/>
    </w:p>
    <w:p w14:paraId="784D0461">
      <w:pPr>
        <w:autoSpaceDE/>
        <w:autoSpaceDN/>
        <w:spacing w:line="360" w:lineRule="auto"/>
        <w:jc w:val="center"/>
        <w:rPr>
          <w:rFonts w:cs="楷体"/>
          <w:color w:val="000000"/>
          <w:sz w:val="28"/>
          <w:szCs w:val="28"/>
          <w:lang w:eastAsia="zh-CN"/>
        </w:rPr>
      </w:pPr>
      <w:r>
        <w:rPr>
          <w:rFonts w:cs="楷体"/>
          <w:b/>
          <w:color w:val="000000"/>
          <w:kern w:val="2"/>
          <w:sz w:val="28"/>
          <w:szCs w:val="20"/>
          <w:lang w:eastAsia="zh-CN"/>
        </w:rPr>
        <w:br w:type="page"/>
      </w:r>
      <w:r>
        <w:rPr>
          <w:rFonts w:hint="eastAsia" w:cs="楷体"/>
          <w:b/>
          <w:color w:val="000000"/>
          <w:kern w:val="2"/>
          <w:sz w:val="28"/>
          <w:szCs w:val="28"/>
          <w:lang w:eastAsia="zh-CN"/>
        </w:rPr>
        <w:t>（三）近年完成的类似项目情况表</w:t>
      </w:r>
    </w:p>
    <w:p w14:paraId="043537AA">
      <w:pPr>
        <w:adjustRightInd w:val="0"/>
        <w:spacing w:line="420" w:lineRule="exact"/>
        <w:rPr>
          <w:rFonts w:cs="楷体"/>
          <w:color w:val="000000"/>
          <w:sz w:val="24"/>
          <w:lang w:eastAsia="zh-CN"/>
        </w:rPr>
      </w:pPr>
    </w:p>
    <w:tbl>
      <w:tblPr>
        <w:tblStyle w:val="16"/>
        <w:tblW w:w="9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0"/>
        <w:gridCol w:w="7200"/>
      </w:tblGrid>
      <w:tr w14:paraId="56C0D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340" w:type="dxa"/>
            <w:noWrap/>
            <w:vAlign w:val="center"/>
          </w:tcPr>
          <w:p w14:paraId="012AC9EC">
            <w:pPr>
              <w:adjustRightInd w:val="0"/>
              <w:spacing w:line="420" w:lineRule="exact"/>
              <w:jc w:val="center"/>
              <w:rPr>
                <w:rFonts w:cs="楷体"/>
                <w:color w:val="000000"/>
                <w:sz w:val="24"/>
                <w:lang w:eastAsia="zh-CN"/>
              </w:rPr>
            </w:pPr>
            <w:r>
              <w:rPr>
                <w:rFonts w:hint="eastAsia" w:cs="楷体"/>
                <w:color w:val="000000"/>
                <w:sz w:val="24"/>
                <w:lang w:eastAsia="zh-CN"/>
              </w:rPr>
              <w:t>项目名称</w:t>
            </w:r>
          </w:p>
        </w:tc>
        <w:tc>
          <w:tcPr>
            <w:tcW w:w="7200" w:type="dxa"/>
            <w:noWrap/>
            <w:vAlign w:val="center"/>
          </w:tcPr>
          <w:p w14:paraId="0BC134A0">
            <w:pPr>
              <w:adjustRightInd w:val="0"/>
              <w:spacing w:line="420" w:lineRule="exact"/>
              <w:jc w:val="center"/>
              <w:rPr>
                <w:rFonts w:cs="楷体"/>
                <w:color w:val="000000"/>
                <w:sz w:val="21"/>
                <w:szCs w:val="21"/>
                <w:lang w:eastAsia="zh-CN"/>
              </w:rPr>
            </w:pPr>
          </w:p>
        </w:tc>
      </w:tr>
      <w:tr w14:paraId="4AD21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340" w:type="dxa"/>
            <w:noWrap/>
            <w:vAlign w:val="center"/>
          </w:tcPr>
          <w:p w14:paraId="49A1B9DC">
            <w:pPr>
              <w:adjustRightInd w:val="0"/>
              <w:spacing w:line="420" w:lineRule="exact"/>
              <w:jc w:val="center"/>
              <w:rPr>
                <w:rFonts w:cs="楷体"/>
                <w:color w:val="000000"/>
                <w:sz w:val="24"/>
                <w:lang w:eastAsia="zh-CN"/>
              </w:rPr>
            </w:pPr>
            <w:r>
              <w:rPr>
                <w:rFonts w:hint="eastAsia" w:cs="楷体"/>
                <w:color w:val="000000"/>
                <w:sz w:val="24"/>
                <w:lang w:eastAsia="zh-CN"/>
              </w:rPr>
              <w:t>项目所在地</w:t>
            </w:r>
          </w:p>
        </w:tc>
        <w:tc>
          <w:tcPr>
            <w:tcW w:w="7200" w:type="dxa"/>
            <w:noWrap/>
            <w:vAlign w:val="center"/>
          </w:tcPr>
          <w:p w14:paraId="69BC8306">
            <w:pPr>
              <w:adjustRightInd w:val="0"/>
              <w:spacing w:line="420" w:lineRule="exact"/>
              <w:jc w:val="center"/>
              <w:rPr>
                <w:rFonts w:cs="楷体"/>
                <w:color w:val="000000"/>
                <w:sz w:val="21"/>
                <w:szCs w:val="21"/>
                <w:lang w:eastAsia="zh-CN"/>
              </w:rPr>
            </w:pPr>
          </w:p>
        </w:tc>
      </w:tr>
      <w:tr w14:paraId="22056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340" w:type="dxa"/>
            <w:noWrap/>
            <w:vAlign w:val="center"/>
          </w:tcPr>
          <w:p w14:paraId="295F81DF">
            <w:pPr>
              <w:adjustRightInd w:val="0"/>
              <w:spacing w:line="420" w:lineRule="exact"/>
              <w:jc w:val="center"/>
              <w:rPr>
                <w:rFonts w:cs="楷体"/>
                <w:color w:val="000000"/>
                <w:sz w:val="24"/>
                <w:lang w:eastAsia="zh-CN"/>
              </w:rPr>
            </w:pPr>
            <w:r>
              <w:rPr>
                <w:rFonts w:hint="eastAsia" w:cs="楷体"/>
                <w:color w:val="000000"/>
                <w:sz w:val="24"/>
                <w:lang w:eastAsia="zh-CN"/>
              </w:rPr>
              <w:t>发包人名称</w:t>
            </w:r>
          </w:p>
        </w:tc>
        <w:tc>
          <w:tcPr>
            <w:tcW w:w="7200" w:type="dxa"/>
            <w:noWrap/>
            <w:vAlign w:val="center"/>
          </w:tcPr>
          <w:p w14:paraId="0562391C">
            <w:pPr>
              <w:adjustRightInd w:val="0"/>
              <w:spacing w:line="420" w:lineRule="exact"/>
              <w:jc w:val="center"/>
              <w:rPr>
                <w:rFonts w:cs="楷体"/>
                <w:color w:val="000000"/>
                <w:sz w:val="21"/>
                <w:szCs w:val="21"/>
                <w:lang w:eastAsia="zh-CN"/>
              </w:rPr>
            </w:pPr>
          </w:p>
        </w:tc>
      </w:tr>
      <w:tr w14:paraId="17AD1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340" w:type="dxa"/>
            <w:noWrap/>
            <w:vAlign w:val="center"/>
          </w:tcPr>
          <w:p w14:paraId="5C3F5B35">
            <w:pPr>
              <w:adjustRightInd w:val="0"/>
              <w:spacing w:line="420" w:lineRule="exact"/>
              <w:jc w:val="center"/>
              <w:rPr>
                <w:rFonts w:cs="楷体"/>
                <w:color w:val="000000"/>
                <w:sz w:val="24"/>
                <w:lang w:eastAsia="zh-CN"/>
              </w:rPr>
            </w:pPr>
            <w:r>
              <w:rPr>
                <w:rFonts w:hint="eastAsia" w:cs="楷体"/>
                <w:color w:val="000000"/>
                <w:sz w:val="24"/>
                <w:lang w:eastAsia="zh-CN"/>
              </w:rPr>
              <w:t>发包人地址</w:t>
            </w:r>
          </w:p>
        </w:tc>
        <w:tc>
          <w:tcPr>
            <w:tcW w:w="7200" w:type="dxa"/>
            <w:noWrap/>
            <w:vAlign w:val="center"/>
          </w:tcPr>
          <w:p w14:paraId="18639CB5">
            <w:pPr>
              <w:adjustRightInd w:val="0"/>
              <w:spacing w:line="420" w:lineRule="exact"/>
              <w:jc w:val="center"/>
              <w:rPr>
                <w:rFonts w:cs="楷体"/>
                <w:color w:val="000000"/>
                <w:sz w:val="21"/>
                <w:szCs w:val="21"/>
                <w:lang w:eastAsia="zh-CN"/>
              </w:rPr>
            </w:pPr>
          </w:p>
        </w:tc>
      </w:tr>
      <w:tr w14:paraId="32622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340" w:type="dxa"/>
            <w:noWrap/>
            <w:vAlign w:val="center"/>
          </w:tcPr>
          <w:p w14:paraId="44D4AE1D">
            <w:pPr>
              <w:adjustRightInd w:val="0"/>
              <w:spacing w:line="420" w:lineRule="exact"/>
              <w:jc w:val="center"/>
              <w:rPr>
                <w:rFonts w:cs="楷体"/>
                <w:color w:val="000000"/>
                <w:sz w:val="24"/>
                <w:lang w:eastAsia="zh-CN"/>
              </w:rPr>
            </w:pPr>
            <w:r>
              <w:rPr>
                <w:rFonts w:hint="eastAsia" w:cs="楷体"/>
                <w:color w:val="000000"/>
                <w:sz w:val="24"/>
                <w:lang w:eastAsia="zh-CN"/>
              </w:rPr>
              <w:t>发包人电话</w:t>
            </w:r>
          </w:p>
        </w:tc>
        <w:tc>
          <w:tcPr>
            <w:tcW w:w="7200" w:type="dxa"/>
            <w:noWrap/>
            <w:vAlign w:val="center"/>
          </w:tcPr>
          <w:p w14:paraId="4B56BC1F">
            <w:pPr>
              <w:adjustRightInd w:val="0"/>
              <w:spacing w:line="420" w:lineRule="exact"/>
              <w:jc w:val="center"/>
              <w:rPr>
                <w:rFonts w:cs="楷体"/>
                <w:color w:val="000000"/>
                <w:sz w:val="21"/>
                <w:szCs w:val="21"/>
                <w:lang w:eastAsia="zh-CN"/>
              </w:rPr>
            </w:pPr>
          </w:p>
        </w:tc>
      </w:tr>
      <w:tr w14:paraId="7F26F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340" w:type="dxa"/>
            <w:noWrap/>
            <w:vAlign w:val="center"/>
          </w:tcPr>
          <w:p w14:paraId="23AFE4D5">
            <w:pPr>
              <w:adjustRightInd w:val="0"/>
              <w:spacing w:line="420" w:lineRule="exact"/>
              <w:jc w:val="center"/>
              <w:rPr>
                <w:rFonts w:cs="楷体"/>
                <w:color w:val="000000"/>
                <w:sz w:val="24"/>
                <w:lang w:eastAsia="zh-CN"/>
              </w:rPr>
            </w:pPr>
            <w:r>
              <w:rPr>
                <w:rFonts w:hint="eastAsia" w:cs="楷体"/>
                <w:color w:val="000000"/>
                <w:sz w:val="24"/>
                <w:lang w:eastAsia="zh-CN"/>
              </w:rPr>
              <w:t>合同价格</w:t>
            </w:r>
          </w:p>
        </w:tc>
        <w:tc>
          <w:tcPr>
            <w:tcW w:w="7200" w:type="dxa"/>
            <w:noWrap/>
            <w:vAlign w:val="center"/>
          </w:tcPr>
          <w:p w14:paraId="369B7A02">
            <w:pPr>
              <w:adjustRightInd w:val="0"/>
              <w:spacing w:line="420" w:lineRule="exact"/>
              <w:jc w:val="center"/>
              <w:rPr>
                <w:rFonts w:cs="楷体"/>
                <w:color w:val="000000"/>
                <w:sz w:val="21"/>
                <w:szCs w:val="21"/>
                <w:lang w:eastAsia="zh-CN"/>
              </w:rPr>
            </w:pPr>
          </w:p>
        </w:tc>
      </w:tr>
      <w:tr w14:paraId="6A82D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340" w:type="dxa"/>
            <w:noWrap/>
            <w:vAlign w:val="center"/>
          </w:tcPr>
          <w:p w14:paraId="6DFB7F47">
            <w:pPr>
              <w:adjustRightInd w:val="0"/>
              <w:spacing w:line="420" w:lineRule="exact"/>
              <w:jc w:val="center"/>
              <w:rPr>
                <w:rFonts w:cs="楷体"/>
                <w:color w:val="000000"/>
                <w:sz w:val="24"/>
                <w:lang w:eastAsia="zh-CN"/>
              </w:rPr>
            </w:pPr>
            <w:r>
              <w:rPr>
                <w:rFonts w:hint="eastAsia" w:cs="楷体"/>
                <w:color w:val="000000"/>
                <w:sz w:val="24"/>
                <w:lang w:eastAsia="zh-CN"/>
              </w:rPr>
              <w:t>开工日期</w:t>
            </w:r>
          </w:p>
        </w:tc>
        <w:tc>
          <w:tcPr>
            <w:tcW w:w="7200" w:type="dxa"/>
            <w:noWrap/>
            <w:vAlign w:val="center"/>
          </w:tcPr>
          <w:p w14:paraId="5114E386">
            <w:pPr>
              <w:adjustRightInd w:val="0"/>
              <w:spacing w:line="420" w:lineRule="exact"/>
              <w:jc w:val="center"/>
              <w:rPr>
                <w:rFonts w:cs="楷体"/>
                <w:color w:val="000000"/>
                <w:sz w:val="21"/>
                <w:szCs w:val="21"/>
                <w:lang w:eastAsia="zh-CN"/>
              </w:rPr>
            </w:pPr>
          </w:p>
        </w:tc>
      </w:tr>
      <w:tr w14:paraId="503FF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340" w:type="dxa"/>
            <w:noWrap/>
            <w:vAlign w:val="center"/>
          </w:tcPr>
          <w:p w14:paraId="761FB149">
            <w:pPr>
              <w:adjustRightInd w:val="0"/>
              <w:spacing w:line="420" w:lineRule="exact"/>
              <w:jc w:val="center"/>
              <w:rPr>
                <w:rFonts w:cs="楷体"/>
                <w:color w:val="000000"/>
                <w:sz w:val="24"/>
                <w:lang w:eastAsia="zh-CN"/>
              </w:rPr>
            </w:pPr>
            <w:r>
              <w:rPr>
                <w:rFonts w:hint="eastAsia" w:cs="楷体"/>
                <w:color w:val="000000"/>
                <w:sz w:val="24"/>
                <w:lang w:eastAsia="zh-CN"/>
              </w:rPr>
              <w:t>竣工日期</w:t>
            </w:r>
          </w:p>
        </w:tc>
        <w:tc>
          <w:tcPr>
            <w:tcW w:w="7200" w:type="dxa"/>
            <w:noWrap/>
            <w:vAlign w:val="center"/>
          </w:tcPr>
          <w:p w14:paraId="3A76E909">
            <w:pPr>
              <w:adjustRightInd w:val="0"/>
              <w:spacing w:line="420" w:lineRule="exact"/>
              <w:jc w:val="center"/>
              <w:rPr>
                <w:rFonts w:cs="楷体"/>
                <w:color w:val="000000"/>
                <w:sz w:val="21"/>
                <w:szCs w:val="21"/>
                <w:lang w:eastAsia="zh-CN"/>
              </w:rPr>
            </w:pPr>
          </w:p>
        </w:tc>
      </w:tr>
      <w:tr w14:paraId="2F01C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340" w:type="dxa"/>
            <w:noWrap/>
            <w:vAlign w:val="center"/>
          </w:tcPr>
          <w:p w14:paraId="3B7C30BF">
            <w:pPr>
              <w:adjustRightInd w:val="0"/>
              <w:spacing w:line="420" w:lineRule="exact"/>
              <w:jc w:val="center"/>
              <w:rPr>
                <w:rFonts w:cs="楷体"/>
                <w:color w:val="000000"/>
                <w:sz w:val="24"/>
                <w:lang w:eastAsia="zh-CN"/>
              </w:rPr>
            </w:pPr>
            <w:r>
              <w:rPr>
                <w:rFonts w:hint="eastAsia" w:cs="楷体"/>
                <w:color w:val="000000"/>
                <w:sz w:val="24"/>
                <w:lang w:eastAsia="zh-CN"/>
              </w:rPr>
              <w:t>承担的工作</w:t>
            </w:r>
          </w:p>
        </w:tc>
        <w:tc>
          <w:tcPr>
            <w:tcW w:w="7200" w:type="dxa"/>
            <w:noWrap/>
            <w:vAlign w:val="center"/>
          </w:tcPr>
          <w:p w14:paraId="7AFC4AE6">
            <w:pPr>
              <w:adjustRightInd w:val="0"/>
              <w:spacing w:line="420" w:lineRule="exact"/>
              <w:jc w:val="center"/>
              <w:rPr>
                <w:rFonts w:cs="楷体"/>
                <w:color w:val="000000"/>
                <w:sz w:val="21"/>
                <w:szCs w:val="21"/>
                <w:lang w:eastAsia="zh-CN"/>
              </w:rPr>
            </w:pPr>
          </w:p>
        </w:tc>
      </w:tr>
      <w:tr w14:paraId="66A66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340" w:type="dxa"/>
            <w:noWrap/>
            <w:vAlign w:val="center"/>
          </w:tcPr>
          <w:p w14:paraId="542E5DAD">
            <w:pPr>
              <w:adjustRightInd w:val="0"/>
              <w:spacing w:line="420" w:lineRule="exact"/>
              <w:jc w:val="center"/>
              <w:rPr>
                <w:rFonts w:cs="楷体"/>
                <w:color w:val="000000"/>
                <w:sz w:val="24"/>
                <w:lang w:eastAsia="zh-CN"/>
              </w:rPr>
            </w:pPr>
            <w:r>
              <w:rPr>
                <w:rFonts w:hint="eastAsia" w:cs="楷体"/>
                <w:color w:val="000000"/>
                <w:sz w:val="24"/>
                <w:lang w:eastAsia="zh-CN"/>
              </w:rPr>
              <w:t>工程质量</w:t>
            </w:r>
          </w:p>
        </w:tc>
        <w:tc>
          <w:tcPr>
            <w:tcW w:w="7200" w:type="dxa"/>
            <w:noWrap/>
            <w:vAlign w:val="center"/>
          </w:tcPr>
          <w:p w14:paraId="73DA5CB7">
            <w:pPr>
              <w:adjustRightInd w:val="0"/>
              <w:spacing w:line="420" w:lineRule="exact"/>
              <w:jc w:val="center"/>
              <w:rPr>
                <w:rFonts w:cs="楷体"/>
                <w:color w:val="000000"/>
                <w:sz w:val="21"/>
                <w:szCs w:val="21"/>
                <w:lang w:eastAsia="zh-CN"/>
              </w:rPr>
            </w:pPr>
          </w:p>
        </w:tc>
      </w:tr>
      <w:tr w14:paraId="2D89F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340" w:type="dxa"/>
            <w:noWrap/>
            <w:vAlign w:val="center"/>
          </w:tcPr>
          <w:p w14:paraId="2AA35A97">
            <w:pPr>
              <w:adjustRightInd w:val="0"/>
              <w:spacing w:line="420" w:lineRule="exact"/>
              <w:jc w:val="center"/>
              <w:rPr>
                <w:rFonts w:cs="楷体"/>
                <w:color w:val="000000"/>
                <w:sz w:val="24"/>
                <w:lang w:eastAsia="zh-CN"/>
              </w:rPr>
            </w:pPr>
            <w:r>
              <w:rPr>
                <w:rFonts w:hint="eastAsia" w:cs="楷体"/>
                <w:color w:val="000000"/>
                <w:sz w:val="24"/>
                <w:lang w:eastAsia="zh-CN"/>
              </w:rPr>
              <w:t>项目总监理工程师及电话</w:t>
            </w:r>
          </w:p>
        </w:tc>
        <w:tc>
          <w:tcPr>
            <w:tcW w:w="7200" w:type="dxa"/>
            <w:noWrap/>
            <w:vAlign w:val="center"/>
          </w:tcPr>
          <w:p w14:paraId="33510071">
            <w:pPr>
              <w:adjustRightInd w:val="0"/>
              <w:spacing w:line="420" w:lineRule="exact"/>
              <w:jc w:val="center"/>
              <w:rPr>
                <w:rFonts w:cs="楷体"/>
                <w:color w:val="000000"/>
                <w:sz w:val="21"/>
                <w:szCs w:val="21"/>
                <w:lang w:eastAsia="zh-CN"/>
              </w:rPr>
            </w:pPr>
          </w:p>
        </w:tc>
      </w:tr>
      <w:tr w14:paraId="6FD6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3" w:hRule="atLeast"/>
          <w:jc w:val="center"/>
        </w:trPr>
        <w:tc>
          <w:tcPr>
            <w:tcW w:w="2340" w:type="dxa"/>
            <w:noWrap/>
            <w:vAlign w:val="center"/>
          </w:tcPr>
          <w:p w14:paraId="49A0D87C">
            <w:pPr>
              <w:adjustRightInd w:val="0"/>
              <w:spacing w:line="420" w:lineRule="exact"/>
              <w:jc w:val="center"/>
              <w:rPr>
                <w:rFonts w:cs="楷体"/>
                <w:color w:val="000000"/>
                <w:sz w:val="24"/>
                <w:lang w:eastAsia="zh-CN"/>
              </w:rPr>
            </w:pPr>
            <w:r>
              <w:rPr>
                <w:rFonts w:hint="eastAsia" w:cs="楷体"/>
                <w:color w:val="000000"/>
                <w:sz w:val="24"/>
                <w:lang w:eastAsia="zh-CN"/>
              </w:rPr>
              <w:t>项目描述</w:t>
            </w:r>
          </w:p>
        </w:tc>
        <w:tc>
          <w:tcPr>
            <w:tcW w:w="7200" w:type="dxa"/>
            <w:noWrap/>
            <w:vAlign w:val="center"/>
          </w:tcPr>
          <w:p w14:paraId="6C708A99">
            <w:pPr>
              <w:adjustRightInd w:val="0"/>
              <w:spacing w:line="420" w:lineRule="exact"/>
              <w:jc w:val="center"/>
              <w:rPr>
                <w:rFonts w:cs="楷体"/>
                <w:color w:val="000000"/>
                <w:sz w:val="21"/>
                <w:szCs w:val="21"/>
                <w:lang w:eastAsia="zh-CN"/>
              </w:rPr>
            </w:pPr>
          </w:p>
        </w:tc>
      </w:tr>
      <w:tr w14:paraId="4AE5E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2340" w:type="dxa"/>
            <w:noWrap/>
            <w:vAlign w:val="center"/>
          </w:tcPr>
          <w:p w14:paraId="63E844A7">
            <w:pPr>
              <w:adjustRightInd w:val="0"/>
              <w:spacing w:line="420" w:lineRule="exact"/>
              <w:jc w:val="center"/>
              <w:rPr>
                <w:rFonts w:cs="楷体"/>
                <w:color w:val="000000"/>
                <w:sz w:val="24"/>
                <w:lang w:eastAsia="zh-CN"/>
              </w:rPr>
            </w:pPr>
            <w:r>
              <w:rPr>
                <w:rFonts w:hint="eastAsia" w:cs="楷体"/>
                <w:color w:val="000000"/>
                <w:sz w:val="24"/>
                <w:lang w:eastAsia="zh-CN"/>
              </w:rPr>
              <w:t>备注</w:t>
            </w:r>
          </w:p>
        </w:tc>
        <w:tc>
          <w:tcPr>
            <w:tcW w:w="7200" w:type="dxa"/>
            <w:noWrap/>
            <w:vAlign w:val="center"/>
          </w:tcPr>
          <w:p w14:paraId="7DA3F7B9">
            <w:pPr>
              <w:adjustRightInd w:val="0"/>
              <w:spacing w:line="420" w:lineRule="exact"/>
              <w:jc w:val="center"/>
              <w:rPr>
                <w:rFonts w:cs="楷体"/>
                <w:color w:val="000000"/>
                <w:sz w:val="21"/>
                <w:szCs w:val="21"/>
                <w:lang w:eastAsia="zh-CN"/>
              </w:rPr>
            </w:pPr>
          </w:p>
        </w:tc>
      </w:tr>
    </w:tbl>
    <w:p w14:paraId="7C3929DC">
      <w:pPr>
        <w:adjustRightInd w:val="0"/>
        <w:spacing w:line="420" w:lineRule="exact"/>
        <w:rPr>
          <w:rFonts w:hint="eastAsia" w:cs="楷体"/>
          <w:color w:val="000000"/>
          <w:sz w:val="21"/>
          <w:szCs w:val="21"/>
          <w:lang w:eastAsia="zh-CN"/>
        </w:rPr>
      </w:pPr>
      <w:r>
        <w:rPr>
          <w:rFonts w:hint="eastAsia" w:cs="楷体"/>
          <w:color w:val="000000"/>
          <w:sz w:val="21"/>
          <w:szCs w:val="21"/>
          <w:lang w:eastAsia="zh-CN"/>
        </w:rPr>
        <w:t>注：1、附必要的证明材料；</w:t>
      </w:r>
    </w:p>
    <w:p w14:paraId="52B0D3B6">
      <w:pPr>
        <w:adjustRightInd w:val="0"/>
        <w:spacing w:line="420" w:lineRule="exact"/>
        <w:rPr>
          <w:rFonts w:cs="楷体"/>
          <w:color w:val="000000"/>
          <w:sz w:val="21"/>
          <w:szCs w:val="21"/>
          <w:lang w:eastAsia="zh-CN"/>
        </w:rPr>
      </w:pPr>
      <w:r>
        <w:rPr>
          <w:rFonts w:hint="eastAsia" w:cs="楷体"/>
          <w:color w:val="000000"/>
          <w:sz w:val="21"/>
          <w:szCs w:val="21"/>
          <w:lang w:eastAsia="zh-CN"/>
        </w:rPr>
        <w:t>2、如有多个已完成项目，每个项目填一张此表。</w:t>
      </w:r>
    </w:p>
    <w:p w14:paraId="28CEC9DE">
      <w:pPr>
        <w:autoSpaceDE/>
        <w:autoSpaceDN/>
        <w:spacing w:line="360" w:lineRule="auto"/>
        <w:jc w:val="center"/>
        <w:rPr>
          <w:rFonts w:cs="楷体"/>
          <w:b/>
          <w:color w:val="000000"/>
          <w:kern w:val="2"/>
          <w:sz w:val="32"/>
          <w:lang w:eastAsia="zh-CN"/>
        </w:rPr>
      </w:pPr>
      <w:r>
        <w:rPr>
          <w:rFonts w:hint="eastAsia" w:cs="楷体"/>
          <w:color w:val="000000"/>
          <w:sz w:val="18"/>
          <w:szCs w:val="18"/>
          <w:lang w:eastAsia="zh-CN"/>
        </w:rPr>
        <w:br w:type="page"/>
      </w:r>
      <w:r>
        <w:rPr>
          <w:rFonts w:hint="eastAsia" w:cs="楷体"/>
          <w:b/>
          <w:color w:val="000000"/>
          <w:kern w:val="2"/>
          <w:sz w:val="28"/>
          <w:szCs w:val="28"/>
          <w:lang w:eastAsia="zh-CN"/>
        </w:rPr>
        <w:t>（四）正在监理的和新承接的项目情况表</w:t>
      </w:r>
    </w:p>
    <w:p w14:paraId="64D9F75F">
      <w:pPr>
        <w:adjustRightInd w:val="0"/>
        <w:spacing w:line="420" w:lineRule="exact"/>
        <w:rPr>
          <w:rFonts w:cs="楷体"/>
          <w:color w:val="000000"/>
          <w:sz w:val="21"/>
          <w:szCs w:val="21"/>
          <w:lang w:eastAsia="zh-CN"/>
        </w:rPr>
      </w:pPr>
    </w:p>
    <w:tbl>
      <w:tblPr>
        <w:tblStyle w:val="16"/>
        <w:tblW w:w="96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1"/>
        <w:gridCol w:w="7309"/>
      </w:tblGrid>
      <w:tr w14:paraId="128CA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371" w:type="dxa"/>
            <w:noWrap/>
            <w:vAlign w:val="center"/>
          </w:tcPr>
          <w:p w14:paraId="774B2F64">
            <w:pPr>
              <w:adjustRightInd w:val="0"/>
              <w:spacing w:line="420" w:lineRule="exact"/>
              <w:jc w:val="center"/>
              <w:rPr>
                <w:rFonts w:cs="楷体"/>
                <w:color w:val="000000"/>
                <w:sz w:val="24"/>
                <w:szCs w:val="24"/>
                <w:lang w:eastAsia="zh-CN"/>
              </w:rPr>
            </w:pPr>
            <w:r>
              <w:rPr>
                <w:rFonts w:hint="eastAsia" w:cs="楷体"/>
                <w:color w:val="000000"/>
                <w:sz w:val="24"/>
                <w:szCs w:val="24"/>
                <w:lang w:eastAsia="zh-CN"/>
              </w:rPr>
              <w:t>项目名称</w:t>
            </w:r>
          </w:p>
        </w:tc>
        <w:tc>
          <w:tcPr>
            <w:tcW w:w="7309" w:type="dxa"/>
            <w:noWrap/>
            <w:vAlign w:val="center"/>
          </w:tcPr>
          <w:p w14:paraId="49AA14BC">
            <w:pPr>
              <w:adjustRightInd w:val="0"/>
              <w:spacing w:line="420" w:lineRule="exact"/>
              <w:jc w:val="center"/>
              <w:rPr>
                <w:rFonts w:cs="楷体"/>
                <w:color w:val="000000"/>
                <w:sz w:val="24"/>
                <w:szCs w:val="24"/>
                <w:lang w:eastAsia="zh-CN"/>
              </w:rPr>
            </w:pPr>
          </w:p>
        </w:tc>
      </w:tr>
      <w:tr w14:paraId="6E55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371" w:type="dxa"/>
            <w:noWrap/>
            <w:vAlign w:val="center"/>
          </w:tcPr>
          <w:p w14:paraId="57B4845B">
            <w:pPr>
              <w:adjustRightInd w:val="0"/>
              <w:spacing w:line="420" w:lineRule="exact"/>
              <w:jc w:val="center"/>
              <w:rPr>
                <w:rFonts w:cs="楷体"/>
                <w:color w:val="000000"/>
                <w:sz w:val="24"/>
                <w:szCs w:val="24"/>
                <w:lang w:eastAsia="zh-CN"/>
              </w:rPr>
            </w:pPr>
            <w:r>
              <w:rPr>
                <w:rFonts w:hint="eastAsia" w:cs="楷体"/>
                <w:color w:val="000000"/>
                <w:sz w:val="24"/>
                <w:szCs w:val="24"/>
                <w:lang w:eastAsia="zh-CN"/>
              </w:rPr>
              <w:t>项目所在地</w:t>
            </w:r>
          </w:p>
        </w:tc>
        <w:tc>
          <w:tcPr>
            <w:tcW w:w="7309" w:type="dxa"/>
            <w:noWrap/>
            <w:vAlign w:val="center"/>
          </w:tcPr>
          <w:p w14:paraId="7AB0BCA8">
            <w:pPr>
              <w:adjustRightInd w:val="0"/>
              <w:spacing w:line="420" w:lineRule="exact"/>
              <w:jc w:val="center"/>
              <w:rPr>
                <w:rFonts w:cs="楷体"/>
                <w:color w:val="000000"/>
                <w:sz w:val="24"/>
                <w:szCs w:val="24"/>
                <w:lang w:eastAsia="zh-CN"/>
              </w:rPr>
            </w:pPr>
          </w:p>
        </w:tc>
      </w:tr>
      <w:tr w14:paraId="1F230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371" w:type="dxa"/>
            <w:noWrap/>
            <w:vAlign w:val="center"/>
          </w:tcPr>
          <w:p w14:paraId="49340BE2">
            <w:pPr>
              <w:adjustRightInd w:val="0"/>
              <w:spacing w:line="420" w:lineRule="exact"/>
              <w:jc w:val="center"/>
              <w:rPr>
                <w:rFonts w:cs="楷体"/>
                <w:color w:val="000000"/>
                <w:sz w:val="24"/>
                <w:szCs w:val="24"/>
                <w:lang w:eastAsia="zh-CN"/>
              </w:rPr>
            </w:pPr>
            <w:r>
              <w:rPr>
                <w:rFonts w:hint="eastAsia" w:cs="楷体"/>
                <w:color w:val="000000"/>
                <w:sz w:val="24"/>
                <w:szCs w:val="24"/>
                <w:lang w:eastAsia="zh-CN"/>
              </w:rPr>
              <w:t>发包人名称</w:t>
            </w:r>
          </w:p>
        </w:tc>
        <w:tc>
          <w:tcPr>
            <w:tcW w:w="7309" w:type="dxa"/>
            <w:noWrap/>
            <w:vAlign w:val="center"/>
          </w:tcPr>
          <w:p w14:paraId="418B3914">
            <w:pPr>
              <w:adjustRightInd w:val="0"/>
              <w:spacing w:line="420" w:lineRule="exact"/>
              <w:jc w:val="center"/>
              <w:rPr>
                <w:rFonts w:cs="楷体"/>
                <w:color w:val="000000"/>
                <w:sz w:val="24"/>
                <w:szCs w:val="24"/>
                <w:lang w:eastAsia="zh-CN"/>
              </w:rPr>
            </w:pPr>
          </w:p>
        </w:tc>
      </w:tr>
      <w:tr w14:paraId="77F52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371" w:type="dxa"/>
            <w:noWrap/>
            <w:vAlign w:val="center"/>
          </w:tcPr>
          <w:p w14:paraId="6E4647B5">
            <w:pPr>
              <w:adjustRightInd w:val="0"/>
              <w:spacing w:line="420" w:lineRule="exact"/>
              <w:jc w:val="center"/>
              <w:rPr>
                <w:rFonts w:cs="楷体"/>
                <w:color w:val="000000"/>
                <w:sz w:val="24"/>
                <w:szCs w:val="24"/>
                <w:lang w:eastAsia="zh-CN"/>
              </w:rPr>
            </w:pPr>
            <w:r>
              <w:rPr>
                <w:rFonts w:hint="eastAsia" w:cs="楷体"/>
                <w:color w:val="000000"/>
                <w:sz w:val="24"/>
                <w:szCs w:val="24"/>
                <w:lang w:eastAsia="zh-CN"/>
              </w:rPr>
              <w:t>发包人地址</w:t>
            </w:r>
          </w:p>
        </w:tc>
        <w:tc>
          <w:tcPr>
            <w:tcW w:w="7309" w:type="dxa"/>
            <w:noWrap/>
            <w:vAlign w:val="center"/>
          </w:tcPr>
          <w:p w14:paraId="4AB20435">
            <w:pPr>
              <w:adjustRightInd w:val="0"/>
              <w:spacing w:line="420" w:lineRule="exact"/>
              <w:jc w:val="center"/>
              <w:rPr>
                <w:rFonts w:cs="楷体"/>
                <w:color w:val="000000"/>
                <w:sz w:val="24"/>
                <w:szCs w:val="24"/>
                <w:lang w:eastAsia="zh-CN"/>
              </w:rPr>
            </w:pPr>
          </w:p>
        </w:tc>
      </w:tr>
      <w:tr w14:paraId="3F8D3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371" w:type="dxa"/>
            <w:noWrap/>
            <w:vAlign w:val="center"/>
          </w:tcPr>
          <w:p w14:paraId="7E3192FA">
            <w:pPr>
              <w:adjustRightInd w:val="0"/>
              <w:spacing w:line="420" w:lineRule="exact"/>
              <w:jc w:val="center"/>
              <w:rPr>
                <w:rFonts w:cs="楷体"/>
                <w:color w:val="000000"/>
                <w:sz w:val="24"/>
                <w:szCs w:val="24"/>
                <w:lang w:eastAsia="zh-CN"/>
              </w:rPr>
            </w:pPr>
            <w:r>
              <w:rPr>
                <w:rFonts w:hint="eastAsia" w:cs="楷体"/>
                <w:color w:val="000000"/>
                <w:sz w:val="24"/>
                <w:szCs w:val="24"/>
                <w:lang w:eastAsia="zh-CN"/>
              </w:rPr>
              <w:t>发包人电话</w:t>
            </w:r>
          </w:p>
        </w:tc>
        <w:tc>
          <w:tcPr>
            <w:tcW w:w="7309" w:type="dxa"/>
            <w:noWrap/>
            <w:vAlign w:val="center"/>
          </w:tcPr>
          <w:p w14:paraId="05AF5182">
            <w:pPr>
              <w:adjustRightInd w:val="0"/>
              <w:spacing w:line="420" w:lineRule="exact"/>
              <w:jc w:val="center"/>
              <w:rPr>
                <w:rFonts w:cs="楷体"/>
                <w:color w:val="000000"/>
                <w:sz w:val="24"/>
                <w:szCs w:val="24"/>
                <w:lang w:eastAsia="zh-CN"/>
              </w:rPr>
            </w:pPr>
          </w:p>
        </w:tc>
      </w:tr>
      <w:tr w14:paraId="2847C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371" w:type="dxa"/>
            <w:noWrap/>
            <w:vAlign w:val="center"/>
          </w:tcPr>
          <w:p w14:paraId="3637C635">
            <w:pPr>
              <w:adjustRightInd w:val="0"/>
              <w:spacing w:line="420" w:lineRule="exact"/>
              <w:jc w:val="center"/>
              <w:rPr>
                <w:rFonts w:cs="楷体"/>
                <w:color w:val="000000"/>
                <w:sz w:val="24"/>
                <w:szCs w:val="24"/>
                <w:lang w:eastAsia="zh-CN"/>
              </w:rPr>
            </w:pPr>
            <w:r>
              <w:rPr>
                <w:rFonts w:hint="eastAsia" w:cs="楷体"/>
                <w:color w:val="000000"/>
                <w:sz w:val="24"/>
                <w:szCs w:val="24"/>
                <w:lang w:eastAsia="zh-CN"/>
              </w:rPr>
              <w:t>签约合同价</w:t>
            </w:r>
          </w:p>
        </w:tc>
        <w:tc>
          <w:tcPr>
            <w:tcW w:w="7309" w:type="dxa"/>
            <w:noWrap/>
            <w:vAlign w:val="center"/>
          </w:tcPr>
          <w:p w14:paraId="4B68F197">
            <w:pPr>
              <w:adjustRightInd w:val="0"/>
              <w:spacing w:line="420" w:lineRule="exact"/>
              <w:jc w:val="center"/>
              <w:rPr>
                <w:rFonts w:cs="楷体"/>
                <w:color w:val="000000"/>
                <w:sz w:val="24"/>
                <w:szCs w:val="24"/>
                <w:lang w:eastAsia="zh-CN"/>
              </w:rPr>
            </w:pPr>
          </w:p>
        </w:tc>
      </w:tr>
      <w:tr w14:paraId="05BE6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371" w:type="dxa"/>
            <w:noWrap/>
            <w:vAlign w:val="center"/>
          </w:tcPr>
          <w:p w14:paraId="7DC760F3">
            <w:pPr>
              <w:adjustRightInd w:val="0"/>
              <w:spacing w:line="420" w:lineRule="exact"/>
              <w:jc w:val="center"/>
              <w:rPr>
                <w:rFonts w:cs="楷体"/>
                <w:color w:val="000000"/>
                <w:sz w:val="24"/>
                <w:szCs w:val="24"/>
                <w:lang w:eastAsia="zh-CN"/>
              </w:rPr>
            </w:pPr>
            <w:r>
              <w:rPr>
                <w:rFonts w:hint="eastAsia" w:cs="楷体"/>
                <w:color w:val="000000"/>
                <w:sz w:val="24"/>
                <w:szCs w:val="24"/>
                <w:lang w:eastAsia="zh-CN"/>
              </w:rPr>
              <w:t>开工日期</w:t>
            </w:r>
          </w:p>
        </w:tc>
        <w:tc>
          <w:tcPr>
            <w:tcW w:w="7309" w:type="dxa"/>
            <w:noWrap/>
            <w:vAlign w:val="center"/>
          </w:tcPr>
          <w:p w14:paraId="457F4673">
            <w:pPr>
              <w:adjustRightInd w:val="0"/>
              <w:spacing w:line="420" w:lineRule="exact"/>
              <w:jc w:val="center"/>
              <w:rPr>
                <w:rFonts w:cs="楷体"/>
                <w:color w:val="000000"/>
                <w:sz w:val="24"/>
                <w:szCs w:val="24"/>
                <w:lang w:eastAsia="zh-CN"/>
              </w:rPr>
            </w:pPr>
          </w:p>
        </w:tc>
      </w:tr>
      <w:tr w14:paraId="210FC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371" w:type="dxa"/>
            <w:noWrap/>
            <w:vAlign w:val="center"/>
          </w:tcPr>
          <w:p w14:paraId="7232480E">
            <w:pPr>
              <w:adjustRightInd w:val="0"/>
              <w:spacing w:line="420" w:lineRule="exact"/>
              <w:jc w:val="center"/>
              <w:rPr>
                <w:rFonts w:cs="楷体"/>
                <w:color w:val="000000"/>
                <w:sz w:val="24"/>
                <w:szCs w:val="24"/>
                <w:lang w:eastAsia="zh-CN"/>
              </w:rPr>
            </w:pPr>
            <w:r>
              <w:rPr>
                <w:rFonts w:hint="eastAsia" w:cs="楷体"/>
                <w:color w:val="000000"/>
                <w:sz w:val="24"/>
                <w:szCs w:val="24"/>
                <w:lang w:eastAsia="zh-CN"/>
              </w:rPr>
              <w:t>计划竣工日期</w:t>
            </w:r>
          </w:p>
        </w:tc>
        <w:tc>
          <w:tcPr>
            <w:tcW w:w="7309" w:type="dxa"/>
            <w:noWrap/>
            <w:vAlign w:val="center"/>
          </w:tcPr>
          <w:p w14:paraId="7C30B1F0">
            <w:pPr>
              <w:adjustRightInd w:val="0"/>
              <w:spacing w:line="420" w:lineRule="exact"/>
              <w:jc w:val="center"/>
              <w:rPr>
                <w:rFonts w:cs="楷体"/>
                <w:color w:val="000000"/>
                <w:sz w:val="24"/>
                <w:szCs w:val="24"/>
                <w:lang w:eastAsia="zh-CN"/>
              </w:rPr>
            </w:pPr>
          </w:p>
        </w:tc>
      </w:tr>
      <w:tr w14:paraId="3D3E7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371" w:type="dxa"/>
            <w:noWrap/>
            <w:vAlign w:val="center"/>
          </w:tcPr>
          <w:p w14:paraId="7B7057B6">
            <w:pPr>
              <w:adjustRightInd w:val="0"/>
              <w:spacing w:line="420" w:lineRule="exact"/>
              <w:jc w:val="center"/>
              <w:rPr>
                <w:rFonts w:cs="楷体"/>
                <w:color w:val="000000"/>
                <w:sz w:val="24"/>
                <w:szCs w:val="24"/>
                <w:lang w:eastAsia="zh-CN"/>
              </w:rPr>
            </w:pPr>
            <w:r>
              <w:rPr>
                <w:rFonts w:hint="eastAsia" w:cs="楷体"/>
                <w:color w:val="000000"/>
                <w:sz w:val="24"/>
                <w:szCs w:val="24"/>
                <w:lang w:eastAsia="zh-CN"/>
              </w:rPr>
              <w:t>承担的工作</w:t>
            </w:r>
          </w:p>
        </w:tc>
        <w:tc>
          <w:tcPr>
            <w:tcW w:w="7309" w:type="dxa"/>
            <w:noWrap/>
            <w:vAlign w:val="center"/>
          </w:tcPr>
          <w:p w14:paraId="68F4D531">
            <w:pPr>
              <w:adjustRightInd w:val="0"/>
              <w:spacing w:line="420" w:lineRule="exact"/>
              <w:jc w:val="center"/>
              <w:rPr>
                <w:rFonts w:cs="楷体"/>
                <w:color w:val="000000"/>
                <w:sz w:val="24"/>
                <w:szCs w:val="24"/>
                <w:lang w:eastAsia="zh-CN"/>
              </w:rPr>
            </w:pPr>
          </w:p>
        </w:tc>
      </w:tr>
      <w:tr w14:paraId="2C0D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2371" w:type="dxa"/>
            <w:noWrap/>
            <w:vAlign w:val="center"/>
          </w:tcPr>
          <w:p w14:paraId="5FA17C77">
            <w:pPr>
              <w:adjustRightInd w:val="0"/>
              <w:spacing w:line="420" w:lineRule="exact"/>
              <w:jc w:val="center"/>
              <w:rPr>
                <w:rFonts w:cs="楷体"/>
                <w:color w:val="000000"/>
                <w:sz w:val="24"/>
                <w:szCs w:val="24"/>
                <w:lang w:eastAsia="zh-CN"/>
              </w:rPr>
            </w:pPr>
            <w:r>
              <w:rPr>
                <w:rFonts w:hint="eastAsia" w:cs="楷体"/>
                <w:color w:val="000000"/>
                <w:sz w:val="24"/>
                <w:szCs w:val="24"/>
                <w:lang w:eastAsia="zh-CN"/>
              </w:rPr>
              <w:t>工程质量</w:t>
            </w:r>
          </w:p>
        </w:tc>
        <w:tc>
          <w:tcPr>
            <w:tcW w:w="7309" w:type="dxa"/>
            <w:noWrap/>
            <w:vAlign w:val="center"/>
          </w:tcPr>
          <w:p w14:paraId="15F3A916">
            <w:pPr>
              <w:adjustRightInd w:val="0"/>
              <w:spacing w:line="420" w:lineRule="exact"/>
              <w:jc w:val="center"/>
              <w:rPr>
                <w:rFonts w:cs="楷体"/>
                <w:color w:val="000000"/>
                <w:sz w:val="24"/>
                <w:szCs w:val="24"/>
                <w:lang w:eastAsia="zh-CN"/>
              </w:rPr>
            </w:pPr>
          </w:p>
        </w:tc>
      </w:tr>
      <w:tr w14:paraId="0AE05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jc w:val="center"/>
        </w:trPr>
        <w:tc>
          <w:tcPr>
            <w:tcW w:w="2371" w:type="dxa"/>
            <w:noWrap/>
            <w:vAlign w:val="center"/>
          </w:tcPr>
          <w:p w14:paraId="6E46F665">
            <w:pPr>
              <w:adjustRightInd w:val="0"/>
              <w:spacing w:line="420" w:lineRule="exact"/>
              <w:jc w:val="center"/>
              <w:rPr>
                <w:rFonts w:cs="楷体"/>
                <w:color w:val="000000"/>
                <w:sz w:val="24"/>
                <w:szCs w:val="24"/>
                <w:lang w:eastAsia="zh-CN"/>
              </w:rPr>
            </w:pPr>
            <w:r>
              <w:rPr>
                <w:rFonts w:hint="eastAsia" w:cs="楷体"/>
                <w:color w:val="000000"/>
                <w:sz w:val="24"/>
                <w:szCs w:val="24"/>
                <w:lang w:eastAsia="zh-CN"/>
              </w:rPr>
              <w:t>总监理工程师及电话</w:t>
            </w:r>
          </w:p>
        </w:tc>
        <w:tc>
          <w:tcPr>
            <w:tcW w:w="7309" w:type="dxa"/>
            <w:noWrap/>
            <w:vAlign w:val="center"/>
          </w:tcPr>
          <w:p w14:paraId="2C389985">
            <w:pPr>
              <w:adjustRightInd w:val="0"/>
              <w:spacing w:line="420" w:lineRule="exact"/>
              <w:jc w:val="center"/>
              <w:rPr>
                <w:rFonts w:cs="楷体"/>
                <w:color w:val="000000"/>
                <w:sz w:val="24"/>
                <w:szCs w:val="24"/>
                <w:lang w:eastAsia="zh-CN"/>
              </w:rPr>
            </w:pPr>
          </w:p>
        </w:tc>
      </w:tr>
      <w:tr w14:paraId="3247E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2" w:hRule="atLeast"/>
          <w:jc w:val="center"/>
        </w:trPr>
        <w:tc>
          <w:tcPr>
            <w:tcW w:w="2371" w:type="dxa"/>
            <w:noWrap/>
            <w:vAlign w:val="center"/>
          </w:tcPr>
          <w:p w14:paraId="0F67304C">
            <w:pPr>
              <w:adjustRightInd w:val="0"/>
              <w:spacing w:line="420" w:lineRule="exact"/>
              <w:jc w:val="center"/>
              <w:rPr>
                <w:rFonts w:cs="楷体"/>
                <w:color w:val="000000"/>
                <w:sz w:val="24"/>
                <w:szCs w:val="24"/>
                <w:lang w:eastAsia="zh-CN"/>
              </w:rPr>
            </w:pPr>
            <w:r>
              <w:rPr>
                <w:rFonts w:hint="eastAsia" w:cs="楷体"/>
                <w:color w:val="000000"/>
                <w:sz w:val="24"/>
                <w:szCs w:val="24"/>
                <w:lang w:eastAsia="zh-CN"/>
              </w:rPr>
              <w:t>项目描述</w:t>
            </w:r>
          </w:p>
        </w:tc>
        <w:tc>
          <w:tcPr>
            <w:tcW w:w="7309" w:type="dxa"/>
            <w:noWrap/>
            <w:vAlign w:val="center"/>
          </w:tcPr>
          <w:p w14:paraId="2D0B90F4">
            <w:pPr>
              <w:adjustRightInd w:val="0"/>
              <w:spacing w:line="420" w:lineRule="exact"/>
              <w:jc w:val="center"/>
              <w:rPr>
                <w:rFonts w:cs="楷体"/>
                <w:color w:val="000000"/>
                <w:sz w:val="24"/>
                <w:szCs w:val="24"/>
                <w:lang w:eastAsia="zh-CN"/>
              </w:rPr>
            </w:pPr>
          </w:p>
        </w:tc>
      </w:tr>
      <w:tr w14:paraId="663A7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2371" w:type="dxa"/>
            <w:noWrap/>
            <w:vAlign w:val="center"/>
          </w:tcPr>
          <w:p w14:paraId="2744BE62">
            <w:pPr>
              <w:adjustRightInd w:val="0"/>
              <w:spacing w:line="420" w:lineRule="exact"/>
              <w:jc w:val="center"/>
              <w:rPr>
                <w:rFonts w:cs="楷体"/>
                <w:color w:val="000000"/>
                <w:sz w:val="24"/>
                <w:szCs w:val="24"/>
                <w:lang w:eastAsia="zh-CN"/>
              </w:rPr>
            </w:pPr>
            <w:r>
              <w:rPr>
                <w:rFonts w:hint="eastAsia" w:cs="楷体"/>
                <w:color w:val="000000"/>
                <w:sz w:val="24"/>
                <w:szCs w:val="24"/>
                <w:lang w:eastAsia="zh-CN"/>
              </w:rPr>
              <w:t>备注</w:t>
            </w:r>
          </w:p>
        </w:tc>
        <w:tc>
          <w:tcPr>
            <w:tcW w:w="7309" w:type="dxa"/>
            <w:noWrap/>
            <w:vAlign w:val="center"/>
          </w:tcPr>
          <w:p w14:paraId="4745239B">
            <w:pPr>
              <w:adjustRightInd w:val="0"/>
              <w:spacing w:line="420" w:lineRule="exact"/>
              <w:jc w:val="center"/>
              <w:rPr>
                <w:rFonts w:cs="楷体"/>
                <w:color w:val="000000"/>
                <w:sz w:val="24"/>
                <w:szCs w:val="24"/>
                <w:lang w:eastAsia="zh-CN"/>
              </w:rPr>
            </w:pPr>
          </w:p>
        </w:tc>
      </w:tr>
    </w:tbl>
    <w:p w14:paraId="71C10BE8">
      <w:pPr>
        <w:adjustRightInd w:val="0"/>
        <w:spacing w:line="420" w:lineRule="exact"/>
        <w:rPr>
          <w:rFonts w:hint="eastAsia" w:cs="楷体"/>
          <w:color w:val="000000"/>
          <w:sz w:val="21"/>
          <w:szCs w:val="21"/>
          <w:lang w:eastAsia="zh-CN"/>
        </w:rPr>
      </w:pPr>
      <w:r>
        <w:rPr>
          <w:rFonts w:cs="楷体"/>
          <w:color w:val="000000"/>
          <w:sz w:val="24"/>
          <w:lang w:eastAsia="zh-CN"/>
        </w:rPr>
        <w:t>注：</w:t>
      </w:r>
      <w:r>
        <w:rPr>
          <w:rFonts w:hint="eastAsia" w:cs="楷体"/>
          <w:color w:val="000000"/>
          <w:sz w:val="21"/>
          <w:szCs w:val="21"/>
          <w:lang w:eastAsia="zh-CN"/>
        </w:rPr>
        <w:t>1、附必要的证明材料；</w:t>
      </w:r>
    </w:p>
    <w:p w14:paraId="627FDF78">
      <w:pPr>
        <w:adjustRightInd w:val="0"/>
        <w:spacing w:line="420" w:lineRule="exact"/>
        <w:rPr>
          <w:rFonts w:cs="楷体"/>
          <w:color w:val="000000"/>
          <w:sz w:val="24"/>
          <w:lang w:eastAsia="zh-CN"/>
        </w:rPr>
      </w:pPr>
      <w:r>
        <w:rPr>
          <w:rFonts w:hint="eastAsia" w:cs="楷体"/>
          <w:color w:val="000000"/>
          <w:sz w:val="21"/>
          <w:szCs w:val="21"/>
          <w:lang w:eastAsia="zh-CN"/>
        </w:rPr>
        <w:t>2、如有多个已完成项目，每个项目填一张此表。</w:t>
      </w:r>
    </w:p>
    <w:p w14:paraId="3DA8598E">
      <w:pPr>
        <w:autoSpaceDE/>
        <w:autoSpaceDN/>
        <w:spacing w:line="360" w:lineRule="auto"/>
        <w:jc w:val="center"/>
        <w:rPr>
          <w:rFonts w:hint="eastAsia" w:cs="楷体"/>
          <w:b/>
          <w:color w:val="000000"/>
          <w:kern w:val="2"/>
          <w:sz w:val="28"/>
          <w:szCs w:val="28"/>
          <w:lang w:eastAsia="zh-CN"/>
        </w:rPr>
      </w:pPr>
      <w:r>
        <w:rPr>
          <w:rFonts w:cs="楷体"/>
          <w:b/>
          <w:color w:val="000000"/>
          <w:kern w:val="2"/>
          <w:sz w:val="28"/>
          <w:szCs w:val="20"/>
          <w:lang w:eastAsia="zh-CN"/>
        </w:rPr>
        <w:br w:type="page"/>
      </w:r>
      <w:r>
        <w:rPr>
          <w:rFonts w:hint="eastAsia" w:cs="楷体"/>
          <w:b/>
          <w:color w:val="000000"/>
          <w:kern w:val="2"/>
          <w:sz w:val="28"/>
          <w:szCs w:val="28"/>
          <w:lang w:eastAsia="zh-CN"/>
        </w:rPr>
        <w:t>（五）综合标其他证明材料</w:t>
      </w:r>
    </w:p>
    <w:p w14:paraId="780C72E5">
      <w:pPr>
        <w:autoSpaceDE/>
        <w:autoSpaceDN/>
        <w:spacing w:line="360" w:lineRule="auto"/>
        <w:jc w:val="center"/>
        <w:rPr>
          <w:rFonts w:hint="eastAsia"/>
          <w:kern w:val="2"/>
          <w:sz w:val="24"/>
          <w:szCs w:val="21"/>
          <w:lang w:eastAsia="zh-CN"/>
        </w:rPr>
      </w:pPr>
      <w:r>
        <w:rPr>
          <w:rFonts w:hint="eastAsia"/>
          <w:kern w:val="2"/>
          <w:sz w:val="24"/>
          <w:szCs w:val="21"/>
        </w:rPr>
        <w:t>（格式自拟，应逐页加盖</w:t>
      </w:r>
      <w:r>
        <w:rPr>
          <w:rFonts w:hint="eastAsia" w:cs="Times New Roman"/>
          <w:color w:val="000000"/>
          <w:kern w:val="2"/>
          <w:sz w:val="24"/>
          <w:szCs w:val="24"/>
        </w:rPr>
        <w:t>电子签章</w:t>
      </w:r>
      <w:r>
        <w:rPr>
          <w:rFonts w:hint="eastAsia"/>
          <w:kern w:val="2"/>
          <w:sz w:val="24"/>
          <w:szCs w:val="21"/>
        </w:rPr>
        <w:t>。）</w:t>
      </w:r>
    </w:p>
    <w:p w14:paraId="21EE6F2D">
      <w:pPr>
        <w:autoSpaceDE/>
        <w:autoSpaceDN/>
        <w:spacing w:line="360" w:lineRule="auto"/>
        <w:jc w:val="center"/>
        <w:rPr>
          <w:rFonts w:hint="eastAsia"/>
          <w:kern w:val="2"/>
          <w:sz w:val="24"/>
          <w:szCs w:val="21"/>
          <w:lang w:eastAsia="zh-CN"/>
        </w:rPr>
      </w:pPr>
    </w:p>
    <w:p w14:paraId="204356C4">
      <w:pPr>
        <w:autoSpaceDE/>
        <w:autoSpaceDN/>
        <w:spacing w:line="360" w:lineRule="auto"/>
        <w:jc w:val="center"/>
        <w:rPr>
          <w:rFonts w:cs="楷体"/>
          <w:b/>
          <w:color w:val="000000"/>
          <w:kern w:val="2"/>
          <w:sz w:val="28"/>
          <w:szCs w:val="20"/>
          <w:lang w:eastAsia="zh-CN"/>
        </w:rPr>
      </w:pPr>
    </w:p>
    <w:p w14:paraId="44337DD3">
      <w:pPr>
        <w:autoSpaceDE/>
        <w:autoSpaceDN/>
        <w:spacing w:line="360" w:lineRule="auto"/>
        <w:jc w:val="center"/>
        <w:rPr>
          <w:b/>
          <w:kern w:val="2"/>
          <w:sz w:val="28"/>
          <w:szCs w:val="28"/>
          <w:lang w:eastAsia="zh-CN"/>
        </w:rPr>
      </w:pPr>
      <w:r>
        <w:rPr>
          <w:rFonts w:cs="楷体"/>
          <w:b/>
          <w:color w:val="000000"/>
          <w:kern w:val="2"/>
          <w:sz w:val="28"/>
          <w:szCs w:val="20"/>
          <w:lang w:eastAsia="zh-CN"/>
        </w:rPr>
        <w:br w:type="page"/>
      </w:r>
      <w:bookmarkEnd w:id="536"/>
      <w:bookmarkEnd w:id="537"/>
      <w:r>
        <w:rPr>
          <w:rFonts w:hint="eastAsia" w:cs="楷体"/>
          <w:b/>
          <w:color w:val="000000"/>
          <w:kern w:val="2"/>
          <w:sz w:val="32"/>
          <w:lang w:eastAsia="zh-CN"/>
        </w:rPr>
        <w:t>七、其他资料</w:t>
      </w:r>
    </w:p>
    <w:p w14:paraId="13374958">
      <w:pPr>
        <w:tabs>
          <w:tab w:val="left" w:pos="425"/>
        </w:tabs>
        <w:autoSpaceDE/>
        <w:autoSpaceDN/>
        <w:spacing w:before="260" w:after="260" w:line="413" w:lineRule="auto"/>
        <w:ind w:left="425" w:hanging="425"/>
        <w:jc w:val="center"/>
        <w:outlineLvl w:val="1"/>
        <w:rPr>
          <w:rFonts w:cs="Times New Roman"/>
          <w:kern w:val="2"/>
          <w:sz w:val="24"/>
          <w:lang w:eastAsia="zh-CN"/>
        </w:rPr>
      </w:pPr>
      <w:r>
        <w:rPr>
          <w:rFonts w:hint="eastAsia"/>
          <w:kern w:val="2"/>
          <w:sz w:val="24"/>
          <w:szCs w:val="24"/>
          <w:lang w:eastAsia="zh-CN"/>
        </w:rPr>
        <w:t>（磋商文件及评分办法中要求的其他资料或投标人认为其他需提供的资料，应逐页加盖</w:t>
      </w:r>
      <w:r>
        <w:rPr>
          <w:rFonts w:hint="eastAsia" w:cs="Times New Roman"/>
          <w:color w:val="000000"/>
          <w:kern w:val="2"/>
          <w:sz w:val="24"/>
          <w:szCs w:val="24"/>
          <w:lang w:eastAsia="zh-CN"/>
        </w:rPr>
        <w:t>电子签章</w:t>
      </w:r>
      <w:r>
        <w:rPr>
          <w:rFonts w:hint="eastAsia"/>
          <w:kern w:val="2"/>
          <w:sz w:val="24"/>
          <w:szCs w:val="24"/>
          <w:lang w:eastAsia="zh-CN"/>
        </w:rPr>
        <w:t>。）</w:t>
      </w:r>
    </w:p>
    <w:p w14:paraId="480B04D2">
      <w:pPr>
        <w:autoSpaceDE/>
        <w:autoSpaceDN/>
        <w:jc w:val="both"/>
        <w:rPr>
          <w:rFonts w:cs="Times New Roman"/>
          <w:kern w:val="2"/>
          <w:sz w:val="24"/>
          <w:lang w:eastAsia="zh-CN"/>
        </w:rPr>
      </w:pPr>
    </w:p>
    <w:p w14:paraId="313F0EBD">
      <w:pPr>
        <w:pStyle w:val="5"/>
        <w:ind w:right="518"/>
        <w:rPr>
          <w:lang w:eastAsia="zh-CN"/>
        </w:rPr>
      </w:pPr>
    </w:p>
    <w:p w14:paraId="55B4B0B9">
      <w:pPr>
        <w:rPr>
          <w:rFonts w:hint="eastAsia" w:ascii="宋体" w:hAnsi="宋体" w:eastAsia="宋体" w:cs="宋体"/>
          <w:b/>
          <w:bCs/>
          <w:kern w:val="10"/>
          <w:sz w:val="32"/>
          <w:szCs w:val="32"/>
          <w:highlight w:val="none"/>
        </w:rPr>
      </w:pPr>
      <w:r>
        <w:rPr>
          <w:rFonts w:hint="eastAsia" w:ascii="宋体" w:hAnsi="宋体" w:eastAsia="宋体" w:cs="宋体"/>
          <w:b/>
          <w:bCs/>
          <w:kern w:val="10"/>
          <w:sz w:val="32"/>
          <w:szCs w:val="32"/>
          <w:highlight w:val="none"/>
        </w:rPr>
        <w:br w:type="page"/>
      </w:r>
    </w:p>
    <w:p w14:paraId="6657080B">
      <w:pPr>
        <w:snapToGrid w:val="0"/>
        <w:spacing w:line="480" w:lineRule="exact"/>
        <w:jc w:val="center"/>
        <w:rPr>
          <w:rFonts w:ascii="宋体" w:hAnsi="宋体" w:eastAsia="宋体" w:cs="宋体"/>
          <w:b/>
          <w:bCs/>
          <w:kern w:val="10"/>
          <w:sz w:val="32"/>
          <w:szCs w:val="32"/>
          <w:highlight w:val="none"/>
        </w:rPr>
      </w:pPr>
      <w:r>
        <w:rPr>
          <w:rFonts w:hint="eastAsia" w:ascii="宋体" w:hAnsi="宋体" w:eastAsia="宋体" w:cs="宋体"/>
          <w:b/>
          <w:bCs/>
          <w:kern w:val="10"/>
          <w:sz w:val="32"/>
          <w:szCs w:val="32"/>
          <w:highlight w:val="none"/>
        </w:rPr>
        <w:t>中小微企业声明函</w:t>
      </w:r>
    </w:p>
    <w:p w14:paraId="1E249E47">
      <w:pPr>
        <w:jc w:val="center"/>
        <w:rPr>
          <w:rFonts w:ascii="宋体" w:hAnsi="宋体" w:eastAsia="宋体" w:cs="宋体"/>
          <w:b/>
          <w:bCs/>
          <w:iCs/>
          <w:color w:val="000000"/>
          <w:sz w:val="24"/>
          <w:szCs w:val="24"/>
          <w:highlight w:val="none"/>
        </w:rPr>
      </w:pPr>
      <w:r>
        <w:rPr>
          <w:rFonts w:hint="eastAsia" w:ascii="宋体" w:hAnsi="宋体" w:eastAsia="宋体" w:cs="宋体"/>
          <w:b/>
          <w:bCs/>
          <w:iCs/>
          <w:color w:val="000000"/>
          <w:sz w:val="24"/>
          <w:szCs w:val="24"/>
          <w:highlight w:val="none"/>
        </w:rPr>
        <w:t>（属于中小微企业的填写，不属于的无需填写此项内容）</w:t>
      </w:r>
    </w:p>
    <w:p w14:paraId="79F3DE0E">
      <w:pPr>
        <w:spacing w:line="360" w:lineRule="auto"/>
        <w:ind w:firstLine="480" w:firstLineChars="200"/>
        <w:rPr>
          <w:rFonts w:ascii="宋体" w:hAnsi="宋体" w:eastAsia="宋体" w:cs="Times New Roman"/>
          <w:color w:val="000000"/>
          <w:sz w:val="24"/>
          <w:szCs w:val="24"/>
          <w:highlight w:val="none"/>
        </w:rPr>
      </w:pPr>
    </w:p>
    <w:p w14:paraId="37A02044">
      <w:pPr>
        <w:spacing w:line="500" w:lineRule="exact"/>
        <w:ind w:firstLine="480" w:firstLineChars="200"/>
        <w:rPr>
          <w:rFonts w:hint="eastAsia" w:ascii="宋体" w:hAnsi="宋体" w:cs="宋体"/>
          <w:sz w:val="24"/>
          <w:szCs w:val="24"/>
        </w:rPr>
      </w:pPr>
      <w:r>
        <w:rPr>
          <w:rFonts w:hint="eastAsia" w:ascii="宋体" w:hAnsi="宋体" w:cs="宋体"/>
          <w:sz w:val="24"/>
          <w:szCs w:val="24"/>
        </w:rPr>
        <w:t>本公司郑重声明，根据《政府采购促进中小企业发展管理办法》（财库﹝2020﹞46号）的规定，本公司参加</w:t>
      </w:r>
      <w:r>
        <w:rPr>
          <w:rFonts w:hint="eastAsia" w:ascii="宋体" w:hAnsi="宋体" w:cs="宋体"/>
          <w:sz w:val="24"/>
          <w:szCs w:val="24"/>
          <w:u w:val="single"/>
        </w:rPr>
        <w:t>（单位名称）</w:t>
      </w:r>
      <w:r>
        <w:rPr>
          <w:rFonts w:hint="eastAsia" w:ascii="宋体" w:hAnsi="宋体" w:cs="宋体"/>
          <w:sz w:val="24"/>
          <w:szCs w:val="24"/>
        </w:rPr>
        <w:t>的</w:t>
      </w:r>
      <w:r>
        <w:rPr>
          <w:rFonts w:hint="eastAsia" w:ascii="宋体" w:hAnsi="宋体" w:cs="宋体"/>
          <w:sz w:val="24"/>
          <w:szCs w:val="24"/>
          <w:u w:val="single"/>
        </w:rPr>
        <w:t>（项目名称）</w:t>
      </w:r>
      <w:r>
        <w:rPr>
          <w:rFonts w:hint="eastAsia" w:ascii="宋体" w:hAnsi="宋体" w:cs="宋体"/>
          <w:sz w:val="24"/>
          <w:szCs w:val="24"/>
        </w:rPr>
        <w:t>采购活动，提供服务的单位全部由符合政策要求的中小企业承接。相关企业的具体情况如下：</w:t>
      </w:r>
    </w:p>
    <w:p w14:paraId="7FC616BD">
      <w:pPr>
        <w:spacing w:line="500" w:lineRule="exact"/>
        <w:ind w:firstLine="480" w:firstLineChars="200"/>
        <w:rPr>
          <w:rFonts w:hint="eastAsia" w:ascii="宋体" w:hAnsi="宋体" w:cs="宋体"/>
          <w:sz w:val="24"/>
          <w:szCs w:val="24"/>
        </w:rPr>
      </w:pPr>
      <w:r>
        <w:rPr>
          <w:rFonts w:hint="eastAsia" w:ascii="宋体" w:hAnsi="宋体" w:cs="宋体"/>
          <w:sz w:val="24"/>
          <w:szCs w:val="24"/>
          <w:u w:val="single"/>
        </w:rPr>
        <w:t>（标的名称）</w:t>
      </w:r>
      <w:r>
        <w:rPr>
          <w:rFonts w:hint="eastAsia" w:ascii="宋体" w:hAnsi="宋体" w:cs="宋体"/>
          <w:sz w:val="24"/>
          <w:szCs w:val="24"/>
        </w:rPr>
        <w:t>，属于</w:t>
      </w:r>
      <w:r>
        <w:rPr>
          <w:rFonts w:hint="eastAsia" w:ascii="宋体" w:hAnsi="宋体" w:cs="宋体"/>
          <w:sz w:val="24"/>
          <w:szCs w:val="24"/>
          <w:u w:val="single"/>
        </w:rPr>
        <w:t>（其他未列明行业）</w:t>
      </w:r>
      <w:r>
        <w:rPr>
          <w:rFonts w:hint="eastAsia" w:ascii="宋体" w:hAnsi="宋体" w:cs="宋体"/>
          <w:sz w:val="24"/>
          <w:szCs w:val="24"/>
        </w:rPr>
        <w:t>；承接企业为</w:t>
      </w:r>
      <w:r>
        <w:rPr>
          <w:rFonts w:hint="eastAsia" w:ascii="宋体" w:hAnsi="宋体" w:cs="宋体"/>
          <w:sz w:val="24"/>
          <w:szCs w:val="24"/>
          <w:u w:val="single"/>
        </w:rPr>
        <w:t>（企业名称）</w:t>
      </w:r>
      <w:r>
        <w:rPr>
          <w:rFonts w:hint="eastAsia" w:ascii="宋体" w:hAnsi="宋体" w:cs="宋体"/>
          <w:sz w:val="24"/>
          <w:szCs w:val="24"/>
        </w:rPr>
        <w:t>，从业人员</w:t>
      </w:r>
      <w:r>
        <w:rPr>
          <w:rFonts w:hint="eastAsia" w:ascii="宋体" w:hAnsi="宋体" w:cs="宋体"/>
          <w:sz w:val="24"/>
          <w:szCs w:val="24"/>
          <w:u w:val="single"/>
        </w:rPr>
        <w:t xml:space="preserve">   </w:t>
      </w:r>
      <w:r>
        <w:rPr>
          <w:rFonts w:hint="eastAsia" w:ascii="宋体" w:hAnsi="宋体" w:cs="宋体"/>
          <w:sz w:val="24"/>
          <w:szCs w:val="24"/>
        </w:rPr>
        <w:t>人，营业收入为</w:t>
      </w:r>
      <w:r>
        <w:rPr>
          <w:rFonts w:hint="eastAsia" w:ascii="宋体" w:hAnsi="宋体" w:cs="宋体"/>
          <w:sz w:val="24"/>
          <w:szCs w:val="24"/>
          <w:u w:val="single"/>
        </w:rPr>
        <w:t xml:space="preserve">    </w:t>
      </w:r>
      <w:r>
        <w:rPr>
          <w:rFonts w:hint="eastAsia" w:ascii="宋体" w:hAnsi="宋体" w:cs="宋体"/>
          <w:sz w:val="24"/>
          <w:szCs w:val="24"/>
        </w:rPr>
        <w:t>万元，资产额为</w:t>
      </w:r>
      <w:r>
        <w:rPr>
          <w:rFonts w:hint="eastAsia" w:ascii="宋体" w:hAnsi="宋体" w:cs="宋体"/>
          <w:sz w:val="24"/>
          <w:szCs w:val="24"/>
          <w:u w:val="single"/>
        </w:rPr>
        <w:t xml:space="preserve">   </w:t>
      </w:r>
      <w:r>
        <w:rPr>
          <w:rFonts w:hint="eastAsia" w:ascii="宋体" w:hAnsi="宋体" w:cs="宋体"/>
          <w:sz w:val="24"/>
          <w:szCs w:val="24"/>
        </w:rPr>
        <w:t>万元，属于</w:t>
      </w:r>
      <w:r>
        <w:rPr>
          <w:rFonts w:hint="eastAsia" w:ascii="宋体" w:hAnsi="宋体" w:cs="宋体"/>
          <w:sz w:val="24"/>
          <w:szCs w:val="24"/>
          <w:u w:val="single"/>
        </w:rPr>
        <w:t>（中型企业、小型企业、微型企业）</w:t>
      </w:r>
      <w:r>
        <w:rPr>
          <w:rFonts w:hint="eastAsia" w:ascii="宋体" w:hAnsi="宋体" w:cs="宋体"/>
          <w:sz w:val="24"/>
          <w:szCs w:val="24"/>
        </w:rPr>
        <w:t>；</w:t>
      </w:r>
    </w:p>
    <w:p w14:paraId="19471C2B">
      <w:pPr>
        <w:spacing w:line="500" w:lineRule="exact"/>
        <w:ind w:firstLine="480" w:firstLineChars="200"/>
        <w:rPr>
          <w:rFonts w:hint="eastAsia" w:ascii="宋体" w:hAnsi="宋体" w:cs="宋体"/>
          <w:sz w:val="24"/>
          <w:szCs w:val="24"/>
        </w:rPr>
      </w:pPr>
      <w:r>
        <w:rPr>
          <w:rFonts w:hint="eastAsia" w:ascii="宋体" w:hAnsi="宋体" w:cs="宋体"/>
          <w:sz w:val="24"/>
          <w:szCs w:val="24"/>
        </w:rPr>
        <w:t>以上企业，不属于大企业的分支机构，不存在控股股东为大企业的情形，也不存在与大企业的负责人为同一人的情形。</w:t>
      </w:r>
    </w:p>
    <w:p w14:paraId="6329EBEF">
      <w:pPr>
        <w:spacing w:line="500" w:lineRule="exact"/>
        <w:ind w:firstLine="480" w:firstLineChars="200"/>
        <w:rPr>
          <w:rFonts w:hint="eastAsia" w:ascii="宋体" w:hAnsi="宋体" w:cs="宋体"/>
          <w:sz w:val="24"/>
          <w:szCs w:val="24"/>
        </w:rPr>
      </w:pPr>
      <w:r>
        <w:rPr>
          <w:rFonts w:hint="eastAsia" w:ascii="宋体" w:hAnsi="宋体" w:cs="宋体"/>
          <w:sz w:val="24"/>
          <w:szCs w:val="24"/>
        </w:rPr>
        <w:t>本企业对上述声明内容的真实性负责。如有虚假，将依法承担相应责任。</w:t>
      </w:r>
    </w:p>
    <w:p w14:paraId="7D5657EF">
      <w:pPr>
        <w:spacing w:line="500" w:lineRule="exact"/>
        <w:ind w:left="6224" w:leftChars="2964"/>
        <w:rPr>
          <w:rFonts w:hint="eastAsia" w:ascii="宋体" w:hAnsi="宋体" w:cs="宋体"/>
          <w:sz w:val="24"/>
          <w:szCs w:val="24"/>
        </w:rPr>
      </w:pPr>
      <w:r>
        <w:rPr>
          <w:color w:val="000000"/>
          <w:sz w:val="24"/>
        </w:rPr>
        <w:t xml:space="preserve">                                        </w:t>
      </w:r>
      <w:r>
        <w:rPr>
          <w:rFonts w:hint="eastAsia" w:ascii="宋体" w:hAnsi="宋体" w:cs="宋体"/>
          <w:sz w:val="24"/>
          <w:szCs w:val="24"/>
        </w:rPr>
        <w:t>企业名称（盖章）：</w:t>
      </w:r>
    </w:p>
    <w:p w14:paraId="25E1C763">
      <w:pPr>
        <w:spacing w:line="500" w:lineRule="exact"/>
        <w:ind w:firstLine="6240" w:firstLineChars="2600"/>
        <w:rPr>
          <w:rFonts w:hint="eastAsia" w:ascii="宋体" w:hAnsi="宋体" w:cs="宋体"/>
          <w:sz w:val="24"/>
          <w:szCs w:val="24"/>
        </w:rPr>
      </w:pPr>
      <w:r>
        <w:rPr>
          <w:rFonts w:hint="eastAsia" w:ascii="宋体" w:hAnsi="宋体" w:cs="宋体"/>
          <w:sz w:val="24"/>
          <w:szCs w:val="24"/>
        </w:rPr>
        <w:t>日 期：</w:t>
      </w:r>
    </w:p>
    <w:p w14:paraId="7CBFFD2F">
      <w:pPr>
        <w:spacing w:line="500" w:lineRule="exact"/>
        <w:ind w:firstLine="480" w:firstLineChars="200"/>
        <w:rPr>
          <w:rFonts w:hint="eastAsia" w:ascii="宋体" w:hAnsi="宋体" w:cs="宋体"/>
          <w:sz w:val="24"/>
          <w:szCs w:val="24"/>
        </w:rPr>
      </w:pPr>
    </w:p>
    <w:p w14:paraId="37AF1A0E">
      <w:pPr>
        <w:spacing w:line="360" w:lineRule="auto"/>
        <w:ind w:firstLine="480" w:firstLineChars="200"/>
        <w:rPr>
          <w:rFonts w:ascii="宋体" w:hAnsi="宋体"/>
          <w:sz w:val="24"/>
          <w:szCs w:val="24"/>
        </w:rPr>
      </w:pPr>
      <w:r>
        <w:rPr>
          <w:rFonts w:hint="eastAsia" w:ascii="宋体" w:hAnsi="宋体"/>
          <w:sz w:val="24"/>
          <w:szCs w:val="24"/>
        </w:rPr>
        <w:t>注：1.</w:t>
      </w:r>
      <w:r>
        <w:rPr>
          <w:rFonts w:ascii="宋体" w:hAnsi="宋体"/>
          <w:sz w:val="24"/>
          <w:szCs w:val="24"/>
        </w:rPr>
        <w:t>从业人员、 营业收入、 资产总额填报上一年度数据， 无上一年度数据的新成立企业可不填报。</w:t>
      </w:r>
    </w:p>
    <w:p w14:paraId="740729F3">
      <w:pPr>
        <w:spacing w:after="120" w:line="360" w:lineRule="auto"/>
        <w:ind w:firstLine="480" w:firstLineChars="200"/>
        <w:rPr>
          <w:rFonts w:ascii="宋体" w:hAnsi="宋体" w:cs="宋体"/>
          <w:bCs/>
          <w:sz w:val="24"/>
          <w:szCs w:val="24"/>
        </w:rPr>
      </w:pPr>
      <w:r>
        <w:rPr>
          <w:rFonts w:hint="eastAsia" w:ascii="宋体" w:hAnsi="宋体"/>
          <w:sz w:val="24"/>
          <w:szCs w:val="24"/>
        </w:rPr>
        <w:t>2.</w:t>
      </w:r>
      <w:r>
        <w:rPr>
          <w:rFonts w:hint="eastAsia" w:ascii="宋体" w:hAnsi="宋体" w:cs="宋体"/>
          <w:bCs/>
          <w:sz w:val="24"/>
          <w:szCs w:val="24"/>
        </w:rPr>
        <w:t>供应商提供《中小企业声明函》内容不实的,属于“隐瞒真实情况,提供虚假资料的”情形,依照《政府采购法》的有关规定追究相应责任。</w:t>
      </w:r>
    </w:p>
    <w:p w14:paraId="04CD39A6">
      <w:pPr>
        <w:spacing w:after="120" w:line="360" w:lineRule="auto"/>
        <w:ind w:firstLine="480" w:firstLineChars="200"/>
        <w:rPr>
          <w:rFonts w:ascii="宋体" w:hAnsi="宋体" w:cs="宋体"/>
          <w:bCs/>
          <w:sz w:val="24"/>
          <w:szCs w:val="24"/>
        </w:rPr>
      </w:pPr>
      <w:r>
        <w:rPr>
          <w:rFonts w:hint="eastAsia" w:ascii="宋体" w:hAnsi="宋体" w:cs="宋体"/>
          <w:bCs/>
          <w:sz w:val="24"/>
          <w:szCs w:val="24"/>
        </w:rPr>
        <w:t>3</w:t>
      </w:r>
      <w:r>
        <w:rPr>
          <w:rFonts w:ascii="宋体" w:hAnsi="宋体" w:cs="宋体"/>
          <w:bCs/>
          <w:sz w:val="24"/>
          <w:szCs w:val="24"/>
        </w:rPr>
        <w:t>.</w:t>
      </w:r>
      <w:r>
        <w:rPr>
          <w:rFonts w:hint="eastAsia"/>
        </w:rPr>
        <w:t xml:space="preserve"> </w:t>
      </w:r>
      <w:r>
        <w:rPr>
          <w:rFonts w:hint="eastAsia" w:ascii="宋体" w:hAnsi="宋体" w:cs="宋体"/>
          <w:bCs/>
          <w:sz w:val="24"/>
          <w:szCs w:val="24"/>
        </w:rPr>
        <w:t>中小企业划分标准见附件。</w:t>
      </w:r>
    </w:p>
    <w:p w14:paraId="1757E2BD">
      <w:pPr>
        <w:wordWrap w:val="0"/>
        <w:topLinePunct/>
        <w:spacing w:line="360" w:lineRule="auto"/>
        <w:rPr>
          <w:rFonts w:ascii="宋体" w:hAnsi="宋体" w:eastAsia="宋体" w:cs="宋体"/>
          <w:szCs w:val="21"/>
          <w:highlight w:val="none"/>
        </w:rPr>
      </w:pPr>
    </w:p>
    <w:p w14:paraId="276E248A">
      <w:pPr>
        <w:pageBreakBefore w:val="0"/>
        <w:widowControl w:val="0"/>
        <w:numPr>
          <w:ilvl w:val="0"/>
          <w:numId w:val="0"/>
        </w:numPr>
        <w:kinsoku/>
        <w:wordWrap w:val="0"/>
        <w:overflowPunct/>
        <w:topLinePunct/>
        <w:autoSpaceDE w:val="0"/>
        <w:autoSpaceDN w:val="0"/>
        <w:bidi w:val="0"/>
        <w:adjustRightInd w:val="0"/>
        <w:spacing w:line="500" w:lineRule="exact"/>
        <w:ind w:right="40" w:rightChars="0"/>
        <w:jc w:val="left"/>
        <w:textAlignment w:val="auto"/>
        <w:rPr>
          <w:rFonts w:ascii="宋体" w:hAnsi="宋体" w:eastAsia="宋体" w:cs="宋体"/>
          <w:b/>
          <w:bCs/>
          <w:sz w:val="28"/>
          <w:szCs w:val="28"/>
          <w:highlight w:val="none"/>
        </w:rPr>
      </w:pPr>
      <w:r>
        <w:rPr>
          <w:rFonts w:ascii="宋体" w:hAnsi="宋体" w:eastAsia="宋体" w:cs="宋体"/>
          <w:szCs w:val="21"/>
          <w:highlight w:val="none"/>
        </w:rPr>
        <w:br w:type="page"/>
      </w:r>
    </w:p>
    <w:p w14:paraId="61446364">
      <w:pPr>
        <w:widowControl/>
        <w:spacing w:line="500" w:lineRule="exact"/>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附件：</w:t>
      </w:r>
    </w:p>
    <w:p w14:paraId="6A6BF4C1">
      <w:pPr>
        <w:widowControl/>
        <w:spacing w:line="500" w:lineRule="exact"/>
        <w:jc w:val="center"/>
        <w:rPr>
          <w:rFonts w:ascii="宋体" w:hAnsi="宋体" w:eastAsia="宋体" w:cs="Times New Roman"/>
          <w:sz w:val="28"/>
          <w:szCs w:val="28"/>
          <w:highlight w:val="none"/>
        </w:rPr>
      </w:pPr>
      <w:r>
        <w:rPr>
          <w:rFonts w:hint="eastAsia" w:ascii="宋体" w:hAnsi="宋体" w:eastAsia="宋体" w:cs="Times New Roman"/>
          <w:sz w:val="28"/>
          <w:szCs w:val="28"/>
          <w:highlight w:val="none"/>
        </w:rPr>
        <w:t>工业和信息化部、国家统计局、国家发展和改革委员会、财政部</w:t>
      </w:r>
    </w:p>
    <w:p w14:paraId="2B3F4877">
      <w:pPr>
        <w:widowControl/>
        <w:spacing w:line="500" w:lineRule="exact"/>
        <w:jc w:val="center"/>
        <w:rPr>
          <w:rFonts w:ascii="宋体" w:hAnsi="宋体" w:eastAsia="宋体" w:cs="Times New Roman"/>
          <w:sz w:val="28"/>
          <w:szCs w:val="28"/>
          <w:highlight w:val="none"/>
        </w:rPr>
      </w:pPr>
      <w:r>
        <w:rPr>
          <w:rFonts w:hint="eastAsia" w:ascii="宋体" w:hAnsi="宋体" w:eastAsia="宋体" w:cs="Times New Roman"/>
          <w:sz w:val="28"/>
          <w:szCs w:val="28"/>
          <w:highlight w:val="none"/>
        </w:rPr>
        <w:t>《关于印发中小企业划型标准规定的通知》</w:t>
      </w:r>
    </w:p>
    <w:p w14:paraId="313B47B0">
      <w:pPr>
        <w:widowControl/>
        <w:spacing w:line="500" w:lineRule="exact"/>
        <w:jc w:val="center"/>
        <w:rPr>
          <w:rFonts w:ascii="宋体" w:hAnsi="宋体" w:eastAsia="宋体" w:cs="Times New Roman"/>
          <w:sz w:val="28"/>
          <w:szCs w:val="28"/>
          <w:highlight w:val="none"/>
        </w:rPr>
      </w:pPr>
      <w:r>
        <w:rPr>
          <w:rFonts w:hint="eastAsia" w:ascii="宋体" w:hAnsi="宋体" w:eastAsia="宋体" w:cs="Times New Roman"/>
          <w:sz w:val="28"/>
          <w:szCs w:val="28"/>
          <w:highlight w:val="none"/>
        </w:rPr>
        <w:t>工信部联企业〔2011〕300号</w:t>
      </w:r>
    </w:p>
    <w:p w14:paraId="3F057289">
      <w:pPr>
        <w:widowControl/>
        <w:spacing w:line="500" w:lineRule="exact"/>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各省、自治区、直辖市人民政府，国务院各部委、各直属机构及有关单位： </w:t>
      </w:r>
    </w:p>
    <w:p w14:paraId="3EB462E3">
      <w:pPr>
        <w:widowControl/>
        <w:spacing w:line="500" w:lineRule="exact"/>
        <w:ind w:firstLine="480" w:firstLineChars="200"/>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 </w:t>
      </w:r>
    </w:p>
    <w:p w14:paraId="4E0C679B">
      <w:pPr>
        <w:widowControl/>
        <w:spacing w:line="500" w:lineRule="exact"/>
        <w:jc w:val="right"/>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工业和信息化部 国家统计局 国家发展和改革委员会 财政部 </w:t>
      </w:r>
    </w:p>
    <w:p w14:paraId="4B1D75C8">
      <w:pPr>
        <w:widowControl/>
        <w:spacing w:line="500" w:lineRule="exact"/>
        <w:jc w:val="right"/>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二○一一年六月十八日 </w:t>
      </w:r>
    </w:p>
    <w:p w14:paraId="2766A38B">
      <w:pPr>
        <w:widowControl/>
        <w:spacing w:line="500" w:lineRule="exact"/>
        <w:jc w:val="center"/>
        <w:rPr>
          <w:rFonts w:ascii="宋体" w:hAnsi="宋体" w:eastAsia="宋体" w:cs="Times New Roman"/>
          <w:b/>
          <w:bCs/>
          <w:sz w:val="24"/>
          <w:szCs w:val="24"/>
          <w:highlight w:val="none"/>
        </w:rPr>
      </w:pPr>
      <w:r>
        <w:rPr>
          <w:rFonts w:hint="eastAsia" w:ascii="宋体" w:hAnsi="宋体" w:eastAsia="宋体" w:cs="Times New Roman"/>
          <w:b/>
          <w:bCs/>
          <w:sz w:val="24"/>
          <w:szCs w:val="24"/>
          <w:highlight w:val="none"/>
        </w:rPr>
        <w:t>中小企业划型标准规定</w:t>
      </w:r>
    </w:p>
    <w:p w14:paraId="155C1A4A">
      <w:pPr>
        <w:widowControl/>
        <w:spacing w:line="500" w:lineRule="exact"/>
        <w:ind w:firstLine="480" w:firstLineChars="200"/>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一、根据《中华人民共和国中小企业促进法》和《国务院关于进一步促进中小企业发展的若干意见》(国发〔2009〕36号)，制定本规定。 </w:t>
      </w:r>
    </w:p>
    <w:p w14:paraId="01B4DF3A">
      <w:pPr>
        <w:widowControl/>
        <w:spacing w:line="500" w:lineRule="exact"/>
        <w:ind w:firstLine="480" w:firstLineChars="200"/>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二、中小企业划分为中型、小型、微型三种类型，具体标准根据企业从业人员、营业收入、资产总额等指标，结合行业特点制定。 </w:t>
      </w:r>
    </w:p>
    <w:p w14:paraId="05C215E2">
      <w:pPr>
        <w:widowControl/>
        <w:spacing w:line="500" w:lineRule="exact"/>
        <w:ind w:firstLine="480" w:firstLineChars="200"/>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 </w:t>
      </w:r>
    </w:p>
    <w:p w14:paraId="1FA66338">
      <w:pPr>
        <w:widowControl/>
        <w:spacing w:line="500" w:lineRule="exact"/>
        <w:ind w:firstLine="480" w:firstLineChars="200"/>
        <w:jc w:val="left"/>
        <w:outlineLvl w:val="1"/>
        <w:rPr>
          <w:rFonts w:ascii="宋体" w:hAnsi="宋体" w:eastAsia="宋体" w:cs="Times New Roman"/>
          <w:sz w:val="24"/>
          <w:szCs w:val="24"/>
          <w:highlight w:val="none"/>
        </w:rPr>
      </w:pPr>
      <w:r>
        <w:rPr>
          <w:rFonts w:hint="eastAsia" w:ascii="宋体" w:hAnsi="宋体" w:eastAsia="宋体" w:cs="Times New Roman"/>
          <w:sz w:val="24"/>
          <w:szCs w:val="24"/>
          <w:highlight w:val="none"/>
        </w:rPr>
        <w:t>四、各行业划型标准为</w:t>
      </w:r>
    </w:p>
    <w:p w14:paraId="1F4DE309">
      <w:pPr>
        <w:widowControl/>
        <w:spacing w:line="500" w:lineRule="exact"/>
        <w:ind w:firstLine="480" w:firstLineChars="200"/>
        <w:jc w:val="left"/>
        <w:rPr>
          <w:rFonts w:ascii="宋体" w:hAnsi="宋体" w:eastAsia="宋体" w:cs="Times New Roman"/>
          <w:sz w:val="24"/>
          <w:szCs w:val="24"/>
          <w:highlight w:val="none"/>
        </w:rPr>
      </w:pPr>
      <w:r>
        <w:rPr>
          <w:rFonts w:hint="eastAsia" w:ascii="宋体" w:hAnsi="宋体" w:eastAsia="宋体" w:cs="宋体"/>
          <w:sz w:val="24"/>
          <w:szCs w:val="24"/>
          <w:highlight w:val="none"/>
          <w:shd w:val="clear" w:color="auto" w:fill="FFFFFF"/>
        </w:rPr>
        <w:t>（一）农、林、牧、渔业。营业收入20000万元以下的为中小微型企业。其中，营业收入500万元及以上的为中型企业，营业收入50万元及以上的为小型企业，营业收入50万元以下的为微型企业。</w:t>
      </w:r>
      <w:r>
        <w:rPr>
          <w:rFonts w:hint="eastAsia" w:ascii="宋体" w:hAnsi="宋体" w:eastAsia="宋体" w:cs="宋体"/>
          <w:sz w:val="24"/>
          <w:szCs w:val="24"/>
          <w:highlight w:val="none"/>
          <w:shd w:val="clear" w:color="auto" w:fill="FFFFFF"/>
        </w:rPr>
        <w:br w:type="textWrapping"/>
      </w:r>
      <w:r>
        <w:rPr>
          <w:rFonts w:hint="eastAsia" w:ascii="宋体" w:hAnsi="宋体" w:eastAsia="宋体" w:cs="宋体"/>
          <w:sz w:val="24"/>
          <w:szCs w:val="24"/>
          <w:highlight w:val="none"/>
          <w:shd w:val="clear" w:color="auto" w:fill="FFFFFF"/>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eastAsia="宋体" w:cs="宋体"/>
          <w:sz w:val="24"/>
          <w:szCs w:val="24"/>
          <w:highlight w:val="none"/>
          <w:shd w:val="clear" w:color="auto" w:fill="FFFFFF"/>
        </w:rPr>
        <w:br w:type="textWrapping"/>
      </w:r>
      <w:r>
        <w:rPr>
          <w:rFonts w:hint="eastAsia" w:ascii="宋体" w:hAnsi="宋体" w:eastAsia="宋体" w:cs="宋体"/>
          <w:sz w:val="24"/>
          <w:szCs w:val="24"/>
          <w:highlight w:val="none"/>
          <w:shd w:val="clear" w:color="auto" w:fill="FFFFFF"/>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r>
        <w:rPr>
          <w:rFonts w:hint="eastAsia" w:ascii="宋体" w:hAnsi="宋体" w:eastAsia="宋体" w:cs="宋体"/>
          <w:sz w:val="24"/>
          <w:szCs w:val="24"/>
          <w:highlight w:val="none"/>
          <w:shd w:val="clear" w:color="auto" w:fill="FFFFFF"/>
        </w:rPr>
        <w:br w:type="textWrapping"/>
      </w:r>
      <w:r>
        <w:rPr>
          <w:rFonts w:hint="eastAsia" w:ascii="宋体" w:hAnsi="宋体" w:eastAsia="宋体" w:cs="宋体"/>
          <w:sz w:val="24"/>
          <w:szCs w:val="24"/>
          <w:highlight w:val="none"/>
          <w:shd w:val="clear" w:color="auto" w:fill="FFFFFF"/>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r>
        <w:rPr>
          <w:rFonts w:hint="eastAsia" w:ascii="宋体" w:hAnsi="宋体" w:eastAsia="宋体" w:cs="宋体"/>
          <w:sz w:val="24"/>
          <w:szCs w:val="24"/>
          <w:highlight w:val="none"/>
          <w:shd w:val="clear" w:color="auto" w:fill="FFFFFF"/>
        </w:rPr>
        <w:br w:type="textWrapping"/>
      </w:r>
      <w:r>
        <w:rPr>
          <w:rFonts w:hint="eastAsia" w:ascii="宋体" w:hAnsi="宋体" w:eastAsia="宋体" w:cs="宋体"/>
          <w:sz w:val="24"/>
          <w:szCs w:val="24"/>
          <w:highlight w:val="none"/>
          <w:shd w:val="clear" w:color="auto" w:fill="FFFFFF"/>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r>
        <w:rPr>
          <w:rFonts w:hint="eastAsia" w:ascii="宋体" w:hAnsi="宋体" w:eastAsia="宋体" w:cs="宋体"/>
          <w:sz w:val="24"/>
          <w:szCs w:val="24"/>
          <w:highlight w:val="none"/>
          <w:shd w:val="clear" w:color="auto" w:fill="FFFFFF"/>
        </w:rPr>
        <w:br w:type="textWrapping"/>
      </w:r>
      <w:r>
        <w:rPr>
          <w:rFonts w:hint="eastAsia" w:ascii="宋体" w:hAnsi="宋体" w:eastAsia="宋体" w:cs="宋体"/>
          <w:sz w:val="24"/>
          <w:szCs w:val="24"/>
          <w:highlight w:val="none"/>
          <w:shd w:val="clear" w:color="auto" w:fill="FFFFFF"/>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r>
        <w:rPr>
          <w:rFonts w:hint="eastAsia" w:ascii="宋体" w:hAnsi="宋体" w:eastAsia="宋体" w:cs="宋体"/>
          <w:sz w:val="24"/>
          <w:szCs w:val="24"/>
          <w:highlight w:val="none"/>
          <w:shd w:val="clear" w:color="auto" w:fill="FFFFFF"/>
        </w:rPr>
        <w:br w:type="textWrapping"/>
      </w:r>
      <w:r>
        <w:rPr>
          <w:rFonts w:hint="eastAsia" w:ascii="宋体" w:hAnsi="宋体" w:eastAsia="宋体" w:cs="宋体"/>
          <w:sz w:val="24"/>
          <w:szCs w:val="24"/>
          <w:highlight w:val="none"/>
          <w:shd w:val="clear" w:color="auto" w:fill="FFFFFF"/>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r>
        <w:rPr>
          <w:rFonts w:hint="eastAsia" w:ascii="宋体" w:hAnsi="宋体" w:eastAsia="宋体" w:cs="宋体"/>
          <w:sz w:val="24"/>
          <w:szCs w:val="24"/>
          <w:highlight w:val="none"/>
          <w:shd w:val="clear" w:color="auto" w:fill="FFFFFF"/>
        </w:rPr>
        <w:br w:type="textWrapping"/>
      </w:r>
      <w:r>
        <w:rPr>
          <w:rFonts w:hint="eastAsia" w:ascii="宋体" w:hAnsi="宋体" w:eastAsia="宋体" w:cs="宋体"/>
          <w:sz w:val="24"/>
          <w:szCs w:val="24"/>
          <w:highlight w:val="none"/>
          <w:shd w:val="clear" w:color="auto" w:fill="FFFFFF"/>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r>
        <w:rPr>
          <w:rFonts w:hint="eastAsia" w:ascii="宋体" w:hAnsi="宋体" w:eastAsia="宋体" w:cs="宋体"/>
          <w:sz w:val="24"/>
          <w:szCs w:val="24"/>
          <w:highlight w:val="none"/>
          <w:shd w:val="clear" w:color="auto" w:fill="FFFFFF"/>
        </w:rPr>
        <w:br w:type="textWrapping"/>
      </w:r>
      <w:r>
        <w:rPr>
          <w:rFonts w:hint="eastAsia" w:ascii="宋体" w:hAnsi="宋体" w:eastAsia="宋体" w:cs="宋体"/>
          <w:sz w:val="24"/>
          <w:szCs w:val="24"/>
          <w:highlight w:val="none"/>
          <w:shd w:val="clear" w:color="auto" w:fill="FFFFFF"/>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eastAsia="宋体" w:cs="宋体"/>
          <w:sz w:val="24"/>
          <w:szCs w:val="24"/>
          <w:highlight w:val="none"/>
          <w:shd w:val="clear" w:color="auto" w:fill="FFFFFF"/>
        </w:rPr>
        <w:br w:type="textWrapping"/>
      </w:r>
      <w:r>
        <w:rPr>
          <w:rFonts w:hint="eastAsia" w:ascii="宋体" w:hAnsi="宋体" w:eastAsia="宋体" w:cs="宋体"/>
          <w:sz w:val="24"/>
          <w:szCs w:val="24"/>
          <w:highlight w:val="none"/>
          <w:shd w:val="clear" w:color="auto" w:fill="FFFFFF"/>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r>
        <w:rPr>
          <w:rFonts w:hint="eastAsia" w:ascii="宋体" w:hAnsi="宋体" w:eastAsia="宋体" w:cs="宋体"/>
          <w:sz w:val="24"/>
          <w:szCs w:val="24"/>
          <w:highlight w:val="none"/>
          <w:shd w:val="clear" w:color="auto" w:fill="FFFFFF"/>
        </w:rPr>
        <w:br w:type="textWrapping"/>
      </w:r>
      <w:r>
        <w:rPr>
          <w:rFonts w:hint="eastAsia" w:ascii="宋体" w:hAnsi="宋体" w:eastAsia="宋体" w:cs="宋体"/>
          <w:sz w:val="24"/>
          <w:szCs w:val="24"/>
          <w:highlight w:val="none"/>
          <w:shd w:val="clear" w:color="auto" w:fill="FFFFFF"/>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r>
        <w:rPr>
          <w:rFonts w:hint="eastAsia" w:ascii="宋体" w:hAnsi="宋体" w:eastAsia="宋体" w:cs="宋体"/>
          <w:sz w:val="24"/>
          <w:szCs w:val="24"/>
          <w:highlight w:val="none"/>
          <w:shd w:val="clear" w:color="auto" w:fill="FFFFFF"/>
        </w:rPr>
        <w:br w:type="textWrapping"/>
      </w:r>
      <w:r>
        <w:rPr>
          <w:rFonts w:hint="eastAsia" w:ascii="宋体" w:hAnsi="宋体" w:eastAsia="宋体" w:cs="宋体"/>
          <w:sz w:val="24"/>
          <w:szCs w:val="24"/>
          <w:highlight w:val="none"/>
          <w:shd w:val="clear" w:color="auto" w:fill="FFFFFF"/>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r>
        <w:rPr>
          <w:rFonts w:hint="eastAsia" w:ascii="宋体" w:hAnsi="宋体" w:eastAsia="宋体" w:cs="宋体"/>
          <w:sz w:val="24"/>
          <w:szCs w:val="24"/>
          <w:highlight w:val="none"/>
          <w:shd w:val="clear" w:color="auto" w:fill="FFFFFF"/>
        </w:rPr>
        <w:br w:type="textWrapping"/>
      </w:r>
      <w:r>
        <w:rPr>
          <w:rFonts w:hint="eastAsia" w:ascii="宋体" w:hAnsi="宋体" w:eastAsia="宋体" w:cs="宋体"/>
          <w:sz w:val="24"/>
          <w:szCs w:val="24"/>
          <w:highlight w:val="none"/>
          <w:shd w:val="clear" w:color="auto" w:fill="FFFFFF"/>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r>
        <w:rPr>
          <w:rFonts w:hint="eastAsia" w:ascii="宋体" w:hAnsi="宋体" w:eastAsia="宋体" w:cs="宋体"/>
          <w:sz w:val="24"/>
          <w:szCs w:val="24"/>
          <w:highlight w:val="none"/>
          <w:shd w:val="clear" w:color="auto" w:fill="FFFFFF"/>
        </w:rPr>
        <w:br w:type="textWrapping"/>
      </w:r>
      <w:r>
        <w:rPr>
          <w:rFonts w:hint="eastAsia" w:ascii="宋体" w:hAnsi="宋体" w:eastAsia="宋体" w:cs="宋体"/>
          <w:sz w:val="24"/>
          <w:szCs w:val="24"/>
          <w:highlight w:val="none"/>
          <w:shd w:val="clear" w:color="auto" w:fill="FFFFFF"/>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r>
        <w:rPr>
          <w:rFonts w:hint="eastAsia" w:ascii="宋体" w:hAnsi="宋体" w:eastAsia="宋体" w:cs="宋体"/>
          <w:sz w:val="24"/>
          <w:szCs w:val="24"/>
          <w:highlight w:val="none"/>
          <w:shd w:val="clear" w:color="auto" w:fill="FFFFFF"/>
        </w:rPr>
        <w:br w:type="textWrapping"/>
      </w:r>
      <w:r>
        <w:rPr>
          <w:rFonts w:hint="eastAsia" w:ascii="宋体" w:hAnsi="宋体" w:eastAsia="宋体" w:cs="宋体"/>
          <w:sz w:val="24"/>
          <w:szCs w:val="24"/>
          <w:highlight w:val="none"/>
          <w:shd w:val="clear" w:color="auto" w:fill="FFFFFF"/>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r>
        <w:rPr>
          <w:rFonts w:hint="eastAsia" w:ascii="宋体" w:hAnsi="宋体" w:eastAsia="宋体" w:cs="宋体"/>
          <w:sz w:val="24"/>
          <w:szCs w:val="24"/>
          <w:highlight w:val="none"/>
          <w:shd w:val="clear" w:color="auto" w:fill="FFFFFF"/>
        </w:rPr>
        <w:br w:type="textWrapping"/>
      </w:r>
      <w:r>
        <w:rPr>
          <w:rFonts w:hint="eastAsia" w:ascii="宋体" w:hAnsi="宋体" w:eastAsia="宋体" w:cs="宋体"/>
          <w:sz w:val="24"/>
          <w:szCs w:val="24"/>
          <w:highlight w:val="none"/>
          <w:shd w:val="clear" w:color="auto" w:fill="FFFFFF"/>
        </w:rPr>
        <w:t>　　（十六）其他未列明行业。从业人员300人以下的为中小微型企业。其中，从业人员100人及以上的为中型企业；从业人员10人及以上的为小型企业；从业人员10人以下的为微型企业。</w:t>
      </w:r>
    </w:p>
    <w:p w14:paraId="7DE905E4">
      <w:pPr>
        <w:widowControl/>
        <w:spacing w:line="500" w:lineRule="exact"/>
        <w:jc w:val="left"/>
        <w:outlineLvl w:val="1"/>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五、企业类型的划分以统计部门的统计数据为依据。 </w:t>
      </w:r>
    </w:p>
    <w:p w14:paraId="724717F2">
      <w:pPr>
        <w:widowControl/>
        <w:spacing w:line="500" w:lineRule="exact"/>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六、本规定适用于在中华人民共和国境内依法设立的各类所有制和各种组织形式的企业。个体工商户和本规定以外的行业，参照本规定进行划型。 </w:t>
      </w:r>
    </w:p>
    <w:p w14:paraId="43FF00C0">
      <w:pPr>
        <w:widowControl/>
        <w:spacing w:line="500" w:lineRule="exact"/>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七、本规定的中型企业标准上限即为大型企业标准的下限，国家统计部门据此制定大中小微型企业的统计分类。国务院有关部门据此进行相关数据分析，不得制定与本规定不一致的企业划型标准。 </w:t>
      </w:r>
    </w:p>
    <w:p w14:paraId="016FE7DE">
      <w:pPr>
        <w:widowControl/>
        <w:spacing w:line="500" w:lineRule="exact"/>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八、本规定由工业和信息化部、国家统计局会同有关部门根据《国民经济行业分类》修订情况和企业发展变化情况适时修订。 </w:t>
      </w:r>
    </w:p>
    <w:p w14:paraId="4DD82A27">
      <w:pPr>
        <w:widowControl/>
        <w:spacing w:line="500" w:lineRule="exact"/>
        <w:jc w:val="left"/>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九、本规定由工业和信息化部、国家统计局会同有关部门负责解释。 </w:t>
      </w:r>
    </w:p>
    <w:p w14:paraId="30225354">
      <w:pPr>
        <w:widowControl/>
        <w:spacing w:line="500" w:lineRule="exact"/>
        <w:rPr>
          <w:rFonts w:hint="eastAsia" w:ascii="宋体" w:hAnsi="宋体" w:eastAsia="宋体" w:cs="Times New Roman"/>
          <w:sz w:val="24"/>
          <w:szCs w:val="24"/>
          <w:highlight w:val="none"/>
        </w:rPr>
      </w:pPr>
      <w:r>
        <w:rPr>
          <w:rFonts w:hint="eastAsia" w:ascii="宋体" w:hAnsi="宋体" w:eastAsia="宋体" w:cs="Times New Roman"/>
          <w:sz w:val="24"/>
          <w:szCs w:val="24"/>
          <w:highlight w:val="none"/>
        </w:rPr>
        <w:t xml:space="preserve">十、本规定自发布之日起执行，原国家经贸委、原国家计委、财政部和国家统计局2003年颁布的《中小企业标准暂行规定》同时废止。 </w:t>
      </w:r>
    </w:p>
    <w:p w14:paraId="010E5E65">
      <w:pPr>
        <w:wordWrap w:val="0"/>
        <w:topLinePunct/>
        <w:spacing w:before="312" w:beforeLines="100" w:after="312" w:afterLines="100" w:line="360" w:lineRule="auto"/>
        <w:jc w:val="center"/>
        <w:rPr>
          <w:rFonts w:hint="eastAsia" w:ascii="宋体" w:hAnsi="宋体" w:eastAsia="宋体" w:cs="Courier New"/>
          <w:b/>
          <w:bCs/>
          <w:sz w:val="30"/>
          <w:szCs w:val="30"/>
        </w:rPr>
      </w:pPr>
    </w:p>
    <w:p w14:paraId="080F94EF">
      <w:pPr>
        <w:keepNext w:val="0"/>
        <w:keepLines w:val="0"/>
        <w:pageBreakBefore w:val="0"/>
        <w:widowControl w:val="0"/>
        <w:kinsoku/>
        <w:wordWrap/>
        <w:overflowPunct/>
        <w:topLinePunct w:val="0"/>
        <w:autoSpaceDE w:val="0"/>
        <w:autoSpaceDN w:val="0"/>
        <w:bidi w:val="0"/>
        <w:adjustRightInd/>
        <w:snapToGrid/>
        <w:spacing w:line="360" w:lineRule="auto"/>
        <w:ind w:right="437" w:firstLine="561" w:firstLineChars="216"/>
        <w:textAlignment w:val="auto"/>
        <w:rPr>
          <w:rFonts w:hint="eastAsia" w:ascii="宋体" w:hAnsi="宋体" w:cs="仿宋"/>
          <w:color w:val="auto"/>
          <w:sz w:val="26"/>
          <w:szCs w:val="26"/>
          <w:highlight w:val="none"/>
        </w:rPr>
      </w:pPr>
    </w:p>
    <w:p w14:paraId="66EF9151">
      <w:pPr>
        <w:rPr>
          <w:rFonts w:ascii="宋体" w:hAnsi="宋体" w:eastAsia="宋体" w:cs="宋体"/>
          <w:szCs w:val="21"/>
        </w:rPr>
      </w:pPr>
    </w:p>
    <w:bookmarkEnd w:id="517"/>
    <w:bookmarkEnd w:id="518"/>
    <w:bookmarkEnd w:id="519"/>
    <w:p w14:paraId="188E28BD">
      <w:pPr>
        <w:rPr>
          <w:rFonts w:ascii="宋体" w:hAnsi="宋体" w:eastAsia="宋体" w:cs="宋体"/>
          <w:b/>
          <w:bCs/>
          <w:sz w:val="28"/>
          <w:szCs w:val="28"/>
        </w:rPr>
      </w:pPr>
    </w:p>
    <w:sectPr>
      <w:headerReference r:id="rId5" w:type="default"/>
      <w:footerReference r:id="rId6" w:type="default"/>
      <w:pgSz w:w="11907" w:h="16840"/>
      <w:pgMar w:top="1400" w:right="1418" w:bottom="1089" w:left="1418" w:header="624" w:footer="748" w:gutter="0"/>
      <w:cols w:space="720"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 w:name="方正小标宋简体">
    <w:altName w:val="黑体"/>
    <w:panose1 w:val="02000000000000000000"/>
    <w:charset w:val="86"/>
    <w:family w:val="auto"/>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华文楷体">
    <w:altName w:val="宋体"/>
    <w:panose1 w:val="02010600040101010101"/>
    <w:charset w:val="86"/>
    <w:family w:val="auto"/>
    <w:pitch w:val="default"/>
    <w:sig w:usb0="00000000" w:usb1="00000000" w:usb2="00000000" w:usb3="00000000" w:csb0="0004009F" w:csb1="DFD7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FF0001">
    <w:pPr>
      <w:pStyle w:val="12"/>
      <w:jc w:val="center"/>
    </w:pPr>
    <w:r>
      <w:fldChar w:fldCharType="begin"/>
    </w:r>
    <w:r>
      <w:instrText xml:space="preserve"> PAGE   \* MERGEFORMAT </w:instrText>
    </w:r>
    <w:r>
      <w:fldChar w:fldCharType="separate"/>
    </w:r>
    <w:r>
      <w:rPr>
        <w:lang w:val="zh-CN"/>
      </w:rPr>
      <w:t>3</w:t>
    </w:r>
    <w:r>
      <w:fldChar w:fldCharType="end"/>
    </w:r>
  </w:p>
  <w:p w14:paraId="00817549">
    <w:pPr>
      <w:pStyle w:val="12"/>
      <w:jc w:val="right"/>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1E81BD">
    <w:pPr>
      <w:pStyle w:val="1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AA4BF9">
                          <w:pPr>
                            <w:pStyle w:val="12"/>
                          </w:pPr>
                          <w:r>
                            <w:fldChar w:fldCharType="begin"/>
                          </w:r>
                          <w:r>
                            <w:instrText xml:space="preserve"> PAGE  \* MERGEFORMAT </w:instrText>
                          </w:r>
                          <w:r>
                            <w:fldChar w:fldCharType="separate"/>
                          </w:r>
                          <w:r>
                            <w:t>53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0EAA4BF9">
                    <w:pPr>
                      <w:pStyle w:val="12"/>
                    </w:pPr>
                    <w:r>
                      <w:fldChar w:fldCharType="begin"/>
                    </w:r>
                    <w:r>
                      <w:instrText xml:space="preserve"> PAGE  \* MERGEFORMAT </w:instrText>
                    </w:r>
                    <w:r>
                      <w:fldChar w:fldCharType="separate"/>
                    </w:r>
                    <w:r>
                      <w:t>53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2F928">
    <w:pPr>
      <w:pStyle w:val="1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0268A">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73DD820"/>
    <w:multiLevelType w:val="multilevel"/>
    <w:tmpl w:val="973DD820"/>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7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
    <w:nsid w:val="A0647C4F"/>
    <w:multiLevelType w:val="multilevel"/>
    <w:tmpl w:val="A0647C4F"/>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2">
    <w:nsid w:val="BC9A326A"/>
    <w:multiLevelType w:val="singleLevel"/>
    <w:tmpl w:val="BC9A326A"/>
    <w:lvl w:ilvl="0" w:tentative="0">
      <w:start w:val="1"/>
      <w:numFmt w:val="decimal"/>
      <w:suff w:val="space"/>
      <w:lvlText w:val="(%1)"/>
      <w:lvlJc w:val="left"/>
      <w:pPr>
        <w:ind w:left="425" w:hanging="425"/>
      </w:pPr>
      <w:rPr>
        <w:rFonts w:hint="default"/>
      </w:rPr>
    </w:lvl>
  </w:abstractNum>
  <w:abstractNum w:abstractNumId="3">
    <w:nsid w:val="CD806B66"/>
    <w:multiLevelType w:val="singleLevel"/>
    <w:tmpl w:val="CD806B66"/>
    <w:lvl w:ilvl="0" w:tentative="0">
      <w:start w:val="1"/>
      <w:numFmt w:val="decimal"/>
      <w:lvlText w:val="(%1)"/>
      <w:lvlJc w:val="left"/>
      <w:pPr>
        <w:ind w:left="425" w:hanging="425"/>
      </w:pPr>
      <w:rPr>
        <w:rFonts w:hint="default"/>
      </w:rPr>
    </w:lvl>
  </w:abstractNum>
  <w:abstractNum w:abstractNumId="4">
    <w:nsid w:val="DAF5F60F"/>
    <w:multiLevelType w:val="singleLevel"/>
    <w:tmpl w:val="DAF5F60F"/>
    <w:lvl w:ilvl="0" w:tentative="0">
      <w:start w:val="8"/>
      <w:numFmt w:val="chineseCounting"/>
      <w:suff w:val="nothing"/>
      <w:lvlText w:val="%1、"/>
      <w:lvlJc w:val="left"/>
      <w:rPr>
        <w:rFonts w:hint="eastAsia"/>
      </w:rPr>
    </w:lvl>
  </w:abstractNum>
  <w:abstractNum w:abstractNumId="5">
    <w:nsid w:val="F1351CB7"/>
    <w:multiLevelType w:val="singleLevel"/>
    <w:tmpl w:val="F1351CB7"/>
    <w:lvl w:ilvl="0" w:tentative="0">
      <w:start w:val="4"/>
      <w:numFmt w:val="chineseCounting"/>
      <w:suff w:val="nothing"/>
      <w:lvlText w:val="%1、"/>
      <w:lvlJc w:val="left"/>
      <w:rPr>
        <w:rFonts w:hint="eastAsia"/>
      </w:rPr>
    </w:lvl>
  </w:abstractNum>
  <w:abstractNum w:abstractNumId="6">
    <w:nsid w:val="23C26398"/>
    <w:multiLevelType w:val="singleLevel"/>
    <w:tmpl w:val="23C26398"/>
    <w:lvl w:ilvl="0" w:tentative="0">
      <w:start w:val="2"/>
      <w:numFmt w:val="chineseCounting"/>
      <w:suff w:val="space"/>
      <w:lvlText w:val="第%1章"/>
      <w:lvlJc w:val="left"/>
      <w:rPr>
        <w:rFonts w:hint="eastAsia"/>
      </w:rPr>
    </w:lvl>
  </w:abstractNum>
  <w:abstractNum w:abstractNumId="7">
    <w:nsid w:val="2D6A2507"/>
    <w:multiLevelType w:val="singleLevel"/>
    <w:tmpl w:val="2D6A2507"/>
    <w:lvl w:ilvl="0" w:tentative="0">
      <w:start w:val="1"/>
      <w:numFmt w:val="decimal"/>
      <w:lvlText w:val="(%1)"/>
      <w:lvlJc w:val="left"/>
      <w:pPr>
        <w:ind w:left="425" w:hanging="425"/>
      </w:pPr>
      <w:rPr>
        <w:rFonts w:hint="default"/>
      </w:rPr>
    </w:lvl>
  </w:abstractNum>
  <w:abstractNum w:abstractNumId="8">
    <w:nsid w:val="4F3FF634"/>
    <w:multiLevelType w:val="singleLevel"/>
    <w:tmpl w:val="4F3FF634"/>
    <w:lvl w:ilvl="0" w:tentative="0">
      <w:start w:val="2"/>
      <w:numFmt w:val="decimal"/>
      <w:lvlText w:val="%1."/>
      <w:lvlJc w:val="left"/>
      <w:pPr>
        <w:tabs>
          <w:tab w:val="left" w:pos="312"/>
        </w:tabs>
      </w:pPr>
    </w:lvl>
  </w:abstractNum>
  <w:abstractNum w:abstractNumId="9">
    <w:nsid w:val="6BDA4796"/>
    <w:multiLevelType w:val="singleLevel"/>
    <w:tmpl w:val="6BDA4796"/>
    <w:lvl w:ilvl="0" w:tentative="0">
      <w:start w:val="1"/>
      <w:numFmt w:val="decimal"/>
      <w:lvlText w:val="(%1)"/>
      <w:lvlJc w:val="left"/>
      <w:pPr>
        <w:ind w:left="425" w:hanging="425"/>
      </w:pPr>
      <w:rPr>
        <w:rFonts w:hint="default"/>
      </w:rPr>
    </w:lvl>
  </w:abstractNum>
  <w:abstractNum w:abstractNumId="10">
    <w:nsid w:val="7A1A81EF"/>
    <w:multiLevelType w:val="multilevel"/>
    <w:tmpl w:val="7A1A81EF"/>
    <w:lvl w:ilvl="0" w:tentative="0">
      <w:start w:val="1"/>
      <w:numFmt w:val="decimal"/>
      <w:lvlText w:val="%1."/>
      <w:lvlJc w:val="left"/>
      <w:pPr>
        <w:ind w:left="425" w:hanging="425"/>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14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4"/>
  </w:num>
  <w:num w:numId="2">
    <w:abstractNumId w:val="6"/>
  </w:num>
  <w:num w:numId="3">
    <w:abstractNumId w:val="10"/>
  </w:num>
  <w:num w:numId="4">
    <w:abstractNumId w:val="1"/>
  </w:num>
  <w:num w:numId="5">
    <w:abstractNumId w:val="9"/>
  </w:num>
  <w:num w:numId="6">
    <w:abstractNumId w:val="8"/>
  </w:num>
  <w:num w:numId="7">
    <w:abstractNumId w:val="0"/>
  </w:num>
  <w:num w:numId="8">
    <w:abstractNumId w:val="7"/>
  </w:num>
  <w:num w:numId="9">
    <w:abstractNumId w:val="3"/>
  </w:num>
  <w:num w:numId="10">
    <w:abstractNumId w:val="2"/>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trackRevisions w:val="1"/>
  <w:documentProtection w:edit="trackedChanges" w:enforcement="1" w:cryptProviderType="rsaFull" w:cryptAlgorithmClass="hash" w:cryptAlgorithmType="typeAny" w:cryptAlgorithmSid="4" w:cryptSpinCount="0" w:hash="ArE5PMeGUHW2p6fWRovssfM96jI=" w:salt="RfwL0v0AWZIszkzKLqTIzg=="/>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FiNDNiNjE3NjljN2U4ZjZkMDJhYzQ3NjkxODc5NjUifQ=="/>
    <w:docVar w:name="KSO_WPS_MARK_KEY" w:val="24df99d9-1ae2-4ff0-a9bf-812d2cb5ac4e"/>
  </w:docVars>
  <w:rsids>
    <w:rsidRoot w:val="00167E7B"/>
    <w:rsid w:val="00000DE0"/>
    <w:rsid w:val="00066A99"/>
    <w:rsid w:val="000809C5"/>
    <w:rsid w:val="000826E2"/>
    <w:rsid w:val="000D594E"/>
    <w:rsid w:val="00167E7B"/>
    <w:rsid w:val="00194E8B"/>
    <w:rsid w:val="001E46AA"/>
    <w:rsid w:val="001F1CD3"/>
    <w:rsid w:val="001F7898"/>
    <w:rsid w:val="00216AC6"/>
    <w:rsid w:val="0028024F"/>
    <w:rsid w:val="00286260"/>
    <w:rsid w:val="00295A42"/>
    <w:rsid w:val="002A1ED3"/>
    <w:rsid w:val="002B03AC"/>
    <w:rsid w:val="00330FA3"/>
    <w:rsid w:val="003608F5"/>
    <w:rsid w:val="003A25DA"/>
    <w:rsid w:val="00485468"/>
    <w:rsid w:val="00577D43"/>
    <w:rsid w:val="005A4ECD"/>
    <w:rsid w:val="005F2BC4"/>
    <w:rsid w:val="00614DD7"/>
    <w:rsid w:val="00641CD9"/>
    <w:rsid w:val="00644872"/>
    <w:rsid w:val="006660CC"/>
    <w:rsid w:val="006F3EF0"/>
    <w:rsid w:val="006F3F9D"/>
    <w:rsid w:val="007373D3"/>
    <w:rsid w:val="00744566"/>
    <w:rsid w:val="007928CB"/>
    <w:rsid w:val="007B0252"/>
    <w:rsid w:val="007D0C55"/>
    <w:rsid w:val="008704A1"/>
    <w:rsid w:val="008B2B8F"/>
    <w:rsid w:val="008B3983"/>
    <w:rsid w:val="00931610"/>
    <w:rsid w:val="00972264"/>
    <w:rsid w:val="009976C9"/>
    <w:rsid w:val="00A348EB"/>
    <w:rsid w:val="00A67A56"/>
    <w:rsid w:val="00AE2F37"/>
    <w:rsid w:val="00B0474B"/>
    <w:rsid w:val="00B16421"/>
    <w:rsid w:val="00B373A9"/>
    <w:rsid w:val="00B554E5"/>
    <w:rsid w:val="00BA1A55"/>
    <w:rsid w:val="00C5279E"/>
    <w:rsid w:val="00CD6A86"/>
    <w:rsid w:val="00D06366"/>
    <w:rsid w:val="00D53264"/>
    <w:rsid w:val="00D63392"/>
    <w:rsid w:val="00D96F85"/>
    <w:rsid w:val="00E44F2F"/>
    <w:rsid w:val="00E95835"/>
    <w:rsid w:val="00EF7950"/>
    <w:rsid w:val="00F108CA"/>
    <w:rsid w:val="00F1304D"/>
    <w:rsid w:val="00F516B2"/>
    <w:rsid w:val="00F852E3"/>
    <w:rsid w:val="00F93066"/>
    <w:rsid w:val="00F96FD9"/>
    <w:rsid w:val="00FC1E93"/>
    <w:rsid w:val="00FE7D49"/>
    <w:rsid w:val="01AA1AC9"/>
    <w:rsid w:val="02155410"/>
    <w:rsid w:val="021567F9"/>
    <w:rsid w:val="023D293E"/>
    <w:rsid w:val="028D2FBF"/>
    <w:rsid w:val="02B436F0"/>
    <w:rsid w:val="02C31E14"/>
    <w:rsid w:val="02F76F90"/>
    <w:rsid w:val="03015719"/>
    <w:rsid w:val="03163E1D"/>
    <w:rsid w:val="036208AE"/>
    <w:rsid w:val="037F7FC9"/>
    <w:rsid w:val="03C30C20"/>
    <w:rsid w:val="03D332D6"/>
    <w:rsid w:val="03EA2EFC"/>
    <w:rsid w:val="040C0819"/>
    <w:rsid w:val="04356B11"/>
    <w:rsid w:val="048D195A"/>
    <w:rsid w:val="05050531"/>
    <w:rsid w:val="0506249C"/>
    <w:rsid w:val="05253B7D"/>
    <w:rsid w:val="05DA207B"/>
    <w:rsid w:val="06744454"/>
    <w:rsid w:val="076B30C0"/>
    <w:rsid w:val="07A446F8"/>
    <w:rsid w:val="07E74A05"/>
    <w:rsid w:val="08115849"/>
    <w:rsid w:val="08AE04A4"/>
    <w:rsid w:val="08D665FF"/>
    <w:rsid w:val="09153CCC"/>
    <w:rsid w:val="09153DF2"/>
    <w:rsid w:val="097233FB"/>
    <w:rsid w:val="098D4349"/>
    <w:rsid w:val="098D7D07"/>
    <w:rsid w:val="09A66753"/>
    <w:rsid w:val="09D33507"/>
    <w:rsid w:val="0A102D91"/>
    <w:rsid w:val="0AF97CC1"/>
    <w:rsid w:val="0BA13D85"/>
    <w:rsid w:val="0BE54A85"/>
    <w:rsid w:val="0BED101D"/>
    <w:rsid w:val="0C0B585A"/>
    <w:rsid w:val="0C5C43CC"/>
    <w:rsid w:val="0C6C00A7"/>
    <w:rsid w:val="0C832815"/>
    <w:rsid w:val="0CB92F9A"/>
    <w:rsid w:val="0CC55A09"/>
    <w:rsid w:val="0D624CD9"/>
    <w:rsid w:val="0DB40989"/>
    <w:rsid w:val="0DB53CD0"/>
    <w:rsid w:val="0E341AA2"/>
    <w:rsid w:val="0E567032"/>
    <w:rsid w:val="0E841D27"/>
    <w:rsid w:val="0EA55D13"/>
    <w:rsid w:val="0EC51CF1"/>
    <w:rsid w:val="0EEE2C8F"/>
    <w:rsid w:val="0F550054"/>
    <w:rsid w:val="0F56503F"/>
    <w:rsid w:val="0FB17C6F"/>
    <w:rsid w:val="10D206F5"/>
    <w:rsid w:val="10F51D5F"/>
    <w:rsid w:val="10F52C05"/>
    <w:rsid w:val="11230F50"/>
    <w:rsid w:val="113532E1"/>
    <w:rsid w:val="113849FC"/>
    <w:rsid w:val="11643A43"/>
    <w:rsid w:val="11C25C30"/>
    <w:rsid w:val="12476104"/>
    <w:rsid w:val="126F6B43"/>
    <w:rsid w:val="12BA46A8"/>
    <w:rsid w:val="13737F6D"/>
    <w:rsid w:val="138E2FF9"/>
    <w:rsid w:val="13904FC3"/>
    <w:rsid w:val="13CD1704"/>
    <w:rsid w:val="14627FE2"/>
    <w:rsid w:val="14C30A80"/>
    <w:rsid w:val="15597637"/>
    <w:rsid w:val="157A0358"/>
    <w:rsid w:val="161226C3"/>
    <w:rsid w:val="16135A37"/>
    <w:rsid w:val="163F4A7E"/>
    <w:rsid w:val="16B5089D"/>
    <w:rsid w:val="17026ACC"/>
    <w:rsid w:val="170A474E"/>
    <w:rsid w:val="176B56CA"/>
    <w:rsid w:val="177B3894"/>
    <w:rsid w:val="189701E7"/>
    <w:rsid w:val="18A818D3"/>
    <w:rsid w:val="196A733A"/>
    <w:rsid w:val="19B80DD0"/>
    <w:rsid w:val="19D454DE"/>
    <w:rsid w:val="1B08001A"/>
    <w:rsid w:val="1B697C85"/>
    <w:rsid w:val="1B7725C5"/>
    <w:rsid w:val="1B865037"/>
    <w:rsid w:val="1B877235"/>
    <w:rsid w:val="1BC65E20"/>
    <w:rsid w:val="1CF33D48"/>
    <w:rsid w:val="1D51673F"/>
    <w:rsid w:val="1DAF37C3"/>
    <w:rsid w:val="1DB47B00"/>
    <w:rsid w:val="1E002659"/>
    <w:rsid w:val="1E012619"/>
    <w:rsid w:val="1E9623BB"/>
    <w:rsid w:val="1E993340"/>
    <w:rsid w:val="1EE16198"/>
    <w:rsid w:val="1F2C5BF5"/>
    <w:rsid w:val="1F4924CA"/>
    <w:rsid w:val="1F4C0CA8"/>
    <w:rsid w:val="1FAE6C2A"/>
    <w:rsid w:val="1FD344A1"/>
    <w:rsid w:val="206312B7"/>
    <w:rsid w:val="20911A4A"/>
    <w:rsid w:val="21016FB2"/>
    <w:rsid w:val="21182154"/>
    <w:rsid w:val="21B6105F"/>
    <w:rsid w:val="2251571B"/>
    <w:rsid w:val="22802A80"/>
    <w:rsid w:val="22D16A5E"/>
    <w:rsid w:val="22DB49BE"/>
    <w:rsid w:val="237779BB"/>
    <w:rsid w:val="239911F4"/>
    <w:rsid w:val="23F042E0"/>
    <w:rsid w:val="240910FB"/>
    <w:rsid w:val="24977834"/>
    <w:rsid w:val="253B2D06"/>
    <w:rsid w:val="256D3B90"/>
    <w:rsid w:val="257932FE"/>
    <w:rsid w:val="25D94AEF"/>
    <w:rsid w:val="263D1448"/>
    <w:rsid w:val="26445799"/>
    <w:rsid w:val="26AB75C6"/>
    <w:rsid w:val="26D62895"/>
    <w:rsid w:val="271420CC"/>
    <w:rsid w:val="282536B5"/>
    <w:rsid w:val="28500425"/>
    <w:rsid w:val="28697709"/>
    <w:rsid w:val="289B47AA"/>
    <w:rsid w:val="28A91541"/>
    <w:rsid w:val="28E82D54"/>
    <w:rsid w:val="291476A5"/>
    <w:rsid w:val="294336CA"/>
    <w:rsid w:val="296C1E29"/>
    <w:rsid w:val="29D07A70"/>
    <w:rsid w:val="2A0C4820"/>
    <w:rsid w:val="2A2658E2"/>
    <w:rsid w:val="2AAB41DF"/>
    <w:rsid w:val="2AAD2F10"/>
    <w:rsid w:val="2AB4113F"/>
    <w:rsid w:val="2AE45B62"/>
    <w:rsid w:val="2B0F1CB0"/>
    <w:rsid w:val="2B277B63"/>
    <w:rsid w:val="2B6B45C8"/>
    <w:rsid w:val="2B9351F9"/>
    <w:rsid w:val="2BF5452C"/>
    <w:rsid w:val="2C1A76C8"/>
    <w:rsid w:val="2C1C5DB0"/>
    <w:rsid w:val="2CD73969"/>
    <w:rsid w:val="2CF0667B"/>
    <w:rsid w:val="2CF75313"/>
    <w:rsid w:val="2D0C3CF4"/>
    <w:rsid w:val="2D2F04EF"/>
    <w:rsid w:val="2D3D5B48"/>
    <w:rsid w:val="2D450775"/>
    <w:rsid w:val="2D593DF3"/>
    <w:rsid w:val="2D8E211C"/>
    <w:rsid w:val="2DF6381D"/>
    <w:rsid w:val="2E290C48"/>
    <w:rsid w:val="2E5844D8"/>
    <w:rsid w:val="2ECE1A62"/>
    <w:rsid w:val="2EDE19F1"/>
    <w:rsid w:val="2EDF7472"/>
    <w:rsid w:val="2EEA15D4"/>
    <w:rsid w:val="2F1C1B3F"/>
    <w:rsid w:val="2F6A2714"/>
    <w:rsid w:val="2F9B0EAA"/>
    <w:rsid w:val="2FDB060F"/>
    <w:rsid w:val="2FEE7B09"/>
    <w:rsid w:val="301C610F"/>
    <w:rsid w:val="306029C1"/>
    <w:rsid w:val="306F1B59"/>
    <w:rsid w:val="3094583F"/>
    <w:rsid w:val="3098505F"/>
    <w:rsid w:val="30A30058"/>
    <w:rsid w:val="30BE4485"/>
    <w:rsid w:val="30D2231F"/>
    <w:rsid w:val="30DC319E"/>
    <w:rsid w:val="30EB0319"/>
    <w:rsid w:val="30F26072"/>
    <w:rsid w:val="310A1DDA"/>
    <w:rsid w:val="313B17A9"/>
    <w:rsid w:val="318A49A8"/>
    <w:rsid w:val="31B953CE"/>
    <w:rsid w:val="31ED3189"/>
    <w:rsid w:val="32004C6A"/>
    <w:rsid w:val="323A517F"/>
    <w:rsid w:val="32623B94"/>
    <w:rsid w:val="3267118D"/>
    <w:rsid w:val="328B4124"/>
    <w:rsid w:val="32A1405B"/>
    <w:rsid w:val="32CC41E5"/>
    <w:rsid w:val="32D260EE"/>
    <w:rsid w:val="32D85BE7"/>
    <w:rsid w:val="32EB3B6C"/>
    <w:rsid w:val="32F00865"/>
    <w:rsid w:val="3310632D"/>
    <w:rsid w:val="332A20EF"/>
    <w:rsid w:val="33E32A95"/>
    <w:rsid w:val="34727975"/>
    <w:rsid w:val="3522139B"/>
    <w:rsid w:val="35275328"/>
    <w:rsid w:val="353923C0"/>
    <w:rsid w:val="358B0865"/>
    <w:rsid w:val="360E0E3F"/>
    <w:rsid w:val="361C5DEB"/>
    <w:rsid w:val="364D069A"/>
    <w:rsid w:val="36514DAB"/>
    <w:rsid w:val="36760B65"/>
    <w:rsid w:val="37110EDE"/>
    <w:rsid w:val="3736112E"/>
    <w:rsid w:val="37417F37"/>
    <w:rsid w:val="37DF17C6"/>
    <w:rsid w:val="380769FB"/>
    <w:rsid w:val="383E029A"/>
    <w:rsid w:val="385E093C"/>
    <w:rsid w:val="389E45F0"/>
    <w:rsid w:val="38BB7B3D"/>
    <w:rsid w:val="39342D32"/>
    <w:rsid w:val="39455658"/>
    <w:rsid w:val="3948288A"/>
    <w:rsid w:val="394E6C03"/>
    <w:rsid w:val="39D236E8"/>
    <w:rsid w:val="3A136630"/>
    <w:rsid w:val="3A79380C"/>
    <w:rsid w:val="3AAC3BE1"/>
    <w:rsid w:val="3AC10570"/>
    <w:rsid w:val="3B617677"/>
    <w:rsid w:val="3B934DA1"/>
    <w:rsid w:val="3BBF7944"/>
    <w:rsid w:val="3BCD02B3"/>
    <w:rsid w:val="3BDD601C"/>
    <w:rsid w:val="3C026603"/>
    <w:rsid w:val="3CD967E3"/>
    <w:rsid w:val="3D802EF4"/>
    <w:rsid w:val="3DD70B24"/>
    <w:rsid w:val="3E374CB6"/>
    <w:rsid w:val="3E3F2FBE"/>
    <w:rsid w:val="3E703177"/>
    <w:rsid w:val="3EC76A8F"/>
    <w:rsid w:val="3F006868"/>
    <w:rsid w:val="3F433998"/>
    <w:rsid w:val="3F61627B"/>
    <w:rsid w:val="3F9609BC"/>
    <w:rsid w:val="3FAA4B03"/>
    <w:rsid w:val="3FC25C55"/>
    <w:rsid w:val="40C96B6F"/>
    <w:rsid w:val="411F04C2"/>
    <w:rsid w:val="41250249"/>
    <w:rsid w:val="418C7217"/>
    <w:rsid w:val="41B370D6"/>
    <w:rsid w:val="420C765B"/>
    <w:rsid w:val="426D634C"/>
    <w:rsid w:val="42CB6BCE"/>
    <w:rsid w:val="42D34FAF"/>
    <w:rsid w:val="431728AF"/>
    <w:rsid w:val="4320516C"/>
    <w:rsid w:val="433A3D54"/>
    <w:rsid w:val="43880F63"/>
    <w:rsid w:val="43B318AF"/>
    <w:rsid w:val="43CC2BFE"/>
    <w:rsid w:val="4517434D"/>
    <w:rsid w:val="45694DD6"/>
    <w:rsid w:val="45BD144E"/>
    <w:rsid w:val="45F86886"/>
    <w:rsid w:val="461E3AA0"/>
    <w:rsid w:val="46302433"/>
    <w:rsid w:val="46552E56"/>
    <w:rsid w:val="46625A9C"/>
    <w:rsid w:val="46A45B01"/>
    <w:rsid w:val="470D4E2D"/>
    <w:rsid w:val="47C502CB"/>
    <w:rsid w:val="47DE1152"/>
    <w:rsid w:val="47E330FE"/>
    <w:rsid w:val="481E59F2"/>
    <w:rsid w:val="48254FD3"/>
    <w:rsid w:val="484A0115"/>
    <w:rsid w:val="491236BB"/>
    <w:rsid w:val="49415F5C"/>
    <w:rsid w:val="49555444"/>
    <w:rsid w:val="49A34401"/>
    <w:rsid w:val="49ED38CE"/>
    <w:rsid w:val="49F22E5E"/>
    <w:rsid w:val="4A020EB3"/>
    <w:rsid w:val="4A033B04"/>
    <w:rsid w:val="4A253068"/>
    <w:rsid w:val="4A2D43AB"/>
    <w:rsid w:val="4A5A73F1"/>
    <w:rsid w:val="4A5B4CDC"/>
    <w:rsid w:val="4AAA7A11"/>
    <w:rsid w:val="4AC92EC2"/>
    <w:rsid w:val="4B4B66E1"/>
    <w:rsid w:val="4B5C2F33"/>
    <w:rsid w:val="4B8E56D8"/>
    <w:rsid w:val="4BAC56B3"/>
    <w:rsid w:val="4BAC7DF0"/>
    <w:rsid w:val="4C0C69D1"/>
    <w:rsid w:val="4C1444B9"/>
    <w:rsid w:val="4C4D1F1D"/>
    <w:rsid w:val="4C7D7F89"/>
    <w:rsid w:val="4C8229F4"/>
    <w:rsid w:val="4CBD1C7E"/>
    <w:rsid w:val="4CDE39A2"/>
    <w:rsid w:val="4D1B6B8E"/>
    <w:rsid w:val="4DFF1E22"/>
    <w:rsid w:val="4E1C0C26"/>
    <w:rsid w:val="4E3F346D"/>
    <w:rsid w:val="4E685C19"/>
    <w:rsid w:val="4E7E368F"/>
    <w:rsid w:val="4EB77C34"/>
    <w:rsid w:val="4FF02E34"/>
    <w:rsid w:val="5060304C"/>
    <w:rsid w:val="50903205"/>
    <w:rsid w:val="50CE7831"/>
    <w:rsid w:val="51142088"/>
    <w:rsid w:val="511A03D1"/>
    <w:rsid w:val="512963B4"/>
    <w:rsid w:val="51B704D7"/>
    <w:rsid w:val="51F65C01"/>
    <w:rsid w:val="52C56ABB"/>
    <w:rsid w:val="52FE179C"/>
    <w:rsid w:val="53530C46"/>
    <w:rsid w:val="53A45945"/>
    <w:rsid w:val="544113E6"/>
    <w:rsid w:val="54420D6A"/>
    <w:rsid w:val="544F49E2"/>
    <w:rsid w:val="54813591"/>
    <w:rsid w:val="54B904E4"/>
    <w:rsid w:val="54CC0708"/>
    <w:rsid w:val="54D7233D"/>
    <w:rsid w:val="54DA02A2"/>
    <w:rsid w:val="55794BB0"/>
    <w:rsid w:val="55F47291"/>
    <w:rsid w:val="56723AD9"/>
    <w:rsid w:val="56A603BA"/>
    <w:rsid w:val="56C67981"/>
    <w:rsid w:val="56F049FE"/>
    <w:rsid w:val="57055E9A"/>
    <w:rsid w:val="57405985"/>
    <w:rsid w:val="57555BD4"/>
    <w:rsid w:val="57E36310"/>
    <w:rsid w:val="57F37B1C"/>
    <w:rsid w:val="585A7A00"/>
    <w:rsid w:val="58670CF0"/>
    <w:rsid w:val="592D12D6"/>
    <w:rsid w:val="596F60AE"/>
    <w:rsid w:val="5A027D02"/>
    <w:rsid w:val="5A4B3A33"/>
    <w:rsid w:val="5A511C57"/>
    <w:rsid w:val="5A690D4F"/>
    <w:rsid w:val="5A7D47FA"/>
    <w:rsid w:val="5B4309DE"/>
    <w:rsid w:val="5B435571"/>
    <w:rsid w:val="5B4638CB"/>
    <w:rsid w:val="5B8222F6"/>
    <w:rsid w:val="5BB73D3C"/>
    <w:rsid w:val="5BC87CF7"/>
    <w:rsid w:val="5BD13050"/>
    <w:rsid w:val="5C6C4B26"/>
    <w:rsid w:val="5C6D7259"/>
    <w:rsid w:val="5C9B20E1"/>
    <w:rsid w:val="5CD765E0"/>
    <w:rsid w:val="5CF50FC0"/>
    <w:rsid w:val="5CFD76B1"/>
    <w:rsid w:val="5D1D22C5"/>
    <w:rsid w:val="5D911AAD"/>
    <w:rsid w:val="5E392C24"/>
    <w:rsid w:val="5E685D09"/>
    <w:rsid w:val="5E9A3CC2"/>
    <w:rsid w:val="5EF17565"/>
    <w:rsid w:val="5F3715C2"/>
    <w:rsid w:val="5FC86518"/>
    <w:rsid w:val="5FFD5426"/>
    <w:rsid w:val="606A75CF"/>
    <w:rsid w:val="60C27644"/>
    <w:rsid w:val="60CE0116"/>
    <w:rsid w:val="60D1764E"/>
    <w:rsid w:val="60EA4C00"/>
    <w:rsid w:val="6112750A"/>
    <w:rsid w:val="61461DEA"/>
    <w:rsid w:val="614A57AA"/>
    <w:rsid w:val="61870689"/>
    <w:rsid w:val="61994610"/>
    <w:rsid w:val="61F14216"/>
    <w:rsid w:val="62405B23"/>
    <w:rsid w:val="630A578B"/>
    <w:rsid w:val="63714235"/>
    <w:rsid w:val="638766EA"/>
    <w:rsid w:val="63BB2B64"/>
    <w:rsid w:val="63D7141F"/>
    <w:rsid w:val="644B6010"/>
    <w:rsid w:val="64E73D44"/>
    <w:rsid w:val="64F477DD"/>
    <w:rsid w:val="650A6555"/>
    <w:rsid w:val="654B29EF"/>
    <w:rsid w:val="66124991"/>
    <w:rsid w:val="6650370B"/>
    <w:rsid w:val="665054B9"/>
    <w:rsid w:val="6655487D"/>
    <w:rsid w:val="665A1E94"/>
    <w:rsid w:val="66862C89"/>
    <w:rsid w:val="671962B5"/>
    <w:rsid w:val="673B1CC5"/>
    <w:rsid w:val="67650AF0"/>
    <w:rsid w:val="67AD54A4"/>
    <w:rsid w:val="68BE495C"/>
    <w:rsid w:val="68DE4FFE"/>
    <w:rsid w:val="69107EE6"/>
    <w:rsid w:val="69187F79"/>
    <w:rsid w:val="692C3FBB"/>
    <w:rsid w:val="693D1D24"/>
    <w:rsid w:val="696B1F82"/>
    <w:rsid w:val="69A2602B"/>
    <w:rsid w:val="69B0084D"/>
    <w:rsid w:val="6A582B8E"/>
    <w:rsid w:val="6A605D12"/>
    <w:rsid w:val="6A82079F"/>
    <w:rsid w:val="6AAA62BC"/>
    <w:rsid w:val="6ABE1458"/>
    <w:rsid w:val="6AF36749"/>
    <w:rsid w:val="6AF9611F"/>
    <w:rsid w:val="6B0D1DB4"/>
    <w:rsid w:val="6B1D09D4"/>
    <w:rsid w:val="6B3D425E"/>
    <w:rsid w:val="6B410883"/>
    <w:rsid w:val="6B8C2399"/>
    <w:rsid w:val="6BC27ED8"/>
    <w:rsid w:val="6BC77FCB"/>
    <w:rsid w:val="6C2159A8"/>
    <w:rsid w:val="6C5A7E3D"/>
    <w:rsid w:val="6DA560EA"/>
    <w:rsid w:val="6DF901E4"/>
    <w:rsid w:val="6E2D06F4"/>
    <w:rsid w:val="6EAB2E1E"/>
    <w:rsid w:val="704B11CB"/>
    <w:rsid w:val="70C028F3"/>
    <w:rsid w:val="70D23371"/>
    <w:rsid w:val="710032F2"/>
    <w:rsid w:val="715B068A"/>
    <w:rsid w:val="71930018"/>
    <w:rsid w:val="719721EE"/>
    <w:rsid w:val="71B374B1"/>
    <w:rsid w:val="723E657D"/>
    <w:rsid w:val="72D051B2"/>
    <w:rsid w:val="72D61BF3"/>
    <w:rsid w:val="732B3DBC"/>
    <w:rsid w:val="736D0D4E"/>
    <w:rsid w:val="73B54BAD"/>
    <w:rsid w:val="746A5998"/>
    <w:rsid w:val="746D08D6"/>
    <w:rsid w:val="74711995"/>
    <w:rsid w:val="766751CF"/>
    <w:rsid w:val="76724FD8"/>
    <w:rsid w:val="76A806BB"/>
    <w:rsid w:val="7721127E"/>
    <w:rsid w:val="77422BFC"/>
    <w:rsid w:val="776E39F1"/>
    <w:rsid w:val="77AA6A0E"/>
    <w:rsid w:val="78080039"/>
    <w:rsid w:val="78152A4A"/>
    <w:rsid w:val="7849412B"/>
    <w:rsid w:val="78574AAF"/>
    <w:rsid w:val="786A251A"/>
    <w:rsid w:val="78A413FA"/>
    <w:rsid w:val="78DE407B"/>
    <w:rsid w:val="79383E6C"/>
    <w:rsid w:val="796D46C6"/>
    <w:rsid w:val="79AB29E6"/>
    <w:rsid w:val="7A057D3D"/>
    <w:rsid w:val="7A28257D"/>
    <w:rsid w:val="7AC540CB"/>
    <w:rsid w:val="7B03623F"/>
    <w:rsid w:val="7B05641A"/>
    <w:rsid w:val="7B783090"/>
    <w:rsid w:val="7CBC51FE"/>
    <w:rsid w:val="7D513B99"/>
    <w:rsid w:val="7D8A0E59"/>
    <w:rsid w:val="7E2F6E92"/>
    <w:rsid w:val="7E385994"/>
    <w:rsid w:val="7E4E00D8"/>
    <w:rsid w:val="7E9832A1"/>
    <w:rsid w:val="7EB10D93"/>
    <w:rsid w:val="7EB937A4"/>
    <w:rsid w:val="7F376DBE"/>
    <w:rsid w:val="7F4C3DE7"/>
    <w:rsid w:val="7F572FBC"/>
    <w:rsid w:val="7F741DC0"/>
    <w:rsid w:val="7FC063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iPriority="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iPriority="99"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39"/>
    <w:qFormat/>
    <w:uiPriority w:val="0"/>
    <w:pPr>
      <w:keepNext/>
      <w:keepLines/>
      <w:spacing w:before="340" w:after="330" w:line="360" w:lineRule="auto"/>
      <w:jc w:val="center"/>
      <w:outlineLvl w:val="0"/>
    </w:pPr>
    <w:rPr>
      <w:rFonts w:asciiTheme="minorAscii" w:hAnsiTheme="minorAscii"/>
      <w:b/>
      <w:bCs/>
      <w:kern w:val="44"/>
      <w:sz w:val="44"/>
      <w:szCs w:val="44"/>
    </w:rPr>
  </w:style>
  <w:style w:type="paragraph" w:styleId="5">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qFormat/>
    <w:uiPriority w:val="0"/>
    <w:pPr>
      <w:keepNext/>
      <w:keepLines/>
      <w:spacing w:before="260" w:after="260" w:line="413" w:lineRule="auto"/>
      <w:outlineLvl w:val="2"/>
    </w:pPr>
    <w:rPr>
      <w:b/>
      <w:kern w:val="0"/>
      <w:sz w:val="32"/>
      <w:szCs w:val="24"/>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kern w:val="0"/>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1"/>
    <w:next w:val="3"/>
    <w:qFormat/>
    <w:uiPriority w:val="0"/>
    <w:pPr>
      <w:spacing w:line="360" w:lineRule="auto"/>
      <w:ind w:firstLine="420"/>
    </w:pPr>
    <w:rPr>
      <w:rFonts w:eastAsia="Arial Unicode MS"/>
      <w:color w:val="000000"/>
      <w:kern w:val="0"/>
      <w:sz w:val="28"/>
      <w:szCs w:val="28"/>
    </w:rPr>
  </w:style>
  <w:style w:type="paragraph" w:styleId="3">
    <w:name w:val="Body Text First Indent 2"/>
    <w:basedOn w:val="1"/>
    <w:next w:val="1"/>
    <w:qFormat/>
    <w:uiPriority w:val="0"/>
    <w:pPr>
      <w:spacing w:before="100" w:beforeLines="0" w:beforeAutospacing="1" w:after="120" w:afterLines="0" w:line="360" w:lineRule="auto"/>
      <w:ind w:left="420" w:firstLine="420"/>
    </w:pPr>
    <w:rPr>
      <w:rFonts w:eastAsia="Arial Unicode MS"/>
      <w:color w:val="000000"/>
      <w:kern w:val="0"/>
      <w:sz w:val="20"/>
      <w:szCs w:val="20"/>
    </w:rPr>
  </w:style>
  <w:style w:type="paragraph" w:styleId="8">
    <w:name w:val="Body Text"/>
    <w:basedOn w:val="1"/>
    <w:unhideWhenUsed/>
    <w:qFormat/>
    <w:uiPriority w:val="99"/>
    <w:pPr>
      <w:spacing w:after="120"/>
    </w:pPr>
    <w:rPr>
      <w:rFonts w:ascii="Calibri" w:hAnsi="Calibri"/>
      <w:kern w:val="0"/>
      <w:sz w:val="20"/>
    </w:rPr>
  </w:style>
  <w:style w:type="paragraph" w:styleId="9">
    <w:name w:val="Body Text Indent"/>
    <w:basedOn w:val="1"/>
    <w:qFormat/>
    <w:uiPriority w:val="0"/>
    <w:pPr>
      <w:spacing w:line="500" w:lineRule="exact"/>
      <w:ind w:firstLine="560" w:firstLineChars="200"/>
    </w:pPr>
    <w:rPr>
      <w:rFonts w:ascii="宋体" w:hAnsi="宋体"/>
      <w:sz w:val="28"/>
      <w:szCs w:val="24"/>
    </w:rPr>
  </w:style>
  <w:style w:type="paragraph" w:styleId="10">
    <w:name w:val="Plain Text"/>
    <w:basedOn w:val="1"/>
    <w:qFormat/>
    <w:uiPriority w:val="0"/>
    <w:rPr>
      <w:rFonts w:ascii="Courier New" w:hAnsi="Courier New"/>
      <w:kern w:val="0"/>
      <w:sz w:val="20"/>
      <w:szCs w:val="20"/>
    </w:rPr>
  </w:style>
  <w:style w:type="paragraph" w:styleId="11">
    <w:name w:val="Body Text Indent 2"/>
    <w:basedOn w:val="1"/>
    <w:link w:val="40"/>
    <w:qFormat/>
    <w:uiPriority w:val="0"/>
    <w:pPr>
      <w:spacing w:after="120" w:line="480" w:lineRule="auto"/>
      <w:ind w:left="420" w:leftChars="200"/>
    </w:pPr>
    <w:rPr>
      <w:rFonts w:ascii="Calibri" w:hAnsi="Calibri" w:eastAsia="宋体" w:cs="Times New Roman"/>
    </w:rPr>
  </w:style>
  <w:style w:type="paragraph" w:styleId="12">
    <w:name w:val="footer"/>
    <w:basedOn w:val="1"/>
    <w:qFormat/>
    <w:uiPriority w:val="0"/>
    <w:pPr>
      <w:tabs>
        <w:tab w:val="center" w:pos="4153"/>
        <w:tab w:val="right" w:pos="8306"/>
      </w:tabs>
      <w:wordWrap w:val="0"/>
      <w:topLinePunct/>
      <w:snapToGrid w:val="0"/>
      <w:jc w:val="left"/>
    </w:pPr>
    <w:rPr>
      <w:rFonts w:ascii="Times New Roman" w:hAnsi="Times New Roman" w:eastAsia="宋体" w:cs="Times New Roman"/>
      <w:sz w:val="18"/>
      <w:szCs w:val="18"/>
    </w:rPr>
  </w:style>
  <w:style w:type="paragraph" w:styleId="13">
    <w:name w:val="header"/>
    <w:basedOn w:val="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kern w:val="0"/>
      <w:sz w:val="18"/>
    </w:rPr>
  </w:style>
  <w:style w:type="paragraph" w:styleId="14">
    <w:name w:val="Body Text 2"/>
    <w:qFormat/>
    <w:uiPriority w:val="0"/>
    <w:pPr>
      <w:spacing w:before="100" w:beforeAutospacing="1" w:after="100" w:afterAutospacing="1"/>
    </w:pPr>
    <w:rPr>
      <w:rFonts w:ascii="Times New Roman" w:hAnsi="Times New Roman" w:eastAsia="宋体" w:cs="Times New Roman"/>
      <w:sz w:val="24"/>
      <w:szCs w:val="24"/>
      <w:lang w:val="en-US" w:eastAsia="zh-CN" w:bidi="ar-SA"/>
    </w:rPr>
  </w:style>
  <w:style w:type="paragraph" w:styleId="15">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table" w:styleId="17">
    <w:name w:val="Table Grid"/>
    <w:basedOn w:val="16"/>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Strong"/>
    <w:basedOn w:val="18"/>
    <w:qFormat/>
    <w:uiPriority w:val="0"/>
    <w:rPr>
      <w:b/>
      <w:bCs/>
    </w:rPr>
  </w:style>
  <w:style w:type="character" w:styleId="20">
    <w:name w:val="FollowedHyperlink"/>
    <w:basedOn w:val="18"/>
    <w:qFormat/>
    <w:uiPriority w:val="0"/>
    <w:rPr>
      <w:color w:val="800080"/>
      <w:u w:val="none"/>
    </w:rPr>
  </w:style>
  <w:style w:type="character" w:styleId="21">
    <w:name w:val="Emphasis"/>
    <w:basedOn w:val="18"/>
    <w:qFormat/>
    <w:uiPriority w:val="0"/>
    <w:rPr>
      <w:b/>
      <w:bCs/>
    </w:rPr>
  </w:style>
  <w:style w:type="character" w:styleId="22">
    <w:name w:val="HTML Definition"/>
    <w:basedOn w:val="18"/>
    <w:qFormat/>
    <w:uiPriority w:val="0"/>
  </w:style>
  <w:style w:type="character" w:styleId="23">
    <w:name w:val="HTML Typewriter"/>
    <w:basedOn w:val="18"/>
    <w:qFormat/>
    <w:uiPriority w:val="0"/>
    <w:rPr>
      <w:rFonts w:hint="default" w:ascii="monospace" w:hAnsi="monospace" w:eastAsia="monospace" w:cs="monospace"/>
      <w:sz w:val="20"/>
    </w:rPr>
  </w:style>
  <w:style w:type="character" w:styleId="24">
    <w:name w:val="HTML Acronym"/>
    <w:basedOn w:val="18"/>
    <w:qFormat/>
    <w:uiPriority w:val="0"/>
  </w:style>
  <w:style w:type="character" w:styleId="25">
    <w:name w:val="HTML Variable"/>
    <w:basedOn w:val="18"/>
    <w:qFormat/>
    <w:uiPriority w:val="0"/>
  </w:style>
  <w:style w:type="character" w:styleId="26">
    <w:name w:val="Hyperlink"/>
    <w:qFormat/>
    <w:uiPriority w:val="99"/>
    <w:rPr>
      <w:color w:val="000000"/>
      <w:u w:val="none"/>
    </w:rPr>
  </w:style>
  <w:style w:type="character" w:styleId="27">
    <w:name w:val="HTML Code"/>
    <w:basedOn w:val="18"/>
    <w:qFormat/>
    <w:uiPriority w:val="0"/>
    <w:rPr>
      <w:rFonts w:hint="default" w:ascii="monospace" w:hAnsi="monospace" w:eastAsia="monospace" w:cs="monospace"/>
      <w:sz w:val="20"/>
    </w:rPr>
  </w:style>
  <w:style w:type="character" w:styleId="28">
    <w:name w:val="HTML Cite"/>
    <w:basedOn w:val="18"/>
    <w:qFormat/>
    <w:uiPriority w:val="0"/>
  </w:style>
  <w:style w:type="character" w:styleId="29">
    <w:name w:val="HTML Keyboard"/>
    <w:basedOn w:val="18"/>
    <w:qFormat/>
    <w:uiPriority w:val="0"/>
    <w:rPr>
      <w:rFonts w:ascii="monospace" w:hAnsi="monospace" w:eastAsia="monospace" w:cs="monospace"/>
      <w:sz w:val="20"/>
    </w:rPr>
  </w:style>
  <w:style w:type="character" w:styleId="30">
    <w:name w:val="HTML Sample"/>
    <w:basedOn w:val="18"/>
    <w:qFormat/>
    <w:uiPriority w:val="0"/>
    <w:rPr>
      <w:rFonts w:hint="default" w:ascii="monospace" w:hAnsi="monospace" w:eastAsia="monospace" w:cs="monospace"/>
    </w:rPr>
  </w:style>
  <w:style w:type="paragraph" w:customStyle="1" w:styleId="31">
    <w:name w:val="Default"/>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2">
    <w:name w:val="p0"/>
    <w:basedOn w:val="1"/>
    <w:qFormat/>
    <w:uiPriority w:val="0"/>
    <w:pPr>
      <w:widowControl/>
    </w:pPr>
    <w:rPr>
      <w:rFonts w:ascii="Times New Roman" w:hAnsi="Times New Roman" w:eastAsia="宋体" w:cs="Times New Roman"/>
      <w:kern w:val="0"/>
      <w:szCs w:val="21"/>
    </w:rPr>
  </w:style>
  <w:style w:type="character" w:customStyle="1" w:styleId="33">
    <w:name w:val="layui-layer-tabnow"/>
    <w:basedOn w:val="18"/>
    <w:qFormat/>
    <w:uiPriority w:val="0"/>
    <w:rPr>
      <w:bdr w:val="single" w:color="CCCCCC" w:sz="6" w:space="0"/>
      <w:shd w:val="clear" w:color="auto" w:fill="FFFFFF"/>
    </w:rPr>
  </w:style>
  <w:style w:type="character" w:customStyle="1" w:styleId="34">
    <w:name w:val="first-child"/>
    <w:basedOn w:val="18"/>
    <w:qFormat/>
    <w:uiPriority w:val="0"/>
  </w:style>
  <w:style w:type="character" w:customStyle="1" w:styleId="35">
    <w:name w:val="hover"/>
    <w:basedOn w:val="18"/>
    <w:qFormat/>
    <w:uiPriority w:val="0"/>
    <w:rPr>
      <w:color w:val="2590EB"/>
    </w:rPr>
  </w:style>
  <w:style w:type="character" w:customStyle="1" w:styleId="36">
    <w:name w:val="hover1"/>
    <w:basedOn w:val="18"/>
    <w:qFormat/>
    <w:uiPriority w:val="0"/>
    <w:rPr>
      <w:color w:val="2590EB"/>
    </w:rPr>
  </w:style>
  <w:style w:type="character" w:customStyle="1" w:styleId="37">
    <w:name w:val="hover2"/>
    <w:basedOn w:val="18"/>
    <w:qFormat/>
    <w:uiPriority w:val="0"/>
  </w:style>
  <w:style w:type="character" w:customStyle="1" w:styleId="38">
    <w:name w:val="mini-outputtext1"/>
    <w:basedOn w:val="18"/>
    <w:qFormat/>
    <w:uiPriority w:val="0"/>
  </w:style>
  <w:style w:type="character" w:customStyle="1" w:styleId="39">
    <w:name w:val="标题 1 字符"/>
    <w:basedOn w:val="18"/>
    <w:link w:val="4"/>
    <w:qFormat/>
    <w:uiPriority w:val="0"/>
    <w:rPr>
      <w:rFonts w:asciiTheme="minorAscii" w:hAnsiTheme="minorAscii" w:eastAsiaTheme="minorEastAsia" w:cstheme="minorBidi"/>
      <w:b/>
      <w:bCs/>
      <w:kern w:val="44"/>
      <w:sz w:val="44"/>
      <w:szCs w:val="44"/>
    </w:rPr>
  </w:style>
  <w:style w:type="character" w:customStyle="1" w:styleId="40">
    <w:name w:val="正文文本缩进 2 字符"/>
    <w:basedOn w:val="18"/>
    <w:link w:val="11"/>
    <w:qFormat/>
    <w:uiPriority w:val="0"/>
    <w:rPr>
      <w:rFonts w:ascii="Calibri" w:hAnsi="Calibri"/>
      <w:kern w:val="2"/>
      <w:sz w:val="21"/>
      <w:szCs w:val="22"/>
    </w:rPr>
  </w:style>
  <w:style w:type="character" w:customStyle="1" w:styleId="41">
    <w:name w:val="Unresolved Mention"/>
    <w:basedOn w:val="18"/>
    <w:semiHidden/>
    <w:unhideWhenUsed/>
    <w:qFormat/>
    <w:uiPriority w:val="99"/>
    <w:rPr>
      <w:color w:val="605E5C"/>
      <w:shd w:val="clear" w:color="auto" w:fill="E1DFDD"/>
    </w:rPr>
  </w:style>
  <w:style w:type="paragraph" w:styleId="42">
    <w:name w:val="No Spacing"/>
    <w:qFormat/>
    <w:uiPriority w:val="99"/>
    <w:rPr>
      <w:rFonts w:ascii="Calibri" w:hAnsi="Calibri" w:eastAsia="宋体" w:cs="Times New Roman"/>
      <w:sz w:val="22"/>
      <w:szCs w:val="22"/>
      <w:lang w:val="en-US" w:eastAsia="zh-CN" w:bidi="ar-SA"/>
    </w:rPr>
  </w:style>
  <w:style w:type="paragraph" w:customStyle="1" w:styleId="43">
    <w:name w:val="标题3-1"/>
    <w:basedOn w:val="6"/>
    <w:qFormat/>
    <w:uiPriority w:val="0"/>
    <w:pPr>
      <w:spacing w:before="100" w:beforeLines="0" w:beforeAutospacing="1" w:after="100" w:afterLines="0" w:afterAutospacing="1" w:line="410" w:lineRule="auto"/>
      <w:ind w:left="2225" w:hanging="425"/>
    </w:pPr>
    <w:rPr>
      <w:rFonts w:ascii="Courier New" w:hAnsi="Courier New" w:cs="Courier New"/>
      <w:sz w:val="24"/>
      <w:szCs w:val="24"/>
    </w:rPr>
  </w:style>
  <w:style w:type="paragraph" w:customStyle="1" w:styleId="44">
    <w:name w:val="Table Paragraph"/>
    <w:basedOn w:val="1"/>
    <w:qFormat/>
    <w:uiPriority w:val="0"/>
  </w:style>
  <w:style w:type="paragraph" w:customStyle="1" w:styleId="45">
    <w:name w:val="Table Text"/>
    <w:basedOn w:val="1"/>
    <w:semiHidden/>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character" w:customStyle="1" w:styleId="46">
    <w:name w:val="NormalCharacter"/>
    <w:qFormat/>
    <w:uiPriority w:val="0"/>
    <w:rPr>
      <w:rFonts w:ascii="Times New Roman" w:hAnsi="Times New Roman" w:eastAsia="宋体"/>
    </w:rPr>
  </w:style>
  <w:style w:type="character" w:customStyle="1" w:styleId="47">
    <w:name w:val="hover3"/>
    <w:basedOn w:val="18"/>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中国微软</Company>
  <Pages>89</Pages>
  <Words>15050</Words>
  <Characters>16260</Characters>
  <Lines>330</Lines>
  <Paragraphs>93</Paragraphs>
  <TotalTime>113</TotalTime>
  <ScaleCrop>false</ScaleCrop>
  <LinksUpToDate>false</LinksUpToDate>
  <CharactersWithSpaces>16346</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2023-07-06T09:53:00Z</dcterms:created>
  <dc:creator>Administrator</dc:creator>
  <cp:lastModifiedBy>Administrator</cp:lastModifiedBy>
  <cp:lastPrinted>2025-06-23T10:00:00Z</cp:lastPrinted>
  <dcterms:modified xsi:type="dcterms:W3CDTF">2025-06-25T02:11:52Z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77FD0BA754DB4FDDA08E2363FF29640C_13</vt:lpwstr>
  </property>
  <property fmtid="{D5CDD505-2E9C-101B-9397-08002B2CF9AE}" pid="4" name="KSOTemplateDocerSaveRecord">
    <vt:lpwstr>eyJoZGlkIjoiN2FhMmM2MTMyYTQ3YTVmMDJlY2YwYTkwNDhjNmMwNzciLCJ1c2VySWQiOiIxNDg3MjQ3NDc0In0=</vt:lpwstr>
  </property>
</Properties>
</file>