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D8B78">
      <w:pPr>
        <w:adjustRightInd w:val="0"/>
        <w:snapToGrid w:val="0"/>
        <w:spacing w:line="360" w:lineRule="auto"/>
        <w:rPr>
          <w:rFonts w:hint="eastAsia" w:ascii="宋体" w:hAnsi="宋体" w:eastAsia="宋体" w:cs="宋体"/>
          <w:b/>
          <w:sz w:val="40"/>
          <w:szCs w:val="40"/>
          <w:highlight w:val="none"/>
        </w:rPr>
      </w:pPr>
      <w:bookmarkStart w:id="1129" w:name="_GoBack"/>
      <w:bookmarkEnd w:id="1129"/>
    </w:p>
    <w:p w14:paraId="0869CF5C">
      <w:pPr>
        <w:adjustRightInd w:val="0"/>
        <w:snapToGrid w:val="0"/>
        <w:spacing w:line="360" w:lineRule="auto"/>
        <w:jc w:val="center"/>
        <w:rPr>
          <w:rFonts w:hint="eastAsia" w:ascii="宋体" w:hAnsi="宋体" w:eastAsia="宋体" w:cs="宋体"/>
          <w:b/>
          <w:sz w:val="44"/>
          <w:szCs w:val="44"/>
          <w:highlight w:val="none"/>
          <w:lang w:eastAsia="zh-CN"/>
        </w:rPr>
      </w:pPr>
      <w:bookmarkStart w:id="0" w:name="OLE_LINK2"/>
      <w:r>
        <w:rPr>
          <w:rFonts w:hint="eastAsia" w:ascii="宋体" w:hAnsi="宋体" w:eastAsia="宋体" w:cs="宋体"/>
          <w:b/>
          <w:sz w:val="44"/>
          <w:szCs w:val="44"/>
          <w:highlight w:val="none"/>
          <w:lang w:eastAsia="zh-CN"/>
        </w:rPr>
        <w:t>灵宝市尹庄镇人民政府2025年灵宝市尹庄镇果业仓储物流园项目</w:t>
      </w:r>
    </w:p>
    <w:bookmarkEnd w:id="0"/>
    <w:p w14:paraId="25EE2088">
      <w:pPr>
        <w:pStyle w:val="21"/>
        <w:rPr>
          <w:rFonts w:hint="eastAsia" w:ascii="宋体" w:hAnsi="宋体" w:eastAsia="宋体" w:cs="宋体"/>
          <w:highlight w:val="none"/>
          <w:lang w:eastAsia="zh-CN"/>
        </w:rPr>
      </w:pPr>
    </w:p>
    <w:p w14:paraId="2D698590">
      <w:pPr>
        <w:adjustRightInd w:val="0"/>
        <w:snapToGrid w:val="0"/>
        <w:spacing w:line="360" w:lineRule="auto"/>
        <w:jc w:val="center"/>
        <w:rPr>
          <w:rFonts w:hint="eastAsia" w:ascii="宋体" w:hAnsi="宋体" w:eastAsia="宋体" w:cs="宋体"/>
          <w:b/>
          <w:sz w:val="52"/>
          <w:szCs w:val="52"/>
          <w:highlight w:val="none"/>
        </w:rPr>
      </w:pPr>
      <w:r>
        <w:rPr>
          <w:rFonts w:hint="eastAsia" w:ascii="宋体" w:hAnsi="宋体" w:eastAsia="宋体" w:cs="宋体"/>
          <w:b/>
          <w:sz w:val="72"/>
          <w:szCs w:val="72"/>
          <w:highlight w:val="none"/>
        </w:rPr>
        <w:t>竞争性磋商文件</w:t>
      </w:r>
    </w:p>
    <w:p w14:paraId="49F57E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rPr>
        <w:t>项目编号：</w:t>
      </w:r>
      <w:r>
        <w:rPr>
          <w:rFonts w:hint="eastAsia" w:ascii="宋体" w:hAnsi="宋体" w:eastAsia="宋体" w:cs="宋体"/>
          <w:b/>
          <w:bCs/>
          <w:color w:val="000000"/>
          <w:sz w:val="32"/>
          <w:szCs w:val="32"/>
          <w:highlight w:val="none"/>
          <w:lang w:val="en-US" w:eastAsia="zh-CN"/>
        </w:rPr>
        <w:t>灵宝竞磋采购-2025-84；LBGZ[2025]170-ZC118</w:t>
      </w:r>
    </w:p>
    <w:p w14:paraId="59517C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eastAsia="宋体" w:cs="宋体"/>
          <w:b/>
          <w:bCs/>
          <w:color w:val="000000"/>
          <w:sz w:val="32"/>
          <w:szCs w:val="32"/>
          <w:highlight w:val="none"/>
          <w:lang w:val="en-US" w:eastAsia="zh-CN"/>
        </w:rPr>
      </w:pPr>
      <w:r>
        <w:rPr>
          <w:rFonts w:hint="eastAsia" w:eastAsia="宋体"/>
          <w:highlight w:val="none"/>
          <w:lang w:eastAsia="zh-CN"/>
        </w:rPr>
        <w:drawing>
          <wp:anchor distT="0" distB="0" distL="114300" distR="114300" simplePos="0" relativeHeight="251661312" behindDoc="0" locked="0" layoutInCell="1" allowOverlap="1">
            <wp:simplePos x="0" y="0"/>
            <wp:positionH relativeFrom="column">
              <wp:posOffset>407670</wp:posOffset>
            </wp:positionH>
            <wp:positionV relativeFrom="paragraph">
              <wp:posOffset>253365</wp:posOffset>
            </wp:positionV>
            <wp:extent cx="4636135" cy="1567815"/>
            <wp:effectExtent l="0" t="0" r="12065" b="13335"/>
            <wp:wrapTopAndBottom/>
            <wp:docPr id="4" name="图片 5" descr="5a174cb79c9777742916e75fc8ceb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5a174cb79c9777742916e75fc8ceb0cd"/>
                    <pic:cNvPicPr>
                      <a:picLocks noChangeAspect="1"/>
                    </pic:cNvPicPr>
                  </pic:nvPicPr>
                  <pic:blipFill>
                    <a:blip r:embed="rId9">
                      <a:clrChange>
                        <a:clrFrom>
                          <a:srgbClr val="000000"/>
                        </a:clrFrom>
                        <a:clrTo>
                          <a:srgbClr val="000000">
                            <a:alpha val="0"/>
                          </a:srgbClr>
                        </a:clrTo>
                      </a:clrChange>
                    </a:blip>
                    <a:stretch>
                      <a:fillRect/>
                    </a:stretch>
                  </pic:blipFill>
                  <pic:spPr>
                    <a:xfrm>
                      <a:off x="0" y="0"/>
                      <a:ext cx="4636135" cy="1567815"/>
                    </a:xfrm>
                    <a:prstGeom prst="rect">
                      <a:avLst/>
                    </a:prstGeom>
                    <a:noFill/>
                    <a:ln>
                      <a:noFill/>
                    </a:ln>
                  </pic:spPr>
                </pic:pic>
              </a:graphicData>
            </a:graphic>
          </wp:anchor>
        </w:drawing>
      </w:r>
    </w:p>
    <w:p w14:paraId="01F9D9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eastAsia="宋体" w:cs="宋体"/>
          <w:b/>
          <w:bCs/>
          <w:color w:val="000000"/>
          <w:sz w:val="32"/>
          <w:szCs w:val="32"/>
          <w:highlight w:val="none"/>
          <w:lang w:val="en-US" w:eastAsia="zh-CN"/>
        </w:rPr>
      </w:pPr>
    </w:p>
    <w:p w14:paraId="61796872">
      <w:pPr>
        <w:adjustRightInd w:val="0"/>
        <w:snapToGrid w:val="0"/>
        <w:spacing w:line="360" w:lineRule="auto"/>
        <w:jc w:val="center"/>
        <w:rPr>
          <w:rFonts w:hint="eastAsia" w:ascii="宋体" w:hAnsi="宋体" w:eastAsia="宋体" w:cs="宋体"/>
          <w:b/>
          <w:bCs/>
          <w:color w:val="000000"/>
          <w:sz w:val="32"/>
          <w:szCs w:val="32"/>
          <w:highlight w:val="none"/>
          <w:lang w:val="en-US"/>
        </w:rPr>
      </w:pPr>
    </w:p>
    <w:p w14:paraId="6ED418A1">
      <w:pPr>
        <w:adjustRightInd w:val="0"/>
        <w:snapToGrid w:val="0"/>
        <w:spacing w:line="360" w:lineRule="auto"/>
        <w:rPr>
          <w:rFonts w:hint="eastAsia" w:ascii="宋体" w:hAnsi="宋体" w:eastAsia="宋体" w:cs="宋体"/>
          <w:sz w:val="28"/>
          <w:szCs w:val="28"/>
          <w:highlight w:val="none"/>
        </w:rPr>
      </w:pPr>
    </w:p>
    <w:p w14:paraId="38591322">
      <w:pPr>
        <w:tabs>
          <w:tab w:val="left" w:pos="-1155"/>
          <w:tab w:val="left" w:pos="-1050"/>
        </w:tabs>
        <w:adjustRightInd w:val="0"/>
        <w:snapToGrid w:val="0"/>
        <w:spacing w:line="480" w:lineRule="auto"/>
        <w:ind w:firstLine="2165" w:firstLineChars="700"/>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lang w:val="en-US" w:eastAsia="zh-CN"/>
        </w:rPr>
        <w:t>招标单位</w:t>
      </w:r>
      <w:r>
        <w:rPr>
          <w:rFonts w:hint="eastAsia" w:ascii="宋体" w:hAnsi="宋体" w:eastAsia="宋体" w:cs="宋体"/>
          <w:b/>
          <w:spacing w:val="-6"/>
          <w:sz w:val="32"/>
          <w:szCs w:val="32"/>
          <w:highlight w:val="none"/>
        </w:rPr>
        <w:t>：</w:t>
      </w:r>
      <w:r>
        <w:rPr>
          <w:rFonts w:hint="eastAsia" w:ascii="宋体" w:hAnsi="宋体" w:eastAsia="宋体" w:cs="宋体"/>
          <w:b/>
          <w:spacing w:val="-6"/>
          <w:sz w:val="32"/>
          <w:szCs w:val="32"/>
          <w:highlight w:val="none"/>
          <w:lang w:eastAsia="zh-CN"/>
        </w:rPr>
        <w:t>灵宝市尹庄镇人民政府</w:t>
      </w:r>
    </w:p>
    <w:p w14:paraId="65AB7CAB">
      <w:pPr>
        <w:tabs>
          <w:tab w:val="left" w:pos="-1155"/>
          <w:tab w:val="left" w:pos="-1050"/>
        </w:tabs>
        <w:adjustRightInd w:val="0"/>
        <w:snapToGrid w:val="0"/>
        <w:spacing w:line="480" w:lineRule="auto"/>
        <w:ind w:firstLine="2165" w:firstLineChars="700"/>
        <w:jc w:val="left"/>
        <w:rPr>
          <w:rFonts w:hint="eastAsia" w:ascii="宋体" w:hAnsi="宋体" w:eastAsia="宋体" w:cs="宋体"/>
          <w:b/>
          <w:spacing w:val="-6"/>
          <w:sz w:val="32"/>
          <w:szCs w:val="32"/>
          <w:highlight w:val="none"/>
          <w:lang w:eastAsia="zh-CN"/>
        </w:rPr>
      </w:pPr>
      <w:r>
        <w:rPr>
          <w:rFonts w:hint="eastAsia" w:ascii="宋体" w:hAnsi="宋体" w:eastAsia="宋体" w:cs="宋体"/>
          <w:b/>
          <w:spacing w:val="-6"/>
          <w:sz w:val="32"/>
          <w:szCs w:val="32"/>
          <w:highlight w:val="none"/>
        </w:rPr>
        <w:t>代理机构：</w:t>
      </w:r>
      <w:r>
        <w:rPr>
          <w:rFonts w:hint="eastAsia" w:ascii="宋体" w:hAnsi="宋体" w:eastAsia="宋体" w:cs="宋体"/>
          <w:b/>
          <w:spacing w:val="-6"/>
          <w:sz w:val="32"/>
          <w:szCs w:val="32"/>
          <w:highlight w:val="none"/>
          <w:lang w:eastAsia="zh-CN"/>
        </w:rPr>
        <w:t>傲唐集团有限公司</w:t>
      </w:r>
    </w:p>
    <w:p w14:paraId="02ACBABF">
      <w:pPr>
        <w:tabs>
          <w:tab w:val="left" w:pos="-1155"/>
          <w:tab w:val="left" w:pos="-1050"/>
        </w:tabs>
        <w:adjustRightInd w:val="0"/>
        <w:snapToGrid w:val="0"/>
        <w:spacing w:line="480" w:lineRule="auto"/>
        <w:ind w:firstLine="2165" w:firstLineChars="700"/>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 xml:space="preserve">日 </w:t>
      </w:r>
      <w:r>
        <w:rPr>
          <w:rFonts w:hint="eastAsia" w:ascii="宋体" w:hAnsi="宋体" w:eastAsia="宋体" w:cs="宋体"/>
          <w:b/>
          <w:spacing w:val="-6"/>
          <w:sz w:val="32"/>
          <w:szCs w:val="32"/>
          <w:highlight w:val="none"/>
          <w:lang w:val="en-US" w:eastAsia="zh-CN"/>
        </w:rPr>
        <w:t xml:space="preserve">  </w:t>
      </w:r>
      <w:r>
        <w:rPr>
          <w:rFonts w:hint="eastAsia" w:ascii="宋体" w:hAnsi="宋体" w:eastAsia="宋体" w:cs="宋体"/>
          <w:b/>
          <w:spacing w:val="-6"/>
          <w:sz w:val="32"/>
          <w:szCs w:val="32"/>
          <w:highlight w:val="none"/>
        </w:rPr>
        <w:t xml:space="preserve"> 期：二○二</w:t>
      </w:r>
      <w:r>
        <w:rPr>
          <w:rFonts w:hint="eastAsia" w:ascii="宋体" w:hAnsi="宋体" w:eastAsia="宋体" w:cs="宋体"/>
          <w:b/>
          <w:spacing w:val="-6"/>
          <w:sz w:val="32"/>
          <w:szCs w:val="32"/>
          <w:highlight w:val="none"/>
          <w:lang w:val="en-US" w:eastAsia="zh-CN"/>
        </w:rPr>
        <w:t>五</w:t>
      </w:r>
      <w:r>
        <w:rPr>
          <w:rFonts w:hint="eastAsia" w:ascii="宋体" w:hAnsi="宋体" w:eastAsia="宋体" w:cs="宋体"/>
          <w:b/>
          <w:spacing w:val="-6"/>
          <w:sz w:val="32"/>
          <w:szCs w:val="32"/>
          <w:highlight w:val="none"/>
        </w:rPr>
        <w:t xml:space="preserve"> 年 </w:t>
      </w:r>
      <w:r>
        <w:rPr>
          <w:rFonts w:hint="eastAsia" w:ascii="宋体" w:hAnsi="宋体" w:eastAsia="宋体" w:cs="宋体"/>
          <w:b/>
          <w:spacing w:val="-6"/>
          <w:sz w:val="32"/>
          <w:szCs w:val="32"/>
          <w:highlight w:val="none"/>
          <w:lang w:val="en-US" w:eastAsia="zh-CN"/>
        </w:rPr>
        <w:t>七</w:t>
      </w:r>
      <w:r>
        <w:rPr>
          <w:rFonts w:hint="eastAsia" w:ascii="宋体" w:hAnsi="宋体" w:eastAsia="宋体" w:cs="宋体"/>
          <w:b/>
          <w:spacing w:val="-6"/>
          <w:sz w:val="32"/>
          <w:szCs w:val="32"/>
          <w:highlight w:val="none"/>
        </w:rPr>
        <w:t xml:space="preserve"> 月</w:t>
      </w:r>
    </w:p>
    <w:p w14:paraId="28FC3C6D">
      <w:pPr>
        <w:shd w:val="solid" w:color="FFFFFF" w:fill="auto"/>
        <w:autoSpaceDN w:val="0"/>
        <w:adjustRightInd w:val="0"/>
        <w:snapToGrid w:val="0"/>
        <w:spacing w:line="360" w:lineRule="auto"/>
        <w:rPr>
          <w:rFonts w:hint="eastAsia" w:ascii="宋体" w:hAnsi="宋体" w:eastAsia="宋体" w:cs="宋体"/>
          <w:b/>
          <w:sz w:val="32"/>
          <w:szCs w:val="32"/>
          <w:highlight w:val="none"/>
        </w:rPr>
        <w:sectPr>
          <w:footerReference r:id="rId3" w:type="default"/>
          <w:pgSz w:w="11907" w:h="16840"/>
          <w:pgMar w:top="1587" w:right="1531" w:bottom="1587" w:left="1531" w:header="851" w:footer="992" w:gutter="0"/>
          <w:pgBorders>
            <w:top w:val="none" w:sz="0" w:space="0"/>
            <w:left w:val="none" w:sz="0" w:space="0"/>
            <w:bottom w:val="none" w:sz="0" w:space="0"/>
            <w:right w:val="none" w:sz="0" w:space="0"/>
          </w:pgBorders>
          <w:pgNumType w:start="1"/>
          <w:cols w:space="720" w:num="1"/>
          <w:docGrid w:linePitch="312" w:charSpace="0"/>
        </w:sectPr>
      </w:pPr>
    </w:p>
    <w:p w14:paraId="14B7268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color w:val="000000"/>
          <w:sz w:val="30"/>
          <w:szCs w:val="30"/>
          <w:highlight w:val="none"/>
        </w:rPr>
      </w:pPr>
    </w:p>
    <w:p w14:paraId="1320A7B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val="0"/>
          <w:kern w:val="44"/>
          <w:sz w:val="32"/>
          <w:szCs w:val="32"/>
          <w:highlight w:val="none"/>
        </w:rPr>
      </w:pPr>
      <w:bookmarkStart w:id="1" w:name="_Toc26856"/>
      <w:bookmarkStart w:id="2" w:name="_Toc22293"/>
      <w:r>
        <w:rPr>
          <w:rFonts w:hint="eastAsia" w:ascii="宋体" w:hAnsi="宋体" w:eastAsia="宋体" w:cs="宋体"/>
          <w:b/>
          <w:bCs w:val="0"/>
          <w:kern w:val="44"/>
          <w:sz w:val="32"/>
          <w:szCs w:val="32"/>
          <w:highlight w:val="none"/>
        </w:rPr>
        <w:t>目  录</w:t>
      </w:r>
      <w:bookmarkEnd w:id="1"/>
      <w:bookmarkEnd w:id="2"/>
    </w:p>
    <w:p w14:paraId="2653E303">
      <w:pPr>
        <w:pStyle w:val="38"/>
        <w:pageBreakBefore w:val="0"/>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highlight w:val="none"/>
        </w:rPr>
      </w:pPr>
    </w:p>
    <w:p w14:paraId="04C61DA6">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TOC \o "1-1" \h \u </w:instrText>
      </w:r>
      <w:r>
        <w:rPr>
          <w:rFonts w:hint="eastAsia" w:ascii="宋体" w:hAnsi="宋体" w:eastAsia="宋体" w:cs="宋体"/>
          <w:b w:val="0"/>
          <w:bCs/>
          <w:sz w:val="32"/>
          <w:szCs w:val="32"/>
          <w:highlight w:val="none"/>
        </w:rPr>
        <w:fldChar w:fldCharType="separate"/>
      </w: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_Toc8929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第一章</w:t>
      </w:r>
      <w:r>
        <w:rPr>
          <w:rFonts w:hint="eastAsia" w:ascii="宋体" w:hAnsi="宋体" w:eastAsia="宋体" w:cs="宋体"/>
          <w:bCs/>
          <w:sz w:val="32"/>
          <w:szCs w:val="32"/>
          <w:highlight w:val="none"/>
          <w:lang w:val="en-US" w:eastAsia="zh-CN"/>
        </w:rPr>
        <w:t xml:space="preserve"> </w:t>
      </w:r>
      <w:r>
        <w:rPr>
          <w:rFonts w:hint="eastAsia" w:ascii="宋体" w:hAnsi="宋体" w:eastAsia="宋体" w:cs="宋体"/>
          <w:bCs/>
          <w:sz w:val="32"/>
          <w:szCs w:val="32"/>
          <w:highlight w:val="none"/>
        </w:rPr>
        <w:t>竞争性磋商公告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_Toc8929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76FF558A">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_Toc7461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第二章</w:t>
      </w:r>
      <w:r>
        <w:rPr>
          <w:rFonts w:hint="eastAsia" w:ascii="宋体" w:hAnsi="宋体" w:eastAsia="宋体" w:cs="宋体"/>
          <w:bCs/>
          <w:sz w:val="32"/>
          <w:szCs w:val="32"/>
          <w:highlight w:val="none"/>
          <w:lang w:val="en-US" w:eastAsia="zh-CN"/>
        </w:rPr>
        <w:t xml:space="preserve"> </w:t>
      </w:r>
      <w:r>
        <w:rPr>
          <w:rFonts w:hint="eastAsia" w:ascii="宋体" w:hAnsi="宋体" w:eastAsia="宋体" w:cs="宋体"/>
          <w:bCs/>
          <w:sz w:val="32"/>
          <w:szCs w:val="32"/>
          <w:highlight w:val="none"/>
          <w:lang w:eastAsia="zh-CN"/>
        </w:rPr>
        <w:t>投标人</w:t>
      </w:r>
      <w:r>
        <w:rPr>
          <w:rFonts w:hint="eastAsia" w:ascii="宋体" w:hAnsi="宋体" w:eastAsia="宋体" w:cs="宋体"/>
          <w:bCs/>
          <w:sz w:val="32"/>
          <w:szCs w:val="32"/>
          <w:highlight w:val="none"/>
        </w:rPr>
        <w:t>须知</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en-US" w:eastAsia="zh-CN"/>
        </w:rPr>
        <w:t>6</w:t>
      </w:r>
      <w:r>
        <w:rPr>
          <w:rFonts w:hint="eastAsia" w:ascii="宋体" w:hAnsi="宋体" w:eastAsia="宋体" w:cs="宋体"/>
          <w:bCs/>
          <w:sz w:val="32"/>
          <w:szCs w:val="32"/>
          <w:highlight w:val="none"/>
        </w:rPr>
        <w:fldChar w:fldCharType="end"/>
      </w:r>
    </w:p>
    <w:p w14:paraId="6D0569F1">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_Toc18532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val="en-US" w:eastAsia="zh-CN"/>
        </w:rPr>
        <w:t>三</w:t>
      </w:r>
      <w:r>
        <w:rPr>
          <w:rFonts w:hint="eastAsia" w:ascii="宋体" w:hAnsi="宋体" w:eastAsia="宋体" w:cs="宋体"/>
          <w:bCs/>
          <w:sz w:val="32"/>
          <w:szCs w:val="32"/>
          <w:highlight w:val="none"/>
        </w:rPr>
        <w:t>章</w:t>
      </w:r>
      <w:r>
        <w:rPr>
          <w:rFonts w:hint="eastAsia" w:ascii="宋体" w:hAnsi="宋体" w:eastAsia="宋体" w:cs="宋体"/>
          <w:bCs/>
          <w:sz w:val="32"/>
          <w:szCs w:val="32"/>
          <w:highlight w:val="none"/>
          <w:lang w:val="en-US" w:eastAsia="zh-CN"/>
        </w:rPr>
        <w:t xml:space="preserve"> 评标办法（综合评分法）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_Toc18532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25</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505637F7">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_Toc6637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lang w:val="en-US" w:eastAsia="zh-CN"/>
        </w:rPr>
        <w:t>第四章 合同条款</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_Toc6637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79DA0119">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_Toc10207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val="en-US" w:eastAsia="zh-CN"/>
        </w:rPr>
        <w:t>五</w:t>
      </w:r>
      <w:r>
        <w:rPr>
          <w:rFonts w:hint="eastAsia" w:ascii="宋体" w:hAnsi="宋体" w:eastAsia="宋体" w:cs="宋体"/>
          <w:bCs/>
          <w:sz w:val="32"/>
          <w:szCs w:val="32"/>
          <w:highlight w:val="none"/>
        </w:rPr>
        <w:t>章 工程量清单（另附）</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_Toc10207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62</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49609236">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_Toc20730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val="en-US" w:eastAsia="zh-CN"/>
        </w:rPr>
        <w:t>六</w:t>
      </w:r>
      <w:r>
        <w:rPr>
          <w:rFonts w:hint="eastAsia" w:ascii="宋体" w:hAnsi="宋体" w:eastAsia="宋体" w:cs="宋体"/>
          <w:bCs/>
          <w:sz w:val="32"/>
          <w:szCs w:val="32"/>
          <w:highlight w:val="none"/>
        </w:rPr>
        <w:t>章 图纸（另附）</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en-US" w:eastAsia="zh-CN"/>
        </w:rPr>
        <w:t>5</w:t>
      </w:r>
      <w:r>
        <w:rPr>
          <w:rFonts w:hint="eastAsia" w:ascii="宋体" w:hAnsi="宋体" w:eastAsia="宋体" w:cs="宋体"/>
          <w:bCs/>
          <w:sz w:val="32"/>
          <w:szCs w:val="32"/>
          <w:highlight w:val="none"/>
        </w:rPr>
        <w:fldChar w:fldCharType="end"/>
      </w:r>
      <w:r>
        <w:rPr>
          <w:rFonts w:hint="eastAsia" w:ascii="宋体" w:hAnsi="宋体" w:eastAsia="宋体" w:cs="宋体"/>
          <w:bCs/>
          <w:sz w:val="32"/>
          <w:szCs w:val="32"/>
          <w:highlight w:val="none"/>
          <w:lang w:val="en-US" w:eastAsia="zh-CN"/>
        </w:rPr>
        <w:t>0</w:t>
      </w:r>
    </w:p>
    <w:p w14:paraId="75301084">
      <w:pPr>
        <w:pStyle w:val="18"/>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_Toc7428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val="en-US" w:eastAsia="zh-CN"/>
        </w:rPr>
        <w:t>七</w:t>
      </w:r>
      <w:r>
        <w:rPr>
          <w:rFonts w:hint="eastAsia" w:ascii="宋体" w:hAnsi="宋体" w:eastAsia="宋体" w:cs="宋体"/>
          <w:bCs/>
          <w:sz w:val="32"/>
          <w:szCs w:val="32"/>
          <w:highlight w:val="none"/>
        </w:rPr>
        <w:t xml:space="preserve">章 </w:t>
      </w:r>
      <w:r>
        <w:rPr>
          <w:rFonts w:hint="eastAsia" w:ascii="宋体" w:hAnsi="宋体" w:eastAsia="宋体" w:cs="宋体"/>
          <w:bCs/>
          <w:sz w:val="32"/>
          <w:szCs w:val="32"/>
          <w:highlight w:val="none"/>
          <w:lang w:eastAsia="zh-CN"/>
        </w:rPr>
        <w:t>投标文件</w:t>
      </w:r>
      <w:r>
        <w:rPr>
          <w:rFonts w:hint="eastAsia" w:ascii="宋体" w:hAnsi="宋体" w:eastAsia="宋体" w:cs="宋体"/>
          <w:bCs/>
          <w:sz w:val="32"/>
          <w:szCs w:val="32"/>
          <w:highlight w:val="none"/>
        </w:rPr>
        <w:t>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_Toc7428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64</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7656592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bCs/>
          <w:sz w:val="30"/>
          <w:szCs w:val="30"/>
          <w:highlight w:val="none"/>
        </w:rPr>
      </w:pPr>
      <w:r>
        <w:rPr>
          <w:rFonts w:hint="eastAsia" w:ascii="宋体" w:hAnsi="宋体" w:eastAsia="宋体" w:cs="宋体"/>
          <w:bCs/>
          <w:sz w:val="32"/>
          <w:szCs w:val="32"/>
          <w:highlight w:val="none"/>
        </w:rPr>
        <w:fldChar w:fldCharType="end"/>
      </w:r>
    </w:p>
    <w:p w14:paraId="341A0C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32"/>
          <w:szCs w:val="32"/>
          <w:highlight w:val="none"/>
        </w:rPr>
      </w:pPr>
    </w:p>
    <w:p w14:paraId="742C330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kern w:val="0"/>
          <w:sz w:val="24"/>
          <w:szCs w:val="24"/>
          <w:highlight w:val="none"/>
        </w:rPr>
      </w:pPr>
    </w:p>
    <w:p w14:paraId="10D57CC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kern w:val="0"/>
          <w:sz w:val="24"/>
          <w:szCs w:val="24"/>
          <w:highlight w:val="none"/>
        </w:rPr>
      </w:pPr>
    </w:p>
    <w:p w14:paraId="697D81D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8"/>
          <w:szCs w:val="28"/>
          <w:highlight w:val="none"/>
        </w:rPr>
      </w:pPr>
    </w:p>
    <w:p w14:paraId="5FA48A5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highlight w:val="none"/>
        </w:rPr>
        <w:sectPr>
          <w:footerReference r:id="rId4" w:type="default"/>
          <w:pgSz w:w="11906" w:h="16838"/>
          <w:pgMar w:top="1247" w:right="1417" w:bottom="1134" w:left="1417" w:header="851" w:footer="992" w:gutter="0"/>
          <w:pgBorders>
            <w:top w:val="none" w:sz="0" w:space="0"/>
            <w:left w:val="none" w:sz="0" w:space="0"/>
            <w:bottom w:val="none" w:sz="0" w:space="0"/>
            <w:right w:val="none" w:sz="0" w:space="0"/>
          </w:pgBorders>
          <w:pgNumType w:fmt="numberInDash" w:start="2"/>
          <w:cols w:space="720" w:num="1"/>
          <w:docGrid w:type="lines" w:linePitch="312" w:charSpace="0"/>
        </w:sectPr>
      </w:pPr>
      <w:bookmarkStart w:id="3" w:name="_Toc69718831"/>
      <w:bookmarkEnd w:id="3"/>
      <w:bookmarkStart w:id="4" w:name="_Toc28061"/>
    </w:p>
    <w:p w14:paraId="37C85490">
      <w:pPr>
        <w:keepNext/>
        <w:keepLines/>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36"/>
          <w:highlight w:val="none"/>
        </w:rPr>
      </w:pPr>
      <w:bookmarkStart w:id="5" w:name="_Toc8929"/>
      <w:r>
        <w:rPr>
          <w:rFonts w:hint="eastAsia" w:ascii="宋体" w:hAnsi="宋体" w:eastAsia="宋体" w:cs="宋体"/>
          <w:b/>
          <w:bCs/>
          <w:sz w:val="36"/>
          <w:szCs w:val="36"/>
          <w:highlight w:val="none"/>
        </w:rPr>
        <w:t>竞争性磋商公告</w:t>
      </w:r>
      <w:bookmarkEnd w:id="4"/>
      <w:bookmarkEnd w:id="5"/>
    </w:p>
    <w:p w14:paraId="0E6133B2">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center"/>
        <w:textAlignment w:val="auto"/>
        <w:rPr>
          <w:rFonts w:hint="eastAsia" w:ascii="宋体" w:hAnsi="宋体" w:eastAsia="宋体" w:cs="宋体"/>
          <w:b/>
          <w:bCs/>
          <w:sz w:val="28"/>
          <w:szCs w:val="28"/>
          <w:highlight w:val="none"/>
          <w:lang w:eastAsia="zh-CN"/>
        </w:rPr>
      </w:pPr>
      <w:bookmarkStart w:id="6" w:name="_Toc7461"/>
      <w:bookmarkStart w:id="7" w:name="_Toc114"/>
      <w:r>
        <w:rPr>
          <w:rFonts w:hint="eastAsia" w:ascii="宋体" w:hAnsi="宋体" w:eastAsia="宋体" w:cs="宋体"/>
          <w:b/>
          <w:bCs/>
          <w:sz w:val="28"/>
          <w:szCs w:val="28"/>
          <w:highlight w:val="none"/>
          <w:lang w:eastAsia="zh-CN"/>
        </w:rPr>
        <w:t>灵宝市尹庄镇人民政府2025年灵宝市尹庄镇果业仓储物流园项目</w:t>
      </w:r>
    </w:p>
    <w:p w14:paraId="148CFF1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一、招标条件</w:t>
      </w:r>
    </w:p>
    <w:p w14:paraId="06DE2C3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傲唐集团有限公司</w:t>
      </w:r>
      <w:r>
        <w:rPr>
          <w:rFonts w:hint="eastAsia" w:ascii="宋体" w:hAnsi="宋体" w:eastAsia="宋体" w:cs="宋体"/>
          <w:sz w:val="28"/>
          <w:szCs w:val="28"/>
          <w:highlight w:val="none"/>
        </w:rPr>
        <w:t>受</w:t>
      </w:r>
      <w:r>
        <w:rPr>
          <w:rFonts w:hint="eastAsia" w:ascii="宋体" w:hAnsi="宋体" w:eastAsia="宋体" w:cs="宋体"/>
          <w:sz w:val="28"/>
          <w:szCs w:val="28"/>
          <w:highlight w:val="none"/>
          <w:lang w:eastAsia="zh-CN"/>
        </w:rPr>
        <w:t>灵宝市尹庄镇人民政府</w:t>
      </w:r>
      <w:r>
        <w:rPr>
          <w:rFonts w:hint="eastAsia" w:ascii="宋体" w:hAnsi="宋体" w:eastAsia="宋体" w:cs="宋体"/>
          <w:sz w:val="28"/>
          <w:szCs w:val="28"/>
          <w:highlight w:val="none"/>
        </w:rPr>
        <w:t>的委托，就</w:t>
      </w:r>
      <w:r>
        <w:rPr>
          <w:rFonts w:hint="eastAsia" w:ascii="宋体" w:hAnsi="宋体" w:eastAsia="宋体" w:cs="宋体"/>
          <w:sz w:val="28"/>
          <w:szCs w:val="28"/>
          <w:highlight w:val="none"/>
          <w:lang w:eastAsia="zh-CN"/>
        </w:rPr>
        <w:t>灵宝市尹庄镇人民政府2025年灵宝市尹庄镇果业仓储物流园项目</w:t>
      </w:r>
      <w:r>
        <w:rPr>
          <w:rFonts w:hint="eastAsia" w:ascii="宋体" w:hAnsi="宋体" w:eastAsia="宋体" w:cs="宋体"/>
          <w:sz w:val="28"/>
          <w:szCs w:val="28"/>
          <w:highlight w:val="none"/>
        </w:rPr>
        <w:t>进行竞争性磋商，项目已具备招标条件，欢迎符合资格条件的</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参加磋商。</w:t>
      </w:r>
    </w:p>
    <w:p w14:paraId="3DDE387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二、项目概况</w:t>
      </w:r>
    </w:p>
    <w:p w14:paraId="4A102E9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1.项目名称：</w:t>
      </w:r>
      <w:r>
        <w:rPr>
          <w:rFonts w:hint="eastAsia" w:ascii="宋体" w:hAnsi="宋体" w:eastAsia="宋体" w:cs="宋体"/>
          <w:sz w:val="28"/>
          <w:szCs w:val="28"/>
          <w:highlight w:val="none"/>
          <w:lang w:eastAsia="zh-CN"/>
        </w:rPr>
        <w:t>灵宝市尹庄镇人民政府2025年灵宝市尹庄镇果业仓储物流园项目</w:t>
      </w:r>
    </w:p>
    <w:p w14:paraId="75E9A1D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项目编号：灵宝竞磋采购-2025-84；LBGZ[2025]170-ZC118</w:t>
      </w:r>
    </w:p>
    <w:p w14:paraId="3DEF387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3.项目概况：</w:t>
      </w:r>
      <w:r>
        <w:rPr>
          <w:rFonts w:hint="eastAsia" w:ascii="宋体" w:hAnsi="宋体" w:eastAsia="宋体" w:cs="宋体"/>
          <w:sz w:val="28"/>
          <w:szCs w:val="28"/>
          <w:highlight w:val="none"/>
          <w:lang w:eastAsia="zh-CN"/>
        </w:rPr>
        <w:t>2025年灵宝市尹庄镇果业仓储物流园项目</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主要工程内容有：新建钢结构仓库一座、原有冷库墙面及天棚面做80厚B1型环保型聚氨酯保温、更换冷库照明系统、冷凝器、冷风机、压缩机及通风管道、室外安装250KVA变压器一台等，具体详见工程量清单、图纸等。</w:t>
      </w:r>
    </w:p>
    <w:p w14:paraId="0A40FE7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4.磋商范围：施工图纸和工程量清单所包含的全部内容。</w:t>
      </w:r>
    </w:p>
    <w:p w14:paraId="6C8F0F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5.招标控制价：</w:t>
      </w:r>
      <w:r>
        <w:rPr>
          <w:rFonts w:hint="eastAsia" w:ascii="宋体" w:hAnsi="宋体" w:eastAsia="宋体" w:cs="宋体"/>
          <w:sz w:val="28"/>
          <w:szCs w:val="28"/>
          <w:highlight w:val="none"/>
          <w:lang w:val="en-US" w:eastAsia="zh-CN"/>
        </w:rPr>
        <w:t>249.316818万</w:t>
      </w:r>
      <w:r>
        <w:rPr>
          <w:rFonts w:hint="eastAsia" w:ascii="宋体" w:hAnsi="宋体" w:eastAsia="宋体" w:cs="宋体"/>
          <w:sz w:val="28"/>
          <w:szCs w:val="28"/>
          <w:highlight w:val="none"/>
        </w:rPr>
        <w:t>元</w:t>
      </w:r>
    </w:p>
    <w:p w14:paraId="494F6BC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6.资金来源：财政资金，已落实</w:t>
      </w:r>
    </w:p>
    <w:p w14:paraId="78B3540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7.工期：</w:t>
      </w:r>
      <w:r>
        <w:rPr>
          <w:rFonts w:hint="eastAsia" w:ascii="宋体" w:hAnsi="宋体" w:eastAsia="宋体" w:cs="宋体"/>
          <w:sz w:val="28"/>
          <w:szCs w:val="28"/>
          <w:highlight w:val="none"/>
          <w:lang w:val="en-US" w:eastAsia="zh-CN"/>
        </w:rPr>
        <w:t>60日历天</w:t>
      </w:r>
    </w:p>
    <w:p w14:paraId="04C8E6F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8.质量要求：</w:t>
      </w:r>
      <w:r>
        <w:rPr>
          <w:rFonts w:hint="eastAsia" w:ascii="宋体" w:hAnsi="宋体" w:eastAsia="宋体" w:cs="宋体"/>
          <w:sz w:val="28"/>
          <w:szCs w:val="28"/>
          <w:highlight w:val="none"/>
          <w:lang w:val="en-US" w:eastAsia="zh-CN"/>
        </w:rPr>
        <w:t>达到国家现行建设工程施工验收规范合格标准</w:t>
      </w:r>
    </w:p>
    <w:p w14:paraId="7620294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9.标段划分：本项目不划分标段。</w:t>
      </w:r>
    </w:p>
    <w:p w14:paraId="4FE758A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三、</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资格要求</w:t>
      </w:r>
    </w:p>
    <w:p w14:paraId="2B4F06E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1.满足《中华人民共和国政府采购法》第二十二条规定；</w:t>
      </w:r>
    </w:p>
    <w:p w14:paraId="272BD35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2.落实政府采购政策需满足的资格要求：根据《政府采购促进中小企业发展管理办法》（财库〔2020〕46号）规定，本项目专门面向中小企业采购,同时供应商须提供《中小企业声明函》</w:t>
      </w:r>
      <w:r>
        <w:rPr>
          <w:rFonts w:hint="eastAsia" w:ascii="宋体" w:hAnsi="宋体" w:eastAsia="宋体" w:cs="宋体"/>
          <w:sz w:val="28"/>
          <w:szCs w:val="28"/>
          <w:highlight w:val="none"/>
          <w:lang w:eastAsia="zh-CN"/>
        </w:rPr>
        <w:t>。</w:t>
      </w:r>
    </w:p>
    <w:p w14:paraId="794FA3D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3.本项目的特定资格要求：</w:t>
      </w:r>
    </w:p>
    <w:p w14:paraId="4155C65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3.1</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须具备独立法人资格，具有有效的营业执照。</w:t>
      </w:r>
    </w:p>
    <w:p w14:paraId="0399B65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3.2</w:t>
      </w:r>
      <w:r>
        <w:rPr>
          <w:rFonts w:hint="eastAsia" w:ascii="宋体" w:hAnsi="宋体" w:eastAsia="宋体" w:cs="宋体"/>
          <w:sz w:val="28"/>
          <w:szCs w:val="28"/>
          <w:highlight w:val="none"/>
          <w:lang w:val="en-US" w:eastAsia="zh-CN"/>
        </w:rPr>
        <w:t>投标人须具备建筑工程施工总承包叁级（含叁级）以上资质，且具有有效的安全生产许可证</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并在人员、设备、资金等方面具有相应的施工能力。</w:t>
      </w:r>
    </w:p>
    <w:p w14:paraId="7D8989A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3.3拟派项目经理须具有建筑工程</w:t>
      </w:r>
      <w:r>
        <w:rPr>
          <w:rFonts w:hint="eastAsia" w:ascii="宋体" w:hAnsi="宋体" w:eastAsia="宋体" w:cs="宋体"/>
          <w:sz w:val="28"/>
          <w:szCs w:val="28"/>
          <w:highlight w:val="none"/>
          <w:lang w:val="en-US" w:eastAsia="zh-CN"/>
        </w:rPr>
        <w:t>专业</w:t>
      </w:r>
      <w:r>
        <w:rPr>
          <w:rFonts w:hint="eastAsia" w:ascii="宋体" w:hAnsi="宋体" w:eastAsia="宋体" w:cs="宋体"/>
          <w:sz w:val="28"/>
          <w:szCs w:val="28"/>
          <w:highlight w:val="none"/>
        </w:rPr>
        <w:t>贰级及以上注册建造师资格，具备有效的安全生产考核合格证书，并出具未在其他在建工程项目中担任项目经理承诺书</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提供本单位社保缴费证明。</w:t>
      </w:r>
    </w:p>
    <w:p w14:paraId="5D75A29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3.4</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须自行出具本单位无商业贿赂及无不正当竞争行为的承诺书。</w:t>
      </w:r>
    </w:p>
    <w:p w14:paraId="13A7B4C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3.5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3F28B16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3.6单位负责人为同一人或者存在控股、管理关系的不同单位，不得参加同一标段投标或者未划分标段的同一招标项目投标,提供投标企业在“国家企业信用信息公示系统”中公示的公司信息、股东或投资人信息”</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查询时间自公告发布之日起）。</w:t>
      </w:r>
    </w:p>
    <w:p w14:paraId="37D6C73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本项目不接受联合体磋商，提供非联合体承诺。</w:t>
      </w:r>
    </w:p>
    <w:p w14:paraId="31258D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本次招标实行资格后审，资格审查的具体要求见磋商文件。</w:t>
      </w:r>
    </w:p>
    <w:p w14:paraId="45C064F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四、竞争性磋商文件获取方式 </w:t>
      </w:r>
    </w:p>
    <w:p w14:paraId="6F60C2E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磋商文件获取方式：本项目没有报名环节，磋商投标人凭CA数字证书通过三门峡市公共资源交易中心网（网址：http://gzjy.smx.gov.cn）点击交易平台选择“市场主体登录”，在所参与项目右侧点击参与投标，即可直接下载本项目磋商文件。</w:t>
      </w:r>
    </w:p>
    <w:p w14:paraId="0EA09BF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办理CA证书：</w:t>
      </w:r>
    </w:p>
    <w:p w14:paraId="4E6EE5E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http://gzjy.smx.gov.cn/bzzx/008001/20211105/57b16af9-ab87-4395-a723-7758c628a3f8.html</w:t>
      </w:r>
    </w:p>
    <w:p w14:paraId="454459E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三门峡市公共资源交易平台操作手册：</w:t>
      </w:r>
    </w:p>
    <w:p w14:paraId="6A552AC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http://gzjy.smx.gov.cn/bzzx/008001/20200325/1d4d9bd4-82a2-4284-b2f7-428c4c69ef58.html</w:t>
      </w:r>
    </w:p>
    <w:p w14:paraId="123B15A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2.磋商文件下载时间：2025年7月9日至2025年7月21日8时30分。</w:t>
      </w:r>
    </w:p>
    <w:p w14:paraId="27B6706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val="en-US" w:eastAsia="zh-CN"/>
        </w:rPr>
        <w:t>3.根据《关于进一步加强公共资源交易管理持续优化营商环境的通知》（三公管办{2020}2号）文件的要求，磋商文件费用不再收取。</w:t>
      </w:r>
    </w:p>
    <w:p w14:paraId="7281113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注：本项目为不见面开标项目。开标当日，磋商投标人无需到开标现场参加开标会议，磋商投标人应当在投标截止时间前，登陆不见面开标大厅选择登陆三门峡市公共资源电子招投标系统进行登陆（网址http://120.194.249.36:10094/BidOpening/bidopeninghallaction/hall/login）,在线准时参加开标活动并进行投标文件解密等。每位磋商投标人的解密时间为开标时间起30分钟内完成。因投标人原因未能解密、解密失败或解密超时的将被拒绝。</w:t>
      </w:r>
    </w:p>
    <w:p w14:paraId="5276054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五、磋商保证金</w:t>
      </w:r>
    </w:p>
    <w:p w14:paraId="3E698C6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按照《河南省财政厅关于优化政府采购营商环境有关问题的通知》（豫财购[2019]4号文）的要求本项目不再收取磋商保证金。</w:t>
      </w:r>
    </w:p>
    <w:p w14:paraId="03A7D6B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六、磋商时间和地点</w:t>
      </w:r>
    </w:p>
    <w:p w14:paraId="63DB6E5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投标文件</w:t>
      </w:r>
      <w:r>
        <w:rPr>
          <w:rFonts w:hint="eastAsia" w:ascii="宋体" w:hAnsi="宋体" w:eastAsia="宋体" w:cs="宋体"/>
          <w:sz w:val="28"/>
          <w:szCs w:val="28"/>
          <w:highlight w:val="none"/>
        </w:rPr>
        <w:t>递交截止时间及磋商时间：</w:t>
      </w:r>
      <w:r>
        <w:rPr>
          <w:rFonts w:hint="eastAsia" w:ascii="宋体" w:hAnsi="宋体" w:eastAsia="宋体" w:cs="宋体"/>
          <w:sz w:val="28"/>
          <w:szCs w:val="28"/>
          <w:highlight w:val="none"/>
          <w:lang w:eastAsia="zh-CN"/>
        </w:rPr>
        <w:t>2025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21</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rPr>
        <w:t>时</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0分</w:t>
      </w:r>
      <w:r>
        <w:rPr>
          <w:rFonts w:hint="eastAsia" w:ascii="宋体" w:hAnsi="宋体" w:eastAsia="宋体" w:cs="宋体"/>
          <w:sz w:val="28"/>
          <w:szCs w:val="28"/>
          <w:highlight w:val="none"/>
          <w:lang w:eastAsia="zh-CN"/>
        </w:rPr>
        <w:t>。</w:t>
      </w:r>
    </w:p>
    <w:p w14:paraId="6F11C3E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2.磋商地点：灵宝市公共资源交易中心开标</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室</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评标二室</w:t>
      </w:r>
      <w:r>
        <w:rPr>
          <w:rFonts w:hint="eastAsia" w:ascii="宋体" w:hAnsi="宋体" w:eastAsia="宋体" w:cs="宋体"/>
          <w:sz w:val="28"/>
          <w:szCs w:val="28"/>
          <w:highlight w:val="none"/>
        </w:rPr>
        <w:t>（灵宝市信用合作联社12楼）</w:t>
      </w:r>
    </w:p>
    <w:p w14:paraId="72E47FB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七、其他</w:t>
      </w:r>
    </w:p>
    <w:p w14:paraId="665F4A3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1.本项目实行资格后审，根据优化营商环境的要求，评标时审查内容以投标（响应）文件为准：</w:t>
      </w:r>
    </w:p>
    <w:p w14:paraId="635A409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（1）资格评（预）审部分：资格评（预）审以投标（响应）文件为准，其上传资料真实性由</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自行承担。</w:t>
      </w:r>
    </w:p>
    <w:p w14:paraId="20863F4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（2）评标打分部分：评标打分部分仍按照100分制原则进行，涉及到资格审查、企业荣誉、人员业绩、企业业绩等计分部分时，以</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自行上传到投标（响应）文件中的相应内容为准。</w:t>
      </w:r>
    </w:p>
    <w:p w14:paraId="4E069A8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投标文件</w:t>
      </w:r>
      <w:r>
        <w:rPr>
          <w:rFonts w:hint="eastAsia" w:ascii="宋体" w:hAnsi="宋体" w:eastAsia="宋体" w:cs="宋体"/>
          <w:sz w:val="28"/>
          <w:szCs w:val="28"/>
          <w:highlight w:val="none"/>
        </w:rPr>
        <w:t>编制部分：在竞争性磋商文件中要求</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 xml:space="preserve">按照投标（响应）文件格式进行投标文件编制，在投标文件编制时，应明确将投标单位企业基本情况、资质情况、人员情况、财务情况、业绩情况编入投标文件，便于进行资格审查及评标打分以投标文件业绩信息为准，可使用电子营业执照。 </w:t>
      </w:r>
    </w:p>
    <w:p w14:paraId="7EBDAE2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递交的资料和投标（响应）文件不论成交与否均不予退还；</w:t>
      </w:r>
    </w:p>
    <w:p w14:paraId="6B17747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3.采购人不组织</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踏勘现场；</w:t>
      </w:r>
    </w:p>
    <w:p w14:paraId="2038A4D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温馨提示：本项目为电子化、无纸化交易项目，开标时不再接受任何纸质资料，为保证您能投标成功，请需仔细阅读竞争性磋商文件和三门峡市公共资源交易中心官网业务办理指南。</w:t>
      </w:r>
    </w:p>
    <w:p w14:paraId="01ABBC7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八、发布竞争性磋商公告的媒介</w:t>
      </w:r>
    </w:p>
    <w:p w14:paraId="3FC399D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本次磋商公告同时在《河南省政府采购网》、《中国采购与招标网》和《三门峡市公共资源交易中心网》上发布。</w:t>
      </w:r>
    </w:p>
    <w:p w14:paraId="6D5D243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九、联系方式</w:t>
      </w:r>
    </w:p>
    <w:p w14:paraId="725B286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监督单位：灵宝市财政局政府采购监督管理科</w:t>
      </w:r>
    </w:p>
    <w:p w14:paraId="7278CBD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联系电话：0398-8852670</w:t>
      </w:r>
    </w:p>
    <w:p w14:paraId="6F75BD5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监督单位：中共灵宝市尹庄镇纪律检查委员会</w:t>
      </w:r>
    </w:p>
    <w:p w14:paraId="66E6480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电话：0398-3187579</w:t>
      </w:r>
    </w:p>
    <w:p w14:paraId="4BDC28D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招标人：灵宝市尹庄镇人民政府</w:t>
      </w:r>
    </w:p>
    <w:p w14:paraId="0E5DC4F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地址：灵宝市尹庄镇</w:t>
      </w:r>
    </w:p>
    <w:p w14:paraId="604BC53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联系人：韩女士</w:t>
      </w:r>
    </w:p>
    <w:p w14:paraId="3CA28A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联系方式：15936859890</w:t>
      </w:r>
    </w:p>
    <w:p w14:paraId="0652030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代理机构：傲唐集团有限公司</w:t>
      </w:r>
    </w:p>
    <w:p w14:paraId="2C658F1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联系人：孟女士</w:t>
      </w:r>
    </w:p>
    <w:p w14:paraId="0B26849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联系方式：19526346816</w:t>
      </w:r>
    </w:p>
    <w:p w14:paraId="482A1CA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地址：河南省三门峡市湖滨区召公路明城佳苑五号楼1402室</w:t>
      </w:r>
    </w:p>
    <w:p w14:paraId="12C703D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none"/>
          <w:lang w:val="en-US" w:eastAsia="zh-CN"/>
        </w:rPr>
      </w:pPr>
    </w:p>
    <w:p w14:paraId="3373E9E7">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3D957D27">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40"/>
          <w:highlight w:val="none"/>
        </w:rPr>
      </w:pPr>
      <w:r>
        <w:rPr>
          <w:rFonts w:hint="eastAsia" w:ascii="宋体" w:hAnsi="宋体" w:eastAsia="宋体" w:cs="宋体"/>
          <w:b/>
          <w:bCs/>
          <w:sz w:val="36"/>
          <w:szCs w:val="40"/>
          <w:highlight w:val="none"/>
        </w:rPr>
        <w:t>第二章</w:t>
      </w:r>
      <w:r>
        <w:rPr>
          <w:rFonts w:hint="eastAsia" w:ascii="宋体" w:hAnsi="宋体" w:eastAsia="宋体" w:cs="宋体"/>
          <w:b/>
          <w:bCs/>
          <w:sz w:val="36"/>
          <w:szCs w:val="40"/>
          <w:highlight w:val="none"/>
          <w:lang w:val="en-US" w:eastAsia="zh-CN"/>
        </w:rPr>
        <w:t xml:space="preserve"> 投标人</w:t>
      </w:r>
      <w:r>
        <w:rPr>
          <w:rFonts w:hint="eastAsia" w:ascii="宋体" w:hAnsi="宋体" w:eastAsia="宋体" w:cs="宋体"/>
          <w:b/>
          <w:bCs/>
          <w:sz w:val="36"/>
          <w:szCs w:val="40"/>
          <w:highlight w:val="none"/>
        </w:rPr>
        <w:t>须知</w:t>
      </w:r>
      <w:bookmarkEnd w:id="6"/>
      <w:bookmarkEnd w:id="7"/>
    </w:p>
    <w:p w14:paraId="663FD1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投标人</w:t>
      </w:r>
      <w:r>
        <w:rPr>
          <w:rFonts w:hint="eastAsia" w:ascii="宋体" w:hAnsi="宋体" w:eastAsia="宋体" w:cs="宋体"/>
          <w:b/>
          <w:bCs/>
          <w:sz w:val="24"/>
          <w:szCs w:val="24"/>
          <w:highlight w:val="none"/>
        </w:rPr>
        <w:t>须知前附表</w:t>
      </w: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173"/>
        <w:gridCol w:w="5964"/>
      </w:tblGrid>
      <w:tr w14:paraId="7151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32CBB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2173" w:type="dxa"/>
            <w:tcBorders>
              <w:top w:val="single" w:color="auto" w:sz="4" w:space="0"/>
              <w:left w:val="nil"/>
              <w:bottom w:val="single" w:color="auto" w:sz="4" w:space="0"/>
              <w:right w:val="single" w:color="auto" w:sz="4" w:space="0"/>
            </w:tcBorders>
            <w:noWrap w:val="0"/>
            <w:vAlign w:val="center"/>
          </w:tcPr>
          <w:p w14:paraId="314216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条款名称</w:t>
            </w:r>
          </w:p>
        </w:tc>
        <w:tc>
          <w:tcPr>
            <w:tcW w:w="5964" w:type="dxa"/>
            <w:tcBorders>
              <w:top w:val="single" w:color="auto" w:sz="4" w:space="0"/>
              <w:left w:val="nil"/>
              <w:bottom w:val="single" w:color="auto" w:sz="4" w:space="0"/>
              <w:right w:val="single" w:color="auto" w:sz="4" w:space="0"/>
            </w:tcBorders>
            <w:noWrap w:val="0"/>
            <w:vAlign w:val="center"/>
          </w:tcPr>
          <w:p w14:paraId="66D1E4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编  列  内  容</w:t>
            </w:r>
          </w:p>
        </w:tc>
      </w:tr>
      <w:tr w14:paraId="5644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0727BB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2173" w:type="dxa"/>
            <w:tcBorders>
              <w:top w:val="single" w:color="auto" w:sz="4" w:space="0"/>
              <w:left w:val="nil"/>
              <w:bottom w:val="single" w:color="auto" w:sz="4" w:space="0"/>
              <w:right w:val="single" w:color="auto" w:sz="4" w:space="0"/>
            </w:tcBorders>
            <w:noWrap w:val="0"/>
            <w:vAlign w:val="center"/>
          </w:tcPr>
          <w:p w14:paraId="67070448">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招标</w:t>
            </w:r>
            <w:r>
              <w:rPr>
                <w:rFonts w:hint="eastAsia" w:ascii="宋体" w:hAnsi="宋体" w:eastAsia="宋体" w:cs="宋体"/>
                <w:kern w:val="0"/>
                <w:sz w:val="24"/>
                <w:szCs w:val="24"/>
                <w:highlight w:val="none"/>
                <w:lang w:val="en-US" w:eastAsia="zh-CN"/>
              </w:rPr>
              <w:t>单位</w:t>
            </w:r>
          </w:p>
        </w:tc>
        <w:tc>
          <w:tcPr>
            <w:tcW w:w="5964" w:type="dxa"/>
            <w:tcBorders>
              <w:top w:val="single" w:color="auto" w:sz="4" w:space="0"/>
              <w:left w:val="nil"/>
              <w:bottom w:val="single" w:color="auto" w:sz="4" w:space="0"/>
              <w:right w:val="single" w:color="auto" w:sz="4" w:space="0"/>
            </w:tcBorders>
            <w:noWrap w:val="0"/>
            <w:vAlign w:val="center"/>
          </w:tcPr>
          <w:p w14:paraId="2425BE13">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招标人：灵宝市尹庄镇人民政府</w:t>
            </w:r>
          </w:p>
          <w:p w14:paraId="7D1BAB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地址：灵宝市尹庄镇</w:t>
            </w:r>
          </w:p>
          <w:p w14:paraId="214C840D">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联系人：韩女士</w:t>
            </w:r>
          </w:p>
          <w:p w14:paraId="469904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联系方式：15936859890</w:t>
            </w:r>
          </w:p>
        </w:tc>
      </w:tr>
      <w:tr w14:paraId="5620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28F2B8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2173" w:type="dxa"/>
            <w:tcBorders>
              <w:top w:val="single" w:color="auto" w:sz="4" w:space="0"/>
              <w:left w:val="nil"/>
              <w:bottom w:val="single" w:color="auto" w:sz="4" w:space="0"/>
              <w:right w:val="single" w:color="auto" w:sz="4" w:space="0"/>
            </w:tcBorders>
            <w:noWrap w:val="0"/>
            <w:vAlign w:val="center"/>
          </w:tcPr>
          <w:p w14:paraId="13497B39">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招标代理机构</w:t>
            </w:r>
          </w:p>
        </w:tc>
        <w:tc>
          <w:tcPr>
            <w:tcW w:w="5964" w:type="dxa"/>
            <w:tcBorders>
              <w:top w:val="single" w:color="auto" w:sz="4" w:space="0"/>
              <w:left w:val="nil"/>
              <w:bottom w:val="single" w:color="auto" w:sz="4" w:space="0"/>
              <w:right w:val="single" w:color="auto" w:sz="4" w:space="0"/>
            </w:tcBorders>
            <w:noWrap w:val="0"/>
            <w:vAlign w:val="center"/>
          </w:tcPr>
          <w:p w14:paraId="7D780011">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代理机构：傲唐集团有限公司</w:t>
            </w:r>
          </w:p>
          <w:p w14:paraId="17D74F5C">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联系人：孟女士</w:t>
            </w:r>
          </w:p>
          <w:p w14:paraId="7CFFA39B">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联系方式：19526346816</w:t>
            </w:r>
          </w:p>
          <w:p w14:paraId="4462F8C2">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地址：河南省三门峡市湖滨区召公路明城佳苑五号楼1402室</w:t>
            </w:r>
          </w:p>
        </w:tc>
      </w:tr>
      <w:tr w14:paraId="196A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D83B8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173" w:type="dxa"/>
            <w:tcBorders>
              <w:top w:val="single" w:color="auto" w:sz="4" w:space="0"/>
              <w:left w:val="nil"/>
              <w:bottom w:val="single" w:color="auto" w:sz="4" w:space="0"/>
              <w:right w:val="single" w:color="auto" w:sz="4" w:space="0"/>
            </w:tcBorders>
            <w:noWrap w:val="0"/>
            <w:vAlign w:val="center"/>
          </w:tcPr>
          <w:p w14:paraId="044639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5964" w:type="dxa"/>
            <w:tcBorders>
              <w:top w:val="single" w:color="auto" w:sz="4" w:space="0"/>
              <w:left w:val="nil"/>
              <w:bottom w:val="single" w:color="auto" w:sz="4" w:space="0"/>
              <w:right w:val="single" w:color="auto" w:sz="4" w:space="0"/>
            </w:tcBorders>
            <w:noWrap w:val="0"/>
            <w:vAlign w:val="center"/>
          </w:tcPr>
          <w:p w14:paraId="5649C4C9">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灵宝市尹庄镇人民政府2025年灵宝市尹庄镇果业仓储物流园项目</w:t>
            </w:r>
          </w:p>
        </w:tc>
      </w:tr>
      <w:tr w14:paraId="2DC1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4070C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2173" w:type="dxa"/>
            <w:tcBorders>
              <w:top w:val="single" w:color="auto" w:sz="4" w:space="0"/>
              <w:left w:val="nil"/>
              <w:bottom w:val="single" w:color="auto" w:sz="4" w:space="0"/>
              <w:right w:val="single" w:color="auto" w:sz="4" w:space="0"/>
            </w:tcBorders>
            <w:noWrap w:val="0"/>
            <w:vAlign w:val="center"/>
          </w:tcPr>
          <w:p w14:paraId="1B16E4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项目地点</w:t>
            </w:r>
          </w:p>
        </w:tc>
        <w:tc>
          <w:tcPr>
            <w:tcW w:w="5964" w:type="dxa"/>
            <w:tcBorders>
              <w:top w:val="single" w:color="auto" w:sz="4" w:space="0"/>
              <w:left w:val="nil"/>
              <w:bottom w:val="single" w:color="auto" w:sz="4" w:space="0"/>
              <w:right w:val="single" w:color="auto" w:sz="4" w:space="0"/>
            </w:tcBorders>
            <w:noWrap w:val="0"/>
            <w:vAlign w:val="center"/>
          </w:tcPr>
          <w:p w14:paraId="4109D13A">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灵宝市</w:t>
            </w:r>
          </w:p>
        </w:tc>
      </w:tr>
      <w:tr w14:paraId="01DE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right w:val="single" w:color="auto" w:sz="4" w:space="0"/>
            </w:tcBorders>
            <w:noWrap w:val="0"/>
            <w:vAlign w:val="center"/>
          </w:tcPr>
          <w:p w14:paraId="589C05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173" w:type="dxa"/>
            <w:tcBorders>
              <w:top w:val="single" w:color="auto" w:sz="4" w:space="0"/>
              <w:left w:val="nil"/>
              <w:bottom w:val="single" w:color="auto" w:sz="4" w:space="0"/>
              <w:right w:val="single" w:color="auto" w:sz="4" w:space="0"/>
            </w:tcBorders>
            <w:noWrap w:val="0"/>
            <w:vAlign w:val="center"/>
          </w:tcPr>
          <w:p w14:paraId="6E0810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5964" w:type="dxa"/>
            <w:tcBorders>
              <w:top w:val="single" w:color="auto" w:sz="4" w:space="0"/>
              <w:left w:val="nil"/>
              <w:bottom w:val="single" w:color="auto" w:sz="4" w:space="0"/>
              <w:right w:val="single" w:color="auto" w:sz="4" w:space="0"/>
            </w:tcBorders>
            <w:noWrap w:val="0"/>
            <w:vAlign w:val="center"/>
          </w:tcPr>
          <w:p w14:paraId="4C6DEE3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财政资金</w:t>
            </w:r>
          </w:p>
        </w:tc>
      </w:tr>
      <w:tr w14:paraId="7903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B7508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173" w:type="dxa"/>
            <w:tcBorders>
              <w:top w:val="single" w:color="auto" w:sz="4" w:space="0"/>
              <w:left w:val="nil"/>
              <w:bottom w:val="single" w:color="auto" w:sz="4" w:space="0"/>
              <w:right w:val="single" w:color="auto" w:sz="4" w:space="0"/>
            </w:tcBorders>
            <w:noWrap w:val="0"/>
            <w:vAlign w:val="center"/>
          </w:tcPr>
          <w:p w14:paraId="666B1C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项目概况</w:t>
            </w:r>
          </w:p>
        </w:tc>
        <w:tc>
          <w:tcPr>
            <w:tcW w:w="5964" w:type="dxa"/>
            <w:tcBorders>
              <w:top w:val="single" w:color="auto" w:sz="4" w:space="0"/>
              <w:left w:val="nil"/>
              <w:bottom w:val="single" w:color="auto" w:sz="4" w:space="0"/>
              <w:right w:val="single" w:color="auto" w:sz="4" w:space="0"/>
            </w:tcBorders>
            <w:noWrap w:val="0"/>
            <w:vAlign w:val="center"/>
          </w:tcPr>
          <w:p w14:paraId="19AE003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2025年灵宝市尹庄镇果业仓储物流园项目</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主要工程内容有：新建钢结构仓库一座、原有冷库墙面及天棚面做80厚B1型环保型聚氨酯保温、更换冷库照明系统、冷凝器、冷风机、压缩机及通风管道、室外安装250KVA变压器一台等，具体详见工程量清单、图纸等。</w:t>
            </w:r>
          </w:p>
        </w:tc>
      </w:tr>
      <w:tr w14:paraId="72B5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F2BDD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173" w:type="dxa"/>
            <w:tcBorders>
              <w:top w:val="single" w:color="auto" w:sz="4" w:space="0"/>
              <w:left w:val="nil"/>
              <w:bottom w:val="single" w:color="auto" w:sz="4" w:space="0"/>
              <w:right w:val="single" w:color="auto" w:sz="4" w:space="0"/>
            </w:tcBorders>
            <w:noWrap w:val="0"/>
            <w:vAlign w:val="center"/>
          </w:tcPr>
          <w:p w14:paraId="6DE4B5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磋商范围</w:t>
            </w:r>
          </w:p>
        </w:tc>
        <w:tc>
          <w:tcPr>
            <w:tcW w:w="5964" w:type="dxa"/>
            <w:tcBorders>
              <w:top w:val="single" w:color="auto" w:sz="4" w:space="0"/>
              <w:left w:val="nil"/>
              <w:bottom w:val="single" w:color="auto" w:sz="4" w:space="0"/>
              <w:right w:val="single" w:color="auto" w:sz="4" w:space="0"/>
            </w:tcBorders>
            <w:noWrap w:val="0"/>
            <w:vAlign w:val="center"/>
          </w:tcPr>
          <w:p w14:paraId="6EA2E6A8">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施工图纸和工程量清单所包含的全部内容</w:t>
            </w:r>
          </w:p>
        </w:tc>
      </w:tr>
      <w:tr w14:paraId="6F05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2178C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173" w:type="dxa"/>
            <w:tcBorders>
              <w:top w:val="single" w:color="auto" w:sz="4" w:space="0"/>
              <w:left w:val="nil"/>
              <w:bottom w:val="single" w:color="auto" w:sz="4" w:space="0"/>
              <w:right w:val="single" w:color="auto" w:sz="4" w:space="0"/>
            </w:tcBorders>
            <w:noWrap w:val="0"/>
            <w:vAlign w:val="center"/>
          </w:tcPr>
          <w:p w14:paraId="4CED39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计划工期</w:t>
            </w:r>
          </w:p>
        </w:tc>
        <w:tc>
          <w:tcPr>
            <w:tcW w:w="5964" w:type="dxa"/>
            <w:tcBorders>
              <w:top w:val="single" w:color="auto" w:sz="4" w:space="0"/>
              <w:left w:val="nil"/>
              <w:bottom w:val="single" w:color="auto" w:sz="4" w:space="0"/>
              <w:right w:val="single" w:color="auto" w:sz="4" w:space="0"/>
            </w:tcBorders>
            <w:noWrap w:val="0"/>
            <w:vAlign w:val="center"/>
          </w:tcPr>
          <w:p w14:paraId="3111479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baseline"/>
              <w:rPr>
                <w:rFonts w:hint="eastAsia" w:ascii="宋体" w:hAnsi="宋体" w:eastAsia="宋体" w:cs="宋体"/>
                <w:bCs/>
                <w:kern w:val="0"/>
                <w:sz w:val="24"/>
                <w:szCs w:val="24"/>
                <w:highlight w:val="none"/>
                <w:lang w:val="en-US"/>
              </w:rPr>
            </w:pPr>
            <w:r>
              <w:rPr>
                <w:rFonts w:hint="eastAsia" w:ascii="宋体" w:hAnsi="宋体" w:eastAsia="宋体" w:cs="宋体"/>
                <w:bCs/>
                <w:kern w:val="0"/>
                <w:sz w:val="24"/>
                <w:szCs w:val="24"/>
                <w:highlight w:val="none"/>
                <w:lang w:val="en-US" w:eastAsia="zh-CN"/>
              </w:rPr>
              <w:t>60日历天</w:t>
            </w:r>
          </w:p>
        </w:tc>
      </w:tr>
      <w:tr w14:paraId="46CB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7C0DC1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2173" w:type="dxa"/>
            <w:tcBorders>
              <w:top w:val="single" w:color="auto" w:sz="4" w:space="0"/>
              <w:left w:val="nil"/>
              <w:bottom w:val="single" w:color="auto" w:sz="4" w:space="0"/>
              <w:right w:val="single" w:color="auto" w:sz="4" w:space="0"/>
            </w:tcBorders>
            <w:noWrap w:val="0"/>
            <w:vAlign w:val="center"/>
          </w:tcPr>
          <w:p w14:paraId="0B171BE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5964" w:type="dxa"/>
            <w:tcBorders>
              <w:top w:val="single" w:color="auto" w:sz="4" w:space="0"/>
              <w:left w:val="nil"/>
              <w:bottom w:val="single" w:color="auto" w:sz="4" w:space="0"/>
              <w:right w:val="single" w:color="auto" w:sz="4" w:space="0"/>
            </w:tcBorders>
            <w:noWrap w:val="0"/>
            <w:vAlign w:val="center"/>
          </w:tcPr>
          <w:p w14:paraId="45F21A9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达到国家现行建设工程施工验收规范合格标准</w:t>
            </w:r>
          </w:p>
        </w:tc>
      </w:tr>
      <w:tr w14:paraId="189D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D8B16E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p>
        </w:tc>
        <w:tc>
          <w:tcPr>
            <w:tcW w:w="2173" w:type="dxa"/>
            <w:tcBorders>
              <w:top w:val="single" w:color="auto" w:sz="4" w:space="0"/>
              <w:left w:val="nil"/>
              <w:bottom w:val="single" w:color="auto" w:sz="4" w:space="0"/>
              <w:right w:val="single" w:color="auto" w:sz="4" w:space="0"/>
            </w:tcBorders>
            <w:noWrap w:val="0"/>
            <w:vAlign w:val="center"/>
          </w:tcPr>
          <w:p w14:paraId="4AE8AAC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投标人资格要求</w:t>
            </w:r>
          </w:p>
        </w:tc>
        <w:tc>
          <w:tcPr>
            <w:tcW w:w="5964" w:type="dxa"/>
            <w:tcBorders>
              <w:top w:val="single" w:color="auto" w:sz="4" w:space="0"/>
              <w:left w:val="nil"/>
              <w:bottom w:val="single" w:color="auto" w:sz="4" w:space="0"/>
              <w:right w:val="single" w:color="auto" w:sz="4" w:space="0"/>
            </w:tcBorders>
            <w:noWrap w:val="0"/>
            <w:vAlign w:val="center"/>
          </w:tcPr>
          <w:p w14:paraId="0F1D63E8">
            <w:pPr>
              <w:pStyle w:val="40"/>
              <w:pageBreakBefore w:val="0"/>
              <w:shd w:val="clear" w:color="auto" w:fill="FFFFFF"/>
              <w:kinsoku/>
              <w:overflowPunct/>
              <w:topLinePunct w:val="0"/>
              <w:bidi w:val="0"/>
              <w:adjustRightInd w:val="0"/>
              <w:snapToGrid w:val="0"/>
              <w:spacing w:before="0" w:beforeAutospacing="0" w:after="0" w:afterAutospacing="0" w:line="360" w:lineRule="auto"/>
              <w:ind w:left="0" w:leftChars="0" w:right="0" w:righ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详见竞争性磋商公告</w:t>
            </w:r>
          </w:p>
        </w:tc>
      </w:tr>
      <w:tr w14:paraId="5B17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93E27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173" w:type="dxa"/>
            <w:tcBorders>
              <w:top w:val="single" w:color="auto" w:sz="4" w:space="0"/>
              <w:left w:val="nil"/>
              <w:bottom w:val="single" w:color="auto" w:sz="4" w:space="0"/>
              <w:right w:val="single" w:color="auto" w:sz="4" w:space="0"/>
            </w:tcBorders>
            <w:noWrap w:val="0"/>
            <w:vAlign w:val="center"/>
          </w:tcPr>
          <w:p w14:paraId="5CD9922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是否接受联合体</w:t>
            </w:r>
          </w:p>
        </w:tc>
        <w:tc>
          <w:tcPr>
            <w:tcW w:w="5964" w:type="dxa"/>
            <w:tcBorders>
              <w:top w:val="single" w:color="auto" w:sz="4" w:space="0"/>
              <w:left w:val="nil"/>
              <w:bottom w:val="single" w:color="auto" w:sz="4" w:space="0"/>
              <w:right w:val="single" w:color="auto" w:sz="4" w:space="0"/>
            </w:tcBorders>
            <w:noWrap w:val="0"/>
            <w:vAlign w:val="center"/>
          </w:tcPr>
          <w:p w14:paraId="56F098D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■不接受</w:t>
            </w:r>
          </w:p>
        </w:tc>
      </w:tr>
      <w:tr w14:paraId="431B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9849F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2173" w:type="dxa"/>
            <w:tcBorders>
              <w:top w:val="single" w:color="auto" w:sz="4" w:space="0"/>
              <w:left w:val="nil"/>
              <w:bottom w:val="single" w:color="auto" w:sz="4" w:space="0"/>
              <w:right w:val="single" w:color="auto" w:sz="4" w:space="0"/>
            </w:tcBorders>
            <w:noWrap w:val="0"/>
            <w:vAlign w:val="center"/>
          </w:tcPr>
          <w:p w14:paraId="26D57C5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5964" w:type="dxa"/>
            <w:tcBorders>
              <w:top w:val="single" w:color="auto" w:sz="4" w:space="0"/>
              <w:left w:val="nil"/>
              <w:bottom w:val="single" w:color="auto" w:sz="4" w:space="0"/>
              <w:right w:val="single" w:color="auto" w:sz="4" w:space="0"/>
            </w:tcBorders>
            <w:noWrap w:val="0"/>
            <w:vAlign w:val="center"/>
          </w:tcPr>
          <w:p w14:paraId="6CE5D27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■不组织</w:t>
            </w:r>
          </w:p>
        </w:tc>
      </w:tr>
      <w:tr w14:paraId="66E8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C5CE8A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2173" w:type="dxa"/>
            <w:tcBorders>
              <w:top w:val="single" w:color="auto" w:sz="4" w:space="0"/>
              <w:left w:val="nil"/>
              <w:bottom w:val="single" w:color="auto" w:sz="4" w:space="0"/>
              <w:right w:val="single" w:color="auto" w:sz="4" w:space="0"/>
            </w:tcBorders>
            <w:noWrap w:val="0"/>
            <w:vAlign w:val="center"/>
          </w:tcPr>
          <w:p w14:paraId="72EF1B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磋商预备会</w:t>
            </w:r>
          </w:p>
        </w:tc>
        <w:tc>
          <w:tcPr>
            <w:tcW w:w="5964" w:type="dxa"/>
            <w:tcBorders>
              <w:top w:val="single" w:color="auto" w:sz="4" w:space="0"/>
              <w:left w:val="nil"/>
              <w:bottom w:val="single" w:color="auto" w:sz="4" w:space="0"/>
              <w:right w:val="single" w:color="auto" w:sz="4" w:space="0"/>
            </w:tcBorders>
            <w:noWrap w:val="0"/>
            <w:vAlign w:val="center"/>
          </w:tcPr>
          <w:p w14:paraId="1033E84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tc>
      </w:tr>
      <w:tr w14:paraId="4B99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28FD18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2173" w:type="dxa"/>
            <w:tcBorders>
              <w:top w:val="single" w:color="auto" w:sz="4" w:space="0"/>
              <w:left w:val="nil"/>
              <w:bottom w:val="single" w:color="auto" w:sz="4" w:space="0"/>
              <w:right w:val="single" w:color="auto" w:sz="4" w:space="0"/>
            </w:tcBorders>
            <w:noWrap w:val="0"/>
            <w:vAlign w:val="center"/>
          </w:tcPr>
          <w:p w14:paraId="53FBBD0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  包</w:t>
            </w:r>
          </w:p>
        </w:tc>
        <w:tc>
          <w:tcPr>
            <w:tcW w:w="5964" w:type="dxa"/>
            <w:tcBorders>
              <w:top w:val="single" w:color="auto" w:sz="4" w:space="0"/>
              <w:left w:val="nil"/>
              <w:bottom w:val="single" w:color="auto" w:sz="4" w:space="0"/>
              <w:right w:val="single" w:color="auto" w:sz="4" w:space="0"/>
            </w:tcBorders>
            <w:noWrap w:val="0"/>
            <w:vAlign w:val="center"/>
          </w:tcPr>
          <w:p w14:paraId="2E827C5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2849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CB7640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2173" w:type="dxa"/>
            <w:tcBorders>
              <w:top w:val="single" w:color="auto" w:sz="4" w:space="0"/>
              <w:left w:val="nil"/>
              <w:bottom w:val="single" w:color="auto" w:sz="4" w:space="0"/>
              <w:right w:val="single" w:color="auto" w:sz="4" w:space="0"/>
            </w:tcBorders>
            <w:noWrap w:val="0"/>
            <w:vAlign w:val="center"/>
          </w:tcPr>
          <w:p w14:paraId="7FFD7C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  离</w:t>
            </w:r>
          </w:p>
        </w:tc>
        <w:tc>
          <w:tcPr>
            <w:tcW w:w="5964" w:type="dxa"/>
            <w:tcBorders>
              <w:top w:val="single" w:color="auto" w:sz="4" w:space="0"/>
              <w:left w:val="nil"/>
              <w:bottom w:val="single" w:color="auto" w:sz="4" w:space="0"/>
              <w:right w:val="single" w:color="auto" w:sz="4" w:space="0"/>
            </w:tcBorders>
            <w:noWrap w:val="0"/>
            <w:vAlign w:val="center"/>
          </w:tcPr>
          <w:p w14:paraId="1F3F8B6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7F6F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46A91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2173" w:type="dxa"/>
            <w:tcBorders>
              <w:top w:val="single" w:color="auto" w:sz="4" w:space="0"/>
              <w:left w:val="nil"/>
              <w:bottom w:val="single" w:color="auto" w:sz="4" w:space="0"/>
              <w:right w:val="single" w:color="auto" w:sz="4" w:space="0"/>
            </w:tcBorders>
            <w:noWrap w:val="0"/>
            <w:vAlign w:val="center"/>
          </w:tcPr>
          <w:p w14:paraId="35DC0D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构成磋商文件的其他材料</w:t>
            </w:r>
          </w:p>
        </w:tc>
        <w:tc>
          <w:tcPr>
            <w:tcW w:w="5964" w:type="dxa"/>
            <w:tcBorders>
              <w:top w:val="single" w:color="auto" w:sz="4" w:space="0"/>
              <w:left w:val="nil"/>
              <w:bottom w:val="single" w:color="auto" w:sz="4" w:space="0"/>
              <w:right w:val="single" w:color="auto" w:sz="4" w:space="0"/>
            </w:tcBorders>
            <w:noWrap w:val="0"/>
            <w:vAlign w:val="center"/>
          </w:tcPr>
          <w:p w14:paraId="703FDF8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对竞争性磋商文件所作的澄清（含答疑）、修改，补充构成竞争性磋商文件的组成部分。</w:t>
            </w:r>
          </w:p>
        </w:tc>
      </w:tr>
      <w:tr w14:paraId="71B2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A63B91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2173" w:type="dxa"/>
            <w:tcBorders>
              <w:top w:val="single" w:color="auto" w:sz="4" w:space="0"/>
              <w:left w:val="nil"/>
              <w:bottom w:val="single" w:color="auto" w:sz="4" w:space="0"/>
              <w:right w:val="single" w:color="auto" w:sz="4" w:space="0"/>
            </w:tcBorders>
            <w:noWrap w:val="0"/>
            <w:vAlign w:val="center"/>
          </w:tcPr>
          <w:p w14:paraId="288736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要求澄清竞争性磋商文件的截止时间</w:t>
            </w:r>
          </w:p>
        </w:tc>
        <w:tc>
          <w:tcPr>
            <w:tcW w:w="5964" w:type="dxa"/>
            <w:tcBorders>
              <w:top w:val="single" w:color="auto" w:sz="4" w:space="0"/>
              <w:left w:val="nil"/>
              <w:bottom w:val="single" w:color="auto" w:sz="4" w:space="0"/>
              <w:right w:val="single" w:color="auto" w:sz="4" w:space="0"/>
            </w:tcBorders>
            <w:noWrap w:val="0"/>
            <w:vAlign w:val="center"/>
          </w:tcPr>
          <w:p w14:paraId="38C0F59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递交截止时间5日前，在三门峡市公共资源电子招标投标交易平台提出</w:t>
            </w:r>
          </w:p>
        </w:tc>
      </w:tr>
      <w:tr w14:paraId="1E78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1016A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2173" w:type="dxa"/>
            <w:tcBorders>
              <w:top w:val="single" w:color="auto" w:sz="4" w:space="0"/>
              <w:left w:val="nil"/>
              <w:bottom w:val="single" w:color="auto" w:sz="4" w:space="0"/>
              <w:right w:val="single" w:color="auto" w:sz="4" w:space="0"/>
            </w:tcBorders>
            <w:noWrap w:val="0"/>
            <w:vAlign w:val="center"/>
          </w:tcPr>
          <w:p w14:paraId="731D78F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招标人书面</w:t>
            </w:r>
            <w:r>
              <w:rPr>
                <w:rFonts w:hint="eastAsia" w:ascii="宋体" w:hAnsi="宋体" w:eastAsia="宋体" w:cs="宋体"/>
                <w:sz w:val="24"/>
                <w:szCs w:val="24"/>
                <w:highlight w:val="none"/>
              </w:rPr>
              <w:t>澄清的截止时间</w:t>
            </w:r>
          </w:p>
        </w:tc>
        <w:tc>
          <w:tcPr>
            <w:tcW w:w="5964" w:type="dxa"/>
            <w:tcBorders>
              <w:top w:val="single" w:color="auto" w:sz="4" w:space="0"/>
              <w:left w:val="nil"/>
              <w:bottom w:val="single" w:color="auto" w:sz="4" w:space="0"/>
              <w:right w:val="single" w:color="auto" w:sz="4" w:space="0"/>
            </w:tcBorders>
            <w:noWrap w:val="0"/>
            <w:vAlign w:val="center"/>
          </w:tcPr>
          <w:p w14:paraId="0539C16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递交截止时间5日前</w:t>
            </w:r>
          </w:p>
        </w:tc>
      </w:tr>
      <w:tr w14:paraId="3B45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2AF0FA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2173" w:type="dxa"/>
            <w:tcBorders>
              <w:top w:val="single" w:color="auto" w:sz="4" w:space="0"/>
              <w:left w:val="nil"/>
              <w:bottom w:val="single" w:color="auto" w:sz="4" w:space="0"/>
              <w:right w:val="single" w:color="auto" w:sz="4" w:space="0"/>
            </w:tcBorders>
            <w:noWrap w:val="0"/>
            <w:vAlign w:val="center"/>
          </w:tcPr>
          <w:p w14:paraId="75A4BFF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人确认收到竞争性磋商文件澄清的时间</w:t>
            </w:r>
          </w:p>
        </w:tc>
        <w:tc>
          <w:tcPr>
            <w:tcW w:w="5964" w:type="dxa"/>
            <w:tcBorders>
              <w:top w:val="single" w:color="auto" w:sz="4" w:space="0"/>
              <w:left w:val="nil"/>
              <w:bottom w:val="single" w:color="auto" w:sz="4" w:space="0"/>
              <w:right w:val="single" w:color="auto" w:sz="4" w:space="0"/>
            </w:tcBorders>
            <w:noWrap w:val="0"/>
            <w:vAlign w:val="center"/>
          </w:tcPr>
          <w:p w14:paraId="2EC47B0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069F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21E4E5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173" w:type="dxa"/>
            <w:tcBorders>
              <w:top w:val="single" w:color="auto" w:sz="4" w:space="0"/>
              <w:left w:val="nil"/>
              <w:bottom w:val="single" w:color="auto" w:sz="4" w:space="0"/>
              <w:right w:val="single" w:color="auto" w:sz="4" w:space="0"/>
            </w:tcBorders>
            <w:noWrap w:val="0"/>
            <w:vAlign w:val="center"/>
          </w:tcPr>
          <w:p w14:paraId="471274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确认收到竞争性磋商文件修改的时间</w:t>
            </w:r>
          </w:p>
        </w:tc>
        <w:tc>
          <w:tcPr>
            <w:tcW w:w="5964" w:type="dxa"/>
            <w:tcBorders>
              <w:top w:val="single" w:color="auto" w:sz="4" w:space="0"/>
              <w:left w:val="nil"/>
              <w:bottom w:val="single" w:color="auto" w:sz="4" w:space="0"/>
              <w:right w:val="single" w:color="auto" w:sz="4" w:space="0"/>
            </w:tcBorders>
            <w:noWrap w:val="0"/>
            <w:vAlign w:val="center"/>
          </w:tcPr>
          <w:p w14:paraId="52824A9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 xml:space="preserve"> 24</w:t>
            </w:r>
            <w:r>
              <w:rPr>
                <w:rFonts w:hint="eastAsia" w:ascii="宋体" w:hAnsi="宋体" w:eastAsia="宋体" w:cs="宋体"/>
                <w:sz w:val="24"/>
                <w:szCs w:val="24"/>
                <w:highlight w:val="none"/>
              </w:rPr>
              <w:t>小时内</w:t>
            </w:r>
          </w:p>
        </w:tc>
      </w:tr>
      <w:tr w14:paraId="33F9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E2418F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2173" w:type="dxa"/>
            <w:tcBorders>
              <w:top w:val="single" w:color="auto" w:sz="4" w:space="0"/>
              <w:left w:val="nil"/>
              <w:bottom w:val="single" w:color="auto" w:sz="4" w:space="0"/>
              <w:right w:val="single" w:color="auto" w:sz="4" w:space="0"/>
            </w:tcBorders>
            <w:shd w:val="clear" w:color="auto" w:fill="auto"/>
            <w:noWrap w:val="0"/>
            <w:vAlign w:val="center"/>
          </w:tcPr>
          <w:p w14:paraId="57D603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磋商保证金</w:t>
            </w:r>
          </w:p>
        </w:tc>
        <w:tc>
          <w:tcPr>
            <w:tcW w:w="5964" w:type="dxa"/>
            <w:tcBorders>
              <w:top w:val="single" w:color="auto" w:sz="4" w:space="0"/>
              <w:left w:val="nil"/>
              <w:bottom w:val="single" w:color="auto" w:sz="4" w:space="0"/>
              <w:right w:val="single" w:color="auto" w:sz="4" w:space="0"/>
            </w:tcBorders>
            <w:shd w:val="clear" w:color="auto" w:fill="auto"/>
            <w:noWrap w:val="0"/>
            <w:vAlign w:val="center"/>
          </w:tcPr>
          <w:p w14:paraId="3C06663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根据《河南省财政厅关于优化政府采购营商环境有关问题的通知》（豫财购【2019】4号）的规定，磋商保证金不再收取。</w:t>
            </w:r>
          </w:p>
        </w:tc>
      </w:tr>
      <w:tr w14:paraId="3600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185FC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2173" w:type="dxa"/>
            <w:tcBorders>
              <w:top w:val="single" w:color="auto" w:sz="4" w:space="0"/>
              <w:left w:val="nil"/>
              <w:bottom w:val="single" w:color="auto" w:sz="4" w:space="0"/>
              <w:right w:val="single" w:color="auto" w:sz="4" w:space="0"/>
            </w:tcBorders>
            <w:noWrap w:val="0"/>
            <w:vAlign w:val="center"/>
          </w:tcPr>
          <w:p w14:paraId="5E0F4D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w:t>
            </w:r>
          </w:p>
          <w:p w14:paraId="062E53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交截止时间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磋商时间</w:t>
            </w:r>
            <w:r>
              <w:rPr>
                <w:rFonts w:hint="eastAsia" w:ascii="宋体" w:hAnsi="宋体" w:eastAsia="宋体" w:cs="宋体"/>
                <w:sz w:val="24"/>
                <w:szCs w:val="24"/>
                <w:highlight w:val="none"/>
                <w:lang w:eastAsia="zh-CN"/>
              </w:rPr>
              <w:t>）</w:t>
            </w:r>
          </w:p>
        </w:tc>
        <w:tc>
          <w:tcPr>
            <w:tcW w:w="5964" w:type="dxa"/>
            <w:tcBorders>
              <w:top w:val="single" w:color="auto" w:sz="4" w:space="0"/>
              <w:left w:val="nil"/>
              <w:bottom w:val="single" w:color="auto" w:sz="4" w:space="0"/>
              <w:right w:val="single" w:color="auto" w:sz="4" w:space="0"/>
            </w:tcBorders>
            <w:noWrap w:val="0"/>
            <w:vAlign w:val="center"/>
          </w:tcPr>
          <w:p w14:paraId="2FFC0B1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val="en-US" w:eastAsia="zh-CN"/>
              </w:rPr>
              <w:t>见第一章“竞争性磋商公告”</w:t>
            </w:r>
          </w:p>
        </w:tc>
      </w:tr>
      <w:tr w14:paraId="5642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8EC21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2173" w:type="dxa"/>
            <w:tcBorders>
              <w:top w:val="single" w:color="auto" w:sz="4" w:space="0"/>
              <w:left w:val="nil"/>
              <w:bottom w:val="single" w:color="auto" w:sz="4" w:space="0"/>
              <w:right w:val="single" w:color="auto" w:sz="4" w:space="0"/>
            </w:tcBorders>
            <w:noWrap w:val="0"/>
            <w:vAlign w:val="center"/>
          </w:tcPr>
          <w:p w14:paraId="609D286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磋商地点</w:t>
            </w:r>
          </w:p>
        </w:tc>
        <w:tc>
          <w:tcPr>
            <w:tcW w:w="5964" w:type="dxa"/>
            <w:tcBorders>
              <w:top w:val="single" w:color="auto" w:sz="4" w:space="0"/>
              <w:left w:val="nil"/>
              <w:bottom w:val="single" w:color="auto" w:sz="4" w:space="0"/>
              <w:right w:val="single" w:color="auto" w:sz="4" w:space="0"/>
            </w:tcBorders>
            <w:noWrap w:val="0"/>
            <w:vAlign w:val="center"/>
          </w:tcPr>
          <w:p w14:paraId="1B2F440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val="en-US" w:eastAsia="zh-CN"/>
              </w:rPr>
              <w:t>见第一章“竞争性磋商公告”</w:t>
            </w:r>
          </w:p>
        </w:tc>
      </w:tr>
      <w:tr w14:paraId="02CD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C1E63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2173" w:type="dxa"/>
            <w:tcBorders>
              <w:top w:val="single" w:color="auto" w:sz="4" w:space="0"/>
              <w:left w:val="nil"/>
              <w:bottom w:val="single" w:color="auto" w:sz="4" w:space="0"/>
              <w:right w:val="single" w:color="auto" w:sz="4" w:space="0"/>
            </w:tcBorders>
            <w:noWrap w:val="0"/>
            <w:vAlign w:val="center"/>
          </w:tcPr>
          <w:p w14:paraId="7ADC75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5964" w:type="dxa"/>
            <w:tcBorders>
              <w:top w:val="single" w:color="auto" w:sz="4" w:space="0"/>
              <w:left w:val="nil"/>
              <w:bottom w:val="single" w:color="auto" w:sz="4" w:space="0"/>
              <w:right w:val="single" w:color="auto" w:sz="4" w:space="0"/>
            </w:tcBorders>
            <w:noWrap w:val="0"/>
            <w:vAlign w:val="center"/>
          </w:tcPr>
          <w:p w14:paraId="6D9A132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递交截止之日起60日历天</w:t>
            </w:r>
          </w:p>
        </w:tc>
      </w:tr>
      <w:tr w14:paraId="66FB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9120D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2173" w:type="dxa"/>
            <w:tcBorders>
              <w:top w:val="single" w:color="auto" w:sz="4" w:space="0"/>
              <w:left w:val="nil"/>
              <w:bottom w:val="single" w:color="auto" w:sz="4" w:space="0"/>
              <w:right w:val="single" w:color="auto" w:sz="4" w:space="0"/>
            </w:tcBorders>
            <w:noWrap w:val="0"/>
            <w:vAlign w:val="center"/>
          </w:tcPr>
          <w:p w14:paraId="64F1E6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招标控制价</w:t>
            </w:r>
          </w:p>
        </w:tc>
        <w:tc>
          <w:tcPr>
            <w:tcW w:w="5964" w:type="dxa"/>
            <w:tcBorders>
              <w:top w:val="single" w:color="auto" w:sz="4" w:space="0"/>
              <w:left w:val="nil"/>
              <w:bottom w:val="single" w:color="auto" w:sz="4" w:space="0"/>
              <w:right w:val="single" w:color="auto" w:sz="4" w:space="0"/>
            </w:tcBorders>
            <w:noWrap w:val="0"/>
            <w:vAlign w:val="center"/>
          </w:tcPr>
          <w:p w14:paraId="52D922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rPr>
              <w:t>本项目的招标控制价为</w:t>
            </w:r>
            <w:r>
              <w:rPr>
                <w:rFonts w:hint="eastAsia" w:ascii="宋体" w:hAnsi="宋体" w:eastAsia="宋体" w:cs="宋体"/>
                <w:b/>
                <w:bCs/>
                <w:sz w:val="24"/>
                <w:szCs w:val="24"/>
                <w:highlight w:val="none"/>
                <w:lang w:val="en-US" w:eastAsia="zh-CN"/>
              </w:rPr>
              <w:t>2493168.18</w:t>
            </w:r>
            <w:r>
              <w:rPr>
                <w:rFonts w:hint="eastAsia" w:ascii="宋体" w:hAnsi="宋体" w:eastAsia="宋体" w:cs="宋体"/>
                <w:b/>
                <w:bCs/>
                <w:sz w:val="24"/>
                <w:szCs w:val="24"/>
                <w:highlight w:val="none"/>
              </w:rPr>
              <w:t>元，</w:t>
            </w:r>
            <w:r>
              <w:rPr>
                <w:rFonts w:hint="eastAsia" w:ascii="宋体" w:hAnsi="宋体" w:eastAsia="宋体" w:cs="宋体"/>
                <w:b/>
                <w:bCs/>
                <w:sz w:val="24"/>
                <w:szCs w:val="24"/>
                <w:highlight w:val="none"/>
                <w:lang w:val="en-US" w:eastAsia="zh-CN"/>
              </w:rPr>
              <w:t>大写：贰佰肆拾玖万叁仟壹佰陆拾捌元壹角捌分，</w:t>
            </w:r>
            <w:r>
              <w:rPr>
                <w:rFonts w:hint="eastAsia" w:ascii="宋体" w:hAnsi="宋体" w:eastAsia="宋体" w:cs="宋体"/>
                <w:sz w:val="24"/>
                <w:szCs w:val="24"/>
                <w:highlight w:val="none"/>
              </w:rPr>
              <w:t>凡</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的磋商报价超出“招标控制价”（不含等于“招标控制价”）的，其投标将被否决。</w:t>
            </w:r>
          </w:p>
        </w:tc>
      </w:tr>
      <w:tr w14:paraId="1047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D6BB3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2173" w:type="dxa"/>
            <w:tcBorders>
              <w:top w:val="single" w:color="auto" w:sz="4" w:space="0"/>
              <w:left w:val="nil"/>
              <w:bottom w:val="single" w:color="auto" w:sz="4" w:space="0"/>
              <w:right w:val="single" w:color="auto" w:sz="4" w:space="0"/>
            </w:tcBorders>
            <w:noWrap w:val="0"/>
            <w:vAlign w:val="center"/>
          </w:tcPr>
          <w:p w14:paraId="71125FB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近年完成的类似项目的年份要求</w:t>
            </w:r>
          </w:p>
        </w:tc>
        <w:tc>
          <w:tcPr>
            <w:tcW w:w="5964" w:type="dxa"/>
            <w:tcBorders>
              <w:top w:val="single" w:color="auto" w:sz="4" w:space="0"/>
              <w:left w:val="nil"/>
              <w:bottom w:val="single" w:color="auto" w:sz="4" w:space="0"/>
              <w:right w:val="single" w:color="auto" w:sz="4" w:space="0"/>
            </w:tcBorders>
            <w:noWrap w:val="0"/>
            <w:vAlign w:val="center"/>
          </w:tcPr>
          <w:p w14:paraId="41B5862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近</w:t>
            </w:r>
            <w:r>
              <w:rPr>
                <w:rFonts w:hint="eastAsia" w:ascii="宋体" w:hAnsi="宋体" w:eastAsia="宋体" w:cs="宋体"/>
                <w:sz w:val="24"/>
                <w:szCs w:val="24"/>
                <w:highlight w:val="none"/>
              </w:rPr>
              <w:t>年，指</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u w:val="single"/>
                <w:lang w:val="en-US" w:eastAsia="zh-CN"/>
              </w:rPr>
              <w:t>22</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日以来</w:t>
            </w:r>
          </w:p>
        </w:tc>
      </w:tr>
      <w:tr w14:paraId="0722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5804F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2173" w:type="dxa"/>
            <w:tcBorders>
              <w:top w:val="single" w:color="auto" w:sz="4" w:space="0"/>
              <w:left w:val="nil"/>
              <w:bottom w:val="single" w:color="auto" w:sz="4" w:space="0"/>
              <w:right w:val="single" w:color="auto" w:sz="4" w:space="0"/>
            </w:tcBorders>
            <w:noWrap w:val="0"/>
            <w:vAlign w:val="center"/>
          </w:tcPr>
          <w:p w14:paraId="675D053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是否允许递交备选磋商方案</w:t>
            </w:r>
          </w:p>
        </w:tc>
        <w:tc>
          <w:tcPr>
            <w:tcW w:w="5964" w:type="dxa"/>
            <w:tcBorders>
              <w:top w:val="single" w:color="auto" w:sz="4" w:space="0"/>
              <w:left w:val="nil"/>
              <w:bottom w:val="single" w:color="auto" w:sz="4" w:space="0"/>
              <w:right w:val="single" w:color="auto" w:sz="4" w:space="0"/>
            </w:tcBorders>
            <w:noWrap w:val="0"/>
            <w:vAlign w:val="center"/>
          </w:tcPr>
          <w:p w14:paraId="37287DC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3F7E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879BB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2173" w:type="dxa"/>
            <w:tcBorders>
              <w:top w:val="single" w:color="auto" w:sz="4" w:space="0"/>
              <w:left w:val="nil"/>
              <w:bottom w:val="single" w:color="auto" w:sz="4" w:space="0"/>
              <w:right w:val="single" w:color="auto" w:sz="4" w:space="0"/>
            </w:tcBorders>
            <w:noWrap w:val="0"/>
            <w:vAlign w:val="center"/>
          </w:tcPr>
          <w:p w14:paraId="388C06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电子投标文件签章</w:t>
            </w:r>
          </w:p>
        </w:tc>
        <w:tc>
          <w:tcPr>
            <w:tcW w:w="5964" w:type="dxa"/>
            <w:tcBorders>
              <w:top w:val="single" w:color="auto" w:sz="4" w:space="0"/>
              <w:left w:val="nil"/>
              <w:bottom w:val="single" w:color="auto" w:sz="4" w:space="0"/>
              <w:right w:val="single" w:color="auto" w:sz="4" w:space="0"/>
            </w:tcBorders>
            <w:noWrap w:val="0"/>
            <w:vAlign w:val="center"/>
          </w:tcPr>
          <w:p w14:paraId="6838C3D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在生成电子化</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后，应对电子化</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进行签章，未对电子化</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进行签章的视为无效投标。</w:t>
            </w:r>
          </w:p>
          <w:p w14:paraId="20705E0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2、竞争性磋商文件中要求法定代表人或授权委托人盖章的，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在进行电子化</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签章时，以签盖法定代表人签章为准。</w:t>
            </w:r>
          </w:p>
          <w:p w14:paraId="57A69BF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3、电子化</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工具请点击http://t.cn/A6ZvtVob进行下载。</w:t>
            </w:r>
          </w:p>
        </w:tc>
      </w:tr>
      <w:tr w14:paraId="4998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41EC5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w:t>
            </w:r>
          </w:p>
        </w:tc>
        <w:tc>
          <w:tcPr>
            <w:tcW w:w="2173" w:type="dxa"/>
            <w:tcBorders>
              <w:top w:val="single" w:color="auto" w:sz="4" w:space="0"/>
              <w:left w:val="nil"/>
              <w:bottom w:val="single" w:color="auto" w:sz="4" w:space="0"/>
              <w:right w:val="single" w:color="auto" w:sz="4" w:space="0"/>
            </w:tcBorders>
            <w:noWrap w:val="0"/>
            <w:vAlign w:val="center"/>
          </w:tcPr>
          <w:p w14:paraId="52EF03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投标文件</w:t>
            </w:r>
          </w:p>
        </w:tc>
        <w:tc>
          <w:tcPr>
            <w:tcW w:w="5964" w:type="dxa"/>
            <w:tcBorders>
              <w:top w:val="single" w:color="auto" w:sz="4" w:space="0"/>
              <w:left w:val="nil"/>
              <w:bottom w:val="single" w:color="auto" w:sz="4" w:space="0"/>
              <w:right w:val="single" w:color="auto" w:sz="4" w:space="0"/>
            </w:tcBorders>
            <w:noWrap w:val="0"/>
            <w:vAlign w:val="center"/>
          </w:tcPr>
          <w:p w14:paraId="1239FD4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用CA在电子平台上传电子</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，在磋商截止时间前成功上传至三门峡市公共资源电子化交易系统。本项目为电子化、无纸化交易项目。</w:t>
            </w:r>
          </w:p>
          <w:p w14:paraId="6A439DF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开标时不再递交纸质投标文件，中标单位领取中标通知书时提交两份纸质投标文件（投标文件应按以下要求装订：胶装，应有目录，并逐页标注连续页码）。</w:t>
            </w:r>
          </w:p>
        </w:tc>
      </w:tr>
      <w:tr w14:paraId="77DB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07C09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2173" w:type="dxa"/>
            <w:tcBorders>
              <w:top w:val="single" w:color="auto" w:sz="4" w:space="0"/>
              <w:left w:val="nil"/>
              <w:bottom w:val="single" w:color="auto" w:sz="4" w:space="0"/>
              <w:right w:val="single" w:color="auto" w:sz="4" w:space="0"/>
            </w:tcBorders>
            <w:noWrap w:val="0"/>
            <w:vAlign w:val="center"/>
          </w:tcPr>
          <w:p w14:paraId="0D6217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是否退还</w:t>
            </w:r>
            <w:r>
              <w:rPr>
                <w:rFonts w:hint="eastAsia" w:ascii="宋体" w:hAnsi="宋体" w:eastAsia="宋体" w:cs="宋体"/>
                <w:sz w:val="24"/>
                <w:szCs w:val="24"/>
                <w:highlight w:val="none"/>
                <w:lang w:eastAsia="zh-CN"/>
              </w:rPr>
              <w:t>投标文件</w:t>
            </w:r>
          </w:p>
        </w:tc>
        <w:tc>
          <w:tcPr>
            <w:tcW w:w="5964" w:type="dxa"/>
            <w:tcBorders>
              <w:top w:val="single" w:color="auto" w:sz="4" w:space="0"/>
              <w:left w:val="nil"/>
              <w:bottom w:val="single" w:color="auto" w:sz="4" w:space="0"/>
              <w:right w:val="single" w:color="auto" w:sz="4" w:space="0"/>
            </w:tcBorders>
            <w:noWrap w:val="0"/>
            <w:vAlign w:val="center"/>
          </w:tcPr>
          <w:p w14:paraId="6405ECF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14:paraId="5A8A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1A579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w:t>
            </w:r>
          </w:p>
        </w:tc>
        <w:tc>
          <w:tcPr>
            <w:tcW w:w="2173" w:type="dxa"/>
            <w:tcBorders>
              <w:top w:val="single" w:color="auto" w:sz="4" w:space="0"/>
              <w:left w:val="nil"/>
              <w:bottom w:val="single" w:color="auto" w:sz="4" w:space="0"/>
              <w:right w:val="single" w:color="auto" w:sz="4" w:space="0"/>
            </w:tcBorders>
            <w:noWrap w:val="0"/>
            <w:vAlign w:val="center"/>
          </w:tcPr>
          <w:p w14:paraId="260169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开标顺序</w:t>
            </w:r>
          </w:p>
        </w:tc>
        <w:tc>
          <w:tcPr>
            <w:tcW w:w="5964" w:type="dxa"/>
            <w:tcBorders>
              <w:top w:val="single" w:color="auto" w:sz="4" w:space="0"/>
              <w:left w:val="nil"/>
              <w:bottom w:val="single" w:color="auto" w:sz="4" w:space="0"/>
              <w:right w:val="single" w:color="auto" w:sz="4" w:space="0"/>
            </w:tcBorders>
            <w:noWrap w:val="0"/>
            <w:vAlign w:val="center"/>
          </w:tcPr>
          <w:p w14:paraId="5B2C28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按电子</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上传的顺序开标</w:t>
            </w:r>
          </w:p>
        </w:tc>
      </w:tr>
      <w:tr w14:paraId="2E8F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507AE2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32</w:t>
            </w:r>
          </w:p>
        </w:tc>
        <w:tc>
          <w:tcPr>
            <w:tcW w:w="2173" w:type="dxa"/>
            <w:tcBorders>
              <w:top w:val="single" w:color="auto" w:sz="4" w:space="0"/>
              <w:left w:val="nil"/>
              <w:bottom w:val="single" w:color="auto" w:sz="4" w:space="0"/>
              <w:right w:val="single" w:color="auto" w:sz="4" w:space="0"/>
            </w:tcBorders>
            <w:noWrap w:val="0"/>
            <w:vAlign w:val="center"/>
          </w:tcPr>
          <w:p w14:paraId="4E5CDE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磋商小组的组建</w:t>
            </w:r>
          </w:p>
        </w:tc>
        <w:tc>
          <w:tcPr>
            <w:tcW w:w="5964" w:type="dxa"/>
            <w:tcBorders>
              <w:top w:val="single" w:color="auto" w:sz="4" w:space="0"/>
              <w:left w:val="nil"/>
              <w:bottom w:val="single" w:color="auto" w:sz="4" w:space="0"/>
              <w:right w:val="single" w:color="auto" w:sz="4" w:space="0"/>
            </w:tcBorders>
            <w:noWrap w:val="0"/>
            <w:vAlign w:val="center"/>
          </w:tcPr>
          <w:p w14:paraId="5C8BB8B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磋商小组构成：由</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人代表及有关经济、技术等方面的专家共3人组成，其中</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代表1人，经济、技术等有关方面的专家各1人。评标专家确定方式：参加评标的专家由</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、监督人在三门峡市</w:t>
            </w:r>
            <w:r>
              <w:rPr>
                <w:rFonts w:hint="eastAsia" w:ascii="宋体" w:hAnsi="宋体" w:eastAsia="宋体" w:cs="宋体"/>
                <w:sz w:val="24"/>
                <w:szCs w:val="24"/>
                <w:highlight w:val="none"/>
                <w:lang w:val="en-US" w:eastAsia="zh-CN"/>
              </w:rPr>
              <w:t>灵宝市</w:t>
            </w:r>
            <w:r>
              <w:rPr>
                <w:rFonts w:hint="eastAsia" w:ascii="宋体" w:hAnsi="宋体" w:eastAsia="宋体" w:cs="宋体"/>
                <w:sz w:val="24"/>
                <w:szCs w:val="24"/>
                <w:highlight w:val="none"/>
              </w:rPr>
              <w:t>公共资源交易中心抽取终端从三门峡市综合评标专家库中随机抽取确定。</w:t>
            </w:r>
          </w:p>
        </w:tc>
      </w:tr>
      <w:tr w14:paraId="34FF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FB8062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w:t>
            </w:r>
          </w:p>
        </w:tc>
        <w:tc>
          <w:tcPr>
            <w:tcW w:w="2173" w:type="dxa"/>
            <w:tcBorders>
              <w:top w:val="single" w:color="auto" w:sz="4" w:space="0"/>
              <w:left w:val="nil"/>
              <w:bottom w:val="single" w:color="auto" w:sz="4" w:space="0"/>
              <w:right w:val="single" w:color="auto" w:sz="4" w:space="0"/>
            </w:tcBorders>
            <w:noWrap w:val="0"/>
            <w:vAlign w:val="center"/>
          </w:tcPr>
          <w:p w14:paraId="44A734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授权评委小组推荐成交候选人</w:t>
            </w:r>
          </w:p>
        </w:tc>
        <w:tc>
          <w:tcPr>
            <w:tcW w:w="5964" w:type="dxa"/>
            <w:tcBorders>
              <w:top w:val="single" w:color="auto" w:sz="4" w:space="0"/>
              <w:left w:val="nil"/>
              <w:bottom w:val="single" w:color="auto" w:sz="4" w:space="0"/>
              <w:right w:val="single" w:color="auto" w:sz="4" w:space="0"/>
            </w:tcBorders>
            <w:noWrap w:val="0"/>
            <w:vAlign w:val="center"/>
          </w:tcPr>
          <w:p w14:paraId="00074AB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是，推荐的成交候选人数：1-3个</w:t>
            </w:r>
          </w:p>
          <w:p w14:paraId="3F5F4ED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排名第一的成交候选人若放弃中标、因不可抗力提出不能履行合同，</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可以确定排名第二的成交候选人为中标人。排名第二的成交候选人因前款原因不能签订合同的，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可以确定排名第三的成交候选人为中标人。</w:t>
            </w:r>
          </w:p>
        </w:tc>
      </w:tr>
      <w:tr w14:paraId="37FD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016E959">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34</w:t>
            </w:r>
          </w:p>
        </w:tc>
        <w:tc>
          <w:tcPr>
            <w:tcW w:w="2173" w:type="dxa"/>
            <w:tcBorders>
              <w:top w:val="single" w:color="auto" w:sz="4" w:space="0"/>
              <w:left w:val="nil"/>
              <w:bottom w:val="single" w:color="auto" w:sz="4" w:space="0"/>
              <w:right w:val="single" w:color="auto" w:sz="4" w:space="0"/>
            </w:tcBorders>
            <w:noWrap w:val="0"/>
            <w:vAlign w:val="center"/>
          </w:tcPr>
          <w:p w14:paraId="151A8EE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结果公示</w:t>
            </w:r>
          </w:p>
        </w:tc>
        <w:tc>
          <w:tcPr>
            <w:tcW w:w="5964" w:type="dxa"/>
            <w:tcBorders>
              <w:top w:val="single" w:color="auto" w:sz="4" w:space="0"/>
              <w:left w:val="nil"/>
              <w:bottom w:val="single" w:color="auto" w:sz="4" w:space="0"/>
              <w:right w:val="single" w:color="auto" w:sz="4" w:space="0"/>
            </w:tcBorders>
            <w:noWrap w:val="0"/>
            <w:vAlign w:val="center"/>
          </w:tcPr>
          <w:p w14:paraId="1B128F9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highlight w:val="none"/>
                <w:lang w:val="en-US" w:eastAsia="zh-CN" w:bidi="ar"/>
              </w:rPr>
              <w:t>竞争性磋商公告同一网站</w:t>
            </w:r>
            <w:r>
              <w:rPr>
                <w:rFonts w:hint="eastAsia" w:ascii="宋体" w:hAnsi="宋体" w:eastAsia="宋体" w:cs="宋体"/>
                <w:sz w:val="24"/>
                <w:szCs w:val="24"/>
                <w:highlight w:val="none"/>
              </w:rPr>
              <w:t>同时进行公示。</w:t>
            </w:r>
          </w:p>
        </w:tc>
      </w:tr>
      <w:tr w14:paraId="301A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0E68E9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2173" w:type="dxa"/>
            <w:tcBorders>
              <w:top w:val="single" w:color="auto" w:sz="4" w:space="0"/>
              <w:left w:val="nil"/>
              <w:bottom w:val="single" w:color="auto" w:sz="4" w:space="0"/>
              <w:right w:val="single" w:color="auto" w:sz="4" w:space="0"/>
            </w:tcBorders>
            <w:noWrap w:val="0"/>
            <w:vAlign w:val="center"/>
          </w:tcPr>
          <w:p w14:paraId="090026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5964" w:type="dxa"/>
            <w:tcBorders>
              <w:top w:val="single" w:color="auto" w:sz="4" w:space="0"/>
              <w:left w:val="nil"/>
              <w:bottom w:val="single" w:color="auto" w:sz="4" w:space="0"/>
              <w:right w:val="single" w:color="auto" w:sz="4" w:space="0"/>
            </w:tcBorders>
            <w:noWrap w:val="0"/>
            <w:vAlign w:val="center"/>
          </w:tcPr>
          <w:p w14:paraId="7D69F41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根据三门峡市财政局三财购【</w:t>
            </w: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14号文的规定，</w:t>
            </w:r>
            <w:r>
              <w:rPr>
                <w:rFonts w:hint="eastAsia" w:ascii="宋体" w:hAnsi="宋体" w:eastAsia="宋体" w:cs="宋体"/>
                <w:color w:val="auto"/>
                <w:sz w:val="24"/>
                <w:szCs w:val="24"/>
                <w:highlight w:val="none"/>
              </w:rPr>
              <w:t>本项目不收取履约</w:t>
            </w:r>
            <w:r>
              <w:rPr>
                <w:rFonts w:hint="eastAsia" w:ascii="宋体" w:hAnsi="宋体" w:eastAsia="宋体" w:cs="宋体"/>
                <w:color w:val="auto"/>
                <w:sz w:val="24"/>
                <w:szCs w:val="24"/>
                <w:highlight w:val="none"/>
                <w:lang w:eastAsia="zh-CN"/>
              </w:rPr>
              <w:t>保证金</w:t>
            </w:r>
          </w:p>
        </w:tc>
      </w:tr>
      <w:tr w14:paraId="1F01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2E564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w:t>
            </w:r>
          </w:p>
        </w:tc>
        <w:tc>
          <w:tcPr>
            <w:tcW w:w="2173" w:type="dxa"/>
            <w:tcBorders>
              <w:top w:val="single" w:color="auto" w:sz="4" w:space="0"/>
              <w:left w:val="nil"/>
              <w:bottom w:val="single" w:color="auto" w:sz="4" w:space="0"/>
              <w:right w:val="single" w:color="auto" w:sz="4" w:space="0"/>
            </w:tcBorders>
            <w:noWrap w:val="0"/>
            <w:vAlign w:val="center"/>
          </w:tcPr>
          <w:p w14:paraId="056E7997">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kern w:val="44"/>
                <w:sz w:val="24"/>
                <w:szCs w:val="24"/>
                <w:highlight w:val="none"/>
              </w:rPr>
              <w:t>质保金</w:t>
            </w:r>
          </w:p>
        </w:tc>
        <w:tc>
          <w:tcPr>
            <w:tcW w:w="5964" w:type="dxa"/>
            <w:tcBorders>
              <w:top w:val="single" w:color="auto" w:sz="4" w:space="0"/>
              <w:left w:val="nil"/>
              <w:bottom w:val="single" w:color="auto" w:sz="4" w:space="0"/>
              <w:right w:val="single" w:color="auto" w:sz="4" w:space="0"/>
            </w:tcBorders>
            <w:noWrap w:val="0"/>
            <w:vAlign w:val="center"/>
          </w:tcPr>
          <w:p w14:paraId="49BB8CB5">
            <w:pPr>
              <w:widowControl/>
              <w:spacing w:line="360" w:lineRule="auto"/>
              <w:rPr>
                <w:rFonts w:hint="eastAsia" w:ascii="宋体" w:hAnsi="宋体" w:eastAsia="宋体" w:cs="宋体"/>
                <w:color w:val="auto"/>
                <w:sz w:val="24"/>
                <w:szCs w:val="24"/>
                <w:highlight w:val="none"/>
                <w:lang w:eastAsia="zh-CN"/>
              </w:rPr>
            </w:pPr>
            <w:r>
              <w:rPr>
                <w:rFonts w:hint="eastAsia" w:ascii="宋体" w:hAnsi="宋体" w:cs="宋体"/>
                <w:kern w:val="44"/>
                <w:sz w:val="24"/>
                <w:szCs w:val="24"/>
                <w:highlight w:val="none"/>
              </w:rPr>
              <w:t>成交后甲乙双方协商</w:t>
            </w:r>
          </w:p>
        </w:tc>
      </w:tr>
      <w:tr w14:paraId="32BE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F2A549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w:t>
            </w:r>
          </w:p>
        </w:tc>
        <w:tc>
          <w:tcPr>
            <w:tcW w:w="2173" w:type="dxa"/>
            <w:tcBorders>
              <w:top w:val="single" w:color="auto" w:sz="4" w:space="0"/>
              <w:left w:val="nil"/>
              <w:bottom w:val="single" w:color="auto" w:sz="4" w:space="0"/>
              <w:right w:val="single" w:color="auto" w:sz="4" w:space="0"/>
            </w:tcBorders>
            <w:noWrap w:val="0"/>
            <w:vAlign w:val="center"/>
          </w:tcPr>
          <w:p w14:paraId="715B37BC">
            <w:pPr>
              <w:widowControl/>
              <w:spacing w:line="360" w:lineRule="auto"/>
              <w:jc w:val="center"/>
              <w:rPr>
                <w:rFonts w:ascii="宋体" w:hAnsi="宋体" w:cs="宋体"/>
                <w:kern w:val="44"/>
                <w:sz w:val="24"/>
                <w:szCs w:val="24"/>
                <w:highlight w:val="none"/>
              </w:rPr>
            </w:pPr>
            <w:r>
              <w:rPr>
                <w:rFonts w:hint="eastAsia" w:ascii="宋体" w:hAnsi="宋体" w:cs="宋体"/>
                <w:kern w:val="44"/>
                <w:sz w:val="24"/>
                <w:szCs w:val="24"/>
                <w:highlight w:val="none"/>
              </w:rPr>
              <w:t>工程款支付</w:t>
            </w:r>
          </w:p>
          <w:p w14:paraId="28597218">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kern w:val="44"/>
                <w:sz w:val="24"/>
                <w:szCs w:val="24"/>
                <w:highlight w:val="none"/>
              </w:rPr>
              <w:t>方式</w:t>
            </w:r>
          </w:p>
        </w:tc>
        <w:tc>
          <w:tcPr>
            <w:tcW w:w="5964" w:type="dxa"/>
            <w:tcBorders>
              <w:top w:val="single" w:color="auto" w:sz="4" w:space="0"/>
              <w:left w:val="nil"/>
              <w:bottom w:val="single" w:color="auto" w:sz="4" w:space="0"/>
              <w:right w:val="single" w:color="auto" w:sz="4" w:space="0"/>
            </w:tcBorders>
            <w:noWrap w:val="0"/>
            <w:vAlign w:val="center"/>
          </w:tcPr>
          <w:p w14:paraId="6A17A73E">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kern w:val="44"/>
                <w:sz w:val="24"/>
                <w:szCs w:val="24"/>
                <w:highlight w:val="none"/>
                <w:lang w:bidi="en-US"/>
              </w:rPr>
              <w:t>具体付款方式中标后甲乙双方协商</w:t>
            </w:r>
            <w:r>
              <w:rPr>
                <w:rFonts w:hint="eastAsia" w:ascii="宋体" w:hAnsi="宋体" w:cs="宋体"/>
                <w:kern w:val="44"/>
                <w:sz w:val="24"/>
                <w:szCs w:val="24"/>
                <w:highlight w:val="none"/>
              </w:rPr>
              <w:t>。</w:t>
            </w:r>
          </w:p>
        </w:tc>
      </w:tr>
      <w:tr w14:paraId="4E24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3582A0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w:t>
            </w:r>
          </w:p>
        </w:tc>
        <w:tc>
          <w:tcPr>
            <w:tcW w:w="2173" w:type="dxa"/>
            <w:tcBorders>
              <w:top w:val="single" w:color="auto" w:sz="4" w:space="0"/>
              <w:left w:val="nil"/>
              <w:bottom w:val="single" w:color="auto" w:sz="4" w:space="0"/>
              <w:right w:val="single" w:color="auto" w:sz="4" w:space="0"/>
            </w:tcBorders>
            <w:noWrap w:val="0"/>
            <w:vAlign w:val="center"/>
          </w:tcPr>
          <w:p w14:paraId="148CC8C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签订合同时间</w:t>
            </w:r>
          </w:p>
        </w:tc>
        <w:tc>
          <w:tcPr>
            <w:tcW w:w="5964" w:type="dxa"/>
            <w:tcBorders>
              <w:top w:val="single" w:color="auto" w:sz="4" w:space="0"/>
              <w:left w:val="nil"/>
              <w:bottom w:val="single" w:color="auto" w:sz="4" w:space="0"/>
              <w:right w:val="single" w:color="auto" w:sz="4" w:space="0"/>
            </w:tcBorders>
            <w:noWrap w:val="0"/>
            <w:vAlign w:val="center"/>
          </w:tcPr>
          <w:p w14:paraId="4AC0FDB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成交通知书发出后2个工作日内</w:t>
            </w:r>
          </w:p>
        </w:tc>
      </w:tr>
      <w:tr w14:paraId="3956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3EFD0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highlight w:val="none"/>
                <w:lang w:val="en-US" w:eastAsia="zh-CN"/>
              </w:rPr>
              <w:t>39</w:t>
            </w:r>
          </w:p>
        </w:tc>
        <w:tc>
          <w:tcPr>
            <w:tcW w:w="2173" w:type="dxa"/>
            <w:tcBorders>
              <w:top w:val="single" w:color="auto" w:sz="4" w:space="0"/>
              <w:left w:val="nil"/>
              <w:bottom w:val="single" w:color="auto" w:sz="4" w:space="0"/>
              <w:right w:val="single" w:color="auto" w:sz="4" w:space="0"/>
            </w:tcBorders>
            <w:noWrap w:val="0"/>
            <w:vAlign w:val="center"/>
          </w:tcPr>
          <w:p w14:paraId="4FE123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竞争性磋商文件的解释</w:t>
            </w:r>
          </w:p>
        </w:tc>
        <w:tc>
          <w:tcPr>
            <w:tcW w:w="5964" w:type="dxa"/>
            <w:tcBorders>
              <w:top w:val="single" w:color="auto" w:sz="4" w:space="0"/>
              <w:left w:val="nil"/>
              <w:bottom w:val="single" w:color="auto" w:sz="4" w:space="0"/>
              <w:right w:val="single" w:color="auto" w:sz="4" w:space="0"/>
            </w:tcBorders>
            <w:noWrap w:val="0"/>
            <w:vAlign w:val="center"/>
          </w:tcPr>
          <w:p w14:paraId="429DC809">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在符合相关法律法规的前题下，竞争性磋商文件的解释权归招标人所有。本竞争性磋商文件中其他部分内容与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须知前附表不一致的，以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须知前附表为准。</w:t>
            </w:r>
          </w:p>
        </w:tc>
      </w:tr>
      <w:tr w14:paraId="700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88E746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40</w:t>
            </w:r>
          </w:p>
        </w:tc>
        <w:tc>
          <w:tcPr>
            <w:tcW w:w="2173" w:type="dxa"/>
            <w:tcBorders>
              <w:top w:val="single" w:color="auto" w:sz="4" w:space="0"/>
              <w:left w:val="nil"/>
              <w:bottom w:val="single" w:color="auto" w:sz="4" w:space="0"/>
              <w:right w:val="single" w:color="auto" w:sz="4" w:space="0"/>
            </w:tcBorders>
            <w:noWrap w:val="0"/>
            <w:vAlign w:val="center"/>
          </w:tcPr>
          <w:p w14:paraId="417383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知识产权</w:t>
            </w:r>
          </w:p>
        </w:tc>
        <w:tc>
          <w:tcPr>
            <w:tcW w:w="5964" w:type="dxa"/>
            <w:tcBorders>
              <w:top w:val="single" w:color="auto" w:sz="4" w:space="0"/>
              <w:left w:val="nil"/>
              <w:bottom w:val="single" w:color="auto" w:sz="4" w:space="0"/>
              <w:right w:val="single" w:color="auto" w:sz="4" w:space="0"/>
            </w:tcBorders>
            <w:noWrap w:val="0"/>
            <w:vAlign w:val="center"/>
          </w:tcPr>
          <w:p w14:paraId="75968C9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构成本竞争性磋商文件各个组成部分的文件，未经招标人书面同意，</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不得擅自复印和用于非本招标项目所需的其他目的。招标人全部或者部分使用未中标人</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中的技术成果或技术方案时，需征得其书面同意，并不得擅自复印或提供给第三人。</w:t>
            </w:r>
          </w:p>
        </w:tc>
      </w:tr>
      <w:tr w14:paraId="290B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81A8A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w:t>
            </w:r>
          </w:p>
        </w:tc>
        <w:tc>
          <w:tcPr>
            <w:tcW w:w="2173" w:type="dxa"/>
            <w:tcBorders>
              <w:top w:val="single" w:color="auto" w:sz="4" w:space="0"/>
              <w:left w:val="nil"/>
              <w:bottom w:val="single" w:color="auto" w:sz="4" w:space="0"/>
              <w:right w:val="single" w:color="auto" w:sz="4" w:space="0"/>
            </w:tcBorders>
            <w:noWrap w:val="0"/>
            <w:vAlign w:val="center"/>
          </w:tcPr>
          <w:p w14:paraId="0C22D9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重新招标的其他情形</w:t>
            </w:r>
          </w:p>
        </w:tc>
        <w:tc>
          <w:tcPr>
            <w:tcW w:w="5964" w:type="dxa"/>
            <w:tcBorders>
              <w:top w:val="single" w:color="auto" w:sz="4" w:space="0"/>
              <w:left w:val="nil"/>
              <w:bottom w:val="single" w:color="auto" w:sz="4" w:space="0"/>
              <w:right w:val="single" w:color="auto" w:sz="4" w:space="0"/>
            </w:tcBorders>
            <w:noWrap w:val="0"/>
            <w:vAlign w:val="center"/>
          </w:tcPr>
          <w:p w14:paraId="4B24D28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须知正文规定的情形外，除非已经产生中标候选人，在磋商有效期内同意延长磋商有效期的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少于三个的，招标人应当依法重新招标。</w:t>
            </w:r>
          </w:p>
        </w:tc>
      </w:tr>
      <w:tr w14:paraId="60E7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952F9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bCs/>
                <w:sz w:val="24"/>
                <w:szCs w:val="24"/>
                <w:highlight w:val="none"/>
                <w:lang w:val="en-US"/>
              </w:rPr>
            </w:pPr>
            <w:r>
              <w:rPr>
                <w:rFonts w:hint="eastAsia" w:ascii="宋体" w:hAnsi="宋体" w:eastAsia="宋体" w:cs="宋体"/>
                <w:sz w:val="24"/>
                <w:szCs w:val="24"/>
                <w:highlight w:val="none"/>
                <w:lang w:val="en-US" w:eastAsia="zh-CN"/>
              </w:rPr>
              <w:t>42</w:t>
            </w:r>
          </w:p>
        </w:tc>
        <w:tc>
          <w:tcPr>
            <w:tcW w:w="2173" w:type="dxa"/>
            <w:tcBorders>
              <w:top w:val="single" w:color="auto" w:sz="4" w:space="0"/>
              <w:left w:val="nil"/>
              <w:bottom w:val="single" w:color="auto" w:sz="4" w:space="0"/>
              <w:right w:val="single" w:color="auto" w:sz="4" w:space="0"/>
            </w:tcBorders>
            <w:noWrap w:val="0"/>
            <w:vAlign w:val="center"/>
          </w:tcPr>
          <w:p w14:paraId="2D41F1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  督</w:t>
            </w:r>
          </w:p>
        </w:tc>
        <w:tc>
          <w:tcPr>
            <w:tcW w:w="5964" w:type="dxa"/>
            <w:tcBorders>
              <w:top w:val="single" w:color="auto" w:sz="4" w:space="0"/>
              <w:left w:val="nil"/>
              <w:bottom w:val="single" w:color="auto" w:sz="4" w:space="0"/>
              <w:right w:val="single" w:color="auto" w:sz="4" w:space="0"/>
            </w:tcBorders>
            <w:noWrap w:val="0"/>
            <w:vAlign w:val="center"/>
          </w:tcPr>
          <w:p w14:paraId="20D1B37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本项目的招标磋商活动及其相关当事人应当接受有管辖权的招标投标行政监督部门依法实施的监督。</w:t>
            </w:r>
          </w:p>
        </w:tc>
      </w:tr>
      <w:tr w14:paraId="1394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A93956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w:t>
            </w:r>
          </w:p>
        </w:tc>
        <w:tc>
          <w:tcPr>
            <w:tcW w:w="2173" w:type="dxa"/>
            <w:tcBorders>
              <w:top w:val="single" w:color="auto" w:sz="4" w:space="0"/>
              <w:left w:val="nil"/>
              <w:bottom w:val="single" w:color="auto" w:sz="4" w:space="0"/>
              <w:right w:val="single" w:color="auto" w:sz="4" w:space="0"/>
            </w:tcBorders>
            <w:noWrap w:val="0"/>
            <w:vAlign w:val="center"/>
          </w:tcPr>
          <w:p w14:paraId="5C64ED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highlight w:val="none"/>
              </w:rPr>
              <w:t>招标代理服务费</w:t>
            </w:r>
          </w:p>
        </w:tc>
        <w:tc>
          <w:tcPr>
            <w:tcW w:w="5964" w:type="dxa"/>
            <w:tcBorders>
              <w:top w:val="single" w:color="auto" w:sz="4" w:space="0"/>
              <w:left w:val="nil"/>
              <w:bottom w:val="single" w:color="auto" w:sz="4" w:space="0"/>
              <w:right w:val="single" w:color="auto" w:sz="4" w:space="0"/>
            </w:tcBorders>
            <w:noWrap w:val="0"/>
            <w:vAlign w:val="center"/>
          </w:tcPr>
          <w:p w14:paraId="02442AE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highlight w:val="none"/>
              </w:rPr>
              <w:t>按照豫招协【2023】002号文规定计取，由中标人向招标代理机构缴纳</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tc>
      </w:tr>
      <w:tr w14:paraId="7547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3B1AA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w:t>
            </w:r>
          </w:p>
        </w:tc>
        <w:tc>
          <w:tcPr>
            <w:tcW w:w="2173" w:type="dxa"/>
            <w:tcBorders>
              <w:top w:val="single" w:color="auto" w:sz="4" w:space="0"/>
              <w:left w:val="nil"/>
              <w:bottom w:val="single" w:color="auto" w:sz="4" w:space="0"/>
              <w:right w:val="single" w:color="auto" w:sz="4" w:space="0"/>
            </w:tcBorders>
            <w:noWrap w:val="0"/>
            <w:vAlign w:val="center"/>
          </w:tcPr>
          <w:p w14:paraId="6681F8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电子化交易注意事项</w:t>
            </w:r>
          </w:p>
        </w:tc>
        <w:tc>
          <w:tcPr>
            <w:tcW w:w="5964" w:type="dxa"/>
            <w:tcBorders>
              <w:top w:val="single" w:color="auto" w:sz="4" w:space="0"/>
              <w:left w:val="nil"/>
              <w:bottom w:val="single" w:color="auto" w:sz="4" w:space="0"/>
              <w:right w:val="single" w:color="auto" w:sz="4" w:space="0"/>
            </w:tcBorders>
            <w:noWrap w:val="0"/>
            <w:vAlign w:val="center"/>
          </w:tcPr>
          <w:p w14:paraId="4AB65F1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具体要求：本项目为电子化、无纸化交易项目，</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是</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通过中心磋商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制作系统制作，并经过签章和加密后生成的电子版磋商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w:t>
            </w:r>
          </w:p>
          <w:p w14:paraId="06852B4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一、电子化投标</w:t>
            </w:r>
          </w:p>
          <w:p w14:paraId="218D3F6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（一）网上磋商保证金的缴纳</w:t>
            </w:r>
          </w:p>
          <w:p w14:paraId="479A1F3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本项目不收取磋商保证金。</w:t>
            </w:r>
          </w:p>
          <w:p w14:paraId="6271A40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（二）电子化</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的签章</w:t>
            </w:r>
          </w:p>
          <w:p w14:paraId="23E01E2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在生成电子化磋商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后，应对电子化磋商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进行签章，未进行签章的视为无效投标。</w:t>
            </w:r>
          </w:p>
          <w:p w14:paraId="53F4F06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
                <w:color w:val="auto"/>
                <w:sz w:val="24"/>
                <w:highlight w:val="none"/>
              </w:rPr>
              <w:t>竞争性磋商文件中要求磋商响应</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盖章的，以签</w:t>
            </w:r>
            <w:r>
              <w:rPr>
                <w:rFonts w:hint="eastAsia" w:ascii="宋体" w:hAnsi="宋体" w:eastAsia="宋体" w:cs="宋体"/>
                <w:b/>
                <w:color w:val="auto"/>
                <w:sz w:val="24"/>
                <w:highlight w:val="none"/>
                <w:lang w:eastAsia="zh-CN"/>
              </w:rPr>
              <w:t>公章电子签章</w:t>
            </w:r>
            <w:r>
              <w:rPr>
                <w:rFonts w:hint="eastAsia" w:ascii="宋体" w:hAnsi="宋体" w:eastAsia="宋体" w:cs="宋体"/>
                <w:b/>
                <w:color w:val="auto"/>
                <w:sz w:val="24"/>
                <w:highlight w:val="none"/>
              </w:rPr>
              <w:t>为准；要求法定代表人或授权代理人签章的，以签盖法定代表人签章为准</w:t>
            </w:r>
            <w:r>
              <w:rPr>
                <w:rFonts w:hint="eastAsia" w:ascii="宋体" w:hAnsi="宋体" w:eastAsia="宋体" w:cs="宋体"/>
                <w:color w:val="auto"/>
                <w:sz w:val="24"/>
                <w:highlight w:val="none"/>
              </w:rPr>
              <w:t>。</w:t>
            </w:r>
          </w:p>
          <w:p w14:paraId="4B851FD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color w:val="auto"/>
                <w:sz w:val="24"/>
                <w:highlight w:val="none"/>
              </w:rPr>
            </w:pPr>
            <w:r>
              <w:rPr>
                <w:rFonts w:hint="eastAsia" w:ascii="宋体" w:hAnsi="宋体" w:eastAsia="宋体" w:cs="宋体"/>
                <w:color w:val="auto"/>
                <w:sz w:val="24"/>
                <w:highlight w:val="none"/>
              </w:rPr>
              <w:t>（三）电子化磋商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的格式及上传</w:t>
            </w:r>
          </w:p>
          <w:p w14:paraId="3CDAA36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所上传的电子化磋商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，应是通过中心</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制作系统制作的（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制作工具下载地址：</w:t>
            </w:r>
            <w:r>
              <w:rPr>
                <w:rFonts w:hint="eastAsia" w:ascii="宋体" w:hAnsi="宋体" w:eastAsia="宋体" w:cs="宋体"/>
                <w:color w:val="auto"/>
                <w:sz w:val="24"/>
                <w:szCs w:val="24"/>
                <w:highlight w:val="none"/>
              </w:rPr>
              <w:t>https://download.bqpoint.com/download/downloaddetail.html?SourceFrom=Ztb&amp;ZtbSoftXiaQuCode=1506&amp;ZtbSoftType=tballinclusive</w:t>
            </w:r>
            <w:r>
              <w:rPr>
                <w:rFonts w:hint="eastAsia" w:ascii="宋体" w:hAnsi="宋体" w:eastAsia="宋体" w:cs="宋体"/>
                <w:color w:val="auto"/>
                <w:sz w:val="24"/>
                <w:highlight w:val="none"/>
              </w:rPr>
              <w:t>），经过签章和加密后生成的电子版磋商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。其中包含用于磋商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上传的主文件（后缀为.smxtf）和用于应急补救的磋商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备份文件（后缀为.nsmxtf）。备份文件主要用于电子化开标出现技术问题后的补救。</w:t>
            </w:r>
          </w:p>
          <w:p w14:paraId="1530890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具体制作教材请</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点击以下链接学习http://gzjy.smx.gov.cn/SMX/InformationCenter/NewsDetail.do?CID=fdd6c8fc-bb0a-4c07-8715-d29609fc7a80&amp;ID=3061a14f-cf3f-4cdd-aad4-7e2873151413</w:t>
            </w:r>
          </w:p>
          <w:p w14:paraId="2B86651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投报多个标段的，需要每个标段单独制作电子磋商</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w:t>
            </w:r>
          </w:p>
          <w:p w14:paraId="3F096E7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应在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时间前成功上传至三门峡市公共资源电子化交易系统。至</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时间止，仍未上传成功的电子化磋商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将不予接收。</w:t>
            </w:r>
          </w:p>
          <w:p w14:paraId="6BD09F4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如按照电子化投标操作教材制作完成的电子化磋商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无法上传的，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应在</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时间前尽早的</w:t>
            </w:r>
            <w:r>
              <w:rPr>
                <w:rFonts w:hint="eastAsia" w:ascii="宋体" w:hAnsi="宋体" w:eastAsia="宋体" w:cs="宋体"/>
                <w:color w:val="auto"/>
                <w:sz w:val="24"/>
                <w:highlight w:val="none"/>
              </w:rPr>
              <w:t>联系中心技术人员，以便有充分的时间进行处理。</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应充分考虑到处理技术问题和上传数据等工作所需的时间问题，磋商</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未在</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时间前成功上传的，其磋商</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不予接收。</w:t>
            </w:r>
          </w:p>
          <w:p w14:paraId="0B36CF2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技术联系电话：0398-3117871</w:t>
            </w:r>
          </w:p>
          <w:p w14:paraId="3CC48DA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新点客服电话：4009980000</w:t>
            </w:r>
          </w:p>
          <w:p w14:paraId="3196252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（四）电子化项目开标、解密、唱标、</w:t>
            </w:r>
            <w:r>
              <w:rPr>
                <w:rFonts w:hint="eastAsia" w:ascii="宋体" w:hAnsi="宋体" w:eastAsia="宋体" w:cs="宋体"/>
                <w:color w:val="auto"/>
                <w:sz w:val="24"/>
                <w:highlight w:val="none"/>
                <w:lang w:eastAsia="zh-CN"/>
              </w:rPr>
              <w:t>评审</w:t>
            </w:r>
          </w:p>
          <w:p w14:paraId="639C2BA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1、本项目采用</w:t>
            </w:r>
            <w:r>
              <w:rPr>
                <w:rFonts w:hint="eastAsia" w:ascii="宋体" w:hAnsi="宋体" w:eastAsia="宋体" w:cs="宋体"/>
                <w:b/>
                <w:color w:val="auto"/>
                <w:sz w:val="24"/>
                <w:highlight w:val="none"/>
              </w:rPr>
              <w:t>电子化、无纸化</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当日，</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无需到现场参加</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会议，</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应当在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时间前，登陆不见面开标大厅选择登陆三门峡市公共资源电子招投标系统进行登陆（网址为</w:t>
            </w:r>
            <w:r>
              <w:rPr>
                <w:rFonts w:hint="eastAsia" w:ascii="宋体" w:hAnsi="宋体" w:eastAsia="宋体" w:cs="宋体"/>
                <w:color w:val="auto"/>
                <w:sz w:val="24"/>
                <w:szCs w:val="24"/>
                <w:highlight w:val="none"/>
              </w:rPr>
              <w:t>http://120.194.249.36:10094/BidOpening/bidopeninghallaction/hall/login</w:t>
            </w:r>
            <w:r>
              <w:rPr>
                <w:rFonts w:hint="eastAsia" w:ascii="宋体" w:hAnsi="宋体" w:eastAsia="宋体" w:cs="宋体"/>
                <w:color w:val="auto"/>
                <w:sz w:val="24"/>
                <w:highlight w:val="none"/>
              </w:rPr>
              <w:t>）,在线准时参加开标活动并进行磋商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解密等。</w:t>
            </w:r>
          </w:p>
          <w:p w14:paraId="2317144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采用一次加密方式。开标时，由</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使用CA 证书，在规定时间内对其电子化磋商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进行解密。每位</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的解密时间为开标时间起30 分钟内，如在规定时间内未完成解密的，其磋商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不予开标、唱标。</w:t>
            </w:r>
          </w:p>
          <w:p w14:paraId="1AA93DB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color w:val="auto"/>
                <w:sz w:val="24"/>
                <w:highlight w:val="none"/>
              </w:rPr>
            </w:pPr>
            <w:r>
              <w:rPr>
                <w:rFonts w:hint="eastAsia" w:ascii="宋体" w:hAnsi="宋体" w:eastAsia="宋体" w:cs="宋体"/>
                <w:color w:val="auto"/>
                <w:sz w:val="24"/>
                <w:highlight w:val="none"/>
              </w:rPr>
              <w:t>3、电子化磋商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解密异常的处理</w:t>
            </w:r>
          </w:p>
          <w:p w14:paraId="741BC5F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如出现</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的电子磋商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无法解密等异常情况，</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应及时致电中介服务机构说明。磋商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异常，按以下步骤进行处理：</w:t>
            </w:r>
          </w:p>
          <w:p w14:paraId="17C02C1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（1）首先由技术人员进行问题排查。</w:t>
            </w:r>
          </w:p>
          <w:p w14:paraId="1FAD77F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（2）经技术人员排查后，是</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文件自身问题导致磋商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无法解密的，该磋商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将不予接收、解密和唱标。开标会议继续进行。</w:t>
            </w:r>
          </w:p>
          <w:p w14:paraId="05CD829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（3）经技术人员排查后，如果是电子化交易系统问题造成磋商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无法解密的，将由技术人员对问题进行处理。如短时间内问题无法解决的，将由中介服务机构向监督部门申请，经监督部门同意后，暂停开标会议，待问题解决后继续开标。</w:t>
            </w:r>
          </w:p>
          <w:p w14:paraId="592AD94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4、待所有</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解密完成后，由中介服务机构操作，对所有已解密磋商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进行唱标。</w:t>
            </w:r>
          </w:p>
          <w:p w14:paraId="526558D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应保证在</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期间电话、电脑、网络能够正常工作，</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因停电、电脑病毒、网络堵塞等原因，未在规定的解密时间内对</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进行解密的，其</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不予接收、唱标。</w:t>
            </w:r>
          </w:p>
          <w:p w14:paraId="3AF38D0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可登录到交易系统中在开标解密栏中点击报价一览表查看自己的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报价。如对自己的唱标内容有异议的，应在</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解密成功后10分钟内向中介服务机构电话质疑。中介服务机构应在监督人员的监督下进行免提通话接受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的质疑并做好书面记录。</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未在规定时间内提出质疑的，视为认可唱标内容。</w:t>
            </w:r>
          </w:p>
          <w:p w14:paraId="275DC39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对电子化磋商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有质疑的，将通过电子化交易系统对</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发起质疑，并在监督人员的监督下，用免提模式致电需要答复的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对质疑进行回复。</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的回复文件必须以经过</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和其法定代表人签章的PDF格式文件为准，并通过电子化交易系统提交至</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w:t>
            </w:r>
          </w:p>
          <w:p w14:paraId="5073996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7、如</w:t>
            </w:r>
            <w:r>
              <w:rPr>
                <w:rFonts w:hint="eastAsia" w:ascii="宋体" w:hAnsi="宋体" w:eastAsia="宋体" w:cs="宋体"/>
                <w:color w:val="auto"/>
                <w:sz w:val="24"/>
                <w:highlight w:val="none"/>
                <w:lang w:eastAsia="zh-CN"/>
              </w:rPr>
              <w:t>磋商</w:t>
            </w:r>
            <w:r>
              <w:rPr>
                <w:rFonts w:hint="eastAsia" w:ascii="宋体" w:hAnsi="宋体" w:eastAsia="宋体" w:cs="宋体"/>
                <w:b w:val="0"/>
                <w:bCs w:val="0"/>
                <w:color w:val="auto"/>
                <w:sz w:val="24"/>
                <w:highlight w:val="none"/>
                <w:lang w:eastAsia="zh-CN"/>
              </w:rPr>
              <w:t>小组</w:t>
            </w:r>
            <w:r>
              <w:rPr>
                <w:rFonts w:hint="eastAsia" w:ascii="宋体" w:hAnsi="宋体" w:eastAsia="宋体" w:cs="宋体"/>
                <w:b w:val="0"/>
                <w:bCs w:val="0"/>
                <w:color w:val="auto"/>
                <w:sz w:val="24"/>
                <w:highlight w:val="none"/>
              </w:rPr>
              <w:t>对需要回复的</w:t>
            </w:r>
            <w:r>
              <w:rPr>
                <w:rFonts w:hint="eastAsia" w:ascii="宋体" w:hAnsi="宋体" w:eastAsia="宋体" w:cs="宋体"/>
                <w:b w:val="0"/>
                <w:bCs w:val="0"/>
                <w:color w:val="auto"/>
                <w:sz w:val="24"/>
                <w:highlight w:val="none"/>
                <w:lang w:eastAsia="zh-CN"/>
              </w:rPr>
              <w:t>投标人</w:t>
            </w:r>
            <w:r>
              <w:rPr>
                <w:rFonts w:hint="eastAsia" w:ascii="宋体" w:hAnsi="宋体" w:eastAsia="宋体" w:cs="宋体"/>
                <w:b w:val="0"/>
                <w:bCs w:val="0"/>
                <w:color w:val="auto"/>
                <w:sz w:val="24"/>
                <w:highlight w:val="none"/>
              </w:rPr>
              <w:t>连续三次致电未接通的，视为</w:t>
            </w:r>
            <w:r>
              <w:rPr>
                <w:rFonts w:hint="eastAsia" w:ascii="宋体" w:hAnsi="宋体" w:eastAsia="宋体" w:cs="宋体"/>
                <w:b w:val="0"/>
                <w:bCs w:val="0"/>
                <w:color w:val="auto"/>
                <w:sz w:val="24"/>
                <w:highlight w:val="none"/>
                <w:lang w:eastAsia="zh-CN"/>
              </w:rPr>
              <w:t>投标人</w:t>
            </w:r>
            <w:r>
              <w:rPr>
                <w:rFonts w:hint="eastAsia" w:ascii="宋体" w:hAnsi="宋体" w:eastAsia="宋体" w:cs="宋体"/>
                <w:b w:val="0"/>
                <w:bCs w:val="0"/>
                <w:color w:val="auto"/>
                <w:sz w:val="24"/>
                <w:highlight w:val="none"/>
              </w:rPr>
              <w:t>放弃回复，</w:t>
            </w:r>
            <w:r>
              <w:rPr>
                <w:rFonts w:hint="eastAsia" w:ascii="宋体" w:hAnsi="宋体" w:eastAsia="宋体" w:cs="宋体"/>
                <w:b w:val="0"/>
                <w:bCs w:val="0"/>
                <w:color w:val="auto"/>
                <w:sz w:val="24"/>
                <w:highlight w:val="none"/>
                <w:lang w:eastAsia="zh-CN"/>
              </w:rPr>
              <w:t>磋商小组</w:t>
            </w:r>
            <w:r>
              <w:rPr>
                <w:rFonts w:hint="eastAsia" w:ascii="宋体" w:hAnsi="宋体" w:eastAsia="宋体" w:cs="宋体"/>
                <w:b w:val="0"/>
                <w:bCs w:val="0"/>
                <w:color w:val="auto"/>
                <w:sz w:val="24"/>
                <w:highlight w:val="none"/>
              </w:rPr>
              <w:t>将自行对需要回复的内容进行认定。</w:t>
            </w:r>
          </w:p>
          <w:p w14:paraId="1D2485C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二、相关内容</w:t>
            </w:r>
          </w:p>
          <w:p w14:paraId="1066207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本项目实行资格后审，竞争性磋商文件中要求</w:t>
            </w:r>
            <w:r>
              <w:rPr>
                <w:rFonts w:hint="eastAsia" w:ascii="宋体" w:hAnsi="宋体" w:eastAsia="宋体" w:cs="宋体"/>
                <w:b w:val="0"/>
                <w:bCs w:val="0"/>
                <w:sz w:val="24"/>
                <w:highlight w:val="none"/>
                <w:lang w:eastAsia="zh-CN"/>
              </w:rPr>
              <w:t>投标人</w:t>
            </w:r>
            <w:r>
              <w:rPr>
                <w:rFonts w:hint="eastAsia" w:ascii="宋体" w:hAnsi="宋体" w:eastAsia="宋体" w:cs="宋体"/>
                <w:b w:val="0"/>
                <w:bCs w:val="0"/>
                <w:sz w:val="24"/>
                <w:highlight w:val="none"/>
              </w:rPr>
              <w:t>提交相关资料原件的，根据优化营商环境的要求，评标时以投标文件为准：</w:t>
            </w:r>
          </w:p>
          <w:p w14:paraId="5637A4C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1、资格评（预）审部分：资格评（预）以投标文件为准，其上传资料真实性由投标人自行承担，</w:t>
            </w:r>
          </w:p>
          <w:p w14:paraId="6826C19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rPr>
              <w:t>2、评标打分部分：评标打分部分仍按照100分制原则进行，涉及到资格审查、企业荣誉、人员业绩、企业业绩等计分部分时，以投标单位自行上传到投标文件中的相应内容为准。</w:t>
            </w:r>
          </w:p>
          <w:p w14:paraId="591D010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2A2A2DF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提示：本项目为电子化、无纸化交易项目，为保证您能投标成功，请需仔细阅读以上条款。</w:t>
            </w:r>
          </w:p>
          <w:p w14:paraId="76FE1AC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 w:val="0"/>
                <w:bCs w:val="0"/>
                <w:sz w:val="24"/>
                <w:highlight w:val="none"/>
              </w:rPr>
              <w:t>注：以投标文件业绩信息为准，可使用电子营业执照。</w:t>
            </w:r>
          </w:p>
        </w:tc>
      </w:tr>
    </w:tbl>
    <w:p w14:paraId="76B921B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2C06A03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kern w:val="0"/>
          <w:sz w:val="24"/>
          <w:szCs w:val="24"/>
          <w:highlight w:val="none"/>
        </w:rPr>
      </w:pPr>
      <w:bookmarkStart w:id="8" w:name="_Toc530663964"/>
      <w:bookmarkEnd w:id="8"/>
      <w:bookmarkStart w:id="9" w:name="_Toc531936156"/>
      <w:bookmarkEnd w:id="9"/>
      <w:bookmarkStart w:id="10" w:name="_Toc530665467"/>
      <w:bookmarkEnd w:id="10"/>
      <w:bookmarkStart w:id="11" w:name="_Toc530664120"/>
      <w:r>
        <w:rPr>
          <w:rFonts w:hint="eastAsia" w:ascii="宋体" w:hAnsi="宋体" w:eastAsia="宋体" w:cs="宋体"/>
          <w:b/>
          <w:bCs/>
          <w:kern w:val="0"/>
          <w:sz w:val="24"/>
          <w:szCs w:val="24"/>
          <w:highlight w:val="none"/>
        </w:rPr>
        <w:t>1.总则</w:t>
      </w:r>
    </w:p>
    <w:p w14:paraId="31ED67C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1.1项目概况</w:t>
      </w:r>
    </w:p>
    <w:p w14:paraId="5132FB1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 根据《中华人民共和国政府采购法》《政府采购竞争性磋商采购方式管理暂行办法》 等有关法律、法规和规章的规定，本项目已具备磋商条件，现对本项目进行竞争性磋商。</w:t>
      </w:r>
    </w:p>
    <w:p w14:paraId="1BCD438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kern w:val="28"/>
          <w:sz w:val="24"/>
          <w:szCs w:val="24"/>
          <w:highlight w:val="none"/>
        </w:rPr>
      </w:pPr>
      <w:bookmarkStart w:id="12" w:name="_Toc179632546"/>
      <w:bookmarkStart w:id="13" w:name="_Toc144974497"/>
      <w:bookmarkStart w:id="14" w:name="_Toc246996175"/>
      <w:bookmarkStart w:id="15" w:name="_Toc296602420"/>
      <w:bookmarkStart w:id="16" w:name="_Toc152045529"/>
      <w:bookmarkStart w:id="17" w:name="_Toc152042305"/>
      <w:bookmarkStart w:id="18" w:name="_Toc246996918"/>
      <w:bookmarkStart w:id="19" w:name="_Toc247085689"/>
      <w:r>
        <w:rPr>
          <w:rFonts w:hint="eastAsia" w:ascii="宋体" w:hAnsi="宋体" w:eastAsia="宋体" w:cs="宋体"/>
          <w:b/>
          <w:bCs/>
          <w:kern w:val="28"/>
          <w:sz w:val="24"/>
          <w:szCs w:val="24"/>
          <w:highlight w:val="none"/>
        </w:rPr>
        <w:t>1. 总则</w:t>
      </w:r>
      <w:bookmarkEnd w:id="12"/>
      <w:bookmarkEnd w:id="13"/>
      <w:bookmarkEnd w:id="14"/>
      <w:bookmarkEnd w:id="15"/>
      <w:bookmarkEnd w:id="16"/>
      <w:bookmarkEnd w:id="17"/>
      <w:bookmarkEnd w:id="18"/>
      <w:bookmarkEnd w:id="19"/>
    </w:p>
    <w:p w14:paraId="6DB3C587">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0" w:name="_Toc144974498"/>
      <w:bookmarkStart w:id="21" w:name="_Toc152042306"/>
      <w:bookmarkStart w:id="22" w:name="_Toc246996919"/>
      <w:bookmarkStart w:id="23" w:name="_Toc152045530"/>
      <w:bookmarkStart w:id="24" w:name="_Toc296602421"/>
      <w:bookmarkStart w:id="25" w:name="_Toc77586820"/>
      <w:bookmarkStart w:id="26" w:name="_Toc179632547"/>
      <w:bookmarkStart w:id="27" w:name="_Toc247085690"/>
      <w:bookmarkStart w:id="28" w:name="_Toc246996176"/>
      <w:bookmarkStart w:id="29" w:name="_Toc77586913"/>
      <w:r>
        <w:rPr>
          <w:rFonts w:hint="eastAsia" w:ascii="宋体" w:hAnsi="宋体" w:eastAsia="宋体" w:cs="宋体"/>
          <w:sz w:val="24"/>
          <w:szCs w:val="24"/>
          <w:highlight w:val="none"/>
        </w:rPr>
        <w:t>1.1 项目概况</w:t>
      </w:r>
      <w:bookmarkEnd w:id="20"/>
      <w:bookmarkEnd w:id="21"/>
      <w:bookmarkEnd w:id="22"/>
      <w:bookmarkEnd w:id="23"/>
      <w:bookmarkEnd w:id="24"/>
      <w:bookmarkEnd w:id="25"/>
      <w:bookmarkEnd w:id="26"/>
      <w:bookmarkEnd w:id="27"/>
      <w:bookmarkEnd w:id="28"/>
      <w:bookmarkEnd w:id="29"/>
    </w:p>
    <w:p w14:paraId="28535B0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1.1.1根据《政府采购竞争性磋商采购方式管理暂行办法》等有关法律、法规和规章的规定，本磋商项目已具备磋商条件，现对本项目施工进行竞争性磋商。</w:t>
      </w:r>
    </w:p>
    <w:p w14:paraId="6575667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本磋商项目</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6ADC5EC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本磋商项目招标代理机构：见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2885ADC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 本磋商项目名称：见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7BBE78A0">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bookmarkStart w:id="30" w:name="_Toc246996177"/>
      <w:bookmarkStart w:id="31" w:name="_Toc77586821"/>
      <w:bookmarkStart w:id="32" w:name="_Toc247085691"/>
      <w:bookmarkStart w:id="33" w:name="_Toc77586914"/>
      <w:bookmarkStart w:id="34" w:name="_Toc144974499"/>
      <w:bookmarkStart w:id="35" w:name="_Toc246996920"/>
      <w:bookmarkStart w:id="36" w:name="_Toc152042307"/>
      <w:bookmarkStart w:id="37" w:name="_Toc152045531"/>
      <w:bookmarkStart w:id="38" w:name="_Toc296602422"/>
      <w:bookmarkStart w:id="39" w:name="_Toc179632548"/>
      <w:r>
        <w:rPr>
          <w:rFonts w:hint="eastAsia" w:ascii="宋体" w:hAnsi="宋体" w:eastAsia="宋体" w:cs="宋体"/>
          <w:sz w:val="24"/>
          <w:szCs w:val="24"/>
          <w:highlight w:val="none"/>
        </w:rPr>
        <w:t>1.2 资金来源和落实情况</w:t>
      </w:r>
      <w:bookmarkEnd w:id="30"/>
      <w:bookmarkEnd w:id="31"/>
      <w:bookmarkEnd w:id="32"/>
      <w:bookmarkEnd w:id="33"/>
      <w:bookmarkEnd w:id="34"/>
      <w:bookmarkEnd w:id="35"/>
      <w:bookmarkEnd w:id="36"/>
      <w:bookmarkEnd w:id="37"/>
      <w:bookmarkEnd w:id="38"/>
      <w:bookmarkEnd w:id="39"/>
      <w:r>
        <w:rPr>
          <w:rFonts w:hint="eastAsia" w:ascii="宋体" w:hAnsi="宋体" w:eastAsia="宋体" w:cs="宋体"/>
          <w:sz w:val="24"/>
          <w:szCs w:val="24"/>
          <w:highlight w:val="none"/>
          <w:lang w:val="en-US" w:eastAsia="zh-CN"/>
        </w:rPr>
        <w:t xml:space="preserve"> +  </w:t>
      </w:r>
    </w:p>
    <w:p w14:paraId="474FEDB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 本磋商项目的资金来源及出资比例：见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36C7300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 本磋商项目的资金落实情况：见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551EEC68">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40" w:name="_Toc77586915"/>
      <w:bookmarkStart w:id="41" w:name="_Toc77586822"/>
      <w:bookmarkStart w:id="42" w:name="_Toc152042308"/>
      <w:bookmarkStart w:id="43" w:name="_Toc246996178"/>
      <w:bookmarkStart w:id="44" w:name="_Toc179632549"/>
      <w:bookmarkStart w:id="45" w:name="_Toc144974500"/>
      <w:bookmarkStart w:id="46" w:name="_Toc247085692"/>
      <w:bookmarkStart w:id="47" w:name="_Toc152045532"/>
      <w:bookmarkStart w:id="48" w:name="_Toc296602423"/>
      <w:bookmarkStart w:id="49" w:name="_Toc246996921"/>
      <w:r>
        <w:rPr>
          <w:rFonts w:hint="eastAsia" w:ascii="宋体" w:hAnsi="宋体" w:eastAsia="宋体" w:cs="宋体"/>
          <w:sz w:val="24"/>
          <w:szCs w:val="24"/>
          <w:highlight w:val="none"/>
        </w:rPr>
        <w:t>1.3 磋商范围、工期、质量要求</w:t>
      </w:r>
      <w:bookmarkEnd w:id="40"/>
      <w:bookmarkEnd w:id="41"/>
      <w:bookmarkEnd w:id="42"/>
      <w:bookmarkEnd w:id="43"/>
      <w:bookmarkEnd w:id="44"/>
      <w:bookmarkEnd w:id="45"/>
      <w:bookmarkEnd w:id="46"/>
      <w:bookmarkEnd w:id="47"/>
      <w:bookmarkEnd w:id="48"/>
      <w:bookmarkEnd w:id="49"/>
    </w:p>
    <w:p w14:paraId="307CCC3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 本次磋商范围：见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37B1B64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 本磋商项目的工期：见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41EF457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 本磋商项目的质量要求：见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1BEC41BD">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50" w:name="_Toc179632551"/>
      <w:bookmarkStart w:id="51" w:name="_Toc152045534"/>
      <w:bookmarkStart w:id="52" w:name="_Toc246996922"/>
      <w:bookmarkStart w:id="53" w:name="_Toc247085693"/>
      <w:bookmarkStart w:id="54" w:name="_Toc144974502"/>
      <w:bookmarkStart w:id="55" w:name="_Toc77586823"/>
      <w:bookmarkStart w:id="56" w:name="_Toc77586916"/>
      <w:bookmarkStart w:id="57" w:name="_Toc246996179"/>
      <w:bookmarkStart w:id="58" w:name="_Toc152042310"/>
      <w:bookmarkStart w:id="59" w:name="_Toc296602424"/>
      <w:r>
        <w:rPr>
          <w:rFonts w:hint="eastAsia" w:ascii="宋体" w:hAnsi="宋体" w:eastAsia="宋体" w:cs="宋体"/>
          <w:sz w:val="24"/>
          <w:szCs w:val="24"/>
          <w:highlight w:val="none"/>
        </w:rPr>
        <w:t xml:space="preserve">1.4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资格要求</w:t>
      </w:r>
      <w:bookmarkEnd w:id="50"/>
      <w:bookmarkEnd w:id="51"/>
      <w:bookmarkEnd w:id="52"/>
      <w:bookmarkEnd w:id="53"/>
      <w:bookmarkEnd w:id="54"/>
      <w:bookmarkEnd w:id="55"/>
      <w:bookmarkEnd w:id="56"/>
      <w:bookmarkEnd w:id="57"/>
      <w:bookmarkEnd w:id="58"/>
      <w:bookmarkEnd w:id="59"/>
    </w:p>
    <w:p w14:paraId="01D4E05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见公告</w:t>
      </w:r>
    </w:p>
    <w:p w14:paraId="122C5DDE">
      <w:pPr>
        <w:pStyle w:val="53"/>
        <w:pageBreakBefore w:val="0"/>
        <w:widowControl w:val="0"/>
        <w:kinsoku/>
        <w:wordWrap/>
        <w:overflowPunct/>
        <w:topLinePunct w:val="0"/>
        <w:autoSpaceDE/>
        <w:autoSpaceDN/>
        <w:bidi w:val="0"/>
        <w:adjustRightInd w:val="0"/>
        <w:snapToGrid w:val="0"/>
        <w:spacing w:before="0" w:beforeAutospacing="0" w:afterAutospacing="0" w:line="360" w:lineRule="auto"/>
        <w:ind w:left="0" w:leftChars="0" w:right="0" w:rightChars="0" w:firstLine="482" w:firstLineChars="200"/>
        <w:textAlignment w:val="auto"/>
        <w:rPr>
          <w:rFonts w:hint="eastAsia" w:ascii="宋体" w:hAnsi="宋体" w:eastAsia="宋体" w:cs="宋体"/>
          <w:highlight w:val="none"/>
        </w:rPr>
      </w:pPr>
      <w:r>
        <w:rPr>
          <w:rFonts w:hint="eastAsia" w:ascii="宋体" w:hAnsi="宋体" w:eastAsia="宋体" w:cs="宋体"/>
          <w:highlight w:val="none"/>
        </w:rPr>
        <w:t xml:space="preserve">1.4.2 </w:t>
      </w:r>
      <w:r>
        <w:rPr>
          <w:rFonts w:hint="eastAsia" w:ascii="宋体" w:hAnsi="宋体" w:eastAsia="宋体" w:cs="宋体"/>
          <w:highlight w:val="none"/>
          <w:lang w:eastAsia="zh-CN"/>
        </w:rPr>
        <w:t>投标人</w:t>
      </w:r>
      <w:r>
        <w:rPr>
          <w:rFonts w:hint="eastAsia" w:ascii="宋体" w:hAnsi="宋体" w:eastAsia="宋体" w:cs="宋体"/>
          <w:highlight w:val="none"/>
        </w:rPr>
        <w:t>须知规定本磋商项目不接受联合体投标。</w:t>
      </w:r>
    </w:p>
    <w:p w14:paraId="11512DA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1.4.3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不得存在下列情形之一：</w:t>
      </w:r>
    </w:p>
    <w:p w14:paraId="16AD94D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不具有独立法人资格的附属机构（单位）；</w:t>
      </w:r>
    </w:p>
    <w:p w14:paraId="2370C06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（2）为本磋商项目前期准备提供设计或咨询服务的； </w:t>
      </w:r>
    </w:p>
    <w:p w14:paraId="09E8AC6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（3）为本磋商项目的监理人；</w:t>
      </w:r>
    </w:p>
    <w:p w14:paraId="437935B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（4）为本磋商项目的代建人； </w:t>
      </w:r>
    </w:p>
    <w:p w14:paraId="0E0C070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（5）为本磋商项目提供招标代理服务的； </w:t>
      </w:r>
    </w:p>
    <w:p w14:paraId="4BDFDC1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（6）与本磋商项目的监理人或代建人或招标代理机构同为一个法定代表人的；</w:t>
      </w:r>
    </w:p>
    <w:p w14:paraId="40F76A7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（7）与本磋商项目的监理人或代建人或招标代理机构相互控股或参股的；</w:t>
      </w:r>
    </w:p>
    <w:p w14:paraId="068B05E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（8）与本磋商项目的监理人或代建人或招标代理机构相互任职或工作的；</w:t>
      </w:r>
    </w:p>
    <w:p w14:paraId="595CA17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（9）被责令停业的； </w:t>
      </w:r>
    </w:p>
    <w:p w14:paraId="724A8D8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（10）被暂停或取消投标资格的； </w:t>
      </w:r>
    </w:p>
    <w:p w14:paraId="1877220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（11）财产被接管或冻结的；</w:t>
      </w:r>
    </w:p>
    <w:p w14:paraId="17E5541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（12）在最近三年内有骗取成交或严重违约或重大工程质量问题的。</w:t>
      </w:r>
    </w:p>
    <w:p w14:paraId="22C61C9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（13）单位负责人为同一人或者存在直接控股、管理关系的不同</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，不得参加同一合同项下的政府采购活动。</w:t>
      </w:r>
    </w:p>
    <w:p w14:paraId="7E4DDB6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为采购项目提供整体设计、规范编制或者项目管理、监理、检测等服务的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，不得再参加该采购项目的其他采购活动。</w:t>
      </w:r>
    </w:p>
    <w:p w14:paraId="5049154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（14）与招标人存在利害关系可能影响招标公正性的法人、其他组织或者个人，不得参加投标。</w:t>
      </w:r>
    </w:p>
    <w:p w14:paraId="7B33624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单位负责人为同一人或者存在控股、管理关系的不同单位，不得参加同一标段投标或者未划分标段的同一招标项目投标。</w:t>
      </w:r>
    </w:p>
    <w:p w14:paraId="055F030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违反前两款规定的，相关投标均无效。</w:t>
      </w:r>
    </w:p>
    <w:p w14:paraId="483680AA">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60" w:name="_Toc77586824"/>
      <w:bookmarkStart w:id="61" w:name="_Toc77586917"/>
      <w:bookmarkStart w:id="62" w:name="_Toc152045535"/>
      <w:bookmarkStart w:id="63" w:name="_Toc144974503"/>
      <w:bookmarkStart w:id="64" w:name="_Toc152042311"/>
      <w:bookmarkStart w:id="65" w:name="_Toc179632552"/>
      <w:r>
        <w:rPr>
          <w:rFonts w:hint="eastAsia" w:ascii="宋体" w:hAnsi="宋体" w:eastAsia="宋体" w:cs="宋体"/>
          <w:sz w:val="24"/>
          <w:szCs w:val="24"/>
          <w:highlight w:val="none"/>
        </w:rPr>
        <w:t>1.5 费用承担</w:t>
      </w:r>
      <w:bookmarkEnd w:id="60"/>
      <w:bookmarkEnd w:id="61"/>
      <w:bookmarkEnd w:id="62"/>
      <w:bookmarkEnd w:id="63"/>
      <w:bookmarkEnd w:id="64"/>
      <w:bookmarkEnd w:id="65"/>
    </w:p>
    <w:p w14:paraId="7EE0D2D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准备和参加投标活动发生的费用自理。</w:t>
      </w:r>
    </w:p>
    <w:p w14:paraId="0E1694ED">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66" w:name="_Toc246996181"/>
      <w:bookmarkStart w:id="67" w:name="_Toc152042312"/>
      <w:bookmarkStart w:id="68" w:name="_Toc144974504"/>
      <w:bookmarkStart w:id="69" w:name="_Toc247085695"/>
      <w:bookmarkStart w:id="70" w:name="_Toc77586825"/>
      <w:bookmarkStart w:id="71" w:name="_Toc246996924"/>
      <w:bookmarkStart w:id="72" w:name="_Toc77586918"/>
      <w:bookmarkStart w:id="73" w:name="_Toc179632553"/>
      <w:bookmarkStart w:id="74" w:name="_Toc152045536"/>
      <w:bookmarkStart w:id="75" w:name="_Toc296602426"/>
      <w:r>
        <w:rPr>
          <w:rFonts w:hint="eastAsia" w:ascii="宋体" w:hAnsi="宋体" w:eastAsia="宋体" w:cs="宋体"/>
          <w:sz w:val="24"/>
          <w:szCs w:val="24"/>
          <w:highlight w:val="none"/>
        </w:rPr>
        <w:t>1.6 保密</w:t>
      </w:r>
      <w:bookmarkEnd w:id="66"/>
      <w:bookmarkEnd w:id="67"/>
      <w:bookmarkEnd w:id="68"/>
      <w:bookmarkEnd w:id="69"/>
      <w:bookmarkEnd w:id="70"/>
      <w:bookmarkEnd w:id="71"/>
      <w:bookmarkEnd w:id="72"/>
      <w:bookmarkEnd w:id="73"/>
      <w:bookmarkEnd w:id="74"/>
      <w:bookmarkEnd w:id="75"/>
    </w:p>
    <w:p w14:paraId="1C8D8DE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参与招标投标活动的各方应对竞争性磋商文件和磋商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 xml:space="preserve">中的商业和技术等秘密保密，违者应对由此造成的后果承担法律责任。 </w:t>
      </w:r>
    </w:p>
    <w:p w14:paraId="0AD3402D">
      <w:pPr>
        <w:pStyle w:val="54"/>
        <w:pageBreakBefore w:val="0"/>
        <w:widowControl w:val="0"/>
        <w:kinsoku/>
        <w:wordWrap/>
        <w:overflowPunct/>
        <w:topLinePunct w:val="0"/>
        <w:autoSpaceDE/>
        <w:autoSpaceDN/>
        <w:bidi w:val="0"/>
        <w:adjustRightInd w:val="0"/>
        <w:snapToGrid w:val="0"/>
        <w:spacing w:before="0" w:beforeAutospacing="0" w:afterAutospacing="0" w:line="360" w:lineRule="auto"/>
        <w:ind w:left="0" w:leftChars="0" w:right="0" w:rightChars="0" w:firstLine="482" w:firstLineChars="200"/>
        <w:textAlignment w:val="auto"/>
        <w:rPr>
          <w:rFonts w:hint="eastAsia" w:ascii="宋体" w:hAnsi="宋体" w:eastAsia="宋体" w:cs="宋体"/>
          <w:b/>
          <w:color w:val="auto"/>
          <w:sz w:val="24"/>
          <w:szCs w:val="24"/>
          <w:highlight w:val="none"/>
        </w:rPr>
      </w:pPr>
      <w:bookmarkStart w:id="76" w:name="_Toc144974505"/>
      <w:bookmarkStart w:id="77" w:name="_Toc152045537"/>
      <w:bookmarkStart w:id="78" w:name="_Toc246996182"/>
      <w:bookmarkStart w:id="79" w:name="_Toc246996925"/>
      <w:bookmarkStart w:id="80" w:name="_Toc247085696"/>
      <w:bookmarkStart w:id="81" w:name="_Toc179632554"/>
      <w:bookmarkStart w:id="82" w:name="_Toc296602427"/>
      <w:bookmarkStart w:id="83" w:name="_Toc77586826"/>
      <w:bookmarkStart w:id="84" w:name="_Toc152042313"/>
      <w:bookmarkStart w:id="85" w:name="_Toc77586919"/>
      <w:r>
        <w:rPr>
          <w:rFonts w:hint="eastAsia" w:ascii="宋体" w:hAnsi="宋体" w:eastAsia="宋体" w:cs="宋体"/>
          <w:b/>
          <w:color w:val="auto"/>
          <w:sz w:val="24"/>
          <w:szCs w:val="24"/>
          <w:highlight w:val="none"/>
        </w:rPr>
        <w:t>1.7 语言</w:t>
      </w:r>
      <w:bookmarkEnd w:id="76"/>
      <w:r>
        <w:rPr>
          <w:rFonts w:hint="eastAsia" w:ascii="宋体" w:hAnsi="宋体" w:eastAsia="宋体" w:cs="宋体"/>
          <w:b/>
          <w:color w:val="auto"/>
          <w:sz w:val="24"/>
          <w:szCs w:val="24"/>
          <w:highlight w:val="none"/>
        </w:rPr>
        <w:t>文字</w:t>
      </w:r>
      <w:bookmarkEnd w:id="77"/>
      <w:bookmarkEnd w:id="78"/>
      <w:bookmarkEnd w:id="79"/>
      <w:bookmarkEnd w:id="80"/>
      <w:bookmarkEnd w:id="81"/>
      <w:bookmarkEnd w:id="82"/>
      <w:bookmarkEnd w:id="83"/>
      <w:bookmarkEnd w:id="84"/>
      <w:bookmarkEnd w:id="85"/>
    </w:p>
    <w:p w14:paraId="6C849F8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bookmarkStart w:id="86" w:name="_Toc246996183"/>
      <w:bookmarkStart w:id="87" w:name="_Toc152045538"/>
      <w:bookmarkStart w:id="88" w:name="_Toc179632555"/>
      <w:bookmarkStart w:id="89" w:name="_Toc152042314"/>
      <w:bookmarkStart w:id="90" w:name="_Toc144974506"/>
      <w:bookmarkStart w:id="91" w:name="_Toc246996926"/>
      <w:bookmarkStart w:id="92" w:name="_Toc247085697"/>
      <w:r>
        <w:rPr>
          <w:rFonts w:hint="eastAsia" w:ascii="宋体" w:hAnsi="宋体" w:eastAsia="宋体" w:cs="宋体"/>
          <w:sz w:val="24"/>
          <w:szCs w:val="24"/>
          <w:highlight w:val="none"/>
        </w:rPr>
        <w:t>招标磋商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使用的语言文字为中文。专用术语使用外文的，应附有中文注释。</w:t>
      </w:r>
    </w:p>
    <w:p w14:paraId="2F065E5B">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93" w:name="_Toc296602428"/>
      <w:bookmarkStart w:id="94" w:name="_Toc77586920"/>
      <w:bookmarkStart w:id="95" w:name="_Toc77586827"/>
      <w:r>
        <w:rPr>
          <w:rFonts w:hint="eastAsia" w:ascii="宋体" w:hAnsi="宋体" w:eastAsia="宋体" w:cs="宋体"/>
          <w:sz w:val="24"/>
          <w:szCs w:val="24"/>
          <w:highlight w:val="none"/>
        </w:rPr>
        <w:t>1.8 计量单位</w:t>
      </w:r>
      <w:bookmarkEnd w:id="86"/>
      <w:bookmarkEnd w:id="87"/>
      <w:bookmarkEnd w:id="88"/>
      <w:bookmarkEnd w:id="89"/>
      <w:bookmarkEnd w:id="90"/>
      <w:bookmarkEnd w:id="91"/>
      <w:bookmarkEnd w:id="92"/>
      <w:bookmarkEnd w:id="93"/>
      <w:bookmarkEnd w:id="94"/>
      <w:bookmarkEnd w:id="95"/>
    </w:p>
    <w:p w14:paraId="720CB67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所有计量均采用中华人民共和国法定计量单位。</w:t>
      </w:r>
    </w:p>
    <w:p w14:paraId="353551F5">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96" w:name="_Toc152045539"/>
      <w:bookmarkStart w:id="97" w:name="_Toc77586828"/>
      <w:bookmarkStart w:id="98" w:name="_Toc296602429"/>
      <w:bookmarkStart w:id="99" w:name="_Toc152042315"/>
      <w:bookmarkStart w:id="100" w:name="_Toc247513962"/>
      <w:bookmarkStart w:id="101" w:name="_Toc77586921"/>
      <w:bookmarkStart w:id="102" w:name="_Toc144974507"/>
      <w:bookmarkStart w:id="103" w:name="_Toc247527563"/>
      <w:bookmarkStart w:id="104" w:name="_Toc247592876"/>
      <w:r>
        <w:rPr>
          <w:rFonts w:hint="eastAsia" w:ascii="宋体" w:hAnsi="宋体" w:eastAsia="宋体" w:cs="宋体"/>
          <w:sz w:val="24"/>
          <w:szCs w:val="24"/>
          <w:highlight w:val="none"/>
        </w:rPr>
        <w:t>1.9 踏勘现场</w:t>
      </w:r>
      <w:bookmarkEnd w:id="96"/>
      <w:bookmarkEnd w:id="97"/>
      <w:bookmarkEnd w:id="98"/>
      <w:bookmarkEnd w:id="99"/>
      <w:bookmarkEnd w:id="100"/>
      <w:bookmarkEnd w:id="101"/>
      <w:bookmarkEnd w:id="102"/>
      <w:bookmarkEnd w:id="103"/>
      <w:bookmarkEnd w:id="104"/>
    </w:p>
    <w:p w14:paraId="1331947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1.9.1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不组织现场踏勘，由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自行踏勘。 </w:t>
      </w:r>
    </w:p>
    <w:p w14:paraId="0350598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1.9.2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踏勘现场发生的费用自理。</w:t>
      </w:r>
    </w:p>
    <w:p w14:paraId="3BE61D5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1.9.3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自行负责在踏勘现场中所发生的人员伤亡和财产损失。</w:t>
      </w:r>
    </w:p>
    <w:p w14:paraId="0F079FD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1.9.4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在踏勘现场中看到的工程场地和相关的周边环境情况，供</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在编制磋商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时参考，</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据此作出的判断和决策负责。</w:t>
      </w:r>
    </w:p>
    <w:p w14:paraId="734D781C">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05" w:name="_Toc247592877"/>
      <w:bookmarkStart w:id="106" w:name="_Toc77586829"/>
      <w:bookmarkStart w:id="107" w:name="_Toc247527564"/>
      <w:bookmarkStart w:id="108" w:name="_Toc152045540"/>
      <w:bookmarkStart w:id="109" w:name="_Toc77586922"/>
      <w:bookmarkStart w:id="110" w:name="_Toc296602430"/>
      <w:bookmarkStart w:id="111" w:name="_Toc247513963"/>
      <w:bookmarkStart w:id="112" w:name="_Toc144974508"/>
      <w:bookmarkStart w:id="113" w:name="_Toc152042316"/>
      <w:r>
        <w:rPr>
          <w:rFonts w:hint="eastAsia" w:ascii="宋体" w:hAnsi="宋体" w:eastAsia="宋体" w:cs="宋体"/>
          <w:sz w:val="24"/>
          <w:szCs w:val="24"/>
          <w:highlight w:val="none"/>
        </w:rPr>
        <w:t>1.10 投标预备会</w:t>
      </w:r>
      <w:bookmarkEnd w:id="105"/>
      <w:bookmarkEnd w:id="106"/>
      <w:bookmarkEnd w:id="107"/>
      <w:bookmarkEnd w:id="108"/>
      <w:bookmarkEnd w:id="109"/>
      <w:bookmarkEnd w:id="110"/>
      <w:bookmarkEnd w:id="111"/>
      <w:bookmarkEnd w:id="112"/>
      <w:bookmarkEnd w:id="113"/>
      <w:bookmarkStart w:id="114" w:name="_Toc296602431"/>
    </w:p>
    <w:p w14:paraId="44CAC42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p w14:paraId="1553ECD0">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15" w:name="_Toc77586830"/>
      <w:bookmarkStart w:id="116" w:name="_Toc77586923"/>
      <w:r>
        <w:rPr>
          <w:rFonts w:hint="eastAsia" w:ascii="宋体" w:hAnsi="宋体" w:eastAsia="宋体" w:cs="宋体"/>
          <w:sz w:val="24"/>
          <w:szCs w:val="24"/>
          <w:highlight w:val="none"/>
        </w:rPr>
        <w:t xml:space="preserve">1.11 </w:t>
      </w:r>
      <w:bookmarkEnd w:id="114"/>
      <w:r>
        <w:rPr>
          <w:rFonts w:hint="eastAsia" w:ascii="宋体" w:hAnsi="宋体" w:eastAsia="宋体" w:cs="宋体"/>
          <w:sz w:val="24"/>
          <w:szCs w:val="24"/>
          <w:highlight w:val="none"/>
        </w:rPr>
        <w:t>分包</w:t>
      </w:r>
      <w:bookmarkEnd w:id="115"/>
      <w:bookmarkEnd w:id="116"/>
    </w:p>
    <w:p w14:paraId="7C20670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p w14:paraId="03D536EA">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17" w:name="_Toc296602432"/>
      <w:bookmarkStart w:id="118" w:name="_Toc77586831"/>
      <w:bookmarkStart w:id="119" w:name="_Toc144974510"/>
      <w:bookmarkStart w:id="120" w:name="_Toc247085701"/>
      <w:bookmarkStart w:id="121" w:name="_Toc77586924"/>
      <w:bookmarkStart w:id="122" w:name="_Toc246996187"/>
      <w:bookmarkStart w:id="123" w:name="_Toc179632560"/>
      <w:bookmarkStart w:id="124" w:name="_Toc152045542"/>
      <w:bookmarkStart w:id="125" w:name="_Toc246996930"/>
      <w:bookmarkStart w:id="126" w:name="_Toc152042318"/>
      <w:r>
        <w:rPr>
          <w:rFonts w:hint="eastAsia" w:ascii="宋体" w:hAnsi="宋体" w:eastAsia="宋体" w:cs="宋体"/>
          <w:sz w:val="24"/>
          <w:szCs w:val="24"/>
          <w:highlight w:val="none"/>
        </w:rPr>
        <w:t>2. 竞争性磋商文件</w:t>
      </w:r>
      <w:bookmarkEnd w:id="117"/>
      <w:bookmarkEnd w:id="118"/>
      <w:bookmarkEnd w:id="119"/>
      <w:bookmarkEnd w:id="120"/>
      <w:bookmarkEnd w:id="121"/>
      <w:bookmarkEnd w:id="122"/>
      <w:bookmarkEnd w:id="123"/>
      <w:bookmarkEnd w:id="124"/>
      <w:bookmarkEnd w:id="125"/>
      <w:bookmarkEnd w:id="126"/>
    </w:p>
    <w:p w14:paraId="206BFF71">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27" w:name="_Toc144974511"/>
      <w:bookmarkStart w:id="128" w:name="_Toc179632561"/>
      <w:bookmarkStart w:id="129" w:name="_Toc296602433"/>
      <w:bookmarkStart w:id="130" w:name="_Toc152045543"/>
      <w:bookmarkStart w:id="131" w:name="_Toc247085702"/>
      <w:bookmarkStart w:id="132" w:name="_Toc77586832"/>
      <w:bookmarkStart w:id="133" w:name="_Toc152042319"/>
      <w:bookmarkStart w:id="134" w:name="_Toc77586925"/>
      <w:bookmarkStart w:id="135" w:name="_Toc246996188"/>
      <w:bookmarkStart w:id="136" w:name="_Toc246996931"/>
      <w:r>
        <w:rPr>
          <w:rFonts w:hint="eastAsia" w:ascii="宋体" w:hAnsi="宋体" w:eastAsia="宋体" w:cs="宋体"/>
          <w:sz w:val="24"/>
          <w:szCs w:val="24"/>
          <w:highlight w:val="none"/>
        </w:rPr>
        <w:t>2.1 竞争性磋商文件的组成</w:t>
      </w:r>
      <w:bookmarkEnd w:id="127"/>
      <w:bookmarkEnd w:id="128"/>
      <w:bookmarkEnd w:id="129"/>
      <w:bookmarkEnd w:id="130"/>
      <w:bookmarkEnd w:id="131"/>
      <w:bookmarkEnd w:id="132"/>
      <w:bookmarkEnd w:id="133"/>
      <w:bookmarkEnd w:id="134"/>
      <w:bookmarkEnd w:id="135"/>
      <w:bookmarkEnd w:id="136"/>
    </w:p>
    <w:p w14:paraId="3C6EA9E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 本竞争性磋商文件包括：</w:t>
      </w:r>
    </w:p>
    <w:p w14:paraId="334B2F6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详见磋商文件</w:t>
      </w:r>
    </w:p>
    <w:p w14:paraId="32B5CE1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2.1.2根据本章第2.2款和第2.3款对竞争性磋商文件所作的澄清、修改，构成竞争性磋商文件的组成部分。</w:t>
      </w:r>
    </w:p>
    <w:p w14:paraId="5DFC9604">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37" w:name="_Toc247085703"/>
      <w:bookmarkStart w:id="138" w:name="_Toc296602434"/>
      <w:bookmarkStart w:id="139" w:name="_Toc246996932"/>
      <w:bookmarkStart w:id="140" w:name="_Toc179632562"/>
      <w:bookmarkStart w:id="141" w:name="_Toc144974512"/>
      <w:bookmarkStart w:id="142" w:name="_Toc77586926"/>
      <w:bookmarkStart w:id="143" w:name="_Toc246996189"/>
      <w:bookmarkStart w:id="144" w:name="_Toc77586833"/>
      <w:bookmarkStart w:id="145" w:name="_Toc152045544"/>
      <w:bookmarkStart w:id="146" w:name="_Toc152042320"/>
      <w:r>
        <w:rPr>
          <w:rFonts w:hint="eastAsia" w:ascii="宋体" w:hAnsi="宋体" w:eastAsia="宋体" w:cs="宋体"/>
          <w:sz w:val="24"/>
          <w:szCs w:val="24"/>
          <w:highlight w:val="none"/>
        </w:rPr>
        <w:t>2.2 竞争性磋商文件的澄清</w:t>
      </w:r>
      <w:bookmarkEnd w:id="137"/>
      <w:bookmarkEnd w:id="138"/>
      <w:bookmarkEnd w:id="139"/>
      <w:bookmarkEnd w:id="140"/>
      <w:bookmarkEnd w:id="141"/>
      <w:bookmarkEnd w:id="142"/>
      <w:bookmarkEnd w:id="143"/>
      <w:bookmarkEnd w:id="144"/>
      <w:bookmarkEnd w:id="145"/>
      <w:bookmarkEnd w:id="146"/>
      <w:r>
        <w:rPr>
          <w:rFonts w:hint="eastAsia" w:ascii="宋体" w:hAnsi="宋体" w:eastAsia="宋体" w:cs="宋体"/>
          <w:sz w:val="24"/>
          <w:szCs w:val="24"/>
          <w:highlight w:val="none"/>
        </w:rPr>
        <w:t xml:space="preserve"> </w:t>
      </w:r>
    </w:p>
    <w:p w14:paraId="476DB20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应仔细阅读和检查竞争性磋商文件的全部内容。如发现缺页或附件不全，应及时向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提出，以便补齐。如有疑问，应在</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须知前附表规定的时间前以书面的形式，要求</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对竞争性磋商文件予以澄清。</w:t>
      </w:r>
    </w:p>
    <w:p w14:paraId="5247BDF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2.2.2竞争性磋商文件的澄清将以公告形式发布到网上，但不指明澄清问题的来源。如果澄清发出的时间距</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须知前附表规定的投标截止时间不足5天，并且澄清内容影响磋商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 xml:space="preserve">编制的，将相应延长磋商截止时间。 </w:t>
      </w:r>
    </w:p>
    <w:p w14:paraId="1C6CC92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2.2.3 </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应自行查看澄清信息。</w:t>
      </w:r>
    </w:p>
    <w:p w14:paraId="219B88B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sz w:val="24"/>
          <w:szCs w:val="24"/>
          <w:highlight w:val="none"/>
          <w:lang w:val="en-US" w:eastAsia="zh-CN" w:bidi="ar-SA"/>
        </w:rPr>
      </w:pPr>
      <w:bookmarkStart w:id="147" w:name="_Toc179632563"/>
      <w:bookmarkStart w:id="148" w:name="_Toc77586834"/>
      <w:bookmarkStart w:id="149" w:name="_Toc77586927"/>
      <w:bookmarkStart w:id="150" w:name="_Toc152042321"/>
      <w:bookmarkStart w:id="151" w:name="_Toc152045545"/>
      <w:bookmarkStart w:id="152" w:name="_Toc246996190"/>
      <w:bookmarkStart w:id="153" w:name="_Toc144974513"/>
      <w:bookmarkStart w:id="154" w:name="_Toc247085704"/>
      <w:bookmarkStart w:id="155" w:name="_Toc296602435"/>
      <w:bookmarkStart w:id="156" w:name="_Toc246996933"/>
      <w:r>
        <w:rPr>
          <w:rFonts w:hint="eastAsia" w:ascii="宋体" w:hAnsi="宋体" w:eastAsia="宋体" w:cs="宋体"/>
          <w:b/>
          <w:sz w:val="24"/>
          <w:szCs w:val="24"/>
          <w:highlight w:val="none"/>
          <w:lang w:val="en-US" w:eastAsia="zh-CN" w:bidi="ar-SA"/>
        </w:rPr>
        <w:t>2.3 竞争性磋商文件的修改</w:t>
      </w:r>
      <w:bookmarkEnd w:id="147"/>
      <w:bookmarkEnd w:id="148"/>
      <w:bookmarkEnd w:id="149"/>
      <w:bookmarkEnd w:id="150"/>
      <w:bookmarkEnd w:id="151"/>
      <w:bookmarkEnd w:id="152"/>
      <w:bookmarkEnd w:id="153"/>
      <w:bookmarkEnd w:id="154"/>
      <w:bookmarkEnd w:id="155"/>
      <w:bookmarkEnd w:id="156"/>
    </w:p>
    <w:p w14:paraId="579F76A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2.3.1 在磋商截止时间5天前，</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可以修改竞争性磋商文件，并以变更公告形式通知所有已购买竞争性磋商文件的</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w:t>
      </w:r>
    </w:p>
    <w:p w14:paraId="070FD09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2.3.2如果修改竞争性磋商文件，会在</w:t>
      </w:r>
      <w:r>
        <w:rPr>
          <w:rFonts w:hint="eastAsia" w:ascii="宋体" w:hAnsi="宋体" w:eastAsia="宋体" w:cs="宋体"/>
          <w:sz w:val="24"/>
          <w:szCs w:val="24"/>
          <w:highlight w:val="none"/>
          <w:lang w:val="en-US" w:eastAsia="zh-CN"/>
        </w:rPr>
        <w:t>相关网站</w:t>
      </w:r>
      <w:r>
        <w:rPr>
          <w:rFonts w:hint="eastAsia" w:ascii="宋体" w:hAnsi="宋体" w:eastAsia="宋体" w:cs="宋体"/>
          <w:sz w:val="24"/>
          <w:szCs w:val="24"/>
          <w:highlight w:val="none"/>
        </w:rPr>
        <w:t>发布变更公告，不再发纸质的变更信息。提醒</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随时注意网上发布的信息。如因</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自身原因未看到信息，因此造成的一切后果由</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自行承担。</w:t>
      </w:r>
    </w:p>
    <w:p w14:paraId="22DE889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2.3.3为使</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在准备</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时有合理的时间考虑竞争性磋商文件的修改，招标代理机构可酌情推迟磋商截止时间和磋商时间，但应当至少在磋商截止时间三个日历天前将变更时间以发布变更公告的形式通知所有</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。该修改内容为竞争性磋商文件的组成部分。在此情况下，</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受磋商截止期制约的所有权利和义务均应延长至新的截止日期。</w:t>
      </w:r>
      <w:bookmarkStart w:id="157" w:name="_Toc184635073"/>
      <w:bookmarkEnd w:id="157"/>
      <w:r>
        <w:rPr>
          <w:rFonts w:hint="eastAsia" w:ascii="宋体" w:hAnsi="宋体" w:eastAsia="宋体" w:cs="宋体"/>
          <w:sz w:val="24"/>
          <w:szCs w:val="24"/>
          <w:highlight w:val="none"/>
        </w:rPr>
        <w:t xml:space="preserve"> </w:t>
      </w:r>
    </w:p>
    <w:p w14:paraId="09F7B343">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58" w:name="_Toc247085705"/>
      <w:bookmarkStart w:id="159" w:name="_Toc246996934"/>
      <w:bookmarkStart w:id="160" w:name="_Toc246996191"/>
      <w:bookmarkStart w:id="161" w:name="_Toc77586928"/>
      <w:bookmarkStart w:id="162" w:name="_Toc152045546"/>
      <w:bookmarkStart w:id="163" w:name="_Toc296602436"/>
      <w:bookmarkStart w:id="164" w:name="_Toc152042322"/>
      <w:bookmarkStart w:id="165" w:name="_Toc77586835"/>
      <w:bookmarkStart w:id="166" w:name="_Toc144974514"/>
      <w:bookmarkStart w:id="167" w:name="_Toc179632564"/>
      <w:r>
        <w:rPr>
          <w:rFonts w:hint="eastAsia" w:ascii="宋体" w:hAnsi="宋体" w:eastAsia="宋体" w:cs="宋体"/>
          <w:sz w:val="24"/>
          <w:szCs w:val="24"/>
          <w:highlight w:val="none"/>
        </w:rPr>
        <w:t>3. 竞争性磋商文件</w:t>
      </w:r>
      <w:bookmarkEnd w:id="158"/>
      <w:bookmarkEnd w:id="159"/>
      <w:bookmarkEnd w:id="160"/>
      <w:bookmarkEnd w:id="161"/>
      <w:bookmarkEnd w:id="162"/>
      <w:bookmarkEnd w:id="163"/>
      <w:bookmarkEnd w:id="164"/>
      <w:bookmarkEnd w:id="165"/>
      <w:bookmarkEnd w:id="166"/>
      <w:bookmarkEnd w:id="167"/>
    </w:p>
    <w:p w14:paraId="0B36BB68">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68" w:name="_Toc77586836"/>
      <w:bookmarkStart w:id="169" w:name="_Toc179632565"/>
      <w:bookmarkStart w:id="170" w:name="_Toc246996192"/>
      <w:bookmarkStart w:id="171" w:name="_Toc144974515"/>
      <w:bookmarkStart w:id="172" w:name="_Toc152045547"/>
      <w:bookmarkStart w:id="173" w:name="_Toc152042323"/>
      <w:bookmarkStart w:id="174" w:name="_Toc246996935"/>
      <w:bookmarkStart w:id="175" w:name="_Toc247085706"/>
      <w:bookmarkStart w:id="176" w:name="_Toc296602437"/>
      <w:bookmarkStart w:id="177" w:name="_Toc77586929"/>
      <w:r>
        <w:rPr>
          <w:rFonts w:hint="eastAsia" w:ascii="宋体" w:hAnsi="宋体" w:eastAsia="宋体" w:cs="宋体"/>
          <w:sz w:val="24"/>
          <w:szCs w:val="24"/>
          <w:highlight w:val="none"/>
        </w:rPr>
        <w:t>3.1 竞争性磋商文件的组成</w:t>
      </w:r>
      <w:bookmarkEnd w:id="168"/>
      <w:bookmarkEnd w:id="169"/>
      <w:bookmarkEnd w:id="170"/>
      <w:bookmarkEnd w:id="171"/>
      <w:bookmarkEnd w:id="172"/>
      <w:bookmarkEnd w:id="173"/>
      <w:bookmarkEnd w:id="174"/>
      <w:bookmarkEnd w:id="175"/>
      <w:bookmarkEnd w:id="176"/>
      <w:bookmarkEnd w:id="177"/>
    </w:p>
    <w:p w14:paraId="47BD93A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bookmarkStart w:id="178" w:name="_Toc179632566"/>
      <w:bookmarkStart w:id="179" w:name="_Toc247085707"/>
      <w:bookmarkStart w:id="180" w:name="_Toc152045548"/>
      <w:bookmarkStart w:id="181" w:name="_Toc246996936"/>
      <w:bookmarkStart w:id="182" w:name="_Toc246996193"/>
      <w:bookmarkStart w:id="183" w:name="_Toc296602438"/>
      <w:bookmarkStart w:id="184" w:name="_Toc144974516"/>
      <w:bookmarkStart w:id="185" w:name="_Toc152042324"/>
      <w:r>
        <w:rPr>
          <w:rFonts w:hint="eastAsia" w:ascii="宋体" w:hAnsi="宋体" w:eastAsia="宋体" w:cs="宋体"/>
          <w:b w:val="0"/>
          <w:bCs w:val="0"/>
          <w:sz w:val="24"/>
          <w:szCs w:val="24"/>
          <w:highlight w:val="none"/>
        </w:rPr>
        <w:t>详见磋商文件</w:t>
      </w:r>
    </w:p>
    <w:p w14:paraId="0A3A9B6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bookmarkStart w:id="186" w:name="_Toc77586930"/>
      <w:bookmarkStart w:id="187" w:name="_Toc77586837"/>
      <w:r>
        <w:rPr>
          <w:rFonts w:hint="eastAsia" w:ascii="宋体" w:hAnsi="宋体" w:eastAsia="宋体" w:cs="宋体"/>
          <w:b/>
          <w:bCs/>
          <w:sz w:val="24"/>
          <w:szCs w:val="24"/>
          <w:highlight w:val="none"/>
        </w:rPr>
        <w:t>3.2 磋商报价</w:t>
      </w:r>
      <w:bookmarkEnd w:id="178"/>
      <w:bookmarkEnd w:id="179"/>
      <w:bookmarkEnd w:id="180"/>
      <w:bookmarkEnd w:id="181"/>
      <w:bookmarkEnd w:id="182"/>
      <w:bookmarkEnd w:id="183"/>
      <w:bookmarkEnd w:id="184"/>
      <w:bookmarkEnd w:id="185"/>
      <w:bookmarkEnd w:id="186"/>
      <w:bookmarkEnd w:id="187"/>
    </w:p>
    <w:p w14:paraId="2B45A66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3.2.1 根据竞争性磋商文件规定的工程内容，</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应对本次招标工程的全部工作内容进行报价。磋商报价应是竞争性磋商文件所确定的磋商范围内的全部工作内容的价格体现。</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的报价应含有所投项目、税费、交付后约定期限内免费后续工程等所发生的一切应有费用。</w:t>
      </w:r>
    </w:p>
    <w:p w14:paraId="041C05C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3.2.2磋商报价应包括竞争性磋商文件及技术规范等规定的，实施和完成招标工程直至竣工验收合格，及达到质量和工期目标、安全文明、环境保护等要求,正式交付</w:t>
      </w:r>
      <w:r>
        <w:rPr>
          <w:rFonts w:hint="eastAsia" w:ascii="宋体" w:hAnsi="宋体" w:eastAsia="宋体" w:cs="宋体"/>
          <w:b w:val="0"/>
          <w:bCs w:val="0"/>
          <w:sz w:val="24"/>
          <w:szCs w:val="24"/>
          <w:highlight w:val="none"/>
          <w:lang w:eastAsia="zh-CN"/>
        </w:rPr>
        <w:t>招标人</w:t>
      </w:r>
      <w:r>
        <w:rPr>
          <w:rFonts w:hint="eastAsia" w:ascii="宋体" w:hAnsi="宋体" w:eastAsia="宋体" w:cs="宋体"/>
          <w:b w:val="0"/>
          <w:bCs w:val="0"/>
          <w:sz w:val="24"/>
          <w:szCs w:val="24"/>
          <w:highlight w:val="none"/>
        </w:rPr>
        <w:t>使用前所需的全部费用。本工程的报价应按照竞争磋商文件、补充通知、答疑纪要、现场情况、承包范围，并充分考虑施工期间各类建材市场风险和国家政策性调整等风险系数，由各</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根据自身情况，在合理范围内，自主考虑、优惠报价，但不得低于企业成本。</w:t>
      </w:r>
    </w:p>
    <w:p w14:paraId="41DBFAA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3.2.3</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的磋商报价根据竞争性磋商文件、工程量清单、答疑等，充分考虑市场价格、风险因素，在合理范围内自主报价，但不得低于企业实际成本。</w:t>
      </w:r>
    </w:p>
    <w:p w14:paraId="3512F1E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3.2.4</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w:t>
      </w:r>
      <w:r>
        <w:rPr>
          <w:rFonts w:hint="eastAsia" w:ascii="宋体" w:hAnsi="宋体" w:eastAsia="宋体" w:cs="宋体"/>
          <w:b w:val="0"/>
          <w:bCs w:val="0"/>
          <w:color w:val="auto"/>
          <w:sz w:val="24"/>
          <w:szCs w:val="24"/>
          <w:highlight w:val="none"/>
        </w:rPr>
        <w:t>成交人无权再以任何理由提出延长工期、增加价款或索赔等要求。</w:t>
      </w:r>
    </w:p>
    <w:p w14:paraId="555690A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3.2.5</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在磋商报价前可踏勘施工现场，充分考虑工地现状条件可能影响到工程正常施工的所有风险因素。无论</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是否进行了上述现场踏勘工作，其磋商报价中均将被认为已包含有工地现状在施工作业期间发生的全部不可预见的风险费用，</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成交后则无权因此要求任何工期或费用上的索赔。磋商报价将被认为已综合考虑了在工程全过程中可能发生的全部不可预见费用。</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未考虑到或漏算的项目，合同执行期间人员费用等相关的变动；各种原因服务周期工作时间延长，成交人无权再以任何理由提出延长服务周期、增加价款或索赔等要求。如果</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对任何报价遗漏或未计，均被认为已包含在其他费用中，招标人不另行支付。</w:t>
      </w:r>
    </w:p>
    <w:p w14:paraId="07BCE60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3.3.6施工期间由于工程条件发生变化或</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原因造成施工方案的更改，所增加的措施费用及工期一概不予调整，相应的费用</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应在磋商报价中充分考虑，</w:t>
      </w:r>
      <w:r>
        <w:rPr>
          <w:rFonts w:hint="eastAsia" w:ascii="宋体" w:hAnsi="宋体" w:eastAsia="宋体" w:cs="宋体"/>
          <w:b w:val="0"/>
          <w:bCs w:val="0"/>
          <w:sz w:val="24"/>
          <w:szCs w:val="24"/>
          <w:highlight w:val="none"/>
          <w:lang w:eastAsia="zh-CN"/>
        </w:rPr>
        <w:t>招标人</w:t>
      </w:r>
      <w:r>
        <w:rPr>
          <w:rFonts w:hint="eastAsia" w:ascii="宋体" w:hAnsi="宋体" w:eastAsia="宋体" w:cs="宋体"/>
          <w:b w:val="0"/>
          <w:bCs w:val="0"/>
          <w:sz w:val="24"/>
          <w:szCs w:val="24"/>
          <w:highlight w:val="none"/>
        </w:rPr>
        <w:t>不再另行支付。</w:t>
      </w:r>
    </w:p>
    <w:p w14:paraId="08DD9F3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3.2.7磋商报价要求</w:t>
      </w:r>
    </w:p>
    <w:p w14:paraId="15B968FF">
      <w:pPr>
        <w:pageBreakBefore w:val="0"/>
        <w:widowControl w:val="0"/>
        <w:numPr>
          <w:ilvl w:val="0"/>
          <w:numId w:val="2"/>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各</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在投标时必须在磋商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中提供一份完整的工程量清单；</w:t>
      </w:r>
    </w:p>
    <w:p w14:paraId="174EC24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（2）各</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作为有经验的承包商，应充分考虑该工程实施时的各种风险，并将其考虑在本次投标报价各清单项目的综合单价中，结算时综合单价不做调整（合同另有约定的除外）；</w:t>
      </w:r>
    </w:p>
    <w:p w14:paraId="3DE83AE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（3）本次磋商的最终投标总报价不得高于磋商控制价，高于磋商控制价的报价将不再评审；</w:t>
      </w:r>
    </w:p>
    <w:p w14:paraId="64B6E63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报价中的单价和总价全部采用人民币表示。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0443B3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（5）本项目为竞争性磋商方式，允许二次报价。</w:t>
      </w:r>
    </w:p>
    <w:p w14:paraId="2B7ACBCC">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bookmarkStart w:id="188" w:name="_Toc152042325"/>
      <w:bookmarkStart w:id="189" w:name="_Toc152045549"/>
      <w:bookmarkStart w:id="190" w:name="_Toc179632567"/>
      <w:bookmarkStart w:id="191" w:name="_Toc246996194"/>
      <w:bookmarkStart w:id="192" w:name="_Toc77586838"/>
      <w:bookmarkStart w:id="193" w:name="_Toc144974517"/>
      <w:bookmarkStart w:id="194" w:name="_Toc77586931"/>
      <w:bookmarkStart w:id="195" w:name="_Toc296602439"/>
      <w:bookmarkStart w:id="196" w:name="_Toc246996937"/>
      <w:bookmarkStart w:id="197" w:name="_Toc247085708"/>
      <w:r>
        <w:rPr>
          <w:rFonts w:hint="eastAsia" w:ascii="宋体" w:hAnsi="宋体" w:eastAsia="宋体" w:cs="宋体"/>
          <w:b/>
          <w:bCs/>
          <w:sz w:val="24"/>
          <w:szCs w:val="24"/>
          <w:highlight w:val="none"/>
        </w:rPr>
        <w:t>3.3 磋商有效期</w:t>
      </w:r>
      <w:bookmarkEnd w:id="188"/>
      <w:bookmarkEnd w:id="189"/>
      <w:bookmarkEnd w:id="190"/>
      <w:bookmarkEnd w:id="191"/>
      <w:bookmarkEnd w:id="192"/>
      <w:bookmarkEnd w:id="193"/>
      <w:bookmarkEnd w:id="194"/>
      <w:bookmarkEnd w:id="195"/>
      <w:bookmarkEnd w:id="196"/>
      <w:bookmarkEnd w:id="197"/>
    </w:p>
    <w:p w14:paraId="33420ED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3.3.1 磋商有效期为</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递交截止之日起60日历天</w:t>
      </w:r>
      <w:r>
        <w:rPr>
          <w:rFonts w:hint="eastAsia" w:ascii="宋体" w:hAnsi="宋体" w:eastAsia="宋体" w:cs="宋体"/>
          <w:b w:val="0"/>
          <w:bCs w:val="0"/>
          <w:sz w:val="24"/>
          <w:szCs w:val="24"/>
          <w:highlight w:val="none"/>
        </w:rPr>
        <w:t>。</w:t>
      </w:r>
    </w:p>
    <w:p w14:paraId="252B777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3.3.2在磋商有效期内，</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撤销或修改其磋商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的，应承担磋商文件和法律规定的责任。</w:t>
      </w:r>
    </w:p>
    <w:p w14:paraId="03FE3D3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3.3.3出现特殊情况需要延长投标有效期的，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以书面形式通知所有</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延长投标有效期。</w:t>
      </w:r>
    </w:p>
    <w:p w14:paraId="23C30175">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98" w:name="_Toc246996195"/>
      <w:bookmarkStart w:id="199" w:name="_Toc179632568"/>
      <w:bookmarkStart w:id="200" w:name="_Toc144974518"/>
      <w:bookmarkStart w:id="201" w:name="_Toc152042326"/>
      <w:bookmarkStart w:id="202" w:name="_Toc152045550"/>
      <w:bookmarkStart w:id="203" w:name="_Toc296602440"/>
      <w:bookmarkStart w:id="204" w:name="_Toc247085709"/>
      <w:bookmarkStart w:id="205" w:name="_Toc246996938"/>
      <w:bookmarkStart w:id="206" w:name="_Toc77586839"/>
      <w:bookmarkStart w:id="207" w:name="_Toc77586932"/>
      <w:r>
        <w:rPr>
          <w:rFonts w:hint="eastAsia" w:ascii="宋体" w:hAnsi="宋体" w:eastAsia="宋体" w:cs="宋体"/>
          <w:sz w:val="24"/>
          <w:szCs w:val="24"/>
          <w:highlight w:val="none"/>
        </w:rPr>
        <w:t xml:space="preserve">3.4 </w:t>
      </w:r>
      <w:bookmarkEnd w:id="198"/>
      <w:bookmarkEnd w:id="199"/>
      <w:bookmarkEnd w:id="200"/>
      <w:bookmarkEnd w:id="201"/>
      <w:bookmarkEnd w:id="202"/>
      <w:bookmarkEnd w:id="203"/>
      <w:bookmarkEnd w:id="204"/>
      <w:bookmarkEnd w:id="205"/>
      <w:r>
        <w:rPr>
          <w:rFonts w:hint="eastAsia" w:ascii="宋体" w:hAnsi="宋体" w:eastAsia="宋体" w:cs="宋体"/>
          <w:sz w:val="24"/>
          <w:szCs w:val="24"/>
          <w:highlight w:val="none"/>
        </w:rPr>
        <w:t>磋商保证金</w:t>
      </w:r>
      <w:bookmarkEnd w:id="206"/>
      <w:bookmarkEnd w:id="207"/>
    </w:p>
    <w:p w14:paraId="12306FF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本项目不收取磋商保证金。</w:t>
      </w:r>
    </w:p>
    <w:p w14:paraId="47210C6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 xml:space="preserve">3.5 </w:t>
      </w:r>
      <w:r>
        <w:rPr>
          <w:rFonts w:hint="eastAsia" w:ascii="宋体" w:hAnsi="宋体" w:eastAsia="宋体" w:cs="宋体"/>
          <w:b/>
          <w:bCs/>
          <w:sz w:val="24"/>
          <w:szCs w:val="24"/>
          <w:highlight w:val="none"/>
          <w:lang w:val="en-US" w:eastAsia="zh-CN"/>
        </w:rPr>
        <w:t>资格审查资料：详见公告</w:t>
      </w:r>
    </w:p>
    <w:p w14:paraId="63265F66">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08" w:name="_Toc77586840"/>
      <w:bookmarkStart w:id="209" w:name="_Toc77586933"/>
      <w:r>
        <w:rPr>
          <w:rFonts w:hint="eastAsia" w:ascii="宋体" w:hAnsi="宋体" w:eastAsia="宋体" w:cs="宋体"/>
          <w:sz w:val="24"/>
          <w:szCs w:val="24"/>
          <w:highlight w:val="none"/>
        </w:rPr>
        <w:t>3.6磋商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的编制</w:t>
      </w:r>
      <w:bookmarkEnd w:id="208"/>
      <w:bookmarkEnd w:id="209"/>
    </w:p>
    <w:p w14:paraId="371A81B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bookmarkStart w:id="210" w:name="_Toc296602443"/>
      <w:bookmarkStart w:id="211" w:name="_Toc152042331"/>
      <w:bookmarkStart w:id="212" w:name="_Toc152045555"/>
      <w:bookmarkStart w:id="213" w:name="_Toc246996942"/>
      <w:bookmarkStart w:id="214" w:name="_Toc247085713"/>
      <w:bookmarkStart w:id="215" w:name="_Toc246996199"/>
      <w:bookmarkStart w:id="216" w:name="_Toc179632573"/>
      <w:bookmarkStart w:id="217" w:name="_Toc144974523"/>
      <w:r>
        <w:rPr>
          <w:rFonts w:hint="eastAsia" w:ascii="宋体" w:hAnsi="宋体" w:eastAsia="宋体" w:cs="宋体"/>
          <w:sz w:val="24"/>
          <w:szCs w:val="24"/>
          <w:highlight w:val="none"/>
        </w:rPr>
        <w:t>3.6.1磋商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可按第七章“磋商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格式”进行编写，如有必要，可以增加附页作为磋商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的组成部分。其中，投标函附录在满足竞争性磋商文件实质性要求的基础上，可以提出比竞争性磋商文件要求更有利于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的承诺。</w:t>
      </w:r>
    </w:p>
    <w:p w14:paraId="2740694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3.6.2 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应当对竞争性磋商文件有关项目实施周期、投标有效期、质量要求、招标范围等实质性内容作出响应。</w:t>
      </w:r>
    </w:p>
    <w:p w14:paraId="1161828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3.6.3</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所上传的电子化磋商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，应是通过中心投标文件制作系统制作的（投标文件制作工具下载地址：http://t.cn/A6ZvtVob），经过签章和加密后生成的电子版磋商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。其中包含用于</w:t>
      </w:r>
      <w:r>
        <w:rPr>
          <w:rFonts w:hint="eastAsia" w:ascii="宋体" w:hAnsi="宋体" w:eastAsia="宋体" w:cs="宋体"/>
          <w:b w:val="0"/>
          <w:bCs w:val="0"/>
          <w:sz w:val="24"/>
          <w:szCs w:val="24"/>
          <w:highlight w:val="none"/>
        </w:rPr>
        <w:t>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上传的主文件（后缀为.smxtf）和用于应急补救的磋商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备份文件（后缀为.nsmxtf）。</w:t>
      </w:r>
    </w:p>
    <w:p w14:paraId="4B50E9A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sz w:val="24"/>
          <w:szCs w:val="24"/>
          <w:highlight w:val="none"/>
        </w:rPr>
      </w:pPr>
      <w:r>
        <w:rPr>
          <w:rFonts w:hint="eastAsia" w:ascii="宋体" w:hAnsi="宋体" w:eastAsia="宋体" w:cs="宋体"/>
          <w:b w:val="0"/>
          <w:bCs w:val="0"/>
          <w:sz w:val="24"/>
          <w:szCs w:val="24"/>
          <w:highlight w:val="none"/>
        </w:rPr>
        <w:t>电子化投标文件具体制作教材请</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点击以下链接学习http://gzjy.smx.gov.cn/bzzx/008001/2020</w:t>
      </w:r>
      <w:r>
        <w:rPr>
          <w:rFonts w:hint="eastAsia" w:ascii="宋体" w:hAnsi="宋体" w:eastAsia="宋体" w:cs="宋体"/>
          <w:sz w:val="24"/>
          <w:szCs w:val="24"/>
          <w:highlight w:val="none"/>
        </w:rPr>
        <w:t>0325/4a2f9fa3-b923-4ddd-bd6f-138a0b63f7d1.html</w:t>
      </w:r>
    </w:p>
    <w:p w14:paraId="5BF51DBD">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18" w:name="_Toc77586934"/>
      <w:bookmarkStart w:id="219" w:name="_Toc77586841"/>
      <w:r>
        <w:rPr>
          <w:rFonts w:hint="eastAsia" w:ascii="宋体" w:hAnsi="宋体" w:eastAsia="宋体" w:cs="宋体"/>
          <w:sz w:val="24"/>
          <w:szCs w:val="24"/>
          <w:highlight w:val="none"/>
        </w:rPr>
        <w:t>3.7备选投标方案</w:t>
      </w:r>
      <w:bookmarkEnd w:id="218"/>
      <w:bookmarkEnd w:id="219"/>
    </w:p>
    <w:p w14:paraId="7D855E5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递交备选投标方案。</w:t>
      </w:r>
    </w:p>
    <w:p w14:paraId="3447F27B">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20" w:name="_Toc77586935"/>
      <w:bookmarkStart w:id="221" w:name="_Toc77586842"/>
      <w:r>
        <w:rPr>
          <w:rFonts w:hint="eastAsia" w:ascii="宋体" w:hAnsi="宋体" w:eastAsia="宋体" w:cs="宋体"/>
          <w:sz w:val="24"/>
          <w:szCs w:val="24"/>
          <w:highlight w:val="none"/>
        </w:rPr>
        <w:t>4. 投标</w:t>
      </w:r>
      <w:bookmarkEnd w:id="210"/>
      <w:bookmarkEnd w:id="211"/>
      <w:bookmarkEnd w:id="212"/>
      <w:bookmarkEnd w:id="213"/>
      <w:bookmarkEnd w:id="214"/>
      <w:bookmarkEnd w:id="215"/>
      <w:bookmarkEnd w:id="216"/>
      <w:bookmarkEnd w:id="217"/>
      <w:bookmarkEnd w:id="220"/>
      <w:bookmarkEnd w:id="221"/>
    </w:p>
    <w:p w14:paraId="625E8642">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22" w:name="_Toc152045556"/>
      <w:bookmarkStart w:id="223" w:name="_Toc152042332"/>
      <w:bookmarkStart w:id="224" w:name="_Toc179632574"/>
      <w:bookmarkStart w:id="225" w:name="_Toc296602444"/>
      <w:bookmarkStart w:id="226" w:name="_Toc144974524"/>
      <w:bookmarkStart w:id="227" w:name="_Toc246996943"/>
      <w:bookmarkStart w:id="228" w:name="_Toc246996200"/>
      <w:bookmarkStart w:id="229" w:name="_Toc247085714"/>
      <w:bookmarkStart w:id="230" w:name="_Toc77586843"/>
      <w:bookmarkStart w:id="231" w:name="_Toc77586936"/>
      <w:r>
        <w:rPr>
          <w:rFonts w:hint="eastAsia" w:ascii="宋体" w:hAnsi="宋体" w:eastAsia="宋体" w:cs="宋体"/>
          <w:sz w:val="24"/>
          <w:szCs w:val="24"/>
          <w:highlight w:val="none"/>
        </w:rPr>
        <w:t>4.1 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w:t>
      </w:r>
      <w:bookmarkEnd w:id="222"/>
      <w:bookmarkEnd w:id="223"/>
      <w:bookmarkEnd w:id="224"/>
      <w:bookmarkEnd w:id="225"/>
      <w:bookmarkEnd w:id="226"/>
      <w:bookmarkEnd w:id="227"/>
      <w:bookmarkEnd w:id="228"/>
      <w:bookmarkEnd w:id="229"/>
      <w:r>
        <w:rPr>
          <w:rFonts w:hint="eastAsia" w:ascii="宋体" w:hAnsi="宋体" w:eastAsia="宋体" w:cs="宋体"/>
          <w:sz w:val="24"/>
          <w:szCs w:val="24"/>
          <w:highlight w:val="none"/>
        </w:rPr>
        <w:t>签署</w:t>
      </w:r>
      <w:bookmarkEnd w:id="230"/>
      <w:bookmarkEnd w:id="231"/>
    </w:p>
    <w:p w14:paraId="73987F8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4.1.1</w:t>
      </w:r>
      <w:r>
        <w:rPr>
          <w:rFonts w:hint="eastAsia" w:ascii="宋体" w:hAnsi="宋体" w:eastAsia="宋体" w:cs="宋体"/>
          <w:bCs/>
          <w:sz w:val="24"/>
          <w:szCs w:val="24"/>
          <w:highlight w:val="none"/>
          <w:lang w:eastAsia="zh-CN"/>
        </w:rPr>
        <w:t>投标人</w:t>
      </w:r>
      <w:r>
        <w:rPr>
          <w:rFonts w:hint="eastAsia" w:ascii="宋体" w:hAnsi="宋体" w:eastAsia="宋体" w:cs="宋体"/>
          <w:bCs/>
          <w:sz w:val="24"/>
          <w:szCs w:val="24"/>
          <w:highlight w:val="none"/>
        </w:rPr>
        <w:t>在进行电子化磋商</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签章时，竞争性磋商文件中要求</w:t>
      </w:r>
      <w:r>
        <w:rPr>
          <w:rFonts w:hint="eastAsia" w:ascii="宋体" w:hAnsi="宋体" w:eastAsia="宋体" w:cs="宋体"/>
          <w:bCs/>
          <w:sz w:val="24"/>
          <w:szCs w:val="24"/>
          <w:highlight w:val="none"/>
          <w:lang w:eastAsia="zh-CN"/>
        </w:rPr>
        <w:t>投标人</w:t>
      </w:r>
      <w:r>
        <w:rPr>
          <w:rFonts w:hint="eastAsia" w:ascii="宋体" w:hAnsi="宋体" w:eastAsia="宋体" w:cs="宋体"/>
          <w:bCs/>
          <w:sz w:val="24"/>
          <w:szCs w:val="24"/>
          <w:highlight w:val="none"/>
        </w:rPr>
        <w:t>盖章的，以签</w:t>
      </w:r>
      <w:r>
        <w:rPr>
          <w:rFonts w:hint="eastAsia" w:ascii="宋体" w:hAnsi="宋体" w:eastAsia="宋体" w:cs="宋体"/>
          <w:bCs/>
          <w:sz w:val="24"/>
          <w:szCs w:val="24"/>
          <w:highlight w:val="none"/>
          <w:lang w:eastAsia="zh-CN"/>
        </w:rPr>
        <w:t>公章电子签章</w:t>
      </w:r>
      <w:r>
        <w:rPr>
          <w:rFonts w:hint="eastAsia" w:ascii="宋体" w:hAnsi="宋体" w:eastAsia="宋体" w:cs="宋体"/>
          <w:bCs/>
          <w:sz w:val="24"/>
          <w:szCs w:val="24"/>
          <w:highlight w:val="none"/>
        </w:rPr>
        <w:t>为准；要求法定代表人签章的，以签盖法定代表人签章为准</w:t>
      </w:r>
      <w:r>
        <w:rPr>
          <w:rFonts w:hint="eastAsia" w:ascii="宋体" w:hAnsi="宋体" w:eastAsia="宋体" w:cs="宋体"/>
          <w:sz w:val="24"/>
          <w:szCs w:val="24"/>
          <w:highlight w:val="none"/>
        </w:rPr>
        <w:t>。电子化磋商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具体制作教材请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通过CA证书登录三门峡市公共资源电子化交易系统在右上角“组件下载”中查看。</w:t>
      </w:r>
    </w:p>
    <w:p w14:paraId="6867772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bookmarkStart w:id="232" w:name="_Toc77586937"/>
      <w:bookmarkStart w:id="233" w:name="_Toc77586844"/>
      <w:r>
        <w:rPr>
          <w:rFonts w:hint="eastAsia" w:ascii="宋体" w:hAnsi="宋体" w:eastAsia="宋体" w:cs="宋体"/>
          <w:sz w:val="24"/>
          <w:szCs w:val="24"/>
          <w:highlight w:val="none"/>
        </w:rPr>
        <w:t>4.2 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的上传</w:t>
      </w:r>
      <w:bookmarkEnd w:id="232"/>
      <w:bookmarkEnd w:id="233"/>
    </w:p>
    <w:p w14:paraId="73CD23A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电子化磋商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应在投标截止时间前成功上传至三门峡市公共资源电子化交易系统。至投标截止时间止，仍未上传成功的电子化磋商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将不予接收。</w:t>
      </w:r>
    </w:p>
    <w:p w14:paraId="3EEBBB2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注：如按</w:t>
      </w:r>
      <w:r>
        <w:rPr>
          <w:rFonts w:hint="eastAsia" w:ascii="宋体" w:hAnsi="宋体" w:eastAsia="宋体" w:cs="宋体"/>
          <w:b w:val="0"/>
          <w:bCs w:val="0"/>
          <w:sz w:val="24"/>
          <w:szCs w:val="24"/>
          <w:highlight w:val="none"/>
        </w:rPr>
        <w:t>照电子化投标操作教材制作完成的电子化磋商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无法上传的，</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应在投标截止时间前尽早的联系中心技术人员，以便有充分的时间进行处理。</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应充分考虑到处理技术问题和上传数据等工作所需的时间问题，电子化磋商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未在投标截止时间前成功上传的，其磋商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不予接收。</w:t>
      </w:r>
    </w:p>
    <w:p w14:paraId="5185ACF1">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34" w:name="_Toc77586938"/>
      <w:bookmarkStart w:id="235" w:name="_Toc77586845"/>
      <w:r>
        <w:rPr>
          <w:rFonts w:hint="eastAsia" w:ascii="宋体" w:hAnsi="宋体" w:eastAsia="宋体" w:cs="宋体"/>
          <w:sz w:val="24"/>
          <w:szCs w:val="24"/>
          <w:highlight w:val="none"/>
        </w:rPr>
        <w:t>4.3 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的修改与撤回</w:t>
      </w:r>
      <w:bookmarkEnd w:id="234"/>
      <w:bookmarkEnd w:id="235"/>
    </w:p>
    <w:p w14:paraId="536EBD6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4.3.1在投标截止时间之后，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不得补充、修改电子化磋商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7FE77335">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36" w:name="_Toc246996203"/>
      <w:bookmarkStart w:id="237" w:name="_Toc144974527"/>
      <w:bookmarkStart w:id="238" w:name="_Toc247085717"/>
      <w:bookmarkStart w:id="239" w:name="_Toc179632577"/>
      <w:bookmarkStart w:id="240" w:name="_Toc296602447"/>
      <w:bookmarkStart w:id="241" w:name="_Toc246996946"/>
      <w:bookmarkStart w:id="242" w:name="_Toc152045559"/>
      <w:bookmarkStart w:id="243" w:name="_Toc152042335"/>
      <w:bookmarkStart w:id="244" w:name="_Toc77586939"/>
      <w:bookmarkStart w:id="245" w:name="_Toc77586846"/>
      <w:r>
        <w:rPr>
          <w:rFonts w:hint="eastAsia" w:ascii="宋体" w:hAnsi="宋体" w:eastAsia="宋体" w:cs="宋体"/>
          <w:sz w:val="24"/>
          <w:szCs w:val="24"/>
          <w:highlight w:val="none"/>
        </w:rPr>
        <w:t xml:space="preserve">5. </w:t>
      </w:r>
      <w:bookmarkEnd w:id="236"/>
      <w:bookmarkEnd w:id="237"/>
      <w:bookmarkEnd w:id="238"/>
      <w:bookmarkEnd w:id="239"/>
      <w:bookmarkEnd w:id="240"/>
      <w:bookmarkEnd w:id="241"/>
      <w:bookmarkEnd w:id="242"/>
      <w:bookmarkEnd w:id="243"/>
      <w:r>
        <w:rPr>
          <w:rFonts w:hint="eastAsia" w:ascii="宋体" w:hAnsi="宋体" w:eastAsia="宋体" w:cs="宋体"/>
          <w:sz w:val="24"/>
          <w:szCs w:val="24"/>
          <w:highlight w:val="none"/>
        </w:rPr>
        <w:t>磋商</w:t>
      </w:r>
      <w:bookmarkEnd w:id="244"/>
      <w:bookmarkEnd w:id="245"/>
    </w:p>
    <w:p w14:paraId="67DD0D0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bookmarkStart w:id="246" w:name="_Toc246996206"/>
      <w:bookmarkStart w:id="247" w:name="_Toc152045561"/>
      <w:bookmarkStart w:id="248" w:name="_Toc246996949"/>
      <w:bookmarkStart w:id="249" w:name="_Toc247085720"/>
      <w:bookmarkStart w:id="250" w:name="_Toc152042337"/>
      <w:bookmarkStart w:id="251" w:name="_Toc296602451"/>
      <w:bookmarkStart w:id="252" w:name="_Toc152042338"/>
      <w:bookmarkStart w:id="253" w:name="_Toc144974530"/>
      <w:bookmarkStart w:id="254" w:name="_Toc179632580"/>
      <w:bookmarkStart w:id="255" w:name="_Toc152045562"/>
      <w:bookmarkStart w:id="256" w:name="_Toc144974529"/>
      <w:bookmarkStart w:id="257" w:name="_Toc179632579"/>
      <w:r>
        <w:rPr>
          <w:rFonts w:hint="eastAsia" w:ascii="宋体" w:hAnsi="宋体" w:eastAsia="宋体" w:cs="宋体"/>
          <w:b/>
          <w:bCs/>
          <w:sz w:val="24"/>
          <w:szCs w:val="24"/>
          <w:highlight w:val="none"/>
        </w:rPr>
        <w:t>5.1 磋商时间和地点</w:t>
      </w:r>
    </w:p>
    <w:p w14:paraId="2B031F9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在本磋商文件规定的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递交截止时间（磋商时间）和地点进行竞争性磋商。</w:t>
      </w:r>
    </w:p>
    <w:p w14:paraId="75C8146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本项目采用电子化、无纸化进行招标，开标当日，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无需到开标现场参加开标会议，</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解密等。</w:t>
      </w:r>
    </w:p>
    <w:p w14:paraId="3D109D5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5.2 电子化磋商</w:t>
      </w:r>
      <w:r>
        <w:rPr>
          <w:rFonts w:hint="eastAsia" w:ascii="宋体" w:hAnsi="宋体" w:eastAsia="宋体" w:cs="宋体"/>
          <w:b/>
          <w:bCs/>
          <w:sz w:val="24"/>
          <w:szCs w:val="24"/>
          <w:highlight w:val="none"/>
          <w:lang w:eastAsia="zh-CN"/>
        </w:rPr>
        <w:t>投标文件</w:t>
      </w:r>
      <w:r>
        <w:rPr>
          <w:rFonts w:hint="eastAsia" w:ascii="宋体" w:hAnsi="宋体" w:eastAsia="宋体" w:cs="宋体"/>
          <w:b/>
          <w:bCs/>
          <w:sz w:val="24"/>
          <w:szCs w:val="24"/>
          <w:highlight w:val="none"/>
        </w:rPr>
        <w:t>采用一次加密方式。</w:t>
      </w:r>
    </w:p>
    <w:p w14:paraId="0CA42AC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使用CA 证书，在规定时间内对其电子化磋商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进行解密。每位</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的解密时间为开标时间起30 分钟内，如在规定时间内未完成解密的，其磋商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不予开标、唱标。每位</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的解密时间为开标时间起30分钟内完成。</w:t>
      </w:r>
    </w:p>
    <w:p w14:paraId="0E6245C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5.3 电子化磋商</w:t>
      </w:r>
      <w:r>
        <w:rPr>
          <w:rFonts w:hint="eastAsia" w:ascii="宋体" w:hAnsi="宋体" w:eastAsia="宋体" w:cs="宋体"/>
          <w:b/>
          <w:sz w:val="24"/>
          <w:szCs w:val="24"/>
          <w:highlight w:val="none"/>
          <w:lang w:eastAsia="zh-CN"/>
        </w:rPr>
        <w:t>投标文件</w:t>
      </w:r>
      <w:r>
        <w:rPr>
          <w:rFonts w:hint="eastAsia" w:ascii="宋体" w:hAnsi="宋体" w:eastAsia="宋体" w:cs="宋体"/>
          <w:b/>
          <w:sz w:val="24"/>
          <w:szCs w:val="24"/>
          <w:highlight w:val="none"/>
        </w:rPr>
        <w:t>解密异常的处理</w:t>
      </w:r>
    </w:p>
    <w:p w14:paraId="482E37A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如出现</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的电子磋商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无法解密等异常情况，</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应及时致电中介服务机构说明。磋商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异常，按以下步骤进行处理：</w:t>
      </w:r>
    </w:p>
    <w:p w14:paraId="488B88F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（1）首先由技术人员进行问题排查。</w:t>
      </w:r>
    </w:p>
    <w:p w14:paraId="529B03D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（2）经技术人员排查后，是</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文件自身问题导致磋商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无法解密的，该磋商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将不予接收、解密和唱标。开标会议继续进行。</w:t>
      </w:r>
    </w:p>
    <w:p w14:paraId="43F2899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（3）经技术人员排查后，如果是电子化交易系统问题造成磋商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无法解密的，将由技术人员对问题进行处理。如短时间内问题无法解决的，将由中介服务机构向监督部门申请，经监督部门同意后，暂停开标会议，待问题解决后继续开标。</w:t>
      </w:r>
    </w:p>
    <w:bookmarkEnd w:id="246"/>
    <w:bookmarkEnd w:id="247"/>
    <w:bookmarkEnd w:id="248"/>
    <w:bookmarkEnd w:id="249"/>
    <w:bookmarkEnd w:id="250"/>
    <w:bookmarkEnd w:id="251"/>
    <w:bookmarkEnd w:id="252"/>
    <w:bookmarkEnd w:id="253"/>
    <w:bookmarkEnd w:id="254"/>
    <w:bookmarkEnd w:id="255"/>
    <w:bookmarkEnd w:id="256"/>
    <w:bookmarkEnd w:id="257"/>
    <w:p w14:paraId="52D2F5E0">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58" w:name="_Toc152045563"/>
      <w:bookmarkStart w:id="259" w:name="_Toc144974531"/>
      <w:bookmarkStart w:id="260" w:name="_Toc246996207"/>
      <w:bookmarkStart w:id="261" w:name="_Toc77586847"/>
      <w:bookmarkStart w:id="262" w:name="_Toc296602452"/>
      <w:bookmarkStart w:id="263" w:name="_Toc152042339"/>
      <w:bookmarkStart w:id="264" w:name="_Toc179632581"/>
      <w:bookmarkStart w:id="265" w:name="_Toc247085721"/>
      <w:bookmarkStart w:id="266" w:name="_Toc246996950"/>
      <w:bookmarkStart w:id="267" w:name="_Toc77586940"/>
      <w:r>
        <w:rPr>
          <w:rFonts w:hint="eastAsia" w:ascii="宋体" w:hAnsi="宋体" w:eastAsia="宋体" w:cs="宋体"/>
          <w:sz w:val="24"/>
          <w:szCs w:val="24"/>
          <w:highlight w:val="none"/>
        </w:rPr>
        <w:t>5.4 磋商小组</w:t>
      </w:r>
      <w:bookmarkEnd w:id="258"/>
      <w:bookmarkEnd w:id="259"/>
      <w:bookmarkEnd w:id="260"/>
      <w:bookmarkEnd w:id="261"/>
      <w:bookmarkEnd w:id="262"/>
      <w:bookmarkEnd w:id="263"/>
      <w:bookmarkEnd w:id="264"/>
      <w:bookmarkEnd w:id="265"/>
      <w:bookmarkEnd w:id="266"/>
      <w:bookmarkEnd w:id="267"/>
    </w:p>
    <w:p w14:paraId="3E7D093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44"/>
          <w:sz w:val="24"/>
          <w:szCs w:val="24"/>
          <w:highlight w:val="none"/>
        </w:rPr>
      </w:pPr>
      <w:r>
        <w:rPr>
          <w:rFonts w:hint="eastAsia" w:ascii="宋体" w:hAnsi="宋体" w:eastAsia="宋体" w:cs="宋体"/>
          <w:sz w:val="24"/>
          <w:szCs w:val="24"/>
          <w:highlight w:val="none"/>
        </w:rPr>
        <w:t xml:space="preserve">5.4.1 </w:t>
      </w:r>
      <w:r>
        <w:rPr>
          <w:rFonts w:hint="eastAsia" w:ascii="宋体" w:hAnsi="宋体" w:eastAsia="宋体" w:cs="宋体"/>
          <w:kern w:val="44"/>
          <w:sz w:val="24"/>
          <w:szCs w:val="24"/>
          <w:highlight w:val="none"/>
        </w:rPr>
        <w:t>磋商小组：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代表及有关经济、技术等方面的专家共3人组成，</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代表1人，经济、技术等方面的专家各1人。</w:t>
      </w:r>
    </w:p>
    <w:p w14:paraId="6960DFE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44"/>
          <w:sz w:val="24"/>
          <w:szCs w:val="24"/>
          <w:highlight w:val="none"/>
        </w:rPr>
        <w:t>专家确定方式：</w:t>
      </w:r>
      <w:r>
        <w:rPr>
          <w:rFonts w:hint="eastAsia" w:ascii="宋体" w:hAnsi="宋体" w:eastAsia="宋体" w:cs="宋体"/>
          <w:sz w:val="24"/>
          <w:szCs w:val="24"/>
          <w:highlight w:val="none"/>
        </w:rPr>
        <w:t>开标后从相关评标专家库中随机抽取。</w:t>
      </w:r>
    </w:p>
    <w:p w14:paraId="0F9D8A6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5.4.2磋商小组对所有</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进行评审，按评审后得分由高到低顺序排列，递交给</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w:t>
      </w:r>
    </w:p>
    <w:p w14:paraId="7E40216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5.4.3磋商小组成员要遵纪守法，客观、公正、廉洁地履行职责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A7BE07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5.4.3磋商小组成员和评审工作有关人员不得干预或者影响正常评审工作，不得明示或者暗示其倾向性、引导性意见，不得修改磋商文件确定的评审程序、评审方法，不得征询</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597C2822">
      <w:pPr>
        <w:pStyle w:val="37"/>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5.4.4磋商小组成员要参与磋商报告的起草，要配合招标人、采购代理机构答复响应标人提出的质疑，配合财政部门的投诉处理和监督检查工作。</w:t>
      </w:r>
    </w:p>
    <w:p w14:paraId="7B09B6D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磋商小组成员有下列情形之一的，应当回避：</w:t>
      </w:r>
    </w:p>
    <w:p w14:paraId="51BDD04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主要负责人的近亲属；</w:t>
      </w:r>
    </w:p>
    <w:p w14:paraId="42EBC6F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（2）项目主管部门或者行政监督部门的人员；</w:t>
      </w:r>
    </w:p>
    <w:p w14:paraId="135B3AC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有经济利益关系；</w:t>
      </w:r>
    </w:p>
    <w:p w14:paraId="15B3094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（4）曾因在招标、评标以及其他与招标投标有关活动中从事违法行为而受过行政处罚或刑事处罚的；</w:t>
      </w:r>
    </w:p>
    <w:p w14:paraId="5D0A868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有其他利害关系。</w:t>
      </w:r>
    </w:p>
    <w:p w14:paraId="3810204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5.5磋商原则和方法</w:t>
      </w:r>
    </w:p>
    <w:p w14:paraId="0A71782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5.5.1坚持公开、公平、公正的原则。</w:t>
      </w:r>
    </w:p>
    <w:p w14:paraId="273D4B8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5.5.2磋商在磋商小组应当集中与单一</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分别进行磋商，磋商小组将遵照磋商原则，公正、平等地对待所有</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。反对不正当竞争。</w:t>
      </w:r>
    </w:p>
    <w:p w14:paraId="7E882B4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5.5.3评审方法</w:t>
      </w:r>
    </w:p>
    <w:p w14:paraId="28E0EA7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（1）初步评审（是否响应竞争性磋商文件的要求），确定合格的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w:t>
      </w:r>
    </w:p>
    <w:p w14:paraId="58CE468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在磋商小组规定的时间内依据各自情况进行第二次报价，通过交易中心系统以电子形式递交，第二次报价为最终报价。</w:t>
      </w:r>
    </w:p>
    <w:p w14:paraId="13BB6FD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本项目采用综合评分法，磋商小组成员综合评审各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提交的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，采用综合评分法对提交最后报价的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和最后报价进行综合评分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按总得分由高到低的顺序推荐3名成交候选人，并编写评审报告。</w:t>
      </w:r>
    </w:p>
    <w:p w14:paraId="5339229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kern w:val="28"/>
          <w:sz w:val="24"/>
          <w:szCs w:val="24"/>
          <w:highlight w:val="none"/>
          <w:lang w:eastAsia="zh-CN"/>
        </w:rPr>
      </w:pPr>
      <w:r>
        <w:rPr>
          <w:rFonts w:hint="eastAsia" w:ascii="宋体" w:hAnsi="宋体" w:eastAsia="宋体" w:cs="宋体"/>
          <w:b/>
          <w:bCs/>
          <w:kern w:val="28"/>
          <w:sz w:val="24"/>
          <w:szCs w:val="24"/>
          <w:highlight w:val="none"/>
        </w:rPr>
        <w:t>5.6对</w:t>
      </w:r>
      <w:r>
        <w:rPr>
          <w:rFonts w:hint="eastAsia" w:ascii="宋体" w:hAnsi="宋体" w:eastAsia="宋体" w:cs="宋体"/>
          <w:b/>
          <w:bCs/>
          <w:kern w:val="28"/>
          <w:sz w:val="24"/>
          <w:szCs w:val="24"/>
          <w:highlight w:val="none"/>
          <w:lang w:eastAsia="zh-CN"/>
        </w:rPr>
        <w:t>投标人</w:t>
      </w:r>
      <w:r>
        <w:rPr>
          <w:rFonts w:hint="eastAsia" w:ascii="宋体" w:hAnsi="宋体" w:eastAsia="宋体" w:cs="宋体"/>
          <w:b/>
          <w:bCs/>
          <w:kern w:val="28"/>
          <w:sz w:val="24"/>
          <w:szCs w:val="24"/>
          <w:highlight w:val="none"/>
        </w:rPr>
        <w:t>的</w:t>
      </w:r>
      <w:r>
        <w:rPr>
          <w:rFonts w:hint="eastAsia" w:ascii="宋体" w:hAnsi="宋体" w:eastAsia="宋体" w:cs="宋体"/>
          <w:b/>
          <w:bCs/>
          <w:kern w:val="28"/>
          <w:sz w:val="24"/>
          <w:szCs w:val="24"/>
          <w:highlight w:val="none"/>
          <w:lang w:val="en-US" w:eastAsia="zh-CN"/>
        </w:rPr>
        <w:t>评审</w:t>
      </w:r>
    </w:p>
    <w:p w14:paraId="22264D5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5.6.1磋商小组只对已判定为实质性响应且通过初步审查的磋商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进行详细评价和比较。</w:t>
      </w:r>
    </w:p>
    <w:p w14:paraId="76AB929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5.6.2磋商小组所有成员应当集中与单一</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分别进行磋商，并给予所有参加磋商的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平等的磋商机会。磋商完成后，要求其在规定时间内提交最后报价，提交最后报价的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可以为两家。</w:t>
      </w:r>
    </w:p>
    <w:p w14:paraId="60ED7C8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5.6.3经磋商确定最终工程需求和提交最后报价的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后，磋商小组采用综合评分法对提交最后报价的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和最后报价进行综合评分。</w:t>
      </w:r>
    </w:p>
    <w:p w14:paraId="57FDA28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2811E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5.6.5如果第一名</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放弃成交资格或因不可抗力提出不能履行合同、竞争性磋商文件规定应当提交履约担保而在规定的期限内未能提交的，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可以按照评审报告推荐的成交候选人</w:t>
      </w:r>
      <w:r>
        <w:rPr>
          <w:rFonts w:hint="eastAsia" w:ascii="宋体" w:hAnsi="宋体" w:eastAsia="宋体" w:cs="宋体"/>
          <w:sz w:val="24"/>
          <w:szCs w:val="24"/>
          <w:highlight w:val="none"/>
          <w:lang w:eastAsia="zh-CN"/>
        </w:rPr>
        <w:t>名单，确定下一成交候选人为成交人，也可以重新开展采购活动。</w:t>
      </w:r>
    </w:p>
    <w:p w14:paraId="5E5A191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lang w:eastAsia="zh-CN"/>
        </w:rPr>
        <w:t>磋商过程的保密</w:t>
      </w:r>
    </w:p>
    <w:p w14:paraId="0B96264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lang w:eastAsia="zh-CN"/>
        </w:rPr>
        <w:t>.1投标文件的审查、澄清、评价和比较的有关资料以及成交候选人的推荐情况，与磋商有关的其他任何情况均应严格保密。</w:t>
      </w:r>
    </w:p>
    <w:p w14:paraId="56DFA2F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lang w:eastAsia="zh-CN"/>
        </w:rPr>
        <w:t>.2在投标文件的评审和比较、成交候选人推荐以及授予合同的过程中，</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向</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eastAsia="zh-CN"/>
        </w:rPr>
        <w:t>和磋商小组施加影响的任何行为，都将会导致其磋商被拒绝。</w:t>
      </w:r>
    </w:p>
    <w:p w14:paraId="787EB1B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eastAsia="zh-CN"/>
        </w:rPr>
        <w:t>不对未成交人就磋商过程以及未能成交原因作出任何解释。未成交人不得向磋商小组成员和其他有关人员索问磋商过程的情况和资料。</w:t>
      </w:r>
    </w:p>
    <w:p w14:paraId="217DEEB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5.8 投标文件的澄清</w:t>
      </w:r>
    </w:p>
    <w:p w14:paraId="55B9240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磋商小组可以以书面形式要求</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对其投标文件中含义不明确的内容作必要的澄清或说明。</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应采用书面形式进行澄清和说明，但不得超出投标文件的范围或者改变投标文件实质性内容。凡属于磋商小组在磋商发现的计算错误并进行核实的修改不在此列。</w:t>
      </w:r>
    </w:p>
    <w:p w14:paraId="5501840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5.9 投标文件的初步评审</w:t>
      </w:r>
    </w:p>
    <w:p w14:paraId="398428C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lang w:eastAsia="zh-CN"/>
        </w:rPr>
        <w:t>.1根据初步评审要求经审查有效的投标文件，才能提交磋商小组进行评审。</w:t>
      </w:r>
    </w:p>
    <w:p w14:paraId="6205A66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lang w:eastAsia="zh-CN"/>
        </w:rPr>
        <w:t>.2磋商小组首先评定每份投标文件是否实质上响应了竞争性磋商文件的要求。所谓实质上响应，是指投标文件与竞争性磋商文件的所有实质性条款、条件和要求相符，无显著差异或保留，或者对合同中约定的</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eastAsia="zh-CN"/>
        </w:rPr>
        <w:t>的权利和</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的义务方面造成重大的限制，纠正这些差异或保留，将会对其他实质上响应竞争性磋商文件要求的投标人的竞争地位产生不公正的影响。</w:t>
      </w:r>
    </w:p>
    <w:p w14:paraId="29B0D5A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lang w:eastAsia="zh-CN"/>
        </w:rPr>
        <w:t>.3如果投标文件实质上不响应竞争性磋商文件的要求，招标人将予以拒绝，并且不允许投标人通过修改或撤消其不符合要求的差异或保留，使之成为具有响应性的磋商。</w:t>
      </w:r>
    </w:p>
    <w:p w14:paraId="01C8A2C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5.10 投标文件计算错误的修正</w:t>
      </w:r>
    </w:p>
    <w:p w14:paraId="21BC43C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磋商小组将对确定为实质上响应竞争性磋商文件要求的投标文件进行校核，看其是否有计算或表达上的错误，修正错误的原则如下：</w:t>
      </w:r>
    </w:p>
    <w:p w14:paraId="66B45ED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5.10</w:t>
      </w:r>
      <w:r>
        <w:rPr>
          <w:rFonts w:hint="eastAsia" w:ascii="宋体" w:hAnsi="宋体" w:eastAsia="宋体" w:cs="宋体"/>
          <w:sz w:val="24"/>
          <w:szCs w:val="24"/>
          <w:highlight w:val="none"/>
          <w:lang w:eastAsia="zh-CN"/>
        </w:rPr>
        <w:t>.1如果数字表示的金额和用文字表示的金额不一致时，应以文字表示的金额为准；</w:t>
      </w:r>
    </w:p>
    <w:p w14:paraId="49AB82B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5.10</w:t>
      </w:r>
      <w:r>
        <w:rPr>
          <w:rFonts w:hint="eastAsia" w:ascii="宋体" w:hAnsi="宋体" w:eastAsia="宋体" w:cs="宋体"/>
          <w:sz w:val="24"/>
          <w:szCs w:val="24"/>
          <w:highlight w:val="none"/>
          <w:lang w:eastAsia="zh-CN"/>
        </w:rPr>
        <w:t>.2当单价与数量的乘积与合价不一致时，以单价为准，除非磋商小组认为单价有明显的小数点错误，此时应以标出的合价为准，并修改单价。</w:t>
      </w:r>
    </w:p>
    <w:p w14:paraId="5A1BC3C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5.10.3</w:t>
      </w:r>
      <w:r>
        <w:rPr>
          <w:rFonts w:hint="eastAsia" w:ascii="宋体" w:hAnsi="宋体" w:eastAsia="宋体" w:cs="宋体"/>
          <w:sz w:val="24"/>
          <w:szCs w:val="24"/>
          <w:highlight w:val="none"/>
          <w:lang w:eastAsia="zh-CN"/>
        </w:rPr>
        <w:t>按上述修正错误的原则及方法调整或修正投标文件的磋商报价，投标人同意后，调整后的磋商报价对投标人起约束作用。如果投标人不接受修正后的报价，则磋商小组对其不再进行评审。</w:t>
      </w:r>
    </w:p>
    <w:p w14:paraId="6A1924F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 投标文件的评审、比较和否决</w:t>
      </w:r>
    </w:p>
    <w:p w14:paraId="256AA1F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.1磋商小组仅对在实质上响应竞争性磋商文件要求的投标文件进行评估和比较。</w:t>
      </w:r>
    </w:p>
    <w:p w14:paraId="56158B3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2在磋商过程中，磋商小组发现投标人的磋商报价明显低于其他投标人的报价，并有可能低于其企业成本的，则磋商小组可以以书面形式要求该投标人作出书面说明并提供相关证明材料。投标人不能合理说明或不能提供相关证明材料的，磋商小组对其投标文件不再进行评审。</w:t>
      </w:r>
    </w:p>
    <w:p w14:paraId="3BC12FD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 xml:space="preserve">.3在首轮磋商的基础上，磋商小组讨论、分析、综合各种因素后，决定是否与各方再次进行磋商。 </w:t>
      </w:r>
    </w:p>
    <w:p w14:paraId="089C4155">
      <w:pPr>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firstLine="480" w:firstLineChars="200"/>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.3在首轮磋</w:t>
      </w:r>
      <w:r>
        <w:rPr>
          <w:rFonts w:hint="eastAsia" w:ascii="宋体" w:hAnsi="宋体" w:eastAsia="宋体" w:cs="宋体"/>
          <w:b w:val="0"/>
          <w:bCs w:val="0"/>
          <w:sz w:val="24"/>
          <w:szCs w:val="24"/>
          <w:highlight w:val="none"/>
          <w:lang w:eastAsia="zh-CN"/>
        </w:rPr>
        <w:t xml:space="preserve">商的基础上，磋商小组讨论、分析、综合各种因素后，决定是否与各方再次进行磋商。 </w:t>
      </w:r>
    </w:p>
    <w:p w14:paraId="7145223C">
      <w:pPr>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firstLine="464" w:firstLineChars="200"/>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napToGrid w:val="0"/>
          <w:spacing w:val="-4"/>
          <w:sz w:val="24"/>
          <w:szCs w:val="24"/>
          <w:highlight w:val="none"/>
          <w:lang w:val="en-US" w:eastAsia="zh-CN"/>
        </w:rPr>
        <w:t>5.11.4</w:t>
      </w:r>
      <w:r>
        <w:rPr>
          <w:rFonts w:hint="eastAsia" w:ascii="宋体" w:hAnsi="宋体" w:eastAsia="宋体" w:cs="宋体"/>
          <w:b w:val="0"/>
          <w:bCs w:val="0"/>
          <w:snapToGrid w:val="0"/>
          <w:spacing w:val="-4"/>
          <w:sz w:val="24"/>
          <w:szCs w:val="24"/>
          <w:highlight w:val="none"/>
        </w:rPr>
        <w:t>磋商截止时间结束后参加供应商不足3家的，项目予以废标。在评审期间根据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D9507E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lang w:eastAsia="zh-CN"/>
        </w:rPr>
      </w:pPr>
      <w:bookmarkStart w:id="268" w:name="_Toc144974534"/>
      <w:bookmarkStart w:id="269" w:name="_Toc247085724"/>
      <w:bookmarkStart w:id="270" w:name="_Toc179632584"/>
      <w:bookmarkStart w:id="271" w:name="_Toc152045566"/>
      <w:bookmarkStart w:id="272" w:name="_Toc246996953"/>
      <w:bookmarkStart w:id="273" w:name="_Toc296602455"/>
      <w:bookmarkStart w:id="274" w:name="_Toc246996210"/>
      <w:bookmarkStart w:id="275" w:name="_Toc152042342"/>
      <w:r>
        <w:rPr>
          <w:rFonts w:hint="eastAsia" w:ascii="宋体" w:hAnsi="宋体" w:eastAsia="宋体" w:cs="宋体"/>
          <w:b/>
          <w:bCs/>
          <w:sz w:val="24"/>
          <w:szCs w:val="24"/>
          <w:highlight w:val="none"/>
          <w:lang w:eastAsia="zh-CN"/>
        </w:rPr>
        <w:t>5.</w:t>
      </w: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lang w:eastAsia="zh-CN"/>
        </w:rPr>
        <w:t>确定成交人</w:t>
      </w:r>
    </w:p>
    <w:p w14:paraId="37A6844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磋商小组应当根据综合评分情况，按照评审有高到低的顺序推荐成交候选人，并编写评标报告。</w:t>
      </w:r>
    </w:p>
    <w:p w14:paraId="5F058616">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76" w:name="_Toc77586941"/>
      <w:bookmarkStart w:id="277" w:name="_Toc77586848"/>
      <w:r>
        <w:rPr>
          <w:rFonts w:hint="eastAsia" w:ascii="宋体" w:hAnsi="宋体" w:eastAsia="宋体" w:cs="宋体"/>
          <w:sz w:val="24"/>
          <w:szCs w:val="24"/>
          <w:highlight w:val="none"/>
        </w:rPr>
        <w:t>6. 合同授予</w:t>
      </w:r>
      <w:bookmarkEnd w:id="268"/>
      <w:bookmarkEnd w:id="269"/>
      <w:bookmarkEnd w:id="270"/>
      <w:bookmarkEnd w:id="271"/>
      <w:bookmarkEnd w:id="272"/>
      <w:bookmarkEnd w:id="273"/>
      <w:bookmarkEnd w:id="274"/>
      <w:bookmarkEnd w:id="275"/>
      <w:bookmarkEnd w:id="276"/>
      <w:bookmarkEnd w:id="277"/>
    </w:p>
    <w:p w14:paraId="2FCD95C7">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78" w:name="_Toc246996954"/>
      <w:bookmarkStart w:id="279" w:name="_Toc144974535"/>
      <w:bookmarkStart w:id="280" w:name="_Toc296602456"/>
      <w:bookmarkStart w:id="281" w:name="_Toc77586942"/>
      <w:bookmarkStart w:id="282" w:name="_Toc247085725"/>
      <w:bookmarkStart w:id="283" w:name="_Toc179632585"/>
      <w:bookmarkStart w:id="284" w:name="_Toc246996211"/>
      <w:bookmarkStart w:id="285" w:name="_Toc152042343"/>
      <w:bookmarkStart w:id="286" w:name="_Toc152045567"/>
      <w:bookmarkStart w:id="287" w:name="_Toc77586849"/>
      <w:r>
        <w:rPr>
          <w:rFonts w:hint="eastAsia" w:ascii="宋体" w:hAnsi="宋体" w:eastAsia="宋体" w:cs="宋体"/>
          <w:sz w:val="24"/>
          <w:szCs w:val="24"/>
          <w:highlight w:val="none"/>
        </w:rPr>
        <w:t>6.1 定标方式</w:t>
      </w:r>
      <w:bookmarkEnd w:id="278"/>
      <w:bookmarkEnd w:id="279"/>
      <w:bookmarkEnd w:id="280"/>
      <w:bookmarkEnd w:id="281"/>
      <w:bookmarkEnd w:id="282"/>
      <w:bookmarkEnd w:id="283"/>
      <w:bookmarkEnd w:id="284"/>
      <w:bookmarkEnd w:id="285"/>
      <w:bookmarkEnd w:id="286"/>
      <w:bookmarkEnd w:id="287"/>
    </w:p>
    <w:p w14:paraId="2A01185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依据磋商小组推荐的成交候选人确定成交人。</w:t>
      </w:r>
    </w:p>
    <w:p w14:paraId="0E72A98C">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88" w:name="_Toc77586943"/>
      <w:bookmarkStart w:id="289" w:name="_Toc77586850"/>
      <w:bookmarkStart w:id="290" w:name="_Toc296602457"/>
      <w:r>
        <w:rPr>
          <w:rFonts w:hint="eastAsia" w:ascii="宋体" w:hAnsi="宋体" w:eastAsia="宋体" w:cs="宋体"/>
          <w:sz w:val="24"/>
          <w:szCs w:val="24"/>
          <w:highlight w:val="none"/>
        </w:rPr>
        <w:t>6.2 成交候选人公示</w:t>
      </w:r>
      <w:bookmarkEnd w:id="288"/>
      <w:bookmarkEnd w:id="289"/>
      <w:bookmarkEnd w:id="290"/>
    </w:p>
    <w:p w14:paraId="627F7F2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须知前附表规定的媒介公示成交候选人。</w:t>
      </w:r>
    </w:p>
    <w:p w14:paraId="4668FEDA">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91" w:name="_Toc296602458"/>
      <w:bookmarkStart w:id="292" w:name="_Toc246996212"/>
      <w:bookmarkStart w:id="293" w:name="_Toc246996955"/>
      <w:bookmarkStart w:id="294" w:name="_Toc144974536"/>
      <w:bookmarkStart w:id="295" w:name="_Toc247085726"/>
      <w:bookmarkStart w:id="296" w:name="_Toc152045568"/>
      <w:bookmarkStart w:id="297" w:name="_Toc77586944"/>
      <w:bookmarkStart w:id="298" w:name="_Toc152042344"/>
      <w:bookmarkStart w:id="299" w:name="_Toc77586851"/>
      <w:bookmarkStart w:id="300" w:name="_Toc179632586"/>
      <w:r>
        <w:rPr>
          <w:rFonts w:hint="eastAsia" w:ascii="宋体" w:hAnsi="宋体" w:eastAsia="宋体" w:cs="宋体"/>
          <w:sz w:val="24"/>
          <w:szCs w:val="24"/>
          <w:highlight w:val="none"/>
        </w:rPr>
        <w:t>6.3 成交通知</w:t>
      </w:r>
      <w:bookmarkEnd w:id="291"/>
      <w:bookmarkEnd w:id="292"/>
      <w:bookmarkEnd w:id="293"/>
      <w:bookmarkEnd w:id="294"/>
      <w:bookmarkEnd w:id="295"/>
      <w:bookmarkEnd w:id="296"/>
      <w:bookmarkEnd w:id="297"/>
      <w:bookmarkEnd w:id="298"/>
      <w:bookmarkEnd w:id="299"/>
      <w:bookmarkEnd w:id="300"/>
    </w:p>
    <w:p w14:paraId="01D3616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在本章第3.3款规定的投标有效期内，</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以书面形式向成交人发出成交通知书，同时将成交结果通知未成交的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w:t>
      </w:r>
    </w:p>
    <w:p w14:paraId="26D6266C">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01" w:name="_Toc246996956"/>
      <w:bookmarkStart w:id="302" w:name="_Toc296602459"/>
      <w:bookmarkStart w:id="303" w:name="_Toc247085727"/>
      <w:bookmarkStart w:id="304" w:name="_Toc246996213"/>
      <w:bookmarkStart w:id="305" w:name="_Toc144974537"/>
      <w:bookmarkStart w:id="306" w:name="_Toc152045569"/>
      <w:bookmarkStart w:id="307" w:name="_Toc152042345"/>
      <w:bookmarkStart w:id="308" w:name="_Toc179632587"/>
      <w:bookmarkStart w:id="309" w:name="_Toc77586852"/>
      <w:bookmarkStart w:id="310" w:name="_Toc77586945"/>
      <w:r>
        <w:rPr>
          <w:rFonts w:hint="eastAsia" w:ascii="宋体" w:hAnsi="宋体" w:eastAsia="宋体" w:cs="宋体"/>
          <w:sz w:val="24"/>
          <w:szCs w:val="24"/>
          <w:highlight w:val="none"/>
        </w:rPr>
        <w:t xml:space="preserve">6.4 </w:t>
      </w:r>
      <w:bookmarkEnd w:id="301"/>
      <w:bookmarkEnd w:id="302"/>
      <w:bookmarkEnd w:id="303"/>
      <w:bookmarkEnd w:id="304"/>
      <w:bookmarkEnd w:id="305"/>
      <w:bookmarkEnd w:id="306"/>
      <w:bookmarkEnd w:id="307"/>
      <w:bookmarkEnd w:id="308"/>
      <w:bookmarkEnd w:id="309"/>
      <w:bookmarkEnd w:id="310"/>
      <w:bookmarkStart w:id="311" w:name="_Toc77586853"/>
      <w:bookmarkStart w:id="312" w:name="_Toc179632588"/>
      <w:bookmarkStart w:id="313" w:name="_Toc246996957"/>
      <w:bookmarkStart w:id="314" w:name="_Toc247085728"/>
      <w:bookmarkStart w:id="315" w:name="_Toc152042346"/>
      <w:bookmarkStart w:id="316" w:name="_Toc77586946"/>
      <w:bookmarkStart w:id="317" w:name="_Toc296602460"/>
      <w:bookmarkStart w:id="318" w:name="_Toc246996214"/>
      <w:bookmarkStart w:id="319" w:name="_Toc144974538"/>
      <w:bookmarkStart w:id="320" w:name="_Toc152045570"/>
      <w:r>
        <w:rPr>
          <w:rFonts w:hint="eastAsia" w:ascii="宋体" w:hAnsi="宋体" w:eastAsia="宋体" w:cs="宋体"/>
          <w:sz w:val="24"/>
          <w:szCs w:val="24"/>
          <w:highlight w:val="none"/>
        </w:rPr>
        <w:t>签订合同</w:t>
      </w:r>
      <w:bookmarkEnd w:id="311"/>
      <w:bookmarkEnd w:id="312"/>
      <w:bookmarkEnd w:id="313"/>
      <w:bookmarkEnd w:id="314"/>
      <w:bookmarkEnd w:id="315"/>
      <w:bookmarkEnd w:id="316"/>
      <w:bookmarkEnd w:id="317"/>
      <w:bookmarkEnd w:id="318"/>
      <w:bookmarkEnd w:id="319"/>
      <w:bookmarkEnd w:id="320"/>
    </w:p>
    <w:p w14:paraId="0AA1BBC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6.4.1</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和成交人应当自成交通知书发出之日起2个工作日内，根据竞争性磋商文件和成交人的磋商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订立书面合同。成交人无正当理由拒签合同的，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取消其成交资格，给</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造成的损失应当予以赔偿。</w:t>
      </w:r>
    </w:p>
    <w:p w14:paraId="447A428F">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21" w:name="_Toc296602461"/>
      <w:bookmarkStart w:id="322" w:name="_Toc77586947"/>
      <w:bookmarkStart w:id="323" w:name="_Toc77586854"/>
      <w:r>
        <w:rPr>
          <w:rFonts w:hint="eastAsia" w:ascii="宋体" w:hAnsi="宋体" w:eastAsia="宋体" w:cs="宋体"/>
          <w:sz w:val="24"/>
          <w:szCs w:val="24"/>
          <w:highlight w:val="none"/>
        </w:rPr>
        <w:t>7. 纪律和监督</w:t>
      </w:r>
      <w:bookmarkEnd w:id="321"/>
      <w:bookmarkEnd w:id="322"/>
      <w:bookmarkEnd w:id="323"/>
    </w:p>
    <w:p w14:paraId="2CB2BE06">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24" w:name="_Toc247085733"/>
      <w:bookmarkStart w:id="325" w:name="_Toc246996219"/>
      <w:bookmarkStart w:id="326" w:name="_Toc144974543"/>
      <w:bookmarkStart w:id="327" w:name="_Toc246996962"/>
      <w:bookmarkStart w:id="328" w:name="_Toc296602462"/>
      <w:bookmarkStart w:id="329" w:name="_Toc77586948"/>
      <w:bookmarkStart w:id="330" w:name="_Toc77586855"/>
      <w:bookmarkStart w:id="331" w:name="_Toc152045575"/>
      <w:bookmarkStart w:id="332" w:name="_Toc152042351"/>
      <w:bookmarkStart w:id="333" w:name="_Toc296590983"/>
      <w:bookmarkStart w:id="334" w:name="_Toc179632593"/>
      <w:r>
        <w:rPr>
          <w:rFonts w:hint="eastAsia" w:ascii="宋体" w:hAnsi="宋体" w:eastAsia="宋体" w:cs="宋体"/>
          <w:sz w:val="24"/>
          <w:szCs w:val="24"/>
          <w:highlight w:val="none"/>
        </w:rPr>
        <w:t>7.1 对</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的纪律要求</w:t>
      </w:r>
      <w:bookmarkEnd w:id="324"/>
      <w:bookmarkEnd w:id="325"/>
      <w:bookmarkEnd w:id="326"/>
      <w:bookmarkEnd w:id="327"/>
      <w:bookmarkEnd w:id="328"/>
      <w:bookmarkEnd w:id="329"/>
      <w:bookmarkEnd w:id="330"/>
      <w:bookmarkEnd w:id="331"/>
      <w:bookmarkEnd w:id="332"/>
      <w:bookmarkEnd w:id="333"/>
      <w:bookmarkEnd w:id="334"/>
    </w:p>
    <w:p w14:paraId="518F51E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不得泄漏招标投标活动中应当保密的情况和资料，不得与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串通损害国家利益、社会公共利益或者他人合法权益。</w:t>
      </w:r>
    </w:p>
    <w:p w14:paraId="30E627BB">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35" w:name="_Toc246996963"/>
      <w:bookmarkStart w:id="336" w:name="_Toc179632594"/>
      <w:bookmarkStart w:id="337" w:name="_Toc247085734"/>
      <w:bookmarkStart w:id="338" w:name="_Toc77586949"/>
      <w:bookmarkStart w:id="339" w:name="_Toc77586856"/>
      <w:bookmarkStart w:id="340" w:name="_Toc152042352"/>
      <w:bookmarkStart w:id="341" w:name="_Toc152045576"/>
      <w:bookmarkStart w:id="342" w:name="_Toc296602463"/>
      <w:bookmarkStart w:id="343" w:name="_Toc144974544"/>
      <w:bookmarkStart w:id="344" w:name="_Toc246996220"/>
      <w:r>
        <w:rPr>
          <w:rFonts w:hint="eastAsia" w:ascii="宋体" w:hAnsi="宋体" w:eastAsia="宋体" w:cs="宋体"/>
          <w:sz w:val="24"/>
          <w:szCs w:val="24"/>
          <w:highlight w:val="none"/>
        </w:rPr>
        <w:t>7.2 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的纪律要求</w:t>
      </w:r>
      <w:bookmarkEnd w:id="335"/>
      <w:bookmarkEnd w:id="336"/>
      <w:bookmarkEnd w:id="337"/>
      <w:bookmarkEnd w:id="338"/>
      <w:bookmarkEnd w:id="339"/>
      <w:bookmarkEnd w:id="340"/>
      <w:bookmarkEnd w:id="341"/>
      <w:bookmarkEnd w:id="342"/>
      <w:bookmarkEnd w:id="343"/>
      <w:bookmarkEnd w:id="344"/>
    </w:p>
    <w:p w14:paraId="15DE9B2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不得相互串通投标或者与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串通投标，不得向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或者磋商小组成员行贿谋取成交，不得以他人名义投标或者以其他方式弄虚作假骗取成交；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不得以任何方式干扰、影响评标工作。</w:t>
      </w:r>
    </w:p>
    <w:p w14:paraId="3B87597D">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45" w:name="_Toc296602464"/>
      <w:bookmarkStart w:id="346" w:name="_Toc152045577"/>
      <w:bookmarkStart w:id="347" w:name="_Toc247085735"/>
      <w:bookmarkStart w:id="348" w:name="_Toc144974545"/>
      <w:bookmarkStart w:id="349" w:name="_Toc77586857"/>
      <w:bookmarkStart w:id="350" w:name="_Toc77586950"/>
      <w:bookmarkStart w:id="351" w:name="_Toc246996964"/>
      <w:bookmarkStart w:id="352" w:name="_Toc179632595"/>
      <w:bookmarkStart w:id="353" w:name="_Toc152042353"/>
      <w:bookmarkStart w:id="354" w:name="_Toc246996221"/>
      <w:r>
        <w:rPr>
          <w:rFonts w:hint="eastAsia" w:ascii="宋体" w:hAnsi="宋体" w:eastAsia="宋体" w:cs="宋体"/>
          <w:sz w:val="24"/>
          <w:szCs w:val="24"/>
          <w:highlight w:val="none"/>
        </w:rPr>
        <w:t>7.3 对磋商小组成员的纪律要求</w:t>
      </w:r>
      <w:bookmarkEnd w:id="345"/>
      <w:bookmarkEnd w:id="346"/>
      <w:bookmarkEnd w:id="347"/>
      <w:bookmarkEnd w:id="348"/>
      <w:bookmarkEnd w:id="349"/>
      <w:bookmarkEnd w:id="350"/>
      <w:bookmarkEnd w:id="351"/>
      <w:bookmarkEnd w:id="352"/>
      <w:bookmarkEnd w:id="353"/>
      <w:bookmarkEnd w:id="354"/>
    </w:p>
    <w:p w14:paraId="02A661A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磋商小组成员不得收受他人的财物或者其他好处，不得向他人透漏对磋商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53400E4E">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55" w:name="_Toc296602465"/>
      <w:bookmarkStart w:id="356" w:name="_Toc179632596"/>
      <w:bookmarkStart w:id="357" w:name="_Toc77586858"/>
      <w:bookmarkStart w:id="358" w:name="_Toc152042354"/>
      <w:bookmarkStart w:id="359" w:name="_Toc246996222"/>
      <w:bookmarkStart w:id="360" w:name="_Toc77586951"/>
      <w:bookmarkStart w:id="361" w:name="_Toc152045578"/>
      <w:bookmarkStart w:id="362" w:name="_Toc247085736"/>
      <w:bookmarkStart w:id="363" w:name="_Toc246996965"/>
      <w:bookmarkStart w:id="364" w:name="_Toc144974546"/>
      <w:r>
        <w:rPr>
          <w:rFonts w:hint="eastAsia" w:ascii="宋体" w:hAnsi="宋体" w:eastAsia="宋体" w:cs="宋体"/>
          <w:sz w:val="24"/>
          <w:szCs w:val="24"/>
          <w:highlight w:val="none"/>
        </w:rPr>
        <w:t>7.4 对与评标活动有关的工作人员的纪律要求</w:t>
      </w:r>
      <w:bookmarkEnd w:id="355"/>
      <w:bookmarkEnd w:id="356"/>
      <w:bookmarkEnd w:id="357"/>
      <w:bookmarkEnd w:id="358"/>
      <w:bookmarkEnd w:id="359"/>
      <w:bookmarkEnd w:id="360"/>
      <w:bookmarkEnd w:id="361"/>
      <w:bookmarkEnd w:id="362"/>
      <w:bookmarkEnd w:id="363"/>
    </w:p>
    <w:p w14:paraId="4CDF071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bookmarkStart w:id="365" w:name="_Toc152042355"/>
      <w:r>
        <w:rPr>
          <w:rFonts w:hint="eastAsia" w:ascii="宋体" w:hAnsi="宋体" w:eastAsia="宋体" w:cs="宋体"/>
          <w:sz w:val="24"/>
          <w:szCs w:val="24"/>
          <w:highlight w:val="none"/>
        </w:rPr>
        <w:t>与评标活动有关的工作人员不得收受他人的财物或者其他好处，不得向他人透漏对磋商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的评审和比较、成交候选人的推荐情况以及评标有关的其他情况。在评标活动中，与评标活动有关的工作人员不得擅离职守，影响评标程序正常进行。</w:t>
      </w:r>
      <w:bookmarkEnd w:id="365"/>
    </w:p>
    <w:p w14:paraId="75B2126A">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66" w:name="_Toc152042356"/>
      <w:bookmarkStart w:id="367" w:name="_Toc246996966"/>
      <w:bookmarkStart w:id="368" w:name="_Toc246996223"/>
      <w:bookmarkStart w:id="369" w:name="_Toc77586859"/>
      <w:bookmarkStart w:id="370" w:name="_Toc247085737"/>
      <w:bookmarkStart w:id="371" w:name="_Toc179632597"/>
      <w:bookmarkStart w:id="372" w:name="_Toc77586952"/>
      <w:bookmarkStart w:id="373" w:name="_Toc296602466"/>
      <w:bookmarkStart w:id="374" w:name="_Toc152045579"/>
      <w:r>
        <w:rPr>
          <w:rFonts w:hint="eastAsia" w:ascii="宋体" w:hAnsi="宋体" w:eastAsia="宋体" w:cs="宋体"/>
          <w:sz w:val="24"/>
          <w:szCs w:val="24"/>
          <w:highlight w:val="none"/>
        </w:rPr>
        <w:t>7.5 投诉</w:t>
      </w:r>
      <w:bookmarkEnd w:id="364"/>
      <w:bookmarkEnd w:id="366"/>
      <w:bookmarkEnd w:id="367"/>
      <w:bookmarkEnd w:id="368"/>
      <w:bookmarkEnd w:id="369"/>
      <w:bookmarkEnd w:id="370"/>
      <w:bookmarkEnd w:id="371"/>
      <w:bookmarkEnd w:id="372"/>
      <w:bookmarkEnd w:id="373"/>
      <w:bookmarkEnd w:id="374"/>
    </w:p>
    <w:p w14:paraId="7B54D42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和其他利害关系人认为本次招标活动违反法律、法规和规章规定的，有权向有关行政监督部门投诉。</w:t>
      </w:r>
    </w:p>
    <w:p w14:paraId="05C64240">
      <w:pPr>
        <w:pageBreakBefore w:val="0"/>
        <w:widowControl w:val="0"/>
        <w:tabs>
          <w:tab w:val="left" w:pos="3520"/>
        </w:tabs>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sz w:val="24"/>
          <w:szCs w:val="24"/>
          <w:highlight w:val="none"/>
        </w:rPr>
      </w:pPr>
      <w:bookmarkStart w:id="375" w:name="_Toc77586953"/>
      <w:bookmarkStart w:id="376" w:name="_Toc179632598"/>
      <w:bookmarkStart w:id="377" w:name="_Toc247085738"/>
      <w:bookmarkStart w:id="378" w:name="_Toc246996224"/>
      <w:bookmarkStart w:id="379" w:name="_Toc144974547"/>
      <w:bookmarkStart w:id="380" w:name="_Toc77586860"/>
      <w:bookmarkStart w:id="381" w:name="_Toc246996967"/>
      <w:bookmarkStart w:id="382" w:name="_Toc296602467"/>
      <w:bookmarkStart w:id="383" w:name="_Toc152045580"/>
      <w:bookmarkStart w:id="384" w:name="_Toc152042357"/>
      <w:r>
        <w:rPr>
          <w:rFonts w:hint="eastAsia" w:ascii="宋体" w:hAnsi="宋体" w:eastAsia="宋体" w:cs="宋体"/>
          <w:b/>
          <w:sz w:val="24"/>
          <w:szCs w:val="24"/>
          <w:highlight w:val="none"/>
        </w:rPr>
        <w:t>8.需要补充的其他内容</w:t>
      </w:r>
      <w:bookmarkEnd w:id="375"/>
      <w:bookmarkEnd w:id="376"/>
      <w:bookmarkEnd w:id="377"/>
      <w:bookmarkEnd w:id="378"/>
      <w:bookmarkEnd w:id="379"/>
      <w:bookmarkEnd w:id="380"/>
      <w:bookmarkEnd w:id="381"/>
      <w:bookmarkEnd w:id="382"/>
      <w:bookmarkEnd w:id="383"/>
      <w:bookmarkEnd w:id="384"/>
      <w:r>
        <w:rPr>
          <w:rFonts w:hint="eastAsia" w:ascii="宋体" w:hAnsi="宋体" w:eastAsia="宋体" w:cs="宋体"/>
          <w:b/>
          <w:sz w:val="24"/>
          <w:szCs w:val="24"/>
          <w:highlight w:val="none"/>
        </w:rPr>
        <w:tab/>
      </w:r>
    </w:p>
    <w:p w14:paraId="4DA373E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5891766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highlight w:val="none"/>
        </w:rPr>
      </w:pPr>
    </w:p>
    <w:p w14:paraId="4E95DC38">
      <w:pPr>
        <w:pStyle w:val="21"/>
        <w:pageBreakBefore w:val="0"/>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highlight w:val="none"/>
        </w:rPr>
      </w:pPr>
    </w:p>
    <w:bookmarkEnd w:id="11"/>
    <w:p w14:paraId="7787D8F2">
      <w:pPr>
        <w:pageBreakBefore w:val="0"/>
        <w:kinsoku/>
        <w:overflowPunct/>
        <w:topLinePunct w:val="0"/>
        <w:bidi w:val="0"/>
        <w:adjustRightInd w:val="0"/>
        <w:snapToGrid w:val="0"/>
        <w:spacing w:beforeAutospacing="0" w:afterAutospacing="0" w:line="360" w:lineRule="auto"/>
        <w:ind w:left="0" w:leftChars="0" w:right="0" w:rightChars="0" w:firstLine="0" w:firstLineChars="0"/>
        <w:contextualSpacing/>
        <w:outlineLvl w:val="9"/>
        <w:rPr>
          <w:rFonts w:hint="eastAsia" w:ascii="宋体" w:hAnsi="宋体" w:eastAsia="宋体" w:cs="宋体"/>
          <w:sz w:val="24"/>
          <w:szCs w:val="24"/>
          <w:highlight w:val="none"/>
          <w:lang w:val="en-US" w:eastAsia="zh-CN"/>
        </w:rPr>
      </w:pPr>
      <w:bookmarkStart w:id="385" w:name="_Toc16964"/>
      <w:r>
        <w:rPr>
          <w:rFonts w:hint="eastAsia" w:ascii="宋体" w:hAnsi="宋体" w:eastAsia="宋体" w:cs="宋体"/>
          <w:sz w:val="24"/>
          <w:szCs w:val="24"/>
          <w:highlight w:val="none"/>
          <w:lang w:val="en-US" w:eastAsia="zh-CN"/>
        </w:rPr>
        <w:br w:type="page"/>
      </w:r>
    </w:p>
    <w:p w14:paraId="34F416AA">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36"/>
          <w:highlight w:val="none"/>
        </w:rPr>
      </w:pPr>
      <w:bookmarkStart w:id="386" w:name="_Toc18532"/>
      <w:r>
        <w:rPr>
          <w:rFonts w:hint="eastAsia" w:ascii="宋体" w:hAnsi="宋体" w:eastAsia="宋体" w:cs="宋体"/>
          <w:b/>
          <w:bCs/>
          <w:sz w:val="36"/>
          <w:szCs w:val="36"/>
          <w:highlight w:val="none"/>
        </w:rPr>
        <w:t>第</w:t>
      </w:r>
      <w:r>
        <w:rPr>
          <w:rFonts w:hint="eastAsia" w:ascii="宋体" w:hAnsi="宋体" w:eastAsia="宋体" w:cs="宋体"/>
          <w:b/>
          <w:bCs/>
          <w:sz w:val="36"/>
          <w:szCs w:val="36"/>
          <w:highlight w:val="none"/>
          <w:lang w:val="en-US" w:eastAsia="zh-CN"/>
        </w:rPr>
        <w:t>三</w:t>
      </w:r>
      <w:r>
        <w:rPr>
          <w:rFonts w:hint="eastAsia" w:ascii="宋体" w:hAnsi="宋体" w:eastAsia="宋体" w:cs="宋体"/>
          <w:b/>
          <w:bCs/>
          <w:sz w:val="36"/>
          <w:szCs w:val="36"/>
          <w:highlight w:val="none"/>
        </w:rPr>
        <w:t>章</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highlight w:val="none"/>
        </w:rPr>
        <w:t>评标办法（综合评</w:t>
      </w:r>
      <w:r>
        <w:rPr>
          <w:rFonts w:hint="eastAsia" w:ascii="宋体" w:hAnsi="宋体" w:eastAsia="宋体" w:cs="宋体"/>
          <w:b/>
          <w:bCs/>
          <w:sz w:val="36"/>
          <w:szCs w:val="36"/>
          <w:highlight w:val="none"/>
          <w:lang w:val="en-US" w:eastAsia="zh-CN"/>
        </w:rPr>
        <w:t>分</w:t>
      </w:r>
      <w:r>
        <w:rPr>
          <w:rFonts w:hint="eastAsia" w:ascii="宋体" w:hAnsi="宋体" w:eastAsia="宋体" w:cs="宋体"/>
          <w:b/>
          <w:bCs/>
          <w:sz w:val="36"/>
          <w:szCs w:val="36"/>
          <w:highlight w:val="none"/>
        </w:rPr>
        <w:t>法）</w:t>
      </w:r>
      <w:bookmarkEnd w:id="386"/>
    </w:p>
    <w:p w14:paraId="38AF185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color w:val="000000"/>
          <w:kern w:val="0"/>
          <w:sz w:val="28"/>
          <w:szCs w:val="32"/>
          <w:highlight w:val="none"/>
          <w:lang w:val="zh-CN"/>
        </w:rPr>
      </w:pPr>
      <w:bookmarkStart w:id="387" w:name="_Toc152042377"/>
      <w:bookmarkEnd w:id="387"/>
      <w:bookmarkStart w:id="388" w:name="_Toc247085758"/>
      <w:bookmarkEnd w:id="388"/>
      <w:bookmarkStart w:id="389" w:name="_Toc152042376"/>
      <w:bookmarkEnd w:id="389"/>
      <w:bookmarkStart w:id="390" w:name="_Toc246996243"/>
      <w:bookmarkEnd w:id="390"/>
      <w:bookmarkStart w:id="391" w:name="_Toc246996985"/>
      <w:bookmarkEnd w:id="391"/>
      <w:bookmarkStart w:id="392" w:name="_Toc179632617"/>
      <w:bookmarkEnd w:id="392"/>
      <w:bookmarkStart w:id="393" w:name="_Toc7518073"/>
      <w:bookmarkEnd w:id="393"/>
      <w:bookmarkStart w:id="394" w:name="_Toc387669600"/>
      <w:bookmarkEnd w:id="394"/>
      <w:bookmarkStart w:id="395" w:name="_Toc358707205"/>
      <w:bookmarkEnd w:id="395"/>
      <w:bookmarkStart w:id="396" w:name="_Toc246996986"/>
      <w:bookmarkEnd w:id="396"/>
      <w:bookmarkStart w:id="397" w:name="_Toc1005"/>
      <w:bookmarkEnd w:id="397"/>
      <w:bookmarkStart w:id="398" w:name="_Toc246996242"/>
      <w:bookmarkEnd w:id="398"/>
      <w:bookmarkStart w:id="399" w:name="_Toc7518074"/>
      <w:bookmarkEnd w:id="399"/>
      <w:bookmarkStart w:id="400" w:name="_Toc144974566"/>
      <w:bookmarkEnd w:id="400"/>
      <w:bookmarkStart w:id="401" w:name="_Toc4293"/>
      <w:bookmarkEnd w:id="401"/>
      <w:bookmarkStart w:id="402" w:name="_Toc358707206"/>
      <w:bookmarkEnd w:id="402"/>
      <w:bookmarkStart w:id="403" w:name="_Toc144974567"/>
      <w:bookmarkEnd w:id="403"/>
      <w:bookmarkStart w:id="404" w:name="_Toc179632618"/>
      <w:bookmarkEnd w:id="404"/>
      <w:bookmarkStart w:id="405" w:name="_Toc247085757"/>
      <w:bookmarkEnd w:id="405"/>
      <w:bookmarkStart w:id="406" w:name="_Toc57105664"/>
      <w:bookmarkStart w:id="407" w:name="_Toc152045600"/>
      <w:r>
        <w:rPr>
          <w:rFonts w:hint="eastAsia" w:ascii="宋体" w:hAnsi="宋体" w:eastAsia="宋体" w:cs="宋体"/>
          <w:b/>
          <w:bCs/>
          <w:color w:val="000000"/>
          <w:kern w:val="0"/>
          <w:sz w:val="28"/>
          <w:szCs w:val="32"/>
          <w:highlight w:val="none"/>
          <w:lang w:val="zh-CN"/>
        </w:rPr>
        <w:t>评标</w:t>
      </w:r>
      <w:r>
        <w:rPr>
          <w:rFonts w:hint="eastAsia" w:ascii="宋体" w:hAnsi="宋体" w:eastAsia="宋体" w:cs="宋体"/>
          <w:b/>
          <w:color w:val="000000"/>
          <w:kern w:val="0"/>
          <w:sz w:val="28"/>
          <w:szCs w:val="32"/>
          <w:highlight w:val="none"/>
          <w:lang w:val="zh-CN"/>
        </w:rPr>
        <w:t>办法前</w:t>
      </w:r>
      <w:r>
        <w:rPr>
          <w:rFonts w:hint="eastAsia" w:ascii="宋体" w:hAnsi="宋体" w:eastAsia="宋体" w:cs="宋体"/>
          <w:b/>
          <w:bCs/>
          <w:color w:val="000000"/>
          <w:kern w:val="0"/>
          <w:sz w:val="28"/>
          <w:szCs w:val="32"/>
          <w:highlight w:val="none"/>
          <w:lang w:val="zh-CN"/>
        </w:rPr>
        <w:t>附表</w:t>
      </w:r>
      <w:bookmarkEnd w:id="406"/>
    </w:p>
    <w:p w14:paraId="227CFF4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highlight w:val="none"/>
        </w:rPr>
      </w:pPr>
      <w:bookmarkStart w:id="408" w:name="OLE_LINK1"/>
      <w:r>
        <w:rPr>
          <w:rFonts w:hint="eastAsia" w:ascii="宋体" w:hAnsi="宋体" w:eastAsia="宋体" w:cs="宋体"/>
          <w:sz w:val="24"/>
          <w:highlight w:val="none"/>
        </w:rPr>
        <w:t>本次竞争性磋商的评审分为初步审查和详细审查。详细审查采用综合评分法，总分为100分。</w:t>
      </w:r>
      <w:bookmarkEnd w:id="408"/>
    </w:p>
    <w:p w14:paraId="1FAA1FB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1、评标办法前附表</w:t>
      </w:r>
    </w:p>
    <w:p w14:paraId="619C79EF">
      <w:pPr>
        <w:pStyle w:val="37"/>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highlight w:val="none"/>
          <w:lang w:val="zh-CN"/>
        </w:rPr>
      </w:pPr>
    </w:p>
    <w:tbl>
      <w:tblPr>
        <w:tblStyle w:val="23"/>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66"/>
        <w:gridCol w:w="2076"/>
        <w:gridCol w:w="4883"/>
      </w:tblGrid>
      <w:tr w14:paraId="3187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gridSpan w:val="2"/>
            <w:tcMar>
              <w:left w:w="57" w:type="dxa"/>
              <w:right w:w="57" w:type="dxa"/>
            </w:tcMar>
            <w:vAlign w:val="center"/>
          </w:tcPr>
          <w:p w14:paraId="7C3FFC98">
            <w:pPr>
              <w:pStyle w:val="41"/>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条款号</w:t>
            </w:r>
          </w:p>
        </w:tc>
        <w:tc>
          <w:tcPr>
            <w:tcW w:w="2076" w:type="dxa"/>
            <w:tcMar>
              <w:left w:w="57" w:type="dxa"/>
              <w:right w:w="57" w:type="dxa"/>
            </w:tcMar>
            <w:vAlign w:val="center"/>
          </w:tcPr>
          <w:p w14:paraId="67BC570A">
            <w:pPr>
              <w:pStyle w:val="41"/>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评审因素</w:t>
            </w:r>
          </w:p>
        </w:tc>
        <w:tc>
          <w:tcPr>
            <w:tcW w:w="4883" w:type="dxa"/>
            <w:tcMar>
              <w:left w:w="57" w:type="dxa"/>
              <w:right w:w="57" w:type="dxa"/>
            </w:tcMar>
            <w:vAlign w:val="center"/>
          </w:tcPr>
          <w:p w14:paraId="176F5083">
            <w:pPr>
              <w:pStyle w:val="41"/>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评审标准</w:t>
            </w:r>
          </w:p>
        </w:tc>
      </w:tr>
      <w:tr w14:paraId="44ED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restart"/>
            <w:tcMar>
              <w:left w:w="57" w:type="dxa"/>
              <w:right w:w="57" w:type="dxa"/>
            </w:tcMar>
            <w:vAlign w:val="center"/>
          </w:tcPr>
          <w:p w14:paraId="350356D4">
            <w:pPr>
              <w:pStyle w:val="20"/>
              <w:pageBreakBefore w:val="0"/>
              <w:kinsoku/>
              <w:overflowPunct/>
              <w:topLinePunct w:val="0"/>
              <w:bidi w:val="0"/>
              <w:adjustRightInd w:val="0"/>
              <w:snapToGrid w:val="0"/>
              <w:spacing w:before="0" w:beforeAutospacing="0" w:after="0" w:afterAutospacing="0" w:line="360" w:lineRule="auto"/>
              <w:ind w:left="0" w:leftChars="0" w:right="0" w:rightChars="0" w:firstLine="0" w:firstLineChars="0"/>
              <w:jc w:val="center"/>
              <w:outlineLvl w:val="9"/>
              <w:rPr>
                <w:rFonts w:hint="eastAsia" w:ascii="宋体" w:hAnsi="宋体" w:eastAsia="宋体" w:cs="宋体"/>
                <w:highlight w:val="none"/>
              </w:rPr>
            </w:pPr>
            <w:r>
              <w:rPr>
                <w:rFonts w:hint="eastAsia" w:ascii="宋体" w:hAnsi="宋体" w:eastAsia="宋体" w:cs="宋体"/>
                <w:highlight w:val="none"/>
              </w:rPr>
              <w:t>2.1.1</w:t>
            </w:r>
          </w:p>
        </w:tc>
        <w:tc>
          <w:tcPr>
            <w:tcW w:w="0" w:type="auto"/>
            <w:vMerge w:val="restart"/>
            <w:tcMar>
              <w:left w:w="57" w:type="dxa"/>
              <w:right w:w="57" w:type="dxa"/>
            </w:tcMar>
            <w:vAlign w:val="center"/>
          </w:tcPr>
          <w:p w14:paraId="7E4EB02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形式</w:t>
            </w:r>
            <w:r>
              <w:rPr>
                <w:rFonts w:hint="eastAsia" w:ascii="宋体" w:hAnsi="宋体" w:eastAsia="宋体" w:cs="宋体"/>
                <w:sz w:val="24"/>
                <w:szCs w:val="24"/>
                <w:highlight w:val="none"/>
              </w:rPr>
              <w:t>评审标准</w:t>
            </w:r>
          </w:p>
        </w:tc>
        <w:tc>
          <w:tcPr>
            <w:tcW w:w="2076" w:type="dxa"/>
            <w:tcMar>
              <w:left w:w="57" w:type="dxa"/>
              <w:right w:w="57" w:type="dxa"/>
            </w:tcMar>
            <w:vAlign w:val="center"/>
          </w:tcPr>
          <w:p w14:paraId="63F421E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名称</w:t>
            </w:r>
          </w:p>
        </w:tc>
        <w:tc>
          <w:tcPr>
            <w:tcW w:w="4883" w:type="dxa"/>
            <w:tcMar>
              <w:left w:w="57" w:type="dxa"/>
              <w:right w:w="57" w:type="dxa"/>
            </w:tcMar>
            <w:vAlign w:val="center"/>
          </w:tcPr>
          <w:p w14:paraId="162F8981">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与营业执照一致。</w:t>
            </w:r>
          </w:p>
        </w:tc>
      </w:tr>
      <w:tr w14:paraId="1C85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7CABDFE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1A31799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498575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签字盖章</w:t>
            </w:r>
          </w:p>
        </w:tc>
        <w:tc>
          <w:tcPr>
            <w:tcW w:w="4883" w:type="dxa"/>
            <w:tcMar>
              <w:left w:w="57" w:type="dxa"/>
              <w:right w:w="57" w:type="dxa"/>
            </w:tcMar>
            <w:vAlign w:val="center"/>
          </w:tcPr>
          <w:p w14:paraId="29F324B7">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须知”规定。</w:t>
            </w:r>
          </w:p>
        </w:tc>
      </w:tr>
      <w:tr w14:paraId="1C46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6C30BA9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2BF479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06C6E0D8">
            <w:pPr>
              <w:pStyle w:val="38"/>
              <w:pageBreakBefore w:val="0"/>
              <w:widowControl/>
              <w:kinsoku/>
              <w:overflowPunct/>
              <w:topLinePunct w:val="0"/>
              <w:bidi w:val="0"/>
              <w:adjustRightInd w:val="0"/>
              <w:snapToGrid w:val="0"/>
              <w:spacing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highlight w:val="none"/>
              </w:rPr>
            </w:pPr>
            <w:r>
              <w:rPr>
                <w:rFonts w:hint="eastAsia" w:hAnsi="宋体" w:cs="宋体"/>
                <w:color w:val="auto"/>
                <w:highlight w:val="none"/>
                <w:lang w:eastAsia="zh-CN"/>
              </w:rPr>
              <w:t>投标文件</w:t>
            </w:r>
            <w:r>
              <w:rPr>
                <w:rFonts w:hint="eastAsia" w:ascii="宋体" w:hAnsi="宋体" w:eastAsia="宋体" w:cs="宋体"/>
                <w:color w:val="auto"/>
                <w:highlight w:val="none"/>
              </w:rPr>
              <w:t>格式</w:t>
            </w:r>
          </w:p>
        </w:tc>
        <w:tc>
          <w:tcPr>
            <w:tcW w:w="4883" w:type="dxa"/>
            <w:tcMar>
              <w:left w:w="57" w:type="dxa"/>
              <w:right w:w="57" w:type="dxa"/>
            </w:tcMar>
            <w:vAlign w:val="center"/>
          </w:tcPr>
          <w:p w14:paraId="6BF92A19">
            <w:pPr>
              <w:pStyle w:val="38"/>
              <w:pageBreakBefore w:val="0"/>
              <w:widowControl/>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auto"/>
                <w:highlight w:val="none"/>
              </w:rPr>
              <w:t>符合第七章“</w:t>
            </w:r>
            <w:r>
              <w:rPr>
                <w:rFonts w:hint="eastAsia" w:hAnsi="宋体" w:cs="宋体"/>
                <w:color w:val="auto"/>
                <w:highlight w:val="none"/>
                <w:lang w:eastAsia="zh-CN"/>
              </w:rPr>
              <w:t>投标文件</w:t>
            </w:r>
            <w:r>
              <w:rPr>
                <w:rFonts w:hint="eastAsia" w:ascii="宋体" w:hAnsi="宋体" w:eastAsia="宋体" w:cs="宋体"/>
                <w:color w:val="auto"/>
                <w:highlight w:val="none"/>
              </w:rPr>
              <w:t>格式”的要求。</w:t>
            </w:r>
          </w:p>
        </w:tc>
      </w:tr>
      <w:tr w14:paraId="2823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086827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4A76F55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42538D3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报价唯一</w:t>
            </w:r>
          </w:p>
        </w:tc>
        <w:tc>
          <w:tcPr>
            <w:tcW w:w="4883" w:type="dxa"/>
            <w:tcMar>
              <w:left w:w="57" w:type="dxa"/>
              <w:right w:w="57" w:type="dxa"/>
            </w:tcMar>
            <w:vAlign w:val="center"/>
          </w:tcPr>
          <w:p w14:paraId="79DC7EFE">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只能有一个有效报价。</w:t>
            </w:r>
          </w:p>
        </w:tc>
      </w:tr>
      <w:tr w14:paraId="4F9D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restart"/>
            <w:tcMar>
              <w:left w:w="57" w:type="dxa"/>
              <w:right w:w="57" w:type="dxa"/>
            </w:tcMar>
            <w:vAlign w:val="center"/>
          </w:tcPr>
          <w:p w14:paraId="6899B3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2.1.2</w:t>
            </w:r>
          </w:p>
        </w:tc>
        <w:tc>
          <w:tcPr>
            <w:tcW w:w="0" w:type="auto"/>
            <w:vMerge w:val="restart"/>
            <w:tcMar>
              <w:left w:w="57" w:type="dxa"/>
              <w:right w:w="57" w:type="dxa"/>
            </w:tcMar>
            <w:vAlign w:val="center"/>
          </w:tcPr>
          <w:p w14:paraId="550FE4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资格评审标准</w:t>
            </w:r>
          </w:p>
        </w:tc>
        <w:tc>
          <w:tcPr>
            <w:tcW w:w="2076" w:type="dxa"/>
            <w:tcMar>
              <w:left w:w="57" w:type="dxa"/>
              <w:right w:w="57" w:type="dxa"/>
            </w:tcMar>
            <w:vAlign w:val="center"/>
          </w:tcPr>
          <w:p w14:paraId="5AB7132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营业执照</w:t>
            </w:r>
          </w:p>
        </w:tc>
        <w:tc>
          <w:tcPr>
            <w:tcW w:w="4883" w:type="dxa"/>
            <w:vAlign w:val="center"/>
          </w:tcPr>
          <w:p w14:paraId="1A780E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具有有效的营业执照。</w:t>
            </w:r>
          </w:p>
        </w:tc>
      </w:tr>
      <w:tr w14:paraId="34F2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2DDEAA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095F3B25">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p>
        </w:tc>
        <w:tc>
          <w:tcPr>
            <w:tcW w:w="2076" w:type="dxa"/>
            <w:tcMar>
              <w:left w:w="57" w:type="dxa"/>
              <w:right w:w="57" w:type="dxa"/>
            </w:tcMar>
            <w:vAlign w:val="center"/>
          </w:tcPr>
          <w:p w14:paraId="014AF1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资质证书</w:t>
            </w:r>
          </w:p>
        </w:tc>
        <w:tc>
          <w:tcPr>
            <w:tcW w:w="4883" w:type="dxa"/>
            <w:vAlign w:val="center"/>
          </w:tcPr>
          <w:p w14:paraId="32FA2CDE">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7549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672E84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274F12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p>
        </w:tc>
        <w:tc>
          <w:tcPr>
            <w:tcW w:w="2076" w:type="dxa"/>
            <w:tcMar>
              <w:left w:w="57" w:type="dxa"/>
              <w:right w:w="57" w:type="dxa"/>
            </w:tcMar>
            <w:vAlign w:val="center"/>
          </w:tcPr>
          <w:p w14:paraId="4C6F4B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项目经理</w:t>
            </w:r>
          </w:p>
        </w:tc>
        <w:tc>
          <w:tcPr>
            <w:tcW w:w="4883" w:type="dxa"/>
            <w:vAlign w:val="center"/>
          </w:tcPr>
          <w:p w14:paraId="78B91D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1350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0" w:type="auto"/>
            <w:vMerge w:val="continue"/>
            <w:tcMar>
              <w:left w:w="57" w:type="dxa"/>
              <w:right w:w="57" w:type="dxa"/>
            </w:tcMar>
            <w:vAlign w:val="center"/>
          </w:tcPr>
          <w:p w14:paraId="627CC98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528B4A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p>
        </w:tc>
        <w:tc>
          <w:tcPr>
            <w:tcW w:w="2076" w:type="dxa"/>
            <w:tcMar>
              <w:left w:w="57" w:type="dxa"/>
              <w:right w:w="57" w:type="dxa"/>
            </w:tcMar>
            <w:vAlign w:val="center"/>
          </w:tcPr>
          <w:p w14:paraId="5ADFE4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无商业贿赂及无不正当竞争承诺</w:t>
            </w:r>
          </w:p>
        </w:tc>
        <w:tc>
          <w:tcPr>
            <w:tcW w:w="4883" w:type="dxa"/>
            <w:vAlign w:val="center"/>
          </w:tcPr>
          <w:p w14:paraId="47F95310">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27AD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43B2A9D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62D222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p>
        </w:tc>
        <w:tc>
          <w:tcPr>
            <w:tcW w:w="2076" w:type="dxa"/>
            <w:tcMar>
              <w:left w:w="57" w:type="dxa"/>
              <w:right w:w="57" w:type="dxa"/>
            </w:tcMar>
            <w:vAlign w:val="center"/>
          </w:tcPr>
          <w:p w14:paraId="3FFDB0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信用查询</w:t>
            </w:r>
          </w:p>
        </w:tc>
        <w:tc>
          <w:tcPr>
            <w:tcW w:w="4883" w:type="dxa"/>
            <w:vAlign w:val="center"/>
          </w:tcPr>
          <w:p w14:paraId="388BCE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29EE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28C146E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531D5052">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p>
        </w:tc>
        <w:tc>
          <w:tcPr>
            <w:tcW w:w="2076" w:type="dxa"/>
            <w:tcMar>
              <w:left w:w="57" w:type="dxa"/>
              <w:right w:w="57" w:type="dxa"/>
            </w:tcMar>
            <w:vAlign w:val="center"/>
          </w:tcPr>
          <w:p w14:paraId="5659709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国家企业信用信息公示系统”信息查询</w:t>
            </w:r>
          </w:p>
        </w:tc>
        <w:tc>
          <w:tcPr>
            <w:tcW w:w="4883" w:type="dxa"/>
            <w:vAlign w:val="center"/>
          </w:tcPr>
          <w:p w14:paraId="0C30D00D">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1A1C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0E7B826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3A1948F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2E123BF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非联合体投标</w:t>
            </w:r>
          </w:p>
        </w:tc>
        <w:tc>
          <w:tcPr>
            <w:tcW w:w="4883" w:type="dxa"/>
            <w:vAlign w:val="center"/>
          </w:tcPr>
          <w:p w14:paraId="54A3DB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10CB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restart"/>
            <w:tcMar>
              <w:left w:w="57" w:type="dxa"/>
              <w:right w:w="57" w:type="dxa"/>
            </w:tcMar>
            <w:vAlign w:val="center"/>
          </w:tcPr>
          <w:p w14:paraId="7DE9FB5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2.1.3</w:t>
            </w:r>
          </w:p>
        </w:tc>
        <w:tc>
          <w:tcPr>
            <w:tcW w:w="0" w:type="auto"/>
            <w:vMerge w:val="restart"/>
            <w:tcMar>
              <w:left w:w="57" w:type="dxa"/>
              <w:right w:w="57" w:type="dxa"/>
            </w:tcMar>
            <w:vAlign w:val="center"/>
          </w:tcPr>
          <w:p w14:paraId="0EDFB8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响应性评审标准</w:t>
            </w:r>
          </w:p>
        </w:tc>
        <w:tc>
          <w:tcPr>
            <w:tcW w:w="2076" w:type="dxa"/>
            <w:tcMar>
              <w:left w:w="57" w:type="dxa"/>
              <w:right w:w="57" w:type="dxa"/>
            </w:tcMar>
            <w:vAlign w:val="center"/>
          </w:tcPr>
          <w:p w14:paraId="59F8DCE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磋商范围</w:t>
            </w:r>
          </w:p>
        </w:tc>
        <w:tc>
          <w:tcPr>
            <w:tcW w:w="4883" w:type="dxa"/>
            <w:vAlign w:val="center"/>
          </w:tcPr>
          <w:p w14:paraId="1C8E933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施工图纸和工程量清单所包含的全部内容</w:t>
            </w:r>
          </w:p>
        </w:tc>
      </w:tr>
      <w:tr w14:paraId="1B75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6C0C89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28088D9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69E272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计划工期</w:t>
            </w:r>
          </w:p>
        </w:tc>
        <w:tc>
          <w:tcPr>
            <w:tcW w:w="4883" w:type="dxa"/>
            <w:vAlign w:val="center"/>
          </w:tcPr>
          <w:p w14:paraId="6437260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符合第一章竞争性磋商公告要求</w:t>
            </w:r>
          </w:p>
        </w:tc>
      </w:tr>
      <w:tr w14:paraId="3051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1C7FD4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77BD89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324E495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质量要求</w:t>
            </w:r>
          </w:p>
        </w:tc>
        <w:tc>
          <w:tcPr>
            <w:tcW w:w="4883" w:type="dxa"/>
            <w:vAlign w:val="center"/>
          </w:tcPr>
          <w:p w14:paraId="31D7AA1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符合第一章竞争性磋商公告要求</w:t>
            </w:r>
          </w:p>
        </w:tc>
      </w:tr>
      <w:tr w14:paraId="4280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7918AD0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004FD0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07276B5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磋商有效期</w:t>
            </w:r>
          </w:p>
        </w:tc>
        <w:tc>
          <w:tcPr>
            <w:tcW w:w="4883" w:type="dxa"/>
            <w:vAlign w:val="center"/>
          </w:tcPr>
          <w:p w14:paraId="50557CF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递交截止之日起60日历天</w:t>
            </w:r>
          </w:p>
        </w:tc>
      </w:tr>
      <w:tr w14:paraId="4BE5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0" w:type="auto"/>
            <w:vMerge w:val="continue"/>
            <w:tcMar>
              <w:left w:w="57" w:type="dxa"/>
              <w:right w:w="57" w:type="dxa"/>
            </w:tcMar>
            <w:vAlign w:val="center"/>
          </w:tcPr>
          <w:p w14:paraId="0C95BF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0E7A03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3A1FA87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磋商价格</w:t>
            </w:r>
          </w:p>
        </w:tc>
        <w:tc>
          <w:tcPr>
            <w:tcW w:w="4883" w:type="dxa"/>
            <w:vAlign w:val="center"/>
          </w:tcPr>
          <w:p w14:paraId="77448AE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本次磋商采用二轮（最终）报价法，</w:t>
            </w:r>
            <w:r>
              <w:rPr>
                <w:rFonts w:hint="eastAsia" w:ascii="宋体" w:hAnsi="宋体" w:eastAsia="宋体" w:cs="宋体"/>
                <w:bCs/>
                <w:sz w:val="24"/>
                <w:szCs w:val="24"/>
                <w:highlight w:val="none"/>
                <w:lang w:eastAsia="zh-CN"/>
              </w:rPr>
              <w:t>投标人</w:t>
            </w:r>
            <w:r>
              <w:rPr>
                <w:rFonts w:hint="eastAsia" w:ascii="宋体" w:hAnsi="宋体" w:eastAsia="宋体" w:cs="宋体"/>
                <w:bCs/>
                <w:sz w:val="24"/>
                <w:szCs w:val="24"/>
                <w:highlight w:val="none"/>
              </w:rPr>
              <w:t>递交的</w:t>
            </w:r>
            <w:r>
              <w:rPr>
                <w:rFonts w:hint="eastAsia" w:ascii="宋体" w:hAnsi="宋体" w:eastAsia="宋体" w:cs="宋体"/>
                <w:bCs/>
                <w:sz w:val="24"/>
                <w:szCs w:val="24"/>
                <w:highlight w:val="none"/>
                <w:lang w:eastAsia="zh-CN"/>
              </w:rPr>
              <w:t>投标文件</w:t>
            </w:r>
            <w:r>
              <w:rPr>
                <w:rFonts w:hint="eastAsia" w:ascii="宋体" w:hAnsi="宋体" w:eastAsia="宋体" w:cs="宋体"/>
                <w:bCs/>
                <w:sz w:val="24"/>
                <w:szCs w:val="24"/>
                <w:highlight w:val="none"/>
              </w:rPr>
              <w:t>中的报价为第一轮报价，</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的两轮磋商报价都不得高于</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公布的控制价，否则其投标将被否决。</w:t>
            </w:r>
          </w:p>
        </w:tc>
      </w:tr>
    </w:tbl>
    <w:p w14:paraId="65E01D3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kern w:val="1"/>
          <w:sz w:val="24"/>
          <w:highlight w:val="none"/>
          <w:lang w:val="zh-CN"/>
        </w:rPr>
      </w:pPr>
      <w:r>
        <w:rPr>
          <w:rFonts w:hint="eastAsia" w:ascii="宋体" w:hAnsi="宋体" w:eastAsia="宋体" w:cs="宋体"/>
          <w:b/>
          <w:kern w:val="1"/>
          <w:sz w:val="24"/>
          <w:highlight w:val="none"/>
          <w:lang w:val="zh-CN"/>
        </w:rPr>
        <w:t>二、详细评审</w:t>
      </w:r>
    </w:p>
    <w:p w14:paraId="3E67E96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kern w:val="1"/>
          <w:sz w:val="24"/>
          <w:highlight w:val="none"/>
          <w:lang w:val="zh-CN"/>
        </w:rPr>
      </w:pPr>
    </w:p>
    <w:tbl>
      <w:tblPr>
        <w:tblStyle w:val="23"/>
        <w:tblW w:w="8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9"/>
        <w:gridCol w:w="871"/>
        <w:gridCol w:w="610"/>
        <w:gridCol w:w="921"/>
        <w:gridCol w:w="4515"/>
        <w:gridCol w:w="1134"/>
      </w:tblGrid>
      <w:tr w14:paraId="6CF07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780" w:type="dxa"/>
            <w:gridSpan w:val="6"/>
            <w:tcBorders>
              <w:tl2br w:val="nil"/>
              <w:tr2bl w:val="nil"/>
            </w:tcBorders>
            <w:vAlign w:val="center"/>
          </w:tcPr>
          <w:p w14:paraId="2FB20C3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b/>
                <w:kern w:val="1"/>
                <w:sz w:val="24"/>
                <w:szCs w:val="24"/>
                <w:highlight w:val="none"/>
                <w:lang w:eastAsia="en-US" w:bidi="en-US"/>
              </w:rPr>
              <w:t>评分部分（满分100分）</w:t>
            </w:r>
          </w:p>
        </w:tc>
      </w:tr>
      <w:tr w14:paraId="25D31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9" w:hRule="atLeast"/>
          <w:jc w:val="center"/>
        </w:trPr>
        <w:tc>
          <w:tcPr>
            <w:tcW w:w="1600" w:type="dxa"/>
            <w:gridSpan w:val="2"/>
            <w:tcBorders>
              <w:tl2br w:val="nil"/>
              <w:tr2bl w:val="nil"/>
            </w:tcBorders>
            <w:vAlign w:val="center"/>
          </w:tcPr>
          <w:p w14:paraId="466621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eastAsia="en-US" w:bidi="en-US"/>
              </w:rPr>
              <w:t>分值构成</w:t>
            </w:r>
          </w:p>
          <w:p w14:paraId="504825D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eastAsia="en-US" w:bidi="en-US"/>
              </w:rPr>
              <w:t>(总分100分)</w:t>
            </w:r>
          </w:p>
        </w:tc>
        <w:tc>
          <w:tcPr>
            <w:tcW w:w="7180" w:type="dxa"/>
            <w:gridSpan w:val="4"/>
            <w:tcBorders>
              <w:tl2br w:val="nil"/>
              <w:tr2bl w:val="nil"/>
            </w:tcBorders>
            <w:vAlign w:val="center"/>
          </w:tcPr>
          <w:p w14:paraId="1E5E439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r>
              <w:rPr>
                <w:rFonts w:hint="eastAsia" w:ascii="宋体" w:hAnsi="宋体" w:eastAsia="宋体" w:cs="宋体"/>
                <w:kern w:val="1"/>
                <w:sz w:val="24"/>
                <w:szCs w:val="24"/>
                <w:highlight w:val="none"/>
                <w:lang w:bidi="en-US"/>
              </w:rPr>
              <w:t>商务标：</w:t>
            </w:r>
            <w:r>
              <w:rPr>
                <w:rFonts w:hint="eastAsia" w:ascii="宋体" w:hAnsi="宋体" w:eastAsia="宋体" w:cs="宋体"/>
                <w:kern w:val="1"/>
                <w:sz w:val="24"/>
                <w:szCs w:val="24"/>
                <w:highlight w:val="none"/>
                <w:u w:val="single"/>
                <w:lang w:bidi="en-US"/>
              </w:rPr>
              <w:t>30</w:t>
            </w:r>
            <w:r>
              <w:rPr>
                <w:rFonts w:hint="eastAsia" w:ascii="宋体" w:hAnsi="宋体" w:eastAsia="宋体" w:cs="宋体"/>
                <w:kern w:val="1"/>
                <w:sz w:val="24"/>
                <w:szCs w:val="24"/>
                <w:highlight w:val="none"/>
                <w:lang w:bidi="en-US"/>
              </w:rPr>
              <w:t>分</w:t>
            </w:r>
          </w:p>
          <w:p w14:paraId="01D878A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r>
              <w:rPr>
                <w:rFonts w:hint="eastAsia" w:ascii="宋体" w:hAnsi="宋体" w:eastAsia="宋体" w:cs="宋体"/>
                <w:kern w:val="1"/>
                <w:sz w:val="24"/>
                <w:szCs w:val="24"/>
                <w:highlight w:val="none"/>
                <w:lang w:bidi="en-US"/>
              </w:rPr>
              <w:t>技术标：</w:t>
            </w:r>
            <w:r>
              <w:rPr>
                <w:rFonts w:hint="eastAsia" w:ascii="宋体" w:hAnsi="宋体" w:eastAsia="宋体" w:cs="宋体"/>
                <w:kern w:val="1"/>
                <w:sz w:val="24"/>
                <w:szCs w:val="24"/>
                <w:highlight w:val="none"/>
                <w:u w:val="single"/>
                <w:lang w:bidi="en-US"/>
              </w:rPr>
              <w:t>50</w:t>
            </w:r>
            <w:r>
              <w:rPr>
                <w:rFonts w:hint="eastAsia" w:ascii="宋体" w:hAnsi="宋体" w:eastAsia="宋体" w:cs="宋体"/>
                <w:kern w:val="1"/>
                <w:sz w:val="24"/>
                <w:szCs w:val="24"/>
                <w:highlight w:val="none"/>
                <w:lang w:bidi="en-US"/>
              </w:rPr>
              <w:t>分</w:t>
            </w:r>
          </w:p>
          <w:p w14:paraId="63E78C2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r>
              <w:rPr>
                <w:rFonts w:hint="eastAsia" w:ascii="宋体" w:hAnsi="宋体" w:eastAsia="宋体" w:cs="宋体"/>
                <w:kern w:val="1"/>
                <w:sz w:val="24"/>
                <w:szCs w:val="24"/>
                <w:highlight w:val="none"/>
                <w:lang w:bidi="en-US"/>
              </w:rPr>
              <w:t>综合标：</w:t>
            </w:r>
            <w:r>
              <w:rPr>
                <w:rFonts w:hint="eastAsia" w:ascii="宋体" w:hAnsi="宋体" w:eastAsia="宋体" w:cs="宋体"/>
                <w:kern w:val="1"/>
                <w:sz w:val="24"/>
                <w:szCs w:val="24"/>
                <w:highlight w:val="none"/>
                <w:u w:val="single"/>
                <w:lang w:bidi="en-US"/>
              </w:rPr>
              <w:t>20</w:t>
            </w:r>
            <w:r>
              <w:rPr>
                <w:rFonts w:hint="eastAsia" w:ascii="宋体" w:hAnsi="宋体" w:eastAsia="宋体" w:cs="宋体"/>
                <w:kern w:val="1"/>
                <w:sz w:val="24"/>
                <w:szCs w:val="24"/>
                <w:highlight w:val="none"/>
                <w:lang w:bidi="en-US"/>
              </w:rPr>
              <w:t>分</w:t>
            </w:r>
          </w:p>
        </w:tc>
      </w:tr>
      <w:tr w14:paraId="35FF0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600" w:type="dxa"/>
            <w:gridSpan w:val="2"/>
            <w:tcBorders>
              <w:tl2br w:val="nil"/>
              <w:tr2bl w:val="nil"/>
            </w:tcBorders>
            <w:vAlign w:val="center"/>
          </w:tcPr>
          <w:p w14:paraId="4A9E15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kern w:val="1"/>
                <w:sz w:val="24"/>
                <w:szCs w:val="24"/>
                <w:highlight w:val="none"/>
                <w:lang w:eastAsia="en-US" w:bidi="en-US"/>
              </w:rPr>
            </w:pPr>
            <w:r>
              <w:rPr>
                <w:rFonts w:hint="eastAsia" w:ascii="宋体" w:hAnsi="宋体" w:eastAsia="宋体" w:cs="宋体"/>
                <w:b/>
                <w:kern w:val="1"/>
                <w:sz w:val="24"/>
                <w:szCs w:val="24"/>
                <w:highlight w:val="none"/>
                <w:lang w:eastAsia="en-US" w:bidi="en-US"/>
              </w:rPr>
              <w:t>评分因素</w:t>
            </w:r>
          </w:p>
        </w:tc>
        <w:tc>
          <w:tcPr>
            <w:tcW w:w="7180" w:type="dxa"/>
            <w:gridSpan w:val="4"/>
            <w:tcBorders>
              <w:tl2br w:val="nil"/>
              <w:tr2bl w:val="nil"/>
            </w:tcBorders>
            <w:vAlign w:val="center"/>
          </w:tcPr>
          <w:p w14:paraId="684039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kern w:val="1"/>
                <w:sz w:val="24"/>
                <w:szCs w:val="24"/>
                <w:highlight w:val="none"/>
                <w:lang w:eastAsia="en-US" w:bidi="en-US"/>
              </w:rPr>
            </w:pPr>
            <w:r>
              <w:rPr>
                <w:rFonts w:hint="eastAsia" w:ascii="宋体" w:hAnsi="宋体" w:eastAsia="宋体" w:cs="宋体"/>
                <w:b/>
                <w:kern w:val="1"/>
                <w:sz w:val="24"/>
                <w:szCs w:val="24"/>
                <w:highlight w:val="none"/>
                <w:lang w:eastAsia="en-US" w:bidi="en-US"/>
              </w:rPr>
              <w:t>评分标准</w:t>
            </w:r>
          </w:p>
        </w:tc>
      </w:tr>
      <w:tr w14:paraId="1D164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29" w:type="dxa"/>
            <w:tcBorders>
              <w:tl2br w:val="nil"/>
              <w:tr2bl w:val="nil"/>
            </w:tcBorders>
            <w:vAlign w:val="center"/>
          </w:tcPr>
          <w:p w14:paraId="40A2F2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eastAsia="en-US" w:bidi="en-US"/>
              </w:rPr>
              <w:t>商务标（</w:t>
            </w:r>
            <w:r>
              <w:rPr>
                <w:rFonts w:hint="eastAsia" w:ascii="宋体" w:hAnsi="宋体" w:eastAsia="宋体" w:cs="宋体"/>
                <w:kern w:val="1"/>
                <w:sz w:val="24"/>
                <w:szCs w:val="24"/>
                <w:highlight w:val="none"/>
                <w:lang w:bidi="en-US"/>
              </w:rPr>
              <w:t>3</w:t>
            </w:r>
            <w:r>
              <w:rPr>
                <w:rFonts w:hint="eastAsia" w:ascii="宋体" w:hAnsi="宋体" w:eastAsia="宋体" w:cs="宋体"/>
                <w:kern w:val="1"/>
                <w:sz w:val="24"/>
                <w:szCs w:val="24"/>
                <w:highlight w:val="none"/>
                <w:lang w:eastAsia="en-US" w:bidi="en-US"/>
              </w:rPr>
              <w:t>0分）</w:t>
            </w:r>
          </w:p>
        </w:tc>
        <w:tc>
          <w:tcPr>
            <w:tcW w:w="871" w:type="dxa"/>
            <w:tcBorders>
              <w:tl2br w:val="nil"/>
              <w:tr2bl w:val="nil"/>
            </w:tcBorders>
            <w:vAlign w:val="center"/>
          </w:tcPr>
          <w:p w14:paraId="419FDCD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val="en-US" w:eastAsia="zh-CN" w:bidi="en-US"/>
              </w:rPr>
              <w:t>2.2.1磋商</w:t>
            </w:r>
            <w:r>
              <w:rPr>
                <w:rFonts w:hint="eastAsia" w:ascii="宋体" w:hAnsi="宋体" w:eastAsia="宋体" w:cs="宋体"/>
                <w:kern w:val="1"/>
                <w:sz w:val="24"/>
                <w:szCs w:val="24"/>
                <w:highlight w:val="none"/>
                <w:lang w:eastAsia="en-US" w:bidi="en-US"/>
              </w:rPr>
              <w:t>报价</w:t>
            </w:r>
          </w:p>
        </w:tc>
        <w:tc>
          <w:tcPr>
            <w:tcW w:w="7180" w:type="dxa"/>
            <w:gridSpan w:val="4"/>
            <w:tcBorders>
              <w:tl2br w:val="nil"/>
              <w:tr2bl w:val="nil"/>
            </w:tcBorders>
            <w:vAlign w:val="center"/>
          </w:tcPr>
          <w:p w14:paraId="1A21A2F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eastAsia="zh-CN" w:bidi="en-US"/>
              </w:rPr>
            </w:pPr>
            <w:r>
              <w:rPr>
                <w:rFonts w:hint="eastAsia" w:ascii="宋体" w:hAnsi="宋体" w:eastAsia="宋体" w:cs="宋体"/>
                <w:sz w:val="24"/>
                <w:szCs w:val="24"/>
                <w:highlight w:val="none"/>
                <w:lang w:bidi="en-US"/>
              </w:rPr>
              <w:t>根据《政府采购促进中小企业发展管理办法》（财库〔2020〕46号）规定，本项目专门面向中小企业采购,同时供应商须提供《中小企业声明函》</w:t>
            </w:r>
            <w:r>
              <w:rPr>
                <w:rFonts w:hint="eastAsia" w:ascii="宋体" w:hAnsi="宋体" w:eastAsia="宋体" w:cs="宋体"/>
                <w:sz w:val="24"/>
                <w:szCs w:val="24"/>
                <w:highlight w:val="none"/>
                <w:lang w:eastAsia="zh-CN" w:bidi="en-US"/>
              </w:rPr>
              <w:t>。</w:t>
            </w:r>
          </w:p>
          <w:p w14:paraId="23F52B7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bidi="en-US"/>
              </w:rPr>
            </w:pPr>
            <w:r>
              <w:rPr>
                <w:rFonts w:hint="eastAsia" w:ascii="宋体" w:hAnsi="宋体" w:eastAsia="宋体" w:cs="宋体"/>
                <w:sz w:val="24"/>
                <w:szCs w:val="24"/>
                <w:highlight w:val="none"/>
                <w:lang w:bidi="en-US"/>
              </w:rPr>
              <w:t xml:space="preserve">按照《财政部关于加强政府采购货物和服务项目价格评审管理的通知》（财库【2007】2 号）规定，综合评分法中的价格分用低价优先法计算，即满足竞争性磋商文件要求且投标价格最低的投标报价为评标基准价，其价格分为满分30 分。 </w:t>
            </w:r>
          </w:p>
          <w:p w14:paraId="60E4E3B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bidi="en-US"/>
              </w:rPr>
            </w:pPr>
            <w:r>
              <w:rPr>
                <w:rFonts w:hint="eastAsia" w:ascii="宋体" w:hAnsi="宋体" w:eastAsia="宋体" w:cs="宋体"/>
                <w:sz w:val="24"/>
                <w:szCs w:val="24"/>
                <w:highlight w:val="none"/>
                <w:lang w:bidi="en-US"/>
              </w:rPr>
              <w:t>其他</w:t>
            </w:r>
            <w:r>
              <w:rPr>
                <w:rFonts w:hint="eastAsia" w:ascii="宋体" w:hAnsi="宋体" w:eastAsia="宋体" w:cs="宋体"/>
                <w:sz w:val="24"/>
                <w:szCs w:val="24"/>
                <w:highlight w:val="none"/>
                <w:lang w:eastAsia="zh-CN" w:bidi="en-US"/>
              </w:rPr>
              <w:t>投标人</w:t>
            </w:r>
            <w:r>
              <w:rPr>
                <w:rFonts w:hint="eastAsia" w:ascii="宋体" w:hAnsi="宋体" w:eastAsia="宋体" w:cs="宋体"/>
                <w:sz w:val="24"/>
                <w:szCs w:val="24"/>
                <w:highlight w:val="none"/>
                <w:lang w:bidi="en-US"/>
              </w:rPr>
              <w:t xml:space="preserve">的价格分统一按照下列公式计算： </w:t>
            </w:r>
          </w:p>
          <w:p w14:paraId="70B39E8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bidi="en-US"/>
              </w:rPr>
            </w:pPr>
            <w:r>
              <w:rPr>
                <w:rFonts w:hint="eastAsia" w:ascii="宋体" w:hAnsi="宋体" w:eastAsia="宋体" w:cs="宋体"/>
                <w:sz w:val="24"/>
                <w:szCs w:val="24"/>
                <w:highlight w:val="none"/>
                <w:lang w:bidi="en-US"/>
              </w:rPr>
              <w:t>最终磋商报价得分=(磋商基准价／最后磋商报价)×30</w:t>
            </w:r>
          </w:p>
          <w:p w14:paraId="01C75BF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napToGrid w:val="0"/>
                <w:spacing w:val="11"/>
                <w:kern w:val="2"/>
                <w:sz w:val="24"/>
                <w:szCs w:val="24"/>
                <w:highlight w:val="none"/>
                <w:lang w:val="en-US" w:eastAsia="zh-CN" w:bidi="ar-SA"/>
              </w:rPr>
            </w:pPr>
            <w:r>
              <w:rPr>
                <w:rFonts w:hint="eastAsia" w:ascii="宋体" w:hAnsi="宋体" w:eastAsia="宋体" w:cs="宋体"/>
                <w:sz w:val="24"/>
                <w:szCs w:val="24"/>
                <w:highlight w:val="none"/>
                <w:lang w:bidi="en-US"/>
              </w:rPr>
              <w:t>注：1、</w:t>
            </w:r>
            <w:r>
              <w:rPr>
                <w:rFonts w:hint="eastAsia" w:ascii="宋体" w:hAnsi="宋体" w:eastAsia="宋体" w:cs="宋体"/>
                <w:snapToGrid w:val="0"/>
                <w:spacing w:val="11"/>
                <w:kern w:val="2"/>
                <w:sz w:val="24"/>
                <w:szCs w:val="24"/>
                <w:highlight w:val="none"/>
                <w:lang w:val="en-US" w:eastAsia="zh-CN" w:bidi="ar-SA"/>
              </w:rPr>
              <w:t>促进中小型企业发展，执行财政部、工信部印发的《政府采购促进中小型企业发展暂行办法》，参加政府采购活动的中小企业应当提供《中小企业声明函》。</w:t>
            </w:r>
          </w:p>
          <w:p w14:paraId="2368C08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bidi="en-US"/>
              </w:rPr>
            </w:pPr>
            <w:r>
              <w:rPr>
                <w:rFonts w:hint="eastAsia" w:ascii="宋体" w:hAnsi="宋体" w:eastAsia="宋体" w:cs="宋体"/>
                <w:sz w:val="24"/>
                <w:szCs w:val="24"/>
                <w:highlight w:val="none"/>
                <w:lang w:val="en-US" w:eastAsia="zh-CN" w:bidi="en-US"/>
              </w:rPr>
              <w:t>2</w:t>
            </w:r>
            <w:r>
              <w:rPr>
                <w:rFonts w:hint="eastAsia" w:ascii="宋体" w:hAnsi="宋体" w:eastAsia="宋体" w:cs="宋体"/>
                <w:sz w:val="24"/>
                <w:szCs w:val="24"/>
                <w:highlight w:val="none"/>
                <w:lang w:bidi="en-US"/>
              </w:rPr>
              <w:t>、评标委员会认为</w:t>
            </w:r>
            <w:r>
              <w:rPr>
                <w:rFonts w:hint="eastAsia" w:ascii="宋体" w:hAnsi="宋体" w:eastAsia="宋体" w:cs="宋体"/>
                <w:sz w:val="24"/>
                <w:szCs w:val="24"/>
                <w:highlight w:val="none"/>
                <w:lang w:eastAsia="zh-CN" w:bidi="en-US"/>
              </w:rPr>
              <w:t>投标人</w:t>
            </w:r>
            <w:r>
              <w:rPr>
                <w:rFonts w:hint="eastAsia" w:ascii="宋体" w:hAnsi="宋体" w:eastAsia="宋体" w:cs="宋体"/>
                <w:sz w:val="24"/>
                <w:szCs w:val="24"/>
                <w:highlight w:val="none"/>
                <w:lang w:bidi="en-US"/>
              </w:rPr>
              <w:t>的报价明显低于其他通过符合性审查</w:t>
            </w:r>
            <w:r>
              <w:rPr>
                <w:rFonts w:hint="eastAsia" w:ascii="宋体" w:hAnsi="宋体" w:eastAsia="宋体" w:cs="宋体"/>
                <w:sz w:val="24"/>
                <w:szCs w:val="24"/>
                <w:highlight w:val="none"/>
                <w:lang w:eastAsia="zh-CN" w:bidi="en-US"/>
              </w:rPr>
              <w:t>投标人</w:t>
            </w:r>
            <w:r>
              <w:rPr>
                <w:rFonts w:hint="eastAsia" w:ascii="宋体" w:hAnsi="宋体" w:eastAsia="宋体" w:cs="宋体"/>
                <w:sz w:val="24"/>
                <w:szCs w:val="24"/>
                <w:highlight w:val="none"/>
                <w:lang w:bidi="en-US"/>
              </w:rPr>
              <w:t>的报价，有可能影响产品质量或者不能诚信履约的，应当要求其在评标现场合理的时间内提供书面说明，必要时提交相关证明材料；</w:t>
            </w:r>
            <w:r>
              <w:rPr>
                <w:rFonts w:hint="eastAsia" w:ascii="宋体" w:hAnsi="宋体" w:eastAsia="宋体" w:cs="宋体"/>
                <w:sz w:val="24"/>
                <w:szCs w:val="24"/>
                <w:highlight w:val="none"/>
                <w:lang w:eastAsia="zh-CN" w:bidi="en-US"/>
              </w:rPr>
              <w:t>投标人</w:t>
            </w:r>
            <w:r>
              <w:rPr>
                <w:rFonts w:hint="eastAsia" w:ascii="宋体" w:hAnsi="宋体" w:eastAsia="宋体" w:cs="宋体"/>
                <w:sz w:val="24"/>
                <w:szCs w:val="24"/>
                <w:highlight w:val="none"/>
                <w:lang w:bidi="en-US"/>
              </w:rPr>
              <w:t>不能证明其报价合理性的，评标委员会应当将其作为无效报价处理。</w:t>
            </w:r>
          </w:p>
          <w:p w14:paraId="24DF7FC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bidi="en-US"/>
              </w:rPr>
            </w:pPr>
            <w:r>
              <w:rPr>
                <w:rFonts w:hint="eastAsia" w:ascii="宋体" w:hAnsi="宋体" w:eastAsia="宋体" w:cs="宋体"/>
                <w:sz w:val="24"/>
                <w:szCs w:val="24"/>
                <w:highlight w:val="none"/>
                <w:lang w:val="en-US" w:eastAsia="zh-CN" w:bidi="en-US"/>
              </w:rPr>
              <w:t>3、</w:t>
            </w:r>
            <w:r>
              <w:rPr>
                <w:rFonts w:hint="eastAsia" w:ascii="宋体" w:hAnsi="宋体" w:eastAsia="宋体" w:cs="宋体"/>
                <w:sz w:val="24"/>
                <w:szCs w:val="24"/>
                <w:highlight w:val="none"/>
                <w:lang w:eastAsia="zh-CN" w:bidi="en-US"/>
              </w:rPr>
              <w:t>超过最高限价的报价招标人不予接受，做无效标处理。</w:t>
            </w:r>
          </w:p>
        </w:tc>
      </w:tr>
      <w:tr w14:paraId="56D7B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jc w:val="center"/>
        </w:trPr>
        <w:tc>
          <w:tcPr>
            <w:tcW w:w="729" w:type="dxa"/>
            <w:vMerge w:val="restart"/>
            <w:tcBorders>
              <w:tl2br w:val="nil"/>
              <w:tr2bl w:val="nil"/>
            </w:tcBorders>
            <w:vAlign w:val="center"/>
          </w:tcPr>
          <w:p w14:paraId="2C1BCBC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eastAsia="en-US" w:bidi="en-US"/>
              </w:rPr>
            </w:pPr>
            <w:r>
              <w:rPr>
                <w:rFonts w:hint="eastAsia" w:ascii="宋体" w:hAnsi="宋体" w:eastAsia="宋体" w:cs="宋体"/>
                <w:spacing w:val="6"/>
                <w:kern w:val="1"/>
                <w:sz w:val="24"/>
                <w:szCs w:val="24"/>
                <w:highlight w:val="none"/>
                <w:lang w:eastAsia="en-US" w:bidi="en-US"/>
              </w:rPr>
              <w:t>技术标</w:t>
            </w:r>
          </w:p>
          <w:p w14:paraId="444893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eastAsia="en-US" w:bidi="en-US"/>
              </w:rPr>
            </w:pPr>
            <w:r>
              <w:rPr>
                <w:rFonts w:hint="eastAsia" w:ascii="宋体" w:hAnsi="宋体" w:eastAsia="宋体" w:cs="宋体"/>
                <w:spacing w:val="6"/>
                <w:kern w:val="1"/>
                <w:sz w:val="24"/>
                <w:szCs w:val="24"/>
                <w:highlight w:val="none"/>
                <w:lang w:eastAsia="en-US" w:bidi="en-US"/>
              </w:rPr>
              <w:t>（</w:t>
            </w:r>
            <w:r>
              <w:rPr>
                <w:rFonts w:hint="eastAsia" w:ascii="宋体" w:hAnsi="宋体" w:eastAsia="宋体" w:cs="宋体"/>
                <w:spacing w:val="6"/>
                <w:kern w:val="1"/>
                <w:sz w:val="24"/>
                <w:szCs w:val="24"/>
                <w:highlight w:val="none"/>
                <w:lang w:bidi="en-US"/>
              </w:rPr>
              <w:t>50</w:t>
            </w:r>
            <w:r>
              <w:rPr>
                <w:rFonts w:hint="eastAsia" w:ascii="宋体" w:hAnsi="宋体" w:eastAsia="宋体" w:cs="宋体"/>
                <w:spacing w:val="6"/>
                <w:kern w:val="1"/>
                <w:sz w:val="24"/>
                <w:szCs w:val="24"/>
                <w:highlight w:val="none"/>
                <w:lang w:eastAsia="en-US" w:bidi="en-US"/>
              </w:rPr>
              <w:t>分）</w:t>
            </w:r>
          </w:p>
        </w:tc>
        <w:tc>
          <w:tcPr>
            <w:tcW w:w="871" w:type="dxa"/>
            <w:vMerge w:val="restart"/>
            <w:tcBorders>
              <w:tl2br w:val="nil"/>
              <w:tr2bl w:val="nil"/>
            </w:tcBorders>
            <w:vAlign w:val="center"/>
          </w:tcPr>
          <w:p w14:paraId="1F7B3F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bidi="en-US"/>
              </w:rPr>
            </w:pPr>
            <w:r>
              <w:rPr>
                <w:rFonts w:hint="eastAsia" w:ascii="宋体" w:hAnsi="宋体" w:eastAsia="宋体" w:cs="宋体"/>
                <w:spacing w:val="6"/>
                <w:kern w:val="1"/>
                <w:sz w:val="24"/>
                <w:szCs w:val="24"/>
                <w:highlight w:val="none"/>
                <w:lang w:val="en-US" w:eastAsia="zh-CN" w:bidi="en-US"/>
              </w:rPr>
              <w:t>2.2.2</w:t>
            </w:r>
            <w:r>
              <w:rPr>
                <w:rFonts w:hint="eastAsia" w:ascii="宋体" w:hAnsi="宋体" w:eastAsia="宋体" w:cs="宋体"/>
                <w:spacing w:val="6"/>
                <w:kern w:val="1"/>
                <w:sz w:val="24"/>
                <w:szCs w:val="24"/>
                <w:highlight w:val="none"/>
                <w:lang w:bidi="en-US"/>
              </w:rPr>
              <w:t>施工组织设计</w:t>
            </w:r>
          </w:p>
          <w:p w14:paraId="6CD719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bidi="en-US"/>
              </w:rPr>
            </w:pPr>
            <w:r>
              <w:rPr>
                <w:rFonts w:hint="eastAsia" w:ascii="宋体" w:hAnsi="宋体" w:eastAsia="宋体" w:cs="宋体"/>
                <w:spacing w:val="6"/>
                <w:kern w:val="1"/>
                <w:sz w:val="24"/>
                <w:szCs w:val="24"/>
                <w:highlight w:val="none"/>
                <w:lang w:bidi="en-US"/>
              </w:rPr>
              <w:t>评分标准</w:t>
            </w:r>
          </w:p>
        </w:tc>
        <w:tc>
          <w:tcPr>
            <w:tcW w:w="1531" w:type="dxa"/>
            <w:gridSpan w:val="2"/>
            <w:tcBorders>
              <w:tl2br w:val="nil"/>
              <w:tr2bl w:val="nil"/>
            </w:tcBorders>
            <w:vAlign w:val="center"/>
          </w:tcPr>
          <w:p w14:paraId="0A0081E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内容完整性</w:t>
            </w:r>
          </w:p>
        </w:tc>
        <w:tc>
          <w:tcPr>
            <w:tcW w:w="4515" w:type="dxa"/>
            <w:tcBorders>
              <w:tl2br w:val="nil"/>
              <w:tr2bl w:val="nil"/>
            </w:tcBorders>
            <w:vAlign w:val="center"/>
          </w:tcPr>
          <w:p w14:paraId="22A387A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技术标的主要内容具有完整性，符合招标文件的要求。</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＜得分≤2。</w:t>
            </w:r>
          </w:p>
          <w:p w14:paraId="6C71942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技术标不符合招标文件要求。</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w:t>
            </w:r>
          </w:p>
        </w:tc>
        <w:tc>
          <w:tcPr>
            <w:tcW w:w="1134" w:type="dxa"/>
            <w:tcBorders>
              <w:tl2br w:val="nil"/>
              <w:tr2bl w:val="nil"/>
            </w:tcBorders>
            <w:vAlign w:val="center"/>
          </w:tcPr>
          <w:p w14:paraId="3A0712F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p>
        </w:tc>
      </w:tr>
      <w:tr w14:paraId="37DA8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4" w:hRule="atLeast"/>
          <w:jc w:val="center"/>
        </w:trPr>
        <w:tc>
          <w:tcPr>
            <w:tcW w:w="729" w:type="dxa"/>
            <w:vMerge w:val="continue"/>
            <w:tcBorders>
              <w:tl2br w:val="nil"/>
              <w:tr2bl w:val="nil"/>
            </w:tcBorders>
          </w:tcPr>
          <w:p w14:paraId="494E5E0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5253F0C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458238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主要施工方案与技术措施</w:t>
            </w:r>
          </w:p>
        </w:tc>
        <w:tc>
          <w:tcPr>
            <w:tcW w:w="4515" w:type="dxa"/>
            <w:tcBorders>
              <w:tl2br w:val="nil"/>
              <w:tr2bl w:val="nil"/>
            </w:tcBorders>
            <w:vAlign w:val="center"/>
          </w:tcPr>
          <w:p w14:paraId="6EDEA06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施工方案（含工程特点、施工重点与难点及绿色施工）总体安排合理，运用先进、合理的施工工艺、施工机械；对施工难点有先进和合理的建议。</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5</w:t>
            </w:r>
          </w:p>
          <w:p w14:paraId="011425B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施工方案（含工程特点、施工重点与难点及绿色施工）总体安排合理，施工工艺、施工机械合理、可行；对施工难点有合理的建议。</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p>
        </w:tc>
        <w:tc>
          <w:tcPr>
            <w:tcW w:w="1134" w:type="dxa"/>
            <w:tcBorders>
              <w:tl2br w:val="nil"/>
              <w:tr2bl w:val="nil"/>
            </w:tcBorders>
            <w:vAlign w:val="center"/>
          </w:tcPr>
          <w:p w14:paraId="019A69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21ED7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29" w:type="dxa"/>
            <w:vMerge w:val="continue"/>
            <w:tcBorders>
              <w:tl2br w:val="nil"/>
              <w:tr2bl w:val="nil"/>
            </w:tcBorders>
          </w:tcPr>
          <w:p w14:paraId="47D1C63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1830E8D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704447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质量管理体系与措施</w:t>
            </w:r>
          </w:p>
        </w:tc>
        <w:tc>
          <w:tcPr>
            <w:tcW w:w="4515" w:type="dxa"/>
            <w:tcBorders>
              <w:tl2br w:val="nil"/>
              <w:tr2bl w:val="nil"/>
            </w:tcBorders>
            <w:vAlign w:val="center"/>
          </w:tcPr>
          <w:p w14:paraId="2714CF4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5</w:t>
            </w:r>
          </w:p>
          <w:p w14:paraId="3229B9A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组织机构形式基本合理，指挥系统、质量监控系统、联络协调系统，具体措施可行。主体结构质量保证措施经济、安全、基本可行。主体结构、装饰装修符合工程建设强制性标准，不得偷工减料。</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p>
        </w:tc>
        <w:tc>
          <w:tcPr>
            <w:tcW w:w="1134" w:type="dxa"/>
            <w:tcBorders>
              <w:tl2br w:val="nil"/>
              <w:tr2bl w:val="nil"/>
            </w:tcBorders>
            <w:vAlign w:val="center"/>
          </w:tcPr>
          <w:p w14:paraId="295270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66BF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729" w:type="dxa"/>
            <w:vMerge w:val="continue"/>
            <w:tcBorders>
              <w:tl2br w:val="nil"/>
              <w:tr2bl w:val="nil"/>
            </w:tcBorders>
          </w:tcPr>
          <w:p w14:paraId="60645DD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164ED0A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144F3D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安全管理体系与措施</w:t>
            </w:r>
          </w:p>
        </w:tc>
        <w:tc>
          <w:tcPr>
            <w:tcW w:w="4515" w:type="dxa"/>
            <w:tcBorders>
              <w:tl2br w:val="nil"/>
              <w:tr2bl w:val="nil"/>
            </w:tcBorders>
            <w:vAlign w:val="center"/>
          </w:tcPr>
          <w:p w14:paraId="3DE2C28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5</w:t>
            </w:r>
          </w:p>
          <w:p w14:paraId="6265220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p>
        </w:tc>
        <w:tc>
          <w:tcPr>
            <w:tcW w:w="1134" w:type="dxa"/>
            <w:tcBorders>
              <w:tl2br w:val="nil"/>
              <w:tr2bl w:val="nil"/>
            </w:tcBorders>
            <w:vAlign w:val="center"/>
          </w:tcPr>
          <w:p w14:paraId="467BF9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67922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82" w:hRule="atLeast"/>
          <w:jc w:val="center"/>
        </w:trPr>
        <w:tc>
          <w:tcPr>
            <w:tcW w:w="729" w:type="dxa"/>
            <w:vMerge w:val="continue"/>
            <w:tcBorders>
              <w:tl2br w:val="nil"/>
              <w:tr2bl w:val="nil"/>
            </w:tcBorders>
          </w:tcPr>
          <w:p w14:paraId="4AA9514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eastAsia="en-US" w:bidi="en-US"/>
              </w:rPr>
            </w:pPr>
          </w:p>
        </w:tc>
        <w:tc>
          <w:tcPr>
            <w:tcW w:w="871" w:type="dxa"/>
            <w:vMerge w:val="continue"/>
            <w:tcBorders>
              <w:tl2br w:val="nil"/>
              <w:tr2bl w:val="nil"/>
            </w:tcBorders>
          </w:tcPr>
          <w:p w14:paraId="498414B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eastAsia="en-US" w:bidi="en-US"/>
              </w:rPr>
            </w:pPr>
          </w:p>
        </w:tc>
        <w:tc>
          <w:tcPr>
            <w:tcW w:w="1531" w:type="dxa"/>
            <w:gridSpan w:val="2"/>
            <w:tcBorders>
              <w:tl2br w:val="nil"/>
              <w:tr2bl w:val="nil"/>
            </w:tcBorders>
            <w:vAlign w:val="center"/>
          </w:tcPr>
          <w:p w14:paraId="7315B8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文明施工、环境保护管理体系及施工现场扬尘治理措施</w:t>
            </w:r>
          </w:p>
        </w:tc>
        <w:tc>
          <w:tcPr>
            <w:tcW w:w="4515" w:type="dxa"/>
            <w:tcBorders>
              <w:tl2br w:val="nil"/>
              <w:tr2bl w:val="nil"/>
            </w:tcBorders>
            <w:vAlign w:val="center"/>
          </w:tcPr>
          <w:p w14:paraId="1417373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5</w:t>
            </w:r>
          </w:p>
          <w:p w14:paraId="753D438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p>
        </w:tc>
        <w:tc>
          <w:tcPr>
            <w:tcW w:w="1134" w:type="dxa"/>
            <w:tcBorders>
              <w:tl2br w:val="nil"/>
              <w:tr2bl w:val="nil"/>
            </w:tcBorders>
            <w:vAlign w:val="center"/>
          </w:tcPr>
          <w:p w14:paraId="7B0F72B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10472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jc w:val="center"/>
        </w:trPr>
        <w:tc>
          <w:tcPr>
            <w:tcW w:w="729" w:type="dxa"/>
            <w:vMerge w:val="continue"/>
            <w:tcBorders>
              <w:tl2br w:val="nil"/>
              <w:tr2bl w:val="nil"/>
            </w:tcBorders>
          </w:tcPr>
          <w:p w14:paraId="3D2EC7F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4E1B4EE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1F36FE4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工期保证措施</w:t>
            </w:r>
          </w:p>
        </w:tc>
        <w:tc>
          <w:tcPr>
            <w:tcW w:w="4515" w:type="dxa"/>
            <w:tcBorders>
              <w:tl2br w:val="nil"/>
              <w:tr2bl w:val="nil"/>
            </w:tcBorders>
            <w:vAlign w:val="center"/>
          </w:tcPr>
          <w:p w14:paraId="392DEBD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工期承诺满足招标文件要求，工期保证措施合理且有针对性，有具体的违约责任承诺。</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5</w:t>
            </w:r>
          </w:p>
          <w:p w14:paraId="2939ED7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工期承诺满足招标文件要求，工期保证措施基本合理，有具体的违约责任承诺。</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p>
        </w:tc>
        <w:tc>
          <w:tcPr>
            <w:tcW w:w="1134" w:type="dxa"/>
            <w:tcBorders>
              <w:tl2br w:val="nil"/>
              <w:tr2bl w:val="nil"/>
            </w:tcBorders>
            <w:vAlign w:val="center"/>
          </w:tcPr>
          <w:p w14:paraId="21F9122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2238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jc w:val="center"/>
        </w:trPr>
        <w:tc>
          <w:tcPr>
            <w:tcW w:w="729" w:type="dxa"/>
            <w:vMerge w:val="continue"/>
            <w:tcBorders>
              <w:tl2br w:val="nil"/>
              <w:tr2bl w:val="nil"/>
            </w:tcBorders>
          </w:tcPr>
          <w:p w14:paraId="266196F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09E6F31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6045E6C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拟投入资源配备计划</w:t>
            </w:r>
          </w:p>
        </w:tc>
        <w:tc>
          <w:tcPr>
            <w:tcW w:w="4515" w:type="dxa"/>
            <w:tcBorders>
              <w:tl2br w:val="nil"/>
              <w:tr2bl w:val="nil"/>
            </w:tcBorders>
            <w:vAlign w:val="center"/>
          </w:tcPr>
          <w:p w14:paraId="26A6C98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机械：投入计划与进度计划呼应，采用先进机械设备且配置合理、先进，满足安全技术规范和施工进度需要；PC构件运输、安装设备满足施工要求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劳动力：投入计划与进度计划呼应，较好满足施工需要，调配投入计划合理、准确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主要物资计划：主要物资投入计划与进度计划呼应，较好满足施工需要，调配投入计划合理、准确。</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5</w:t>
            </w:r>
          </w:p>
          <w:p w14:paraId="6245A67D">
            <w:pPr>
              <w:widowControl/>
              <w:spacing w:line="360" w:lineRule="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机械：投入计划与进度计划呼应，机械设备配置基本合理，满足安全技术规范和施工进度需要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劳动力：投入计划与进度计划呼应，基本满足施工需要，调配投入计划基本合理</w:t>
            </w:r>
            <w:r>
              <w:rPr>
                <w:rFonts w:hint="eastAsia" w:ascii="宋体" w:hAnsi="宋体" w:eastAsia="宋体" w:cs="宋体"/>
                <w:sz w:val="24"/>
                <w:szCs w:val="24"/>
                <w:highlight w:val="none"/>
                <w:lang w:eastAsia="zh-CN"/>
              </w:rPr>
              <w:t>。</w:t>
            </w:r>
            <w:r>
              <w:rPr>
                <w:rFonts w:hint="eastAsia" w:ascii="宋体" w:hAnsi="宋体" w:eastAsia="宋体" w:cs="宋体"/>
                <w:spacing w:val="-4"/>
                <w:sz w:val="24"/>
                <w:szCs w:val="24"/>
                <w:highlight w:val="none"/>
              </w:rPr>
              <w:t>主要物资计划：主要物资投入计划与进度计划呼应，基本满足施工需要，调配投入计划基本合理。</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2.5</w:t>
            </w:r>
          </w:p>
        </w:tc>
        <w:tc>
          <w:tcPr>
            <w:tcW w:w="1134" w:type="dxa"/>
            <w:tcBorders>
              <w:tl2br w:val="nil"/>
              <w:tr2bl w:val="nil"/>
            </w:tcBorders>
            <w:vAlign w:val="center"/>
          </w:tcPr>
          <w:p w14:paraId="4B7EC5F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2C8DA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jc w:val="center"/>
        </w:trPr>
        <w:tc>
          <w:tcPr>
            <w:tcW w:w="729" w:type="dxa"/>
            <w:vMerge w:val="continue"/>
            <w:tcBorders>
              <w:tl2br w:val="nil"/>
              <w:tr2bl w:val="nil"/>
            </w:tcBorders>
          </w:tcPr>
          <w:p w14:paraId="72C4CF8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221F754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67288ED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施工进度表</w:t>
            </w:r>
          </w:p>
        </w:tc>
        <w:tc>
          <w:tcPr>
            <w:tcW w:w="4515" w:type="dxa"/>
            <w:tcBorders>
              <w:tl2br w:val="nil"/>
              <w:tr2bl w:val="nil"/>
            </w:tcBorders>
            <w:vAlign w:val="center"/>
          </w:tcPr>
          <w:p w14:paraId="7A00846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关键线路清晰、准确、完整、计划编制合理、可行、满足招标文件对工期的要求。</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3</w:t>
            </w:r>
          </w:p>
          <w:p w14:paraId="269C13D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关键线路基本准确，计划编制基本可行。</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1.5</w:t>
            </w:r>
          </w:p>
        </w:tc>
        <w:tc>
          <w:tcPr>
            <w:tcW w:w="1134" w:type="dxa"/>
            <w:tcBorders>
              <w:tl2br w:val="nil"/>
              <w:tr2bl w:val="nil"/>
            </w:tcBorders>
            <w:vAlign w:val="center"/>
          </w:tcPr>
          <w:p w14:paraId="5BBDDA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r w14:paraId="58EE3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9" w:hRule="atLeast"/>
          <w:jc w:val="center"/>
        </w:trPr>
        <w:tc>
          <w:tcPr>
            <w:tcW w:w="729" w:type="dxa"/>
            <w:vMerge w:val="continue"/>
            <w:tcBorders>
              <w:tl2br w:val="nil"/>
              <w:tr2bl w:val="nil"/>
            </w:tcBorders>
          </w:tcPr>
          <w:p w14:paraId="771B7BD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69B2105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104133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施工总平面图布置</w:t>
            </w:r>
          </w:p>
        </w:tc>
        <w:tc>
          <w:tcPr>
            <w:tcW w:w="4515" w:type="dxa"/>
            <w:tcBorders>
              <w:tl2br w:val="nil"/>
              <w:tr2bl w:val="nil"/>
            </w:tcBorders>
            <w:vAlign w:val="center"/>
          </w:tcPr>
          <w:p w14:paraId="285A529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总体布置有针对性、合理、能较好满足施工需要，符合安全、文明施工要求；材料堆放有序。</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3</w:t>
            </w:r>
          </w:p>
          <w:p w14:paraId="253D247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总体布置基本合理、基本满足施工需要。</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1.5</w:t>
            </w:r>
          </w:p>
        </w:tc>
        <w:tc>
          <w:tcPr>
            <w:tcW w:w="1134" w:type="dxa"/>
            <w:tcBorders>
              <w:tl2br w:val="nil"/>
              <w:tr2bl w:val="nil"/>
            </w:tcBorders>
            <w:vAlign w:val="center"/>
          </w:tcPr>
          <w:p w14:paraId="104E6F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-3分</w:t>
            </w:r>
          </w:p>
        </w:tc>
      </w:tr>
      <w:tr w14:paraId="0D69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9" w:hRule="atLeast"/>
          <w:jc w:val="center"/>
        </w:trPr>
        <w:tc>
          <w:tcPr>
            <w:tcW w:w="729" w:type="dxa"/>
            <w:vMerge w:val="continue"/>
            <w:tcBorders>
              <w:tl2br w:val="nil"/>
              <w:tr2bl w:val="nil"/>
            </w:tcBorders>
          </w:tcPr>
          <w:p w14:paraId="604E6C5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1B22A89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596413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技术创新的应用实施措施</w:t>
            </w:r>
          </w:p>
        </w:tc>
        <w:tc>
          <w:tcPr>
            <w:tcW w:w="4515" w:type="dxa"/>
            <w:tcBorders>
              <w:tl2br w:val="nil"/>
              <w:tr2bl w:val="nil"/>
            </w:tcBorders>
            <w:vAlign w:val="center"/>
          </w:tcPr>
          <w:p w14:paraId="1EC2293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节能减排、绿色施工、工艺创新、装配式建筑等技术创新的应用实施措施符合工程情况，具有针对性、可行性、经济适用性。</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3</w:t>
            </w:r>
          </w:p>
          <w:p w14:paraId="2B4D09F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节能减排、绿色施工、工艺创新、装配式建筑等技术创新</w:t>
            </w:r>
            <w:r>
              <w:rPr>
                <w:rFonts w:hint="eastAsia" w:ascii="宋体" w:hAnsi="宋体" w:eastAsia="宋体" w:cs="宋体"/>
                <w:spacing w:val="-8"/>
                <w:sz w:val="24"/>
                <w:szCs w:val="24"/>
                <w:highlight w:val="none"/>
              </w:rPr>
              <w:t>的应用实施措施基本符合工程情况，具有针</w:t>
            </w:r>
            <w:r>
              <w:rPr>
                <w:rFonts w:hint="eastAsia" w:ascii="宋体" w:hAnsi="宋体" w:eastAsia="宋体" w:cs="宋体"/>
                <w:sz w:val="24"/>
                <w:szCs w:val="24"/>
                <w:highlight w:val="none"/>
              </w:rPr>
              <w:t>对性。</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1.5</w:t>
            </w:r>
          </w:p>
        </w:tc>
        <w:tc>
          <w:tcPr>
            <w:tcW w:w="1134" w:type="dxa"/>
            <w:tcBorders>
              <w:tl2br w:val="nil"/>
              <w:tr2bl w:val="nil"/>
            </w:tcBorders>
            <w:vAlign w:val="center"/>
          </w:tcPr>
          <w:p w14:paraId="021ACF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-3分</w:t>
            </w:r>
          </w:p>
        </w:tc>
      </w:tr>
      <w:tr w14:paraId="08B1A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4" w:hRule="atLeast"/>
          <w:jc w:val="center"/>
        </w:trPr>
        <w:tc>
          <w:tcPr>
            <w:tcW w:w="729" w:type="dxa"/>
            <w:vMerge w:val="continue"/>
            <w:tcBorders>
              <w:tl2br w:val="nil"/>
              <w:tr2bl w:val="nil"/>
            </w:tcBorders>
          </w:tcPr>
          <w:p w14:paraId="2387D09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2470420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3CCA150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采用新工艺、新技术、新设备、新材料、BIM等的程度</w:t>
            </w:r>
          </w:p>
        </w:tc>
        <w:tc>
          <w:tcPr>
            <w:tcW w:w="4515" w:type="dxa"/>
            <w:tcBorders>
              <w:tl2br w:val="nil"/>
              <w:tr2bl w:val="nil"/>
            </w:tcBorders>
            <w:vAlign w:val="center"/>
          </w:tcPr>
          <w:p w14:paraId="70398CC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采用新工艺、新技术、新设备、新材料、BIM等的程度满足设计要求，符合施工需要和相应技术标准等规定，经济适用。</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3</w:t>
            </w:r>
          </w:p>
          <w:p w14:paraId="11DF9BD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采用新工艺、新技术、新设备、新材料等的程度满足设计要求，基本符合施工要求和相应技术标准等规定。</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1.5</w:t>
            </w:r>
          </w:p>
        </w:tc>
        <w:tc>
          <w:tcPr>
            <w:tcW w:w="1134" w:type="dxa"/>
            <w:tcBorders>
              <w:tl2br w:val="nil"/>
              <w:tr2bl w:val="nil"/>
            </w:tcBorders>
            <w:vAlign w:val="center"/>
          </w:tcPr>
          <w:p w14:paraId="6E6869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-3分</w:t>
            </w:r>
          </w:p>
        </w:tc>
      </w:tr>
      <w:tr w14:paraId="3CDD1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4" w:hRule="atLeast"/>
          <w:jc w:val="center"/>
        </w:trPr>
        <w:tc>
          <w:tcPr>
            <w:tcW w:w="729" w:type="dxa"/>
            <w:vMerge w:val="continue"/>
            <w:tcBorders>
              <w:tl2br w:val="nil"/>
              <w:tr2bl w:val="nil"/>
            </w:tcBorders>
          </w:tcPr>
          <w:p w14:paraId="73A00E7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4470EFF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6DD389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施工现场实施信息化监控和数据处理</w:t>
            </w:r>
          </w:p>
        </w:tc>
        <w:tc>
          <w:tcPr>
            <w:tcW w:w="4515" w:type="dxa"/>
            <w:tcBorders>
              <w:tl2br w:val="nil"/>
              <w:tr2bl w:val="nil"/>
            </w:tcBorders>
            <w:vAlign w:val="center"/>
          </w:tcPr>
          <w:p w14:paraId="2DDF645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施工现场实施信息化监控和数据处理系统布置合理，满足需要。</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3</w:t>
            </w:r>
          </w:p>
          <w:p w14:paraId="2AEC084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施工现场实施信息化监控和数据处理系统布置基本符合需要。</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1.5</w:t>
            </w:r>
          </w:p>
        </w:tc>
        <w:tc>
          <w:tcPr>
            <w:tcW w:w="1134" w:type="dxa"/>
            <w:tcBorders>
              <w:tl2br w:val="nil"/>
              <w:tr2bl w:val="nil"/>
            </w:tcBorders>
            <w:vAlign w:val="center"/>
          </w:tcPr>
          <w:p w14:paraId="7F91D2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-3分</w:t>
            </w:r>
          </w:p>
        </w:tc>
      </w:tr>
      <w:tr w14:paraId="30D56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729" w:type="dxa"/>
            <w:vMerge w:val="continue"/>
            <w:tcBorders>
              <w:tl2br w:val="nil"/>
              <w:tr2bl w:val="nil"/>
            </w:tcBorders>
          </w:tcPr>
          <w:p w14:paraId="453C54E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3EC97B7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15979F4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风险管理措施</w:t>
            </w:r>
          </w:p>
        </w:tc>
        <w:tc>
          <w:tcPr>
            <w:tcW w:w="4515" w:type="dxa"/>
            <w:tcBorders>
              <w:tl2br w:val="nil"/>
              <w:tr2bl w:val="nil"/>
            </w:tcBorders>
            <w:vAlign w:val="center"/>
          </w:tcPr>
          <w:p w14:paraId="7EB65AB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风险防控管理措施齐全，风险预控符合规范要求，风险控制要点定位准确，各阶段风险控制及应急措施得力。</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3</w:t>
            </w:r>
          </w:p>
          <w:p w14:paraId="7D0F5E1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风险防控管理措施基本齐全，风险预控符合规范要求，风险控制要点定位基本准确，有各阶段风险控制及应急措施。</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1.5</w:t>
            </w:r>
          </w:p>
        </w:tc>
        <w:tc>
          <w:tcPr>
            <w:tcW w:w="1134" w:type="dxa"/>
            <w:tcBorders>
              <w:tl2br w:val="nil"/>
              <w:tr2bl w:val="nil"/>
            </w:tcBorders>
            <w:vAlign w:val="center"/>
          </w:tcPr>
          <w:p w14:paraId="1DFA9F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r w14:paraId="69C64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jc w:val="center"/>
        </w:trPr>
        <w:tc>
          <w:tcPr>
            <w:tcW w:w="729" w:type="dxa"/>
            <w:vMerge w:val="restart"/>
            <w:tcBorders>
              <w:tl2br w:val="nil"/>
              <w:tr2bl w:val="nil"/>
            </w:tcBorders>
            <w:vAlign w:val="center"/>
          </w:tcPr>
          <w:p w14:paraId="115344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val="en-US" w:eastAsia="zh-CN" w:bidi="en-US"/>
              </w:rPr>
              <w:t>2.2.3</w:t>
            </w:r>
            <w:r>
              <w:rPr>
                <w:rFonts w:hint="eastAsia" w:ascii="宋体" w:hAnsi="宋体" w:eastAsia="宋体" w:cs="宋体"/>
                <w:kern w:val="1"/>
                <w:sz w:val="24"/>
                <w:szCs w:val="24"/>
                <w:highlight w:val="none"/>
                <w:lang w:eastAsia="en-US" w:bidi="en-US"/>
              </w:rPr>
              <w:t>综合标</w:t>
            </w:r>
          </w:p>
          <w:p w14:paraId="566577D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eastAsia="en-US" w:bidi="en-US"/>
              </w:rPr>
              <w:t>（</w:t>
            </w:r>
            <w:r>
              <w:rPr>
                <w:rFonts w:hint="eastAsia" w:ascii="宋体" w:hAnsi="宋体" w:eastAsia="宋体" w:cs="宋体"/>
                <w:kern w:val="1"/>
                <w:sz w:val="24"/>
                <w:szCs w:val="24"/>
                <w:highlight w:val="none"/>
                <w:lang w:bidi="en-US"/>
              </w:rPr>
              <w:t>20</w:t>
            </w:r>
            <w:r>
              <w:rPr>
                <w:rFonts w:hint="eastAsia" w:ascii="宋体" w:hAnsi="宋体" w:eastAsia="宋体" w:cs="宋体"/>
                <w:kern w:val="1"/>
                <w:sz w:val="24"/>
                <w:szCs w:val="24"/>
                <w:highlight w:val="none"/>
                <w:lang w:eastAsia="en-US" w:bidi="en-US"/>
              </w:rPr>
              <w:t>分）</w:t>
            </w:r>
          </w:p>
        </w:tc>
        <w:tc>
          <w:tcPr>
            <w:tcW w:w="1481" w:type="dxa"/>
            <w:gridSpan w:val="2"/>
            <w:tcBorders>
              <w:tl2br w:val="nil"/>
              <w:tr2bl w:val="nil"/>
            </w:tcBorders>
            <w:vAlign w:val="center"/>
          </w:tcPr>
          <w:p w14:paraId="0EFF41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企业业绩</w:t>
            </w:r>
          </w:p>
          <w:p w14:paraId="333D73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570" w:type="dxa"/>
            <w:gridSpan w:val="3"/>
            <w:tcBorders>
              <w:tl2br w:val="nil"/>
              <w:tr2bl w:val="nil"/>
            </w:tcBorders>
            <w:vAlign w:val="center"/>
          </w:tcPr>
          <w:p w14:paraId="2EAE66D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Cs/>
                <w:kern w:val="1"/>
                <w:sz w:val="24"/>
                <w:szCs w:val="24"/>
                <w:highlight w:val="none"/>
                <w:lang w:val="zh-CN"/>
              </w:rPr>
              <w:t>202</w:t>
            </w:r>
            <w:r>
              <w:rPr>
                <w:rFonts w:hint="eastAsia" w:ascii="宋体" w:hAnsi="宋体" w:eastAsia="宋体" w:cs="宋体"/>
                <w:bCs/>
                <w:kern w:val="1"/>
                <w:sz w:val="24"/>
                <w:szCs w:val="24"/>
                <w:highlight w:val="none"/>
                <w:lang w:val="en-US" w:eastAsia="zh-CN"/>
              </w:rPr>
              <w:t>2</w:t>
            </w:r>
            <w:r>
              <w:rPr>
                <w:rFonts w:hint="eastAsia" w:ascii="宋体" w:hAnsi="宋体" w:eastAsia="宋体" w:cs="宋体"/>
                <w:bCs/>
                <w:kern w:val="1"/>
                <w:sz w:val="24"/>
                <w:szCs w:val="24"/>
                <w:highlight w:val="none"/>
                <w:lang w:val="zh-CN"/>
              </w:rPr>
              <w:t>年1月1日以来承担过类似业绩每份2分，最多得</w:t>
            </w:r>
            <w:r>
              <w:rPr>
                <w:rFonts w:hint="eastAsia" w:ascii="宋体" w:hAnsi="宋体" w:eastAsia="宋体" w:cs="宋体"/>
                <w:bCs/>
                <w:kern w:val="1"/>
                <w:sz w:val="24"/>
                <w:szCs w:val="24"/>
                <w:highlight w:val="none"/>
                <w:lang w:val="en-US" w:eastAsia="zh-CN"/>
              </w:rPr>
              <w:t>6</w:t>
            </w:r>
            <w:r>
              <w:rPr>
                <w:rFonts w:hint="eastAsia" w:ascii="宋体" w:hAnsi="宋体" w:eastAsia="宋体" w:cs="宋体"/>
                <w:bCs/>
                <w:kern w:val="1"/>
                <w:sz w:val="24"/>
                <w:szCs w:val="24"/>
                <w:highlight w:val="none"/>
                <w:lang w:val="zh-CN"/>
              </w:rPr>
              <w:t>分，</w:t>
            </w:r>
            <w:r>
              <w:rPr>
                <w:rFonts w:hint="eastAsia" w:ascii="宋体" w:hAnsi="宋体" w:eastAsia="宋体" w:cs="宋体"/>
                <w:sz w:val="24"/>
                <w:szCs w:val="24"/>
                <w:highlight w:val="none"/>
              </w:rPr>
              <w:t>未提供者不得分</w:t>
            </w:r>
            <w:r>
              <w:rPr>
                <w:rFonts w:hint="eastAsia" w:ascii="宋体" w:hAnsi="宋体" w:eastAsia="宋体" w:cs="宋体"/>
                <w:sz w:val="24"/>
                <w:szCs w:val="24"/>
                <w:highlight w:val="none"/>
                <w:lang w:eastAsia="zh-CN"/>
              </w:rPr>
              <w:t>。</w:t>
            </w:r>
            <w:r>
              <w:rPr>
                <w:rFonts w:hint="eastAsia" w:ascii="宋体" w:hAnsi="宋体" w:eastAsia="宋体" w:cs="宋体"/>
                <w:bCs/>
                <w:kern w:val="1"/>
                <w:sz w:val="24"/>
                <w:szCs w:val="24"/>
                <w:highlight w:val="none"/>
                <w:lang w:val="zh-CN"/>
              </w:rPr>
              <w:t>（</w:t>
            </w:r>
            <w:r>
              <w:rPr>
                <w:rFonts w:hint="eastAsia" w:ascii="宋体" w:hAnsi="宋体" w:eastAsia="宋体" w:cs="宋体"/>
                <w:b/>
                <w:bCs/>
                <w:color w:val="000000"/>
                <w:sz w:val="24"/>
                <w:szCs w:val="24"/>
                <w:highlight w:val="none"/>
              </w:rPr>
              <w:t>以</w:t>
            </w:r>
            <w:r>
              <w:rPr>
                <w:rFonts w:hint="eastAsia" w:ascii="宋体" w:hAnsi="宋体" w:eastAsia="宋体" w:cs="宋体"/>
                <w:b/>
                <w:bCs/>
                <w:sz w:val="24"/>
                <w:szCs w:val="24"/>
                <w:highlight w:val="none"/>
                <w:lang w:eastAsia="zh-CN"/>
              </w:rPr>
              <w:t>合同协议书及</w:t>
            </w:r>
            <w:r>
              <w:rPr>
                <w:rFonts w:hint="eastAsia" w:ascii="宋体" w:hAnsi="宋体" w:eastAsia="宋体" w:cs="宋体"/>
                <w:b/>
                <w:bCs/>
                <w:sz w:val="24"/>
                <w:szCs w:val="24"/>
                <w:highlight w:val="none"/>
              </w:rPr>
              <w:t>中标通知书</w:t>
            </w:r>
            <w:r>
              <w:rPr>
                <w:rFonts w:hint="eastAsia" w:ascii="宋体" w:hAnsi="宋体" w:eastAsia="宋体" w:cs="宋体"/>
                <w:b/>
                <w:bCs/>
                <w:color w:val="000000"/>
                <w:sz w:val="24"/>
                <w:szCs w:val="24"/>
                <w:highlight w:val="none"/>
                <w:lang w:val="en-US" w:eastAsia="zh-CN"/>
              </w:rPr>
              <w:t>为准，</w:t>
            </w:r>
            <w:r>
              <w:rPr>
                <w:rFonts w:hint="eastAsia" w:ascii="宋体" w:hAnsi="宋体" w:eastAsia="宋体" w:cs="宋体"/>
                <w:b/>
                <w:bCs/>
                <w:caps w:val="0"/>
                <w:color w:val="auto"/>
                <w:kern w:val="0"/>
                <w:sz w:val="24"/>
                <w:szCs w:val="24"/>
                <w:highlight w:val="none"/>
              </w:rPr>
              <w:t>具体年份要求20</w:t>
            </w:r>
            <w:r>
              <w:rPr>
                <w:rFonts w:hint="eastAsia" w:ascii="宋体" w:hAnsi="宋体" w:eastAsia="宋体" w:cs="宋体"/>
                <w:b/>
                <w:bCs/>
                <w:caps w:val="0"/>
                <w:color w:val="auto"/>
                <w:kern w:val="0"/>
                <w:sz w:val="24"/>
                <w:szCs w:val="24"/>
                <w:highlight w:val="none"/>
                <w:lang w:val="en-US" w:eastAsia="zh-CN"/>
              </w:rPr>
              <w:t>22</w:t>
            </w:r>
            <w:r>
              <w:rPr>
                <w:rFonts w:hint="eastAsia" w:ascii="宋体" w:hAnsi="宋体" w:eastAsia="宋体" w:cs="宋体"/>
                <w:b/>
                <w:bCs/>
                <w:caps w:val="0"/>
                <w:color w:val="auto"/>
                <w:kern w:val="0"/>
                <w:sz w:val="24"/>
                <w:szCs w:val="24"/>
                <w:highlight w:val="none"/>
              </w:rPr>
              <w:t>年1月1日以来</w:t>
            </w:r>
            <w:r>
              <w:rPr>
                <w:rFonts w:hint="eastAsia" w:ascii="宋体" w:hAnsi="宋体" w:eastAsia="宋体" w:cs="宋体"/>
                <w:b/>
                <w:bCs/>
                <w:caps w:val="0"/>
                <w:color w:val="auto"/>
                <w:kern w:val="0"/>
                <w:sz w:val="24"/>
                <w:szCs w:val="24"/>
                <w:highlight w:val="none"/>
                <w:lang w:eastAsia="zh-CN"/>
              </w:rPr>
              <w:t>，</w:t>
            </w:r>
            <w:r>
              <w:rPr>
                <w:rFonts w:hint="eastAsia" w:ascii="宋体" w:hAnsi="宋体" w:eastAsia="宋体" w:cs="宋体"/>
                <w:b/>
                <w:bCs/>
                <w:caps w:val="0"/>
                <w:color w:val="auto"/>
                <w:kern w:val="0"/>
                <w:sz w:val="24"/>
                <w:szCs w:val="24"/>
                <w:highlight w:val="none"/>
                <w:lang w:val="en-US" w:eastAsia="zh-CN"/>
              </w:rPr>
              <w:t>以合同签订日期为准</w:t>
            </w:r>
            <w:r>
              <w:rPr>
                <w:rFonts w:hint="eastAsia" w:ascii="宋体" w:hAnsi="宋体" w:eastAsia="宋体" w:cs="宋体"/>
                <w:b/>
                <w:bCs/>
                <w:caps w:val="0"/>
                <w:color w:val="auto"/>
                <w:kern w:val="0"/>
                <w:sz w:val="24"/>
                <w:szCs w:val="24"/>
                <w:highlight w:val="none"/>
              </w:rPr>
              <w:t>。</w:t>
            </w:r>
            <w:r>
              <w:rPr>
                <w:rFonts w:hint="eastAsia" w:ascii="宋体" w:hAnsi="宋体" w:eastAsia="宋体" w:cs="宋体"/>
                <w:bCs/>
                <w:kern w:val="1"/>
                <w:sz w:val="24"/>
                <w:szCs w:val="24"/>
                <w:highlight w:val="none"/>
                <w:lang w:val="zh-CN"/>
              </w:rPr>
              <w:t>）</w:t>
            </w:r>
          </w:p>
        </w:tc>
      </w:tr>
      <w:tr w14:paraId="02239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4" w:hRule="atLeast"/>
          <w:jc w:val="center"/>
        </w:trPr>
        <w:tc>
          <w:tcPr>
            <w:tcW w:w="729" w:type="dxa"/>
            <w:vMerge w:val="continue"/>
            <w:tcBorders>
              <w:tl2br w:val="nil"/>
              <w:tr2bl w:val="nil"/>
            </w:tcBorders>
            <w:vAlign w:val="center"/>
          </w:tcPr>
          <w:p w14:paraId="302CE0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bidi="en-US"/>
              </w:rPr>
            </w:pPr>
          </w:p>
        </w:tc>
        <w:tc>
          <w:tcPr>
            <w:tcW w:w="1481" w:type="dxa"/>
            <w:gridSpan w:val="2"/>
            <w:tcBorders>
              <w:tl2br w:val="nil"/>
              <w:tr2bl w:val="nil"/>
            </w:tcBorders>
            <w:vAlign w:val="center"/>
          </w:tcPr>
          <w:p w14:paraId="625C35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项目经理业绩</w:t>
            </w:r>
          </w:p>
          <w:p w14:paraId="7C039D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6570" w:type="dxa"/>
            <w:gridSpan w:val="3"/>
            <w:tcBorders>
              <w:tl2br w:val="nil"/>
              <w:tr2bl w:val="nil"/>
            </w:tcBorders>
            <w:vAlign w:val="center"/>
          </w:tcPr>
          <w:p w14:paraId="21C6E24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Cs/>
                <w:kern w:val="1"/>
                <w:sz w:val="24"/>
                <w:szCs w:val="24"/>
                <w:highlight w:val="none"/>
                <w:lang w:val="zh-CN"/>
              </w:rPr>
              <w:t>202</w:t>
            </w:r>
            <w:r>
              <w:rPr>
                <w:rFonts w:hint="eastAsia" w:ascii="宋体" w:hAnsi="宋体" w:eastAsia="宋体" w:cs="宋体"/>
                <w:bCs/>
                <w:kern w:val="1"/>
                <w:sz w:val="24"/>
                <w:szCs w:val="24"/>
                <w:highlight w:val="none"/>
                <w:lang w:val="en-US" w:eastAsia="zh-CN"/>
              </w:rPr>
              <w:t>2</w:t>
            </w:r>
            <w:r>
              <w:rPr>
                <w:rFonts w:hint="eastAsia" w:ascii="宋体" w:hAnsi="宋体" w:eastAsia="宋体" w:cs="宋体"/>
                <w:bCs/>
                <w:kern w:val="1"/>
                <w:sz w:val="24"/>
                <w:szCs w:val="24"/>
                <w:highlight w:val="none"/>
                <w:lang w:val="zh-CN"/>
              </w:rPr>
              <w:t>年1月1日以来项目经理承担过类似业绩每份</w:t>
            </w:r>
            <w:r>
              <w:rPr>
                <w:rFonts w:hint="eastAsia" w:ascii="宋体" w:hAnsi="宋体" w:eastAsia="宋体" w:cs="宋体"/>
                <w:bCs/>
                <w:kern w:val="1"/>
                <w:sz w:val="24"/>
                <w:szCs w:val="24"/>
                <w:highlight w:val="none"/>
                <w:lang w:val="en-US" w:eastAsia="zh-CN"/>
              </w:rPr>
              <w:t>1</w:t>
            </w:r>
            <w:r>
              <w:rPr>
                <w:rFonts w:hint="eastAsia" w:ascii="宋体" w:hAnsi="宋体" w:eastAsia="宋体" w:cs="宋体"/>
                <w:bCs/>
                <w:kern w:val="1"/>
                <w:sz w:val="24"/>
                <w:szCs w:val="24"/>
                <w:highlight w:val="none"/>
                <w:lang w:val="zh-CN"/>
              </w:rPr>
              <w:t>分，最多得</w:t>
            </w:r>
            <w:r>
              <w:rPr>
                <w:rFonts w:hint="eastAsia" w:ascii="宋体" w:hAnsi="宋体" w:eastAsia="宋体" w:cs="宋体"/>
                <w:bCs/>
                <w:kern w:val="1"/>
                <w:sz w:val="24"/>
                <w:szCs w:val="24"/>
                <w:highlight w:val="none"/>
                <w:lang w:val="en-US" w:eastAsia="zh-CN"/>
              </w:rPr>
              <w:t>2</w:t>
            </w:r>
            <w:r>
              <w:rPr>
                <w:rFonts w:hint="eastAsia" w:ascii="宋体" w:hAnsi="宋体" w:eastAsia="宋体" w:cs="宋体"/>
                <w:bCs/>
                <w:kern w:val="1"/>
                <w:sz w:val="24"/>
                <w:szCs w:val="24"/>
                <w:highlight w:val="none"/>
                <w:lang w:val="zh-CN"/>
              </w:rPr>
              <w:t>分（</w:t>
            </w:r>
            <w:r>
              <w:rPr>
                <w:rFonts w:hint="eastAsia" w:ascii="宋体" w:hAnsi="宋体" w:eastAsia="宋体" w:cs="宋体"/>
                <w:b/>
                <w:bCs/>
                <w:color w:val="000000"/>
                <w:sz w:val="24"/>
                <w:szCs w:val="24"/>
                <w:highlight w:val="none"/>
              </w:rPr>
              <w:t>以</w:t>
            </w:r>
            <w:r>
              <w:rPr>
                <w:rFonts w:hint="eastAsia" w:ascii="宋体" w:hAnsi="宋体" w:eastAsia="宋体" w:cs="宋体"/>
                <w:b/>
                <w:bCs/>
                <w:sz w:val="24"/>
                <w:szCs w:val="24"/>
                <w:highlight w:val="none"/>
                <w:lang w:eastAsia="zh-CN"/>
              </w:rPr>
              <w:t>合同协议书</w:t>
            </w:r>
            <w:r>
              <w:rPr>
                <w:rFonts w:hint="eastAsia" w:ascii="宋体" w:hAnsi="宋体" w:eastAsia="宋体" w:cs="宋体"/>
                <w:b/>
                <w:bCs/>
                <w:sz w:val="24"/>
                <w:szCs w:val="24"/>
                <w:highlight w:val="none"/>
                <w:lang w:val="en-US" w:eastAsia="zh-CN"/>
              </w:rPr>
              <w:t>或</w:t>
            </w:r>
            <w:r>
              <w:rPr>
                <w:rFonts w:hint="eastAsia" w:ascii="宋体" w:hAnsi="宋体" w:eastAsia="宋体" w:cs="宋体"/>
                <w:b/>
                <w:bCs/>
                <w:sz w:val="24"/>
                <w:szCs w:val="24"/>
                <w:highlight w:val="none"/>
              </w:rPr>
              <w:t>中标通知书</w:t>
            </w:r>
            <w:r>
              <w:rPr>
                <w:rFonts w:hint="eastAsia" w:ascii="宋体" w:hAnsi="宋体" w:eastAsia="宋体" w:cs="宋体"/>
                <w:b/>
                <w:bCs/>
                <w:color w:val="000000"/>
                <w:sz w:val="24"/>
                <w:szCs w:val="24"/>
                <w:highlight w:val="none"/>
                <w:lang w:val="en-US" w:eastAsia="zh-CN"/>
              </w:rPr>
              <w:t>为准，企业业绩与项目经理业绩不累计计分</w:t>
            </w:r>
            <w:r>
              <w:rPr>
                <w:rFonts w:hint="eastAsia" w:ascii="宋体" w:hAnsi="宋体" w:eastAsia="宋体" w:cs="宋体"/>
                <w:bCs/>
                <w:kern w:val="1"/>
                <w:sz w:val="24"/>
                <w:szCs w:val="24"/>
                <w:highlight w:val="none"/>
                <w:lang w:val="zh-CN"/>
              </w:rPr>
              <w:t>）</w:t>
            </w:r>
          </w:p>
        </w:tc>
      </w:tr>
      <w:tr w14:paraId="2647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0" w:hRule="atLeast"/>
          <w:jc w:val="center"/>
        </w:trPr>
        <w:tc>
          <w:tcPr>
            <w:tcW w:w="729" w:type="dxa"/>
            <w:vMerge w:val="continue"/>
            <w:tcBorders>
              <w:tl2br w:val="nil"/>
              <w:tr2bl w:val="nil"/>
            </w:tcBorders>
            <w:vAlign w:val="center"/>
          </w:tcPr>
          <w:p w14:paraId="6C2ECB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bidi="en-US"/>
              </w:rPr>
            </w:pPr>
          </w:p>
        </w:tc>
        <w:tc>
          <w:tcPr>
            <w:tcW w:w="1481" w:type="dxa"/>
            <w:gridSpan w:val="2"/>
            <w:tcBorders>
              <w:tl2br w:val="nil"/>
              <w:tr2bl w:val="nil"/>
            </w:tcBorders>
            <w:vAlign w:val="center"/>
          </w:tcPr>
          <w:p w14:paraId="4D5D3F2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履职尽责承诺</w:t>
            </w:r>
          </w:p>
          <w:p w14:paraId="77BE4C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570" w:type="dxa"/>
            <w:gridSpan w:val="3"/>
            <w:tcBorders>
              <w:tl2br w:val="nil"/>
              <w:tr2bl w:val="nil"/>
            </w:tcBorders>
            <w:vAlign w:val="center"/>
          </w:tcPr>
          <w:p w14:paraId="3F1A7CA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具有全面、详实、可行、合法有效的书面保证技术措施落实到位的承诺，其中包括各关键岗位人员（项目经理、技术负责人及相关技术人员、质量员、安全员、材料员等）的在岗、更换等履职尽责承诺，提供承包商履约保证。</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＜得分≤</w:t>
            </w:r>
            <w:r>
              <w:rPr>
                <w:rFonts w:hint="eastAsia" w:ascii="宋体" w:hAnsi="宋体" w:eastAsia="宋体" w:cs="宋体"/>
                <w:sz w:val="24"/>
                <w:szCs w:val="24"/>
                <w:highlight w:val="none"/>
                <w:lang w:val="en-US" w:eastAsia="zh-CN"/>
              </w:rPr>
              <w:t>6</w:t>
            </w:r>
          </w:p>
          <w:p w14:paraId="1E72417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具有可行、合法有效的书面保证技术措施落实到位的承诺，其中包括各关键岗位人员（项目经理、技术负责人及相关技术人员、质量员、安全员、材料员等）的在岗、更换等履职尽责承诺，提供承包商履约保证。0≤得分≤</w:t>
            </w:r>
            <w:r>
              <w:rPr>
                <w:rFonts w:hint="eastAsia" w:ascii="宋体" w:hAnsi="宋体" w:eastAsia="宋体" w:cs="宋体"/>
                <w:sz w:val="24"/>
                <w:szCs w:val="24"/>
                <w:highlight w:val="none"/>
                <w:lang w:val="en-US" w:eastAsia="zh-CN"/>
              </w:rPr>
              <w:t>3</w:t>
            </w:r>
          </w:p>
        </w:tc>
      </w:tr>
      <w:tr w14:paraId="2615E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4" w:hRule="atLeast"/>
          <w:jc w:val="center"/>
        </w:trPr>
        <w:tc>
          <w:tcPr>
            <w:tcW w:w="729" w:type="dxa"/>
            <w:vMerge w:val="continue"/>
            <w:tcBorders>
              <w:tl2br w:val="nil"/>
              <w:tr2bl w:val="nil"/>
            </w:tcBorders>
            <w:vAlign w:val="center"/>
          </w:tcPr>
          <w:p w14:paraId="696041B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bidi="en-US"/>
              </w:rPr>
            </w:pPr>
          </w:p>
        </w:tc>
        <w:tc>
          <w:tcPr>
            <w:tcW w:w="1481" w:type="dxa"/>
            <w:gridSpan w:val="2"/>
            <w:tcBorders>
              <w:tl2br w:val="nil"/>
              <w:tr2bl w:val="nil"/>
            </w:tcBorders>
            <w:vAlign w:val="center"/>
          </w:tcPr>
          <w:p w14:paraId="64C882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相关承诺</w:t>
            </w:r>
          </w:p>
          <w:p w14:paraId="654328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570" w:type="dxa"/>
            <w:gridSpan w:val="3"/>
            <w:tcBorders>
              <w:tl2br w:val="nil"/>
              <w:tr2bl w:val="nil"/>
            </w:tcBorders>
            <w:vAlign w:val="center"/>
          </w:tcPr>
          <w:p w14:paraId="1BBE242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协调好周边关系和施工环境，必要时增加人员、技术、资金、机械设备等方面的投入的服务承诺</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p>
          <w:p w14:paraId="6F961CA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安全承诺书（包含农民工人身伤亡保险和重大事故突发事件处理的承诺书）</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p>
          <w:p w14:paraId="612BCFD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除不可抗力因素外中标人不得以任何理由停工，尤其在资金暂不到位的情况下，能保证工程施工的连续性，保质保量按期完成工程的承诺书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＜得分≤2。</w:t>
            </w:r>
          </w:p>
        </w:tc>
      </w:tr>
      <w:tr w14:paraId="0EBFC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4" w:hRule="atLeast"/>
          <w:jc w:val="center"/>
        </w:trPr>
        <w:tc>
          <w:tcPr>
            <w:tcW w:w="8780" w:type="dxa"/>
            <w:gridSpan w:val="6"/>
            <w:tcBorders>
              <w:tl2br w:val="nil"/>
              <w:tr2bl w:val="nil"/>
            </w:tcBorders>
            <w:vAlign w:val="center"/>
          </w:tcPr>
          <w:p w14:paraId="6586438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sz w:val="24"/>
                <w:szCs w:val="24"/>
                <w:highlight w:val="none"/>
                <w:lang w:bidi="en-US"/>
              </w:rPr>
            </w:pPr>
            <w:r>
              <w:rPr>
                <w:rFonts w:hint="eastAsia" w:ascii="宋体" w:hAnsi="宋体" w:eastAsia="宋体" w:cs="宋体"/>
                <w:b/>
                <w:sz w:val="24"/>
                <w:szCs w:val="24"/>
                <w:highlight w:val="none"/>
                <w:lang w:eastAsia="zh-CN" w:bidi="en-US"/>
              </w:rPr>
              <w:t>投标人</w:t>
            </w:r>
            <w:r>
              <w:rPr>
                <w:rFonts w:hint="eastAsia" w:ascii="宋体" w:hAnsi="宋体" w:eastAsia="宋体" w:cs="宋体"/>
                <w:b/>
                <w:sz w:val="24"/>
                <w:szCs w:val="24"/>
                <w:highlight w:val="none"/>
                <w:lang w:bidi="en-US"/>
              </w:rPr>
              <w:t>综合得分=技术标得分+商务标得分+综合标得分</w:t>
            </w:r>
          </w:p>
          <w:p w14:paraId="7719056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sz w:val="24"/>
                <w:szCs w:val="24"/>
                <w:highlight w:val="none"/>
                <w:lang w:bidi="en-US"/>
              </w:rPr>
            </w:pPr>
            <w:r>
              <w:rPr>
                <w:rFonts w:hint="eastAsia" w:ascii="宋体" w:hAnsi="宋体" w:eastAsia="宋体" w:cs="宋体"/>
                <w:b/>
                <w:sz w:val="24"/>
                <w:szCs w:val="24"/>
                <w:highlight w:val="none"/>
                <w:lang w:eastAsia="zh-CN" w:bidi="en-US"/>
              </w:rPr>
              <w:t>投标人</w:t>
            </w:r>
            <w:r>
              <w:rPr>
                <w:rFonts w:hint="eastAsia" w:ascii="宋体" w:hAnsi="宋体" w:eastAsia="宋体" w:cs="宋体"/>
                <w:b/>
                <w:sz w:val="24"/>
                <w:szCs w:val="24"/>
                <w:highlight w:val="none"/>
                <w:lang w:bidi="en-US"/>
              </w:rPr>
              <w:t>的报价应包含</w:t>
            </w:r>
            <w:r>
              <w:rPr>
                <w:rFonts w:hint="eastAsia" w:ascii="宋体" w:hAnsi="宋体" w:eastAsia="宋体" w:cs="宋体"/>
                <w:b/>
                <w:sz w:val="24"/>
                <w:szCs w:val="24"/>
                <w:highlight w:val="none"/>
                <w:lang w:eastAsia="zh-CN" w:bidi="en-US"/>
              </w:rPr>
              <w:t>投标人</w:t>
            </w:r>
            <w:r>
              <w:rPr>
                <w:rFonts w:hint="eastAsia" w:ascii="宋体" w:hAnsi="宋体" w:eastAsia="宋体" w:cs="宋体"/>
                <w:b/>
                <w:sz w:val="24"/>
                <w:szCs w:val="24"/>
                <w:highlight w:val="none"/>
                <w:lang w:bidi="en-US"/>
              </w:rPr>
              <w:t>所承诺的应达到的工程质量标准及其他承诺应达到的标准所包含的所有费用。</w:t>
            </w:r>
          </w:p>
        </w:tc>
      </w:tr>
      <w:bookmarkEnd w:id="407"/>
    </w:tbl>
    <w:p w14:paraId="7AA027E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p>
    <w:p w14:paraId="7555EF2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1.评标方法</w:t>
      </w:r>
    </w:p>
    <w:p w14:paraId="63B2D92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法。磋商小组对满足磋商文件实质性要求的响应性文件，按照本章规定的评分标准进行打分，并按得分由高到低顺序推荐</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名成交候选人。</w:t>
      </w:r>
    </w:p>
    <w:p w14:paraId="19E3672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bookmarkStart w:id="409" w:name="_Toc179632619"/>
      <w:bookmarkEnd w:id="409"/>
      <w:bookmarkStart w:id="410" w:name="_Toc247085759"/>
      <w:bookmarkEnd w:id="410"/>
      <w:bookmarkStart w:id="411" w:name="_Toc7518075"/>
      <w:bookmarkEnd w:id="411"/>
      <w:bookmarkStart w:id="412" w:name="_Toc246996244"/>
      <w:bookmarkEnd w:id="412"/>
      <w:bookmarkStart w:id="413" w:name="_Toc4725"/>
      <w:bookmarkEnd w:id="413"/>
      <w:bookmarkStart w:id="414" w:name="_Toc358707207"/>
      <w:bookmarkEnd w:id="414"/>
      <w:bookmarkStart w:id="415" w:name="_Toc144974568"/>
      <w:bookmarkEnd w:id="415"/>
      <w:bookmarkStart w:id="416" w:name="_Toc152042378"/>
      <w:bookmarkEnd w:id="416"/>
      <w:bookmarkStart w:id="417" w:name="_Toc152045601"/>
      <w:bookmarkEnd w:id="417"/>
      <w:bookmarkStart w:id="418" w:name="_Toc246996987"/>
      <w:r>
        <w:rPr>
          <w:rFonts w:hint="eastAsia" w:ascii="宋体" w:hAnsi="宋体" w:eastAsia="宋体" w:cs="宋体"/>
          <w:b/>
          <w:sz w:val="24"/>
          <w:szCs w:val="24"/>
          <w:highlight w:val="none"/>
        </w:rPr>
        <w:t>2.</w:t>
      </w:r>
      <w:bookmarkEnd w:id="418"/>
      <w:r>
        <w:rPr>
          <w:rFonts w:hint="eastAsia" w:ascii="宋体" w:hAnsi="宋体" w:eastAsia="宋体" w:cs="宋体"/>
          <w:b/>
          <w:sz w:val="24"/>
          <w:szCs w:val="24"/>
          <w:highlight w:val="none"/>
        </w:rPr>
        <w:t>评审标准</w:t>
      </w:r>
    </w:p>
    <w:p w14:paraId="6F8BD66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19" w:name="_Toc144974569"/>
      <w:bookmarkEnd w:id="419"/>
      <w:bookmarkStart w:id="420" w:name="_Toc247085760"/>
      <w:bookmarkEnd w:id="420"/>
      <w:bookmarkStart w:id="421" w:name="_Toc152045602"/>
      <w:bookmarkEnd w:id="421"/>
      <w:bookmarkStart w:id="422" w:name="_Toc152042379"/>
      <w:bookmarkEnd w:id="422"/>
      <w:bookmarkStart w:id="423" w:name="_Toc179632620"/>
      <w:bookmarkEnd w:id="423"/>
      <w:bookmarkStart w:id="424" w:name="_Toc246996988"/>
      <w:bookmarkEnd w:id="424"/>
      <w:bookmarkStart w:id="425" w:name="_Toc246996245"/>
      <w:bookmarkEnd w:id="425"/>
      <w:bookmarkStart w:id="426" w:name="_Toc358707208"/>
      <w:r>
        <w:rPr>
          <w:rFonts w:hint="eastAsia" w:ascii="宋体" w:hAnsi="宋体" w:eastAsia="宋体" w:cs="宋体"/>
          <w:sz w:val="24"/>
          <w:szCs w:val="24"/>
          <w:highlight w:val="none"/>
        </w:rPr>
        <w:t xml:space="preserve">2.1 </w:t>
      </w:r>
      <w:bookmarkEnd w:id="426"/>
      <w:r>
        <w:rPr>
          <w:rFonts w:hint="eastAsia" w:ascii="宋体" w:hAnsi="宋体" w:eastAsia="宋体" w:cs="宋体"/>
          <w:sz w:val="24"/>
          <w:szCs w:val="24"/>
          <w:highlight w:val="none"/>
        </w:rPr>
        <w:t>初步评审标准</w:t>
      </w:r>
    </w:p>
    <w:p w14:paraId="4E570C9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2.1.1</w:t>
      </w:r>
      <w:r>
        <w:rPr>
          <w:rFonts w:hint="eastAsia" w:ascii="宋体" w:hAnsi="宋体" w:eastAsia="宋体" w:cs="宋体"/>
          <w:sz w:val="24"/>
          <w:szCs w:val="24"/>
          <w:highlight w:val="none"/>
          <w:lang w:eastAsia="zh-CN"/>
        </w:rPr>
        <w:t>形式</w:t>
      </w:r>
      <w:r>
        <w:rPr>
          <w:rFonts w:hint="eastAsia" w:ascii="宋体" w:hAnsi="宋体" w:eastAsia="宋体" w:cs="宋体"/>
          <w:sz w:val="24"/>
          <w:szCs w:val="24"/>
          <w:highlight w:val="none"/>
        </w:rPr>
        <w:t>评审标准：见评标办法前附表。</w:t>
      </w:r>
    </w:p>
    <w:p w14:paraId="37B464C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2.1.2 资格评审标准：见评标办法前附表。</w:t>
      </w:r>
    </w:p>
    <w:p w14:paraId="294C976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2.1.3 响应评审标准：见评标办法前附表。</w:t>
      </w:r>
    </w:p>
    <w:p w14:paraId="5733DC0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27" w:name="_Toc179632621"/>
      <w:bookmarkEnd w:id="427"/>
      <w:bookmarkStart w:id="428" w:name="_Toc247085761"/>
      <w:bookmarkEnd w:id="428"/>
      <w:bookmarkStart w:id="429" w:name="_Toc246996989"/>
      <w:bookmarkEnd w:id="429"/>
      <w:bookmarkStart w:id="430" w:name="_Toc358707209"/>
      <w:bookmarkEnd w:id="430"/>
      <w:bookmarkStart w:id="431" w:name="_Toc152042380"/>
      <w:bookmarkEnd w:id="431"/>
      <w:bookmarkStart w:id="432" w:name="_Toc246996246"/>
      <w:bookmarkEnd w:id="432"/>
      <w:bookmarkStart w:id="433" w:name="_Toc152045603"/>
      <w:bookmarkEnd w:id="433"/>
      <w:bookmarkStart w:id="434" w:name="_Toc144974570"/>
      <w:r>
        <w:rPr>
          <w:rFonts w:hint="eastAsia" w:ascii="宋体" w:hAnsi="宋体" w:eastAsia="宋体" w:cs="宋体"/>
          <w:sz w:val="24"/>
          <w:szCs w:val="24"/>
          <w:highlight w:val="none"/>
        </w:rPr>
        <w:t xml:space="preserve">2.2 </w:t>
      </w:r>
      <w:bookmarkEnd w:id="434"/>
      <w:r>
        <w:rPr>
          <w:rFonts w:hint="eastAsia" w:ascii="宋体" w:hAnsi="宋体" w:eastAsia="宋体" w:cs="宋体"/>
          <w:sz w:val="24"/>
          <w:szCs w:val="24"/>
          <w:highlight w:val="none"/>
        </w:rPr>
        <w:t>评分标准</w:t>
      </w:r>
    </w:p>
    <w:p w14:paraId="21465EF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1商务标</w:t>
      </w:r>
      <w:r>
        <w:rPr>
          <w:rFonts w:hint="eastAsia" w:ascii="宋体" w:hAnsi="宋体" w:eastAsia="宋体" w:cs="宋体"/>
          <w:sz w:val="24"/>
          <w:szCs w:val="24"/>
          <w:highlight w:val="none"/>
        </w:rPr>
        <w:t>评分标准：见评标办法前附表；</w:t>
      </w:r>
    </w:p>
    <w:p w14:paraId="7DE9074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技术</w:t>
      </w:r>
      <w:r>
        <w:rPr>
          <w:rFonts w:hint="eastAsia" w:ascii="宋体" w:hAnsi="宋体" w:eastAsia="宋体" w:cs="宋体"/>
          <w:sz w:val="24"/>
          <w:szCs w:val="24"/>
          <w:highlight w:val="none"/>
          <w:lang w:val="en-US" w:eastAsia="zh-CN"/>
        </w:rPr>
        <w:t>标</w:t>
      </w:r>
      <w:r>
        <w:rPr>
          <w:rFonts w:hint="eastAsia" w:ascii="宋体" w:hAnsi="宋体" w:eastAsia="宋体" w:cs="宋体"/>
          <w:sz w:val="24"/>
          <w:szCs w:val="24"/>
          <w:highlight w:val="none"/>
        </w:rPr>
        <w:t>评分标准：见评标办法前附表；</w:t>
      </w:r>
    </w:p>
    <w:p w14:paraId="347B527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2.2.3</w:t>
      </w:r>
      <w:r>
        <w:rPr>
          <w:rFonts w:hint="eastAsia" w:ascii="宋体" w:hAnsi="宋体" w:eastAsia="宋体" w:cs="宋体"/>
          <w:sz w:val="24"/>
          <w:szCs w:val="24"/>
          <w:highlight w:val="none"/>
          <w:lang w:val="en-US" w:eastAsia="zh-CN"/>
        </w:rPr>
        <w:t>综合标</w:t>
      </w:r>
      <w:r>
        <w:rPr>
          <w:rFonts w:hint="eastAsia" w:ascii="宋体" w:hAnsi="宋体" w:eastAsia="宋体" w:cs="宋体"/>
          <w:sz w:val="24"/>
          <w:szCs w:val="24"/>
          <w:highlight w:val="none"/>
        </w:rPr>
        <w:t>评分标准：见评标办法前附表。</w:t>
      </w:r>
    </w:p>
    <w:p w14:paraId="66D7D2A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bookmarkStart w:id="435" w:name="_Toc179632622"/>
      <w:bookmarkEnd w:id="435"/>
      <w:bookmarkStart w:id="436" w:name="_Toc247085762"/>
      <w:bookmarkEnd w:id="436"/>
      <w:bookmarkStart w:id="437" w:name="_Toc246996990"/>
      <w:bookmarkEnd w:id="437"/>
      <w:bookmarkStart w:id="438" w:name="_Toc7518076"/>
      <w:bookmarkEnd w:id="438"/>
      <w:bookmarkStart w:id="439" w:name="_Toc144974571"/>
      <w:bookmarkEnd w:id="439"/>
      <w:bookmarkStart w:id="440" w:name="_Toc152045604"/>
      <w:bookmarkEnd w:id="440"/>
      <w:bookmarkStart w:id="441" w:name="_Toc4463"/>
      <w:bookmarkEnd w:id="441"/>
      <w:bookmarkStart w:id="442" w:name="_Toc358707210"/>
      <w:bookmarkEnd w:id="442"/>
      <w:bookmarkStart w:id="443" w:name="_Toc246996247"/>
      <w:bookmarkEnd w:id="443"/>
      <w:bookmarkStart w:id="444" w:name="_Toc152042381"/>
      <w:r>
        <w:rPr>
          <w:rFonts w:hint="eastAsia" w:ascii="宋体" w:hAnsi="宋体" w:eastAsia="宋体" w:cs="宋体"/>
          <w:b/>
          <w:sz w:val="24"/>
          <w:szCs w:val="24"/>
          <w:highlight w:val="none"/>
        </w:rPr>
        <w:t>3.</w:t>
      </w:r>
      <w:bookmarkEnd w:id="444"/>
      <w:r>
        <w:rPr>
          <w:rFonts w:hint="eastAsia" w:ascii="宋体" w:hAnsi="宋体" w:eastAsia="宋体" w:cs="宋体"/>
          <w:b/>
          <w:sz w:val="24"/>
          <w:szCs w:val="24"/>
          <w:highlight w:val="none"/>
        </w:rPr>
        <w:t>评标程序</w:t>
      </w:r>
    </w:p>
    <w:p w14:paraId="4F526AD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3.1.1 评标委员会依据本章评标办法前附表第2.1.1项、第2.1.2项、第2.1.3项规定的评审标准对投标文件进行初步评审。有一项不符合评审标准的，其投标将被否决。</w:t>
      </w:r>
    </w:p>
    <w:p w14:paraId="7E8CAB7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有以下情形之一的，其投标作无效标处理：</w:t>
      </w:r>
    </w:p>
    <w:p w14:paraId="3D7D9D6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（1）串通投标或弄虚作假或有其他违法行为的；</w:t>
      </w:r>
    </w:p>
    <w:p w14:paraId="361B56E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（2）不按磋商小组要求澄清、说明或补正的。</w:t>
      </w:r>
    </w:p>
    <w:p w14:paraId="794DCDD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3.3投标报价有算术错误的，磋商小组按以下原则对投标报价进行修正，修正的价格经</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书面确认后具有约束力。</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不接受修正价格的，其投标被否决。</w:t>
      </w:r>
    </w:p>
    <w:p w14:paraId="2D41FCB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45" w:name="_Toc152042383"/>
      <w:bookmarkEnd w:id="445"/>
      <w:r>
        <w:rPr>
          <w:rFonts w:hint="eastAsia" w:ascii="宋体" w:hAnsi="宋体" w:eastAsia="宋体" w:cs="宋体"/>
          <w:sz w:val="24"/>
          <w:szCs w:val="24"/>
          <w:highlight w:val="none"/>
        </w:rPr>
        <w:t>磋商文件中的大写金额与小写金额不一致的，以大写金额为准；</w:t>
      </w:r>
    </w:p>
    <w:p w14:paraId="7D1ECC2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46" w:name="_Toc152045606"/>
      <w:bookmarkEnd w:id="446"/>
      <w:bookmarkStart w:id="447" w:name="_Toc246996992"/>
      <w:bookmarkEnd w:id="447"/>
      <w:bookmarkStart w:id="448" w:name="_Toc246996249"/>
      <w:bookmarkEnd w:id="448"/>
      <w:bookmarkStart w:id="449" w:name="_Toc358707212"/>
      <w:bookmarkEnd w:id="449"/>
      <w:bookmarkStart w:id="450" w:name="_Toc179632624"/>
      <w:bookmarkEnd w:id="450"/>
      <w:bookmarkStart w:id="451" w:name="_Toc247085764"/>
      <w:bookmarkEnd w:id="451"/>
      <w:bookmarkStart w:id="452" w:name="_Toc144974573"/>
      <w:bookmarkEnd w:id="452"/>
      <w:bookmarkStart w:id="453" w:name="_Toc152042384"/>
      <w:r>
        <w:rPr>
          <w:rFonts w:hint="eastAsia" w:ascii="宋体" w:hAnsi="宋体" w:eastAsia="宋体" w:cs="宋体"/>
          <w:sz w:val="24"/>
          <w:szCs w:val="24"/>
          <w:highlight w:val="none"/>
        </w:rPr>
        <w:t>3.4</w:t>
      </w:r>
      <w:bookmarkEnd w:id="453"/>
      <w:r>
        <w:rPr>
          <w:rFonts w:hint="eastAsia" w:ascii="宋体" w:hAnsi="宋体" w:eastAsia="宋体" w:cs="宋体"/>
          <w:sz w:val="24"/>
          <w:szCs w:val="24"/>
          <w:highlight w:val="none"/>
        </w:rPr>
        <w:t>详细评审</w:t>
      </w:r>
    </w:p>
    <w:p w14:paraId="01FD616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54" w:name="_Toc179632625"/>
      <w:bookmarkEnd w:id="454"/>
      <w:bookmarkStart w:id="455" w:name="_Toc247085765"/>
      <w:bookmarkEnd w:id="455"/>
      <w:bookmarkStart w:id="456" w:name="_Toc246996993"/>
      <w:bookmarkEnd w:id="456"/>
      <w:bookmarkStart w:id="457" w:name="_Toc246996250"/>
      <w:bookmarkEnd w:id="457"/>
      <w:bookmarkStart w:id="458" w:name="_Toc144974575"/>
      <w:bookmarkEnd w:id="458"/>
      <w:bookmarkStart w:id="459" w:name="_Toc358707213"/>
      <w:bookmarkEnd w:id="459"/>
      <w:bookmarkStart w:id="460" w:name="_Toc152045607"/>
      <w:bookmarkEnd w:id="460"/>
      <w:bookmarkStart w:id="461" w:name="_Toc152042385"/>
      <w:r>
        <w:rPr>
          <w:rFonts w:hint="eastAsia" w:ascii="宋体" w:hAnsi="宋体" w:eastAsia="宋体" w:cs="宋体"/>
          <w:sz w:val="24"/>
          <w:szCs w:val="24"/>
          <w:highlight w:val="none"/>
        </w:rPr>
        <w:t>3.4.1 磋商小组按本章第2.2款规定的量化因素和分值进行打分，并计算出综合评估得分。</w:t>
      </w:r>
      <w:bookmarkEnd w:id="461"/>
    </w:p>
    <w:p w14:paraId="52AABA2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（1）按本章第2.2.1规定的评审因素和分值对磋商报价计算出得分；</w:t>
      </w:r>
    </w:p>
    <w:p w14:paraId="0007CC3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（2）按本章第2.2.2规定的评审因素和分值对技术部分计算出得分；</w:t>
      </w:r>
    </w:p>
    <w:p w14:paraId="12B0E2A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（3）按本章第2.2.3规定的评审因素和分值对</w:t>
      </w:r>
      <w:r>
        <w:rPr>
          <w:rFonts w:hint="eastAsia" w:ascii="宋体" w:hAnsi="宋体" w:eastAsia="宋体" w:cs="宋体"/>
          <w:sz w:val="24"/>
          <w:szCs w:val="24"/>
          <w:highlight w:val="none"/>
          <w:lang w:val="en-US" w:eastAsia="zh-CN"/>
        </w:rPr>
        <w:t>综合</w:t>
      </w:r>
      <w:r>
        <w:rPr>
          <w:rFonts w:hint="eastAsia" w:ascii="宋体" w:hAnsi="宋体" w:eastAsia="宋体" w:cs="宋体"/>
          <w:sz w:val="24"/>
          <w:szCs w:val="24"/>
          <w:highlight w:val="none"/>
        </w:rPr>
        <w:t>部分计算出得分；</w:t>
      </w:r>
    </w:p>
    <w:p w14:paraId="0EDFCAFD">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3.4.2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得分=磋商报价+技术部分+商务部分。</w:t>
      </w:r>
    </w:p>
    <w:p w14:paraId="1E35F7E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3.4.3 在磋商小组完成对技术部分、磋商报价和商务部分的汇总后取平均值，计分过程按四舍五入取至小数点后两位，最终得分取至小数点后二位。作为该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的最终得分。</w:t>
      </w:r>
    </w:p>
    <w:p w14:paraId="2AD550E2">
      <w:pPr>
        <w:pageBreakBefore w:val="0"/>
        <w:kinsoku/>
        <w:wordWrap/>
        <w:overflowPunct/>
        <w:topLinePunct w:val="0"/>
        <w:bidi w:val="0"/>
        <w:adjustRightInd w:val="0"/>
        <w:snapToGrid w:val="0"/>
        <w:spacing w:beforeAutospacing="0" w:afterAutospacing="0" w:line="360" w:lineRule="auto"/>
        <w:ind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3.4.4磋商小组发现</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的报价明显低于其他投标报价，使得其投标报价可能低于其个别成本的，应当要求该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做出书面说明并提供相应的证明材料。</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不能合理说明或者不能提供相应证明材料的，磋商小组应当认定该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以低于成本报价竞标，否决其投标。</w:t>
      </w:r>
    </w:p>
    <w:p w14:paraId="79CB483B">
      <w:pPr>
        <w:pageBreakBefore w:val="0"/>
        <w:kinsoku/>
        <w:wordWrap/>
        <w:overflowPunct/>
        <w:topLinePunct w:val="0"/>
        <w:bidi w:val="0"/>
        <w:adjustRightInd w:val="0"/>
        <w:snapToGrid w:val="0"/>
        <w:spacing w:beforeAutospacing="0" w:afterAutospacing="0" w:line="360" w:lineRule="auto"/>
        <w:ind w:right="0"/>
        <w:jc w:val="both"/>
        <w:rPr>
          <w:rFonts w:hint="eastAsia" w:ascii="宋体" w:hAnsi="宋体" w:eastAsia="宋体" w:cs="宋体"/>
          <w:color w:val="000000"/>
          <w:sz w:val="24"/>
          <w:highlight w:val="none"/>
        </w:rPr>
      </w:pPr>
      <w:r>
        <w:rPr>
          <w:rFonts w:hint="eastAsia" w:ascii="宋体" w:hAnsi="宋体" w:eastAsia="宋体" w:cs="宋体"/>
          <w:b w:val="0"/>
          <w:bCs w:val="0"/>
          <w:snapToGrid w:val="0"/>
          <w:color w:val="000000"/>
          <w:sz w:val="24"/>
          <w:szCs w:val="24"/>
          <w:highlight w:val="none"/>
          <w:lang w:val="en-US" w:eastAsia="zh-CN"/>
        </w:rPr>
        <w:t>3.4.5磋商小组</w:t>
      </w:r>
      <w:r>
        <w:rPr>
          <w:rFonts w:hint="eastAsia" w:ascii="宋体" w:hAnsi="宋体" w:eastAsia="宋体" w:cs="宋体"/>
          <w:b w:val="0"/>
          <w:bCs w:val="0"/>
          <w:snapToGrid w:val="0"/>
          <w:color w:val="000000"/>
          <w:sz w:val="24"/>
          <w:szCs w:val="24"/>
          <w:highlight w:val="none"/>
        </w:rPr>
        <w:t>否决投标时应审慎。因招标文件表述歧义或逻辑错误等原因，造成投标文件表述不一致的，不作为否决投标的因素，投标人明显打字或排版错误且不影响实质内容的，</w:t>
      </w:r>
      <w:r>
        <w:rPr>
          <w:rFonts w:hint="eastAsia" w:ascii="宋体" w:hAnsi="宋体" w:eastAsia="宋体" w:cs="宋体"/>
          <w:b w:val="0"/>
          <w:bCs w:val="0"/>
          <w:snapToGrid w:val="0"/>
          <w:color w:val="000000"/>
          <w:sz w:val="24"/>
          <w:szCs w:val="24"/>
          <w:highlight w:val="none"/>
          <w:lang w:eastAsia="zh-CN"/>
        </w:rPr>
        <w:t>磋商小组</w:t>
      </w:r>
      <w:r>
        <w:rPr>
          <w:rFonts w:hint="eastAsia" w:ascii="宋体" w:hAnsi="宋体" w:eastAsia="宋体" w:cs="宋体"/>
          <w:b w:val="0"/>
          <w:bCs w:val="0"/>
          <w:snapToGrid w:val="0"/>
          <w:color w:val="000000"/>
          <w:sz w:val="24"/>
          <w:szCs w:val="24"/>
          <w:highlight w:val="none"/>
        </w:rPr>
        <w:t>可要求投标人作出书面澄清、说明或补正，不予以否决投标。</w:t>
      </w:r>
    </w:p>
    <w:p w14:paraId="470BC12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 响应性文件的澄清和补正</w:t>
      </w:r>
    </w:p>
    <w:p w14:paraId="0AC06F6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3.5.1在评标过程中，磋商小组可以书面形式要求</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对所提交响应性文件中不明确的内容进行书面澄清或说明，或者对细微偏差进行补正。磋商小组不接受</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主动提出的澄清、说明或补正。</w:t>
      </w:r>
    </w:p>
    <w:p w14:paraId="439F3CC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3.5.2 澄清、说明和补正不得改变响应性文件的实质性内容。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的书面澄清、说明和补正属于响应性文件的组成部分。</w:t>
      </w:r>
    </w:p>
    <w:p w14:paraId="37E3F5C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3.5.3 磋商小组对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提交的澄清、说明或补正有疑问的，可以要求</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进一步澄清、说明或补正，直至满足磋商小组的要求。</w:t>
      </w:r>
    </w:p>
    <w:p w14:paraId="4D4D7DC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62" w:name="_Toc144974576"/>
      <w:bookmarkEnd w:id="462"/>
      <w:bookmarkStart w:id="463" w:name="_Toc179632626"/>
      <w:bookmarkEnd w:id="463"/>
      <w:bookmarkStart w:id="464" w:name="_Toc152045608"/>
      <w:bookmarkEnd w:id="464"/>
      <w:bookmarkStart w:id="465" w:name="_Toc7518077"/>
      <w:bookmarkEnd w:id="465"/>
      <w:bookmarkStart w:id="466" w:name="_Toc246996994"/>
      <w:bookmarkEnd w:id="466"/>
      <w:bookmarkStart w:id="467" w:name="_Toc152042386"/>
      <w:bookmarkEnd w:id="467"/>
      <w:bookmarkStart w:id="468" w:name="_Toc246996251"/>
      <w:bookmarkEnd w:id="468"/>
      <w:bookmarkStart w:id="469" w:name="_Toc358707214"/>
      <w:bookmarkEnd w:id="469"/>
      <w:bookmarkStart w:id="470" w:name="_Toc247085766"/>
      <w:r>
        <w:rPr>
          <w:rFonts w:hint="eastAsia" w:ascii="宋体" w:hAnsi="宋体" w:eastAsia="宋体" w:cs="宋体"/>
          <w:sz w:val="24"/>
          <w:szCs w:val="24"/>
          <w:highlight w:val="none"/>
        </w:rPr>
        <w:t xml:space="preserve">3.6 </w:t>
      </w:r>
      <w:bookmarkEnd w:id="470"/>
      <w:r>
        <w:rPr>
          <w:rFonts w:hint="eastAsia" w:ascii="宋体" w:hAnsi="宋体" w:eastAsia="宋体" w:cs="宋体"/>
          <w:sz w:val="24"/>
          <w:szCs w:val="24"/>
          <w:highlight w:val="none"/>
        </w:rPr>
        <w:t>评标结果</w:t>
      </w:r>
    </w:p>
    <w:p w14:paraId="72D6D22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3.6.1除第二章“</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须知”前附表授权直接确定成交人外，磋商小组按照得分由高到低的顺序推荐成交候选人。</w:t>
      </w:r>
      <w:r>
        <w:rPr>
          <w:rFonts w:hint="eastAsia" w:ascii="宋体" w:hAnsi="宋体" w:eastAsia="宋体" w:cs="宋体"/>
          <w:sz w:val="24"/>
          <w:szCs w:val="24"/>
          <w:highlight w:val="none"/>
          <w:lang w:bidi="en-US"/>
        </w:rPr>
        <w:t>得分相同的，按响应报价由低到高顺序排列；得分且响应报价相同的，按技术指标优劣顺序排列。</w:t>
      </w:r>
    </w:p>
    <w:p w14:paraId="0D12C96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both"/>
        <w:textAlignment w:val="auto"/>
        <w:outlineLvl w:val="0"/>
        <w:rPr>
          <w:rFonts w:hint="eastAsia" w:ascii="宋体" w:hAnsi="宋体" w:eastAsia="宋体" w:cs="宋体"/>
          <w:sz w:val="24"/>
          <w:szCs w:val="24"/>
          <w:highlight w:val="none"/>
        </w:rPr>
      </w:pPr>
      <w:bookmarkStart w:id="471" w:name="_Toc17470"/>
      <w:r>
        <w:rPr>
          <w:rFonts w:hint="eastAsia" w:ascii="宋体" w:hAnsi="宋体" w:eastAsia="宋体" w:cs="宋体"/>
          <w:sz w:val="24"/>
          <w:szCs w:val="24"/>
          <w:highlight w:val="none"/>
        </w:rPr>
        <w:t>3.6.2 磋商小组完成评标后，应当向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提交书面评标报告。</w:t>
      </w:r>
      <w:bookmarkEnd w:id="471"/>
    </w:p>
    <w:p w14:paraId="054D385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sz w:val="24"/>
          <w:szCs w:val="24"/>
          <w:highlight w:val="none"/>
        </w:rPr>
      </w:pPr>
    </w:p>
    <w:p w14:paraId="4855138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sz w:val="24"/>
          <w:szCs w:val="24"/>
          <w:highlight w:val="none"/>
        </w:rPr>
      </w:pPr>
    </w:p>
    <w:p w14:paraId="3039BB7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b/>
          <w:bCs/>
          <w:sz w:val="36"/>
          <w:szCs w:val="36"/>
          <w:highlight w:val="none"/>
          <w:lang w:val="en-US" w:eastAsia="zh-CN"/>
        </w:rPr>
      </w:pPr>
      <w:bookmarkStart w:id="472" w:name="_Toc6637"/>
    </w:p>
    <w:p w14:paraId="40B5688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b/>
          <w:bCs/>
          <w:sz w:val="36"/>
          <w:szCs w:val="36"/>
          <w:highlight w:val="none"/>
          <w:lang w:val="en-US" w:eastAsia="zh-CN"/>
        </w:rPr>
      </w:pPr>
    </w:p>
    <w:p w14:paraId="6408ABD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第四章 合同条款</w:t>
      </w:r>
      <w:bookmarkEnd w:id="472"/>
    </w:p>
    <w:bookmarkEnd w:id="385"/>
    <w:p w14:paraId="032E2606">
      <w:pPr>
        <w:keepNext/>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1"/>
        <w:rPr>
          <w:rFonts w:hint="eastAsia" w:ascii="宋体" w:hAnsi="宋体" w:eastAsia="宋体" w:cs="宋体"/>
          <w:kern w:val="2"/>
          <w:sz w:val="24"/>
          <w:szCs w:val="24"/>
          <w:highlight w:val="none"/>
        </w:rPr>
      </w:pPr>
      <w:bookmarkStart w:id="473" w:name="_Toc375040676"/>
      <w:bookmarkEnd w:id="473"/>
      <w:r>
        <w:rPr>
          <w:rFonts w:hint="eastAsia" w:ascii="宋体" w:hAnsi="宋体" w:eastAsia="宋体" w:cs="宋体"/>
          <w:sz w:val="24"/>
          <w:highlight w:val="none"/>
        </w:rPr>
        <w:t>此合同仅供参考。以最终</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与</w:t>
      </w:r>
      <w:r>
        <w:rPr>
          <w:rFonts w:hint="eastAsia" w:ascii="宋体" w:hAnsi="宋体" w:eastAsia="宋体" w:cs="宋体"/>
          <w:sz w:val="24"/>
          <w:highlight w:val="none"/>
          <w:lang w:val="en-US" w:eastAsia="zh-CN"/>
        </w:rPr>
        <w:t>中标单位</w:t>
      </w:r>
      <w:r>
        <w:rPr>
          <w:rFonts w:hint="eastAsia" w:ascii="宋体" w:hAnsi="宋体" w:eastAsia="宋体" w:cs="宋体"/>
          <w:sz w:val="24"/>
          <w:highlight w:val="none"/>
        </w:rPr>
        <w:t>签</w:t>
      </w:r>
      <w:r>
        <w:rPr>
          <w:rFonts w:hint="eastAsia" w:ascii="宋体" w:hAnsi="宋体" w:eastAsia="宋体" w:cs="宋体"/>
          <w:sz w:val="24"/>
          <w:highlight w:val="none"/>
          <w:lang w:val="en-US" w:eastAsia="zh-CN"/>
        </w:rPr>
        <w:t>订</w:t>
      </w:r>
      <w:r>
        <w:rPr>
          <w:rFonts w:hint="eastAsia" w:ascii="宋体" w:hAnsi="宋体" w:eastAsia="宋体" w:cs="宋体"/>
          <w:sz w:val="24"/>
          <w:highlight w:val="none"/>
        </w:rPr>
        <w:t>的合同条款为准进行公示</w:t>
      </w:r>
    </w:p>
    <w:p w14:paraId="1BB9AAF0">
      <w:pPr>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GF-201</w:t>
      </w:r>
      <w:r>
        <w:rPr>
          <w:rFonts w:hint="eastAsia" w:ascii="宋体" w:hAnsi="宋体" w:eastAsia="宋体" w:cs="宋体"/>
          <w:b/>
          <w:bCs/>
          <w:color w:val="auto"/>
          <w:sz w:val="30"/>
          <w:szCs w:val="30"/>
          <w:highlight w:val="none"/>
          <w:lang w:val="en-US" w:eastAsia="zh-CN"/>
        </w:rPr>
        <w:t>7</w:t>
      </w:r>
      <w:r>
        <w:rPr>
          <w:rFonts w:hint="eastAsia" w:ascii="宋体" w:hAnsi="宋体" w:eastAsia="宋体" w:cs="宋体"/>
          <w:b/>
          <w:bCs/>
          <w:color w:val="auto"/>
          <w:sz w:val="30"/>
          <w:szCs w:val="30"/>
          <w:highlight w:val="none"/>
        </w:rPr>
        <w:t>-02</w:t>
      </w:r>
      <w:r>
        <w:rPr>
          <w:rFonts w:hint="eastAsia" w:ascii="宋体" w:hAnsi="宋体" w:eastAsia="宋体" w:cs="宋体"/>
          <w:b/>
          <w:bCs/>
          <w:color w:val="auto"/>
          <w:sz w:val="30"/>
          <w:szCs w:val="30"/>
          <w:highlight w:val="none"/>
          <w:lang w:val="en-US" w:eastAsia="zh-CN"/>
        </w:rPr>
        <w:t>01</w:t>
      </w:r>
    </w:p>
    <w:p w14:paraId="4E99D154">
      <w:pPr>
        <w:jc w:val="center"/>
        <w:rPr>
          <w:rFonts w:hint="eastAsia" w:ascii="宋体" w:hAnsi="宋体" w:eastAsia="宋体" w:cs="宋体"/>
          <w:b/>
          <w:bCs/>
          <w:color w:val="auto"/>
          <w:sz w:val="48"/>
          <w:highlight w:val="none"/>
        </w:rPr>
      </w:pPr>
    </w:p>
    <w:p w14:paraId="4E4066A5">
      <w:pPr>
        <w:jc w:val="center"/>
        <w:rPr>
          <w:rFonts w:hint="eastAsia" w:ascii="宋体" w:hAnsi="宋体" w:eastAsia="宋体" w:cs="宋体"/>
          <w:b/>
          <w:bCs/>
          <w:color w:val="auto"/>
          <w:sz w:val="48"/>
          <w:highlight w:val="none"/>
        </w:rPr>
      </w:pPr>
    </w:p>
    <w:p w14:paraId="4C1D32D0">
      <w:pPr>
        <w:jc w:val="center"/>
        <w:rPr>
          <w:rFonts w:hint="eastAsia" w:ascii="宋体" w:hAnsi="宋体" w:eastAsia="宋体" w:cs="宋体"/>
          <w:b/>
          <w:bCs/>
          <w:color w:val="auto"/>
          <w:sz w:val="48"/>
          <w:highlight w:val="none"/>
        </w:rPr>
      </w:pPr>
    </w:p>
    <w:p w14:paraId="3A025E57">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建设项目工程总承包合同示范文本</w:t>
      </w:r>
    </w:p>
    <w:p w14:paraId="154FFE23">
      <w:pPr>
        <w:jc w:val="center"/>
        <w:rPr>
          <w:rFonts w:hint="eastAsia" w:ascii="宋体" w:hAnsi="宋体" w:eastAsia="宋体" w:cs="宋体"/>
          <w:b/>
          <w:bCs/>
          <w:color w:val="auto"/>
          <w:sz w:val="28"/>
          <w:highlight w:val="none"/>
        </w:rPr>
      </w:pPr>
    </w:p>
    <w:p w14:paraId="0F77C016">
      <w:pPr>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示范文本</w:t>
      </w:r>
      <w:r>
        <w:rPr>
          <w:rFonts w:hint="eastAsia" w:ascii="宋体" w:hAnsi="宋体" w:eastAsia="宋体" w:cs="宋体"/>
          <w:bCs/>
          <w:color w:val="auto"/>
          <w:sz w:val="28"/>
          <w:szCs w:val="28"/>
          <w:highlight w:val="none"/>
        </w:rPr>
        <w:t>）</w:t>
      </w:r>
    </w:p>
    <w:p w14:paraId="7E38F8C9">
      <w:pPr>
        <w:jc w:val="center"/>
        <w:rPr>
          <w:rFonts w:hint="eastAsia" w:ascii="宋体" w:hAnsi="宋体" w:eastAsia="宋体" w:cs="宋体"/>
          <w:bCs/>
          <w:color w:val="auto"/>
          <w:sz w:val="28"/>
          <w:highlight w:val="none"/>
        </w:rPr>
      </w:pPr>
    </w:p>
    <w:p w14:paraId="1FAC773C">
      <w:pPr>
        <w:jc w:val="center"/>
        <w:rPr>
          <w:rFonts w:hint="eastAsia" w:ascii="宋体" w:hAnsi="宋体" w:eastAsia="宋体" w:cs="宋体"/>
          <w:bCs/>
          <w:color w:val="auto"/>
          <w:sz w:val="28"/>
          <w:highlight w:val="none"/>
        </w:rPr>
      </w:pPr>
    </w:p>
    <w:p w14:paraId="03E30048">
      <w:pPr>
        <w:jc w:val="center"/>
        <w:rPr>
          <w:rFonts w:hint="eastAsia" w:ascii="宋体" w:hAnsi="宋体" w:eastAsia="宋体" w:cs="宋体"/>
          <w:bCs/>
          <w:color w:val="auto"/>
          <w:sz w:val="28"/>
          <w:highlight w:val="none"/>
        </w:rPr>
      </w:pPr>
    </w:p>
    <w:p w14:paraId="25E00E60">
      <w:pPr>
        <w:jc w:val="center"/>
        <w:rPr>
          <w:rFonts w:hint="eastAsia" w:ascii="宋体" w:hAnsi="宋体" w:eastAsia="宋体" w:cs="宋体"/>
          <w:bCs/>
          <w:color w:val="auto"/>
          <w:sz w:val="28"/>
          <w:highlight w:val="none"/>
        </w:rPr>
      </w:pPr>
    </w:p>
    <w:p w14:paraId="50B881CE">
      <w:pPr>
        <w:jc w:val="center"/>
        <w:rPr>
          <w:rFonts w:hint="eastAsia" w:ascii="宋体" w:hAnsi="宋体" w:eastAsia="宋体" w:cs="宋体"/>
          <w:bCs/>
          <w:color w:val="auto"/>
          <w:sz w:val="28"/>
          <w:highlight w:val="none"/>
        </w:rPr>
      </w:pPr>
    </w:p>
    <w:p w14:paraId="36640514">
      <w:pPr>
        <w:jc w:val="center"/>
        <w:rPr>
          <w:rFonts w:hint="eastAsia" w:ascii="宋体" w:hAnsi="宋体" w:eastAsia="宋体" w:cs="宋体"/>
          <w:bCs/>
          <w:color w:val="auto"/>
          <w:sz w:val="28"/>
          <w:highlight w:val="none"/>
        </w:rPr>
      </w:pPr>
    </w:p>
    <w:p w14:paraId="31D44604">
      <w:pPr>
        <w:jc w:val="center"/>
        <w:rPr>
          <w:rFonts w:hint="eastAsia" w:ascii="宋体" w:hAnsi="宋体" w:eastAsia="宋体" w:cs="宋体"/>
          <w:color w:val="auto"/>
          <w:sz w:val="28"/>
          <w:szCs w:val="28"/>
          <w:highlight w:val="none"/>
        </w:rPr>
      </w:pPr>
    </w:p>
    <w:p w14:paraId="33BB171B">
      <w:pPr>
        <w:jc w:val="both"/>
        <w:rPr>
          <w:rFonts w:hint="eastAsia" w:ascii="宋体" w:hAnsi="宋体" w:eastAsia="宋体" w:cs="宋体"/>
          <w:color w:val="auto"/>
          <w:sz w:val="28"/>
          <w:szCs w:val="28"/>
          <w:highlight w:val="none"/>
        </w:rPr>
      </w:pPr>
    </w:p>
    <w:tbl>
      <w:tblPr>
        <w:tblStyle w:val="23"/>
        <w:tblW w:w="0" w:type="auto"/>
        <w:jc w:val="center"/>
        <w:tblLayout w:type="fixed"/>
        <w:tblCellMar>
          <w:top w:w="0" w:type="dxa"/>
          <w:left w:w="75" w:type="dxa"/>
          <w:bottom w:w="0" w:type="dxa"/>
          <w:right w:w="75" w:type="dxa"/>
        </w:tblCellMar>
      </w:tblPr>
      <w:tblGrid>
        <w:gridCol w:w="3481"/>
        <w:gridCol w:w="479"/>
      </w:tblGrid>
      <w:tr w14:paraId="7A823C73">
        <w:tblPrEx>
          <w:tblCellMar>
            <w:top w:w="0" w:type="dxa"/>
            <w:left w:w="75" w:type="dxa"/>
            <w:bottom w:w="0" w:type="dxa"/>
            <w:right w:w="75" w:type="dxa"/>
          </w:tblCellMar>
        </w:tblPrEx>
        <w:trPr>
          <w:cantSplit/>
          <w:trHeight w:val="766" w:hRule="atLeast"/>
          <w:jc w:val="center"/>
        </w:trPr>
        <w:tc>
          <w:tcPr>
            <w:tcW w:w="3481" w:type="dxa"/>
            <w:noWrap w:val="0"/>
            <w:vAlign w:val="center"/>
          </w:tcPr>
          <w:p w14:paraId="4104D6B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中华人民共和国建设部</w:t>
            </w:r>
          </w:p>
        </w:tc>
        <w:tc>
          <w:tcPr>
            <w:tcW w:w="479" w:type="dxa"/>
            <w:vMerge w:val="restart"/>
            <w:noWrap w:val="0"/>
            <w:vAlign w:val="center"/>
          </w:tcPr>
          <w:p w14:paraId="1CDAE1A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制定</w:t>
            </w:r>
          </w:p>
        </w:tc>
      </w:tr>
      <w:tr w14:paraId="4DCE6ED2">
        <w:tblPrEx>
          <w:tblCellMar>
            <w:top w:w="0" w:type="dxa"/>
            <w:left w:w="75" w:type="dxa"/>
            <w:bottom w:w="0" w:type="dxa"/>
            <w:right w:w="75" w:type="dxa"/>
          </w:tblCellMar>
        </w:tblPrEx>
        <w:trPr>
          <w:cantSplit/>
          <w:jc w:val="center"/>
        </w:trPr>
        <w:tc>
          <w:tcPr>
            <w:tcW w:w="3481" w:type="dxa"/>
            <w:noWrap w:val="0"/>
            <w:vAlign w:val="center"/>
          </w:tcPr>
          <w:p w14:paraId="79863DF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国家工商行政管理局</w:t>
            </w:r>
          </w:p>
        </w:tc>
        <w:tc>
          <w:tcPr>
            <w:tcW w:w="479" w:type="dxa"/>
            <w:vMerge w:val="continue"/>
            <w:noWrap w:val="0"/>
            <w:vAlign w:val="center"/>
          </w:tcPr>
          <w:p w14:paraId="5A8B1A64">
            <w:pPr>
              <w:widowControl/>
              <w:jc w:val="left"/>
              <w:rPr>
                <w:rFonts w:hint="eastAsia" w:ascii="宋体" w:hAnsi="宋体" w:eastAsia="宋体" w:cs="宋体"/>
                <w:color w:val="auto"/>
                <w:sz w:val="28"/>
                <w:szCs w:val="28"/>
                <w:highlight w:val="none"/>
              </w:rPr>
            </w:pPr>
          </w:p>
        </w:tc>
      </w:tr>
    </w:tbl>
    <w:p w14:paraId="1696D0DD">
      <w:pPr>
        <w:pStyle w:val="56"/>
        <w:pageBreakBefore w:val="0"/>
        <w:kinsoku/>
        <w:wordWrap/>
        <w:overflowPunct/>
        <w:topLinePunct w:val="0"/>
        <w:bidi w:val="0"/>
        <w:adjustRightInd w:val="0"/>
        <w:snapToGrid w:val="0"/>
        <w:spacing w:before="0" w:after="0" w:line="360" w:lineRule="auto"/>
        <w:ind w:left="0" w:leftChars="0" w:right="0" w:rightChars="0"/>
        <w:jc w:val="center"/>
        <w:textAlignment w:val="auto"/>
        <w:outlineLvl w:val="0"/>
        <w:rPr>
          <w:rFonts w:hint="eastAsia" w:ascii="宋体" w:hAnsi="宋体" w:eastAsia="宋体" w:cs="宋体"/>
          <w:b/>
          <w:bCs/>
          <w:color w:val="000000"/>
          <w:kern w:val="0"/>
          <w:sz w:val="18"/>
          <w:highlight w:val="none"/>
          <w:lang w:val="zh-CN"/>
        </w:rPr>
      </w:pPr>
      <w:r>
        <w:rPr>
          <w:rFonts w:hint="eastAsia" w:ascii="宋体" w:hAnsi="宋体" w:eastAsia="宋体" w:cs="宋体"/>
          <w:bCs w:val="0"/>
          <w:color w:val="000000"/>
          <w:highlight w:val="none"/>
        </w:rPr>
        <w:br w:type="page"/>
      </w:r>
      <w:bookmarkStart w:id="474" w:name="_Toc1597"/>
      <w:bookmarkStart w:id="475" w:name="_Toc1308"/>
      <w:r>
        <w:rPr>
          <w:rFonts w:hint="eastAsia" w:ascii="宋体" w:hAnsi="宋体" w:eastAsia="宋体" w:cs="宋体"/>
          <w:b/>
          <w:bCs/>
          <w:color w:val="000000"/>
          <w:kern w:val="44"/>
          <w:sz w:val="28"/>
          <w:szCs w:val="48"/>
          <w:highlight w:val="none"/>
          <w:lang w:val="zh-CN"/>
        </w:rPr>
        <w:t>第一部分 合同协议书</w:t>
      </w:r>
      <w:bookmarkEnd w:id="474"/>
      <w:bookmarkEnd w:id="475"/>
    </w:p>
    <w:p w14:paraId="2EDE90A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（本合同条款及格式供参考，以实际签订为准）</w:t>
      </w:r>
    </w:p>
    <w:p w14:paraId="4AE3B6FE">
      <w:pPr>
        <w:pStyle w:val="4"/>
        <w:jc w:val="center"/>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第一部分 合同协议书</w:t>
      </w:r>
    </w:p>
    <w:p w14:paraId="73C3BFCE">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        </w:t>
      </w:r>
    </w:p>
    <w:p w14:paraId="6092432F">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        </w:t>
      </w:r>
    </w:p>
    <w:p w14:paraId="2D76D8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》、《中华人民共和国建筑法》及有关法律规定，遵循平等、自愿、公平和诚实信用的原则，双方就</w:t>
      </w:r>
    </w:p>
    <w:p w14:paraId="39192D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工程施工及有关事项协商一致，共同达成如下协议：</w:t>
      </w:r>
    </w:p>
    <w:p w14:paraId="74B728DF">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bookmarkStart w:id="476" w:name="_Toc351203481"/>
      <w:r>
        <w:rPr>
          <w:rFonts w:hint="eastAsia" w:ascii="宋体" w:hAnsi="宋体" w:eastAsia="宋体" w:cs="宋体"/>
          <w:b/>
          <w:bCs w:val="0"/>
          <w:color w:val="auto"/>
          <w:sz w:val="24"/>
          <w:szCs w:val="24"/>
          <w:highlight w:val="none"/>
        </w:rPr>
        <w:t>一、工程概况</w:t>
      </w:r>
      <w:bookmarkEnd w:id="476"/>
    </w:p>
    <w:p w14:paraId="3491A3F8">
      <w:pPr>
        <w:spacing w:line="360" w:lineRule="auto"/>
        <w:ind w:firstLine="470" w:firstLineChars="19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E83D5E4">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2E243AD">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1096A0A0">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6B27FBB5">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2A807238">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群体工程应附《承包人承揽工程项目一览表》（附件1）。</w:t>
      </w:r>
    </w:p>
    <w:p w14:paraId="32E797FE">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p>
    <w:p w14:paraId="642DDDB6">
      <w:pPr>
        <w:spacing w:line="360" w:lineRule="auto"/>
        <w:ind w:firstLine="463" w:firstLineChars="1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14:paraId="769705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F040AE4">
      <w:pPr>
        <w:pStyle w:val="5"/>
        <w:spacing w:before="120" w:after="12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477" w:name="_Toc351203482"/>
      <w:r>
        <w:rPr>
          <w:rFonts w:hint="eastAsia" w:ascii="宋体" w:hAnsi="宋体" w:eastAsia="宋体" w:cs="宋体"/>
          <w:b/>
          <w:bCs w:val="0"/>
          <w:color w:val="auto"/>
          <w:sz w:val="24"/>
          <w:szCs w:val="24"/>
          <w:highlight w:val="none"/>
        </w:rPr>
        <w:t>二、合同工期</w:t>
      </w:r>
      <w:bookmarkEnd w:id="477"/>
    </w:p>
    <w:p w14:paraId="691AF828">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4EAA2EFC">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7BD240AE">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333EFF83">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bookmarkStart w:id="478" w:name="_Toc351203483"/>
      <w:r>
        <w:rPr>
          <w:rFonts w:hint="eastAsia" w:ascii="宋体" w:hAnsi="宋体" w:eastAsia="宋体" w:cs="宋体"/>
          <w:b/>
          <w:bCs w:val="0"/>
          <w:color w:val="auto"/>
          <w:sz w:val="24"/>
          <w:szCs w:val="24"/>
          <w:highlight w:val="none"/>
        </w:rPr>
        <w:t>三、质量标准</w:t>
      </w:r>
      <w:bookmarkEnd w:id="478"/>
    </w:p>
    <w:p w14:paraId="3FF6698C">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标准。</w:t>
      </w:r>
    </w:p>
    <w:p w14:paraId="55F234BC">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bCs w:val="0"/>
          <w:color w:val="auto"/>
          <w:sz w:val="24"/>
          <w:szCs w:val="24"/>
          <w:highlight w:val="none"/>
        </w:rPr>
        <w:t xml:space="preserve"> </w:t>
      </w:r>
      <w:bookmarkStart w:id="479" w:name="_Toc351203484"/>
      <w:r>
        <w:rPr>
          <w:rFonts w:hint="eastAsia" w:ascii="宋体" w:hAnsi="宋体" w:eastAsia="宋体" w:cs="宋体"/>
          <w:b/>
          <w:bCs w:val="0"/>
          <w:color w:val="auto"/>
          <w:sz w:val="24"/>
          <w:szCs w:val="24"/>
          <w:highlight w:val="none"/>
        </w:rPr>
        <w:t>四、签约合同价与合同价格形式</w:t>
      </w:r>
      <w:bookmarkEnd w:id="479"/>
      <w:r>
        <w:rPr>
          <w:rFonts w:hint="eastAsia" w:ascii="宋体" w:hAnsi="宋体" w:eastAsia="宋体" w:cs="宋体"/>
          <w:b w:val="0"/>
          <w:color w:val="auto"/>
          <w:sz w:val="24"/>
          <w:szCs w:val="24"/>
          <w:highlight w:val="none"/>
        </w:rPr>
        <w:tab/>
      </w:r>
    </w:p>
    <w:p w14:paraId="652DCA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6DD4BD8E">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79847F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14:paraId="220ADC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14:paraId="38135160">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A0D27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210B2863">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E61F8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44560568">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7280B4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7FEA5B86">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83081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w:t>
      </w:r>
      <w:r>
        <w:rPr>
          <w:rFonts w:hint="eastAsia" w:ascii="宋体" w:hAnsi="宋体" w:eastAsia="宋体" w:cs="宋体"/>
          <w:b/>
          <w:bCs/>
          <w:color w:val="auto"/>
          <w:sz w:val="24"/>
          <w:szCs w:val="24"/>
          <w:highlight w:val="none"/>
          <w:u w:val="single"/>
        </w:rPr>
        <w:t>固定总价承包合同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9E6B893">
      <w:pPr>
        <w:pStyle w:val="5"/>
        <w:spacing w:before="120" w:after="120" w:line="360" w:lineRule="auto"/>
        <w:rPr>
          <w:rFonts w:hint="eastAsia"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480" w:name="_Toc351203485"/>
      <w:r>
        <w:rPr>
          <w:rFonts w:hint="eastAsia" w:ascii="宋体" w:hAnsi="宋体" w:eastAsia="宋体" w:cs="宋体"/>
          <w:b/>
          <w:bCs w:val="0"/>
          <w:color w:val="auto"/>
          <w:sz w:val="24"/>
          <w:szCs w:val="24"/>
          <w:highlight w:val="none"/>
        </w:rPr>
        <w:t>五、</w:t>
      </w:r>
      <w:bookmarkEnd w:id="480"/>
      <w:r>
        <w:rPr>
          <w:rFonts w:hint="eastAsia" w:ascii="宋体" w:hAnsi="宋体" w:eastAsia="宋体" w:cs="宋体"/>
          <w:b/>
          <w:bCs w:val="0"/>
          <w:color w:val="auto"/>
          <w:sz w:val="24"/>
          <w:szCs w:val="24"/>
          <w:highlight w:val="none"/>
        </w:rPr>
        <w:t>项目经理</w:t>
      </w:r>
    </w:p>
    <w:p w14:paraId="345E5D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4A740D63">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481" w:name="_Toc351203486"/>
      <w:r>
        <w:rPr>
          <w:rFonts w:hint="eastAsia" w:ascii="宋体" w:hAnsi="宋体" w:eastAsia="宋体" w:cs="宋体"/>
          <w:b/>
          <w:bCs w:val="0"/>
          <w:color w:val="auto"/>
          <w:sz w:val="24"/>
          <w:szCs w:val="24"/>
          <w:highlight w:val="none"/>
        </w:rPr>
        <w:t>六、合同文件构成</w:t>
      </w:r>
      <w:bookmarkEnd w:id="481"/>
    </w:p>
    <w:p w14:paraId="704F9E6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417E9F1A">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（1）中标通知书（如果有）；</w:t>
      </w:r>
    </w:p>
    <w:p w14:paraId="32D288B9">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（2）投标函及其附录（如果有）； </w:t>
      </w:r>
    </w:p>
    <w:p w14:paraId="326E9419">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5ADFFF6E">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60852998">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65E37A83">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76B0E7B6">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3F225C40">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3B388B24">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23913598">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31FA14F7">
      <w:pPr>
        <w:pStyle w:val="5"/>
        <w:spacing w:before="120" w:after="12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482" w:name="_Toc351203487"/>
      <w:r>
        <w:rPr>
          <w:rFonts w:hint="eastAsia" w:ascii="宋体" w:hAnsi="宋体" w:eastAsia="宋体" w:cs="宋体"/>
          <w:b/>
          <w:bCs w:val="0"/>
          <w:color w:val="auto"/>
          <w:sz w:val="24"/>
          <w:szCs w:val="24"/>
          <w:highlight w:val="none"/>
        </w:rPr>
        <w:t>七、承诺</w:t>
      </w:r>
      <w:bookmarkEnd w:id="482"/>
    </w:p>
    <w:p w14:paraId="519EF7C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6B0C7ED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568DD0E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43F23150">
      <w:pPr>
        <w:spacing w:line="360" w:lineRule="auto"/>
        <w:rPr>
          <w:rFonts w:hint="eastAsia" w:ascii="宋体" w:hAnsi="宋体" w:eastAsia="宋体" w:cs="宋体"/>
          <w:bCs/>
          <w:color w:val="auto"/>
          <w:sz w:val="24"/>
          <w:szCs w:val="24"/>
          <w:highlight w:val="none"/>
        </w:rPr>
      </w:pPr>
      <w:bookmarkStart w:id="483" w:name="_Toc351203488"/>
      <w:r>
        <w:rPr>
          <w:rFonts w:hint="eastAsia" w:ascii="宋体" w:hAnsi="宋体" w:eastAsia="宋体" w:cs="宋体"/>
          <w:b/>
          <w:color w:val="auto"/>
          <w:sz w:val="24"/>
          <w:szCs w:val="24"/>
          <w:highlight w:val="none"/>
        </w:rPr>
        <w:t xml:space="preserve">    八、词语含义</w:t>
      </w:r>
      <w:bookmarkEnd w:id="483"/>
    </w:p>
    <w:p w14:paraId="42B5F6B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7F144D8E">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484" w:name="_Toc351203489"/>
      <w:r>
        <w:rPr>
          <w:rFonts w:hint="eastAsia" w:ascii="宋体" w:hAnsi="宋体" w:eastAsia="宋体" w:cs="宋体"/>
          <w:b/>
          <w:bCs w:val="0"/>
          <w:color w:val="auto"/>
          <w:sz w:val="24"/>
          <w:szCs w:val="24"/>
          <w:highlight w:val="none"/>
        </w:rPr>
        <w:t>九、签订时间</w:t>
      </w:r>
      <w:bookmarkEnd w:id="484"/>
    </w:p>
    <w:p w14:paraId="5AEFBC4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5BDA929D">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485" w:name="_Toc351203490"/>
      <w:r>
        <w:rPr>
          <w:rFonts w:hint="eastAsia" w:ascii="宋体" w:hAnsi="宋体" w:eastAsia="宋体" w:cs="宋体"/>
          <w:b/>
          <w:bCs w:val="0"/>
          <w:color w:val="auto"/>
          <w:sz w:val="24"/>
          <w:szCs w:val="24"/>
          <w:highlight w:val="none"/>
        </w:rPr>
        <w:t>十、签订地点</w:t>
      </w:r>
      <w:bookmarkEnd w:id="485"/>
    </w:p>
    <w:p w14:paraId="4D88884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2788A18E">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486" w:name="_Toc351203491"/>
      <w:r>
        <w:rPr>
          <w:rFonts w:hint="eastAsia" w:ascii="宋体" w:hAnsi="宋体" w:eastAsia="宋体" w:cs="宋体"/>
          <w:b/>
          <w:bCs w:val="0"/>
          <w:color w:val="auto"/>
          <w:sz w:val="24"/>
          <w:szCs w:val="24"/>
          <w:highlight w:val="none"/>
        </w:rPr>
        <w:t>十一、补充协议</w:t>
      </w:r>
      <w:bookmarkEnd w:id="486"/>
    </w:p>
    <w:p w14:paraId="180B2B10">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2AFD85BD">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487" w:name="_Toc351203492"/>
      <w:r>
        <w:rPr>
          <w:rFonts w:hint="eastAsia" w:ascii="宋体" w:hAnsi="宋体" w:eastAsia="宋体" w:cs="宋体"/>
          <w:b/>
          <w:bCs w:val="0"/>
          <w:color w:val="auto"/>
          <w:sz w:val="24"/>
          <w:szCs w:val="24"/>
          <w:highlight w:val="none"/>
        </w:rPr>
        <w:t>十二、合同生效</w:t>
      </w:r>
      <w:bookmarkEnd w:id="487"/>
    </w:p>
    <w:p w14:paraId="67AFEE7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14:paraId="21A85397">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bCs/>
          <w:color w:val="auto"/>
          <w:sz w:val="24"/>
          <w:szCs w:val="24"/>
          <w:highlight w:val="none"/>
        </w:rPr>
        <w:t xml:space="preserve"> </w:t>
      </w:r>
      <w:bookmarkStart w:id="488" w:name="_Toc351203493"/>
      <w:r>
        <w:rPr>
          <w:rFonts w:hint="eastAsia" w:ascii="宋体" w:hAnsi="宋体" w:eastAsia="宋体" w:cs="宋体"/>
          <w:b/>
          <w:bCs w:val="0"/>
          <w:color w:val="auto"/>
          <w:sz w:val="24"/>
          <w:szCs w:val="24"/>
          <w:highlight w:val="none"/>
        </w:rPr>
        <w:t>十三、合同份数</w:t>
      </w:r>
      <w:bookmarkEnd w:id="488"/>
    </w:p>
    <w:p w14:paraId="3E6EFE4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1CC9265B">
      <w:pPr>
        <w:pStyle w:val="57"/>
        <w:rPr>
          <w:rFonts w:hint="eastAsia" w:ascii="宋体" w:hAnsi="宋体" w:eastAsia="宋体" w:cs="宋体"/>
          <w:highlight w:val="none"/>
        </w:rPr>
      </w:pPr>
    </w:p>
    <w:p w14:paraId="2DD5F2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3A6F8D9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133790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3F62FC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5ECDC05A">
      <w:pPr>
        <w:spacing w:line="360" w:lineRule="auto"/>
        <w:rPr>
          <w:rFonts w:hint="eastAsia" w:ascii="宋体" w:hAnsi="宋体" w:eastAsia="宋体" w:cs="宋体"/>
          <w:color w:val="auto"/>
          <w:sz w:val="24"/>
          <w:szCs w:val="24"/>
          <w:highlight w:val="none"/>
          <w:u w:val="single"/>
        </w:rPr>
      </w:pPr>
    </w:p>
    <w:p w14:paraId="633A8513">
      <w:pPr>
        <w:tabs>
          <w:tab w:val="left" w:pos="441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26473D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68444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362DD8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       </w:t>
      </w:r>
    </w:p>
    <w:p w14:paraId="718118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4D01EAF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631F48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33B8BB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14:paraId="5BFFB6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2B9068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6DD955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680"/>
        <w:rPr>
          <w:rFonts w:hint="eastAsia" w:ascii="宋体" w:hAnsi="宋体" w:eastAsia="宋体" w:cs="宋体"/>
          <w:color w:val="000000"/>
          <w:highlight w:val="none"/>
        </w:rPr>
      </w:pPr>
    </w:p>
    <w:p w14:paraId="0F44D0A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bookmarkStart w:id="489" w:name="_Toc41828923"/>
      <w:bookmarkStart w:id="490" w:name="_Toc25463"/>
    </w:p>
    <w:p w14:paraId="3B861D0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749387C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6D9F9CF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5AC1AB4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230C089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30E6011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77D2E80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246C65C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77A295B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5FE768FC">
      <w:pPr>
        <w:pStyle w:val="38"/>
        <w:kinsoku/>
        <w:overflowPunct/>
        <w:bidi w:val="0"/>
        <w:adjustRightInd w:val="0"/>
        <w:snapToGrid w:val="0"/>
        <w:spacing w:line="360" w:lineRule="auto"/>
        <w:ind w:left="0" w:right="0"/>
        <w:rPr>
          <w:rFonts w:hint="eastAsia" w:ascii="宋体" w:hAnsi="宋体" w:eastAsia="宋体" w:cs="宋体"/>
          <w:b/>
          <w:bCs/>
          <w:color w:val="000000"/>
          <w:highlight w:val="none"/>
        </w:rPr>
      </w:pPr>
    </w:p>
    <w:p w14:paraId="7D00C939">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2130D402">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557D778E">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548264F9">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58913E08">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53FFB748">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2C0CF34A">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5B3019C1">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10314860">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7C59A479">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1549B46A">
      <w:pPr>
        <w:pStyle w:val="19"/>
        <w:kinsoku/>
        <w:overflowPunct/>
        <w:bidi w:val="0"/>
        <w:adjustRightInd w:val="0"/>
        <w:snapToGrid w:val="0"/>
        <w:spacing w:line="360" w:lineRule="auto"/>
        <w:ind w:left="0" w:right="0"/>
        <w:rPr>
          <w:rFonts w:hint="eastAsia" w:ascii="宋体" w:hAnsi="宋体" w:eastAsia="宋体" w:cs="宋体"/>
          <w:b/>
          <w:bCs/>
          <w:color w:val="000000"/>
          <w:highlight w:val="none"/>
        </w:rPr>
      </w:pPr>
    </w:p>
    <w:p w14:paraId="274190E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bookmarkEnd w:id="489"/>
    <w:bookmarkEnd w:id="490"/>
    <w:p w14:paraId="222D8FDC">
      <w:pPr>
        <w:pStyle w:val="4"/>
        <w:jc w:val="center"/>
        <w:rPr>
          <w:rFonts w:hint="eastAsia" w:ascii="宋体" w:hAnsi="宋体" w:eastAsia="宋体" w:cs="宋体"/>
          <w:color w:val="auto"/>
          <w:sz w:val="24"/>
          <w:szCs w:val="24"/>
          <w:highlight w:val="none"/>
        </w:rPr>
      </w:pPr>
      <w:bookmarkStart w:id="491" w:name="_Toc351203494"/>
      <w:r>
        <w:rPr>
          <w:rFonts w:hint="eastAsia" w:ascii="宋体" w:hAnsi="宋体" w:eastAsia="宋体" w:cs="宋体"/>
          <w:color w:val="auto"/>
          <w:sz w:val="24"/>
          <w:szCs w:val="24"/>
          <w:highlight w:val="none"/>
        </w:rPr>
        <w:t>第二部分 通用合同条款</w:t>
      </w:r>
      <w:bookmarkEnd w:id="491"/>
      <w:bookmarkStart w:id="492" w:name="_Toc337558727"/>
    </w:p>
    <w:bookmarkEnd w:id="492"/>
    <w:p w14:paraId="2FC745CB">
      <w:pPr>
        <w:pStyle w:val="4"/>
        <w:jc w:val="center"/>
        <w:rPr>
          <w:rFonts w:hint="eastAsia" w:ascii="宋体" w:hAnsi="宋体" w:eastAsia="宋体" w:cs="宋体"/>
          <w:color w:val="auto"/>
          <w:sz w:val="24"/>
          <w:szCs w:val="24"/>
          <w:highlight w:val="none"/>
          <w:lang w:val="en-US" w:eastAsia="zh-CN"/>
        </w:rPr>
      </w:pPr>
      <w:bookmarkStart w:id="493" w:name="_Toc351203632"/>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略）</w:t>
      </w:r>
    </w:p>
    <w:p w14:paraId="29BAE077">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专用合同条款</w:t>
      </w:r>
      <w:bookmarkEnd w:id="493"/>
    </w:p>
    <w:p w14:paraId="281E028B">
      <w:pPr>
        <w:keepNext/>
        <w:spacing w:line="540" w:lineRule="exact"/>
        <w:outlineLvl w:val="3"/>
        <w:rPr>
          <w:rFonts w:ascii="宋体" w:hAnsi="宋体" w:cs="楷体"/>
          <w:b/>
          <w:bCs/>
          <w:sz w:val="24"/>
          <w:szCs w:val="24"/>
          <w:highlight w:val="none"/>
        </w:rPr>
      </w:pPr>
      <w:r>
        <w:rPr>
          <w:rFonts w:hint="eastAsia" w:ascii="宋体" w:hAnsi="宋体" w:cs="楷体"/>
          <w:b/>
          <w:bCs/>
          <w:sz w:val="24"/>
          <w:szCs w:val="24"/>
          <w:highlight w:val="none"/>
        </w:rPr>
        <w:t>1.一般约定</w:t>
      </w:r>
    </w:p>
    <w:p w14:paraId="54F247CF">
      <w:pPr>
        <w:spacing w:line="540" w:lineRule="exact"/>
        <w:rPr>
          <w:rFonts w:ascii="宋体" w:hAnsi="宋体" w:cs="楷体"/>
          <w:b/>
          <w:bCs/>
          <w:sz w:val="24"/>
          <w:szCs w:val="24"/>
          <w:highlight w:val="none"/>
        </w:rPr>
      </w:pPr>
      <w:r>
        <w:rPr>
          <w:rFonts w:hint="eastAsia" w:ascii="宋体" w:hAnsi="宋体" w:cs="楷体"/>
          <w:b/>
          <w:bCs/>
          <w:sz w:val="24"/>
          <w:szCs w:val="24"/>
          <w:highlight w:val="none"/>
        </w:rPr>
        <w:t>1.1 词语定义</w:t>
      </w:r>
    </w:p>
    <w:p w14:paraId="37319C1F">
      <w:pPr>
        <w:spacing w:line="540" w:lineRule="exact"/>
        <w:rPr>
          <w:rFonts w:ascii="宋体" w:hAnsi="宋体" w:cs="楷体"/>
          <w:sz w:val="24"/>
          <w:szCs w:val="24"/>
          <w:highlight w:val="none"/>
        </w:rPr>
      </w:pPr>
      <w:r>
        <w:rPr>
          <w:rFonts w:hint="eastAsia" w:ascii="宋体" w:hAnsi="宋体" w:cs="楷体"/>
          <w:sz w:val="24"/>
          <w:szCs w:val="24"/>
          <w:highlight w:val="none"/>
        </w:rPr>
        <w:t>1.1.1合同当事人及人员</w:t>
      </w:r>
    </w:p>
    <w:p w14:paraId="31E35420">
      <w:pPr>
        <w:spacing w:line="540" w:lineRule="exact"/>
        <w:rPr>
          <w:rFonts w:ascii="宋体" w:hAnsi="宋体" w:cs="楷体"/>
          <w:sz w:val="24"/>
          <w:szCs w:val="24"/>
          <w:highlight w:val="none"/>
          <w:u w:val="single"/>
        </w:rPr>
      </w:pPr>
      <w:r>
        <w:rPr>
          <w:rFonts w:hint="eastAsia" w:ascii="宋体" w:hAnsi="宋体" w:cs="楷体"/>
          <w:sz w:val="24"/>
          <w:szCs w:val="24"/>
          <w:highlight w:val="none"/>
        </w:rPr>
        <w:t>1.1.2发包人：</w:t>
      </w:r>
    </w:p>
    <w:p w14:paraId="582E897A">
      <w:pPr>
        <w:spacing w:line="540" w:lineRule="exact"/>
        <w:rPr>
          <w:rFonts w:ascii="宋体" w:hAnsi="宋体" w:cs="楷体"/>
          <w:sz w:val="24"/>
          <w:szCs w:val="24"/>
          <w:highlight w:val="none"/>
          <w:u w:val="single"/>
        </w:rPr>
      </w:pPr>
      <w:r>
        <w:rPr>
          <w:rFonts w:hint="eastAsia" w:ascii="宋体" w:hAnsi="宋体" w:cs="楷体"/>
          <w:sz w:val="24"/>
          <w:szCs w:val="24"/>
          <w:highlight w:val="none"/>
        </w:rPr>
        <w:t>1.1.3承包人：</w:t>
      </w:r>
    </w:p>
    <w:p w14:paraId="1F981DCB">
      <w:pPr>
        <w:spacing w:line="540" w:lineRule="exact"/>
        <w:rPr>
          <w:rFonts w:ascii="宋体" w:hAnsi="宋体" w:cs="楷体"/>
          <w:sz w:val="24"/>
          <w:szCs w:val="24"/>
          <w:highlight w:val="none"/>
          <w:u w:val="single"/>
        </w:rPr>
      </w:pPr>
      <w:r>
        <w:rPr>
          <w:rFonts w:hint="eastAsia" w:ascii="宋体" w:hAnsi="宋体" w:cs="楷体"/>
          <w:sz w:val="24"/>
          <w:szCs w:val="24"/>
          <w:highlight w:val="none"/>
        </w:rPr>
        <w:t>1.1.2.4监理人：</w:t>
      </w:r>
    </w:p>
    <w:p w14:paraId="464F9712">
      <w:pPr>
        <w:spacing w:line="540" w:lineRule="exact"/>
        <w:rPr>
          <w:rFonts w:ascii="宋体" w:hAnsi="宋体" w:cs="楷体"/>
          <w:sz w:val="24"/>
          <w:szCs w:val="24"/>
          <w:highlight w:val="none"/>
          <w:u w:val="single"/>
        </w:rPr>
      </w:pPr>
      <w:r>
        <w:rPr>
          <w:rFonts w:hint="eastAsia" w:ascii="宋体" w:hAnsi="宋体" w:cs="楷体"/>
          <w:sz w:val="24"/>
          <w:szCs w:val="24"/>
          <w:highlight w:val="none"/>
        </w:rPr>
        <w:t>1.1.2.5 设计人：</w:t>
      </w:r>
    </w:p>
    <w:p w14:paraId="17363998">
      <w:pPr>
        <w:spacing w:line="540" w:lineRule="exact"/>
        <w:rPr>
          <w:rFonts w:ascii="宋体" w:hAnsi="宋体" w:cs="楷体"/>
          <w:sz w:val="24"/>
          <w:szCs w:val="24"/>
          <w:highlight w:val="none"/>
        </w:rPr>
      </w:pPr>
      <w:r>
        <w:rPr>
          <w:rFonts w:hint="eastAsia" w:ascii="宋体" w:hAnsi="宋体" w:cs="楷体"/>
          <w:sz w:val="24"/>
          <w:szCs w:val="24"/>
          <w:highlight w:val="none"/>
        </w:rPr>
        <w:t>1.1.3 工程和设备</w:t>
      </w:r>
    </w:p>
    <w:p w14:paraId="731CE48B">
      <w:pPr>
        <w:spacing w:line="540" w:lineRule="exact"/>
        <w:rPr>
          <w:rFonts w:ascii="宋体" w:hAnsi="宋体" w:cs="楷体"/>
          <w:sz w:val="24"/>
          <w:szCs w:val="24"/>
          <w:highlight w:val="none"/>
        </w:rPr>
      </w:pPr>
      <w:r>
        <w:rPr>
          <w:rFonts w:hint="eastAsia" w:ascii="宋体" w:hAnsi="宋体" w:cs="楷体"/>
          <w:sz w:val="24"/>
          <w:szCs w:val="24"/>
          <w:highlight w:val="none"/>
        </w:rPr>
        <w:t>1.1.3.7 作为施工现场组成部分的其他场所包括：。</w:t>
      </w:r>
    </w:p>
    <w:p w14:paraId="466A6792">
      <w:pPr>
        <w:spacing w:line="540" w:lineRule="exact"/>
        <w:rPr>
          <w:rFonts w:ascii="宋体" w:hAnsi="宋体" w:cs="楷体"/>
          <w:sz w:val="24"/>
          <w:szCs w:val="24"/>
          <w:highlight w:val="none"/>
        </w:rPr>
      </w:pPr>
      <w:r>
        <w:rPr>
          <w:rFonts w:hint="eastAsia" w:ascii="宋体" w:hAnsi="宋体" w:cs="楷体"/>
          <w:sz w:val="24"/>
          <w:szCs w:val="24"/>
          <w:highlight w:val="none"/>
        </w:rPr>
        <w:t>1.1.3.9 永久占地包括：。</w:t>
      </w:r>
    </w:p>
    <w:p w14:paraId="17ACA5A6">
      <w:pPr>
        <w:spacing w:line="540" w:lineRule="exact"/>
        <w:rPr>
          <w:rFonts w:ascii="宋体" w:hAnsi="宋体" w:cs="楷体"/>
          <w:sz w:val="24"/>
          <w:szCs w:val="24"/>
          <w:highlight w:val="none"/>
        </w:rPr>
      </w:pPr>
      <w:r>
        <w:rPr>
          <w:rFonts w:hint="eastAsia" w:ascii="宋体" w:hAnsi="宋体" w:cs="楷体"/>
          <w:sz w:val="24"/>
          <w:szCs w:val="24"/>
          <w:highlight w:val="none"/>
        </w:rPr>
        <w:t>1.1.3.10临时占地包括：。</w:t>
      </w:r>
    </w:p>
    <w:p w14:paraId="39B913FD">
      <w:pPr>
        <w:spacing w:line="540" w:lineRule="exact"/>
        <w:rPr>
          <w:rFonts w:ascii="宋体" w:hAnsi="宋体" w:cs="楷体"/>
          <w:sz w:val="24"/>
          <w:szCs w:val="24"/>
          <w:highlight w:val="none"/>
        </w:rPr>
      </w:pPr>
      <w:r>
        <w:rPr>
          <w:rFonts w:hint="eastAsia" w:ascii="宋体" w:hAnsi="宋体" w:cs="楷体"/>
          <w:b/>
          <w:bCs/>
          <w:sz w:val="24"/>
          <w:szCs w:val="24"/>
          <w:highlight w:val="none"/>
        </w:rPr>
        <w:t>1.3</w:t>
      </w:r>
      <w:r>
        <w:rPr>
          <w:rFonts w:hint="eastAsia" w:ascii="宋体" w:hAnsi="宋体" w:cs="楷体"/>
          <w:sz w:val="24"/>
          <w:szCs w:val="24"/>
          <w:highlight w:val="none"/>
        </w:rPr>
        <w:t xml:space="preserve">法律 </w:t>
      </w:r>
    </w:p>
    <w:p w14:paraId="6E819D8D">
      <w:pPr>
        <w:autoSpaceDE w:val="0"/>
        <w:autoSpaceDN w:val="0"/>
        <w:spacing w:line="540" w:lineRule="exact"/>
        <w:rPr>
          <w:rFonts w:ascii="宋体" w:hAnsi="宋体" w:cs="楷体"/>
          <w:sz w:val="24"/>
          <w:szCs w:val="24"/>
          <w:highlight w:val="none"/>
          <w:u w:val="single"/>
        </w:rPr>
      </w:pPr>
      <w:r>
        <w:rPr>
          <w:rFonts w:hint="eastAsia" w:ascii="宋体" w:hAnsi="宋体" w:cs="楷体"/>
          <w:sz w:val="24"/>
          <w:szCs w:val="24"/>
          <w:highlight w:val="none"/>
        </w:rPr>
        <w:t>适用于合同的其他规范性文件：</w:t>
      </w:r>
      <w:r>
        <w:rPr>
          <w:rFonts w:hint="eastAsia" w:ascii="宋体" w:hAnsi="宋体" w:cs="楷体"/>
          <w:sz w:val="24"/>
          <w:szCs w:val="24"/>
          <w:highlight w:val="none"/>
          <w:u w:val="single"/>
        </w:rPr>
        <w:t xml:space="preserve"> 国家规定的现行法律法规及河南省、三门峡市相关法律法规  </w:t>
      </w:r>
      <w:r>
        <w:rPr>
          <w:rFonts w:hint="eastAsia" w:ascii="宋体" w:hAnsi="宋体" w:cs="楷体"/>
          <w:sz w:val="24"/>
          <w:szCs w:val="24"/>
          <w:highlight w:val="none"/>
        </w:rPr>
        <w:t>。</w:t>
      </w:r>
    </w:p>
    <w:p w14:paraId="0965ABF4">
      <w:pPr>
        <w:spacing w:line="540" w:lineRule="exact"/>
        <w:rPr>
          <w:rFonts w:ascii="宋体" w:hAnsi="宋体" w:cs="楷体"/>
          <w:sz w:val="24"/>
          <w:szCs w:val="24"/>
          <w:highlight w:val="none"/>
        </w:rPr>
      </w:pPr>
      <w:r>
        <w:rPr>
          <w:rFonts w:hint="eastAsia" w:ascii="宋体" w:hAnsi="宋体" w:cs="楷体"/>
          <w:b/>
          <w:bCs/>
          <w:sz w:val="24"/>
          <w:szCs w:val="24"/>
          <w:highlight w:val="none"/>
        </w:rPr>
        <w:t xml:space="preserve">1.4 </w:t>
      </w:r>
      <w:r>
        <w:rPr>
          <w:rFonts w:hint="eastAsia" w:ascii="宋体" w:hAnsi="宋体" w:cs="楷体"/>
          <w:sz w:val="24"/>
          <w:szCs w:val="24"/>
          <w:highlight w:val="none"/>
        </w:rPr>
        <w:t>标准和规范</w:t>
      </w:r>
    </w:p>
    <w:p w14:paraId="11780565">
      <w:pPr>
        <w:spacing w:line="540" w:lineRule="exact"/>
        <w:rPr>
          <w:rFonts w:ascii="宋体" w:hAnsi="宋体" w:cs="楷体"/>
          <w:sz w:val="24"/>
          <w:szCs w:val="24"/>
          <w:highlight w:val="none"/>
        </w:rPr>
      </w:pPr>
      <w:r>
        <w:rPr>
          <w:rFonts w:hint="eastAsia" w:ascii="宋体" w:hAnsi="宋体" w:cs="楷体"/>
          <w:sz w:val="24"/>
          <w:szCs w:val="24"/>
          <w:highlight w:val="none"/>
        </w:rPr>
        <w:t>1.4.1适用于工程的标准规范包括：</w:t>
      </w:r>
      <w:r>
        <w:rPr>
          <w:rFonts w:hint="eastAsia" w:ascii="宋体" w:hAnsi="宋体" w:cs="楷体"/>
          <w:sz w:val="24"/>
          <w:szCs w:val="24"/>
          <w:highlight w:val="none"/>
          <w:u w:val="single"/>
        </w:rPr>
        <w:t xml:space="preserve"> 国家规定的现行法律法规及河南省、三门峡市相关法律法规  </w:t>
      </w:r>
      <w:r>
        <w:rPr>
          <w:rFonts w:hint="eastAsia" w:ascii="宋体" w:hAnsi="宋体" w:cs="楷体"/>
          <w:sz w:val="24"/>
          <w:szCs w:val="24"/>
          <w:highlight w:val="none"/>
        </w:rPr>
        <w:t>。</w:t>
      </w:r>
    </w:p>
    <w:p w14:paraId="4F17D9C6">
      <w:pPr>
        <w:spacing w:line="540" w:lineRule="exact"/>
        <w:rPr>
          <w:rFonts w:ascii="宋体" w:hAnsi="宋体" w:cs="楷体"/>
          <w:sz w:val="24"/>
          <w:szCs w:val="24"/>
          <w:highlight w:val="none"/>
          <w:u w:val="single"/>
        </w:rPr>
      </w:pPr>
      <w:r>
        <w:rPr>
          <w:rFonts w:hint="eastAsia" w:ascii="宋体" w:hAnsi="宋体" w:cs="楷体"/>
          <w:sz w:val="24"/>
          <w:szCs w:val="24"/>
          <w:highlight w:val="none"/>
        </w:rPr>
        <w:t>1.4.2发包人提供国外标准、规范的名称：</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5EF5122E">
      <w:pPr>
        <w:spacing w:line="540" w:lineRule="exact"/>
        <w:rPr>
          <w:rFonts w:ascii="宋体" w:hAnsi="宋体" w:cs="楷体"/>
          <w:sz w:val="24"/>
          <w:szCs w:val="24"/>
          <w:highlight w:val="none"/>
        </w:rPr>
      </w:pPr>
      <w:r>
        <w:rPr>
          <w:rFonts w:hint="eastAsia" w:ascii="宋体" w:hAnsi="宋体" w:cs="楷体"/>
          <w:sz w:val="24"/>
          <w:szCs w:val="24"/>
          <w:highlight w:val="none"/>
        </w:rPr>
        <w:t>发包人提供国外标准、规范的份数：</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6BD64DE">
      <w:pPr>
        <w:spacing w:line="540" w:lineRule="exact"/>
        <w:rPr>
          <w:rFonts w:ascii="宋体" w:hAnsi="宋体" w:cs="楷体"/>
          <w:sz w:val="24"/>
          <w:szCs w:val="24"/>
          <w:highlight w:val="none"/>
        </w:rPr>
      </w:pPr>
      <w:r>
        <w:rPr>
          <w:rFonts w:hint="eastAsia" w:ascii="宋体" w:hAnsi="宋体" w:cs="楷体"/>
          <w:sz w:val="24"/>
          <w:szCs w:val="24"/>
          <w:highlight w:val="none"/>
        </w:rPr>
        <w:t>发包人提供国外标准、规范的名称：</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58E45AEB">
      <w:pPr>
        <w:spacing w:line="540" w:lineRule="exact"/>
        <w:rPr>
          <w:rFonts w:ascii="宋体" w:hAnsi="宋体" w:cs="楷体"/>
          <w:sz w:val="24"/>
          <w:szCs w:val="24"/>
          <w:highlight w:val="none"/>
        </w:rPr>
      </w:pPr>
      <w:r>
        <w:rPr>
          <w:rFonts w:hint="eastAsia" w:ascii="宋体" w:hAnsi="宋体" w:cs="楷体"/>
          <w:sz w:val="24"/>
          <w:szCs w:val="24"/>
          <w:highlight w:val="none"/>
        </w:rPr>
        <w:t>1.4.3发包人对工程的技术标准和功能要求的特殊要求：</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3B619D44">
      <w:pPr>
        <w:spacing w:line="540" w:lineRule="exact"/>
        <w:rPr>
          <w:rFonts w:ascii="宋体" w:hAnsi="宋体" w:cs="楷体"/>
          <w:sz w:val="24"/>
          <w:szCs w:val="24"/>
          <w:highlight w:val="none"/>
        </w:rPr>
      </w:pPr>
      <w:r>
        <w:rPr>
          <w:rFonts w:hint="eastAsia" w:ascii="宋体" w:hAnsi="宋体" w:cs="楷体"/>
          <w:b/>
          <w:bCs/>
          <w:sz w:val="24"/>
          <w:szCs w:val="24"/>
          <w:highlight w:val="none"/>
        </w:rPr>
        <w:t xml:space="preserve">1.5 </w:t>
      </w:r>
      <w:r>
        <w:rPr>
          <w:rFonts w:hint="eastAsia" w:ascii="宋体" w:hAnsi="宋体" w:cs="楷体"/>
          <w:sz w:val="24"/>
          <w:szCs w:val="24"/>
          <w:highlight w:val="none"/>
        </w:rPr>
        <w:t>合同文件的优先顺序</w:t>
      </w:r>
    </w:p>
    <w:p w14:paraId="4EA77153">
      <w:pPr>
        <w:spacing w:line="540" w:lineRule="exact"/>
        <w:rPr>
          <w:rFonts w:ascii="宋体" w:hAnsi="宋体" w:cs="楷体"/>
          <w:sz w:val="24"/>
          <w:szCs w:val="24"/>
          <w:highlight w:val="none"/>
        </w:rPr>
      </w:pPr>
      <w:r>
        <w:rPr>
          <w:rFonts w:hint="eastAsia" w:ascii="宋体" w:hAnsi="宋体" w:cs="楷体"/>
          <w:sz w:val="24"/>
          <w:szCs w:val="24"/>
          <w:highlight w:val="none"/>
        </w:rPr>
        <w:t>合同文件组成及优先顺序为：</w:t>
      </w:r>
      <w:r>
        <w:rPr>
          <w:rFonts w:hint="eastAsia" w:ascii="宋体" w:hAnsi="宋体" w:cs="楷体"/>
          <w:sz w:val="24"/>
          <w:szCs w:val="24"/>
          <w:highlight w:val="none"/>
          <w:u w:val="single"/>
        </w:rPr>
        <w:t xml:space="preserve">   按通用条款第1.5款执行            </w:t>
      </w:r>
      <w:r>
        <w:rPr>
          <w:rFonts w:hint="eastAsia" w:ascii="宋体" w:hAnsi="宋体" w:cs="楷体"/>
          <w:sz w:val="24"/>
          <w:szCs w:val="24"/>
          <w:highlight w:val="none"/>
        </w:rPr>
        <w:t>。</w:t>
      </w:r>
    </w:p>
    <w:p w14:paraId="1BA86A3A">
      <w:pPr>
        <w:spacing w:line="540" w:lineRule="exact"/>
        <w:rPr>
          <w:rFonts w:ascii="宋体" w:hAnsi="宋体" w:cs="楷体"/>
          <w:sz w:val="24"/>
          <w:szCs w:val="24"/>
          <w:highlight w:val="none"/>
        </w:rPr>
      </w:pPr>
      <w:r>
        <w:rPr>
          <w:rFonts w:hint="eastAsia" w:ascii="宋体" w:hAnsi="宋体" w:cs="楷体"/>
          <w:b/>
          <w:bCs/>
          <w:sz w:val="24"/>
          <w:szCs w:val="24"/>
          <w:highlight w:val="none"/>
        </w:rPr>
        <w:t>1.6</w:t>
      </w:r>
      <w:r>
        <w:rPr>
          <w:rFonts w:hint="eastAsia" w:ascii="宋体" w:hAnsi="宋体" w:cs="楷体"/>
          <w:sz w:val="24"/>
          <w:szCs w:val="24"/>
          <w:highlight w:val="none"/>
        </w:rPr>
        <w:t xml:space="preserve"> 图纸和承包人文件</w:t>
      </w:r>
      <w:r>
        <w:rPr>
          <w:rFonts w:hint="eastAsia" w:ascii="宋体" w:hAnsi="宋体" w:cs="楷体"/>
          <w:sz w:val="24"/>
          <w:szCs w:val="24"/>
          <w:highlight w:val="none"/>
        </w:rPr>
        <w:tab/>
      </w:r>
    </w:p>
    <w:p w14:paraId="2F1BB7C7">
      <w:pPr>
        <w:spacing w:line="540" w:lineRule="exact"/>
        <w:rPr>
          <w:rFonts w:ascii="宋体" w:hAnsi="宋体" w:cs="楷体"/>
          <w:sz w:val="24"/>
          <w:szCs w:val="24"/>
          <w:highlight w:val="none"/>
        </w:rPr>
      </w:pPr>
      <w:r>
        <w:rPr>
          <w:rFonts w:hint="eastAsia" w:ascii="宋体" w:hAnsi="宋体" w:cs="楷体"/>
          <w:sz w:val="24"/>
          <w:szCs w:val="24"/>
          <w:highlight w:val="none"/>
        </w:rPr>
        <w:t>1.6.1 图纸的提供</w:t>
      </w:r>
    </w:p>
    <w:p w14:paraId="7D6EFED0">
      <w:pPr>
        <w:spacing w:line="540" w:lineRule="exact"/>
        <w:rPr>
          <w:rFonts w:ascii="宋体" w:hAnsi="宋体" w:cs="楷体"/>
          <w:sz w:val="24"/>
          <w:szCs w:val="24"/>
          <w:highlight w:val="none"/>
        </w:rPr>
      </w:pPr>
      <w:r>
        <w:rPr>
          <w:rFonts w:hint="eastAsia" w:ascii="宋体" w:hAnsi="宋体" w:cs="楷体"/>
          <w:sz w:val="24"/>
          <w:szCs w:val="24"/>
          <w:highlight w:val="none"/>
        </w:rPr>
        <w:t>发包人向承包人提供图纸的期限：</w:t>
      </w:r>
      <w:r>
        <w:rPr>
          <w:rFonts w:hint="eastAsia" w:ascii="宋体" w:hAnsi="宋体" w:cs="楷体"/>
          <w:sz w:val="24"/>
          <w:szCs w:val="24"/>
          <w:highlight w:val="none"/>
          <w:u w:val="single"/>
        </w:rPr>
        <w:t xml:space="preserve">   开工日期前14天         </w:t>
      </w:r>
      <w:r>
        <w:rPr>
          <w:rFonts w:hint="eastAsia" w:ascii="宋体" w:hAnsi="宋体" w:cs="楷体"/>
          <w:sz w:val="24"/>
          <w:szCs w:val="24"/>
          <w:highlight w:val="none"/>
        </w:rPr>
        <w:t>；</w:t>
      </w:r>
    </w:p>
    <w:p w14:paraId="2D1A0B3B">
      <w:pPr>
        <w:spacing w:line="540" w:lineRule="exact"/>
        <w:rPr>
          <w:rFonts w:ascii="宋体" w:hAnsi="宋体" w:cs="楷体"/>
          <w:sz w:val="24"/>
          <w:szCs w:val="24"/>
          <w:highlight w:val="none"/>
        </w:rPr>
      </w:pPr>
      <w:r>
        <w:rPr>
          <w:rFonts w:hint="eastAsia" w:ascii="宋体" w:hAnsi="宋体" w:cs="楷体"/>
          <w:sz w:val="24"/>
          <w:szCs w:val="24"/>
          <w:highlight w:val="none"/>
        </w:rPr>
        <w:t>发包人向承包人提供图纸的数量：</w:t>
      </w:r>
      <w:r>
        <w:rPr>
          <w:rFonts w:hint="eastAsia" w:ascii="宋体" w:hAnsi="宋体" w:cs="楷体"/>
          <w:sz w:val="24"/>
          <w:szCs w:val="24"/>
          <w:highlight w:val="none"/>
          <w:u w:val="single"/>
        </w:rPr>
        <w:t xml:space="preserve">   叁套（其中加盖公章 壹套）  </w:t>
      </w:r>
    </w:p>
    <w:p w14:paraId="72D83661">
      <w:pPr>
        <w:spacing w:line="540" w:lineRule="exact"/>
        <w:rPr>
          <w:rFonts w:ascii="宋体" w:hAnsi="宋体" w:cs="楷体"/>
          <w:sz w:val="24"/>
          <w:szCs w:val="24"/>
          <w:highlight w:val="none"/>
        </w:rPr>
      </w:pPr>
      <w:r>
        <w:rPr>
          <w:rFonts w:hint="eastAsia" w:ascii="宋体" w:hAnsi="宋体" w:cs="楷体"/>
          <w:sz w:val="24"/>
          <w:szCs w:val="24"/>
          <w:highlight w:val="none"/>
        </w:rPr>
        <w:t>发包人向承包人提供图纸的内容：</w:t>
      </w:r>
      <w:r>
        <w:rPr>
          <w:rFonts w:hint="eastAsia" w:ascii="宋体" w:hAnsi="宋体" w:cs="楷体"/>
          <w:sz w:val="24"/>
          <w:szCs w:val="24"/>
          <w:highlight w:val="none"/>
          <w:u w:val="single"/>
        </w:rPr>
        <w:t xml:space="preserve"> 本合同发包内容中的全部图纸     </w:t>
      </w:r>
      <w:r>
        <w:rPr>
          <w:rFonts w:hint="eastAsia" w:ascii="宋体" w:hAnsi="宋体" w:cs="楷体"/>
          <w:sz w:val="24"/>
          <w:szCs w:val="24"/>
          <w:highlight w:val="none"/>
        </w:rPr>
        <w:t>。</w:t>
      </w:r>
    </w:p>
    <w:p w14:paraId="1DC4B795">
      <w:pPr>
        <w:spacing w:line="540" w:lineRule="exact"/>
        <w:rPr>
          <w:rFonts w:ascii="宋体" w:hAnsi="宋体" w:cs="楷体"/>
          <w:sz w:val="24"/>
          <w:szCs w:val="24"/>
          <w:highlight w:val="none"/>
        </w:rPr>
      </w:pPr>
      <w:r>
        <w:rPr>
          <w:rFonts w:hint="eastAsia" w:ascii="宋体" w:hAnsi="宋体" w:cs="楷体"/>
          <w:sz w:val="24"/>
          <w:szCs w:val="24"/>
          <w:highlight w:val="none"/>
        </w:rPr>
        <w:t>1.6.4 承包人文件</w:t>
      </w:r>
    </w:p>
    <w:p w14:paraId="083CB692">
      <w:pPr>
        <w:spacing w:line="540" w:lineRule="exact"/>
        <w:rPr>
          <w:rFonts w:ascii="宋体" w:hAnsi="宋体" w:cs="楷体"/>
          <w:sz w:val="24"/>
          <w:szCs w:val="24"/>
          <w:highlight w:val="none"/>
        </w:rPr>
      </w:pPr>
      <w:r>
        <w:rPr>
          <w:rFonts w:hint="eastAsia" w:ascii="宋体" w:hAnsi="宋体" w:cs="楷体"/>
          <w:sz w:val="24"/>
          <w:szCs w:val="24"/>
          <w:highlight w:val="none"/>
        </w:rPr>
        <w:t>需要由承包人提供的文件，包括：</w:t>
      </w:r>
      <w:r>
        <w:rPr>
          <w:rFonts w:hint="eastAsia" w:ascii="宋体" w:hAnsi="宋体" w:cs="楷体"/>
          <w:sz w:val="24"/>
          <w:szCs w:val="24"/>
          <w:highlight w:val="none"/>
          <w:u w:val="single"/>
        </w:rPr>
        <w:t xml:space="preserve"> 开工前三天应提供完善的施工组织设计和安全专项方案，每月25日前提供下月完成工程量报表、月进度报表等    </w:t>
      </w:r>
      <w:r>
        <w:rPr>
          <w:rFonts w:hint="eastAsia" w:ascii="宋体" w:hAnsi="宋体" w:cs="楷体"/>
          <w:sz w:val="24"/>
          <w:szCs w:val="24"/>
          <w:highlight w:val="none"/>
        </w:rPr>
        <w:t>；</w:t>
      </w:r>
    </w:p>
    <w:p w14:paraId="50987387">
      <w:pPr>
        <w:spacing w:line="540" w:lineRule="exact"/>
        <w:rPr>
          <w:rFonts w:ascii="宋体" w:hAnsi="宋体" w:cs="楷体"/>
          <w:sz w:val="24"/>
          <w:szCs w:val="24"/>
          <w:highlight w:val="none"/>
        </w:rPr>
      </w:pPr>
      <w:r>
        <w:rPr>
          <w:rFonts w:hint="eastAsia" w:ascii="宋体" w:hAnsi="宋体" w:cs="楷体"/>
          <w:sz w:val="24"/>
          <w:szCs w:val="24"/>
          <w:highlight w:val="none"/>
        </w:rPr>
        <w:t>承包人提供的文件的数量为：</w:t>
      </w:r>
      <w:r>
        <w:rPr>
          <w:rFonts w:hint="eastAsia" w:ascii="宋体" w:hAnsi="宋体" w:cs="楷体"/>
          <w:sz w:val="24"/>
          <w:szCs w:val="24"/>
          <w:highlight w:val="none"/>
          <w:u w:val="single"/>
        </w:rPr>
        <w:t xml:space="preserve"> 视发包人需求    </w:t>
      </w:r>
      <w:r>
        <w:rPr>
          <w:rFonts w:hint="eastAsia" w:ascii="宋体" w:hAnsi="宋体" w:cs="楷体"/>
          <w:sz w:val="24"/>
          <w:szCs w:val="24"/>
          <w:highlight w:val="none"/>
        </w:rPr>
        <w:t>；</w:t>
      </w:r>
    </w:p>
    <w:p w14:paraId="4289C5FF">
      <w:pPr>
        <w:spacing w:line="540" w:lineRule="exact"/>
        <w:rPr>
          <w:rFonts w:ascii="宋体" w:hAnsi="宋体" w:cs="楷体"/>
          <w:sz w:val="24"/>
          <w:szCs w:val="24"/>
          <w:highlight w:val="none"/>
        </w:rPr>
      </w:pPr>
      <w:r>
        <w:rPr>
          <w:rFonts w:hint="eastAsia" w:ascii="宋体" w:hAnsi="宋体" w:cs="楷体"/>
          <w:sz w:val="24"/>
          <w:szCs w:val="24"/>
          <w:highlight w:val="none"/>
        </w:rPr>
        <w:t>承包人提供的文件的形式为：</w:t>
      </w:r>
      <w:r>
        <w:rPr>
          <w:rFonts w:hint="eastAsia" w:ascii="宋体" w:hAnsi="宋体" w:cs="楷体"/>
          <w:sz w:val="24"/>
          <w:szCs w:val="24"/>
          <w:highlight w:val="none"/>
          <w:u w:val="single"/>
        </w:rPr>
        <w:t xml:space="preserve">   书面形式     </w:t>
      </w:r>
      <w:r>
        <w:rPr>
          <w:rFonts w:hint="eastAsia" w:ascii="宋体" w:hAnsi="宋体" w:cs="楷体"/>
          <w:sz w:val="24"/>
          <w:szCs w:val="24"/>
          <w:highlight w:val="none"/>
        </w:rPr>
        <w:t>；</w:t>
      </w:r>
    </w:p>
    <w:p w14:paraId="001260BE">
      <w:pPr>
        <w:spacing w:line="540" w:lineRule="exact"/>
        <w:rPr>
          <w:rFonts w:ascii="宋体" w:hAnsi="宋体" w:cs="楷体"/>
          <w:sz w:val="24"/>
          <w:szCs w:val="24"/>
          <w:highlight w:val="none"/>
        </w:rPr>
      </w:pPr>
      <w:r>
        <w:rPr>
          <w:rFonts w:hint="eastAsia" w:ascii="宋体" w:hAnsi="宋体" w:cs="楷体"/>
          <w:sz w:val="24"/>
          <w:szCs w:val="24"/>
          <w:highlight w:val="none"/>
        </w:rPr>
        <w:t>发包人审批承包人文件的期限：</w:t>
      </w:r>
      <w:r>
        <w:rPr>
          <w:rFonts w:hint="eastAsia" w:ascii="宋体" w:hAnsi="宋体" w:cs="楷体"/>
          <w:sz w:val="24"/>
          <w:szCs w:val="24"/>
          <w:highlight w:val="none"/>
          <w:u w:val="single"/>
        </w:rPr>
        <w:t xml:space="preserve">    收到文件后7天内   </w:t>
      </w:r>
      <w:r>
        <w:rPr>
          <w:rFonts w:hint="eastAsia" w:ascii="宋体" w:hAnsi="宋体" w:cs="楷体"/>
          <w:sz w:val="24"/>
          <w:szCs w:val="24"/>
          <w:highlight w:val="none"/>
        </w:rPr>
        <w:t>。</w:t>
      </w:r>
    </w:p>
    <w:p w14:paraId="0D65BD93">
      <w:pPr>
        <w:spacing w:line="540" w:lineRule="exact"/>
        <w:rPr>
          <w:rFonts w:ascii="宋体" w:hAnsi="宋体" w:cs="楷体"/>
          <w:sz w:val="24"/>
          <w:szCs w:val="24"/>
          <w:highlight w:val="none"/>
        </w:rPr>
      </w:pPr>
      <w:r>
        <w:rPr>
          <w:rFonts w:hint="eastAsia" w:ascii="宋体" w:hAnsi="宋体" w:cs="楷体"/>
          <w:sz w:val="24"/>
          <w:szCs w:val="24"/>
          <w:highlight w:val="none"/>
        </w:rPr>
        <w:t>1.6.5 现场图纸准备</w:t>
      </w:r>
    </w:p>
    <w:p w14:paraId="7CD0C8DF">
      <w:pPr>
        <w:spacing w:line="540" w:lineRule="exact"/>
        <w:rPr>
          <w:rFonts w:ascii="宋体" w:hAnsi="宋体" w:cs="楷体"/>
          <w:sz w:val="24"/>
          <w:szCs w:val="24"/>
          <w:highlight w:val="none"/>
        </w:rPr>
      </w:pPr>
      <w:r>
        <w:rPr>
          <w:rFonts w:hint="eastAsia" w:ascii="宋体" w:hAnsi="宋体" w:cs="楷体"/>
          <w:sz w:val="24"/>
          <w:szCs w:val="24"/>
          <w:highlight w:val="none"/>
        </w:rPr>
        <w:t>关于现场图纸准备的约定：</w:t>
      </w:r>
      <w:r>
        <w:rPr>
          <w:rFonts w:hint="eastAsia" w:ascii="宋体" w:hAnsi="宋体" w:cs="楷体"/>
          <w:sz w:val="24"/>
          <w:szCs w:val="24"/>
          <w:highlight w:val="none"/>
          <w:u w:val="single"/>
        </w:rPr>
        <w:t xml:space="preserve">  施工现场准备一套完整图纸供发包人、监理人及有关人员使用  </w:t>
      </w:r>
      <w:r>
        <w:rPr>
          <w:rFonts w:hint="eastAsia" w:ascii="宋体" w:hAnsi="宋体" w:cs="楷体"/>
          <w:sz w:val="24"/>
          <w:szCs w:val="24"/>
          <w:highlight w:val="none"/>
        </w:rPr>
        <w:t>。</w:t>
      </w:r>
    </w:p>
    <w:p w14:paraId="610A674B">
      <w:pPr>
        <w:spacing w:line="540" w:lineRule="exact"/>
        <w:rPr>
          <w:rFonts w:ascii="宋体" w:hAnsi="宋体" w:cs="楷体"/>
          <w:sz w:val="24"/>
          <w:szCs w:val="24"/>
          <w:highlight w:val="none"/>
        </w:rPr>
      </w:pPr>
      <w:r>
        <w:rPr>
          <w:rFonts w:hint="eastAsia" w:ascii="宋体" w:hAnsi="宋体" w:cs="楷体"/>
          <w:b/>
          <w:bCs/>
          <w:sz w:val="24"/>
          <w:szCs w:val="24"/>
          <w:highlight w:val="none"/>
        </w:rPr>
        <w:t>1.7</w:t>
      </w:r>
      <w:r>
        <w:rPr>
          <w:rFonts w:hint="eastAsia" w:ascii="宋体" w:hAnsi="宋体" w:cs="楷体"/>
          <w:sz w:val="24"/>
          <w:szCs w:val="24"/>
          <w:highlight w:val="none"/>
        </w:rPr>
        <w:t xml:space="preserve"> 联络</w:t>
      </w:r>
    </w:p>
    <w:p w14:paraId="1C9EBF75">
      <w:pPr>
        <w:spacing w:line="540" w:lineRule="exact"/>
        <w:rPr>
          <w:rFonts w:ascii="宋体" w:hAnsi="宋体" w:cs="楷体"/>
          <w:sz w:val="24"/>
          <w:szCs w:val="24"/>
          <w:highlight w:val="none"/>
        </w:rPr>
      </w:pPr>
      <w:r>
        <w:rPr>
          <w:rFonts w:hint="eastAsia" w:ascii="宋体" w:hAnsi="宋体" w:cs="楷体"/>
          <w:sz w:val="24"/>
          <w:szCs w:val="24"/>
          <w:highlight w:val="none"/>
        </w:rPr>
        <w:t>1.7.1发包人和承包人应当在</w:t>
      </w:r>
      <w:r>
        <w:rPr>
          <w:rFonts w:hint="eastAsia" w:ascii="宋体" w:hAnsi="宋体" w:cs="楷体"/>
          <w:sz w:val="24"/>
          <w:szCs w:val="24"/>
          <w:highlight w:val="none"/>
          <w:u w:val="single"/>
        </w:rPr>
        <w:t xml:space="preserve"> 7 </w:t>
      </w:r>
      <w:r>
        <w:rPr>
          <w:rFonts w:hint="eastAsia" w:ascii="宋体" w:hAnsi="宋体" w:cs="楷体"/>
          <w:sz w:val="24"/>
          <w:szCs w:val="24"/>
          <w:highlight w:val="none"/>
        </w:rPr>
        <w:t>天内将与合同有关的通知、批准、证明、证书、指示、指令、要求、请求、同意、意见、确定和决定等书面函件送达对方当事人。</w:t>
      </w:r>
    </w:p>
    <w:p w14:paraId="37CA89C9">
      <w:pPr>
        <w:spacing w:line="540" w:lineRule="exact"/>
        <w:rPr>
          <w:rFonts w:ascii="宋体" w:hAnsi="宋体" w:cs="楷体"/>
          <w:sz w:val="24"/>
          <w:szCs w:val="24"/>
          <w:highlight w:val="none"/>
        </w:rPr>
      </w:pPr>
      <w:r>
        <w:rPr>
          <w:rFonts w:hint="eastAsia" w:ascii="宋体" w:hAnsi="宋体" w:cs="楷体"/>
          <w:sz w:val="24"/>
          <w:szCs w:val="24"/>
          <w:highlight w:val="none"/>
        </w:rPr>
        <w:t>1.7.2 发包人接收文件的地点：；</w:t>
      </w:r>
    </w:p>
    <w:p w14:paraId="7A7F2AFD">
      <w:pPr>
        <w:spacing w:line="540" w:lineRule="exact"/>
        <w:rPr>
          <w:rFonts w:ascii="宋体" w:hAnsi="宋体" w:cs="楷体"/>
          <w:sz w:val="24"/>
          <w:szCs w:val="24"/>
          <w:highlight w:val="none"/>
        </w:rPr>
      </w:pPr>
      <w:r>
        <w:rPr>
          <w:rFonts w:hint="eastAsia" w:ascii="宋体" w:hAnsi="宋体" w:cs="楷体"/>
          <w:sz w:val="24"/>
          <w:szCs w:val="24"/>
          <w:highlight w:val="none"/>
        </w:rPr>
        <w:t>发包人指定的接收人为：。</w:t>
      </w:r>
    </w:p>
    <w:p w14:paraId="5859C05D">
      <w:pPr>
        <w:spacing w:line="540" w:lineRule="exact"/>
        <w:rPr>
          <w:rFonts w:ascii="宋体" w:hAnsi="宋体" w:cs="楷体"/>
          <w:sz w:val="24"/>
          <w:szCs w:val="24"/>
          <w:highlight w:val="none"/>
        </w:rPr>
      </w:pPr>
      <w:r>
        <w:rPr>
          <w:rFonts w:hint="eastAsia" w:ascii="宋体" w:hAnsi="宋体" w:cs="楷体"/>
          <w:sz w:val="24"/>
          <w:szCs w:val="24"/>
          <w:highlight w:val="none"/>
        </w:rPr>
        <w:t>承包人接收文件的地点：；</w:t>
      </w:r>
    </w:p>
    <w:p w14:paraId="2266B31D">
      <w:pPr>
        <w:spacing w:line="540" w:lineRule="exact"/>
        <w:rPr>
          <w:rFonts w:ascii="宋体" w:hAnsi="宋体" w:cs="楷体"/>
          <w:sz w:val="24"/>
          <w:szCs w:val="24"/>
          <w:highlight w:val="none"/>
        </w:rPr>
      </w:pPr>
      <w:r>
        <w:rPr>
          <w:rFonts w:hint="eastAsia" w:ascii="宋体" w:hAnsi="宋体" w:cs="楷体"/>
          <w:sz w:val="24"/>
          <w:szCs w:val="24"/>
          <w:highlight w:val="none"/>
        </w:rPr>
        <w:t>承包人指定的接收人为：。</w:t>
      </w:r>
    </w:p>
    <w:p w14:paraId="6A6456F3">
      <w:pPr>
        <w:spacing w:line="540" w:lineRule="exact"/>
        <w:rPr>
          <w:rFonts w:ascii="宋体" w:hAnsi="宋体" w:cs="楷体"/>
          <w:sz w:val="24"/>
          <w:szCs w:val="24"/>
          <w:highlight w:val="none"/>
        </w:rPr>
      </w:pPr>
      <w:r>
        <w:rPr>
          <w:rFonts w:hint="eastAsia" w:ascii="宋体" w:hAnsi="宋体" w:cs="楷体"/>
          <w:sz w:val="24"/>
          <w:szCs w:val="24"/>
          <w:highlight w:val="none"/>
        </w:rPr>
        <w:t>监理人接收文件的地点：；</w:t>
      </w:r>
    </w:p>
    <w:p w14:paraId="597843A4">
      <w:pPr>
        <w:spacing w:line="540" w:lineRule="exact"/>
        <w:rPr>
          <w:rFonts w:ascii="宋体" w:hAnsi="宋体" w:cs="楷体"/>
          <w:sz w:val="24"/>
          <w:szCs w:val="24"/>
          <w:highlight w:val="none"/>
        </w:rPr>
      </w:pPr>
      <w:r>
        <w:rPr>
          <w:rFonts w:hint="eastAsia" w:ascii="宋体" w:hAnsi="宋体" w:cs="楷体"/>
          <w:sz w:val="24"/>
          <w:szCs w:val="24"/>
          <w:highlight w:val="none"/>
        </w:rPr>
        <w:t>监理人指定的接收人为：。</w:t>
      </w:r>
    </w:p>
    <w:p w14:paraId="334D9BDB">
      <w:pPr>
        <w:spacing w:line="540" w:lineRule="exact"/>
        <w:rPr>
          <w:rFonts w:ascii="宋体" w:hAnsi="宋体" w:cs="楷体"/>
          <w:sz w:val="24"/>
          <w:szCs w:val="24"/>
          <w:highlight w:val="none"/>
        </w:rPr>
      </w:pPr>
      <w:r>
        <w:rPr>
          <w:rFonts w:hint="eastAsia" w:ascii="宋体" w:hAnsi="宋体" w:cs="楷体"/>
          <w:b/>
          <w:bCs/>
          <w:sz w:val="24"/>
          <w:szCs w:val="24"/>
          <w:highlight w:val="none"/>
        </w:rPr>
        <w:t>1.10</w:t>
      </w:r>
      <w:r>
        <w:rPr>
          <w:rFonts w:hint="eastAsia" w:ascii="宋体" w:hAnsi="宋体" w:cs="楷体"/>
          <w:sz w:val="24"/>
          <w:szCs w:val="24"/>
          <w:highlight w:val="none"/>
        </w:rPr>
        <w:t xml:space="preserve"> 交通运输</w:t>
      </w:r>
    </w:p>
    <w:p w14:paraId="20342F2D">
      <w:pPr>
        <w:spacing w:line="540" w:lineRule="exact"/>
        <w:rPr>
          <w:rFonts w:ascii="宋体" w:hAnsi="宋体" w:cs="楷体"/>
          <w:sz w:val="24"/>
          <w:szCs w:val="24"/>
          <w:highlight w:val="none"/>
        </w:rPr>
      </w:pPr>
      <w:r>
        <w:rPr>
          <w:rFonts w:hint="eastAsia" w:ascii="宋体" w:hAnsi="宋体" w:cs="楷体"/>
          <w:sz w:val="24"/>
          <w:szCs w:val="24"/>
          <w:highlight w:val="none"/>
        </w:rPr>
        <w:t>1</w:t>
      </w:r>
      <w:bookmarkStart w:id="494" w:name="_Toc300934943"/>
      <w:bookmarkEnd w:id="494"/>
      <w:bookmarkStart w:id="495" w:name="_Toc304295521"/>
      <w:bookmarkEnd w:id="495"/>
      <w:bookmarkStart w:id="496" w:name="_Toc303539100"/>
      <w:bookmarkEnd w:id="496"/>
      <w:bookmarkStart w:id="497" w:name="_Toc312677986"/>
      <w:bookmarkEnd w:id="497"/>
      <w:bookmarkStart w:id="498" w:name="_Toc318581155"/>
      <w:r>
        <w:rPr>
          <w:rFonts w:hint="eastAsia" w:ascii="宋体" w:hAnsi="宋体" w:cs="楷体"/>
          <w:sz w:val="24"/>
          <w:szCs w:val="24"/>
          <w:highlight w:val="none"/>
        </w:rPr>
        <w:t>.10.1 出入现场的权利</w:t>
      </w:r>
      <w:bookmarkEnd w:id="498"/>
    </w:p>
    <w:p w14:paraId="7F2629AE">
      <w:pPr>
        <w:spacing w:line="540" w:lineRule="exact"/>
        <w:rPr>
          <w:rFonts w:ascii="宋体" w:hAnsi="宋体" w:cs="楷体"/>
          <w:sz w:val="24"/>
          <w:szCs w:val="24"/>
          <w:highlight w:val="none"/>
        </w:rPr>
      </w:pPr>
      <w:r>
        <w:rPr>
          <w:rFonts w:hint="eastAsia" w:ascii="宋体" w:hAnsi="宋体" w:cs="楷体"/>
          <w:sz w:val="24"/>
          <w:szCs w:val="24"/>
          <w:highlight w:val="none"/>
        </w:rPr>
        <w:t>关于出入现场的权利的约定：</w:t>
      </w:r>
      <w:r>
        <w:rPr>
          <w:rFonts w:hint="eastAsia" w:ascii="宋体" w:hAnsi="宋体" w:cs="楷体"/>
          <w:sz w:val="24"/>
          <w:szCs w:val="24"/>
          <w:highlight w:val="none"/>
          <w:u w:val="single"/>
        </w:rPr>
        <w:t xml:space="preserve">     按通用条款第1.10.1款执行       </w:t>
      </w:r>
      <w:r>
        <w:rPr>
          <w:rFonts w:hint="eastAsia" w:ascii="宋体" w:hAnsi="宋体" w:cs="楷体"/>
          <w:sz w:val="24"/>
          <w:szCs w:val="24"/>
          <w:highlight w:val="none"/>
        </w:rPr>
        <w:t>。</w:t>
      </w:r>
    </w:p>
    <w:p w14:paraId="03330D1E">
      <w:pPr>
        <w:spacing w:line="540" w:lineRule="exact"/>
        <w:rPr>
          <w:rFonts w:ascii="宋体" w:hAnsi="宋体" w:cs="楷体"/>
          <w:sz w:val="24"/>
          <w:szCs w:val="24"/>
          <w:highlight w:val="none"/>
        </w:rPr>
      </w:pPr>
      <w:r>
        <w:rPr>
          <w:rFonts w:hint="eastAsia" w:ascii="宋体" w:hAnsi="宋体" w:cs="楷体"/>
          <w:sz w:val="24"/>
          <w:szCs w:val="24"/>
          <w:highlight w:val="none"/>
        </w:rPr>
        <w:t>1</w:t>
      </w:r>
      <w:bookmarkStart w:id="499" w:name="_Toc303539101"/>
      <w:bookmarkEnd w:id="499"/>
      <w:bookmarkStart w:id="500" w:name="_Toc318581156"/>
      <w:bookmarkEnd w:id="500"/>
      <w:bookmarkStart w:id="501" w:name="_Toc312677987"/>
      <w:bookmarkEnd w:id="501"/>
      <w:bookmarkStart w:id="502" w:name="_Toc300934944"/>
      <w:bookmarkEnd w:id="502"/>
      <w:bookmarkStart w:id="503" w:name="_Toc304295522"/>
      <w:r>
        <w:rPr>
          <w:rFonts w:hint="eastAsia" w:ascii="宋体" w:hAnsi="宋体" w:cs="楷体"/>
          <w:sz w:val="24"/>
          <w:szCs w:val="24"/>
          <w:highlight w:val="none"/>
        </w:rPr>
        <w:t>.10.3 场内交通</w:t>
      </w:r>
      <w:bookmarkEnd w:id="503"/>
    </w:p>
    <w:p w14:paraId="37C0BD24">
      <w:pPr>
        <w:spacing w:line="540" w:lineRule="exact"/>
        <w:rPr>
          <w:rFonts w:ascii="宋体" w:hAnsi="宋体" w:cs="楷体"/>
          <w:sz w:val="24"/>
          <w:szCs w:val="24"/>
          <w:highlight w:val="none"/>
        </w:rPr>
      </w:pPr>
      <w:r>
        <w:rPr>
          <w:rFonts w:hint="eastAsia" w:ascii="宋体" w:hAnsi="宋体" w:cs="楷体"/>
          <w:sz w:val="24"/>
          <w:szCs w:val="24"/>
          <w:highlight w:val="none"/>
        </w:rPr>
        <w:t>关于场外交通和场内交通的边界的约定：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610A2938">
      <w:pPr>
        <w:spacing w:line="540" w:lineRule="exact"/>
        <w:rPr>
          <w:rFonts w:ascii="宋体" w:hAnsi="宋体" w:cs="楷体"/>
          <w:sz w:val="24"/>
          <w:szCs w:val="24"/>
          <w:highlight w:val="none"/>
        </w:rPr>
      </w:pPr>
      <w:r>
        <w:rPr>
          <w:rFonts w:hint="eastAsia" w:ascii="宋体" w:hAnsi="宋体" w:cs="楷体"/>
          <w:sz w:val="24"/>
          <w:szCs w:val="24"/>
          <w:highlight w:val="none"/>
        </w:rPr>
        <w:t>关于发包人向承包人免费提供满足工程施工需要的场内道路和交通设施的约定：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bookmarkStart w:id="504" w:name="_Toc318581157"/>
      <w:bookmarkEnd w:id="504"/>
    </w:p>
    <w:p w14:paraId="11DEA58D">
      <w:pPr>
        <w:spacing w:line="540" w:lineRule="exact"/>
        <w:rPr>
          <w:rFonts w:ascii="宋体" w:hAnsi="宋体" w:cs="楷体"/>
          <w:sz w:val="24"/>
          <w:szCs w:val="24"/>
          <w:highlight w:val="none"/>
        </w:rPr>
      </w:pPr>
      <w:r>
        <w:rPr>
          <w:rFonts w:hint="eastAsia" w:ascii="宋体" w:hAnsi="宋体" w:cs="楷体"/>
          <w:sz w:val="24"/>
          <w:szCs w:val="24"/>
          <w:highlight w:val="none"/>
        </w:rPr>
        <w:t>1.10.4超大件和超重件的运输</w:t>
      </w:r>
    </w:p>
    <w:p w14:paraId="7CF8D17C">
      <w:pPr>
        <w:spacing w:line="540" w:lineRule="exact"/>
        <w:rPr>
          <w:rFonts w:ascii="宋体" w:hAnsi="宋体" w:cs="楷体"/>
          <w:sz w:val="24"/>
          <w:szCs w:val="24"/>
          <w:highlight w:val="none"/>
        </w:rPr>
      </w:pPr>
      <w:r>
        <w:rPr>
          <w:rFonts w:hint="eastAsia" w:ascii="宋体" w:hAnsi="宋体" w:cs="楷体"/>
          <w:sz w:val="24"/>
          <w:szCs w:val="24"/>
          <w:highlight w:val="none"/>
        </w:rPr>
        <w:t>运输超大件或超重件所需的道路和桥梁临时加固改造费用和其他有关费用由</w:t>
      </w:r>
    </w:p>
    <w:p w14:paraId="683801D3">
      <w:pPr>
        <w:spacing w:line="540" w:lineRule="exact"/>
        <w:rPr>
          <w:rFonts w:ascii="宋体" w:hAnsi="宋体" w:cs="楷体"/>
          <w:sz w:val="24"/>
          <w:szCs w:val="24"/>
          <w:highlight w:val="none"/>
        </w:rPr>
      </w:pPr>
      <w:r>
        <w:rPr>
          <w:rFonts w:hint="eastAsia" w:ascii="宋体" w:hAnsi="宋体" w:cs="楷体"/>
          <w:sz w:val="24"/>
          <w:szCs w:val="24"/>
          <w:highlight w:val="none"/>
          <w:u w:val="single"/>
        </w:rPr>
        <w:t xml:space="preserve">  承包人 </w:t>
      </w:r>
      <w:r>
        <w:rPr>
          <w:rFonts w:hint="eastAsia" w:ascii="宋体" w:hAnsi="宋体" w:cs="楷体"/>
          <w:sz w:val="24"/>
          <w:szCs w:val="24"/>
          <w:highlight w:val="none"/>
        </w:rPr>
        <w:t>承担。</w:t>
      </w:r>
    </w:p>
    <w:p w14:paraId="3DA0139E">
      <w:pPr>
        <w:spacing w:line="540" w:lineRule="exact"/>
        <w:rPr>
          <w:rFonts w:ascii="宋体" w:hAnsi="宋体" w:cs="楷体"/>
          <w:sz w:val="24"/>
          <w:szCs w:val="24"/>
          <w:highlight w:val="none"/>
        </w:rPr>
      </w:pPr>
      <w:r>
        <w:rPr>
          <w:rFonts w:hint="eastAsia" w:ascii="宋体" w:hAnsi="宋体" w:cs="楷体"/>
          <w:bCs/>
          <w:sz w:val="24"/>
          <w:szCs w:val="24"/>
          <w:highlight w:val="none"/>
        </w:rPr>
        <w:t>1.11</w:t>
      </w:r>
      <w:r>
        <w:rPr>
          <w:rFonts w:hint="eastAsia" w:ascii="宋体" w:hAnsi="宋体" w:cs="楷体"/>
          <w:sz w:val="24"/>
          <w:szCs w:val="24"/>
          <w:highlight w:val="none"/>
        </w:rPr>
        <w:t xml:space="preserve"> 知识产权</w:t>
      </w:r>
    </w:p>
    <w:p w14:paraId="2ED7408F">
      <w:pPr>
        <w:spacing w:line="540" w:lineRule="exact"/>
        <w:rPr>
          <w:rFonts w:ascii="宋体" w:hAnsi="宋体" w:cs="楷体"/>
          <w:sz w:val="24"/>
          <w:szCs w:val="24"/>
          <w:highlight w:val="none"/>
        </w:rPr>
      </w:pPr>
      <w:r>
        <w:rPr>
          <w:rFonts w:hint="eastAsia" w:ascii="宋体" w:hAnsi="宋体" w:cs="楷体"/>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7A540BC">
      <w:pPr>
        <w:spacing w:line="540" w:lineRule="exact"/>
        <w:rPr>
          <w:rFonts w:ascii="宋体" w:hAnsi="宋体" w:cs="楷体"/>
          <w:sz w:val="24"/>
          <w:szCs w:val="24"/>
          <w:highlight w:val="none"/>
        </w:rPr>
      </w:pPr>
      <w:r>
        <w:rPr>
          <w:rFonts w:hint="eastAsia" w:ascii="宋体" w:hAnsi="宋体" w:cs="楷体"/>
          <w:sz w:val="24"/>
          <w:szCs w:val="24"/>
          <w:highlight w:val="none"/>
        </w:rPr>
        <w:t>关于发包人提供的上述文件的使用限制的要求：</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1EB519E8">
      <w:pPr>
        <w:spacing w:line="540" w:lineRule="exact"/>
        <w:rPr>
          <w:rFonts w:ascii="宋体" w:hAnsi="宋体" w:cs="楷体"/>
          <w:sz w:val="24"/>
          <w:szCs w:val="24"/>
          <w:highlight w:val="none"/>
        </w:rPr>
      </w:pPr>
      <w:r>
        <w:rPr>
          <w:rFonts w:hint="eastAsia" w:ascii="宋体" w:hAnsi="宋体" w:cs="楷体"/>
          <w:sz w:val="24"/>
          <w:szCs w:val="24"/>
          <w:highlight w:val="none"/>
        </w:rPr>
        <w:t>1.11.2 关于承包人为实施工程所编制文件的著作权的归属：</w:t>
      </w:r>
      <w:r>
        <w:rPr>
          <w:rFonts w:hint="eastAsia" w:ascii="宋体" w:hAnsi="宋体" w:cs="楷体"/>
          <w:sz w:val="24"/>
          <w:szCs w:val="24"/>
          <w:highlight w:val="none"/>
          <w:u w:val="single"/>
        </w:rPr>
        <w:t xml:space="preserve"> 按通用条款执行</w:t>
      </w:r>
      <w:r>
        <w:rPr>
          <w:rFonts w:hint="eastAsia" w:ascii="宋体" w:hAnsi="宋体" w:cs="楷体"/>
          <w:sz w:val="24"/>
          <w:szCs w:val="24"/>
          <w:highlight w:val="none"/>
        </w:rPr>
        <w:t>。</w:t>
      </w:r>
    </w:p>
    <w:p w14:paraId="41E0C8B1">
      <w:pPr>
        <w:spacing w:line="540" w:lineRule="exact"/>
        <w:rPr>
          <w:rFonts w:ascii="宋体" w:hAnsi="宋体" w:cs="楷体"/>
          <w:sz w:val="24"/>
          <w:szCs w:val="24"/>
          <w:highlight w:val="none"/>
        </w:rPr>
      </w:pPr>
      <w:r>
        <w:rPr>
          <w:rFonts w:hint="eastAsia" w:ascii="宋体" w:hAnsi="宋体" w:cs="楷体"/>
          <w:sz w:val="24"/>
          <w:szCs w:val="24"/>
          <w:highlight w:val="none"/>
        </w:rPr>
        <w:t xml:space="preserve">关于承包人提供的上述文件的使用限制的要求： </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1EE5A12">
      <w:pPr>
        <w:spacing w:line="540" w:lineRule="exact"/>
        <w:rPr>
          <w:rFonts w:ascii="宋体" w:hAnsi="宋体" w:cs="楷体"/>
          <w:sz w:val="24"/>
          <w:szCs w:val="24"/>
          <w:highlight w:val="none"/>
        </w:rPr>
      </w:pPr>
      <w:r>
        <w:rPr>
          <w:rFonts w:hint="eastAsia" w:ascii="宋体" w:hAnsi="宋体" w:cs="楷体"/>
          <w:sz w:val="24"/>
          <w:szCs w:val="24"/>
          <w:highlight w:val="none"/>
        </w:rPr>
        <w:t xml:space="preserve">1.11.4 承包人在施工过程中所采用的专利、专有技术、技术秘密的使用费的承担方式： </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0891E756">
      <w:pPr>
        <w:spacing w:line="540" w:lineRule="exact"/>
        <w:rPr>
          <w:rFonts w:ascii="宋体" w:hAnsi="宋体" w:cs="楷体"/>
          <w:sz w:val="24"/>
          <w:szCs w:val="24"/>
          <w:highlight w:val="none"/>
        </w:rPr>
      </w:pPr>
      <w:r>
        <w:rPr>
          <w:rFonts w:hint="eastAsia" w:ascii="宋体" w:hAnsi="宋体" w:cs="楷体"/>
          <w:bCs/>
          <w:sz w:val="24"/>
          <w:szCs w:val="24"/>
          <w:highlight w:val="none"/>
        </w:rPr>
        <w:t>1.13</w:t>
      </w:r>
      <w:r>
        <w:rPr>
          <w:rFonts w:hint="eastAsia" w:ascii="宋体" w:hAnsi="宋体" w:cs="楷体"/>
          <w:sz w:val="24"/>
          <w:szCs w:val="24"/>
          <w:highlight w:val="none"/>
        </w:rPr>
        <w:t>工程量清单错误的修正</w:t>
      </w:r>
    </w:p>
    <w:p w14:paraId="33AFB1F5">
      <w:pPr>
        <w:spacing w:line="540" w:lineRule="exact"/>
        <w:rPr>
          <w:rFonts w:ascii="宋体" w:hAnsi="宋体" w:cs="楷体"/>
          <w:sz w:val="24"/>
          <w:szCs w:val="24"/>
          <w:highlight w:val="none"/>
        </w:rPr>
      </w:pPr>
      <w:r>
        <w:rPr>
          <w:rFonts w:hint="eastAsia" w:ascii="宋体" w:hAnsi="宋体" w:cs="楷体"/>
          <w:sz w:val="24"/>
          <w:szCs w:val="24"/>
          <w:highlight w:val="none"/>
        </w:rPr>
        <w:t>出现工程量清单错误时，是否调整合同价格：</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5263A8DC">
      <w:pPr>
        <w:spacing w:line="540" w:lineRule="exact"/>
        <w:rPr>
          <w:rFonts w:ascii="宋体" w:hAnsi="宋体" w:cs="楷体"/>
          <w:sz w:val="24"/>
          <w:szCs w:val="24"/>
          <w:highlight w:val="none"/>
          <w:u w:val="single"/>
        </w:rPr>
      </w:pPr>
      <w:r>
        <w:rPr>
          <w:rFonts w:hint="eastAsia" w:ascii="宋体" w:hAnsi="宋体" w:cs="楷体"/>
          <w:sz w:val="24"/>
          <w:szCs w:val="24"/>
          <w:highlight w:val="none"/>
        </w:rPr>
        <w:t>允许调整合同价格的工程量偏差范围：</w:t>
      </w:r>
      <w:r>
        <w:rPr>
          <w:rFonts w:hint="eastAsia" w:ascii="宋体" w:hAnsi="宋体" w:cs="楷体"/>
          <w:sz w:val="24"/>
          <w:szCs w:val="24"/>
          <w:highlight w:val="none"/>
          <w:u w:val="single"/>
        </w:rPr>
        <w:t xml:space="preserve">/  </w:t>
      </w:r>
      <w:r>
        <w:rPr>
          <w:rFonts w:hint="eastAsia" w:ascii="宋体" w:hAnsi="宋体" w:cs="楷体"/>
          <w:sz w:val="24"/>
          <w:szCs w:val="24"/>
          <w:highlight w:val="none"/>
        </w:rPr>
        <w:t>。</w:t>
      </w:r>
    </w:p>
    <w:p w14:paraId="06272FA1">
      <w:pPr>
        <w:keepNext/>
        <w:spacing w:line="540" w:lineRule="exact"/>
        <w:outlineLvl w:val="3"/>
        <w:rPr>
          <w:rFonts w:ascii="宋体" w:hAnsi="宋体" w:cs="楷体"/>
          <w:b/>
          <w:bCs/>
          <w:sz w:val="24"/>
          <w:szCs w:val="24"/>
          <w:highlight w:val="none"/>
        </w:rPr>
      </w:pPr>
      <w:bookmarkStart w:id="505" w:name="_Toc351203634"/>
      <w:bookmarkEnd w:id="505"/>
      <w:r>
        <w:rPr>
          <w:rFonts w:hint="eastAsia" w:ascii="宋体" w:hAnsi="宋体" w:cs="楷体"/>
          <w:b/>
          <w:bCs/>
          <w:sz w:val="24"/>
          <w:szCs w:val="24"/>
          <w:highlight w:val="none"/>
        </w:rPr>
        <w:t>2</w:t>
      </w:r>
      <w:bookmarkStart w:id="506" w:name="_Toc296891197"/>
      <w:bookmarkEnd w:id="506"/>
      <w:bookmarkStart w:id="507" w:name="_Toc296944496"/>
      <w:bookmarkEnd w:id="507"/>
      <w:bookmarkStart w:id="508" w:name="_Toc292559362"/>
      <w:bookmarkEnd w:id="508"/>
      <w:bookmarkStart w:id="509" w:name="_Toc297120457"/>
      <w:bookmarkEnd w:id="509"/>
      <w:bookmarkStart w:id="510" w:name="_Toc296346658"/>
      <w:bookmarkEnd w:id="510"/>
      <w:bookmarkStart w:id="511" w:name="_Toc296347156"/>
      <w:bookmarkEnd w:id="511"/>
      <w:bookmarkStart w:id="512" w:name="_Toc296503157"/>
      <w:bookmarkEnd w:id="512"/>
      <w:bookmarkStart w:id="513" w:name="_Toc296890985"/>
      <w:bookmarkEnd w:id="513"/>
      <w:bookmarkStart w:id="514" w:name="_Toc297048343"/>
      <w:bookmarkEnd w:id="514"/>
      <w:bookmarkStart w:id="515" w:name="_Toc292559867"/>
      <w:r>
        <w:rPr>
          <w:rFonts w:hint="eastAsia" w:ascii="宋体" w:hAnsi="宋体" w:cs="楷体"/>
          <w:b/>
          <w:bCs/>
          <w:sz w:val="24"/>
          <w:szCs w:val="24"/>
          <w:highlight w:val="none"/>
        </w:rPr>
        <w:t>. 发包人</w:t>
      </w:r>
      <w:bookmarkEnd w:id="515"/>
    </w:p>
    <w:p w14:paraId="12D0A6BF">
      <w:pPr>
        <w:spacing w:line="540" w:lineRule="exact"/>
        <w:rPr>
          <w:rFonts w:ascii="宋体" w:hAnsi="宋体" w:cs="楷体"/>
          <w:sz w:val="24"/>
          <w:szCs w:val="24"/>
          <w:highlight w:val="none"/>
        </w:rPr>
      </w:pPr>
      <w:r>
        <w:rPr>
          <w:rFonts w:hint="eastAsia" w:ascii="宋体" w:hAnsi="宋体" w:cs="楷体"/>
          <w:bCs/>
          <w:sz w:val="24"/>
          <w:szCs w:val="24"/>
          <w:highlight w:val="none"/>
        </w:rPr>
        <w:t>2.1</w:t>
      </w:r>
      <w:r>
        <w:rPr>
          <w:rFonts w:hint="eastAsia" w:ascii="宋体" w:hAnsi="宋体" w:cs="楷体"/>
          <w:sz w:val="24"/>
          <w:szCs w:val="24"/>
          <w:highlight w:val="none"/>
        </w:rPr>
        <w:t xml:space="preserve"> 发包人代表</w:t>
      </w:r>
    </w:p>
    <w:p w14:paraId="0AC77681">
      <w:pPr>
        <w:spacing w:line="540" w:lineRule="exact"/>
        <w:rPr>
          <w:rFonts w:ascii="宋体" w:hAnsi="宋体" w:cs="楷体"/>
          <w:sz w:val="24"/>
          <w:szCs w:val="24"/>
          <w:highlight w:val="none"/>
          <w:u w:val="single"/>
        </w:rPr>
      </w:pPr>
      <w:r>
        <w:rPr>
          <w:rFonts w:hint="eastAsia" w:ascii="宋体" w:hAnsi="宋体" w:cs="楷体"/>
          <w:sz w:val="24"/>
          <w:szCs w:val="24"/>
          <w:highlight w:val="none"/>
        </w:rPr>
        <w:t>发包人代表：</w:t>
      </w:r>
    </w:p>
    <w:p w14:paraId="442C6CEE">
      <w:pPr>
        <w:spacing w:line="540" w:lineRule="exact"/>
        <w:rPr>
          <w:rFonts w:ascii="宋体" w:hAnsi="宋体" w:cs="楷体"/>
          <w:sz w:val="24"/>
          <w:szCs w:val="24"/>
          <w:highlight w:val="none"/>
        </w:rPr>
      </w:pPr>
      <w:r>
        <w:rPr>
          <w:rFonts w:hint="eastAsia" w:ascii="宋体" w:hAnsi="宋体" w:cs="楷体"/>
          <w:sz w:val="24"/>
          <w:szCs w:val="24"/>
          <w:highlight w:val="none"/>
        </w:rPr>
        <w:t>姓    名：；</w:t>
      </w:r>
    </w:p>
    <w:p w14:paraId="16FEFDE7">
      <w:pPr>
        <w:spacing w:line="540" w:lineRule="exact"/>
        <w:rPr>
          <w:rFonts w:ascii="宋体" w:hAnsi="宋体" w:cs="楷体"/>
          <w:sz w:val="24"/>
          <w:szCs w:val="24"/>
          <w:highlight w:val="none"/>
        </w:rPr>
      </w:pPr>
      <w:r>
        <w:rPr>
          <w:rFonts w:hint="eastAsia" w:ascii="宋体" w:hAnsi="宋体" w:cs="楷体"/>
          <w:sz w:val="24"/>
          <w:szCs w:val="24"/>
          <w:highlight w:val="none"/>
        </w:rPr>
        <w:t>身份证号：；</w:t>
      </w:r>
    </w:p>
    <w:p w14:paraId="7A4CE7C6">
      <w:pPr>
        <w:spacing w:line="540" w:lineRule="exact"/>
        <w:rPr>
          <w:rFonts w:ascii="宋体" w:hAnsi="宋体" w:cs="楷体"/>
          <w:sz w:val="24"/>
          <w:szCs w:val="24"/>
          <w:highlight w:val="none"/>
        </w:rPr>
      </w:pPr>
      <w:r>
        <w:rPr>
          <w:rFonts w:hint="eastAsia" w:ascii="宋体" w:hAnsi="宋体" w:cs="楷体"/>
          <w:sz w:val="24"/>
          <w:szCs w:val="24"/>
          <w:highlight w:val="none"/>
        </w:rPr>
        <w:t>职    务：；</w:t>
      </w:r>
    </w:p>
    <w:p w14:paraId="7DF14F04">
      <w:pPr>
        <w:spacing w:line="540" w:lineRule="exact"/>
        <w:rPr>
          <w:rFonts w:ascii="宋体" w:hAnsi="宋体" w:cs="楷体"/>
          <w:sz w:val="24"/>
          <w:szCs w:val="24"/>
          <w:highlight w:val="none"/>
        </w:rPr>
      </w:pPr>
      <w:r>
        <w:rPr>
          <w:rFonts w:hint="eastAsia" w:ascii="宋体" w:hAnsi="宋体" w:cs="楷体"/>
          <w:sz w:val="24"/>
          <w:szCs w:val="24"/>
          <w:highlight w:val="none"/>
        </w:rPr>
        <w:t>联系电话：；</w:t>
      </w:r>
    </w:p>
    <w:p w14:paraId="6F4BCC02">
      <w:pPr>
        <w:spacing w:line="540" w:lineRule="exact"/>
        <w:rPr>
          <w:rFonts w:ascii="宋体" w:hAnsi="宋体" w:cs="楷体"/>
          <w:sz w:val="24"/>
          <w:szCs w:val="24"/>
          <w:highlight w:val="none"/>
        </w:rPr>
      </w:pPr>
      <w:r>
        <w:rPr>
          <w:rFonts w:hint="eastAsia" w:ascii="宋体" w:hAnsi="宋体" w:cs="楷体"/>
          <w:sz w:val="24"/>
          <w:szCs w:val="24"/>
          <w:highlight w:val="none"/>
        </w:rPr>
        <w:t>电子信箱：；</w:t>
      </w:r>
    </w:p>
    <w:p w14:paraId="19A8D491">
      <w:pPr>
        <w:spacing w:line="540" w:lineRule="exact"/>
        <w:rPr>
          <w:rFonts w:ascii="宋体" w:hAnsi="宋体" w:cs="楷体"/>
          <w:sz w:val="24"/>
          <w:szCs w:val="24"/>
          <w:highlight w:val="none"/>
        </w:rPr>
      </w:pPr>
      <w:r>
        <w:rPr>
          <w:rFonts w:hint="eastAsia" w:ascii="宋体" w:hAnsi="宋体" w:cs="楷体"/>
          <w:sz w:val="24"/>
          <w:szCs w:val="24"/>
          <w:highlight w:val="none"/>
        </w:rPr>
        <w:t>通信地址：。</w:t>
      </w:r>
    </w:p>
    <w:p w14:paraId="5A024EDE">
      <w:pPr>
        <w:spacing w:line="540" w:lineRule="exact"/>
        <w:rPr>
          <w:rFonts w:ascii="宋体" w:hAnsi="宋体" w:cs="楷体"/>
          <w:b/>
          <w:bCs/>
          <w:sz w:val="24"/>
          <w:szCs w:val="24"/>
          <w:highlight w:val="none"/>
        </w:rPr>
      </w:pPr>
      <w:r>
        <w:rPr>
          <w:rFonts w:hint="eastAsia" w:ascii="宋体" w:hAnsi="宋体" w:cs="楷体"/>
          <w:sz w:val="24"/>
          <w:szCs w:val="24"/>
          <w:highlight w:val="none"/>
        </w:rPr>
        <w:t>发包人对发包人代表的授权范围如下：。</w:t>
      </w:r>
    </w:p>
    <w:p w14:paraId="686E640E">
      <w:pPr>
        <w:spacing w:line="540" w:lineRule="exact"/>
        <w:rPr>
          <w:rFonts w:ascii="宋体" w:hAnsi="宋体" w:cs="楷体"/>
          <w:sz w:val="24"/>
          <w:szCs w:val="24"/>
          <w:highlight w:val="none"/>
        </w:rPr>
      </w:pPr>
      <w:r>
        <w:rPr>
          <w:rFonts w:hint="eastAsia" w:ascii="宋体" w:hAnsi="宋体" w:cs="楷体"/>
          <w:bCs/>
          <w:sz w:val="24"/>
          <w:szCs w:val="24"/>
          <w:highlight w:val="none"/>
        </w:rPr>
        <w:t>2.2</w:t>
      </w:r>
      <w:r>
        <w:rPr>
          <w:rFonts w:hint="eastAsia" w:ascii="宋体" w:hAnsi="宋体" w:cs="楷体"/>
          <w:sz w:val="24"/>
          <w:szCs w:val="24"/>
          <w:highlight w:val="none"/>
        </w:rPr>
        <w:t>施工现场、施工条件和基础资料的提供</w:t>
      </w:r>
    </w:p>
    <w:p w14:paraId="1B3B7DCB">
      <w:pPr>
        <w:spacing w:line="540" w:lineRule="exact"/>
        <w:rPr>
          <w:rFonts w:ascii="宋体" w:hAnsi="宋体" w:cs="楷体"/>
          <w:sz w:val="24"/>
          <w:szCs w:val="24"/>
          <w:highlight w:val="none"/>
        </w:rPr>
      </w:pPr>
      <w:r>
        <w:rPr>
          <w:rFonts w:hint="eastAsia" w:ascii="宋体" w:hAnsi="宋体" w:cs="楷体"/>
          <w:sz w:val="24"/>
          <w:szCs w:val="24"/>
          <w:highlight w:val="none"/>
        </w:rPr>
        <w:t>2.2.1 提供施工现场</w:t>
      </w:r>
    </w:p>
    <w:p w14:paraId="45BF88FA">
      <w:pPr>
        <w:spacing w:line="540" w:lineRule="exact"/>
        <w:rPr>
          <w:rFonts w:ascii="宋体" w:hAnsi="宋体" w:cs="楷体"/>
          <w:sz w:val="24"/>
          <w:szCs w:val="24"/>
          <w:highlight w:val="none"/>
        </w:rPr>
      </w:pPr>
      <w:r>
        <w:rPr>
          <w:rFonts w:hint="eastAsia" w:ascii="宋体" w:hAnsi="宋体" w:cs="楷体"/>
          <w:sz w:val="24"/>
          <w:szCs w:val="24"/>
          <w:highlight w:val="none"/>
        </w:rPr>
        <w:t>关于发包人移交施工现场的期限要求：</w:t>
      </w:r>
      <w:r>
        <w:rPr>
          <w:rFonts w:hint="eastAsia" w:ascii="宋体" w:hAnsi="宋体" w:cs="楷体"/>
          <w:sz w:val="24"/>
          <w:szCs w:val="24"/>
          <w:highlight w:val="none"/>
          <w:u w:val="single"/>
        </w:rPr>
        <w:t xml:space="preserve">  开工日期7天前           </w:t>
      </w:r>
      <w:r>
        <w:rPr>
          <w:rFonts w:hint="eastAsia" w:ascii="宋体" w:hAnsi="宋体" w:cs="楷体"/>
          <w:sz w:val="24"/>
          <w:szCs w:val="24"/>
          <w:highlight w:val="none"/>
        </w:rPr>
        <w:t>。</w:t>
      </w:r>
    </w:p>
    <w:p w14:paraId="2C99C92E">
      <w:pPr>
        <w:spacing w:line="540" w:lineRule="exact"/>
        <w:rPr>
          <w:rFonts w:ascii="宋体" w:hAnsi="宋体" w:cs="楷体"/>
          <w:sz w:val="24"/>
          <w:szCs w:val="24"/>
          <w:highlight w:val="none"/>
        </w:rPr>
      </w:pPr>
      <w:r>
        <w:rPr>
          <w:rFonts w:hint="eastAsia" w:ascii="宋体" w:hAnsi="宋体" w:cs="楷体"/>
          <w:sz w:val="24"/>
          <w:szCs w:val="24"/>
          <w:highlight w:val="none"/>
        </w:rPr>
        <w:t>2.2.2 提供施工条件</w:t>
      </w:r>
    </w:p>
    <w:p w14:paraId="3FED3B75">
      <w:pPr>
        <w:spacing w:line="540" w:lineRule="exact"/>
        <w:rPr>
          <w:rFonts w:ascii="宋体" w:hAnsi="宋体" w:cs="楷体"/>
          <w:sz w:val="24"/>
          <w:szCs w:val="24"/>
          <w:highlight w:val="none"/>
          <w:u w:val="single"/>
        </w:rPr>
      </w:pPr>
      <w:r>
        <w:rPr>
          <w:rFonts w:hint="eastAsia" w:ascii="宋体" w:hAnsi="宋体" w:cs="楷体"/>
          <w:sz w:val="24"/>
          <w:szCs w:val="24"/>
          <w:highlight w:val="none"/>
        </w:rPr>
        <w:t>关于发包人应负责提供施工所需要的条件，包括：</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8D5A732">
      <w:pPr>
        <w:spacing w:line="540" w:lineRule="exact"/>
        <w:rPr>
          <w:rFonts w:ascii="宋体" w:hAnsi="宋体" w:cs="楷体"/>
          <w:sz w:val="24"/>
          <w:szCs w:val="24"/>
          <w:highlight w:val="none"/>
        </w:rPr>
      </w:pPr>
      <w:r>
        <w:rPr>
          <w:rFonts w:hint="eastAsia" w:ascii="宋体" w:hAnsi="宋体" w:cs="楷体"/>
          <w:bCs/>
          <w:sz w:val="24"/>
          <w:szCs w:val="24"/>
          <w:highlight w:val="none"/>
        </w:rPr>
        <w:t>2.3</w:t>
      </w:r>
      <w:r>
        <w:rPr>
          <w:rFonts w:hint="eastAsia" w:ascii="宋体" w:hAnsi="宋体" w:cs="楷体"/>
          <w:sz w:val="24"/>
          <w:szCs w:val="24"/>
          <w:highlight w:val="none"/>
        </w:rPr>
        <w:t xml:space="preserve"> 资金来源证明及支付担保</w:t>
      </w:r>
    </w:p>
    <w:p w14:paraId="5FEA39D6">
      <w:pPr>
        <w:spacing w:line="540" w:lineRule="exact"/>
        <w:rPr>
          <w:rFonts w:ascii="宋体" w:hAnsi="宋体" w:cs="楷体"/>
          <w:sz w:val="24"/>
          <w:szCs w:val="24"/>
          <w:highlight w:val="none"/>
        </w:rPr>
      </w:pPr>
      <w:r>
        <w:rPr>
          <w:rFonts w:hint="eastAsia" w:ascii="宋体" w:hAnsi="宋体" w:cs="楷体"/>
          <w:sz w:val="24"/>
          <w:szCs w:val="24"/>
          <w:highlight w:val="none"/>
        </w:rPr>
        <w:t>发包人提供资金来源证明的期限要求：</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115515F4">
      <w:pPr>
        <w:spacing w:line="540" w:lineRule="exact"/>
        <w:rPr>
          <w:rFonts w:ascii="宋体" w:hAnsi="宋体" w:cs="楷体"/>
          <w:sz w:val="24"/>
          <w:szCs w:val="24"/>
          <w:highlight w:val="none"/>
        </w:rPr>
      </w:pPr>
      <w:r>
        <w:rPr>
          <w:rFonts w:hint="eastAsia" w:ascii="宋体" w:hAnsi="宋体" w:cs="楷体"/>
          <w:sz w:val="24"/>
          <w:szCs w:val="24"/>
          <w:highlight w:val="none"/>
        </w:rPr>
        <w:t>发包人是否提供支付担保：</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4C36127">
      <w:pPr>
        <w:spacing w:line="540" w:lineRule="exact"/>
        <w:rPr>
          <w:rFonts w:ascii="宋体" w:hAnsi="宋体" w:cs="楷体"/>
          <w:sz w:val="24"/>
          <w:szCs w:val="24"/>
          <w:highlight w:val="none"/>
          <w:u w:val="single"/>
        </w:rPr>
      </w:pPr>
      <w:r>
        <w:rPr>
          <w:rFonts w:hint="eastAsia" w:ascii="宋体" w:hAnsi="宋体" w:cs="楷体"/>
          <w:sz w:val="24"/>
          <w:szCs w:val="24"/>
          <w:highlight w:val="none"/>
        </w:rPr>
        <w:t>发包人提供支付担保的形式：</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E9F112C">
      <w:pPr>
        <w:keepNext/>
        <w:spacing w:line="540" w:lineRule="exact"/>
        <w:outlineLvl w:val="3"/>
        <w:rPr>
          <w:rFonts w:ascii="宋体" w:hAnsi="宋体" w:cs="楷体"/>
          <w:b/>
          <w:bCs/>
          <w:sz w:val="24"/>
          <w:szCs w:val="24"/>
          <w:highlight w:val="none"/>
        </w:rPr>
      </w:pPr>
      <w:bookmarkStart w:id="516" w:name="_Toc351203635"/>
      <w:bookmarkEnd w:id="516"/>
      <w:r>
        <w:rPr>
          <w:rFonts w:hint="eastAsia" w:ascii="宋体" w:hAnsi="宋体" w:cs="楷体"/>
          <w:b/>
          <w:bCs/>
          <w:sz w:val="24"/>
          <w:szCs w:val="24"/>
          <w:highlight w:val="none"/>
        </w:rPr>
        <w:t>3</w:t>
      </w:r>
      <w:bookmarkStart w:id="517" w:name="_Toc296503158"/>
      <w:bookmarkEnd w:id="517"/>
      <w:bookmarkStart w:id="518" w:name="_Toc296944497"/>
      <w:bookmarkEnd w:id="518"/>
      <w:bookmarkStart w:id="519" w:name="_Toc292559868"/>
      <w:bookmarkEnd w:id="519"/>
      <w:bookmarkStart w:id="520" w:name="_Toc296346659"/>
      <w:bookmarkEnd w:id="520"/>
      <w:bookmarkStart w:id="521" w:name="_Toc292559363"/>
      <w:bookmarkEnd w:id="521"/>
      <w:bookmarkStart w:id="522" w:name="_Toc296347157"/>
      <w:bookmarkEnd w:id="522"/>
      <w:bookmarkStart w:id="523" w:name="_Toc297120458"/>
      <w:bookmarkEnd w:id="523"/>
      <w:bookmarkStart w:id="524" w:name="_Toc296890986"/>
      <w:bookmarkEnd w:id="524"/>
      <w:bookmarkStart w:id="525" w:name="_Toc297048344"/>
      <w:bookmarkEnd w:id="525"/>
      <w:bookmarkStart w:id="526" w:name="_Toc296891198"/>
      <w:r>
        <w:rPr>
          <w:rFonts w:hint="eastAsia" w:ascii="宋体" w:hAnsi="宋体" w:cs="楷体"/>
          <w:b/>
          <w:bCs/>
          <w:sz w:val="24"/>
          <w:szCs w:val="24"/>
          <w:highlight w:val="none"/>
        </w:rPr>
        <w:t>. 承包人</w:t>
      </w:r>
      <w:bookmarkEnd w:id="526"/>
    </w:p>
    <w:p w14:paraId="6A607A0B">
      <w:pPr>
        <w:spacing w:line="540" w:lineRule="exact"/>
        <w:rPr>
          <w:rFonts w:ascii="宋体" w:hAnsi="宋体" w:cs="楷体"/>
          <w:sz w:val="24"/>
          <w:szCs w:val="24"/>
          <w:highlight w:val="none"/>
        </w:rPr>
      </w:pPr>
      <w:r>
        <w:rPr>
          <w:rFonts w:hint="eastAsia" w:ascii="宋体" w:hAnsi="宋体" w:cs="楷体"/>
          <w:b/>
          <w:bCs/>
          <w:sz w:val="24"/>
          <w:szCs w:val="24"/>
          <w:highlight w:val="none"/>
        </w:rPr>
        <w:t xml:space="preserve">3.1 </w:t>
      </w:r>
      <w:r>
        <w:rPr>
          <w:rFonts w:hint="eastAsia" w:ascii="宋体" w:hAnsi="宋体" w:cs="楷体"/>
          <w:sz w:val="24"/>
          <w:szCs w:val="24"/>
          <w:highlight w:val="none"/>
        </w:rPr>
        <w:t>承包人的一般义务</w:t>
      </w:r>
    </w:p>
    <w:p w14:paraId="6E289532">
      <w:pPr>
        <w:spacing w:line="540" w:lineRule="exact"/>
        <w:rPr>
          <w:rFonts w:ascii="宋体" w:hAnsi="宋体" w:cs="楷体"/>
          <w:sz w:val="24"/>
          <w:szCs w:val="24"/>
          <w:highlight w:val="none"/>
          <w:u w:val="single"/>
        </w:rPr>
      </w:pPr>
      <w:r>
        <w:rPr>
          <w:rFonts w:hint="eastAsia" w:ascii="宋体" w:hAnsi="宋体" w:cs="楷体"/>
          <w:sz w:val="24"/>
          <w:szCs w:val="24"/>
          <w:highlight w:val="none"/>
        </w:rPr>
        <w:t>（9）承包人提交的竣工资料的内容：</w:t>
      </w:r>
      <w:r>
        <w:rPr>
          <w:rFonts w:hint="eastAsia" w:ascii="宋体" w:hAnsi="宋体" w:cs="楷体"/>
          <w:sz w:val="24"/>
          <w:szCs w:val="24"/>
          <w:highlight w:val="none"/>
          <w:u w:val="single"/>
        </w:rPr>
        <w:t xml:space="preserve">  承包人向发包人提交完整竣工图纸和竣工图电子文档     </w:t>
      </w:r>
      <w:r>
        <w:rPr>
          <w:rFonts w:hint="eastAsia" w:ascii="宋体" w:hAnsi="宋体" w:cs="楷体"/>
          <w:sz w:val="24"/>
          <w:szCs w:val="24"/>
          <w:highlight w:val="none"/>
        </w:rPr>
        <w:t>。</w:t>
      </w:r>
    </w:p>
    <w:p w14:paraId="2F79E765">
      <w:pPr>
        <w:spacing w:line="540" w:lineRule="exact"/>
        <w:rPr>
          <w:rFonts w:ascii="宋体" w:hAnsi="宋体" w:cs="楷体"/>
          <w:sz w:val="24"/>
          <w:szCs w:val="24"/>
          <w:highlight w:val="none"/>
        </w:rPr>
      </w:pPr>
      <w:r>
        <w:rPr>
          <w:rFonts w:hint="eastAsia" w:ascii="宋体" w:hAnsi="宋体" w:cs="楷体"/>
          <w:sz w:val="24"/>
          <w:szCs w:val="24"/>
          <w:highlight w:val="none"/>
        </w:rPr>
        <w:t>承包人需要提交的竣工资料套数：</w:t>
      </w:r>
      <w:r>
        <w:rPr>
          <w:rFonts w:hint="eastAsia" w:ascii="宋体" w:hAnsi="宋体" w:cs="楷体"/>
          <w:sz w:val="24"/>
          <w:szCs w:val="24"/>
          <w:highlight w:val="none"/>
          <w:u w:val="single"/>
        </w:rPr>
        <w:t xml:space="preserve">保证竣工后提供完整的审验合格后的施工图 </w:t>
      </w:r>
      <w:r>
        <w:rPr>
          <w:rFonts w:hint="eastAsia" w:ascii="宋体" w:hAnsi="宋体" w:cs="楷体"/>
          <w:sz w:val="24"/>
          <w:szCs w:val="24"/>
          <w:highlight w:val="none"/>
        </w:rPr>
        <w:t>。</w:t>
      </w:r>
    </w:p>
    <w:p w14:paraId="038D314D">
      <w:pPr>
        <w:spacing w:line="540" w:lineRule="exact"/>
        <w:rPr>
          <w:rFonts w:ascii="宋体" w:hAnsi="宋体" w:cs="楷体"/>
          <w:sz w:val="24"/>
          <w:szCs w:val="24"/>
          <w:highlight w:val="none"/>
        </w:rPr>
      </w:pPr>
      <w:r>
        <w:rPr>
          <w:rFonts w:hint="eastAsia" w:ascii="宋体" w:hAnsi="宋体" w:cs="楷体"/>
          <w:sz w:val="24"/>
          <w:szCs w:val="24"/>
          <w:highlight w:val="none"/>
        </w:rPr>
        <w:t>承包人提交的竣工资料的费用承担：</w:t>
      </w:r>
      <w:r>
        <w:rPr>
          <w:rFonts w:hint="eastAsia" w:ascii="宋体" w:hAnsi="宋体" w:cs="楷体"/>
          <w:sz w:val="24"/>
          <w:szCs w:val="24"/>
          <w:highlight w:val="none"/>
          <w:u w:val="single"/>
        </w:rPr>
        <w:t xml:space="preserve">         由承包人承担                </w:t>
      </w:r>
      <w:r>
        <w:rPr>
          <w:rFonts w:hint="eastAsia" w:ascii="宋体" w:hAnsi="宋体" w:cs="楷体"/>
          <w:sz w:val="24"/>
          <w:szCs w:val="24"/>
          <w:highlight w:val="none"/>
        </w:rPr>
        <w:t>。</w:t>
      </w:r>
    </w:p>
    <w:p w14:paraId="3B38804F">
      <w:pPr>
        <w:spacing w:line="540" w:lineRule="exact"/>
        <w:rPr>
          <w:rFonts w:ascii="宋体" w:hAnsi="宋体" w:cs="楷体"/>
          <w:sz w:val="24"/>
          <w:szCs w:val="24"/>
          <w:highlight w:val="none"/>
        </w:rPr>
      </w:pPr>
      <w:r>
        <w:rPr>
          <w:rFonts w:hint="eastAsia" w:ascii="宋体" w:hAnsi="宋体" w:cs="楷体"/>
          <w:sz w:val="24"/>
          <w:szCs w:val="24"/>
          <w:highlight w:val="none"/>
        </w:rPr>
        <w:t>承包人提交的竣工资料移交时间：</w:t>
      </w:r>
      <w:r>
        <w:rPr>
          <w:rFonts w:hint="eastAsia" w:ascii="宋体" w:hAnsi="宋体" w:cs="楷体"/>
          <w:sz w:val="24"/>
          <w:szCs w:val="24"/>
          <w:highlight w:val="none"/>
          <w:u w:val="single"/>
        </w:rPr>
        <w:t xml:space="preserve">    工程竣工验收合格后1个月内         </w:t>
      </w:r>
      <w:r>
        <w:rPr>
          <w:rFonts w:hint="eastAsia" w:ascii="宋体" w:hAnsi="宋体" w:cs="楷体"/>
          <w:sz w:val="24"/>
          <w:szCs w:val="24"/>
          <w:highlight w:val="none"/>
        </w:rPr>
        <w:t>。</w:t>
      </w:r>
    </w:p>
    <w:p w14:paraId="7FCF49A5">
      <w:pPr>
        <w:spacing w:line="540" w:lineRule="exact"/>
        <w:rPr>
          <w:rFonts w:ascii="宋体" w:hAnsi="宋体" w:cs="楷体"/>
          <w:sz w:val="24"/>
          <w:szCs w:val="24"/>
          <w:highlight w:val="none"/>
        </w:rPr>
      </w:pPr>
      <w:r>
        <w:rPr>
          <w:rFonts w:hint="eastAsia" w:ascii="宋体" w:hAnsi="宋体" w:cs="楷体"/>
          <w:sz w:val="24"/>
          <w:szCs w:val="24"/>
          <w:highlight w:val="none"/>
        </w:rPr>
        <w:t>承包人提交的竣工资料形式要求：</w:t>
      </w:r>
      <w:r>
        <w:rPr>
          <w:rFonts w:hint="eastAsia" w:ascii="宋体" w:hAnsi="宋体" w:cs="楷体"/>
          <w:sz w:val="24"/>
          <w:szCs w:val="24"/>
          <w:highlight w:val="none"/>
          <w:u w:val="single"/>
        </w:rPr>
        <w:t xml:space="preserve">     书面及电子文档                    </w:t>
      </w:r>
      <w:r>
        <w:rPr>
          <w:rFonts w:hint="eastAsia" w:ascii="宋体" w:hAnsi="宋体" w:cs="楷体"/>
          <w:sz w:val="24"/>
          <w:szCs w:val="24"/>
          <w:highlight w:val="none"/>
        </w:rPr>
        <w:t>。</w:t>
      </w:r>
    </w:p>
    <w:p w14:paraId="0C674689">
      <w:pPr>
        <w:spacing w:line="540" w:lineRule="exact"/>
        <w:rPr>
          <w:rFonts w:ascii="宋体" w:hAnsi="宋体" w:cs="楷体"/>
          <w:sz w:val="24"/>
          <w:szCs w:val="24"/>
          <w:highlight w:val="none"/>
        </w:rPr>
      </w:pPr>
      <w:r>
        <w:rPr>
          <w:rFonts w:hint="eastAsia" w:ascii="宋体" w:hAnsi="宋体" w:cs="楷体"/>
          <w:sz w:val="24"/>
          <w:szCs w:val="24"/>
          <w:highlight w:val="none"/>
        </w:rPr>
        <w:t>（10）承包人应履行的其他义务：</w:t>
      </w:r>
      <w:r>
        <w:rPr>
          <w:rFonts w:hint="eastAsia" w:ascii="宋体" w:hAnsi="宋体" w:cs="楷体"/>
          <w:sz w:val="24"/>
          <w:szCs w:val="24"/>
          <w:highlight w:val="none"/>
          <w:u w:val="single"/>
        </w:rPr>
        <w:t xml:space="preserve">  负责施工人员管理；负责施工现场的安全及整洁，如发生事故一切后果承包人承担；负责工程竣工后的场地清理；与施工范围内的周边关系由承包人协调处理，费用自理；承包人应严格履行发包人只制定的安全、质量、进度管理奖罚细则 </w:t>
      </w:r>
      <w:r>
        <w:rPr>
          <w:rFonts w:hint="eastAsia" w:ascii="宋体" w:hAnsi="宋体" w:cs="楷体"/>
          <w:sz w:val="24"/>
          <w:szCs w:val="24"/>
          <w:highlight w:val="none"/>
        </w:rPr>
        <w:t>。</w:t>
      </w:r>
    </w:p>
    <w:p w14:paraId="5CFECE92">
      <w:pPr>
        <w:spacing w:line="540" w:lineRule="exact"/>
        <w:rPr>
          <w:rFonts w:ascii="宋体" w:hAnsi="宋体" w:cs="楷体"/>
          <w:sz w:val="24"/>
          <w:szCs w:val="24"/>
          <w:highlight w:val="none"/>
        </w:rPr>
      </w:pPr>
      <w:r>
        <w:rPr>
          <w:rFonts w:hint="eastAsia" w:ascii="宋体" w:hAnsi="宋体" w:cs="楷体"/>
          <w:bCs/>
          <w:sz w:val="24"/>
          <w:szCs w:val="24"/>
          <w:highlight w:val="none"/>
        </w:rPr>
        <w:t>3.2</w:t>
      </w:r>
      <w:r>
        <w:rPr>
          <w:rFonts w:hint="eastAsia" w:ascii="宋体" w:hAnsi="宋体" w:cs="楷体"/>
          <w:sz w:val="24"/>
          <w:szCs w:val="24"/>
          <w:highlight w:val="none"/>
        </w:rPr>
        <w:t xml:space="preserve"> 项目经理</w:t>
      </w:r>
    </w:p>
    <w:p w14:paraId="509057C9">
      <w:pPr>
        <w:spacing w:line="540" w:lineRule="exact"/>
        <w:rPr>
          <w:rFonts w:ascii="宋体" w:hAnsi="宋体" w:cs="楷体"/>
          <w:sz w:val="24"/>
          <w:szCs w:val="24"/>
          <w:highlight w:val="none"/>
        </w:rPr>
      </w:pPr>
      <w:r>
        <w:rPr>
          <w:rFonts w:hint="eastAsia" w:ascii="宋体" w:hAnsi="宋体" w:cs="楷体"/>
          <w:sz w:val="24"/>
          <w:szCs w:val="24"/>
          <w:highlight w:val="none"/>
        </w:rPr>
        <w:t>3.2.1 项目经理：</w:t>
      </w:r>
    </w:p>
    <w:p w14:paraId="658AED4B">
      <w:pPr>
        <w:spacing w:line="540" w:lineRule="exact"/>
        <w:rPr>
          <w:rFonts w:ascii="宋体" w:hAnsi="宋体" w:cs="楷体"/>
          <w:sz w:val="24"/>
          <w:szCs w:val="24"/>
          <w:highlight w:val="none"/>
        </w:rPr>
      </w:pPr>
      <w:r>
        <w:rPr>
          <w:rFonts w:hint="eastAsia" w:ascii="宋体" w:hAnsi="宋体" w:cs="楷体"/>
          <w:sz w:val="24"/>
          <w:szCs w:val="24"/>
          <w:highlight w:val="none"/>
        </w:rPr>
        <w:t>姓    名：；</w:t>
      </w:r>
    </w:p>
    <w:p w14:paraId="14563D89">
      <w:pPr>
        <w:spacing w:line="540" w:lineRule="exact"/>
        <w:rPr>
          <w:rFonts w:ascii="宋体" w:hAnsi="宋体" w:cs="楷体"/>
          <w:sz w:val="24"/>
          <w:szCs w:val="24"/>
          <w:highlight w:val="none"/>
        </w:rPr>
      </w:pPr>
      <w:r>
        <w:rPr>
          <w:rFonts w:hint="eastAsia" w:ascii="宋体" w:hAnsi="宋体" w:cs="楷体"/>
          <w:sz w:val="24"/>
          <w:szCs w:val="24"/>
          <w:highlight w:val="none"/>
        </w:rPr>
        <w:t>身份证号：；</w:t>
      </w:r>
    </w:p>
    <w:p w14:paraId="790944CA">
      <w:pPr>
        <w:spacing w:line="540" w:lineRule="exact"/>
        <w:rPr>
          <w:rFonts w:ascii="宋体" w:hAnsi="宋体" w:cs="楷体"/>
          <w:sz w:val="24"/>
          <w:szCs w:val="24"/>
          <w:highlight w:val="none"/>
        </w:rPr>
      </w:pPr>
      <w:r>
        <w:rPr>
          <w:rFonts w:hint="eastAsia" w:ascii="宋体" w:hAnsi="宋体" w:cs="楷体"/>
          <w:sz w:val="24"/>
          <w:szCs w:val="24"/>
          <w:highlight w:val="none"/>
        </w:rPr>
        <w:t>建造师执业资格等级：；</w:t>
      </w:r>
    </w:p>
    <w:p w14:paraId="08652888">
      <w:pPr>
        <w:spacing w:line="540" w:lineRule="exact"/>
        <w:rPr>
          <w:rFonts w:ascii="宋体" w:hAnsi="宋体" w:cs="楷体"/>
          <w:sz w:val="24"/>
          <w:szCs w:val="24"/>
          <w:highlight w:val="none"/>
        </w:rPr>
      </w:pPr>
      <w:r>
        <w:rPr>
          <w:rFonts w:hint="eastAsia" w:ascii="宋体" w:hAnsi="宋体" w:cs="楷体"/>
          <w:sz w:val="24"/>
          <w:szCs w:val="24"/>
          <w:highlight w:val="none"/>
        </w:rPr>
        <w:t>建造师注册证书号：；</w:t>
      </w:r>
    </w:p>
    <w:p w14:paraId="15526D67">
      <w:pPr>
        <w:spacing w:line="540" w:lineRule="exact"/>
        <w:rPr>
          <w:rFonts w:ascii="宋体" w:hAnsi="宋体" w:cs="楷体"/>
          <w:sz w:val="24"/>
          <w:szCs w:val="24"/>
          <w:highlight w:val="none"/>
        </w:rPr>
      </w:pPr>
      <w:r>
        <w:rPr>
          <w:rFonts w:hint="eastAsia" w:ascii="宋体" w:hAnsi="宋体" w:cs="楷体"/>
          <w:sz w:val="24"/>
          <w:szCs w:val="24"/>
          <w:highlight w:val="none"/>
        </w:rPr>
        <w:t>建造师执业印章号：；</w:t>
      </w:r>
    </w:p>
    <w:p w14:paraId="118FBA52">
      <w:pPr>
        <w:spacing w:line="540" w:lineRule="exact"/>
        <w:rPr>
          <w:rFonts w:ascii="宋体" w:hAnsi="宋体" w:cs="楷体"/>
          <w:sz w:val="24"/>
          <w:szCs w:val="24"/>
          <w:highlight w:val="none"/>
        </w:rPr>
      </w:pPr>
      <w:r>
        <w:rPr>
          <w:rFonts w:hint="eastAsia" w:ascii="宋体" w:hAnsi="宋体" w:cs="楷体"/>
          <w:sz w:val="24"/>
          <w:szCs w:val="24"/>
          <w:highlight w:val="none"/>
        </w:rPr>
        <w:t>安全生产考核合格证书号：；</w:t>
      </w:r>
    </w:p>
    <w:p w14:paraId="491F30D5">
      <w:pPr>
        <w:spacing w:line="540" w:lineRule="exact"/>
        <w:rPr>
          <w:rFonts w:ascii="宋体" w:hAnsi="宋体" w:cs="楷体"/>
          <w:sz w:val="24"/>
          <w:szCs w:val="24"/>
          <w:highlight w:val="none"/>
        </w:rPr>
      </w:pPr>
      <w:r>
        <w:rPr>
          <w:rFonts w:hint="eastAsia" w:ascii="宋体" w:hAnsi="宋体" w:cs="楷体"/>
          <w:sz w:val="24"/>
          <w:szCs w:val="24"/>
          <w:highlight w:val="none"/>
        </w:rPr>
        <w:t>联系电话：；</w:t>
      </w:r>
    </w:p>
    <w:p w14:paraId="2F9A7734">
      <w:pPr>
        <w:spacing w:line="540" w:lineRule="exact"/>
        <w:rPr>
          <w:rFonts w:ascii="宋体" w:hAnsi="宋体" w:cs="楷体"/>
          <w:sz w:val="24"/>
          <w:szCs w:val="24"/>
          <w:highlight w:val="none"/>
        </w:rPr>
      </w:pPr>
      <w:r>
        <w:rPr>
          <w:rFonts w:hint="eastAsia" w:ascii="宋体" w:hAnsi="宋体" w:cs="楷体"/>
          <w:sz w:val="24"/>
          <w:szCs w:val="24"/>
          <w:highlight w:val="none"/>
        </w:rPr>
        <w:t>电子信箱：；</w:t>
      </w:r>
    </w:p>
    <w:p w14:paraId="4C873BA9">
      <w:pPr>
        <w:spacing w:line="540" w:lineRule="exact"/>
        <w:rPr>
          <w:rFonts w:ascii="宋体" w:hAnsi="宋体" w:cs="楷体"/>
          <w:sz w:val="24"/>
          <w:szCs w:val="24"/>
          <w:highlight w:val="none"/>
        </w:rPr>
      </w:pPr>
      <w:r>
        <w:rPr>
          <w:rFonts w:hint="eastAsia" w:ascii="宋体" w:hAnsi="宋体" w:cs="楷体"/>
          <w:sz w:val="24"/>
          <w:szCs w:val="24"/>
          <w:highlight w:val="none"/>
        </w:rPr>
        <w:t>通信地址：；</w:t>
      </w:r>
    </w:p>
    <w:p w14:paraId="3010503A">
      <w:pPr>
        <w:spacing w:line="540" w:lineRule="exact"/>
        <w:rPr>
          <w:rFonts w:ascii="宋体" w:hAnsi="宋体" w:cs="楷体"/>
          <w:sz w:val="24"/>
          <w:szCs w:val="24"/>
          <w:highlight w:val="none"/>
        </w:rPr>
      </w:pPr>
      <w:r>
        <w:rPr>
          <w:rFonts w:hint="eastAsia" w:ascii="宋体" w:hAnsi="宋体" w:cs="楷体"/>
          <w:sz w:val="24"/>
          <w:szCs w:val="24"/>
          <w:highlight w:val="none"/>
        </w:rPr>
        <w:t>承包人对项目经理的授权范围如下：。</w:t>
      </w:r>
    </w:p>
    <w:p w14:paraId="3737F2E1">
      <w:pPr>
        <w:spacing w:line="540" w:lineRule="exact"/>
        <w:rPr>
          <w:rFonts w:ascii="宋体" w:hAnsi="宋体" w:cs="楷体"/>
          <w:sz w:val="24"/>
          <w:szCs w:val="24"/>
          <w:highlight w:val="none"/>
        </w:rPr>
      </w:pPr>
      <w:r>
        <w:rPr>
          <w:rFonts w:hint="eastAsia" w:ascii="宋体" w:hAnsi="宋体" w:cs="楷体"/>
          <w:sz w:val="24"/>
          <w:szCs w:val="24"/>
          <w:highlight w:val="none"/>
        </w:rPr>
        <w:t>关于项目经理每月在施工现场的时间要求：</w:t>
      </w:r>
      <w:r>
        <w:rPr>
          <w:rFonts w:hint="eastAsia" w:ascii="宋体" w:hAnsi="宋体" w:cs="楷体"/>
          <w:sz w:val="24"/>
          <w:szCs w:val="24"/>
          <w:highlight w:val="none"/>
          <w:u w:val="single"/>
        </w:rPr>
        <w:t xml:space="preserve">   不得少于20天               </w:t>
      </w:r>
      <w:r>
        <w:rPr>
          <w:rFonts w:hint="eastAsia" w:ascii="宋体" w:hAnsi="宋体" w:cs="楷体"/>
          <w:sz w:val="24"/>
          <w:szCs w:val="24"/>
          <w:highlight w:val="none"/>
        </w:rPr>
        <w:t>。</w:t>
      </w:r>
    </w:p>
    <w:p w14:paraId="60FFA9C6">
      <w:pPr>
        <w:spacing w:line="540" w:lineRule="exact"/>
        <w:rPr>
          <w:rFonts w:ascii="宋体" w:hAnsi="宋体" w:cs="楷体"/>
          <w:sz w:val="24"/>
          <w:szCs w:val="24"/>
          <w:highlight w:val="none"/>
        </w:rPr>
      </w:pPr>
      <w:r>
        <w:rPr>
          <w:rFonts w:hint="eastAsia" w:ascii="宋体" w:hAnsi="宋体" w:cs="楷体"/>
          <w:sz w:val="24"/>
          <w:szCs w:val="24"/>
          <w:highlight w:val="none"/>
        </w:rPr>
        <w:t>承包人未提交劳动合同，以及没有为项目经理缴纳社会保险证明的违约责任：</w:t>
      </w:r>
      <w:r>
        <w:rPr>
          <w:rFonts w:hint="eastAsia" w:ascii="宋体" w:hAnsi="宋体" w:cs="楷体"/>
          <w:sz w:val="24"/>
          <w:szCs w:val="24"/>
          <w:highlight w:val="none"/>
          <w:u w:val="single"/>
        </w:rPr>
        <w:t xml:space="preserve">  处罚2万元罚款，责令限期提交劳动合同并补缴社会保险           </w:t>
      </w:r>
      <w:r>
        <w:rPr>
          <w:rFonts w:hint="eastAsia" w:ascii="宋体" w:hAnsi="宋体" w:cs="楷体"/>
          <w:sz w:val="24"/>
          <w:szCs w:val="24"/>
          <w:highlight w:val="none"/>
        </w:rPr>
        <w:t>。</w:t>
      </w:r>
    </w:p>
    <w:p w14:paraId="3838EB48">
      <w:pPr>
        <w:spacing w:line="540" w:lineRule="exact"/>
        <w:rPr>
          <w:rFonts w:ascii="宋体" w:hAnsi="宋体" w:cs="楷体"/>
          <w:sz w:val="24"/>
          <w:szCs w:val="24"/>
          <w:highlight w:val="none"/>
          <w:u w:val="single"/>
        </w:rPr>
      </w:pPr>
      <w:r>
        <w:rPr>
          <w:rFonts w:hint="eastAsia" w:ascii="宋体" w:hAnsi="宋体" w:cs="楷体"/>
          <w:sz w:val="24"/>
          <w:szCs w:val="24"/>
          <w:highlight w:val="none"/>
        </w:rPr>
        <w:t>项目经理未经批准，擅自离开施工现场的违约责任：。</w:t>
      </w:r>
    </w:p>
    <w:p w14:paraId="6E658BCB">
      <w:pPr>
        <w:spacing w:line="540" w:lineRule="exact"/>
        <w:rPr>
          <w:rFonts w:ascii="宋体" w:hAnsi="宋体" w:cs="楷体"/>
          <w:sz w:val="24"/>
          <w:szCs w:val="24"/>
          <w:highlight w:val="none"/>
        </w:rPr>
      </w:pPr>
      <w:r>
        <w:rPr>
          <w:rFonts w:hint="eastAsia" w:ascii="宋体" w:hAnsi="宋体" w:cs="楷体"/>
          <w:sz w:val="24"/>
          <w:szCs w:val="24"/>
          <w:highlight w:val="none"/>
        </w:rPr>
        <w:t>3.2.3 承包人擅自更换项目经理的违约责任：。</w:t>
      </w:r>
    </w:p>
    <w:p w14:paraId="02DA822E">
      <w:pPr>
        <w:spacing w:line="540" w:lineRule="exact"/>
        <w:rPr>
          <w:rFonts w:ascii="宋体" w:hAnsi="宋体" w:cs="楷体"/>
          <w:sz w:val="24"/>
          <w:szCs w:val="24"/>
          <w:highlight w:val="none"/>
        </w:rPr>
      </w:pPr>
      <w:r>
        <w:rPr>
          <w:rFonts w:hint="eastAsia" w:ascii="宋体" w:hAnsi="宋体" w:cs="楷体"/>
          <w:sz w:val="24"/>
          <w:szCs w:val="24"/>
          <w:highlight w:val="none"/>
        </w:rPr>
        <w:t>3.2.4 承包人无正当理由拒绝更换项目经理的违约责任：。</w:t>
      </w:r>
    </w:p>
    <w:p w14:paraId="2F813143">
      <w:pPr>
        <w:spacing w:line="540" w:lineRule="exact"/>
        <w:rPr>
          <w:rFonts w:ascii="宋体" w:hAnsi="宋体" w:cs="楷体"/>
          <w:sz w:val="24"/>
          <w:szCs w:val="24"/>
          <w:highlight w:val="none"/>
        </w:rPr>
      </w:pPr>
      <w:r>
        <w:rPr>
          <w:rFonts w:hint="eastAsia" w:ascii="宋体" w:hAnsi="宋体" w:cs="楷体"/>
          <w:bCs/>
          <w:sz w:val="24"/>
          <w:szCs w:val="24"/>
          <w:highlight w:val="none"/>
        </w:rPr>
        <w:t>3.3</w:t>
      </w:r>
      <w:r>
        <w:rPr>
          <w:rFonts w:hint="eastAsia" w:ascii="宋体" w:hAnsi="宋体" w:cs="楷体"/>
          <w:sz w:val="24"/>
          <w:szCs w:val="24"/>
          <w:highlight w:val="none"/>
        </w:rPr>
        <w:t xml:space="preserve"> 承包人人员</w:t>
      </w:r>
    </w:p>
    <w:p w14:paraId="2B1431FC">
      <w:pPr>
        <w:spacing w:line="540" w:lineRule="exact"/>
        <w:rPr>
          <w:rFonts w:ascii="宋体" w:hAnsi="宋体" w:cs="楷体"/>
          <w:sz w:val="24"/>
          <w:szCs w:val="24"/>
          <w:highlight w:val="none"/>
        </w:rPr>
      </w:pPr>
      <w:r>
        <w:rPr>
          <w:rFonts w:hint="eastAsia" w:ascii="宋体" w:hAnsi="宋体" w:cs="楷体"/>
          <w:sz w:val="24"/>
          <w:szCs w:val="24"/>
          <w:highlight w:val="none"/>
        </w:rPr>
        <w:t>3.3.1 承包人提交项目管理机构及施工现场管理人员安排报告的期限：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D5100B4">
      <w:pPr>
        <w:spacing w:line="540" w:lineRule="exact"/>
        <w:rPr>
          <w:rFonts w:ascii="宋体" w:hAnsi="宋体" w:cs="楷体"/>
          <w:sz w:val="24"/>
          <w:szCs w:val="24"/>
          <w:highlight w:val="none"/>
        </w:rPr>
      </w:pPr>
      <w:r>
        <w:rPr>
          <w:rFonts w:hint="eastAsia" w:ascii="宋体" w:hAnsi="宋体" w:cs="楷体"/>
          <w:sz w:val="24"/>
          <w:szCs w:val="24"/>
          <w:highlight w:val="none"/>
        </w:rPr>
        <w:t>3.3.3 承包人无正当理由拒绝撤换主要施工管理人员的违约责任：。</w:t>
      </w:r>
    </w:p>
    <w:p w14:paraId="17E7FFCB">
      <w:pPr>
        <w:spacing w:line="540" w:lineRule="exact"/>
        <w:rPr>
          <w:rFonts w:ascii="宋体" w:hAnsi="宋体" w:cs="楷体"/>
          <w:sz w:val="24"/>
          <w:szCs w:val="24"/>
          <w:highlight w:val="none"/>
          <w:u w:val="single"/>
        </w:rPr>
      </w:pPr>
      <w:r>
        <w:rPr>
          <w:rFonts w:hint="eastAsia" w:ascii="宋体" w:hAnsi="宋体" w:cs="楷体"/>
          <w:sz w:val="24"/>
          <w:szCs w:val="24"/>
          <w:highlight w:val="none"/>
        </w:rPr>
        <w:t>3.3.4 承包人主要施工管理人员离开施工现场的批准要求：</w:t>
      </w:r>
      <w:r>
        <w:rPr>
          <w:rFonts w:hint="eastAsia" w:ascii="宋体" w:hAnsi="宋体" w:cs="楷体"/>
          <w:sz w:val="24"/>
          <w:szCs w:val="24"/>
          <w:highlight w:val="none"/>
          <w:u w:val="single"/>
        </w:rPr>
        <w:t xml:space="preserve">  由总监理工程师批准，发包人认可后方可离开  </w:t>
      </w:r>
      <w:r>
        <w:rPr>
          <w:rFonts w:hint="eastAsia" w:ascii="宋体" w:hAnsi="宋体" w:cs="楷体"/>
          <w:sz w:val="24"/>
          <w:szCs w:val="24"/>
          <w:highlight w:val="none"/>
        </w:rPr>
        <w:t>。</w:t>
      </w:r>
    </w:p>
    <w:p w14:paraId="71EF5977">
      <w:pPr>
        <w:spacing w:line="540" w:lineRule="exact"/>
        <w:rPr>
          <w:rFonts w:ascii="宋体" w:hAnsi="宋体" w:cs="楷体"/>
          <w:sz w:val="24"/>
          <w:szCs w:val="24"/>
          <w:highlight w:val="none"/>
        </w:rPr>
      </w:pPr>
      <w:r>
        <w:rPr>
          <w:rFonts w:hint="eastAsia" w:ascii="宋体" w:hAnsi="宋体" w:cs="楷体"/>
          <w:sz w:val="24"/>
          <w:szCs w:val="24"/>
          <w:highlight w:val="none"/>
        </w:rPr>
        <w:t>3.3.5承包人擅自更换主要施工管理人员的违约责任： 。</w:t>
      </w:r>
    </w:p>
    <w:p w14:paraId="6F5E1005">
      <w:pPr>
        <w:spacing w:line="540" w:lineRule="exact"/>
        <w:rPr>
          <w:rFonts w:ascii="宋体" w:hAnsi="宋体" w:cs="楷体"/>
          <w:sz w:val="24"/>
          <w:szCs w:val="24"/>
          <w:highlight w:val="none"/>
        </w:rPr>
      </w:pPr>
      <w:r>
        <w:rPr>
          <w:rFonts w:hint="eastAsia" w:ascii="宋体" w:hAnsi="宋体" w:cs="楷体"/>
          <w:sz w:val="24"/>
          <w:szCs w:val="24"/>
          <w:highlight w:val="none"/>
        </w:rPr>
        <w:t>承包人主要施工管理人员擅自离开施工现场的违约责任：。</w:t>
      </w:r>
    </w:p>
    <w:p w14:paraId="647E7191">
      <w:pPr>
        <w:spacing w:line="540" w:lineRule="exact"/>
        <w:rPr>
          <w:rFonts w:ascii="宋体" w:hAnsi="宋体" w:cs="楷体"/>
          <w:sz w:val="24"/>
          <w:szCs w:val="24"/>
          <w:highlight w:val="none"/>
        </w:rPr>
      </w:pPr>
      <w:r>
        <w:rPr>
          <w:rFonts w:hint="eastAsia" w:ascii="宋体" w:hAnsi="宋体" w:cs="楷体"/>
          <w:bCs/>
          <w:sz w:val="24"/>
          <w:szCs w:val="24"/>
          <w:highlight w:val="none"/>
        </w:rPr>
        <w:t>3</w:t>
      </w:r>
      <w:bookmarkStart w:id="527" w:name="_Toc296890987"/>
      <w:bookmarkEnd w:id="527"/>
      <w:bookmarkStart w:id="528" w:name="_Toc296891199"/>
      <w:bookmarkEnd w:id="528"/>
      <w:bookmarkStart w:id="529" w:name="_Toc304295523"/>
      <w:bookmarkEnd w:id="529"/>
      <w:bookmarkStart w:id="530" w:name="_Toc297123492"/>
      <w:bookmarkEnd w:id="530"/>
      <w:bookmarkStart w:id="531" w:name="_Toc292559869"/>
      <w:bookmarkEnd w:id="531"/>
      <w:bookmarkStart w:id="532" w:name="_Toc296346660"/>
      <w:bookmarkEnd w:id="532"/>
      <w:bookmarkStart w:id="533" w:name="_Toc300934945"/>
      <w:bookmarkEnd w:id="533"/>
      <w:bookmarkStart w:id="534" w:name="_Toc296347158"/>
      <w:bookmarkEnd w:id="534"/>
      <w:bookmarkStart w:id="535" w:name="_Toc303539102"/>
      <w:bookmarkEnd w:id="535"/>
      <w:bookmarkStart w:id="536" w:name="_Toc297216151"/>
      <w:bookmarkEnd w:id="536"/>
      <w:bookmarkStart w:id="537" w:name="_Toc296944498"/>
      <w:bookmarkEnd w:id="537"/>
      <w:bookmarkStart w:id="538" w:name="_Toc297048345"/>
      <w:bookmarkEnd w:id="538"/>
      <w:bookmarkStart w:id="539" w:name="_Toc296503159"/>
      <w:bookmarkEnd w:id="539"/>
      <w:bookmarkStart w:id="540" w:name="_Toc312677988"/>
      <w:bookmarkEnd w:id="540"/>
      <w:bookmarkStart w:id="541" w:name="_Toc297120459"/>
      <w:bookmarkEnd w:id="541"/>
      <w:bookmarkStart w:id="542" w:name="_Toc292559364"/>
      <w:r>
        <w:rPr>
          <w:rFonts w:hint="eastAsia" w:ascii="宋体" w:hAnsi="宋体" w:cs="楷体"/>
          <w:bCs/>
          <w:sz w:val="24"/>
          <w:szCs w:val="24"/>
          <w:highlight w:val="none"/>
        </w:rPr>
        <w:t xml:space="preserve">.5 </w:t>
      </w:r>
      <w:bookmarkEnd w:id="542"/>
      <w:r>
        <w:rPr>
          <w:rFonts w:hint="eastAsia" w:ascii="宋体" w:hAnsi="宋体" w:cs="楷体"/>
          <w:sz w:val="24"/>
          <w:szCs w:val="24"/>
          <w:highlight w:val="none"/>
        </w:rPr>
        <w:t>分包</w:t>
      </w:r>
    </w:p>
    <w:p w14:paraId="2033304F">
      <w:pPr>
        <w:spacing w:line="540" w:lineRule="exact"/>
        <w:rPr>
          <w:rFonts w:ascii="宋体" w:hAnsi="宋体" w:cs="楷体"/>
          <w:sz w:val="24"/>
          <w:szCs w:val="24"/>
          <w:highlight w:val="none"/>
        </w:rPr>
      </w:pPr>
      <w:r>
        <w:rPr>
          <w:rFonts w:hint="eastAsia" w:ascii="宋体" w:hAnsi="宋体" w:cs="楷体"/>
          <w:sz w:val="24"/>
          <w:szCs w:val="24"/>
          <w:highlight w:val="none"/>
        </w:rPr>
        <w:t>3</w:t>
      </w:r>
      <w:bookmarkStart w:id="543" w:name="_Toc304295524"/>
      <w:bookmarkEnd w:id="543"/>
      <w:bookmarkStart w:id="544" w:name="_Toc296891200"/>
      <w:bookmarkEnd w:id="544"/>
      <w:bookmarkStart w:id="545" w:name="_Toc296346661"/>
      <w:bookmarkEnd w:id="545"/>
      <w:bookmarkStart w:id="546" w:name="_Toc297216152"/>
      <w:bookmarkEnd w:id="546"/>
      <w:bookmarkStart w:id="547" w:name="_Toc318581158"/>
      <w:bookmarkEnd w:id="547"/>
      <w:bookmarkStart w:id="548" w:name="_Toc292559365"/>
      <w:bookmarkEnd w:id="548"/>
      <w:bookmarkStart w:id="549" w:name="_Toc296944499"/>
      <w:bookmarkEnd w:id="549"/>
      <w:bookmarkStart w:id="550" w:name="_Toc297123493"/>
      <w:bookmarkEnd w:id="550"/>
      <w:bookmarkStart w:id="551" w:name="_Toc312677989"/>
      <w:bookmarkEnd w:id="551"/>
      <w:bookmarkStart w:id="552" w:name="_Toc303539103"/>
      <w:bookmarkEnd w:id="552"/>
      <w:bookmarkStart w:id="553" w:name="_Toc296503160"/>
      <w:bookmarkEnd w:id="553"/>
      <w:bookmarkStart w:id="554" w:name="_Toc297120460"/>
      <w:bookmarkEnd w:id="554"/>
      <w:bookmarkStart w:id="555" w:name="_Toc300934946"/>
      <w:bookmarkEnd w:id="555"/>
      <w:bookmarkStart w:id="556" w:name="_Toc296347159"/>
      <w:bookmarkEnd w:id="556"/>
      <w:bookmarkStart w:id="557" w:name="_Toc292559870"/>
      <w:bookmarkEnd w:id="557"/>
      <w:bookmarkStart w:id="558" w:name="_Toc296890988"/>
      <w:bookmarkEnd w:id="558"/>
      <w:bookmarkStart w:id="559" w:name="_Toc297048346"/>
      <w:r>
        <w:rPr>
          <w:rFonts w:hint="eastAsia" w:ascii="宋体" w:hAnsi="宋体" w:cs="楷体"/>
          <w:sz w:val="24"/>
          <w:szCs w:val="24"/>
          <w:highlight w:val="none"/>
        </w:rPr>
        <w:t>.5.1 分包的一般约定</w:t>
      </w:r>
      <w:bookmarkEnd w:id="559"/>
    </w:p>
    <w:p w14:paraId="3FDD4DE6">
      <w:pPr>
        <w:spacing w:line="540" w:lineRule="exact"/>
        <w:rPr>
          <w:rFonts w:ascii="宋体" w:hAnsi="宋体" w:cs="楷体"/>
          <w:sz w:val="24"/>
          <w:szCs w:val="24"/>
          <w:highlight w:val="none"/>
        </w:rPr>
      </w:pPr>
      <w:r>
        <w:rPr>
          <w:rFonts w:hint="eastAsia" w:ascii="宋体" w:hAnsi="宋体" w:cs="楷体"/>
          <w:sz w:val="24"/>
          <w:szCs w:val="24"/>
          <w:highlight w:val="none"/>
        </w:rPr>
        <w:t>禁止分包的工程包括：</w:t>
      </w:r>
      <w:r>
        <w:rPr>
          <w:rFonts w:hint="eastAsia" w:ascii="宋体" w:hAnsi="宋体" w:cs="楷体"/>
          <w:sz w:val="24"/>
          <w:szCs w:val="24"/>
          <w:highlight w:val="none"/>
          <w:u w:val="single"/>
        </w:rPr>
        <w:t xml:space="preserve">   本工程不得分包     </w:t>
      </w:r>
      <w:r>
        <w:rPr>
          <w:rFonts w:hint="eastAsia" w:ascii="宋体" w:hAnsi="宋体" w:cs="楷体"/>
          <w:sz w:val="24"/>
          <w:szCs w:val="24"/>
          <w:highlight w:val="none"/>
        </w:rPr>
        <w:t>。</w:t>
      </w:r>
    </w:p>
    <w:p w14:paraId="319B9708">
      <w:pPr>
        <w:spacing w:line="540" w:lineRule="exact"/>
        <w:rPr>
          <w:rFonts w:ascii="宋体" w:hAnsi="宋体" w:cs="楷体"/>
          <w:sz w:val="24"/>
          <w:szCs w:val="24"/>
          <w:highlight w:val="none"/>
          <w:u w:val="single"/>
        </w:rPr>
      </w:pPr>
      <w:r>
        <w:rPr>
          <w:rFonts w:hint="eastAsia" w:ascii="宋体" w:hAnsi="宋体" w:cs="楷体"/>
          <w:sz w:val="24"/>
          <w:szCs w:val="24"/>
          <w:highlight w:val="none"/>
        </w:rPr>
        <w:t>主体结构、关键性工作的范围：。</w:t>
      </w:r>
      <w:bookmarkStart w:id="560" w:name="_Toc304295525"/>
      <w:bookmarkEnd w:id="560"/>
      <w:bookmarkStart w:id="561" w:name="_Toc296503161"/>
      <w:bookmarkEnd w:id="561"/>
      <w:bookmarkStart w:id="562" w:name="_Toc296944500"/>
      <w:bookmarkEnd w:id="562"/>
      <w:bookmarkStart w:id="563" w:name="_Toc297120461"/>
      <w:bookmarkEnd w:id="563"/>
      <w:bookmarkStart w:id="564" w:name="_Toc296891201"/>
      <w:bookmarkEnd w:id="564"/>
      <w:bookmarkStart w:id="565" w:name="_Toc303539104"/>
      <w:bookmarkEnd w:id="565"/>
      <w:bookmarkStart w:id="566" w:name="_Toc297123494"/>
      <w:bookmarkEnd w:id="566"/>
      <w:bookmarkStart w:id="567" w:name="_Toc296347160"/>
      <w:bookmarkEnd w:id="567"/>
      <w:bookmarkStart w:id="568" w:name="_Toc296890989"/>
      <w:bookmarkEnd w:id="568"/>
      <w:bookmarkStart w:id="569" w:name="_Toc297048347"/>
      <w:bookmarkEnd w:id="569"/>
      <w:bookmarkStart w:id="570" w:name="_Toc297216153"/>
      <w:bookmarkEnd w:id="570"/>
      <w:bookmarkStart w:id="571" w:name="_Toc296346662"/>
      <w:bookmarkEnd w:id="571"/>
      <w:bookmarkStart w:id="572" w:name="_Toc300934947"/>
      <w:bookmarkEnd w:id="572"/>
    </w:p>
    <w:p w14:paraId="0ED44668">
      <w:pPr>
        <w:spacing w:line="540" w:lineRule="exact"/>
        <w:rPr>
          <w:rFonts w:ascii="宋体" w:hAnsi="宋体" w:cs="楷体"/>
          <w:sz w:val="24"/>
          <w:szCs w:val="24"/>
          <w:highlight w:val="none"/>
        </w:rPr>
      </w:pPr>
      <w:r>
        <w:rPr>
          <w:rFonts w:hint="eastAsia" w:ascii="宋体" w:hAnsi="宋体" w:cs="楷体"/>
          <w:sz w:val="24"/>
          <w:szCs w:val="24"/>
          <w:highlight w:val="none"/>
        </w:rPr>
        <w:t>3</w:t>
      </w:r>
      <w:bookmarkStart w:id="573" w:name="_Toc318581159"/>
      <w:bookmarkEnd w:id="573"/>
      <w:bookmarkStart w:id="574" w:name="_Toc312677990"/>
      <w:r>
        <w:rPr>
          <w:rFonts w:hint="eastAsia" w:ascii="宋体" w:hAnsi="宋体" w:cs="楷体"/>
          <w:sz w:val="24"/>
          <w:szCs w:val="24"/>
          <w:highlight w:val="none"/>
        </w:rPr>
        <w:t>.5.2分包的确定</w:t>
      </w:r>
      <w:bookmarkEnd w:id="574"/>
    </w:p>
    <w:p w14:paraId="14AAFCD5">
      <w:pPr>
        <w:spacing w:line="540" w:lineRule="exact"/>
        <w:rPr>
          <w:rFonts w:ascii="宋体" w:hAnsi="宋体" w:cs="楷体"/>
          <w:sz w:val="24"/>
          <w:szCs w:val="24"/>
          <w:highlight w:val="none"/>
          <w:u w:val="single"/>
        </w:rPr>
      </w:pPr>
      <w:r>
        <w:rPr>
          <w:rFonts w:hint="eastAsia" w:ascii="宋体" w:hAnsi="宋体" w:cs="楷体"/>
          <w:sz w:val="24"/>
          <w:szCs w:val="24"/>
          <w:highlight w:val="none"/>
        </w:rPr>
        <w:t>允许分包的专业工程包括：</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3E38C224">
      <w:pPr>
        <w:spacing w:line="540" w:lineRule="exact"/>
        <w:rPr>
          <w:rFonts w:ascii="宋体" w:hAnsi="宋体" w:cs="楷体"/>
          <w:sz w:val="24"/>
          <w:szCs w:val="24"/>
          <w:highlight w:val="none"/>
        </w:rPr>
      </w:pPr>
      <w:r>
        <w:rPr>
          <w:rFonts w:hint="eastAsia" w:ascii="宋体" w:hAnsi="宋体" w:cs="楷体"/>
          <w:sz w:val="24"/>
          <w:szCs w:val="24"/>
          <w:highlight w:val="none"/>
        </w:rPr>
        <w:t>其他关于分包的约定：</w:t>
      </w:r>
      <w:r>
        <w:rPr>
          <w:rFonts w:hint="eastAsia" w:ascii="宋体" w:hAnsi="宋体" w:cs="楷体"/>
          <w:sz w:val="24"/>
          <w:szCs w:val="24"/>
          <w:highlight w:val="none"/>
          <w:u w:val="single"/>
        </w:rPr>
        <w:t xml:space="preserve"> 本工程发包人同意承包人分包的工程不得转包或分包。必须分包的需甲方书面同意</w:t>
      </w:r>
      <w:r>
        <w:rPr>
          <w:rFonts w:hint="eastAsia" w:ascii="宋体" w:hAnsi="宋体" w:cs="楷体"/>
          <w:sz w:val="24"/>
          <w:szCs w:val="24"/>
          <w:highlight w:val="none"/>
        </w:rPr>
        <w:t>。</w:t>
      </w:r>
    </w:p>
    <w:p w14:paraId="6A946B1E">
      <w:pPr>
        <w:spacing w:line="540" w:lineRule="exact"/>
        <w:rPr>
          <w:rFonts w:ascii="宋体" w:hAnsi="宋体" w:cs="楷体"/>
          <w:sz w:val="24"/>
          <w:szCs w:val="24"/>
          <w:highlight w:val="none"/>
        </w:rPr>
      </w:pPr>
      <w:r>
        <w:rPr>
          <w:rFonts w:hint="eastAsia" w:ascii="宋体" w:hAnsi="宋体" w:cs="楷体"/>
          <w:sz w:val="24"/>
          <w:szCs w:val="24"/>
          <w:highlight w:val="none"/>
        </w:rPr>
        <w:t>3.5.4 分包合同价款</w:t>
      </w:r>
    </w:p>
    <w:p w14:paraId="6BA59817">
      <w:pPr>
        <w:spacing w:line="540" w:lineRule="exact"/>
        <w:rPr>
          <w:rFonts w:ascii="宋体" w:hAnsi="宋体" w:cs="楷体"/>
          <w:sz w:val="24"/>
          <w:szCs w:val="24"/>
          <w:highlight w:val="none"/>
        </w:rPr>
      </w:pPr>
      <w:r>
        <w:rPr>
          <w:rFonts w:hint="eastAsia" w:ascii="宋体" w:hAnsi="宋体" w:cs="楷体"/>
          <w:sz w:val="24"/>
          <w:szCs w:val="24"/>
          <w:highlight w:val="none"/>
        </w:rPr>
        <w:t>关于分包合同价款支付的约定：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82D9F25">
      <w:pPr>
        <w:spacing w:line="540" w:lineRule="exact"/>
        <w:rPr>
          <w:rFonts w:ascii="宋体" w:hAnsi="宋体" w:cs="楷体"/>
          <w:sz w:val="24"/>
          <w:szCs w:val="24"/>
          <w:highlight w:val="none"/>
        </w:rPr>
      </w:pPr>
      <w:r>
        <w:rPr>
          <w:rFonts w:hint="eastAsia" w:ascii="宋体" w:hAnsi="宋体" w:cs="楷体"/>
          <w:bCs/>
          <w:sz w:val="24"/>
          <w:szCs w:val="24"/>
          <w:highlight w:val="none"/>
        </w:rPr>
        <w:t>3.6</w:t>
      </w:r>
      <w:r>
        <w:rPr>
          <w:rFonts w:hint="eastAsia" w:ascii="宋体" w:hAnsi="宋体" w:cs="楷体"/>
          <w:sz w:val="24"/>
          <w:szCs w:val="24"/>
          <w:highlight w:val="none"/>
        </w:rPr>
        <w:t xml:space="preserve"> 工程照管与成品、半成品保护</w:t>
      </w:r>
    </w:p>
    <w:p w14:paraId="3CCE65DE">
      <w:pPr>
        <w:spacing w:line="540" w:lineRule="exact"/>
        <w:rPr>
          <w:rFonts w:ascii="宋体" w:hAnsi="宋体" w:cs="楷体"/>
          <w:sz w:val="24"/>
          <w:szCs w:val="24"/>
          <w:highlight w:val="none"/>
          <w:u w:val="single"/>
        </w:rPr>
      </w:pPr>
      <w:r>
        <w:rPr>
          <w:rFonts w:hint="eastAsia" w:ascii="宋体" w:hAnsi="宋体" w:cs="楷体"/>
          <w:sz w:val="24"/>
          <w:szCs w:val="24"/>
          <w:highlight w:val="none"/>
        </w:rPr>
        <w:t>承包人负责照管工程及工程相关的材料、工程设备的起始时间：</w:t>
      </w:r>
      <w:r>
        <w:rPr>
          <w:rFonts w:hint="eastAsia" w:ascii="宋体" w:hAnsi="宋体" w:cs="楷体"/>
          <w:sz w:val="24"/>
          <w:szCs w:val="24"/>
          <w:highlight w:val="none"/>
          <w:u w:val="single"/>
        </w:rPr>
        <w:t xml:space="preserve">  设备人员进场至验收交付使用前由承包人负责保修，无其他特殊要求得，费用由承包人承担  </w:t>
      </w:r>
      <w:r>
        <w:rPr>
          <w:rFonts w:hint="eastAsia" w:ascii="宋体" w:hAnsi="宋体" w:cs="楷体"/>
          <w:sz w:val="24"/>
          <w:szCs w:val="24"/>
          <w:highlight w:val="none"/>
        </w:rPr>
        <w:t>。</w:t>
      </w:r>
    </w:p>
    <w:p w14:paraId="5979489D">
      <w:pPr>
        <w:spacing w:line="540" w:lineRule="exact"/>
        <w:rPr>
          <w:rFonts w:ascii="宋体" w:hAnsi="宋体" w:cs="楷体"/>
          <w:sz w:val="24"/>
          <w:szCs w:val="24"/>
          <w:highlight w:val="none"/>
        </w:rPr>
      </w:pPr>
      <w:r>
        <w:rPr>
          <w:rFonts w:hint="eastAsia" w:ascii="宋体" w:hAnsi="宋体" w:cs="楷体"/>
          <w:bCs/>
          <w:sz w:val="24"/>
          <w:szCs w:val="24"/>
          <w:highlight w:val="none"/>
        </w:rPr>
        <w:t>3.7</w:t>
      </w:r>
      <w:r>
        <w:rPr>
          <w:rFonts w:hint="eastAsia" w:ascii="宋体" w:hAnsi="宋体" w:cs="楷体"/>
          <w:sz w:val="24"/>
          <w:szCs w:val="24"/>
          <w:highlight w:val="none"/>
        </w:rPr>
        <w:t xml:space="preserve"> 履约担保</w:t>
      </w:r>
    </w:p>
    <w:p w14:paraId="490A2B2A">
      <w:pPr>
        <w:spacing w:line="540" w:lineRule="exact"/>
        <w:rPr>
          <w:rFonts w:ascii="宋体" w:hAnsi="宋体" w:cs="楷体"/>
          <w:sz w:val="24"/>
          <w:szCs w:val="24"/>
          <w:highlight w:val="none"/>
        </w:rPr>
      </w:pPr>
      <w:r>
        <w:rPr>
          <w:rFonts w:hint="eastAsia" w:ascii="宋体" w:hAnsi="宋体" w:cs="楷体"/>
          <w:sz w:val="24"/>
          <w:szCs w:val="24"/>
          <w:highlight w:val="none"/>
        </w:rPr>
        <w:t>承包人是否提供履约担保：</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903C8FB">
      <w:pPr>
        <w:spacing w:line="540" w:lineRule="exact"/>
        <w:rPr>
          <w:rFonts w:ascii="宋体" w:hAnsi="宋体" w:cs="楷体"/>
          <w:sz w:val="24"/>
          <w:szCs w:val="24"/>
          <w:highlight w:val="none"/>
        </w:rPr>
      </w:pPr>
      <w:r>
        <w:rPr>
          <w:rFonts w:hint="eastAsia" w:ascii="宋体" w:hAnsi="宋体" w:cs="楷体"/>
          <w:sz w:val="24"/>
          <w:szCs w:val="24"/>
          <w:highlight w:val="none"/>
        </w:rPr>
        <w:t>承包人提供履约担保的形式、金额及期限的：。</w:t>
      </w:r>
    </w:p>
    <w:p w14:paraId="4C7A5DE5">
      <w:pPr>
        <w:keepNext/>
        <w:spacing w:line="540" w:lineRule="exact"/>
        <w:outlineLvl w:val="3"/>
        <w:rPr>
          <w:rFonts w:ascii="宋体" w:hAnsi="宋体" w:cs="楷体"/>
          <w:b/>
          <w:bCs/>
          <w:sz w:val="24"/>
          <w:szCs w:val="24"/>
          <w:highlight w:val="none"/>
        </w:rPr>
      </w:pPr>
      <w:bookmarkStart w:id="575" w:name="_Toc351203636"/>
      <w:bookmarkEnd w:id="575"/>
      <w:r>
        <w:rPr>
          <w:rFonts w:hint="eastAsia" w:ascii="宋体" w:hAnsi="宋体" w:cs="楷体"/>
          <w:b/>
          <w:bCs/>
          <w:sz w:val="24"/>
          <w:szCs w:val="24"/>
          <w:highlight w:val="none"/>
        </w:rPr>
        <w:t>4</w:t>
      </w:r>
      <w:bookmarkStart w:id="576" w:name="_Toc296890990"/>
      <w:bookmarkEnd w:id="576"/>
      <w:bookmarkStart w:id="577" w:name="_Toc292559366"/>
      <w:bookmarkEnd w:id="577"/>
      <w:bookmarkStart w:id="578" w:name="_Toc296503162"/>
      <w:bookmarkEnd w:id="578"/>
      <w:bookmarkStart w:id="579" w:name="_Toc297048348"/>
      <w:bookmarkEnd w:id="579"/>
      <w:bookmarkStart w:id="580" w:name="_Toc296944501"/>
      <w:bookmarkEnd w:id="580"/>
      <w:bookmarkStart w:id="581" w:name="_Toc296347161"/>
      <w:bookmarkEnd w:id="581"/>
      <w:bookmarkStart w:id="582" w:name="_Toc297120462"/>
      <w:bookmarkEnd w:id="582"/>
      <w:bookmarkStart w:id="583" w:name="_Toc267251413"/>
      <w:bookmarkEnd w:id="583"/>
      <w:bookmarkStart w:id="584" w:name="_Toc296891202"/>
      <w:bookmarkEnd w:id="584"/>
      <w:bookmarkStart w:id="585" w:name="_Toc296346663"/>
      <w:bookmarkEnd w:id="585"/>
      <w:bookmarkStart w:id="586" w:name="_Toc292559871"/>
      <w:r>
        <w:rPr>
          <w:rFonts w:hint="eastAsia" w:ascii="宋体" w:hAnsi="宋体" w:cs="楷体"/>
          <w:b/>
          <w:bCs/>
          <w:sz w:val="24"/>
          <w:szCs w:val="24"/>
          <w:highlight w:val="none"/>
        </w:rPr>
        <w:t>. 监</w:t>
      </w:r>
      <w:bookmarkEnd w:id="586"/>
      <w:r>
        <w:rPr>
          <w:rFonts w:hint="eastAsia" w:ascii="宋体" w:hAnsi="宋体" w:cs="楷体"/>
          <w:b/>
          <w:bCs/>
          <w:sz w:val="24"/>
          <w:szCs w:val="24"/>
          <w:highlight w:val="none"/>
        </w:rPr>
        <w:t>理人</w:t>
      </w:r>
    </w:p>
    <w:p w14:paraId="255373C8">
      <w:pPr>
        <w:spacing w:line="540" w:lineRule="exact"/>
        <w:rPr>
          <w:rFonts w:ascii="宋体" w:hAnsi="宋体" w:cs="楷体"/>
          <w:sz w:val="24"/>
          <w:szCs w:val="24"/>
          <w:highlight w:val="none"/>
        </w:rPr>
      </w:pPr>
      <w:r>
        <w:rPr>
          <w:rFonts w:hint="eastAsia" w:ascii="宋体" w:hAnsi="宋体" w:cs="楷体"/>
          <w:bCs/>
          <w:sz w:val="24"/>
          <w:szCs w:val="24"/>
          <w:highlight w:val="none"/>
        </w:rPr>
        <w:t>4.1</w:t>
      </w:r>
      <w:r>
        <w:rPr>
          <w:rFonts w:hint="eastAsia" w:ascii="宋体" w:hAnsi="宋体" w:cs="楷体"/>
          <w:sz w:val="24"/>
          <w:szCs w:val="24"/>
          <w:highlight w:val="none"/>
        </w:rPr>
        <w:t>监理人的一般规定</w:t>
      </w:r>
    </w:p>
    <w:p w14:paraId="7F761333">
      <w:pPr>
        <w:spacing w:line="540" w:lineRule="exact"/>
        <w:rPr>
          <w:rFonts w:ascii="宋体" w:hAnsi="宋体" w:cs="楷体"/>
          <w:sz w:val="24"/>
          <w:szCs w:val="24"/>
          <w:highlight w:val="none"/>
        </w:rPr>
      </w:pPr>
      <w:r>
        <w:rPr>
          <w:rFonts w:hint="eastAsia" w:ascii="宋体" w:hAnsi="宋体" w:cs="楷体"/>
          <w:sz w:val="24"/>
          <w:szCs w:val="24"/>
          <w:highlight w:val="none"/>
        </w:rPr>
        <w:t>关于监理人的监理内容：</w:t>
      </w:r>
      <w:r>
        <w:rPr>
          <w:rFonts w:hint="eastAsia" w:ascii="宋体" w:hAnsi="宋体" w:cs="楷体"/>
          <w:sz w:val="24"/>
          <w:szCs w:val="24"/>
          <w:highlight w:val="none"/>
          <w:u w:val="single"/>
        </w:rPr>
        <w:t xml:space="preserve">     见监理合同                </w:t>
      </w:r>
      <w:r>
        <w:rPr>
          <w:rFonts w:hint="eastAsia" w:ascii="宋体" w:hAnsi="宋体" w:cs="楷体"/>
          <w:sz w:val="24"/>
          <w:szCs w:val="24"/>
          <w:highlight w:val="none"/>
        </w:rPr>
        <w:t>。</w:t>
      </w:r>
    </w:p>
    <w:p w14:paraId="4FE7FD2F">
      <w:pPr>
        <w:spacing w:line="540" w:lineRule="exact"/>
        <w:rPr>
          <w:rFonts w:ascii="宋体" w:hAnsi="宋体" w:cs="楷体"/>
          <w:sz w:val="24"/>
          <w:szCs w:val="24"/>
          <w:highlight w:val="none"/>
        </w:rPr>
      </w:pPr>
      <w:r>
        <w:rPr>
          <w:rFonts w:hint="eastAsia" w:ascii="宋体" w:hAnsi="宋体" w:cs="楷体"/>
          <w:sz w:val="24"/>
          <w:szCs w:val="24"/>
          <w:highlight w:val="none"/>
        </w:rPr>
        <w:t>关于监理人的监理权限：</w:t>
      </w:r>
      <w:r>
        <w:rPr>
          <w:rFonts w:hint="eastAsia" w:ascii="宋体" w:hAnsi="宋体" w:cs="楷体"/>
          <w:sz w:val="24"/>
          <w:szCs w:val="24"/>
          <w:highlight w:val="none"/>
          <w:u w:val="single"/>
        </w:rPr>
        <w:t xml:space="preserve">      见监理合同                </w:t>
      </w:r>
      <w:r>
        <w:rPr>
          <w:rFonts w:hint="eastAsia" w:ascii="宋体" w:hAnsi="宋体" w:cs="楷体"/>
          <w:sz w:val="24"/>
          <w:szCs w:val="24"/>
          <w:highlight w:val="none"/>
        </w:rPr>
        <w:t xml:space="preserve">。 </w:t>
      </w:r>
    </w:p>
    <w:p w14:paraId="5296C4E7">
      <w:pPr>
        <w:spacing w:line="540" w:lineRule="exact"/>
        <w:rPr>
          <w:rFonts w:ascii="宋体" w:hAnsi="宋体" w:cs="楷体"/>
          <w:sz w:val="24"/>
          <w:szCs w:val="24"/>
          <w:highlight w:val="none"/>
          <w:u w:val="single"/>
        </w:rPr>
      </w:pPr>
      <w:r>
        <w:rPr>
          <w:rFonts w:hint="eastAsia" w:ascii="宋体" w:hAnsi="宋体" w:cs="楷体"/>
          <w:sz w:val="24"/>
          <w:szCs w:val="24"/>
          <w:highlight w:val="none"/>
        </w:rPr>
        <w:t>关于监理人在施工现场的办公场所、生活场所的提供和费用承担的约定：</w:t>
      </w:r>
      <w:r>
        <w:rPr>
          <w:rFonts w:hint="eastAsia" w:ascii="宋体" w:hAnsi="宋体" w:cs="楷体"/>
          <w:sz w:val="24"/>
          <w:szCs w:val="24"/>
          <w:highlight w:val="none"/>
          <w:u w:val="single"/>
        </w:rPr>
        <w:t xml:space="preserve"> 见监理合同                        </w:t>
      </w:r>
    </w:p>
    <w:p w14:paraId="634F874A">
      <w:pPr>
        <w:spacing w:line="540" w:lineRule="exact"/>
        <w:rPr>
          <w:rFonts w:ascii="宋体" w:hAnsi="宋体" w:cs="楷体"/>
          <w:sz w:val="24"/>
          <w:szCs w:val="24"/>
          <w:highlight w:val="none"/>
        </w:rPr>
      </w:pPr>
      <w:r>
        <w:rPr>
          <w:rFonts w:hint="eastAsia" w:ascii="宋体" w:hAnsi="宋体" w:cs="楷体"/>
          <w:bCs/>
          <w:sz w:val="24"/>
          <w:szCs w:val="24"/>
          <w:highlight w:val="none"/>
        </w:rPr>
        <w:t>4.2</w:t>
      </w:r>
      <w:r>
        <w:rPr>
          <w:rFonts w:hint="eastAsia" w:ascii="宋体" w:hAnsi="宋体" w:cs="楷体"/>
          <w:sz w:val="24"/>
          <w:szCs w:val="24"/>
          <w:highlight w:val="none"/>
        </w:rPr>
        <w:t xml:space="preserve"> 监理人员</w:t>
      </w:r>
    </w:p>
    <w:p w14:paraId="3C27C237">
      <w:pPr>
        <w:spacing w:line="540" w:lineRule="exact"/>
        <w:rPr>
          <w:rFonts w:ascii="宋体" w:hAnsi="宋体" w:cs="楷体"/>
          <w:sz w:val="24"/>
          <w:szCs w:val="24"/>
          <w:highlight w:val="none"/>
        </w:rPr>
      </w:pPr>
      <w:r>
        <w:rPr>
          <w:rFonts w:hint="eastAsia" w:ascii="宋体" w:hAnsi="宋体" w:cs="楷体"/>
          <w:sz w:val="24"/>
          <w:szCs w:val="24"/>
          <w:highlight w:val="none"/>
        </w:rPr>
        <w:t>总监理工程师：</w:t>
      </w:r>
    </w:p>
    <w:p w14:paraId="47F0EA47">
      <w:pPr>
        <w:spacing w:line="540" w:lineRule="exact"/>
        <w:rPr>
          <w:rFonts w:ascii="宋体" w:hAnsi="宋体" w:cs="楷体"/>
          <w:sz w:val="24"/>
          <w:szCs w:val="24"/>
          <w:highlight w:val="none"/>
        </w:rPr>
      </w:pPr>
      <w:r>
        <w:rPr>
          <w:rFonts w:hint="eastAsia" w:ascii="宋体" w:hAnsi="宋体" w:cs="楷体"/>
          <w:sz w:val="24"/>
          <w:szCs w:val="24"/>
          <w:highlight w:val="none"/>
        </w:rPr>
        <w:t>姓    名：；</w:t>
      </w:r>
    </w:p>
    <w:p w14:paraId="4B2EB424">
      <w:pPr>
        <w:spacing w:line="540" w:lineRule="exact"/>
        <w:rPr>
          <w:rFonts w:ascii="宋体" w:hAnsi="宋体" w:cs="楷体"/>
          <w:sz w:val="24"/>
          <w:szCs w:val="24"/>
          <w:highlight w:val="none"/>
        </w:rPr>
      </w:pPr>
      <w:r>
        <w:rPr>
          <w:rFonts w:hint="eastAsia" w:ascii="宋体" w:hAnsi="宋体" w:cs="楷体"/>
          <w:sz w:val="24"/>
          <w:szCs w:val="24"/>
          <w:highlight w:val="none"/>
        </w:rPr>
        <w:t>职    务：；</w:t>
      </w:r>
    </w:p>
    <w:p w14:paraId="154CCB7B">
      <w:pPr>
        <w:spacing w:line="540" w:lineRule="exact"/>
        <w:rPr>
          <w:rFonts w:ascii="宋体" w:hAnsi="宋体" w:cs="楷体"/>
          <w:sz w:val="24"/>
          <w:szCs w:val="24"/>
          <w:highlight w:val="none"/>
        </w:rPr>
      </w:pPr>
      <w:r>
        <w:rPr>
          <w:rFonts w:hint="eastAsia" w:ascii="宋体" w:hAnsi="宋体" w:cs="楷体"/>
          <w:sz w:val="24"/>
          <w:szCs w:val="24"/>
          <w:highlight w:val="none"/>
        </w:rPr>
        <w:t>监理工程师执业资格证书号：；</w:t>
      </w:r>
    </w:p>
    <w:p w14:paraId="0B9F1453">
      <w:pPr>
        <w:spacing w:line="540" w:lineRule="exact"/>
        <w:rPr>
          <w:rFonts w:ascii="宋体" w:hAnsi="宋体" w:cs="楷体"/>
          <w:sz w:val="24"/>
          <w:szCs w:val="24"/>
          <w:highlight w:val="none"/>
        </w:rPr>
      </w:pPr>
      <w:r>
        <w:rPr>
          <w:rFonts w:hint="eastAsia" w:ascii="宋体" w:hAnsi="宋体" w:cs="楷体"/>
          <w:sz w:val="24"/>
          <w:szCs w:val="24"/>
          <w:highlight w:val="none"/>
        </w:rPr>
        <w:t>联系电话：；</w:t>
      </w:r>
    </w:p>
    <w:p w14:paraId="0A1EFC23">
      <w:pPr>
        <w:spacing w:line="540" w:lineRule="exact"/>
        <w:rPr>
          <w:rFonts w:ascii="宋体" w:hAnsi="宋体" w:cs="楷体"/>
          <w:sz w:val="24"/>
          <w:szCs w:val="24"/>
          <w:highlight w:val="none"/>
        </w:rPr>
      </w:pPr>
      <w:r>
        <w:rPr>
          <w:rFonts w:hint="eastAsia" w:ascii="宋体" w:hAnsi="宋体" w:cs="楷体"/>
          <w:sz w:val="24"/>
          <w:szCs w:val="24"/>
          <w:highlight w:val="none"/>
        </w:rPr>
        <w:t>电子信箱：；</w:t>
      </w:r>
    </w:p>
    <w:p w14:paraId="1473F716">
      <w:pPr>
        <w:spacing w:line="540" w:lineRule="exact"/>
        <w:rPr>
          <w:rFonts w:ascii="宋体" w:hAnsi="宋体" w:cs="楷体"/>
          <w:sz w:val="24"/>
          <w:szCs w:val="24"/>
          <w:highlight w:val="none"/>
        </w:rPr>
      </w:pPr>
      <w:r>
        <w:rPr>
          <w:rFonts w:hint="eastAsia" w:ascii="宋体" w:hAnsi="宋体" w:cs="楷体"/>
          <w:sz w:val="24"/>
          <w:szCs w:val="24"/>
          <w:highlight w:val="none"/>
        </w:rPr>
        <w:t>通信地址：；</w:t>
      </w:r>
    </w:p>
    <w:p w14:paraId="7FE5B70C">
      <w:pPr>
        <w:spacing w:line="540" w:lineRule="exact"/>
        <w:rPr>
          <w:rFonts w:ascii="宋体" w:hAnsi="宋体" w:cs="楷体"/>
          <w:sz w:val="24"/>
          <w:szCs w:val="24"/>
          <w:highlight w:val="none"/>
        </w:rPr>
      </w:pPr>
      <w:r>
        <w:rPr>
          <w:rFonts w:hint="eastAsia" w:ascii="宋体" w:hAnsi="宋体" w:cs="楷体"/>
          <w:sz w:val="24"/>
          <w:szCs w:val="24"/>
          <w:highlight w:val="none"/>
        </w:rPr>
        <w:t>关于监理人的其他约定：。</w:t>
      </w:r>
    </w:p>
    <w:p w14:paraId="06CAF0AD">
      <w:pPr>
        <w:spacing w:line="540" w:lineRule="exact"/>
        <w:rPr>
          <w:rFonts w:ascii="宋体" w:hAnsi="宋体" w:cs="楷体"/>
          <w:sz w:val="24"/>
          <w:szCs w:val="24"/>
          <w:highlight w:val="none"/>
        </w:rPr>
      </w:pPr>
      <w:r>
        <w:rPr>
          <w:rFonts w:hint="eastAsia" w:ascii="宋体" w:hAnsi="宋体" w:cs="楷体"/>
          <w:bCs/>
          <w:sz w:val="24"/>
          <w:szCs w:val="24"/>
          <w:highlight w:val="none"/>
        </w:rPr>
        <w:t>4.3</w:t>
      </w:r>
      <w:r>
        <w:rPr>
          <w:rFonts w:hint="eastAsia" w:ascii="宋体" w:hAnsi="宋体" w:cs="楷体"/>
          <w:sz w:val="24"/>
          <w:szCs w:val="24"/>
          <w:highlight w:val="none"/>
        </w:rPr>
        <w:t xml:space="preserve"> 商定或确定</w:t>
      </w:r>
    </w:p>
    <w:p w14:paraId="4B70F448">
      <w:pPr>
        <w:spacing w:line="540" w:lineRule="exact"/>
        <w:rPr>
          <w:rFonts w:ascii="宋体" w:hAnsi="宋体" w:cs="楷体"/>
          <w:sz w:val="24"/>
          <w:szCs w:val="24"/>
          <w:highlight w:val="none"/>
        </w:rPr>
      </w:pPr>
      <w:bookmarkStart w:id="587" w:name="_Toc267251418"/>
      <w:bookmarkEnd w:id="587"/>
      <w:r>
        <w:rPr>
          <w:rFonts w:hint="eastAsia" w:ascii="宋体" w:hAnsi="宋体" w:cs="楷体"/>
          <w:sz w:val="24"/>
          <w:szCs w:val="24"/>
          <w:highlight w:val="none"/>
        </w:rPr>
        <w:t>在发包人和承包人不能通过协商达成一致意见时，发包人授权监理人对以下事项进行确定：</w:t>
      </w:r>
    </w:p>
    <w:p w14:paraId="060337A9">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（1）</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0869FE66">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（2）</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6F2B4522">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（3）</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B4EF606">
      <w:pPr>
        <w:keepNext/>
        <w:spacing w:line="540" w:lineRule="exact"/>
        <w:outlineLvl w:val="3"/>
        <w:rPr>
          <w:rFonts w:ascii="宋体" w:hAnsi="宋体" w:cs="楷体"/>
          <w:b/>
          <w:bCs/>
          <w:sz w:val="24"/>
          <w:szCs w:val="24"/>
          <w:highlight w:val="none"/>
        </w:rPr>
      </w:pPr>
      <w:bookmarkStart w:id="588" w:name="_Toc351203637"/>
      <w:bookmarkEnd w:id="588"/>
      <w:r>
        <w:rPr>
          <w:rFonts w:hint="eastAsia" w:ascii="宋体" w:hAnsi="宋体" w:cs="楷体"/>
          <w:b/>
          <w:bCs/>
          <w:sz w:val="24"/>
          <w:szCs w:val="24"/>
          <w:highlight w:val="none"/>
        </w:rPr>
        <w:t>5</w:t>
      </w:r>
      <w:bookmarkStart w:id="589" w:name="_Toc297120463"/>
      <w:bookmarkEnd w:id="589"/>
      <w:bookmarkStart w:id="590" w:name="_Toc296944502"/>
      <w:bookmarkEnd w:id="590"/>
      <w:bookmarkStart w:id="591" w:name="_Toc296347162"/>
      <w:bookmarkEnd w:id="591"/>
      <w:bookmarkStart w:id="592" w:name="_Toc292559872"/>
      <w:bookmarkEnd w:id="592"/>
      <w:bookmarkStart w:id="593" w:name="_Toc296891203"/>
      <w:bookmarkEnd w:id="593"/>
      <w:bookmarkStart w:id="594" w:name="_Toc296890991"/>
      <w:bookmarkEnd w:id="594"/>
      <w:bookmarkStart w:id="595" w:name="_Toc297048349"/>
      <w:bookmarkEnd w:id="595"/>
      <w:bookmarkStart w:id="596" w:name="_Toc296346664"/>
      <w:bookmarkEnd w:id="596"/>
      <w:bookmarkStart w:id="597" w:name="_Toc292559367"/>
      <w:bookmarkEnd w:id="597"/>
      <w:bookmarkStart w:id="598" w:name="_Toc296503163"/>
      <w:r>
        <w:rPr>
          <w:rFonts w:hint="eastAsia" w:ascii="宋体" w:hAnsi="宋体" w:cs="楷体"/>
          <w:b/>
          <w:bCs/>
          <w:sz w:val="24"/>
          <w:szCs w:val="24"/>
          <w:highlight w:val="none"/>
        </w:rPr>
        <w:t>. 工程质量</w:t>
      </w:r>
      <w:bookmarkEnd w:id="598"/>
    </w:p>
    <w:p w14:paraId="4E99F89F">
      <w:pPr>
        <w:spacing w:line="540" w:lineRule="exact"/>
        <w:rPr>
          <w:rFonts w:ascii="宋体" w:hAnsi="宋体" w:cs="楷体"/>
          <w:sz w:val="24"/>
          <w:szCs w:val="24"/>
          <w:highlight w:val="none"/>
        </w:rPr>
      </w:pPr>
      <w:r>
        <w:rPr>
          <w:rFonts w:hint="eastAsia" w:ascii="宋体" w:hAnsi="宋体" w:cs="楷体"/>
          <w:bCs/>
          <w:sz w:val="24"/>
          <w:szCs w:val="24"/>
          <w:highlight w:val="none"/>
        </w:rPr>
        <w:t>5.1</w:t>
      </w:r>
      <w:r>
        <w:rPr>
          <w:rFonts w:hint="eastAsia" w:ascii="宋体" w:hAnsi="宋体" w:cs="楷体"/>
          <w:sz w:val="24"/>
          <w:szCs w:val="24"/>
          <w:highlight w:val="none"/>
        </w:rPr>
        <w:t xml:space="preserve"> 质量要求</w:t>
      </w:r>
    </w:p>
    <w:p w14:paraId="145C6D24">
      <w:pPr>
        <w:spacing w:line="540" w:lineRule="exact"/>
        <w:rPr>
          <w:rFonts w:ascii="宋体" w:hAnsi="宋体" w:cs="楷体"/>
          <w:sz w:val="24"/>
          <w:szCs w:val="24"/>
          <w:highlight w:val="none"/>
        </w:rPr>
      </w:pPr>
      <w:r>
        <w:rPr>
          <w:rFonts w:hint="eastAsia" w:ascii="宋体" w:hAnsi="宋体" w:cs="楷体"/>
          <w:sz w:val="24"/>
          <w:szCs w:val="24"/>
          <w:highlight w:val="none"/>
        </w:rPr>
        <w:t>5</w:t>
      </w:r>
      <w:bookmarkStart w:id="599" w:name="_Toc312677997"/>
      <w:bookmarkEnd w:id="599"/>
      <w:bookmarkStart w:id="600" w:name="_Toc303539106"/>
      <w:bookmarkEnd w:id="600"/>
      <w:bookmarkStart w:id="601" w:name="_Toc304295527"/>
      <w:bookmarkEnd w:id="601"/>
      <w:bookmarkStart w:id="602" w:name="_Toc297123496"/>
      <w:bookmarkEnd w:id="602"/>
      <w:bookmarkStart w:id="603" w:name="_Toc318581164"/>
      <w:bookmarkEnd w:id="603"/>
      <w:bookmarkStart w:id="604" w:name="_Toc297216155"/>
      <w:bookmarkEnd w:id="604"/>
      <w:bookmarkStart w:id="605" w:name="_Toc300934949"/>
      <w:r>
        <w:rPr>
          <w:rFonts w:hint="eastAsia" w:ascii="宋体" w:hAnsi="宋体" w:cs="楷体"/>
          <w:sz w:val="24"/>
          <w:szCs w:val="24"/>
          <w:highlight w:val="none"/>
        </w:rPr>
        <w:t>.1.1 特殊质量标准和要求：</w:t>
      </w:r>
      <w:bookmarkEnd w:id="605"/>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077C0D3E">
      <w:pPr>
        <w:spacing w:line="540" w:lineRule="exact"/>
        <w:rPr>
          <w:rFonts w:ascii="宋体" w:hAnsi="宋体" w:cs="楷体"/>
          <w:sz w:val="24"/>
          <w:szCs w:val="24"/>
          <w:highlight w:val="none"/>
        </w:rPr>
      </w:pPr>
      <w:r>
        <w:rPr>
          <w:rFonts w:hint="eastAsia" w:ascii="宋体" w:hAnsi="宋体" w:cs="楷体"/>
          <w:sz w:val="24"/>
          <w:szCs w:val="24"/>
          <w:highlight w:val="none"/>
        </w:rPr>
        <w:t>关于工程奖项的约定：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4FBABC59">
      <w:pPr>
        <w:spacing w:line="540" w:lineRule="exact"/>
        <w:rPr>
          <w:rFonts w:ascii="宋体" w:hAnsi="宋体" w:cs="楷体"/>
          <w:sz w:val="24"/>
          <w:szCs w:val="24"/>
          <w:highlight w:val="none"/>
        </w:rPr>
      </w:pPr>
      <w:r>
        <w:rPr>
          <w:rFonts w:hint="eastAsia" w:ascii="宋体" w:hAnsi="宋体" w:cs="楷体"/>
          <w:bCs/>
          <w:sz w:val="24"/>
          <w:szCs w:val="24"/>
          <w:highlight w:val="none"/>
        </w:rPr>
        <w:t>5.2</w:t>
      </w:r>
      <w:r>
        <w:rPr>
          <w:rFonts w:hint="eastAsia" w:ascii="宋体" w:hAnsi="宋体" w:cs="楷体"/>
          <w:sz w:val="24"/>
          <w:szCs w:val="24"/>
          <w:highlight w:val="none"/>
        </w:rPr>
        <w:t xml:space="preserve"> 隐蔽工程检查</w:t>
      </w:r>
    </w:p>
    <w:p w14:paraId="0631ADCD">
      <w:pPr>
        <w:spacing w:line="540" w:lineRule="exact"/>
        <w:rPr>
          <w:rFonts w:ascii="宋体" w:hAnsi="宋体" w:cs="楷体"/>
          <w:sz w:val="24"/>
          <w:szCs w:val="24"/>
          <w:highlight w:val="none"/>
          <w:u w:val="single"/>
        </w:rPr>
      </w:pPr>
      <w:r>
        <w:rPr>
          <w:rFonts w:hint="eastAsia" w:ascii="宋体" w:hAnsi="宋体" w:cs="楷体"/>
          <w:sz w:val="24"/>
          <w:szCs w:val="24"/>
          <w:highlight w:val="none"/>
        </w:rPr>
        <w:t>5.2.2承包人提前通知监理人隐蔽工程检查的期限的约定：</w:t>
      </w:r>
      <w:r>
        <w:rPr>
          <w:rFonts w:hint="eastAsia" w:ascii="宋体" w:hAnsi="宋体" w:cs="楷体"/>
          <w:sz w:val="24"/>
          <w:szCs w:val="24"/>
          <w:highlight w:val="none"/>
          <w:u w:val="single"/>
        </w:rPr>
        <w:t xml:space="preserve"> 共同检查前48小时通知监理人   </w:t>
      </w:r>
      <w:r>
        <w:rPr>
          <w:rFonts w:hint="eastAsia" w:ascii="宋体" w:hAnsi="宋体" w:cs="楷体"/>
          <w:sz w:val="24"/>
          <w:szCs w:val="24"/>
          <w:highlight w:val="none"/>
        </w:rPr>
        <w:t>。</w:t>
      </w:r>
    </w:p>
    <w:p w14:paraId="7D4124E3">
      <w:pPr>
        <w:spacing w:line="540" w:lineRule="exact"/>
        <w:rPr>
          <w:rFonts w:ascii="宋体" w:hAnsi="宋体" w:cs="楷体"/>
          <w:sz w:val="24"/>
          <w:szCs w:val="24"/>
          <w:highlight w:val="none"/>
        </w:rPr>
      </w:pPr>
      <w:r>
        <w:rPr>
          <w:rFonts w:hint="eastAsia" w:ascii="宋体" w:hAnsi="宋体" w:cs="楷体"/>
          <w:sz w:val="24"/>
          <w:szCs w:val="24"/>
          <w:highlight w:val="none"/>
        </w:rPr>
        <w:t>监理人不能按时进行检查时，应提前</w:t>
      </w:r>
      <w:r>
        <w:rPr>
          <w:rFonts w:hint="eastAsia" w:ascii="宋体" w:hAnsi="宋体" w:cs="楷体"/>
          <w:sz w:val="24"/>
          <w:szCs w:val="24"/>
          <w:highlight w:val="none"/>
          <w:u w:val="single"/>
        </w:rPr>
        <w:t xml:space="preserve">   24    </w:t>
      </w:r>
      <w:r>
        <w:rPr>
          <w:rFonts w:hint="eastAsia" w:ascii="宋体" w:hAnsi="宋体" w:cs="楷体"/>
          <w:sz w:val="24"/>
          <w:szCs w:val="24"/>
          <w:highlight w:val="none"/>
        </w:rPr>
        <w:t>小时提交书面延期要求。</w:t>
      </w:r>
    </w:p>
    <w:p w14:paraId="516948D3">
      <w:pPr>
        <w:spacing w:line="540" w:lineRule="exact"/>
        <w:rPr>
          <w:rFonts w:ascii="宋体" w:hAnsi="宋体" w:cs="楷体"/>
          <w:sz w:val="24"/>
          <w:szCs w:val="24"/>
          <w:highlight w:val="none"/>
        </w:rPr>
      </w:pPr>
      <w:r>
        <w:rPr>
          <w:rFonts w:hint="eastAsia" w:ascii="宋体" w:hAnsi="宋体" w:cs="楷体"/>
          <w:sz w:val="24"/>
          <w:szCs w:val="24"/>
          <w:highlight w:val="none"/>
        </w:rPr>
        <w:t>关于延期最长不得超过：</w:t>
      </w:r>
      <w:r>
        <w:rPr>
          <w:rFonts w:hint="eastAsia" w:ascii="宋体" w:hAnsi="宋体" w:cs="楷体"/>
          <w:sz w:val="24"/>
          <w:szCs w:val="24"/>
          <w:highlight w:val="none"/>
          <w:u w:val="single"/>
        </w:rPr>
        <w:t xml:space="preserve">    48     </w:t>
      </w:r>
      <w:r>
        <w:rPr>
          <w:rFonts w:hint="eastAsia" w:ascii="宋体" w:hAnsi="宋体" w:cs="楷体"/>
          <w:sz w:val="24"/>
          <w:szCs w:val="24"/>
          <w:highlight w:val="none"/>
        </w:rPr>
        <w:t>小时。</w:t>
      </w:r>
    </w:p>
    <w:p w14:paraId="7F1E882D">
      <w:pPr>
        <w:keepNext/>
        <w:spacing w:line="540" w:lineRule="exact"/>
        <w:outlineLvl w:val="3"/>
        <w:rPr>
          <w:rFonts w:ascii="宋体" w:hAnsi="宋体" w:cs="楷体"/>
          <w:b/>
          <w:bCs/>
          <w:sz w:val="24"/>
          <w:szCs w:val="24"/>
          <w:highlight w:val="none"/>
        </w:rPr>
      </w:pPr>
      <w:bookmarkStart w:id="606" w:name="_Toc351203638"/>
      <w:bookmarkEnd w:id="606"/>
      <w:r>
        <w:rPr>
          <w:rFonts w:hint="eastAsia" w:ascii="宋体" w:hAnsi="宋体" w:cs="楷体"/>
          <w:b/>
          <w:bCs/>
          <w:sz w:val="24"/>
          <w:szCs w:val="24"/>
          <w:highlight w:val="none"/>
        </w:rPr>
        <w:t>6. 安全文明施工与环境保护</w:t>
      </w:r>
    </w:p>
    <w:p w14:paraId="301D8FA9">
      <w:pPr>
        <w:spacing w:line="540" w:lineRule="exact"/>
        <w:rPr>
          <w:rFonts w:ascii="宋体" w:hAnsi="宋体" w:cs="楷体"/>
          <w:sz w:val="24"/>
          <w:szCs w:val="24"/>
          <w:highlight w:val="none"/>
        </w:rPr>
      </w:pPr>
      <w:r>
        <w:rPr>
          <w:rFonts w:hint="eastAsia" w:ascii="宋体" w:hAnsi="宋体" w:cs="楷体"/>
          <w:bCs/>
          <w:sz w:val="24"/>
          <w:szCs w:val="24"/>
          <w:highlight w:val="none"/>
        </w:rPr>
        <w:t>6.1</w:t>
      </w:r>
      <w:r>
        <w:rPr>
          <w:rFonts w:hint="eastAsia" w:ascii="宋体" w:hAnsi="宋体" w:cs="楷体"/>
          <w:sz w:val="24"/>
          <w:szCs w:val="24"/>
          <w:highlight w:val="none"/>
        </w:rPr>
        <w:t>安全文明施工</w:t>
      </w:r>
    </w:p>
    <w:p w14:paraId="39BCA4F8">
      <w:pPr>
        <w:spacing w:line="540" w:lineRule="exact"/>
        <w:rPr>
          <w:rFonts w:ascii="宋体" w:hAnsi="宋体" w:cs="楷体"/>
          <w:sz w:val="24"/>
          <w:szCs w:val="24"/>
          <w:highlight w:val="none"/>
        </w:rPr>
      </w:pPr>
      <w:r>
        <w:rPr>
          <w:rFonts w:hint="eastAsia" w:ascii="宋体" w:hAnsi="宋体" w:cs="楷体"/>
          <w:sz w:val="24"/>
          <w:szCs w:val="24"/>
          <w:highlight w:val="none"/>
        </w:rPr>
        <w:t>6.1.1 项目安全生产的达标目标及相应事项的约定：。</w:t>
      </w:r>
    </w:p>
    <w:p w14:paraId="74F80F27">
      <w:pPr>
        <w:spacing w:line="540" w:lineRule="exact"/>
        <w:rPr>
          <w:rFonts w:ascii="宋体" w:hAnsi="宋体" w:cs="楷体"/>
          <w:sz w:val="24"/>
          <w:szCs w:val="24"/>
          <w:highlight w:val="none"/>
        </w:rPr>
      </w:pPr>
      <w:r>
        <w:rPr>
          <w:rFonts w:hint="eastAsia" w:ascii="宋体" w:hAnsi="宋体" w:cs="楷体"/>
          <w:sz w:val="24"/>
          <w:szCs w:val="24"/>
          <w:highlight w:val="none"/>
        </w:rPr>
        <w:t>6.1.4 关于治安保卫的特别约定：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781814D">
      <w:pPr>
        <w:spacing w:line="540" w:lineRule="exact"/>
        <w:rPr>
          <w:rFonts w:ascii="宋体" w:hAnsi="宋体" w:cs="楷体"/>
          <w:sz w:val="24"/>
          <w:szCs w:val="24"/>
          <w:highlight w:val="none"/>
        </w:rPr>
      </w:pPr>
      <w:r>
        <w:rPr>
          <w:rFonts w:hint="eastAsia" w:ascii="宋体" w:hAnsi="宋体" w:cs="楷体"/>
          <w:sz w:val="24"/>
          <w:szCs w:val="24"/>
          <w:highlight w:val="none"/>
        </w:rPr>
        <w:t>关于编制施工场地治安管理计划的约定：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531B131">
      <w:pPr>
        <w:spacing w:line="540" w:lineRule="exact"/>
        <w:rPr>
          <w:rFonts w:ascii="宋体" w:hAnsi="宋体" w:cs="楷体"/>
          <w:sz w:val="24"/>
          <w:szCs w:val="24"/>
          <w:highlight w:val="none"/>
        </w:rPr>
      </w:pPr>
      <w:r>
        <w:rPr>
          <w:rFonts w:hint="eastAsia" w:ascii="宋体" w:hAnsi="宋体" w:cs="楷体"/>
          <w:sz w:val="24"/>
          <w:szCs w:val="24"/>
          <w:highlight w:val="none"/>
        </w:rPr>
        <w:t>6.1.5 文明施工</w:t>
      </w:r>
    </w:p>
    <w:p w14:paraId="19024326">
      <w:pPr>
        <w:spacing w:line="540" w:lineRule="exact"/>
        <w:rPr>
          <w:rFonts w:ascii="宋体" w:hAnsi="宋体" w:cs="楷体"/>
          <w:sz w:val="24"/>
          <w:szCs w:val="24"/>
          <w:highlight w:val="none"/>
        </w:rPr>
      </w:pPr>
      <w:r>
        <w:rPr>
          <w:rFonts w:hint="eastAsia" w:ascii="宋体" w:hAnsi="宋体" w:cs="楷体"/>
          <w:sz w:val="24"/>
          <w:szCs w:val="24"/>
          <w:highlight w:val="none"/>
        </w:rPr>
        <w:t>合同当事人对文明施工的要求：。</w:t>
      </w:r>
    </w:p>
    <w:p w14:paraId="7BEF84A3">
      <w:pPr>
        <w:spacing w:line="540" w:lineRule="exact"/>
        <w:rPr>
          <w:rFonts w:ascii="宋体" w:hAnsi="宋体" w:cs="楷体"/>
          <w:sz w:val="24"/>
          <w:szCs w:val="24"/>
          <w:highlight w:val="none"/>
        </w:rPr>
      </w:pPr>
      <w:r>
        <w:rPr>
          <w:rFonts w:hint="eastAsia" w:ascii="宋体" w:hAnsi="宋体" w:cs="楷体"/>
          <w:sz w:val="24"/>
          <w:szCs w:val="24"/>
          <w:highlight w:val="none"/>
        </w:rPr>
        <w:t>6.1.6 关于安全文明施工费支付比例和支付期限的约定：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18564E0C">
      <w:pPr>
        <w:keepNext/>
        <w:spacing w:line="540" w:lineRule="exact"/>
        <w:outlineLvl w:val="3"/>
        <w:rPr>
          <w:rFonts w:ascii="宋体" w:hAnsi="宋体" w:cs="楷体"/>
          <w:b/>
          <w:bCs/>
          <w:sz w:val="24"/>
          <w:szCs w:val="24"/>
          <w:highlight w:val="none"/>
        </w:rPr>
      </w:pPr>
      <w:bookmarkStart w:id="607" w:name="_Toc351203639"/>
      <w:bookmarkEnd w:id="607"/>
      <w:r>
        <w:rPr>
          <w:rFonts w:hint="eastAsia" w:ascii="宋体" w:hAnsi="宋体" w:cs="楷体"/>
          <w:b/>
          <w:bCs/>
          <w:sz w:val="24"/>
          <w:szCs w:val="24"/>
          <w:highlight w:val="none"/>
        </w:rPr>
        <w:t>7. 工期和进度</w:t>
      </w:r>
    </w:p>
    <w:p w14:paraId="6E958ADF">
      <w:pPr>
        <w:spacing w:line="540" w:lineRule="exact"/>
        <w:rPr>
          <w:rFonts w:ascii="宋体" w:hAnsi="宋体" w:cs="楷体"/>
          <w:sz w:val="24"/>
          <w:szCs w:val="24"/>
          <w:highlight w:val="none"/>
        </w:rPr>
      </w:pPr>
      <w:r>
        <w:rPr>
          <w:rFonts w:hint="eastAsia" w:ascii="宋体" w:hAnsi="宋体" w:cs="楷体"/>
          <w:bCs/>
          <w:sz w:val="24"/>
          <w:szCs w:val="24"/>
          <w:highlight w:val="none"/>
        </w:rPr>
        <w:t>7.1</w:t>
      </w:r>
      <w:r>
        <w:rPr>
          <w:rFonts w:hint="eastAsia" w:ascii="宋体" w:hAnsi="宋体" w:cs="楷体"/>
          <w:sz w:val="24"/>
          <w:szCs w:val="24"/>
          <w:highlight w:val="none"/>
        </w:rPr>
        <w:t xml:space="preserve"> 施工组织设计</w:t>
      </w:r>
    </w:p>
    <w:p w14:paraId="320A1473">
      <w:pPr>
        <w:autoSpaceDE w:val="0"/>
        <w:autoSpaceDN w:val="0"/>
        <w:spacing w:line="540" w:lineRule="exact"/>
        <w:rPr>
          <w:rFonts w:ascii="宋体" w:hAnsi="宋体" w:cs="楷体"/>
          <w:sz w:val="24"/>
          <w:szCs w:val="24"/>
          <w:highlight w:val="none"/>
          <w:u w:val="single"/>
        </w:rPr>
      </w:pPr>
      <w:r>
        <w:rPr>
          <w:rFonts w:hint="eastAsia" w:ascii="宋体" w:hAnsi="宋体" w:cs="楷体"/>
          <w:sz w:val="24"/>
          <w:szCs w:val="24"/>
          <w:highlight w:val="none"/>
        </w:rPr>
        <w:t>7.1.1 合同当事人约定的施工组织设计应包括的其他内容：</w:t>
      </w:r>
      <w:r>
        <w:rPr>
          <w:rFonts w:hint="eastAsia" w:ascii="宋体" w:hAnsi="宋体" w:cs="楷体"/>
          <w:sz w:val="24"/>
          <w:szCs w:val="24"/>
          <w:highlight w:val="none"/>
          <w:u w:val="single"/>
        </w:rPr>
        <w:t xml:space="preserve">   按通用条款执行</w:t>
      </w:r>
      <w:r>
        <w:rPr>
          <w:rFonts w:hint="eastAsia" w:ascii="宋体" w:hAnsi="宋体" w:cs="楷体"/>
          <w:sz w:val="24"/>
          <w:szCs w:val="24"/>
          <w:highlight w:val="none"/>
        </w:rPr>
        <w:t>。</w:t>
      </w:r>
    </w:p>
    <w:p w14:paraId="5B9B3F44">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7.1.2 施工组织设计的提交和修改</w:t>
      </w:r>
    </w:p>
    <w:p w14:paraId="0649917F">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承包人提交详细施工组织设计的期限的约定：</w:t>
      </w:r>
      <w:r>
        <w:rPr>
          <w:rFonts w:hint="eastAsia" w:ascii="宋体" w:hAnsi="宋体" w:cs="楷体"/>
          <w:sz w:val="24"/>
          <w:szCs w:val="24"/>
          <w:highlight w:val="none"/>
          <w:u w:val="single"/>
        </w:rPr>
        <w:t xml:space="preserve">   开工前3天            </w:t>
      </w:r>
      <w:r>
        <w:rPr>
          <w:rFonts w:hint="eastAsia" w:ascii="宋体" w:hAnsi="宋体" w:cs="楷体"/>
          <w:sz w:val="24"/>
          <w:szCs w:val="24"/>
          <w:highlight w:val="none"/>
        </w:rPr>
        <w:t>。</w:t>
      </w:r>
    </w:p>
    <w:p w14:paraId="3E1853F6">
      <w:pPr>
        <w:spacing w:line="540" w:lineRule="exact"/>
        <w:rPr>
          <w:rFonts w:ascii="宋体" w:hAnsi="宋体" w:cs="楷体"/>
          <w:sz w:val="24"/>
          <w:szCs w:val="24"/>
          <w:highlight w:val="none"/>
          <w:u w:val="single"/>
        </w:rPr>
      </w:pPr>
      <w:r>
        <w:rPr>
          <w:rFonts w:hint="eastAsia" w:ascii="宋体" w:hAnsi="宋体" w:cs="楷体"/>
          <w:sz w:val="24"/>
          <w:szCs w:val="24"/>
          <w:highlight w:val="none"/>
        </w:rPr>
        <w:t>发包人和监理人在收到详细的施工组织设计后确认或提出修改意见的期限：</w:t>
      </w:r>
    </w:p>
    <w:p w14:paraId="142736B1">
      <w:pPr>
        <w:spacing w:line="540" w:lineRule="exact"/>
        <w:rPr>
          <w:rFonts w:ascii="宋体" w:hAnsi="宋体" w:cs="楷体"/>
          <w:sz w:val="24"/>
          <w:szCs w:val="24"/>
          <w:highlight w:val="none"/>
        </w:rPr>
      </w:pPr>
      <w:r>
        <w:rPr>
          <w:rFonts w:hint="eastAsia" w:ascii="宋体" w:hAnsi="宋体" w:cs="楷体"/>
          <w:sz w:val="24"/>
          <w:szCs w:val="24"/>
          <w:highlight w:val="none"/>
          <w:u w:val="single"/>
        </w:rPr>
        <w:t xml:space="preserve">   收到后7天内    </w:t>
      </w:r>
      <w:r>
        <w:rPr>
          <w:rFonts w:hint="eastAsia" w:ascii="宋体" w:hAnsi="宋体" w:cs="楷体"/>
          <w:sz w:val="24"/>
          <w:szCs w:val="24"/>
          <w:highlight w:val="none"/>
        </w:rPr>
        <w:t>。</w:t>
      </w:r>
    </w:p>
    <w:p w14:paraId="1881919D">
      <w:pPr>
        <w:spacing w:line="540" w:lineRule="exact"/>
        <w:rPr>
          <w:rFonts w:ascii="宋体" w:hAnsi="宋体" w:cs="楷体"/>
          <w:sz w:val="24"/>
          <w:szCs w:val="24"/>
          <w:highlight w:val="none"/>
        </w:rPr>
      </w:pPr>
      <w:r>
        <w:rPr>
          <w:rFonts w:hint="eastAsia" w:ascii="宋体" w:hAnsi="宋体" w:cs="楷体"/>
          <w:bCs/>
          <w:sz w:val="24"/>
          <w:szCs w:val="24"/>
          <w:highlight w:val="none"/>
        </w:rPr>
        <w:t>7</w:t>
      </w:r>
      <w:bookmarkStart w:id="608" w:name="_Toc304295541"/>
      <w:bookmarkEnd w:id="608"/>
      <w:bookmarkStart w:id="609" w:name="_Toc300934966"/>
      <w:bookmarkEnd w:id="609"/>
      <w:bookmarkStart w:id="610" w:name="_Toc303539123"/>
      <w:bookmarkEnd w:id="610"/>
      <w:bookmarkStart w:id="611" w:name="_Toc297216173"/>
      <w:bookmarkEnd w:id="611"/>
      <w:bookmarkStart w:id="612" w:name="_Toc297123514"/>
      <w:bookmarkEnd w:id="612"/>
      <w:bookmarkStart w:id="613" w:name="_Toc312678005"/>
      <w:bookmarkEnd w:id="613"/>
      <w:bookmarkStart w:id="614" w:name="_Toc312677479"/>
      <w:r>
        <w:rPr>
          <w:rFonts w:hint="eastAsia" w:ascii="宋体" w:hAnsi="宋体" w:cs="楷体"/>
          <w:bCs/>
          <w:sz w:val="24"/>
          <w:szCs w:val="24"/>
          <w:highlight w:val="none"/>
        </w:rPr>
        <w:t>.2</w:t>
      </w:r>
      <w:bookmarkEnd w:id="614"/>
      <w:r>
        <w:rPr>
          <w:rFonts w:hint="eastAsia" w:ascii="宋体" w:hAnsi="宋体" w:cs="楷体"/>
          <w:sz w:val="24"/>
          <w:szCs w:val="24"/>
          <w:highlight w:val="none"/>
        </w:rPr>
        <w:t xml:space="preserve"> 施工进度计划</w:t>
      </w:r>
    </w:p>
    <w:p w14:paraId="1929B8E0">
      <w:pPr>
        <w:spacing w:line="540" w:lineRule="exact"/>
        <w:rPr>
          <w:rFonts w:ascii="宋体" w:hAnsi="宋体" w:cs="楷体"/>
          <w:sz w:val="24"/>
          <w:szCs w:val="24"/>
          <w:highlight w:val="none"/>
        </w:rPr>
      </w:pPr>
      <w:r>
        <w:rPr>
          <w:rFonts w:hint="eastAsia" w:ascii="宋体" w:hAnsi="宋体" w:cs="楷体"/>
          <w:sz w:val="24"/>
          <w:szCs w:val="24"/>
          <w:highlight w:val="none"/>
        </w:rPr>
        <w:t>7.2.2 施工进度计划的修订</w:t>
      </w:r>
    </w:p>
    <w:p w14:paraId="703B93A8">
      <w:pPr>
        <w:spacing w:line="540" w:lineRule="exact"/>
        <w:rPr>
          <w:rFonts w:ascii="宋体" w:hAnsi="宋体" w:cs="楷体"/>
          <w:sz w:val="24"/>
          <w:szCs w:val="24"/>
          <w:highlight w:val="none"/>
        </w:rPr>
      </w:pPr>
      <w:r>
        <w:rPr>
          <w:rFonts w:hint="eastAsia" w:ascii="宋体" w:hAnsi="宋体" w:cs="楷体"/>
          <w:sz w:val="24"/>
          <w:szCs w:val="24"/>
          <w:highlight w:val="none"/>
        </w:rPr>
        <w:t>发包人和监理人在收到修订的施工进度计划后确认或提出修改意见的期限：</w:t>
      </w:r>
      <w:r>
        <w:rPr>
          <w:rFonts w:hint="eastAsia" w:ascii="宋体" w:hAnsi="宋体" w:cs="楷体"/>
          <w:sz w:val="24"/>
          <w:szCs w:val="24"/>
          <w:highlight w:val="none"/>
          <w:u w:val="single"/>
        </w:rPr>
        <w:t xml:space="preserve">   收到后5天内      </w:t>
      </w:r>
      <w:r>
        <w:rPr>
          <w:rFonts w:hint="eastAsia" w:ascii="宋体" w:hAnsi="宋体" w:cs="楷体"/>
          <w:sz w:val="24"/>
          <w:szCs w:val="24"/>
          <w:highlight w:val="none"/>
        </w:rPr>
        <w:t>。</w:t>
      </w:r>
    </w:p>
    <w:p w14:paraId="7F350D7B">
      <w:pPr>
        <w:spacing w:line="540" w:lineRule="exact"/>
        <w:rPr>
          <w:rFonts w:ascii="宋体" w:hAnsi="宋体" w:cs="楷体"/>
          <w:sz w:val="24"/>
          <w:szCs w:val="24"/>
          <w:highlight w:val="none"/>
        </w:rPr>
      </w:pPr>
      <w:r>
        <w:rPr>
          <w:rFonts w:hint="eastAsia" w:ascii="宋体" w:hAnsi="宋体" w:cs="楷体"/>
          <w:bCs/>
          <w:sz w:val="24"/>
          <w:szCs w:val="24"/>
          <w:highlight w:val="none"/>
        </w:rPr>
        <w:t>7.3</w:t>
      </w:r>
      <w:r>
        <w:rPr>
          <w:rFonts w:hint="eastAsia" w:ascii="宋体" w:hAnsi="宋体" w:cs="楷体"/>
          <w:sz w:val="24"/>
          <w:szCs w:val="24"/>
          <w:highlight w:val="none"/>
        </w:rPr>
        <w:t xml:space="preserve"> 开工</w:t>
      </w:r>
    </w:p>
    <w:p w14:paraId="533383D7">
      <w:pPr>
        <w:spacing w:line="540" w:lineRule="exact"/>
        <w:rPr>
          <w:rFonts w:ascii="宋体" w:hAnsi="宋体" w:cs="楷体"/>
          <w:sz w:val="24"/>
          <w:szCs w:val="24"/>
          <w:highlight w:val="none"/>
        </w:rPr>
      </w:pPr>
      <w:r>
        <w:rPr>
          <w:rFonts w:hint="eastAsia" w:ascii="宋体" w:hAnsi="宋体" w:cs="楷体"/>
          <w:sz w:val="24"/>
          <w:szCs w:val="24"/>
          <w:highlight w:val="none"/>
        </w:rPr>
        <w:t>7.3.1 开工准备</w:t>
      </w:r>
    </w:p>
    <w:p w14:paraId="1A6DC887">
      <w:pPr>
        <w:spacing w:line="540" w:lineRule="exact"/>
        <w:rPr>
          <w:rFonts w:ascii="宋体" w:hAnsi="宋体" w:cs="楷体"/>
          <w:sz w:val="24"/>
          <w:szCs w:val="24"/>
          <w:highlight w:val="none"/>
          <w:u w:val="single"/>
        </w:rPr>
      </w:pPr>
      <w:r>
        <w:rPr>
          <w:rFonts w:hint="eastAsia" w:ascii="宋体" w:hAnsi="宋体" w:cs="楷体"/>
          <w:sz w:val="24"/>
          <w:szCs w:val="24"/>
          <w:highlight w:val="none"/>
        </w:rPr>
        <w:t>关于承包人提交工程开工报审表的期限：</w:t>
      </w:r>
      <w:r>
        <w:rPr>
          <w:rFonts w:hint="eastAsia" w:ascii="宋体" w:hAnsi="宋体" w:cs="楷体"/>
          <w:sz w:val="24"/>
          <w:szCs w:val="24"/>
          <w:highlight w:val="none"/>
          <w:u w:val="single"/>
        </w:rPr>
        <w:t xml:space="preserve">    合同签订后14天内            </w:t>
      </w:r>
      <w:r>
        <w:rPr>
          <w:rFonts w:hint="eastAsia" w:ascii="宋体" w:hAnsi="宋体" w:cs="楷体"/>
          <w:sz w:val="24"/>
          <w:szCs w:val="24"/>
          <w:highlight w:val="none"/>
        </w:rPr>
        <w:t>。</w:t>
      </w:r>
    </w:p>
    <w:p w14:paraId="4DA6682C">
      <w:pPr>
        <w:spacing w:line="540" w:lineRule="exact"/>
        <w:rPr>
          <w:rFonts w:ascii="宋体" w:hAnsi="宋体" w:cs="楷体"/>
          <w:sz w:val="24"/>
          <w:szCs w:val="24"/>
          <w:highlight w:val="none"/>
          <w:u w:val="single"/>
        </w:rPr>
      </w:pPr>
      <w:r>
        <w:rPr>
          <w:rFonts w:hint="eastAsia" w:ascii="宋体" w:hAnsi="宋体" w:cs="楷体"/>
          <w:sz w:val="24"/>
          <w:szCs w:val="24"/>
          <w:highlight w:val="none"/>
        </w:rPr>
        <w:t>关于发包人应完成的其他开工准备工作及期限：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938218B">
      <w:pPr>
        <w:spacing w:line="540" w:lineRule="exact"/>
        <w:rPr>
          <w:rFonts w:ascii="宋体" w:hAnsi="宋体" w:cs="楷体"/>
          <w:sz w:val="24"/>
          <w:szCs w:val="24"/>
          <w:highlight w:val="none"/>
        </w:rPr>
      </w:pPr>
      <w:r>
        <w:rPr>
          <w:rFonts w:hint="eastAsia" w:ascii="宋体" w:hAnsi="宋体" w:cs="楷体"/>
          <w:sz w:val="24"/>
          <w:szCs w:val="24"/>
          <w:highlight w:val="none"/>
        </w:rPr>
        <w:t xml:space="preserve">关于承包人应完成的其他开工准备工作及期限： </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27DA9178">
      <w:pPr>
        <w:spacing w:line="540" w:lineRule="exact"/>
        <w:rPr>
          <w:rFonts w:ascii="宋体" w:hAnsi="宋体" w:cs="楷体"/>
          <w:sz w:val="24"/>
          <w:szCs w:val="24"/>
          <w:highlight w:val="none"/>
        </w:rPr>
      </w:pPr>
      <w:r>
        <w:rPr>
          <w:rFonts w:hint="eastAsia" w:ascii="宋体" w:hAnsi="宋体" w:cs="楷体"/>
          <w:sz w:val="24"/>
          <w:szCs w:val="24"/>
          <w:highlight w:val="none"/>
        </w:rPr>
        <w:t>7.3.2开工通知</w:t>
      </w:r>
    </w:p>
    <w:p w14:paraId="423FD78D">
      <w:pPr>
        <w:spacing w:line="540" w:lineRule="exact"/>
        <w:rPr>
          <w:rFonts w:ascii="宋体" w:hAnsi="宋体" w:cs="楷体"/>
          <w:sz w:val="24"/>
          <w:szCs w:val="24"/>
          <w:highlight w:val="none"/>
        </w:rPr>
      </w:pPr>
      <w:r>
        <w:rPr>
          <w:rFonts w:hint="eastAsia" w:ascii="宋体" w:hAnsi="宋体" w:cs="楷体"/>
          <w:sz w:val="24"/>
          <w:szCs w:val="24"/>
          <w:highlight w:val="none"/>
        </w:rPr>
        <w:t>因发包人原因造成监理人未能在计划开工日期之日起</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天内发出开工通知的，承包人有权提出价格调整要求，或者解除合同。</w:t>
      </w:r>
    </w:p>
    <w:p w14:paraId="58E850A5">
      <w:pPr>
        <w:spacing w:line="540" w:lineRule="exact"/>
        <w:rPr>
          <w:rFonts w:ascii="宋体" w:hAnsi="宋体" w:cs="楷体"/>
          <w:sz w:val="24"/>
          <w:szCs w:val="24"/>
          <w:highlight w:val="none"/>
        </w:rPr>
      </w:pPr>
      <w:r>
        <w:rPr>
          <w:rFonts w:hint="eastAsia" w:ascii="宋体" w:hAnsi="宋体" w:cs="楷体"/>
          <w:bCs/>
          <w:sz w:val="24"/>
          <w:szCs w:val="24"/>
          <w:highlight w:val="none"/>
        </w:rPr>
        <w:t>7.4</w:t>
      </w:r>
      <w:r>
        <w:rPr>
          <w:rFonts w:hint="eastAsia" w:ascii="宋体" w:hAnsi="宋体" w:cs="楷体"/>
          <w:sz w:val="24"/>
          <w:szCs w:val="24"/>
          <w:highlight w:val="none"/>
        </w:rPr>
        <w:t xml:space="preserve"> 测量放线</w:t>
      </w:r>
    </w:p>
    <w:p w14:paraId="239D8D0A">
      <w:pPr>
        <w:spacing w:line="540" w:lineRule="exact"/>
        <w:rPr>
          <w:rFonts w:ascii="宋体" w:hAnsi="宋体" w:cs="楷体"/>
          <w:sz w:val="24"/>
          <w:szCs w:val="24"/>
          <w:highlight w:val="none"/>
          <w:u w:val="single"/>
        </w:rPr>
      </w:pPr>
      <w:r>
        <w:rPr>
          <w:rFonts w:hint="eastAsia" w:ascii="宋体" w:hAnsi="宋体" w:cs="楷体"/>
          <w:sz w:val="24"/>
          <w:szCs w:val="24"/>
          <w:highlight w:val="none"/>
        </w:rPr>
        <w:t>7.4.1发包人通过监理人向承包人提供测量基准点、基准线和水准点及其书面资料的期限：</w:t>
      </w:r>
      <w:r>
        <w:rPr>
          <w:rFonts w:hint="eastAsia" w:ascii="宋体" w:hAnsi="宋体" w:cs="楷体"/>
          <w:sz w:val="24"/>
          <w:szCs w:val="24"/>
          <w:highlight w:val="none"/>
          <w:u w:val="single"/>
        </w:rPr>
        <w:t xml:space="preserve">   合同签订后10天内      </w:t>
      </w:r>
      <w:r>
        <w:rPr>
          <w:rFonts w:hint="eastAsia" w:ascii="宋体" w:hAnsi="宋体" w:cs="楷体"/>
          <w:sz w:val="24"/>
          <w:szCs w:val="24"/>
          <w:highlight w:val="none"/>
        </w:rPr>
        <w:t>。</w:t>
      </w:r>
    </w:p>
    <w:p w14:paraId="30AC8E11">
      <w:pPr>
        <w:spacing w:line="540" w:lineRule="exact"/>
        <w:rPr>
          <w:rFonts w:ascii="宋体" w:hAnsi="宋体" w:cs="楷体"/>
          <w:sz w:val="24"/>
          <w:szCs w:val="24"/>
          <w:highlight w:val="none"/>
        </w:rPr>
      </w:pPr>
      <w:r>
        <w:rPr>
          <w:rFonts w:hint="eastAsia" w:ascii="宋体" w:hAnsi="宋体" w:cs="楷体"/>
          <w:bCs/>
          <w:sz w:val="24"/>
          <w:szCs w:val="24"/>
          <w:highlight w:val="none"/>
        </w:rPr>
        <w:t>7</w:t>
      </w:r>
      <w:bookmarkStart w:id="615" w:name="_Toc304295546"/>
      <w:bookmarkEnd w:id="615"/>
      <w:bookmarkStart w:id="616" w:name="_Toc312678010"/>
      <w:bookmarkEnd w:id="616"/>
      <w:bookmarkStart w:id="617" w:name="_Toc303539125"/>
      <w:bookmarkEnd w:id="617"/>
      <w:bookmarkStart w:id="618" w:name="_Toc312677484"/>
      <w:bookmarkEnd w:id="618"/>
      <w:bookmarkStart w:id="619" w:name="_Toc297123516"/>
      <w:bookmarkEnd w:id="619"/>
      <w:bookmarkStart w:id="620" w:name="_Toc300934968"/>
      <w:bookmarkEnd w:id="620"/>
      <w:bookmarkStart w:id="621" w:name="_Toc297216175"/>
      <w:r>
        <w:rPr>
          <w:rFonts w:hint="eastAsia" w:ascii="宋体" w:hAnsi="宋体" w:cs="楷体"/>
          <w:bCs/>
          <w:sz w:val="24"/>
          <w:szCs w:val="24"/>
          <w:highlight w:val="none"/>
        </w:rPr>
        <w:t>.5</w:t>
      </w:r>
      <w:bookmarkEnd w:id="621"/>
      <w:r>
        <w:rPr>
          <w:rFonts w:hint="eastAsia" w:ascii="宋体" w:hAnsi="宋体" w:cs="楷体"/>
          <w:sz w:val="24"/>
          <w:szCs w:val="24"/>
          <w:highlight w:val="none"/>
        </w:rPr>
        <w:t xml:space="preserve"> 工期延误</w:t>
      </w:r>
    </w:p>
    <w:p w14:paraId="2D884D10">
      <w:pPr>
        <w:spacing w:line="540" w:lineRule="exact"/>
        <w:rPr>
          <w:rFonts w:ascii="宋体" w:hAnsi="宋体" w:cs="楷体"/>
          <w:sz w:val="24"/>
          <w:szCs w:val="24"/>
          <w:highlight w:val="none"/>
        </w:rPr>
      </w:pPr>
      <w:r>
        <w:rPr>
          <w:rFonts w:hint="eastAsia" w:ascii="宋体" w:hAnsi="宋体" w:cs="楷体"/>
          <w:sz w:val="24"/>
          <w:szCs w:val="24"/>
          <w:highlight w:val="none"/>
        </w:rPr>
        <w:t>7.5.1 因发包人原因导致工期延误</w:t>
      </w:r>
    </w:p>
    <w:p w14:paraId="27DF2872">
      <w:pPr>
        <w:spacing w:line="540" w:lineRule="exact"/>
        <w:rPr>
          <w:rFonts w:ascii="宋体" w:hAnsi="宋体" w:cs="楷体"/>
          <w:sz w:val="24"/>
          <w:szCs w:val="24"/>
          <w:highlight w:val="none"/>
        </w:rPr>
      </w:pPr>
      <w:r>
        <w:rPr>
          <w:rFonts w:hint="eastAsia" w:ascii="宋体" w:hAnsi="宋体" w:cs="楷体"/>
          <w:sz w:val="24"/>
          <w:szCs w:val="24"/>
          <w:highlight w:val="none"/>
        </w:rPr>
        <w:t>（7）因发包人原因导致工期延误的其他情形：</w:t>
      </w:r>
      <w:r>
        <w:rPr>
          <w:rFonts w:hint="eastAsia" w:ascii="宋体" w:hAnsi="宋体" w:cs="楷体"/>
          <w:sz w:val="24"/>
          <w:szCs w:val="24"/>
          <w:highlight w:val="none"/>
          <w:u w:val="single"/>
        </w:rPr>
        <w:t xml:space="preserve">   工期顺延      </w:t>
      </w:r>
      <w:r>
        <w:rPr>
          <w:rFonts w:hint="eastAsia" w:ascii="宋体" w:hAnsi="宋体" w:cs="楷体"/>
          <w:sz w:val="24"/>
          <w:szCs w:val="24"/>
          <w:highlight w:val="none"/>
        </w:rPr>
        <w:t>。</w:t>
      </w:r>
    </w:p>
    <w:p w14:paraId="47E6E9FA">
      <w:pPr>
        <w:spacing w:line="540" w:lineRule="exact"/>
        <w:rPr>
          <w:rFonts w:ascii="宋体" w:hAnsi="宋体" w:cs="楷体"/>
          <w:sz w:val="24"/>
          <w:szCs w:val="24"/>
          <w:highlight w:val="none"/>
        </w:rPr>
      </w:pPr>
      <w:r>
        <w:rPr>
          <w:rFonts w:hint="eastAsia" w:ascii="宋体" w:hAnsi="宋体" w:cs="楷体"/>
          <w:sz w:val="24"/>
          <w:szCs w:val="24"/>
          <w:highlight w:val="none"/>
        </w:rPr>
        <w:t>7</w:t>
      </w:r>
      <w:bookmarkStart w:id="622" w:name="_Toc312678012"/>
      <w:bookmarkEnd w:id="622"/>
      <w:bookmarkStart w:id="623" w:name="_Toc318581169"/>
      <w:bookmarkEnd w:id="623"/>
      <w:bookmarkStart w:id="624" w:name="_Toc303539127"/>
      <w:bookmarkEnd w:id="624"/>
      <w:bookmarkStart w:id="625" w:name="_Toc304295548"/>
      <w:bookmarkEnd w:id="625"/>
      <w:bookmarkStart w:id="626" w:name="_Toc297123518"/>
      <w:bookmarkEnd w:id="626"/>
      <w:bookmarkStart w:id="627" w:name="_Toc297216177"/>
      <w:bookmarkEnd w:id="627"/>
      <w:bookmarkStart w:id="628" w:name="_Toc300934970"/>
      <w:bookmarkEnd w:id="628"/>
      <w:bookmarkStart w:id="629" w:name="_Toc312677486"/>
      <w:r>
        <w:rPr>
          <w:rFonts w:hint="eastAsia" w:ascii="宋体" w:hAnsi="宋体" w:cs="楷体"/>
          <w:sz w:val="24"/>
          <w:szCs w:val="24"/>
          <w:highlight w:val="none"/>
        </w:rPr>
        <w:t>.5.2 因承包人原因导致工期延误</w:t>
      </w:r>
      <w:bookmarkEnd w:id="629"/>
    </w:p>
    <w:p w14:paraId="22A56C90">
      <w:pPr>
        <w:spacing w:line="540" w:lineRule="exact"/>
        <w:rPr>
          <w:rFonts w:ascii="宋体" w:hAnsi="宋体" w:cs="楷体"/>
          <w:sz w:val="24"/>
          <w:szCs w:val="24"/>
          <w:highlight w:val="none"/>
        </w:rPr>
      </w:pPr>
      <w:r>
        <w:rPr>
          <w:rFonts w:hint="eastAsia" w:ascii="宋体" w:hAnsi="宋体" w:cs="楷体"/>
          <w:sz w:val="24"/>
          <w:szCs w:val="24"/>
          <w:highlight w:val="none"/>
        </w:rPr>
        <w:t>因</w:t>
      </w:r>
      <w:bookmarkStart w:id="630" w:name="_Toc312677487"/>
      <w:bookmarkEnd w:id="630"/>
      <w:bookmarkStart w:id="631" w:name="_Toc312678013"/>
      <w:bookmarkEnd w:id="631"/>
      <w:bookmarkStart w:id="632" w:name="_Toc318581170"/>
      <w:r>
        <w:rPr>
          <w:rFonts w:hint="eastAsia" w:ascii="宋体" w:hAnsi="宋体" w:cs="楷体"/>
          <w:sz w:val="24"/>
          <w:szCs w:val="24"/>
          <w:highlight w:val="none"/>
        </w:rPr>
        <w:t>承包人原因造成工期延误，逾期竣工违约金的计算方法为：</w:t>
      </w:r>
      <w:bookmarkEnd w:id="632"/>
      <w:r>
        <w:rPr>
          <w:rFonts w:hint="eastAsia" w:ascii="宋体" w:hAnsi="宋体" w:cs="楷体"/>
          <w:sz w:val="24"/>
          <w:szCs w:val="24"/>
          <w:highlight w:val="none"/>
          <w:u w:val="single"/>
        </w:rPr>
        <w:t xml:space="preserve">  按</w:t>
      </w:r>
      <w:r>
        <w:rPr>
          <w:rFonts w:hint="eastAsia" w:ascii="宋体" w:hAnsi="宋体" w:cs="楷体"/>
          <w:sz w:val="24"/>
          <w:szCs w:val="24"/>
          <w:highlight w:val="none"/>
          <w:u w:val="single"/>
          <w:lang w:val="en-US" w:eastAsia="zh-CN"/>
        </w:rPr>
        <w:t>1000</w:t>
      </w:r>
      <w:r>
        <w:rPr>
          <w:rFonts w:hint="eastAsia" w:ascii="宋体" w:hAnsi="宋体" w:cs="楷体"/>
          <w:sz w:val="24"/>
          <w:szCs w:val="24"/>
          <w:highlight w:val="none"/>
          <w:u w:val="single"/>
        </w:rPr>
        <w:t>元/天处罚承包人</w:t>
      </w:r>
      <w:r>
        <w:rPr>
          <w:rFonts w:hint="eastAsia" w:ascii="宋体" w:hAnsi="宋体" w:cs="楷体"/>
          <w:sz w:val="24"/>
          <w:szCs w:val="24"/>
          <w:highlight w:val="none"/>
        </w:rPr>
        <w:t>。</w:t>
      </w:r>
    </w:p>
    <w:p w14:paraId="6B391C74">
      <w:pPr>
        <w:spacing w:line="540" w:lineRule="exact"/>
        <w:rPr>
          <w:rFonts w:ascii="宋体" w:hAnsi="宋体" w:cs="楷体"/>
          <w:sz w:val="24"/>
          <w:szCs w:val="24"/>
          <w:highlight w:val="none"/>
        </w:rPr>
      </w:pPr>
      <w:r>
        <w:rPr>
          <w:rFonts w:hint="eastAsia" w:ascii="宋体" w:hAnsi="宋体" w:cs="楷体"/>
          <w:sz w:val="24"/>
          <w:szCs w:val="24"/>
          <w:highlight w:val="none"/>
        </w:rPr>
        <w:t>因承包人原因造成工期延误，逾</w:t>
      </w:r>
      <w:bookmarkStart w:id="633" w:name="_Toc312678014"/>
      <w:bookmarkEnd w:id="633"/>
      <w:bookmarkStart w:id="634" w:name="_Toc318581171"/>
      <w:r>
        <w:rPr>
          <w:rFonts w:hint="eastAsia" w:ascii="宋体" w:hAnsi="宋体" w:cs="楷体"/>
          <w:sz w:val="24"/>
          <w:szCs w:val="24"/>
          <w:highlight w:val="none"/>
        </w:rPr>
        <w:t>期竣工违约金的上限：</w:t>
      </w:r>
      <w:bookmarkEnd w:id="634"/>
      <w:r>
        <w:rPr>
          <w:rFonts w:hint="eastAsia" w:ascii="宋体" w:hAnsi="宋体" w:cs="楷体"/>
          <w:sz w:val="24"/>
          <w:szCs w:val="24"/>
          <w:highlight w:val="none"/>
          <w:u w:val="single"/>
        </w:rPr>
        <w:t xml:space="preserve"> 总额不超过总价款的1%</w:t>
      </w:r>
      <w:r>
        <w:rPr>
          <w:rFonts w:hint="eastAsia" w:ascii="宋体" w:hAnsi="宋体" w:cs="楷体"/>
          <w:sz w:val="24"/>
          <w:szCs w:val="24"/>
          <w:highlight w:val="none"/>
        </w:rPr>
        <w:t>。</w:t>
      </w:r>
    </w:p>
    <w:p w14:paraId="17CD0E4A">
      <w:pPr>
        <w:spacing w:line="540" w:lineRule="exact"/>
        <w:rPr>
          <w:rFonts w:ascii="宋体" w:hAnsi="宋体" w:cs="楷体"/>
          <w:sz w:val="24"/>
          <w:szCs w:val="24"/>
          <w:highlight w:val="none"/>
        </w:rPr>
      </w:pPr>
      <w:r>
        <w:rPr>
          <w:rFonts w:hint="eastAsia" w:ascii="宋体" w:hAnsi="宋体" w:cs="楷体"/>
          <w:bCs/>
          <w:sz w:val="24"/>
          <w:szCs w:val="24"/>
          <w:highlight w:val="none"/>
        </w:rPr>
        <w:t>7</w:t>
      </w:r>
      <w:bookmarkStart w:id="635" w:name="_Toc297216178"/>
      <w:bookmarkEnd w:id="635"/>
      <w:bookmarkStart w:id="636" w:name="_Toc297123519"/>
      <w:bookmarkEnd w:id="636"/>
      <w:bookmarkStart w:id="637" w:name="_Toc312678015"/>
      <w:bookmarkEnd w:id="637"/>
      <w:bookmarkStart w:id="638" w:name="_Toc304295549"/>
      <w:bookmarkEnd w:id="638"/>
      <w:bookmarkStart w:id="639" w:name="_Toc303539128"/>
      <w:bookmarkEnd w:id="639"/>
      <w:bookmarkStart w:id="640" w:name="_Toc300934971"/>
      <w:r>
        <w:rPr>
          <w:rFonts w:hint="eastAsia" w:ascii="宋体" w:hAnsi="宋体" w:cs="楷体"/>
          <w:bCs/>
          <w:sz w:val="24"/>
          <w:szCs w:val="24"/>
          <w:highlight w:val="none"/>
        </w:rPr>
        <w:t>.6</w:t>
      </w:r>
      <w:bookmarkEnd w:id="640"/>
      <w:r>
        <w:rPr>
          <w:rFonts w:hint="eastAsia" w:ascii="宋体" w:hAnsi="宋体" w:cs="楷体"/>
          <w:sz w:val="24"/>
          <w:szCs w:val="24"/>
          <w:highlight w:val="none"/>
        </w:rPr>
        <w:t xml:space="preserve"> 不利物质条件</w:t>
      </w:r>
    </w:p>
    <w:p w14:paraId="28BBF080">
      <w:pPr>
        <w:spacing w:line="540" w:lineRule="exact"/>
        <w:rPr>
          <w:rFonts w:ascii="宋体" w:hAnsi="宋体" w:cs="楷体"/>
          <w:sz w:val="24"/>
          <w:szCs w:val="24"/>
          <w:highlight w:val="none"/>
        </w:rPr>
      </w:pPr>
      <w:bookmarkStart w:id="641" w:name="_Toc318581172"/>
      <w:bookmarkEnd w:id="641"/>
      <w:bookmarkStart w:id="642" w:name="_Toc303539129"/>
      <w:bookmarkEnd w:id="642"/>
      <w:bookmarkStart w:id="643" w:name="_Toc304295550"/>
      <w:bookmarkEnd w:id="643"/>
      <w:bookmarkStart w:id="644" w:name="_Toc312678016"/>
      <w:bookmarkEnd w:id="644"/>
      <w:bookmarkStart w:id="645" w:name="_Toc300934972"/>
      <w:bookmarkEnd w:id="645"/>
      <w:bookmarkStart w:id="646" w:name="_Toc297123520"/>
      <w:bookmarkEnd w:id="646"/>
      <w:bookmarkStart w:id="647" w:name="_Toc297216179"/>
      <w:r>
        <w:rPr>
          <w:rFonts w:hint="eastAsia" w:ascii="宋体" w:hAnsi="宋体" w:cs="楷体"/>
          <w:sz w:val="24"/>
          <w:szCs w:val="24"/>
          <w:highlight w:val="none"/>
        </w:rPr>
        <w:t>不利物质条件的其他情形和有关约定：</w:t>
      </w:r>
      <w:bookmarkEnd w:id="647"/>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4A9A9D07">
      <w:pPr>
        <w:spacing w:line="540" w:lineRule="exact"/>
        <w:rPr>
          <w:rFonts w:ascii="宋体" w:hAnsi="宋体" w:cs="楷体"/>
          <w:sz w:val="24"/>
          <w:szCs w:val="24"/>
          <w:highlight w:val="none"/>
        </w:rPr>
      </w:pPr>
      <w:r>
        <w:rPr>
          <w:rFonts w:hint="eastAsia" w:ascii="宋体" w:hAnsi="宋体" w:cs="楷体"/>
          <w:bCs/>
          <w:sz w:val="24"/>
          <w:szCs w:val="24"/>
          <w:highlight w:val="none"/>
        </w:rPr>
        <w:t>7</w:t>
      </w:r>
      <w:bookmarkStart w:id="648" w:name="_Toc300934973"/>
      <w:bookmarkEnd w:id="648"/>
      <w:bookmarkStart w:id="649" w:name="_Toc303539130"/>
      <w:bookmarkEnd w:id="649"/>
      <w:bookmarkStart w:id="650" w:name="_Toc312678017"/>
      <w:bookmarkEnd w:id="650"/>
      <w:bookmarkStart w:id="651" w:name="_Toc297123521"/>
      <w:bookmarkEnd w:id="651"/>
      <w:bookmarkStart w:id="652" w:name="_Toc304295551"/>
      <w:bookmarkEnd w:id="652"/>
      <w:bookmarkStart w:id="653" w:name="_Toc297216180"/>
      <w:r>
        <w:rPr>
          <w:rFonts w:hint="eastAsia" w:ascii="宋体" w:hAnsi="宋体" w:cs="楷体"/>
          <w:bCs/>
          <w:sz w:val="24"/>
          <w:szCs w:val="24"/>
          <w:highlight w:val="none"/>
        </w:rPr>
        <w:t>.7</w:t>
      </w:r>
      <w:bookmarkEnd w:id="653"/>
      <w:r>
        <w:rPr>
          <w:rFonts w:hint="eastAsia" w:ascii="宋体" w:hAnsi="宋体" w:cs="楷体"/>
          <w:sz w:val="24"/>
          <w:szCs w:val="24"/>
          <w:highlight w:val="none"/>
        </w:rPr>
        <w:t>异常恶劣的气候条件</w:t>
      </w:r>
    </w:p>
    <w:p w14:paraId="65D4A771">
      <w:pPr>
        <w:spacing w:line="540" w:lineRule="exact"/>
        <w:rPr>
          <w:rFonts w:ascii="宋体" w:hAnsi="宋体" w:cs="楷体"/>
          <w:sz w:val="24"/>
          <w:szCs w:val="24"/>
          <w:highlight w:val="none"/>
        </w:rPr>
      </w:pPr>
      <w:r>
        <w:rPr>
          <w:rFonts w:hint="eastAsia" w:ascii="宋体" w:hAnsi="宋体" w:cs="楷体"/>
          <w:sz w:val="24"/>
          <w:szCs w:val="24"/>
          <w:highlight w:val="none"/>
        </w:rPr>
        <w:t>发包人和承包人同意以下情形视为异常恶劣的气候条件：</w:t>
      </w:r>
    </w:p>
    <w:p w14:paraId="76F21AD2">
      <w:pPr>
        <w:spacing w:line="540" w:lineRule="exact"/>
        <w:rPr>
          <w:rFonts w:ascii="宋体" w:hAnsi="宋体" w:cs="楷体"/>
          <w:sz w:val="24"/>
          <w:szCs w:val="24"/>
          <w:highlight w:val="none"/>
        </w:rPr>
      </w:pPr>
      <w:r>
        <w:rPr>
          <w:rFonts w:hint="eastAsia" w:ascii="宋体" w:hAnsi="宋体" w:cs="楷体"/>
          <w:sz w:val="24"/>
          <w:szCs w:val="24"/>
          <w:highlight w:val="none"/>
        </w:rPr>
        <w:t>（1）；</w:t>
      </w:r>
    </w:p>
    <w:p w14:paraId="59569523">
      <w:pPr>
        <w:spacing w:line="540" w:lineRule="exact"/>
        <w:rPr>
          <w:rFonts w:ascii="宋体" w:hAnsi="宋体" w:cs="楷体"/>
          <w:sz w:val="24"/>
          <w:szCs w:val="24"/>
          <w:highlight w:val="none"/>
        </w:rPr>
      </w:pPr>
      <w:r>
        <w:rPr>
          <w:rFonts w:hint="eastAsia" w:ascii="宋体" w:hAnsi="宋体" w:cs="楷体"/>
          <w:sz w:val="24"/>
          <w:szCs w:val="24"/>
          <w:highlight w:val="none"/>
        </w:rPr>
        <w:t>（2）；</w:t>
      </w:r>
    </w:p>
    <w:p w14:paraId="10EC0E80">
      <w:pPr>
        <w:spacing w:line="540" w:lineRule="exact"/>
        <w:rPr>
          <w:rFonts w:ascii="宋体" w:hAnsi="宋体" w:cs="楷体"/>
          <w:sz w:val="24"/>
          <w:szCs w:val="24"/>
          <w:highlight w:val="none"/>
        </w:rPr>
      </w:pPr>
      <w:r>
        <w:rPr>
          <w:rFonts w:hint="eastAsia" w:ascii="宋体" w:hAnsi="宋体" w:cs="楷体"/>
          <w:sz w:val="24"/>
          <w:szCs w:val="24"/>
          <w:highlight w:val="none"/>
        </w:rPr>
        <w:t>（3）。</w:t>
      </w:r>
    </w:p>
    <w:p w14:paraId="29F34C0A">
      <w:pPr>
        <w:spacing w:line="540" w:lineRule="exact"/>
        <w:rPr>
          <w:rFonts w:ascii="宋体" w:hAnsi="宋体" w:cs="楷体"/>
          <w:sz w:val="24"/>
          <w:szCs w:val="24"/>
          <w:highlight w:val="none"/>
        </w:rPr>
      </w:pPr>
      <w:r>
        <w:rPr>
          <w:rFonts w:hint="eastAsia" w:ascii="宋体" w:hAnsi="宋体" w:cs="楷体"/>
          <w:bCs/>
          <w:sz w:val="24"/>
          <w:szCs w:val="24"/>
          <w:highlight w:val="none"/>
        </w:rPr>
        <w:t>7.8</w:t>
      </w:r>
      <w:r>
        <w:rPr>
          <w:rFonts w:hint="eastAsia" w:ascii="宋体" w:hAnsi="宋体" w:cs="楷体"/>
          <w:sz w:val="24"/>
          <w:szCs w:val="24"/>
          <w:highlight w:val="none"/>
        </w:rPr>
        <w:t xml:space="preserve"> 提前竣工的奖励</w:t>
      </w:r>
    </w:p>
    <w:p w14:paraId="775211E1">
      <w:pPr>
        <w:spacing w:line="540" w:lineRule="exact"/>
        <w:rPr>
          <w:rFonts w:ascii="宋体" w:hAnsi="宋体" w:cs="楷体"/>
          <w:sz w:val="24"/>
          <w:szCs w:val="24"/>
          <w:highlight w:val="none"/>
          <w:u w:val="single"/>
        </w:rPr>
      </w:pPr>
      <w:r>
        <w:rPr>
          <w:rFonts w:hint="eastAsia" w:ascii="宋体" w:hAnsi="宋体" w:cs="楷体"/>
          <w:sz w:val="24"/>
          <w:szCs w:val="24"/>
          <w:highlight w:val="none"/>
        </w:rPr>
        <w:t>7.8.1提前竣工的奖励：</w:t>
      </w:r>
      <w:r>
        <w:rPr>
          <w:rFonts w:hint="eastAsia" w:ascii="宋体" w:hAnsi="宋体" w:cs="楷体"/>
          <w:sz w:val="24"/>
          <w:szCs w:val="24"/>
          <w:highlight w:val="none"/>
          <w:u w:val="single"/>
        </w:rPr>
        <w:t xml:space="preserve">              /         。</w:t>
      </w:r>
    </w:p>
    <w:p w14:paraId="4981E945">
      <w:pPr>
        <w:keepNext/>
        <w:spacing w:line="540" w:lineRule="exact"/>
        <w:outlineLvl w:val="3"/>
        <w:rPr>
          <w:rFonts w:ascii="宋体" w:hAnsi="宋体" w:cs="楷体"/>
          <w:b/>
          <w:bCs/>
          <w:sz w:val="24"/>
          <w:szCs w:val="24"/>
          <w:highlight w:val="none"/>
        </w:rPr>
      </w:pPr>
      <w:bookmarkStart w:id="654" w:name="_Toc351203640"/>
      <w:bookmarkEnd w:id="654"/>
      <w:r>
        <w:rPr>
          <w:rFonts w:hint="eastAsia" w:ascii="宋体" w:hAnsi="宋体" w:cs="楷体"/>
          <w:b/>
          <w:bCs/>
          <w:sz w:val="24"/>
          <w:szCs w:val="24"/>
          <w:highlight w:val="none"/>
        </w:rPr>
        <w:t>8. 材料与设备</w:t>
      </w:r>
    </w:p>
    <w:p w14:paraId="6C4E6415">
      <w:pPr>
        <w:spacing w:line="540" w:lineRule="exact"/>
        <w:rPr>
          <w:rFonts w:ascii="宋体" w:hAnsi="宋体" w:cs="楷体"/>
          <w:sz w:val="24"/>
          <w:szCs w:val="24"/>
          <w:highlight w:val="none"/>
        </w:rPr>
      </w:pPr>
      <w:r>
        <w:rPr>
          <w:rFonts w:hint="eastAsia" w:ascii="宋体" w:hAnsi="宋体" w:cs="楷体"/>
          <w:bCs/>
          <w:sz w:val="24"/>
          <w:szCs w:val="24"/>
          <w:highlight w:val="none"/>
        </w:rPr>
        <w:t>8</w:t>
      </w:r>
      <w:bookmarkStart w:id="655" w:name="_Toc304295556"/>
      <w:bookmarkEnd w:id="655"/>
      <w:bookmarkStart w:id="656" w:name="_Toc297216186"/>
      <w:bookmarkEnd w:id="656"/>
      <w:bookmarkStart w:id="657" w:name="_Toc303539136"/>
      <w:bookmarkEnd w:id="657"/>
      <w:bookmarkStart w:id="658" w:name="_Toc297120467"/>
      <w:bookmarkEnd w:id="658"/>
      <w:bookmarkStart w:id="659" w:name="_Toc280868655"/>
      <w:bookmarkEnd w:id="659"/>
      <w:bookmarkStart w:id="660" w:name="_Toc292559372"/>
      <w:bookmarkEnd w:id="660"/>
      <w:bookmarkStart w:id="661" w:name="_Toc312678019"/>
      <w:bookmarkEnd w:id="661"/>
      <w:bookmarkStart w:id="662" w:name="_Toc296944506"/>
      <w:bookmarkEnd w:id="662"/>
      <w:bookmarkStart w:id="663" w:name="_Toc296891207"/>
      <w:bookmarkEnd w:id="663"/>
      <w:bookmarkStart w:id="664" w:name="_Toc292559877"/>
      <w:bookmarkEnd w:id="664"/>
      <w:bookmarkStart w:id="665" w:name="_Toc280868656"/>
      <w:bookmarkEnd w:id="665"/>
      <w:bookmarkStart w:id="666" w:name="_Toc297123527"/>
      <w:bookmarkEnd w:id="666"/>
      <w:bookmarkStart w:id="667" w:name="_Toc297048353"/>
      <w:bookmarkEnd w:id="667"/>
      <w:bookmarkStart w:id="668" w:name="_Toc280868654"/>
      <w:bookmarkEnd w:id="668"/>
      <w:bookmarkStart w:id="669" w:name="_Toc296503167"/>
      <w:bookmarkEnd w:id="669"/>
      <w:bookmarkStart w:id="670" w:name="_Toc312677493"/>
      <w:bookmarkEnd w:id="670"/>
      <w:bookmarkStart w:id="671" w:name="_Toc296347166"/>
      <w:bookmarkEnd w:id="671"/>
      <w:bookmarkStart w:id="672" w:name="_Toc267251424"/>
      <w:bookmarkEnd w:id="672"/>
      <w:bookmarkStart w:id="673" w:name="_Toc296890995"/>
      <w:bookmarkEnd w:id="673"/>
      <w:bookmarkStart w:id="674" w:name="_Toc296346668"/>
      <w:bookmarkEnd w:id="674"/>
      <w:bookmarkStart w:id="675" w:name="_Toc300934979"/>
      <w:r>
        <w:rPr>
          <w:rFonts w:hint="eastAsia" w:ascii="宋体" w:hAnsi="宋体" w:cs="楷体"/>
          <w:bCs/>
          <w:sz w:val="24"/>
          <w:szCs w:val="24"/>
          <w:highlight w:val="none"/>
        </w:rPr>
        <w:t>.4</w:t>
      </w:r>
      <w:bookmarkEnd w:id="675"/>
      <w:r>
        <w:rPr>
          <w:rFonts w:hint="eastAsia" w:ascii="宋体" w:hAnsi="宋体" w:cs="楷体"/>
          <w:sz w:val="24"/>
          <w:szCs w:val="24"/>
          <w:highlight w:val="none"/>
        </w:rPr>
        <w:t>材料与工程设备的保管与使用</w:t>
      </w:r>
    </w:p>
    <w:p w14:paraId="6401624D">
      <w:pPr>
        <w:spacing w:line="540" w:lineRule="exact"/>
        <w:rPr>
          <w:rFonts w:ascii="宋体" w:hAnsi="宋体" w:cs="楷体"/>
          <w:sz w:val="24"/>
          <w:szCs w:val="24"/>
          <w:highlight w:val="none"/>
        </w:rPr>
      </w:pPr>
      <w:r>
        <w:rPr>
          <w:rFonts w:hint="eastAsia" w:ascii="宋体" w:hAnsi="宋体" w:cs="楷体"/>
          <w:sz w:val="24"/>
          <w:szCs w:val="24"/>
          <w:highlight w:val="none"/>
        </w:rPr>
        <w:t>8</w:t>
      </w:r>
      <w:bookmarkStart w:id="676" w:name="_Toc296503168"/>
      <w:bookmarkEnd w:id="676"/>
      <w:bookmarkStart w:id="677" w:name="_Toc297120468"/>
      <w:bookmarkEnd w:id="677"/>
      <w:bookmarkStart w:id="678" w:name="_Toc312678020"/>
      <w:bookmarkEnd w:id="678"/>
      <w:bookmarkStart w:id="679" w:name="_Toc296891208"/>
      <w:bookmarkEnd w:id="679"/>
      <w:bookmarkStart w:id="680" w:name="_Toc296944507"/>
      <w:bookmarkEnd w:id="680"/>
      <w:bookmarkStart w:id="681" w:name="_Toc297123528"/>
      <w:bookmarkEnd w:id="681"/>
      <w:bookmarkStart w:id="682" w:name="_Toc318581173"/>
      <w:bookmarkEnd w:id="682"/>
      <w:bookmarkStart w:id="683" w:name="_Toc292559373"/>
      <w:bookmarkEnd w:id="683"/>
      <w:bookmarkStart w:id="684" w:name="_Toc300934980"/>
      <w:bookmarkEnd w:id="684"/>
      <w:bookmarkStart w:id="685" w:name="_Toc296890996"/>
      <w:bookmarkEnd w:id="685"/>
      <w:bookmarkStart w:id="686" w:name="_Toc303539137"/>
      <w:bookmarkEnd w:id="686"/>
      <w:bookmarkStart w:id="687" w:name="_Toc304295557"/>
      <w:bookmarkEnd w:id="687"/>
      <w:bookmarkStart w:id="688" w:name="_Toc297048354"/>
      <w:bookmarkEnd w:id="688"/>
      <w:bookmarkStart w:id="689" w:name="_Toc297216187"/>
      <w:bookmarkEnd w:id="689"/>
      <w:bookmarkStart w:id="690" w:name="_Toc296347167"/>
      <w:bookmarkEnd w:id="690"/>
      <w:bookmarkStart w:id="691" w:name="_Toc312677494"/>
      <w:bookmarkEnd w:id="691"/>
      <w:bookmarkStart w:id="692" w:name="_Toc292559878"/>
      <w:bookmarkEnd w:id="692"/>
      <w:bookmarkStart w:id="693" w:name="_Toc296346669"/>
      <w:r>
        <w:rPr>
          <w:rFonts w:hint="eastAsia" w:ascii="宋体" w:hAnsi="宋体" w:cs="楷体"/>
          <w:sz w:val="24"/>
          <w:szCs w:val="24"/>
          <w:highlight w:val="none"/>
        </w:rPr>
        <w:t>.4.1发包人供应的材料设备的保管费用的承担：</w:t>
      </w:r>
      <w:bookmarkEnd w:id="693"/>
      <w:r>
        <w:rPr>
          <w:rFonts w:hint="eastAsia" w:ascii="宋体" w:hAnsi="宋体" w:cs="楷体"/>
          <w:sz w:val="24"/>
          <w:szCs w:val="24"/>
          <w:highlight w:val="none"/>
          <w:u w:val="single"/>
        </w:rPr>
        <w:t xml:space="preserve">   由承包人承担    </w:t>
      </w:r>
      <w:r>
        <w:rPr>
          <w:rFonts w:hint="eastAsia" w:ascii="宋体" w:hAnsi="宋体" w:cs="楷体"/>
          <w:sz w:val="24"/>
          <w:szCs w:val="24"/>
          <w:highlight w:val="none"/>
        </w:rPr>
        <w:t>。</w:t>
      </w:r>
    </w:p>
    <w:p w14:paraId="3881AF6A">
      <w:pPr>
        <w:spacing w:line="540" w:lineRule="exact"/>
        <w:rPr>
          <w:rFonts w:ascii="宋体" w:hAnsi="宋体" w:cs="楷体"/>
          <w:sz w:val="24"/>
          <w:szCs w:val="24"/>
          <w:highlight w:val="none"/>
        </w:rPr>
      </w:pPr>
      <w:r>
        <w:rPr>
          <w:rFonts w:hint="eastAsia" w:ascii="宋体" w:hAnsi="宋体" w:cs="楷体"/>
          <w:sz w:val="24"/>
          <w:szCs w:val="24"/>
          <w:highlight w:val="none"/>
        </w:rPr>
        <w:t>8.4.2 承包人采购材料设备的约定：土建主材由甲方指定品牌及产地，乙方自行采购，且必须是住建局登记备案的合格产品，须经发包人派驻工地代表及监理方认可签字后方可采购。安装主材若甲方指定品牌及产地，材料价格依实调整。甲方若不指定品牌及产地，按清单报价中执行。</w:t>
      </w:r>
    </w:p>
    <w:p w14:paraId="71C9545C">
      <w:pPr>
        <w:spacing w:line="540" w:lineRule="exact"/>
        <w:rPr>
          <w:rFonts w:ascii="宋体" w:hAnsi="宋体" w:cs="楷体"/>
          <w:sz w:val="24"/>
          <w:szCs w:val="24"/>
          <w:highlight w:val="none"/>
        </w:rPr>
      </w:pPr>
      <w:r>
        <w:rPr>
          <w:rFonts w:hint="eastAsia" w:ascii="宋体" w:hAnsi="宋体" w:cs="楷体"/>
          <w:bCs/>
          <w:sz w:val="24"/>
          <w:szCs w:val="24"/>
          <w:highlight w:val="none"/>
        </w:rPr>
        <w:t>8.6</w:t>
      </w:r>
      <w:r>
        <w:rPr>
          <w:rFonts w:hint="eastAsia" w:ascii="宋体" w:hAnsi="宋体" w:cs="楷体"/>
          <w:sz w:val="24"/>
          <w:szCs w:val="24"/>
          <w:highlight w:val="none"/>
        </w:rPr>
        <w:t xml:space="preserve"> 样品</w:t>
      </w:r>
    </w:p>
    <w:p w14:paraId="651BD6CF">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8.6.1</w:t>
      </w:r>
      <w:r>
        <w:rPr>
          <w:rFonts w:hint="eastAsia" w:ascii="宋体" w:hAnsi="宋体" w:cs="楷体"/>
          <w:sz w:val="24"/>
          <w:szCs w:val="24"/>
          <w:highlight w:val="none"/>
        </w:rPr>
        <w:tab/>
      </w:r>
      <w:r>
        <w:rPr>
          <w:rFonts w:hint="eastAsia" w:ascii="宋体" w:hAnsi="宋体" w:cs="楷体"/>
          <w:sz w:val="24"/>
          <w:szCs w:val="24"/>
          <w:highlight w:val="none"/>
        </w:rPr>
        <w:t>样品的报送与封存</w:t>
      </w:r>
    </w:p>
    <w:p w14:paraId="52337304">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需要承包人报送样品的材料或工程设备，样品的种类、名称、规格、数量要求：</w:t>
      </w:r>
      <w:r>
        <w:rPr>
          <w:rFonts w:hint="eastAsia" w:ascii="宋体" w:hAnsi="宋体" w:cs="楷体"/>
          <w:sz w:val="24"/>
          <w:szCs w:val="24"/>
          <w:highlight w:val="none"/>
          <w:u w:val="single"/>
        </w:rPr>
        <w:t xml:space="preserve"> 按管理部门要求和业主需求确定   </w:t>
      </w:r>
      <w:r>
        <w:rPr>
          <w:rFonts w:hint="eastAsia" w:ascii="宋体" w:hAnsi="宋体" w:cs="楷体"/>
          <w:sz w:val="24"/>
          <w:szCs w:val="24"/>
          <w:highlight w:val="none"/>
        </w:rPr>
        <w:t>。</w:t>
      </w:r>
    </w:p>
    <w:p w14:paraId="1CA3DEB2">
      <w:pPr>
        <w:spacing w:line="540" w:lineRule="exact"/>
        <w:rPr>
          <w:rFonts w:ascii="宋体" w:hAnsi="宋体" w:cs="楷体"/>
          <w:sz w:val="24"/>
          <w:szCs w:val="24"/>
          <w:highlight w:val="none"/>
        </w:rPr>
      </w:pPr>
      <w:r>
        <w:rPr>
          <w:rFonts w:hint="eastAsia" w:ascii="宋体" w:hAnsi="宋体" w:cs="楷体"/>
          <w:bCs/>
          <w:sz w:val="24"/>
          <w:szCs w:val="24"/>
          <w:highlight w:val="none"/>
        </w:rPr>
        <w:t>8.8</w:t>
      </w:r>
      <w:r>
        <w:rPr>
          <w:rFonts w:hint="eastAsia" w:ascii="宋体" w:hAnsi="宋体" w:cs="楷体"/>
          <w:sz w:val="24"/>
          <w:szCs w:val="24"/>
          <w:highlight w:val="none"/>
        </w:rPr>
        <w:t xml:space="preserve"> 施工设备和临时设施</w:t>
      </w:r>
    </w:p>
    <w:p w14:paraId="51F0A0D6">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8.8.1 承包人提供的施工设备和临时设施</w:t>
      </w:r>
    </w:p>
    <w:p w14:paraId="100A71F8">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关于修建临时设施费用承担的约定：</w:t>
      </w:r>
      <w:r>
        <w:rPr>
          <w:rFonts w:hint="eastAsia" w:ascii="宋体" w:hAnsi="宋体" w:cs="楷体"/>
          <w:sz w:val="24"/>
          <w:szCs w:val="24"/>
          <w:highlight w:val="none"/>
          <w:u w:val="single"/>
        </w:rPr>
        <w:t xml:space="preserve">   由承包人确定    </w:t>
      </w:r>
      <w:r>
        <w:rPr>
          <w:rFonts w:hint="eastAsia" w:ascii="宋体" w:hAnsi="宋体" w:cs="楷体"/>
          <w:sz w:val="24"/>
          <w:szCs w:val="24"/>
          <w:highlight w:val="none"/>
        </w:rPr>
        <w:t>。</w:t>
      </w:r>
    </w:p>
    <w:p w14:paraId="5F548587">
      <w:pPr>
        <w:keepNext/>
        <w:spacing w:line="540" w:lineRule="exact"/>
        <w:outlineLvl w:val="3"/>
        <w:rPr>
          <w:rFonts w:ascii="宋体" w:hAnsi="宋体" w:cs="楷体"/>
          <w:b/>
          <w:bCs/>
          <w:sz w:val="24"/>
          <w:szCs w:val="24"/>
          <w:highlight w:val="none"/>
        </w:rPr>
      </w:pPr>
      <w:bookmarkStart w:id="694" w:name="_Toc351203641"/>
      <w:bookmarkEnd w:id="694"/>
      <w:r>
        <w:rPr>
          <w:rFonts w:hint="eastAsia" w:ascii="宋体" w:hAnsi="宋体" w:cs="楷体"/>
          <w:b/>
          <w:bCs/>
          <w:sz w:val="24"/>
          <w:szCs w:val="24"/>
          <w:highlight w:val="none"/>
        </w:rPr>
        <w:t>9</w:t>
      </w:r>
      <w:bookmarkStart w:id="695" w:name="_Toc296346674"/>
      <w:bookmarkEnd w:id="695"/>
      <w:bookmarkStart w:id="696" w:name="_Toc296891213"/>
      <w:bookmarkEnd w:id="696"/>
      <w:bookmarkStart w:id="697" w:name="_Toc292559883"/>
      <w:bookmarkEnd w:id="697"/>
      <w:bookmarkStart w:id="698" w:name="_Toc312678021"/>
      <w:bookmarkEnd w:id="698"/>
      <w:bookmarkStart w:id="699" w:name="_Toc297120473"/>
      <w:bookmarkEnd w:id="699"/>
      <w:bookmarkStart w:id="700" w:name="_Toc296347172"/>
      <w:bookmarkEnd w:id="700"/>
      <w:bookmarkStart w:id="701" w:name="_Toc296503173"/>
      <w:bookmarkEnd w:id="701"/>
      <w:bookmarkStart w:id="702" w:name="_Toc297123533"/>
      <w:bookmarkEnd w:id="702"/>
      <w:bookmarkStart w:id="703" w:name="_Toc297048359"/>
      <w:bookmarkEnd w:id="703"/>
      <w:bookmarkStart w:id="704" w:name="_Toc312677495"/>
      <w:bookmarkEnd w:id="704"/>
      <w:bookmarkStart w:id="705" w:name="_Toc300934982"/>
      <w:bookmarkEnd w:id="705"/>
      <w:bookmarkStart w:id="706" w:name="_Toc296891001"/>
      <w:bookmarkEnd w:id="706"/>
      <w:bookmarkStart w:id="707" w:name="_Toc303539139"/>
      <w:bookmarkEnd w:id="707"/>
      <w:bookmarkStart w:id="708" w:name="_Toc304295559"/>
      <w:bookmarkEnd w:id="708"/>
      <w:bookmarkStart w:id="709" w:name="_Toc292559378"/>
      <w:bookmarkEnd w:id="709"/>
      <w:bookmarkStart w:id="710" w:name="_Toc267251427"/>
      <w:bookmarkEnd w:id="710"/>
      <w:bookmarkStart w:id="711" w:name="_Toc297216192"/>
      <w:bookmarkEnd w:id="711"/>
      <w:bookmarkStart w:id="712" w:name="_Toc296944512"/>
      <w:bookmarkEnd w:id="712"/>
      <w:bookmarkStart w:id="713" w:name="_Toc267251428"/>
      <w:r>
        <w:rPr>
          <w:rFonts w:hint="eastAsia" w:ascii="宋体" w:hAnsi="宋体" w:cs="楷体"/>
          <w:b/>
          <w:bCs/>
          <w:sz w:val="24"/>
          <w:szCs w:val="24"/>
          <w:highlight w:val="none"/>
        </w:rPr>
        <w:t>. 试验与检验</w:t>
      </w:r>
      <w:bookmarkEnd w:id="713"/>
    </w:p>
    <w:p w14:paraId="0333C86E">
      <w:pPr>
        <w:spacing w:line="540" w:lineRule="exact"/>
        <w:rPr>
          <w:rFonts w:ascii="宋体" w:hAnsi="宋体" w:cs="楷体"/>
          <w:sz w:val="24"/>
          <w:szCs w:val="24"/>
          <w:highlight w:val="none"/>
        </w:rPr>
      </w:pPr>
      <w:r>
        <w:rPr>
          <w:rFonts w:hint="eastAsia" w:ascii="宋体" w:hAnsi="宋体" w:cs="楷体"/>
          <w:b/>
          <w:bCs/>
          <w:sz w:val="24"/>
          <w:szCs w:val="24"/>
          <w:highlight w:val="none"/>
        </w:rPr>
        <w:t>9</w:t>
      </w:r>
      <w:bookmarkStart w:id="714" w:name="_Toc304295560"/>
      <w:bookmarkEnd w:id="714"/>
      <w:bookmarkStart w:id="715" w:name="_Toc297216193"/>
      <w:bookmarkEnd w:id="715"/>
      <w:bookmarkStart w:id="716" w:name="_Toc303539140"/>
      <w:bookmarkEnd w:id="716"/>
      <w:bookmarkStart w:id="717" w:name="_Toc297123534"/>
      <w:bookmarkEnd w:id="717"/>
      <w:bookmarkStart w:id="718" w:name="_Toc312677496"/>
      <w:bookmarkEnd w:id="718"/>
      <w:bookmarkStart w:id="719" w:name="_Toc312678022"/>
      <w:bookmarkEnd w:id="719"/>
      <w:bookmarkStart w:id="720" w:name="_Toc300934983"/>
      <w:r>
        <w:rPr>
          <w:rFonts w:hint="eastAsia" w:ascii="宋体" w:hAnsi="宋体" w:cs="楷体"/>
          <w:b/>
          <w:bCs/>
          <w:sz w:val="24"/>
          <w:szCs w:val="24"/>
          <w:highlight w:val="none"/>
        </w:rPr>
        <w:t>.1</w:t>
      </w:r>
      <w:bookmarkEnd w:id="720"/>
      <w:r>
        <w:rPr>
          <w:rFonts w:hint="eastAsia" w:ascii="宋体" w:hAnsi="宋体" w:cs="楷体"/>
          <w:sz w:val="24"/>
          <w:szCs w:val="24"/>
          <w:highlight w:val="none"/>
        </w:rPr>
        <w:t>试验设备与试验人员</w:t>
      </w:r>
    </w:p>
    <w:p w14:paraId="62CA25B3">
      <w:pPr>
        <w:spacing w:line="540" w:lineRule="exact"/>
        <w:rPr>
          <w:rFonts w:ascii="宋体" w:hAnsi="宋体" w:cs="楷体"/>
          <w:sz w:val="24"/>
          <w:szCs w:val="24"/>
          <w:highlight w:val="none"/>
        </w:rPr>
      </w:pPr>
      <w:r>
        <w:rPr>
          <w:rFonts w:hint="eastAsia" w:ascii="宋体" w:hAnsi="宋体" w:cs="楷体"/>
          <w:sz w:val="24"/>
          <w:szCs w:val="24"/>
          <w:highlight w:val="none"/>
        </w:rPr>
        <w:t>9</w:t>
      </w:r>
      <w:bookmarkStart w:id="721" w:name="_Toc303539141"/>
      <w:bookmarkEnd w:id="721"/>
      <w:bookmarkStart w:id="722" w:name="_Toc297123535"/>
      <w:bookmarkEnd w:id="722"/>
      <w:bookmarkStart w:id="723" w:name="_Toc312678023"/>
      <w:bookmarkEnd w:id="723"/>
      <w:bookmarkStart w:id="724" w:name="_Toc312677497"/>
      <w:bookmarkEnd w:id="724"/>
      <w:bookmarkStart w:id="725" w:name="_Toc304295561"/>
      <w:bookmarkEnd w:id="725"/>
      <w:bookmarkStart w:id="726" w:name="_Toc297216194"/>
      <w:bookmarkEnd w:id="726"/>
      <w:bookmarkStart w:id="727" w:name="_Toc300934984"/>
      <w:bookmarkEnd w:id="727"/>
      <w:bookmarkStart w:id="728" w:name="_Toc318581174"/>
      <w:r>
        <w:rPr>
          <w:rFonts w:hint="eastAsia" w:ascii="宋体" w:hAnsi="宋体" w:cs="楷体"/>
          <w:sz w:val="24"/>
          <w:szCs w:val="24"/>
          <w:highlight w:val="none"/>
        </w:rPr>
        <w:t>.1.2 试验设备</w:t>
      </w:r>
      <w:bookmarkEnd w:id="728"/>
    </w:p>
    <w:p w14:paraId="59F7B4A8">
      <w:pPr>
        <w:spacing w:line="540" w:lineRule="exact"/>
        <w:rPr>
          <w:rFonts w:ascii="宋体" w:hAnsi="宋体" w:cs="楷体"/>
          <w:sz w:val="24"/>
          <w:szCs w:val="24"/>
          <w:highlight w:val="none"/>
        </w:rPr>
      </w:pPr>
      <w:r>
        <w:rPr>
          <w:rFonts w:hint="eastAsia" w:ascii="宋体" w:hAnsi="宋体" w:cs="楷体"/>
          <w:sz w:val="24"/>
          <w:szCs w:val="24"/>
          <w:highlight w:val="none"/>
        </w:rPr>
        <w:t>施工现场需要配置的试验场所：</w:t>
      </w:r>
      <w:bookmarkStart w:id="729" w:name="_Toc304295562"/>
      <w:bookmarkEnd w:id="729"/>
      <w:bookmarkStart w:id="730" w:name="_Toc297123536"/>
      <w:bookmarkEnd w:id="730"/>
      <w:bookmarkStart w:id="731" w:name="_Toc312678024"/>
      <w:bookmarkEnd w:id="731"/>
      <w:bookmarkStart w:id="732" w:name="_Toc303539142"/>
      <w:bookmarkEnd w:id="732"/>
      <w:bookmarkStart w:id="733" w:name="_Toc300934985"/>
      <w:bookmarkEnd w:id="733"/>
      <w:bookmarkStart w:id="734" w:name="_Toc297216195"/>
      <w:bookmarkEnd w:id="734"/>
      <w:bookmarkStart w:id="735" w:name="_Toc312677498"/>
      <w:bookmarkEnd w:id="735"/>
      <w:r>
        <w:rPr>
          <w:rFonts w:hint="eastAsia" w:ascii="宋体" w:hAnsi="宋体" w:cs="楷体"/>
          <w:sz w:val="24"/>
          <w:szCs w:val="24"/>
          <w:highlight w:val="none"/>
          <w:u w:val="single"/>
        </w:rPr>
        <w:t xml:space="preserve">  根据需要配备     </w:t>
      </w:r>
      <w:r>
        <w:rPr>
          <w:rFonts w:hint="eastAsia" w:ascii="宋体" w:hAnsi="宋体" w:cs="楷体"/>
          <w:sz w:val="24"/>
          <w:szCs w:val="24"/>
          <w:highlight w:val="none"/>
        </w:rPr>
        <w:t>。</w:t>
      </w:r>
    </w:p>
    <w:p w14:paraId="0281375C">
      <w:pPr>
        <w:spacing w:line="540" w:lineRule="exact"/>
        <w:rPr>
          <w:rFonts w:ascii="宋体" w:hAnsi="宋体" w:cs="楷体"/>
          <w:sz w:val="24"/>
          <w:szCs w:val="24"/>
          <w:highlight w:val="none"/>
        </w:rPr>
      </w:pPr>
      <w:r>
        <w:rPr>
          <w:rFonts w:hint="eastAsia" w:ascii="宋体" w:hAnsi="宋体" w:cs="楷体"/>
          <w:sz w:val="24"/>
          <w:szCs w:val="24"/>
          <w:highlight w:val="none"/>
        </w:rPr>
        <w:t>施工现场需要配备的试验设备：</w:t>
      </w:r>
      <w:r>
        <w:rPr>
          <w:rFonts w:hint="eastAsia" w:ascii="宋体" w:hAnsi="宋体" w:cs="楷体"/>
          <w:sz w:val="24"/>
          <w:szCs w:val="24"/>
          <w:highlight w:val="none"/>
          <w:u w:val="single"/>
        </w:rPr>
        <w:t xml:space="preserve">  根据需要配备     </w:t>
      </w:r>
      <w:r>
        <w:rPr>
          <w:rFonts w:hint="eastAsia" w:ascii="宋体" w:hAnsi="宋体" w:cs="楷体"/>
          <w:sz w:val="24"/>
          <w:szCs w:val="24"/>
          <w:highlight w:val="none"/>
        </w:rPr>
        <w:t>。</w:t>
      </w:r>
    </w:p>
    <w:p w14:paraId="247D9217">
      <w:pPr>
        <w:spacing w:line="540" w:lineRule="exact"/>
        <w:rPr>
          <w:rFonts w:ascii="宋体" w:hAnsi="宋体" w:cs="楷体"/>
          <w:sz w:val="24"/>
          <w:szCs w:val="24"/>
          <w:highlight w:val="none"/>
        </w:rPr>
      </w:pPr>
      <w:r>
        <w:rPr>
          <w:rFonts w:hint="eastAsia" w:ascii="宋体" w:hAnsi="宋体" w:cs="楷体"/>
          <w:sz w:val="24"/>
          <w:szCs w:val="24"/>
          <w:highlight w:val="none"/>
        </w:rPr>
        <w:t>施工现场需要具备的其他试验条件：</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3AB09E24">
      <w:pPr>
        <w:spacing w:line="540" w:lineRule="exact"/>
        <w:rPr>
          <w:rFonts w:ascii="宋体" w:hAnsi="宋体" w:cs="楷体"/>
          <w:sz w:val="24"/>
          <w:szCs w:val="24"/>
          <w:highlight w:val="none"/>
        </w:rPr>
      </w:pPr>
      <w:r>
        <w:rPr>
          <w:rFonts w:hint="eastAsia" w:ascii="宋体" w:hAnsi="宋体" w:cs="楷体"/>
          <w:b/>
          <w:bCs/>
          <w:sz w:val="24"/>
          <w:szCs w:val="24"/>
          <w:highlight w:val="none"/>
        </w:rPr>
        <w:t xml:space="preserve">9.4 </w:t>
      </w:r>
      <w:r>
        <w:rPr>
          <w:rFonts w:hint="eastAsia" w:ascii="宋体" w:hAnsi="宋体" w:cs="楷体"/>
          <w:sz w:val="24"/>
          <w:szCs w:val="24"/>
          <w:highlight w:val="none"/>
        </w:rPr>
        <w:t xml:space="preserve">现场工艺试验 </w:t>
      </w:r>
    </w:p>
    <w:p w14:paraId="421D4675">
      <w:pPr>
        <w:spacing w:line="540" w:lineRule="exact"/>
        <w:rPr>
          <w:rFonts w:ascii="宋体" w:hAnsi="宋体" w:cs="楷体"/>
          <w:sz w:val="24"/>
          <w:szCs w:val="24"/>
          <w:highlight w:val="none"/>
        </w:rPr>
      </w:pPr>
      <w:r>
        <w:rPr>
          <w:rFonts w:hint="eastAsia" w:ascii="宋体" w:hAnsi="宋体" w:cs="楷体"/>
          <w:sz w:val="24"/>
          <w:szCs w:val="24"/>
          <w:highlight w:val="none"/>
        </w:rPr>
        <w:t>现场工艺试验的有关约定：</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19859A57">
      <w:pPr>
        <w:keepNext/>
        <w:spacing w:line="540" w:lineRule="exact"/>
        <w:outlineLvl w:val="3"/>
        <w:rPr>
          <w:rFonts w:ascii="宋体" w:hAnsi="宋体" w:cs="楷体"/>
          <w:b/>
          <w:bCs/>
          <w:sz w:val="24"/>
          <w:szCs w:val="24"/>
          <w:highlight w:val="none"/>
        </w:rPr>
      </w:pPr>
      <w:bookmarkStart w:id="736" w:name="_Toc351203642"/>
      <w:bookmarkEnd w:id="736"/>
      <w:r>
        <w:rPr>
          <w:rFonts w:hint="eastAsia" w:ascii="宋体" w:hAnsi="宋体" w:cs="楷体"/>
          <w:b/>
          <w:bCs/>
          <w:sz w:val="24"/>
          <w:szCs w:val="24"/>
          <w:highlight w:val="none"/>
        </w:rPr>
        <w:t>1</w:t>
      </w:r>
      <w:bookmarkStart w:id="737" w:name="_Toc312678025"/>
      <w:bookmarkEnd w:id="737"/>
      <w:bookmarkStart w:id="738" w:name="_Toc297123540"/>
      <w:bookmarkEnd w:id="738"/>
      <w:bookmarkStart w:id="739" w:name="_Toc267251440"/>
      <w:bookmarkEnd w:id="739"/>
      <w:bookmarkStart w:id="740" w:name="_Toc292559398"/>
      <w:bookmarkEnd w:id="740"/>
      <w:bookmarkStart w:id="741" w:name="_Toc296891233"/>
      <w:bookmarkEnd w:id="741"/>
      <w:bookmarkStart w:id="742" w:name="_Toc267251441"/>
      <w:bookmarkEnd w:id="742"/>
      <w:bookmarkStart w:id="743" w:name="_Toc297048379"/>
      <w:bookmarkEnd w:id="743"/>
      <w:bookmarkStart w:id="744" w:name="_Toc312677499"/>
      <w:bookmarkEnd w:id="744"/>
      <w:bookmarkStart w:id="745" w:name="_Toc296346694"/>
      <w:bookmarkEnd w:id="745"/>
      <w:bookmarkStart w:id="746" w:name="_Toc300934989"/>
      <w:bookmarkEnd w:id="746"/>
      <w:bookmarkStart w:id="747" w:name="_Toc296503193"/>
      <w:bookmarkEnd w:id="747"/>
      <w:bookmarkStart w:id="748" w:name="_Toc304295566"/>
      <w:bookmarkEnd w:id="748"/>
      <w:bookmarkStart w:id="749" w:name="_Toc296347192"/>
      <w:bookmarkEnd w:id="749"/>
      <w:bookmarkStart w:id="750" w:name="_Toc297120493"/>
      <w:bookmarkEnd w:id="750"/>
      <w:bookmarkStart w:id="751" w:name="_Toc303539146"/>
      <w:bookmarkEnd w:id="751"/>
      <w:bookmarkStart w:id="752" w:name="_Toc297216199"/>
      <w:bookmarkEnd w:id="752"/>
      <w:bookmarkStart w:id="753" w:name="_Toc296944532"/>
      <w:bookmarkEnd w:id="753"/>
      <w:bookmarkStart w:id="754" w:name="_Toc267251435"/>
      <w:bookmarkEnd w:id="754"/>
      <w:bookmarkStart w:id="755" w:name="_Toc267251437"/>
      <w:bookmarkEnd w:id="755"/>
      <w:bookmarkStart w:id="756" w:name="_Toc292559903"/>
      <w:bookmarkEnd w:id="756"/>
      <w:bookmarkStart w:id="757" w:name="_Toc296891021"/>
      <w:bookmarkEnd w:id="757"/>
      <w:bookmarkStart w:id="758" w:name="_Toc267251439"/>
      <w:bookmarkEnd w:id="758"/>
      <w:bookmarkStart w:id="759" w:name="_Toc267251433"/>
      <w:r>
        <w:rPr>
          <w:rFonts w:hint="eastAsia" w:ascii="宋体" w:hAnsi="宋体" w:cs="楷体"/>
          <w:b/>
          <w:bCs/>
          <w:sz w:val="24"/>
          <w:szCs w:val="24"/>
          <w:highlight w:val="none"/>
        </w:rPr>
        <w:t>0. 变更</w:t>
      </w:r>
      <w:bookmarkEnd w:id="759"/>
    </w:p>
    <w:p w14:paraId="751C38F9">
      <w:pPr>
        <w:spacing w:line="540" w:lineRule="exact"/>
        <w:rPr>
          <w:rFonts w:ascii="宋体" w:hAnsi="宋体" w:cs="楷体"/>
          <w:sz w:val="24"/>
          <w:szCs w:val="24"/>
          <w:highlight w:val="none"/>
        </w:rPr>
      </w:pPr>
      <w:r>
        <w:rPr>
          <w:rFonts w:hint="eastAsia" w:ascii="宋体" w:hAnsi="宋体" w:cs="楷体"/>
          <w:b/>
          <w:bCs/>
          <w:sz w:val="24"/>
          <w:szCs w:val="24"/>
          <w:highlight w:val="none"/>
        </w:rPr>
        <w:t>1</w:t>
      </w:r>
      <w:bookmarkStart w:id="760" w:name="_Toc296503194"/>
      <w:bookmarkEnd w:id="760"/>
      <w:bookmarkStart w:id="761" w:name="_Toc296347193"/>
      <w:bookmarkEnd w:id="761"/>
      <w:bookmarkStart w:id="762" w:name="_Toc312678026"/>
      <w:bookmarkEnd w:id="762"/>
      <w:bookmarkStart w:id="763" w:name="_Toc292559904"/>
      <w:bookmarkEnd w:id="763"/>
      <w:bookmarkStart w:id="764" w:name="_Toc297123541"/>
      <w:bookmarkEnd w:id="764"/>
      <w:bookmarkStart w:id="765" w:name="_Toc297216200"/>
      <w:bookmarkEnd w:id="765"/>
      <w:bookmarkStart w:id="766" w:name="_Toc297120494"/>
      <w:bookmarkEnd w:id="766"/>
      <w:bookmarkStart w:id="767" w:name="_Toc292559399"/>
      <w:bookmarkEnd w:id="767"/>
      <w:bookmarkStart w:id="768" w:name="_Toc304295567"/>
      <w:bookmarkEnd w:id="768"/>
      <w:bookmarkStart w:id="769" w:name="_Toc296346695"/>
      <w:bookmarkEnd w:id="769"/>
      <w:bookmarkStart w:id="770" w:name="_Toc300934990"/>
      <w:bookmarkEnd w:id="770"/>
      <w:bookmarkStart w:id="771" w:name="_Toc296891234"/>
      <w:bookmarkEnd w:id="771"/>
      <w:bookmarkStart w:id="772" w:name="_Toc303539147"/>
      <w:bookmarkEnd w:id="772"/>
      <w:bookmarkStart w:id="773" w:name="_Toc296891022"/>
      <w:bookmarkEnd w:id="773"/>
      <w:bookmarkStart w:id="774" w:name="_Toc297048380"/>
      <w:bookmarkEnd w:id="774"/>
      <w:bookmarkStart w:id="775" w:name="_Toc296944533"/>
      <w:bookmarkEnd w:id="775"/>
      <w:bookmarkStart w:id="776" w:name="_Toc312677500"/>
      <w:r>
        <w:rPr>
          <w:rFonts w:hint="eastAsia" w:ascii="宋体" w:hAnsi="宋体" w:cs="楷体"/>
          <w:b/>
          <w:bCs/>
          <w:sz w:val="24"/>
          <w:szCs w:val="24"/>
          <w:highlight w:val="none"/>
        </w:rPr>
        <w:t>0.1</w:t>
      </w:r>
      <w:bookmarkEnd w:id="776"/>
      <w:r>
        <w:rPr>
          <w:rFonts w:hint="eastAsia" w:ascii="宋体" w:hAnsi="宋体" w:cs="楷体"/>
          <w:sz w:val="24"/>
          <w:szCs w:val="24"/>
          <w:highlight w:val="none"/>
        </w:rPr>
        <w:t>变更的范围</w:t>
      </w:r>
    </w:p>
    <w:p w14:paraId="38F19384">
      <w:pPr>
        <w:spacing w:line="540" w:lineRule="exact"/>
        <w:rPr>
          <w:rFonts w:ascii="宋体" w:hAnsi="宋体" w:cs="楷体"/>
          <w:sz w:val="24"/>
          <w:szCs w:val="24"/>
          <w:highlight w:val="none"/>
        </w:rPr>
      </w:pPr>
      <w:r>
        <w:rPr>
          <w:rFonts w:hint="eastAsia" w:ascii="宋体" w:hAnsi="宋体" w:cs="楷体"/>
          <w:sz w:val="24"/>
          <w:szCs w:val="24"/>
          <w:highlight w:val="none"/>
        </w:rPr>
        <w:t>关于变更的范围的约定：</w:t>
      </w:r>
      <w:r>
        <w:rPr>
          <w:rFonts w:hint="eastAsia" w:ascii="宋体" w:hAnsi="宋体" w:cs="楷体"/>
          <w:sz w:val="24"/>
          <w:szCs w:val="24"/>
          <w:highlight w:val="none"/>
          <w:u w:val="single"/>
        </w:rPr>
        <w:t xml:space="preserve">   图纸变更      </w:t>
      </w:r>
      <w:r>
        <w:rPr>
          <w:rFonts w:hint="eastAsia" w:ascii="宋体" w:hAnsi="宋体" w:cs="楷体"/>
          <w:sz w:val="24"/>
          <w:szCs w:val="24"/>
          <w:highlight w:val="none"/>
        </w:rPr>
        <w:t>。</w:t>
      </w:r>
    </w:p>
    <w:p w14:paraId="3A8631F7">
      <w:pPr>
        <w:spacing w:line="540" w:lineRule="exact"/>
        <w:rPr>
          <w:rFonts w:ascii="宋体" w:hAnsi="宋体" w:cs="楷体"/>
          <w:sz w:val="24"/>
          <w:szCs w:val="24"/>
          <w:highlight w:val="none"/>
        </w:rPr>
      </w:pPr>
      <w:r>
        <w:rPr>
          <w:rFonts w:hint="eastAsia" w:ascii="宋体" w:hAnsi="宋体" w:cs="楷体"/>
          <w:b/>
          <w:bCs/>
          <w:sz w:val="24"/>
          <w:szCs w:val="24"/>
          <w:highlight w:val="none"/>
        </w:rPr>
        <w:t>10.4</w:t>
      </w:r>
      <w:r>
        <w:rPr>
          <w:rFonts w:hint="eastAsia" w:ascii="宋体" w:hAnsi="宋体" w:cs="楷体"/>
          <w:sz w:val="24"/>
          <w:szCs w:val="24"/>
          <w:highlight w:val="none"/>
        </w:rPr>
        <w:t xml:space="preserve"> 变更估价</w:t>
      </w:r>
    </w:p>
    <w:p w14:paraId="4843866D">
      <w:pPr>
        <w:spacing w:line="540" w:lineRule="exact"/>
        <w:rPr>
          <w:rFonts w:ascii="宋体" w:hAnsi="宋体" w:cs="楷体"/>
          <w:sz w:val="24"/>
          <w:szCs w:val="24"/>
          <w:highlight w:val="none"/>
        </w:rPr>
      </w:pPr>
      <w:r>
        <w:rPr>
          <w:rFonts w:hint="eastAsia" w:ascii="宋体" w:hAnsi="宋体" w:cs="楷体"/>
          <w:sz w:val="24"/>
          <w:szCs w:val="24"/>
          <w:highlight w:val="none"/>
        </w:rPr>
        <w:t>10.4.1 变更估价原则</w:t>
      </w:r>
    </w:p>
    <w:p w14:paraId="3D7152E7">
      <w:pPr>
        <w:spacing w:line="540" w:lineRule="exact"/>
        <w:rPr>
          <w:rFonts w:ascii="宋体" w:hAnsi="宋体" w:cs="楷体"/>
          <w:sz w:val="24"/>
          <w:szCs w:val="24"/>
          <w:highlight w:val="none"/>
          <w:u w:val="single"/>
        </w:rPr>
      </w:pPr>
      <w:r>
        <w:rPr>
          <w:rFonts w:hint="eastAsia" w:ascii="宋体" w:hAnsi="宋体" w:cs="楷体"/>
          <w:sz w:val="24"/>
          <w:szCs w:val="24"/>
          <w:highlight w:val="none"/>
        </w:rPr>
        <w:t>关于变更估价的约定: 。</w:t>
      </w:r>
    </w:p>
    <w:p w14:paraId="5964D407">
      <w:pPr>
        <w:spacing w:line="540" w:lineRule="exact"/>
        <w:rPr>
          <w:rFonts w:ascii="宋体" w:hAnsi="宋体" w:cs="楷体"/>
          <w:sz w:val="24"/>
          <w:szCs w:val="24"/>
          <w:highlight w:val="none"/>
        </w:rPr>
      </w:pPr>
      <w:r>
        <w:rPr>
          <w:rFonts w:hint="eastAsia" w:ascii="宋体" w:hAnsi="宋体" w:cs="楷体"/>
          <w:b/>
          <w:bCs/>
          <w:sz w:val="24"/>
          <w:szCs w:val="24"/>
          <w:highlight w:val="none"/>
        </w:rPr>
        <w:t>1</w:t>
      </w:r>
      <w:bookmarkStart w:id="777" w:name="_Toc296347196"/>
      <w:bookmarkEnd w:id="777"/>
      <w:bookmarkStart w:id="778" w:name="_Toc292559402"/>
      <w:bookmarkEnd w:id="778"/>
      <w:bookmarkStart w:id="779" w:name="_Toc300934993"/>
      <w:bookmarkEnd w:id="779"/>
      <w:bookmarkStart w:id="780" w:name="_Toc297216203"/>
      <w:bookmarkEnd w:id="780"/>
      <w:bookmarkStart w:id="781" w:name="_Toc296891237"/>
      <w:bookmarkEnd w:id="781"/>
      <w:bookmarkStart w:id="782" w:name="_Toc296891025"/>
      <w:bookmarkEnd w:id="782"/>
      <w:bookmarkStart w:id="783" w:name="_Toc312677503"/>
      <w:bookmarkEnd w:id="783"/>
      <w:bookmarkStart w:id="784" w:name="_Toc303539150"/>
      <w:bookmarkEnd w:id="784"/>
      <w:bookmarkStart w:id="785" w:name="_Toc296503197"/>
      <w:bookmarkEnd w:id="785"/>
      <w:bookmarkStart w:id="786" w:name="_Toc304295570"/>
      <w:bookmarkEnd w:id="786"/>
      <w:bookmarkStart w:id="787" w:name="_Toc297120497"/>
      <w:bookmarkEnd w:id="787"/>
      <w:bookmarkStart w:id="788" w:name="_Toc312678029"/>
      <w:bookmarkEnd w:id="788"/>
      <w:bookmarkStart w:id="789" w:name="_Toc297048383"/>
      <w:bookmarkEnd w:id="789"/>
      <w:bookmarkStart w:id="790" w:name="_Toc296346698"/>
      <w:bookmarkEnd w:id="790"/>
      <w:bookmarkStart w:id="791" w:name="_Toc296944536"/>
      <w:bookmarkEnd w:id="791"/>
      <w:bookmarkStart w:id="792" w:name="_Toc297123544"/>
      <w:bookmarkEnd w:id="792"/>
      <w:bookmarkStart w:id="793" w:name="_Toc292559907"/>
      <w:bookmarkEnd w:id="793"/>
      <w:r>
        <w:rPr>
          <w:rFonts w:hint="eastAsia" w:ascii="宋体" w:hAnsi="宋体" w:cs="楷体"/>
          <w:b/>
          <w:bCs/>
          <w:sz w:val="24"/>
          <w:szCs w:val="24"/>
          <w:highlight w:val="none"/>
        </w:rPr>
        <w:t>0.5</w:t>
      </w:r>
      <w:r>
        <w:rPr>
          <w:rFonts w:hint="eastAsia" w:ascii="宋体" w:hAnsi="宋体" w:cs="楷体"/>
          <w:sz w:val="24"/>
          <w:szCs w:val="24"/>
          <w:highlight w:val="none"/>
        </w:rPr>
        <w:t>承</w:t>
      </w:r>
      <w:bookmarkStart w:id="794" w:name="_Toc296891031"/>
      <w:bookmarkEnd w:id="794"/>
      <w:bookmarkStart w:id="795" w:name="_Toc296346704"/>
      <w:bookmarkEnd w:id="795"/>
      <w:bookmarkStart w:id="796" w:name="_Toc292559408"/>
      <w:bookmarkEnd w:id="796"/>
      <w:bookmarkStart w:id="797" w:name="_Toc296347202"/>
      <w:bookmarkEnd w:id="797"/>
      <w:bookmarkStart w:id="798" w:name="_Toc303539151"/>
      <w:bookmarkEnd w:id="798"/>
      <w:bookmarkStart w:id="799" w:name="_Toc297216204"/>
      <w:bookmarkEnd w:id="799"/>
      <w:bookmarkStart w:id="800" w:name="_Toc297123545"/>
      <w:bookmarkEnd w:id="800"/>
      <w:bookmarkStart w:id="801" w:name="_Toc297048389"/>
      <w:bookmarkEnd w:id="801"/>
      <w:bookmarkStart w:id="802" w:name="_Toc300934994"/>
      <w:bookmarkEnd w:id="802"/>
      <w:bookmarkStart w:id="803" w:name="_Toc296944542"/>
      <w:bookmarkEnd w:id="803"/>
      <w:bookmarkStart w:id="804" w:name="_Toc297120503"/>
      <w:bookmarkEnd w:id="804"/>
      <w:bookmarkStart w:id="805" w:name="_Toc292559913"/>
      <w:bookmarkEnd w:id="805"/>
      <w:bookmarkStart w:id="806" w:name="_Toc296503203"/>
      <w:bookmarkEnd w:id="806"/>
      <w:bookmarkStart w:id="807" w:name="_Toc296891243"/>
      <w:bookmarkEnd w:id="807"/>
      <w:r>
        <w:rPr>
          <w:rFonts w:hint="eastAsia" w:ascii="宋体" w:hAnsi="宋体" w:cs="楷体"/>
          <w:sz w:val="24"/>
          <w:szCs w:val="24"/>
          <w:highlight w:val="none"/>
        </w:rPr>
        <w:t>包人的合理化建议</w:t>
      </w:r>
    </w:p>
    <w:p w14:paraId="02D5F4A2">
      <w:pPr>
        <w:spacing w:line="540" w:lineRule="exact"/>
        <w:rPr>
          <w:rFonts w:ascii="宋体" w:hAnsi="宋体" w:cs="楷体"/>
          <w:sz w:val="24"/>
          <w:szCs w:val="24"/>
          <w:highlight w:val="none"/>
        </w:rPr>
      </w:pPr>
      <w:r>
        <w:rPr>
          <w:rFonts w:hint="eastAsia" w:ascii="宋体" w:hAnsi="宋体" w:cs="楷体"/>
          <w:sz w:val="24"/>
          <w:szCs w:val="24"/>
          <w:highlight w:val="none"/>
        </w:rPr>
        <w:t>监理人审查承包人合理化建议的期限：</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689B9E44">
      <w:pPr>
        <w:spacing w:line="540" w:lineRule="exact"/>
        <w:rPr>
          <w:rFonts w:ascii="宋体" w:hAnsi="宋体" w:cs="楷体"/>
          <w:sz w:val="24"/>
          <w:szCs w:val="24"/>
          <w:highlight w:val="none"/>
        </w:rPr>
      </w:pPr>
      <w:r>
        <w:rPr>
          <w:rFonts w:hint="eastAsia" w:ascii="宋体" w:hAnsi="宋体" w:cs="楷体"/>
          <w:sz w:val="24"/>
          <w:szCs w:val="24"/>
          <w:highlight w:val="none"/>
        </w:rPr>
        <w:t>发包人审批承包人合理化建议的期限：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458F144">
      <w:pPr>
        <w:spacing w:line="540" w:lineRule="exact"/>
        <w:rPr>
          <w:rFonts w:ascii="宋体" w:hAnsi="宋体" w:cs="楷体"/>
          <w:sz w:val="24"/>
          <w:szCs w:val="24"/>
          <w:highlight w:val="none"/>
          <w:u w:val="single"/>
        </w:rPr>
      </w:pPr>
      <w:r>
        <w:rPr>
          <w:rFonts w:hint="eastAsia" w:ascii="宋体" w:hAnsi="宋体" w:cs="楷体"/>
          <w:sz w:val="24"/>
          <w:szCs w:val="24"/>
          <w:highlight w:val="none"/>
        </w:rPr>
        <w:t>承</w:t>
      </w:r>
      <w:bookmarkStart w:id="808" w:name="_Toc296891032"/>
      <w:bookmarkEnd w:id="808"/>
      <w:bookmarkStart w:id="809" w:name="_Toc292559409"/>
      <w:bookmarkEnd w:id="809"/>
      <w:bookmarkStart w:id="810" w:name="_Toc296346705"/>
      <w:bookmarkEnd w:id="810"/>
      <w:bookmarkStart w:id="811" w:name="_Toc297123546"/>
      <w:bookmarkEnd w:id="811"/>
      <w:bookmarkStart w:id="812" w:name="_Toc304295571"/>
      <w:bookmarkEnd w:id="812"/>
      <w:bookmarkStart w:id="813" w:name="_Toc292559914"/>
      <w:bookmarkEnd w:id="813"/>
      <w:bookmarkStart w:id="814" w:name="_Toc312677504"/>
      <w:bookmarkEnd w:id="814"/>
      <w:bookmarkStart w:id="815" w:name="_Toc297048390"/>
      <w:bookmarkEnd w:id="815"/>
      <w:bookmarkStart w:id="816" w:name="_Toc296944543"/>
      <w:bookmarkEnd w:id="816"/>
      <w:bookmarkStart w:id="817" w:name="_Toc303539152"/>
      <w:bookmarkEnd w:id="817"/>
      <w:bookmarkStart w:id="818" w:name="_Toc297216205"/>
      <w:bookmarkEnd w:id="818"/>
      <w:bookmarkStart w:id="819" w:name="_Toc312678030"/>
      <w:bookmarkEnd w:id="819"/>
      <w:bookmarkStart w:id="820" w:name="_Toc297120504"/>
      <w:bookmarkEnd w:id="820"/>
      <w:bookmarkStart w:id="821" w:name="_Toc300934995"/>
      <w:bookmarkEnd w:id="821"/>
      <w:bookmarkStart w:id="822" w:name="_Toc296891244"/>
      <w:bookmarkEnd w:id="822"/>
      <w:bookmarkStart w:id="823" w:name="_Toc296347203"/>
      <w:bookmarkEnd w:id="823"/>
      <w:bookmarkStart w:id="824" w:name="_Toc296503204"/>
      <w:bookmarkEnd w:id="824"/>
      <w:bookmarkStart w:id="825" w:name="_Toc318581175"/>
      <w:r>
        <w:rPr>
          <w:rFonts w:hint="eastAsia" w:ascii="宋体" w:hAnsi="宋体" w:cs="楷体"/>
          <w:sz w:val="24"/>
          <w:szCs w:val="24"/>
          <w:highlight w:val="none"/>
        </w:rPr>
        <w:t>包人提出的合理化建议降低了合同价格或者提高了工程经济效益的奖励的方法和金额为：</w:t>
      </w:r>
      <w:bookmarkEnd w:id="825"/>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0BEA27A5">
      <w:pPr>
        <w:spacing w:line="540" w:lineRule="exact"/>
        <w:rPr>
          <w:rFonts w:ascii="宋体" w:hAnsi="宋体" w:cs="楷体"/>
          <w:sz w:val="24"/>
          <w:szCs w:val="24"/>
          <w:highlight w:val="none"/>
        </w:rPr>
      </w:pPr>
      <w:r>
        <w:rPr>
          <w:rFonts w:hint="eastAsia" w:ascii="宋体" w:hAnsi="宋体" w:cs="楷体"/>
          <w:b/>
          <w:bCs/>
          <w:sz w:val="24"/>
          <w:szCs w:val="24"/>
          <w:highlight w:val="none"/>
        </w:rPr>
        <w:t>1</w:t>
      </w:r>
      <w:bookmarkStart w:id="826" w:name="_Toc297123548"/>
      <w:bookmarkEnd w:id="826"/>
      <w:bookmarkStart w:id="827" w:name="_Toc296944538"/>
      <w:bookmarkEnd w:id="827"/>
      <w:bookmarkStart w:id="828" w:name="_Toc297048385"/>
      <w:bookmarkEnd w:id="828"/>
      <w:bookmarkStart w:id="829" w:name="_Toc296346700"/>
      <w:bookmarkEnd w:id="829"/>
      <w:bookmarkStart w:id="830" w:name="_Toc303539154"/>
      <w:bookmarkEnd w:id="830"/>
      <w:bookmarkStart w:id="831" w:name="_Toc312677507"/>
      <w:bookmarkEnd w:id="831"/>
      <w:bookmarkStart w:id="832" w:name="_Toc312678033"/>
      <w:bookmarkEnd w:id="832"/>
      <w:bookmarkStart w:id="833" w:name="_Toc292559909"/>
      <w:bookmarkEnd w:id="833"/>
      <w:bookmarkStart w:id="834" w:name="_Toc297216207"/>
      <w:bookmarkEnd w:id="834"/>
      <w:bookmarkStart w:id="835" w:name="_Toc296891239"/>
      <w:bookmarkEnd w:id="835"/>
      <w:bookmarkStart w:id="836" w:name="_Toc300934997"/>
      <w:bookmarkEnd w:id="836"/>
      <w:bookmarkStart w:id="837" w:name="_Toc292559404"/>
      <w:bookmarkEnd w:id="837"/>
      <w:bookmarkStart w:id="838" w:name="_Toc304295574"/>
      <w:bookmarkEnd w:id="838"/>
      <w:bookmarkStart w:id="839" w:name="_Toc296347198"/>
      <w:bookmarkEnd w:id="839"/>
      <w:bookmarkStart w:id="840" w:name="_Toc297120499"/>
      <w:bookmarkEnd w:id="840"/>
      <w:bookmarkStart w:id="841" w:name="_Toc296503199"/>
      <w:bookmarkEnd w:id="841"/>
      <w:bookmarkStart w:id="842" w:name="_Toc296891027"/>
      <w:r>
        <w:rPr>
          <w:rFonts w:hint="eastAsia" w:ascii="宋体" w:hAnsi="宋体" w:cs="楷体"/>
          <w:b/>
          <w:bCs/>
          <w:sz w:val="24"/>
          <w:szCs w:val="24"/>
          <w:highlight w:val="none"/>
        </w:rPr>
        <w:t>0.7</w:t>
      </w:r>
      <w:bookmarkEnd w:id="842"/>
      <w:r>
        <w:rPr>
          <w:rFonts w:hint="eastAsia" w:ascii="宋体" w:hAnsi="宋体" w:cs="楷体"/>
          <w:sz w:val="24"/>
          <w:szCs w:val="24"/>
          <w:highlight w:val="none"/>
        </w:rPr>
        <w:t xml:space="preserve"> 暂估价</w:t>
      </w:r>
    </w:p>
    <w:p w14:paraId="62C2B97A">
      <w:pPr>
        <w:spacing w:line="540" w:lineRule="exact"/>
        <w:rPr>
          <w:rFonts w:ascii="宋体" w:hAnsi="宋体" w:cs="楷体"/>
          <w:sz w:val="24"/>
          <w:szCs w:val="24"/>
          <w:highlight w:val="none"/>
        </w:rPr>
      </w:pPr>
      <w:r>
        <w:rPr>
          <w:rFonts w:hint="eastAsia" w:ascii="宋体" w:hAnsi="宋体" w:cs="楷体"/>
          <w:sz w:val="24"/>
          <w:szCs w:val="24"/>
          <w:highlight w:val="none"/>
        </w:rPr>
        <w:t>暂</w:t>
      </w:r>
      <w:bookmarkStart w:id="843" w:name="_Toc312677508"/>
      <w:bookmarkEnd w:id="843"/>
      <w:bookmarkStart w:id="844" w:name="_Toc312678034"/>
      <w:bookmarkEnd w:id="844"/>
      <w:bookmarkStart w:id="845" w:name="_Toc318581176"/>
      <w:r>
        <w:rPr>
          <w:rFonts w:hint="eastAsia" w:ascii="宋体" w:hAnsi="宋体" w:cs="楷体"/>
          <w:sz w:val="24"/>
          <w:szCs w:val="24"/>
          <w:highlight w:val="none"/>
        </w:rPr>
        <w:t>估价材料和工程设备的明细</w:t>
      </w:r>
      <w:bookmarkEnd w:id="845"/>
    </w:p>
    <w:p w14:paraId="61449FC4">
      <w:pPr>
        <w:spacing w:line="540" w:lineRule="exact"/>
        <w:rPr>
          <w:rFonts w:ascii="宋体" w:hAnsi="宋体" w:cs="楷体"/>
          <w:sz w:val="24"/>
          <w:szCs w:val="24"/>
          <w:highlight w:val="none"/>
        </w:rPr>
      </w:pPr>
      <w:r>
        <w:rPr>
          <w:rFonts w:hint="eastAsia" w:ascii="宋体" w:hAnsi="宋体" w:cs="楷体"/>
          <w:sz w:val="24"/>
          <w:szCs w:val="24"/>
          <w:highlight w:val="none"/>
        </w:rPr>
        <w:t>1</w:t>
      </w:r>
      <w:bookmarkStart w:id="846" w:name="_Toc318581177"/>
      <w:bookmarkEnd w:id="846"/>
      <w:bookmarkStart w:id="847" w:name="_Toc312678035"/>
      <w:bookmarkEnd w:id="847"/>
      <w:bookmarkStart w:id="848" w:name="_Toc312677509"/>
      <w:r>
        <w:rPr>
          <w:rFonts w:hint="eastAsia" w:ascii="宋体" w:hAnsi="宋体" w:cs="楷体"/>
          <w:sz w:val="24"/>
          <w:szCs w:val="24"/>
          <w:highlight w:val="none"/>
        </w:rPr>
        <w:t>0.7.1 依法必须招标的暂估价项目</w:t>
      </w:r>
      <w:bookmarkEnd w:id="848"/>
    </w:p>
    <w:p w14:paraId="15DAA18B">
      <w:pPr>
        <w:spacing w:line="540" w:lineRule="exact"/>
        <w:rPr>
          <w:rFonts w:ascii="宋体" w:hAnsi="宋体" w:cs="楷体"/>
          <w:sz w:val="24"/>
          <w:szCs w:val="24"/>
          <w:highlight w:val="none"/>
        </w:rPr>
      </w:pPr>
      <w:r>
        <w:rPr>
          <w:rFonts w:hint="eastAsia" w:ascii="宋体" w:hAnsi="宋体" w:cs="楷体"/>
          <w:sz w:val="24"/>
          <w:szCs w:val="24"/>
          <w:highlight w:val="none"/>
        </w:rPr>
        <w:t>对于依法必须招标的暂估价项目的确认和批准采取第</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种方式确定。</w:t>
      </w:r>
    </w:p>
    <w:p w14:paraId="6A601F8B">
      <w:pPr>
        <w:spacing w:line="540" w:lineRule="exact"/>
        <w:rPr>
          <w:rFonts w:ascii="宋体" w:hAnsi="宋体" w:cs="楷体"/>
          <w:sz w:val="24"/>
          <w:szCs w:val="24"/>
          <w:highlight w:val="none"/>
        </w:rPr>
      </w:pPr>
      <w:r>
        <w:rPr>
          <w:rFonts w:hint="eastAsia" w:ascii="宋体" w:hAnsi="宋体" w:cs="楷体"/>
          <w:sz w:val="24"/>
          <w:szCs w:val="24"/>
          <w:highlight w:val="none"/>
        </w:rPr>
        <w:t>10.7.2 不属于依法必须招标的暂估价项目</w:t>
      </w:r>
    </w:p>
    <w:p w14:paraId="4EC3FBD9">
      <w:pPr>
        <w:spacing w:line="540" w:lineRule="exact"/>
        <w:rPr>
          <w:rFonts w:ascii="宋体" w:hAnsi="宋体" w:cs="楷体"/>
          <w:sz w:val="24"/>
          <w:szCs w:val="24"/>
          <w:highlight w:val="none"/>
        </w:rPr>
      </w:pPr>
      <w:r>
        <w:rPr>
          <w:rFonts w:hint="eastAsia" w:ascii="宋体" w:hAnsi="宋体" w:cs="楷体"/>
          <w:sz w:val="24"/>
          <w:szCs w:val="24"/>
          <w:highlight w:val="none"/>
        </w:rPr>
        <w:t>对于不属于依法必须招标的暂估价项目的确认和批准采取第</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种方式确定。</w:t>
      </w:r>
    </w:p>
    <w:p w14:paraId="254B01C4">
      <w:pPr>
        <w:spacing w:line="540" w:lineRule="exact"/>
        <w:rPr>
          <w:rFonts w:ascii="宋体" w:hAnsi="宋体" w:cs="楷体"/>
          <w:sz w:val="24"/>
          <w:szCs w:val="24"/>
          <w:highlight w:val="none"/>
        </w:rPr>
      </w:pPr>
      <w:r>
        <w:rPr>
          <w:rFonts w:hint="eastAsia" w:ascii="宋体" w:hAnsi="宋体" w:cs="楷体"/>
          <w:sz w:val="24"/>
          <w:szCs w:val="24"/>
          <w:highlight w:val="none"/>
        </w:rPr>
        <w:t>第3种方式：承包人直接实施的暂估价项目</w:t>
      </w:r>
    </w:p>
    <w:p w14:paraId="0A04FA02">
      <w:pPr>
        <w:spacing w:line="540" w:lineRule="exact"/>
        <w:rPr>
          <w:rFonts w:ascii="宋体" w:hAnsi="宋体" w:cs="楷体"/>
          <w:sz w:val="24"/>
          <w:szCs w:val="24"/>
          <w:highlight w:val="none"/>
        </w:rPr>
      </w:pPr>
      <w:r>
        <w:rPr>
          <w:rFonts w:hint="eastAsia" w:ascii="宋体" w:hAnsi="宋体" w:cs="楷体"/>
          <w:sz w:val="24"/>
          <w:szCs w:val="24"/>
          <w:highlight w:val="none"/>
        </w:rPr>
        <w:t>承包人直接实施的暂估价项目的约定：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709BC31">
      <w:pPr>
        <w:spacing w:line="540" w:lineRule="exact"/>
        <w:rPr>
          <w:rFonts w:ascii="宋体" w:hAnsi="宋体" w:cs="楷体"/>
          <w:sz w:val="24"/>
          <w:szCs w:val="24"/>
          <w:highlight w:val="none"/>
        </w:rPr>
      </w:pPr>
      <w:r>
        <w:rPr>
          <w:rFonts w:hint="eastAsia" w:ascii="宋体" w:hAnsi="宋体" w:cs="楷体"/>
          <w:b/>
          <w:bCs/>
          <w:sz w:val="24"/>
          <w:szCs w:val="24"/>
          <w:highlight w:val="none"/>
        </w:rPr>
        <w:t>10.8</w:t>
      </w:r>
      <w:r>
        <w:rPr>
          <w:rFonts w:hint="eastAsia" w:ascii="宋体" w:hAnsi="宋体" w:cs="楷体"/>
          <w:sz w:val="24"/>
          <w:szCs w:val="24"/>
          <w:highlight w:val="none"/>
        </w:rPr>
        <w:t xml:space="preserve"> 暂列金额</w:t>
      </w:r>
    </w:p>
    <w:p w14:paraId="048E1FCB">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合同当事人关于暂列金额使用的约定：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6308DCA">
      <w:pPr>
        <w:autoSpaceDE w:val="0"/>
        <w:autoSpaceDN w:val="0"/>
        <w:spacing w:line="540" w:lineRule="exact"/>
        <w:rPr>
          <w:rFonts w:ascii="宋体" w:hAnsi="宋体" w:cs="楷体"/>
          <w:b/>
          <w:bCs/>
          <w:sz w:val="24"/>
          <w:szCs w:val="24"/>
          <w:highlight w:val="none"/>
        </w:rPr>
      </w:pPr>
      <w:r>
        <w:rPr>
          <w:rFonts w:hint="eastAsia" w:ascii="宋体" w:hAnsi="宋体" w:cs="楷体"/>
          <w:b/>
          <w:bCs/>
          <w:sz w:val="24"/>
          <w:szCs w:val="24"/>
          <w:highlight w:val="none"/>
        </w:rPr>
        <w:t xml:space="preserve">10.9 </w:t>
      </w:r>
      <w:r>
        <w:rPr>
          <w:rFonts w:hint="eastAsia" w:ascii="宋体" w:hAnsi="宋体" w:cs="楷体"/>
          <w:sz w:val="24"/>
          <w:szCs w:val="24"/>
          <w:highlight w:val="none"/>
        </w:rPr>
        <w:t>工程变更按合同价款结算方式结算</w:t>
      </w:r>
    </w:p>
    <w:p w14:paraId="513F6639">
      <w:pPr>
        <w:keepNext/>
        <w:spacing w:line="540" w:lineRule="exact"/>
        <w:outlineLvl w:val="3"/>
        <w:rPr>
          <w:rFonts w:ascii="宋体" w:hAnsi="宋体" w:cs="楷体"/>
          <w:b/>
          <w:bCs/>
          <w:sz w:val="24"/>
          <w:szCs w:val="24"/>
          <w:highlight w:val="none"/>
        </w:rPr>
      </w:pPr>
      <w:bookmarkStart w:id="849" w:name="_Toc351203643"/>
      <w:bookmarkEnd w:id="849"/>
      <w:r>
        <w:rPr>
          <w:rFonts w:hint="eastAsia" w:ascii="宋体" w:hAnsi="宋体" w:cs="楷体"/>
          <w:b/>
          <w:bCs/>
          <w:sz w:val="24"/>
          <w:szCs w:val="24"/>
          <w:highlight w:val="none"/>
        </w:rPr>
        <w:t>11. 价格调整</w:t>
      </w:r>
    </w:p>
    <w:p w14:paraId="7565DAA2">
      <w:pPr>
        <w:spacing w:line="540" w:lineRule="exact"/>
        <w:rPr>
          <w:rFonts w:ascii="宋体" w:hAnsi="宋体" w:cs="楷体"/>
          <w:sz w:val="24"/>
          <w:szCs w:val="24"/>
          <w:highlight w:val="none"/>
        </w:rPr>
      </w:pPr>
      <w:bookmarkStart w:id="850" w:name="_Toc292559911"/>
      <w:bookmarkEnd w:id="850"/>
      <w:bookmarkStart w:id="851" w:name="_Toc312678039"/>
      <w:bookmarkEnd w:id="851"/>
      <w:bookmarkStart w:id="852" w:name="_Toc296891241"/>
      <w:bookmarkEnd w:id="852"/>
      <w:bookmarkStart w:id="853" w:name="_Toc296346702"/>
      <w:bookmarkEnd w:id="853"/>
      <w:bookmarkStart w:id="854" w:name="_Toc303539157"/>
      <w:bookmarkEnd w:id="854"/>
      <w:bookmarkStart w:id="855" w:name="_Toc297048387"/>
      <w:bookmarkEnd w:id="855"/>
      <w:bookmarkStart w:id="856" w:name="_Toc297216209"/>
      <w:bookmarkEnd w:id="856"/>
      <w:bookmarkStart w:id="857" w:name="_Toc304295577"/>
      <w:bookmarkEnd w:id="857"/>
      <w:bookmarkStart w:id="858" w:name="_Toc296944540"/>
      <w:bookmarkEnd w:id="858"/>
      <w:bookmarkStart w:id="859" w:name="_Toc292559406"/>
      <w:bookmarkEnd w:id="859"/>
      <w:bookmarkStart w:id="860" w:name="_Toc297120501"/>
      <w:bookmarkEnd w:id="860"/>
      <w:bookmarkStart w:id="861" w:name="_Toc296891029"/>
      <w:bookmarkEnd w:id="861"/>
      <w:bookmarkStart w:id="862" w:name="_Toc296347200"/>
      <w:bookmarkEnd w:id="862"/>
      <w:bookmarkStart w:id="863" w:name="_Toc296503201"/>
      <w:bookmarkEnd w:id="863"/>
      <w:bookmarkStart w:id="864" w:name="_Toc300935000"/>
      <w:bookmarkEnd w:id="864"/>
      <w:bookmarkStart w:id="865" w:name="_Toc297123550"/>
      <w:r>
        <w:rPr>
          <w:rFonts w:hint="eastAsia" w:ascii="宋体" w:hAnsi="宋体" w:cs="楷体"/>
          <w:b/>
          <w:bCs/>
          <w:sz w:val="24"/>
          <w:szCs w:val="24"/>
          <w:highlight w:val="none"/>
        </w:rPr>
        <w:t>11.1</w:t>
      </w:r>
      <w:bookmarkEnd w:id="865"/>
      <w:r>
        <w:rPr>
          <w:rFonts w:hint="eastAsia" w:ascii="宋体" w:hAnsi="宋体" w:cs="楷体"/>
          <w:sz w:val="24"/>
          <w:szCs w:val="24"/>
          <w:highlight w:val="none"/>
        </w:rPr>
        <w:t xml:space="preserve"> 市场价格波动引起的调整</w:t>
      </w:r>
    </w:p>
    <w:p w14:paraId="192399C3">
      <w:pPr>
        <w:spacing w:line="540" w:lineRule="exact"/>
        <w:rPr>
          <w:rFonts w:ascii="宋体" w:hAnsi="宋体" w:cs="楷体"/>
          <w:sz w:val="24"/>
          <w:szCs w:val="24"/>
          <w:highlight w:val="none"/>
        </w:rPr>
      </w:pPr>
      <w:r>
        <w:rPr>
          <w:rFonts w:hint="eastAsia" w:ascii="宋体" w:hAnsi="宋体" w:cs="楷体"/>
          <w:sz w:val="24"/>
          <w:szCs w:val="24"/>
          <w:highlight w:val="none"/>
        </w:rPr>
        <w:t>市场价格波动是否调整合同价格的约定：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ED2D511">
      <w:pPr>
        <w:spacing w:line="540" w:lineRule="exact"/>
        <w:rPr>
          <w:rFonts w:ascii="宋体" w:hAnsi="宋体" w:cs="楷体"/>
          <w:sz w:val="24"/>
          <w:szCs w:val="24"/>
          <w:highlight w:val="none"/>
        </w:rPr>
      </w:pPr>
      <w:r>
        <w:rPr>
          <w:rFonts w:hint="eastAsia" w:ascii="宋体" w:hAnsi="宋体" w:cs="楷体"/>
          <w:sz w:val="24"/>
          <w:szCs w:val="24"/>
          <w:highlight w:val="none"/>
        </w:rPr>
        <w:t>因市场价格波动调整合同价格，采用以下第</w:t>
      </w:r>
      <w:r>
        <w:rPr>
          <w:rFonts w:hint="eastAsia" w:ascii="宋体" w:hAnsi="宋体" w:cs="楷体"/>
          <w:sz w:val="24"/>
          <w:szCs w:val="24"/>
          <w:highlight w:val="none"/>
          <w:u w:val="single"/>
        </w:rPr>
        <w:t xml:space="preserve">  /  </w:t>
      </w:r>
      <w:r>
        <w:rPr>
          <w:rFonts w:hint="eastAsia" w:ascii="宋体" w:hAnsi="宋体" w:cs="楷体"/>
          <w:sz w:val="24"/>
          <w:szCs w:val="24"/>
          <w:highlight w:val="none"/>
        </w:rPr>
        <w:t>种方式对合同价格进行调整：</w:t>
      </w:r>
    </w:p>
    <w:p w14:paraId="7A7A5614">
      <w:pPr>
        <w:spacing w:line="540" w:lineRule="exact"/>
        <w:rPr>
          <w:rFonts w:ascii="宋体" w:hAnsi="宋体" w:cs="楷体"/>
          <w:sz w:val="24"/>
          <w:szCs w:val="24"/>
          <w:highlight w:val="none"/>
        </w:rPr>
      </w:pPr>
      <w:r>
        <w:rPr>
          <w:rFonts w:hint="eastAsia" w:ascii="宋体" w:hAnsi="宋体" w:cs="楷体"/>
          <w:sz w:val="24"/>
          <w:szCs w:val="24"/>
          <w:highlight w:val="none"/>
        </w:rPr>
        <w:t>第1种方式：采用价格指数进行价格调整。</w:t>
      </w:r>
    </w:p>
    <w:p w14:paraId="3BE293A8">
      <w:pPr>
        <w:spacing w:line="540" w:lineRule="exact"/>
        <w:rPr>
          <w:rFonts w:ascii="宋体" w:hAnsi="宋体" w:cs="楷体"/>
          <w:sz w:val="24"/>
          <w:szCs w:val="24"/>
          <w:highlight w:val="none"/>
          <w:u w:val="single"/>
        </w:rPr>
      </w:pPr>
      <w:r>
        <w:rPr>
          <w:rFonts w:hint="eastAsia" w:ascii="宋体" w:hAnsi="宋体" w:cs="楷体"/>
          <w:sz w:val="24"/>
          <w:szCs w:val="24"/>
          <w:highlight w:val="none"/>
        </w:rPr>
        <w:t>关于各可调因子、定值和变值权重，以及基本价格指数及其来源的约定：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B7E9EBE">
      <w:pPr>
        <w:spacing w:line="540" w:lineRule="exact"/>
        <w:rPr>
          <w:rFonts w:ascii="宋体" w:hAnsi="宋体" w:cs="楷体"/>
          <w:sz w:val="24"/>
          <w:szCs w:val="24"/>
          <w:highlight w:val="none"/>
        </w:rPr>
      </w:pPr>
      <w:r>
        <w:rPr>
          <w:rFonts w:hint="eastAsia" w:ascii="宋体" w:hAnsi="宋体" w:cs="楷体"/>
          <w:sz w:val="24"/>
          <w:szCs w:val="24"/>
          <w:highlight w:val="none"/>
        </w:rPr>
        <w:t>第2种方式：采用造价信息进行价格调整。</w:t>
      </w:r>
    </w:p>
    <w:p w14:paraId="70785585">
      <w:pPr>
        <w:spacing w:line="540" w:lineRule="exact"/>
        <w:rPr>
          <w:rFonts w:ascii="宋体" w:hAnsi="宋体" w:cs="楷体"/>
          <w:sz w:val="24"/>
          <w:szCs w:val="24"/>
          <w:highlight w:val="none"/>
        </w:rPr>
      </w:pPr>
      <w:r>
        <w:rPr>
          <w:rFonts w:hint="eastAsia" w:ascii="宋体" w:hAnsi="宋体" w:cs="楷体"/>
          <w:sz w:val="24"/>
          <w:szCs w:val="24"/>
          <w:highlight w:val="none"/>
        </w:rPr>
        <w:t>（2）关于基准价格的约定：</w:t>
      </w:r>
      <w:r>
        <w:rPr>
          <w:rFonts w:hint="eastAsia" w:ascii="宋体" w:hAnsi="宋体" w:cs="楷体"/>
          <w:sz w:val="24"/>
          <w:szCs w:val="24"/>
          <w:highlight w:val="none"/>
          <w:u w:val="single"/>
        </w:rPr>
        <w:t xml:space="preserve">      /     。</w:t>
      </w:r>
    </w:p>
    <w:p w14:paraId="37941C50">
      <w:pPr>
        <w:spacing w:line="540" w:lineRule="exact"/>
        <w:rPr>
          <w:rFonts w:ascii="宋体" w:hAnsi="宋体" w:cs="楷体"/>
          <w:sz w:val="24"/>
          <w:szCs w:val="24"/>
          <w:highlight w:val="none"/>
        </w:rPr>
      </w:pPr>
      <w:r>
        <w:rPr>
          <w:rFonts w:hint="eastAsia" w:ascii="宋体" w:hAnsi="宋体" w:cs="楷体"/>
          <w:sz w:val="24"/>
          <w:szCs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21CA8834">
      <w:pPr>
        <w:spacing w:line="540" w:lineRule="exact"/>
        <w:rPr>
          <w:rFonts w:ascii="宋体" w:hAnsi="宋体" w:cs="楷体"/>
          <w:sz w:val="24"/>
          <w:szCs w:val="24"/>
          <w:highlight w:val="none"/>
        </w:rPr>
      </w:pPr>
      <w:r>
        <w:rPr>
          <w:rFonts w:hint="eastAsia" w:ascii="宋体" w:hAnsi="宋体" w:cs="楷体"/>
          <w:sz w:val="24"/>
          <w:szCs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453098C0">
      <w:pPr>
        <w:spacing w:line="540" w:lineRule="exact"/>
        <w:rPr>
          <w:rFonts w:ascii="宋体" w:hAnsi="宋体" w:cs="楷体"/>
          <w:sz w:val="24"/>
          <w:szCs w:val="24"/>
          <w:highlight w:val="none"/>
        </w:rPr>
      </w:pPr>
      <w:r>
        <w:rPr>
          <w:rFonts w:hint="eastAsia" w:ascii="宋体" w:hAnsi="宋体" w:cs="楷体"/>
          <w:sz w:val="24"/>
          <w:szCs w:val="24"/>
          <w:highlight w:val="none"/>
        </w:rPr>
        <w:t>③承包人在已标价工程量清单或预算书中载明的材料单价等于基准单价的：专用合同条款合同履行期间材料单价涨跌幅以基准单价为基础超过±%时，其超过部分据实调整。</w:t>
      </w:r>
    </w:p>
    <w:p w14:paraId="2BE9E5A9">
      <w:pPr>
        <w:spacing w:line="540" w:lineRule="exact"/>
        <w:rPr>
          <w:rFonts w:ascii="宋体" w:hAnsi="宋体" w:cs="楷体"/>
          <w:sz w:val="24"/>
          <w:szCs w:val="24"/>
          <w:highlight w:val="none"/>
        </w:rPr>
      </w:pPr>
      <w:r>
        <w:rPr>
          <w:rFonts w:hint="eastAsia" w:ascii="宋体" w:hAnsi="宋体" w:cs="楷体"/>
          <w:sz w:val="24"/>
          <w:szCs w:val="24"/>
          <w:highlight w:val="none"/>
        </w:rPr>
        <w:t>第3种方式：其他价格调整方式：</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6B6CA821">
      <w:pPr>
        <w:keepNext/>
        <w:spacing w:line="540" w:lineRule="exact"/>
        <w:outlineLvl w:val="3"/>
        <w:rPr>
          <w:rFonts w:ascii="宋体" w:hAnsi="宋体" w:cs="楷体"/>
          <w:b/>
          <w:bCs/>
          <w:sz w:val="24"/>
          <w:szCs w:val="24"/>
          <w:highlight w:val="none"/>
        </w:rPr>
      </w:pPr>
      <w:bookmarkStart w:id="866" w:name="_Toc292559915"/>
      <w:bookmarkEnd w:id="866"/>
      <w:bookmarkStart w:id="867" w:name="_Toc296891033"/>
      <w:bookmarkEnd w:id="867"/>
      <w:bookmarkStart w:id="868" w:name="_Toc297216211"/>
      <w:bookmarkEnd w:id="868"/>
      <w:bookmarkStart w:id="869" w:name="_Toc312678040"/>
      <w:bookmarkEnd w:id="869"/>
      <w:bookmarkStart w:id="870" w:name="_Toc297048391"/>
      <w:bookmarkEnd w:id="870"/>
      <w:bookmarkStart w:id="871" w:name="_Toc296944544"/>
      <w:bookmarkEnd w:id="871"/>
      <w:bookmarkStart w:id="872" w:name="_Toc297120505"/>
      <w:bookmarkEnd w:id="872"/>
      <w:bookmarkStart w:id="873" w:name="_Toc292559410"/>
      <w:bookmarkEnd w:id="873"/>
      <w:bookmarkStart w:id="874" w:name="_Toc304295579"/>
      <w:bookmarkEnd w:id="874"/>
      <w:bookmarkStart w:id="875" w:name="_Toc351203644"/>
      <w:bookmarkEnd w:id="875"/>
      <w:bookmarkStart w:id="876" w:name="_Toc296503205"/>
      <w:bookmarkEnd w:id="876"/>
      <w:bookmarkStart w:id="877" w:name="_Toc297123552"/>
      <w:bookmarkEnd w:id="877"/>
      <w:bookmarkStart w:id="878" w:name="_Toc300935002"/>
      <w:bookmarkEnd w:id="878"/>
      <w:bookmarkStart w:id="879" w:name="_Toc296346706"/>
      <w:bookmarkEnd w:id="879"/>
      <w:bookmarkStart w:id="880" w:name="_Toc296347204"/>
      <w:bookmarkEnd w:id="880"/>
      <w:bookmarkStart w:id="881" w:name="_Toc303539159"/>
      <w:bookmarkEnd w:id="881"/>
      <w:bookmarkStart w:id="882" w:name="_Toc296891245"/>
      <w:r>
        <w:rPr>
          <w:rFonts w:hint="eastAsia" w:ascii="宋体" w:hAnsi="宋体" w:cs="楷体"/>
          <w:b/>
          <w:bCs/>
          <w:sz w:val="24"/>
          <w:szCs w:val="24"/>
          <w:highlight w:val="none"/>
        </w:rPr>
        <w:t xml:space="preserve">12. </w:t>
      </w:r>
      <w:bookmarkEnd w:id="882"/>
      <w:r>
        <w:rPr>
          <w:rFonts w:hint="eastAsia" w:ascii="宋体" w:hAnsi="宋体" w:cs="楷体"/>
          <w:b/>
          <w:bCs/>
          <w:sz w:val="24"/>
          <w:szCs w:val="24"/>
          <w:highlight w:val="none"/>
        </w:rPr>
        <w:t>合同价格、计量与支付</w:t>
      </w:r>
    </w:p>
    <w:p w14:paraId="655971CA">
      <w:pPr>
        <w:spacing w:line="540" w:lineRule="exact"/>
        <w:rPr>
          <w:rFonts w:ascii="宋体" w:hAnsi="宋体" w:cs="楷体"/>
          <w:sz w:val="24"/>
          <w:szCs w:val="24"/>
          <w:highlight w:val="none"/>
        </w:rPr>
      </w:pPr>
      <w:bookmarkStart w:id="883" w:name="_Toc292559916"/>
      <w:bookmarkEnd w:id="883"/>
      <w:bookmarkStart w:id="884" w:name="_Toc304295580"/>
      <w:bookmarkEnd w:id="884"/>
      <w:bookmarkStart w:id="885" w:name="_Toc297048392"/>
      <w:bookmarkEnd w:id="885"/>
      <w:bookmarkStart w:id="886" w:name="_Toc296347205"/>
      <w:bookmarkEnd w:id="886"/>
      <w:bookmarkStart w:id="887" w:name="_Toc296346707"/>
      <w:bookmarkEnd w:id="887"/>
      <w:bookmarkStart w:id="888" w:name="_Toc303539160"/>
      <w:bookmarkEnd w:id="888"/>
      <w:bookmarkStart w:id="889" w:name="_Toc300935003"/>
      <w:bookmarkEnd w:id="889"/>
      <w:bookmarkStart w:id="890" w:name="_Toc296891034"/>
      <w:bookmarkEnd w:id="890"/>
      <w:bookmarkStart w:id="891" w:name="_Toc267251461"/>
      <w:bookmarkEnd w:id="891"/>
      <w:bookmarkStart w:id="892" w:name="_Toc296944545"/>
      <w:bookmarkEnd w:id="892"/>
      <w:bookmarkStart w:id="893" w:name="_Toc296891246"/>
      <w:bookmarkEnd w:id="893"/>
      <w:bookmarkStart w:id="894" w:name="_Toc297123553"/>
      <w:bookmarkEnd w:id="894"/>
      <w:bookmarkStart w:id="895" w:name="_Toc312678041"/>
      <w:bookmarkEnd w:id="895"/>
      <w:bookmarkStart w:id="896" w:name="_Toc297216212"/>
      <w:bookmarkEnd w:id="896"/>
      <w:bookmarkStart w:id="897" w:name="_Toc296503206"/>
      <w:bookmarkEnd w:id="897"/>
      <w:bookmarkStart w:id="898" w:name="_Toc297120506"/>
      <w:bookmarkEnd w:id="898"/>
      <w:bookmarkStart w:id="899" w:name="_Toc292559411"/>
      <w:r>
        <w:rPr>
          <w:rFonts w:hint="eastAsia" w:ascii="宋体" w:hAnsi="宋体" w:cs="楷体"/>
          <w:b/>
          <w:bCs/>
          <w:sz w:val="24"/>
          <w:szCs w:val="24"/>
          <w:highlight w:val="none"/>
        </w:rPr>
        <w:t>12.1</w:t>
      </w:r>
      <w:bookmarkEnd w:id="899"/>
      <w:r>
        <w:rPr>
          <w:rFonts w:hint="eastAsia" w:ascii="宋体" w:hAnsi="宋体" w:cs="楷体"/>
          <w:sz w:val="24"/>
          <w:szCs w:val="24"/>
          <w:highlight w:val="none"/>
        </w:rPr>
        <w:t xml:space="preserve"> 合同价格形式</w:t>
      </w:r>
    </w:p>
    <w:p w14:paraId="1B72383A">
      <w:pPr>
        <w:spacing w:line="540" w:lineRule="exact"/>
        <w:rPr>
          <w:rFonts w:ascii="宋体" w:hAnsi="宋体" w:cs="楷体"/>
          <w:sz w:val="24"/>
          <w:szCs w:val="24"/>
          <w:highlight w:val="none"/>
        </w:rPr>
      </w:pPr>
      <w:r>
        <w:rPr>
          <w:rFonts w:hint="eastAsia" w:ascii="宋体" w:hAnsi="宋体" w:cs="楷体"/>
          <w:sz w:val="24"/>
          <w:szCs w:val="24"/>
          <w:highlight w:val="none"/>
        </w:rPr>
        <w:t>1、单价合同。</w:t>
      </w:r>
    </w:p>
    <w:p w14:paraId="17398959">
      <w:pPr>
        <w:spacing w:line="540" w:lineRule="exact"/>
        <w:rPr>
          <w:rFonts w:ascii="宋体" w:hAnsi="宋体" w:cs="楷体"/>
          <w:sz w:val="24"/>
          <w:szCs w:val="24"/>
          <w:highlight w:val="none"/>
        </w:rPr>
      </w:pPr>
      <w:r>
        <w:rPr>
          <w:rFonts w:hint="eastAsia" w:ascii="宋体" w:hAnsi="宋体" w:cs="楷体"/>
          <w:sz w:val="24"/>
          <w:szCs w:val="24"/>
          <w:highlight w:val="none"/>
        </w:rPr>
        <w:t>综合单价包含的风险范围：</w:t>
      </w:r>
      <w:r>
        <w:rPr>
          <w:rFonts w:hint="eastAsia" w:ascii="宋体" w:hAnsi="宋体" w:cs="楷体"/>
          <w:sz w:val="24"/>
          <w:szCs w:val="24"/>
          <w:highlight w:val="none"/>
          <w:u w:val="single"/>
        </w:rPr>
        <w:t xml:space="preserve">      按规定执行                     </w:t>
      </w:r>
      <w:r>
        <w:rPr>
          <w:rFonts w:hint="eastAsia" w:ascii="宋体" w:hAnsi="宋体" w:cs="楷体"/>
          <w:sz w:val="24"/>
          <w:szCs w:val="24"/>
          <w:highlight w:val="none"/>
        </w:rPr>
        <w:t>。</w:t>
      </w:r>
    </w:p>
    <w:p w14:paraId="48D99F30">
      <w:pPr>
        <w:spacing w:line="540" w:lineRule="exact"/>
        <w:rPr>
          <w:rFonts w:ascii="宋体" w:hAnsi="宋体" w:cs="楷体"/>
          <w:sz w:val="24"/>
          <w:szCs w:val="24"/>
          <w:highlight w:val="none"/>
        </w:rPr>
      </w:pPr>
      <w:r>
        <w:rPr>
          <w:rFonts w:hint="eastAsia" w:ascii="宋体" w:hAnsi="宋体" w:cs="楷体"/>
          <w:sz w:val="24"/>
          <w:szCs w:val="24"/>
          <w:highlight w:val="none"/>
        </w:rPr>
        <w:t>风险费用的计算方法：</w:t>
      </w:r>
      <w:r>
        <w:rPr>
          <w:rFonts w:hint="eastAsia" w:ascii="宋体" w:hAnsi="宋体" w:cs="楷体"/>
          <w:sz w:val="24"/>
          <w:szCs w:val="24"/>
          <w:highlight w:val="none"/>
          <w:u w:val="single"/>
        </w:rPr>
        <w:t xml:space="preserve">           双方约定                              </w:t>
      </w:r>
      <w:r>
        <w:rPr>
          <w:rFonts w:hint="eastAsia" w:ascii="宋体" w:hAnsi="宋体" w:cs="楷体"/>
          <w:sz w:val="24"/>
          <w:szCs w:val="24"/>
          <w:highlight w:val="none"/>
        </w:rPr>
        <w:t>。</w:t>
      </w:r>
    </w:p>
    <w:p w14:paraId="29B068C4">
      <w:pPr>
        <w:spacing w:line="540" w:lineRule="exact"/>
        <w:rPr>
          <w:rFonts w:ascii="宋体" w:hAnsi="宋体" w:cs="楷体"/>
          <w:sz w:val="24"/>
          <w:szCs w:val="24"/>
          <w:highlight w:val="none"/>
        </w:rPr>
      </w:pPr>
      <w:r>
        <w:rPr>
          <w:rFonts w:hint="eastAsia" w:ascii="宋体" w:hAnsi="宋体" w:cs="楷体"/>
          <w:sz w:val="24"/>
          <w:szCs w:val="24"/>
          <w:highlight w:val="none"/>
        </w:rPr>
        <w:t>风险范围以外合同价格的调整方法：</w:t>
      </w:r>
      <w:r>
        <w:rPr>
          <w:rFonts w:hint="eastAsia" w:ascii="宋体" w:hAnsi="宋体" w:cs="楷体"/>
          <w:sz w:val="24"/>
          <w:szCs w:val="24"/>
          <w:highlight w:val="none"/>
          <w:u w:val="single"/>
        </w:rPr>
        <w:t xml:space="preserve">          双方约定                   </w:t>
      </w:r>
      <w:r>
        <w:rPr>
          <w:rFonts w:hint="eastAsia" w:ascii="宋体" w:hAnsi="宋体" w:cs="楷体"/>
          <w:sz w:val="24"/>
          <w:szCs w:val="24"/>
          <w:highlight w:val="none"/>
        </w:rPr>
        <w:t>。</w:t>
      </w:r>
    </w:p>
    <w:p w14:paraId="5016C80F">
      <w:pPr>
        <w:spacing w:line="540" w:lineRule="exact"/>
        <w:rPr>
          <w:rFonts w:ascii="宋体" w:hAnsi="宋体" w:cs="楷体"/>
          <w:sz w:val="24"/>
          <w:szCs w:val="24"/>
          <w:highlight w:val="none"/>
        </w:rPr>
      </w:pPr>
      <w:r>
        <w:rPr>
          <w:rFonts w:hint="eastAsia" w:ascii="宋体" w:hAnsi="宋体" w:cs="楷体"/>
          <w:sz w:val="24"/>
          <w:szCs w:val="24"/>
          <w:highlight w:val="none"/>
        </w:rPr>
        <w:t>2、总价合同。</w:t>
      </w:r>
    </w:p>
    <w:p w14:paraId="7DFFEC77">
      <w:pPr>
        <w:spacing w:line="540" w:lineRule="exact"/>
        <w:rPr>
          <w:rFonts w:ascii="宋体" w:hAnsi="宋体" w:cs="楷体"/>
          <w:sz w:val="24"/>
          <w:szCs w:val="24"/>
          <w:highlight w:val="none"/>
        </w:rPr>
      </w:pPr>
      <w:r>
        <w:rPr>
          <w:rFonts w:hint="eastAsia" w:ascii="宋体" w:hAnsi="宋体" w:cs="楷体"/>
          <w:sz w:val="24"/>
          <w:szCs w:val="24"/>
          <w:highlight w:val="none"/>
        </w:rPr>
        <w:t>总价包含的风险范围：</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3A7735B3">
      <w:pPr>
        <w:spacing w:line="540" w:lineRule="exact"/>
        <w:rPr>
          <w:rFonts w:ascii="宋体" w:hAnsi="宋体" w:cs="楷体"/>
          <w:sz w:val="24"/>
          <w:szCs w:val="24"/>
          <w:highlight w:val="none"/>
        </w:rPr>
      </w:pPr>
      <w:r>
        <w:rPr>
          <w:rFonts w:hint="eastAsia" w:ascii="宋体" w:hAnsi="宋体" w:cs="楷体"/>
          <w:sz w:val="24"/>
          <w:szCs w:val="24"/>
          <w:highlight w:val="none"/>
        </w:rPr>
        <w:t>风险费用的计算方法：</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0918E70">
      <w:pPr>
        <w:spacing w:line="540" w:lineRule="exact"/>
        <w:rPr>
          <w:rFonts w:ascii="宋体" w:hAnsi="宋体" w:cs="楷体"/>
          <w:sz w:val="24"/>
          <w:szCs w:val="24"/>
          <w:highlight w:val="none"/>
        </w:rPr>
      </w:pPr>
      <w:r>
        <w:rPr>
          <w:rFonts w:hint="eastAsia" w:ascii="宋体" w:hAnsi="宋体" w:cs="楷体"/>
          <w:sz w:val="24"/>
          <w:szCs w:val="24"/>
          <w:highlight w:val="none"/>
        </w:rPr>
        <w:t>风险范围以外合同价格的调整方法：</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C8E3658">
      <w:pPr>
        <w:spacing w:line="540" w:lineRule="exact"/>
        <w:rPr>
          <w:rFonts w:ascii="宋体" w:hAnsi="宋体" w:cs="楷体"/>
          <w:sz w:val="24"/>
          <w:szCs w:val="24"/>
          <w:highlight w:val="none"/>
        </w:rPr>
      </w:pPr>
      <w:r>
        <w:rPr>
          <w:rFonts w:hint="eastAsia" w:ascii="宋体" w:hAnsi="宋体" w:cs="楷体"/>
          <w:sz w:val="24"/>
          <w:szCs w:val="24"/>
          <w:highlight w:val="none"/>
        </w:rPr>
        <w:t>3、其他价格方式：</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137C25F4">
      <w:pPr>
        <w:spacing w:line="540" w:lineRule="exact"/>
        <w:rPr>
          <w:rFonts w:ascii="宋体" w:hAnsi="宋体" w:cs="楷体"/>
          <w:sz w:val="24"/>
          <w:szCs w:val="24"/>
          <w:highlight w:val="none"/>
        </w:rPr>
      </w:pPr>
      <w:bookmarkStart w:id="900" w:name="_Toc303539161"/>
      <w:bookmarkEnd w:id="900"/>
      <w:bookmarkStart w:id="901" w:name="_Toc297216213"/>
      <w:bookmarkEnd w:id="901"/>
      <w:bookmarkStart w:id="902" w:name="_Toc292559412"/>
      <w:bookmarkEnd w:id="902"/>
      <w:bookmarkStart w:id="903" w:name="_Toc292559917"/>
      <w:bookmarkEnd w:id="903"/>
      <w:bookmarkStart w:id="904" w:name="_Toc297048393"/>
      <w:bookmarkEnd w:id="904"/>
      <w:bookmarkStart w:id="905" w:name="_Toc296346708"/>
      <w:bookmarkEnd w:id="905"/>
      <w:bookmarkStart w:id="906" w:name="_Toc296503207"/>
      <w:bookmarkEnd w:id="906"/>
      <w:bookmarkStart w:id="907" w:name="_Toc304295581"/>
      <w:bookmarkEnd w:id="907"/>
      <w:bookmarkStart w:id="908" w:name="_Toc296891035"/>
      <w:bookmarkEnd w:id="908"/>
      <w:bookmarkStart w:id="909" w:name="_Toc297123554"/>
      <w:bookmarkEnd w:id="909"/>
      <w:bookmarkStart w:id="910" w:name="_Toc297120507"/>
      <w:bookmarkEnd w:id="910"/>
      <w:bookmarkStart w:id="911" w:name="_Toc296347206"/>
      <w:bookmarkEnd w:id="911"/>
      <w:bookmarkStart w:id="912" w:name="_Toc296944546"/>
      <w:bookmarkEnd w:id="912"/>
      <w:bookmarkStart w:id="913" w:name="_Toc296891247"/>
      <w:bookmarkEnd w:id="913"/>
      <w:bookmarkStart w:id="914" w:name="_Toc312678042"/>
      <w:bookmarkEnd w:id="914"/>
      <w:bookmarkStart w:id="915" w:name="_Toc300935004"/>
      <w:r>
        <w:rPr>
          <w:rFonts w:hint="eastAsia" w:ascii="宋体" w:hAnsi="宋体" w:cs="楷体"/>
          <w:b/>
          <w:bCs/>
          <w:sz w:val="24"/>
          <w:szCs w:val="24"/>
          <w:highlight w:val="none"/>
        </w:rPr>
        <w:t xml:space="preserve">12.2 </w:t>
      </w:r>
      <w:bookmarkEnd w:id="915"/>
      <w:r>
        <w:rPr>
          <w:rFonts w:hint="eastAsia" w:ascii="宋体" w:hAnsi="宋体" w:cs="楷体"/>
          <w:sz w:val="24"/>
          <w:szCs w:val="24"/>
          <w:highlight w:val="none"/>
        </w:rPr>
        <w:t>预付款</w:t>
      </w:r>
    </w:p>
    <w:p w14:paraId="69C4A438">
      <w:pPr>
        <w:spacing w:line="540" w:lineRule="exact"/>
        <w:rPr>
          <w:rFonts w:ascii="宋体" w:hAnsi="宋体" w:cs="楷体"/>
          <w:sz w:val="24"/>
          <w:szCs w:val="24"/>
          <w:highlight w:val="none"/>
        </w:rPr>
      </w:pPr>
      <w:r>
        <w:rPr>
          <w:rFonts w:hint="eastAsia" w:ascii="宋体" w:hAnsi="宋体" w:cs="楷体"/>
          <w:sz w:val="24"/>
          <w:szCs w:val="24"/>
          <w:highlight w:val="none"/>
        </w:rPr>
        <w:t>12.2.1 预付款的支付</w:t>
      </w:r>
    </w:p>
    <w:p w14:paraId="6102C479">
      <w:pPr>
        <w:spacing w:line="540" w:lineRule="exact"/>
        <w:rPr>
          <w:rFonts w:ascii="宋体" w:hAnsi="宋体" w:cs="楷体"/>
          <w:sz w:val="24"/>
          <w:szCs w:val="24"/>
          <w:highlight w:val="none"/>
        </w:rPr>
      </w:pPr>
      <w:r>
        <w:rPr>
          <w:rFonts w:hint="eastAsia" w:ascii="宋体" w:hAnsi="宋体" w:cs="楷体"/>
          <w:sz w:val="24"/>
          <w:szCs w:val="24"/>
          <w:highlight w:val="none"/>
        </w:rPr>
        <w:t>预付款支付比例或金额：。</w:t>
      </w:r>
    </w:p>
    <w:p w14:paraId="4597D23F">
      <w:pPr>
        <w:spacing w:line="540" w:lineRule="exact"/>
        <w:rPr>
          <w:rFonts w:ascii="宋体" w:hAnsi="宋体" w:cs="楷体"/>
          <w:sz w:val="24"/>
          <w:szCs w:val="24"/>
          <w:highlight w:val="none"/>
        </w:rPr>
      </w:pPr>
      <w:r>
        <w:rPr>
          <w:rFonts w:hint="eastAsia" w:ascii="宋体" w:hAnsi="宋体" w:cs="楷体"/>
          <w:sz w:val="24"/>
          <w:szCs w:val="24"/>
          <w:highlight w:val="none"/>
        </w:rPr>
        <w:t>预付款支付期限：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3878ECE4">
      <w:pPr>
        <w:spacing w:line="540" w:lineRule="exact"/>
        <w:rPr>
          <w:rFonts w:ascii="宋体" w:hAnsi="宋体" w:cs="楷体"/>
          <w:sz w:val="24"/>
          <w:szCs w:val="24"/>
          <w:highlight w:val="none"/>
        </w:rPr>
      </w:pPr>
      <w:r>
        <w:rPr>
          <w:rFonts w:hint="eastAsia" w:ascii="宋体" w:hAnsi="宋体" w:cs="楷体"/>
          <w:sz w:val="24"/>
          <w:szCs w:val="24"/>
          <w:highlight w:val="none"/>
        </w:rPr>
        <w:t>预付款扣回的方式：</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613E1586">
      <w:pPr>
        <w:spacing w:line="540" w:lineRule="exact"/>
        <w:rPr>
          <w:rFonts w:ascii="宋体" w:hAnsi="宋体" w:cs="楷体"/>
          <w:sz w:val="24"/>
          <w:szCs w:val="24"/>
          <w:highlight w:val="none"/>
        </w:rPr>
      </w:pPr>
      <w:r>
        <w:rPr>
          <w:rFonts w:hint="eastAsia" w:ascii="宋体" w:hAnsi="宋体" w:cs="楷体"/>
          <w:sz w:val="24"/>
          <w:szCs w:val="24"/>
          <w:highlight w:val="none"/>
        </w:rPr>
        <w:t>12.2.2 预付款担保</w:t>
      </w:r>
    </w:p>
    <w:p w14:paraId="77717C9C">
      <w:pPr>
        <w:spacing w:line="540" w:lineRule="exact"/>
        <w:rPr>
          <w:rFonts w:ascii="宋体" w:hAnsi="宋体" w:cs="楷体"/>
          <w:sz w:val="24"/>
          <w:szCs w:val="24"/>
          <w:highlight w:val="none"/>
        </w:rPr>
      </w:pPr>
      <w:r>
        <w:rPr>
          <w:rFonts w:hint="eastAsia" w:ascii="宋体" w:hAnsi="宋体" w:cs="楷体"/>
          <w:sz w:val="24"/>
          <w:szCs w:val="24"/>
          <w:highlight w:val="none"/>
        </w:rPr>
        <w:t>承包人提交预付款担保的期限：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E9712CF">
      <w:pPr>
        <w:spacing w:line="540" w:lineRule="exact"/>
        <w:rPr>
          <w:rFonts w:ascii="宋体" w:hAnsi="宋体" w:cs="楷体"/>
          <w:sz w:val="24"/>
          <w:szCs w:val="24"/>
          <w:highlight w:val="none"/>
        </w:rPr>
      </w:pPr>
      <w:r>
        <w:rPr>
          <w:rFonts w:hint="eastAsia" w:ascii="宋体" w:hAnsi="宋体" w:cs="楷体"/>
          <w:sz w:val="24"/>
          <w:szCs w:val="24"/>
          <w:highlight w:val="none"/>
        </w:rPr>
        <w:t>预付款担保的形式为：</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90C1AC9">
      <w:pPr>
        <w:spacing w:line="540" w:lineRule="exact"/>
        <w:rPr>
          <w:rFonts w:ascii="宋体" w:hAnsi="宋体" w:cs="楷体"/>
          <w:sz w:val="24"/>
          <w:szCs w:val="24"/>
          <w:highlight w:val="none"/>
        </w:rPr>
      </w:pPr>
      <w:r>
        <w:rPr>
          <w:rFonts w:hint="eastAsia" w:ascii="宋体" w:hAnsi="宋体" w:cs="楷体"/>
          <w:b/>
          <w:bCs/>
          <w:sz w:val="24"/>
          <w:szCs w:val="24"/>
          <w:highlight w:val="none"/>
        </w:rPr>
        <w:t>12.3</w:t>
      </w:r>
      <w:r>
        <w:rPr>
          <w:rFonts w:hint="eastAsia" w:ascii="宋体" w:hAnsi="宋体" w:cs="楷体"/>
          <w:sz w:val="24"/>
          <w:szCs w:val="24"/>
          <w:highlight w:val="none"/>
        </w:rPr>
        <w:t xml:space="preserve"> 计量</w:t>
      </w:r>
    </w:p>
    <w:p w14:paraId="787A8C0D">
      <w:pPr>
        <w:spacing w:line="540" w:lineRule="exact"/>
        <w:rPr>
          <w:rFonts w:ascii="宋体" w:hAnsi="宋体" w:cs="楷体"/>
          <w:sz w:val="24"/>
          <w:szCs w:val="24"/>
          <w:highlight w:val="none"/>
        </w:rPr>
      </w:pPr>
      <w:r>
        <w:rPr>
          <w:rFonts w:hint="eastAsia" w:ascii="宋体" w:hAnsi="宋体" w:cs="楷体"/>
          <w:sz w:val="24"/>
          <w:szCs w:val="24"/>
          <w:highlight w:val="none"/>
        </w:rPr>
        <w:t>12.3.1 计量原则</w:t>
      </w:r>
    </w:p>
    <w:p w14:paraId="6470B2F7">
      <w:pPr>
        <w:spacing w:line="540" w:lineRule="exact"/>
        <w:rPr>
          <w:rFonts w:ascii="宋体" w:hAnsi="宋体" w:cs="楷体"/>
          <w:sz w:val="24"/>
          <w:szCs w:val="24"/>
          <w:highlight w:val="none"/>
        </w:rPr>
      </w:pPr>
      <w:r>
        <w:rPr>
          <w:rFonts w:hint="eastAsia" w:ascii="宋体" w:hAnsi="宋体" w:cs="楷体"/>
          <w:sz w:val="24"/>
          <w:szCs w:val="24"/>
          <w:highlight w:val="none"/>
        </w:rPr>
        <w:t>工程量计算规则：</w:t>
      </w:r>
      <w:r>
        <w:rPr>
          <w:rFonts w:hint="eastAsia" w:ascii="宋体" w:hAnsi="宋体" w:cs="楷体"/>
          <w:sz w:val="24"/>
          <w:szCs w:val="24"/>
          <w:highlight w:val="none"/>
          <w:u w:val="single"/>
        </w:rPr>
        <w:t xml:space="preserve">         按规定执行                             </w:t>
      </w:r>
      <w:r>
        <w:rPr>
          <w:rFonts w:hint="eastAsia" w:ascii="宋体" w:hAnsi="宋体" w:cs="楷体"/>
          <w:sz w:val="24"/>
          <w:szCs w:val="24"/>
          <w:highlight w:val="none"/>
        </w:rPr>
        <w:t>。</w:t>
      </w:r>
    </w:p>
    <w:p w14:paraId="074F69CA">
      <w:pPr>
        <w:spacing w:line="540" w:lineRule="exact"/>
        <w:rPr>
          <w:rFonts w:ascii="宋体" w:hAnsi="宋体" w:cs="楷体"/>
          <w:sz w:val="24"/>
          <w:szCs w:val="24"/>
          <w:highlight w:val="none"/>
        </w:rPr>
      </w:pPr>
      <w:r>
        <w:rPr>
          <w:rFonts w:hint="eastAsia" w:ascii="宋体" w:hAnsi="宋体" w:cs="楷体"/>
          <w:b/>
          <w:bCs/>
          <w:sz w:val="24"/>
          <w:szCs w:val="24"/>
          <w:highlight w:val="none"/>
        </w:rPr>
        <w:t>12.4</w:t>
      </w:r>
      <w:r>
        <w:rPr>
          <w:rFonts w:hint="eastAsia" w:ascii="宋体" w:hAnsi="宋体" w:cs="楷体"/>
          <w:sz w:val="24"/>
          <w:szCs w:val="24"/>
          <w:highlight w:val="none"/>
        </w:rPr>
        <w:t xml:space="preserve"> 工程进度款支付</w:t>
      </w:r>
    </w:p>
    <w:p w14:paraId="0EBDFC66">
      <w:pPr>
        <w:spacing w:line="540" w:lineRule="exact"/>
        <w:rPr>
          <w:rFonts w:ascii="宋体" w:hAnsi="宋体" w:cs="楷体"/>
          <w:sz w:val="24"/>
          <w:szCs w:val="24"/>
          <w:highlight w:val="none"/>
        </w:rPr>
      </w:pPr>
      <w:bookmarkStart w:id="916" w:name="_Toc297123556"/>
      <w:bookmarkEnd w:id="916"/>
      <w:bookmarkStart w:id="917" w:name="_Toc300935006"/>
      <w:bookmarkEnd w:id="917"/>
      <w:bookmarkStart w:id="918" w:name="_Toc296347210"/>
      <w:bookmarkEnd w:id="918"/>
      <w:bookmarkStart w:id="919" w:name="_Toc297216215"/>
      <w:bookmarkEnd w:id="919"/>
      <w:bookmarkStart w:id="920" w:name="_Toc297048397"/>
      <w:bookmarkEnd w:id="920"/>
      <w:bookmarkStart w:id="921" w:name="_Toc296891039"/>
      <w:bookmarkEnd w:id="921"/>
      <w:bookmarkStart w:id="922" w:name="_Toc296503211"/>
      <w:bookmarkEnd w:id="922"/>
      <w:bookmarkStart w:id="923" w:name="_Toc296944550"/>
      <w:bookmarkEnd w:id="923"/>
      <w:bookmarkStart w:id="924" w:name="_Toc297120511"/>
      <w:bookmarkEnd w:id="924"/>
      <w:bookmarkStart w:id="925" w:name="_Toc292559921"/>
      <w:bookmarkEnd w:id="925"/>
      <w:bookmarkStart w:id="926" w:name="_Toc303539163"/>
      <w:bookmarkEnd w:id="926"/>
      <w:bookmarkStart w:id="927" w:name="_Toc292559416"/>
      <w:bookmarkEnd w:id="927"/>
      <w:bookmarkStart w:id="928" w:name="_Toc296346712"/>
      <w:bookmarkEnd w:id="928"/>
      <w:bookmarkStart w:id="929" w:name="_Toc296891251"/>
      <w:r>
        <w:rPr>
          <w:rFonts w:hint="eastAsia" w:ascii="宋体" w:hAnsi="宋体" w:cs="楷体"/>
          <w:sz w:val="24"/>
          <w:szCs w:val="24"/>
          <w:highlight w:val="none"/>
        </w:rPr>
        <w:t>12.4.1 付款周期</w:t>
      </w:r>
      <w:bookmarkEnd w:id="929"/>
    </w:p>
    <w:p w14:paraId="179E8319">
      <w:pPr>
        <w:spacing w:line="540" w:lineRule="exact"/>
        <w:rPr>
          <w:rFonts w:ascii="宋体" w:hAnsi="宋体" w:cs="楷体"/>
          <w:sz w:val="24"/>
          <w:szCs w:val="24"/>
          <w:highlight w:val="none"/>
          <w:u w:val="single"/>
        </w:rPr>
      </w:pPr>
      <w:r>
        <w:rPr>
          <w:rFonts w:hint="eastAsia" w:ascii="宋体" w:hAnsi="宋体" w:cs="楷体"/>
          <w:sz w:val="24"/>
          <w:szCs w:val="24"/>
          <w:highlight w:val="none"/>
        </w:rPr>
        <w:t>关于付款周期的约定：</w:t>
      </w:r>
      <w:r>
        <w:rPr>
          <w:rFonts w:hint="eastAsia" w:ascii="宋体" w:hAnsi="宋体" w:cs="楷体"/>
          <w:sz w:val="24"/>
          <w:szCs w:val="24"/>
          <w:highlight w:val="none"/>
          <w:u w:val="single"/>
        </w:rPr>
        <w:t>（2）         \        。</w:t>
      </w:r>
    </w:p>
    <w:p w14:paraId="24BE0682">
      <w:pPr>
        <w:spacing w:line="540" w:lineRule="exact"/>
        <w:rPr>
          <w:rFonts w:ascii="宋体" w:hAnsi="宋体" w:cs="楷体"/>
          <w:sz w:val="24"/>
          <w:szCs w:val="24"/>
          <w:highlight w:val="none"/>
        </w:rPr>
      </w:pPr>
      <w:r>
        <w:rPr>
          <w:rFonts w:hint="eastAsia" w:ascii="宋体" w:hAnsi="宋体" w:cs="楷体"/>
          <w:sz w:val="24"/>
          <w:szCs w:val="24"/>
          <w:highlight w:val="none"/>
        </w:rPr>
        <w:t>12.4.2 进度付款申请单的编制</w:t>
      </w:r>
    </w:p>
    <w:p w14:paraId="14F2C332">
      <w:pPr>
        <w:spacing w:line="540" w:lineRule="exact"/>
        <w:rPr>
          <w:rFonts w:ascii="宋体" w:hAnsi="宋体" w:cs="楷体"/>
          <w:sz w:val="24"/>
          <w:szCs w:val="24"/>
          <w:highlight w:val="none"/>
        </w:rPr>
      </w:pPr>
      <w:r>
        <w:rPr>
          <w:rFonts w:hint="eastAsia" w:ascii="宋体" w:hAnsi="宋体" w:cs="楷体"/>
          <w:sz w:val="24"/>
          <w:szCs w:val="24"/>
          <w:highlight w:val="none"/>
        </w:rPr>
        <w:t>关于进度付款申请单编制的约定：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20E8E390">
      <w:pPr>
        <w:spacing w:line="540" w:lineRule="exact"/>
        <w:rPr>
          <w:rFonts w:ascii="宋体" w:hAnsi="宋体" w:cs="楷体"/>
          <w:sz w:val="24"/>
          <w:szCs w:val="24"/>
          <w:highlight w:val="none"/>
        </w:rPr>
      </w:pPr>
      <w:r>
        <w:rPr>
          <w:rFonts w:hint="eastAsia" w:ascii="宋体" w:hAnsi="宋体" w:cs="楷体"/>
          <w:sz w:val="24"/>
          <w:szCs w:val="24"/>
          <w:highlight w:val="none"/>
        </w:rPr>
        <w:t>12.4.3 进度付款申请单的提交</w:t>
      </w:r>
    </w:p>
    <w:p w14:paraId="436A86F4">
      <w:pPr>
        <w:spacing w:line="540" w:lineRule="exact"/>
        <w:rPr>
          <w:rFonts w:ascii="宋体" w:hAnsi="宋体" w:cs="楷体"/>
          <w:sz w:val="24"/>
          <w:szCs w:val="24"/>
          <w:highlight w:val="none"/>
        </w:rPr>
      </w:pPr>
      <w:r>
        <w:rPr>
          <w:rFonts w:hint="eastAsia" w:ascii="宋体" w:hAnsi="宋体" w:cs="楷体"/>
          <w:sz w:val="24"/>
          <w:szCs w:val="24"/>
          <w:highlight w:val="none"/>
        </w:rPr>
        <w:t>（1）单价合同进度付款申请单提交的约定：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50ABCC2E">
      <w:pPr>
        <w:spacing w:line="540" w:lineRule="exact"/>
        <w:rPr>
          <w:rFonts w:ascii="宋体" w:hAnsi="宋体" w:cs="楷体"/>
          <w:sz w:val="24"/>
          <w:szCs w:val="24"/>
          <w:highlight w:val="none"/>
        </w:rPr>
      </w:pPr>
      <w:r>
        <w:rPr>
          <w:rFonts w:hint="eastAsia" w:ascii="宋体" w:hAnsi="宋体" w:cs="楷体"/>
          <w:sz w:val="24"/>
          <w:szCs w:val="24"/>
          <w:highlight w:val="none"/>
        </w:rPr>
        <w:t>（2）总价合同进度付款申请单提交的约定：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1515BA85">
      <w:pPr>
        <w:spacing w:line="540" w:lineRule="exact"/>
        <w:rPr>
          <w:rFonts w:ascii="宋体" w:hAnsi="宋体" w:cs="楷体"/>
          <w:sz w:val="24"/>
          <w:szCs w:val="24"/>
          <w:highlight w:val="none"/>
        </w:rPr>
      </w:pPr>
      <w:r>
        <w:rPr>
          <w:rFonts w:hint="eastAsia" w:ascii="宋体" w:hAnsi="宋体" w:cs="楷体"/>
          <w:sz w:val="24"/>
          <w:szCs w:val="24"/>
          <w:highlight w:val="none"/>
        </w:rPr>
        <w:t>（3）其他价格形式合同进度付款申请单提交的约定：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40E79EE6">
      <w:pPr>
        <w:spacing w:line="540" w:lineRule="exact"/>
        <w:rPr>
          <w:rFonts w:ascii="宋体" w:hAnsi="宋体" w:cs="楷体"/>
          <w:sz w:val="24"/>
          <w:szCs w:val="24"/>
          <w:highlight w:val="none"/>
        </w:rPr>
      </w:pPr>
      <w:r>
        <w:rPr>
          <w:rFonts w:hint="eastAsia" w:ascii="宋体" w:hAnsi="宋体" w:cs="楷体"/>
          <w:sz w:val="24"/>
          <w:szCs w:val="24"/>
          <w:highlight w:val="none"/>
        </w:rPr>
        <w:t>12.4.4 进度款审核和支付</w:t>
      </w:r>
    </w:p>
    <w:p w14:paraId="6628756E">
      <w:pPr>
        <w:spacing w:line="540" w:lineRule="exact"/>
        <w:rPr>
          <w:rFonts w:ascii="宋体" w:hAnsi="宋体" w:cs="楷体"/>
          <w:sz w:val="24"/>
          <w:szCs w:val="24"/>
          <w:highlight w:val="none"/>
          <w:u w:val="single"/>
        </w:rPr>
      </w:pPr>
      <w:r>
        <w:rPr>
          <w:rFonts w:hint="eastAsia" w:ascii="宋体" w:hAnsi="宋体" w:cs="楷体"/>
          <w:sz w:val="24"/>
          <w:szCs w:val="24"/>
          <w:highlight w:val="none"/>
        </w:rPr>
        <w:t>（1）监理人审查并报送发包人的期限：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E66DEA1">
      <w:pPr>
        <w:spacing w:line="540" w:lineRule="exact"/>
        <w:rPr>
          <w:rFonts w:ascii="宋体" w:hAnsi="宋体" w:cs="楷体"/>
          <w:sz w:val="24"/>
          <w:szCs w:val="24"/>
          <w:highlight w:val="none"/>
        </w:rPr>
      </w:pPr>
      <w:r>
        <w:rPr>
          <w:rFonts w:hint="eastAsia" w:ascii="宋体" w:hAnsi="宋体" w:cs="楷体"/>
          <w:sz w:val="24"/>
          <w:szCs w:val="24"/>
          <w:highlight w:val="none"/>
        </w:rPr>
        <w:t>发包人完成审批并签发进度款支付证书的期限：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CCBED25">
      <w:pPr>
        <w:spacing w:line="540" w:lineRule="exact"/>
        <w:rPr>
          <w:rFonts w:ascii="宋体" w:hAnsi="宋体" w:cs="楷体"/>
          <w:sz w:val="24"/>
          <w:szCs w:val="24"/>
          <w:highlight w:val="none"/>
        </w:rPr>
      </w:pPr>
      <w:r>
        <w:rPr>
          <w:rFonts w:hint="eastAsia" w:ascii="宋体" w:hAnsi="宋体" w:cs="楷体"/>
          <w:sz w:val="24"/>
          <w:szCs w:val="24"/>
          <w:highlight w:val="none"/>
        </w:rPr>
        <w:t>（2）发包人支付进度款的期限：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1C9A6E10">
      <w:pPr>
        <w:spacing w:line="540" w:lineRule="exact"/>
        <w:rPr>
          <w:rFonts w:ascii="宋体" w:hAnsi="宋体" w:cs="楷体"/>
          <w:sz w:val="24"/>
          <w:szCs w:val="24"/>
          <w:highlight w:val="none"/>
        </w:rPr>
      </w:pPr>
      <w:r>
        <w:rPr>
          <w:rFonts w:hint="eastAsia" w:ascii="宋体" w:hAnsi="宋体" w:cs="楷体"/>
          <w:sz w:val="24"/>
          <w:szCs w:val="24"/>
          <w:highlight w:val="none"/>
        </w:rPr>
        <w:t>发包人逾期支付进度款的违约金的计算方式：。</w:t>
      </w:r>
    </w:p>
    <w:p w14:paraId="3EB1441D">
      <w:pPr>
        <w:spacing w:line="540" w:lineRule="exact"/>
        <w:rPr>
          <w:rFonts w:ascii="宋体" w:hAnsi="宋体" w:cs="楷体"/>
          <w:sz w:val="24"/>
          <w:szCs w:val="24"/>
          <w:highlight w:val="none"/>
        </w:rPr>
      </w:pPr>
      <w:r>
        <w:rPr>
          <w:rFonts w:hint="eastAsia" w:ascii="宋体" w:hAnsi="宋体" w:cs="楷体"/>
          <w:sz w:val="24"/>
          <w:szCs w:val="24"/>
          <w:highlight w:val="none"/>
        </w:rPr>
        <w:t>12.4.6 支付分解表的编制</w:t>
      </w:r>
    </w:p>
    <w:p w14:paraId="3D63B4C8">
      <w:pPr>
        <w:spacing w:line="540" w:lineRule="exact"/>
        <w:rPr>
          <w:rFonts w:ascii="宋体" w:hAnsi="宋体" w:cs="楷体"/>
          <w:sz w:val="24"/>
          <w:szCs w:val="24"/>
          <w:highlight w:val="none"/>
        </w:rPr>
      </w:pPr>
      <w:r>
        <w:rPr>
          <w:rFonts w:hint="eastAsia" w:ascii="宋体" w:hAnsi="宋体" w:cs="楷体"/>
          <w:sz w:val="24"/>
          <w:szCs w:val="24"/>
          <w:highlight w:val="none"/>
        </w:rPr>
        <w:t>2、总价合同支付分解表的编制与审批：</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452B8B9">
      <w:pPr>
        <w:spacing w:line="540" w:lineRule="exact"/>
        <w:rPr>
          <w:rFonts w:ascii="宋体" w:hAnsi="宋体" w:cs="楷体"/>
          <w:sz w:val="24"/>
          <w:szCs w:val="24"/>
          <w:highlight w:val="none"/>
        </w:rPr>
      </w:pPr>
      <w:r>
        <w:rPr>
          <w:rFonts w:hint="eastAsia" w:ascii="宋体" w:hAnsi="宋体" w:cs="楷体"/>
          <w:sz w:val="24"/>
          <w:szCs w:val="24"/>
          <w:highlight w:val="none"/>
        </w:rPr>
        <w:t>3、单价合同的总价项目支付分解表的编制与审批：</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0ACC118B">
      <w:pPr>
        <w:keepNext/>
        <w:spacing w:line="540" w:lineRule="exact"/>
        <w:outlineLvl w:val="3"/>
        <w:rPr>
          <w:rFonts w:ascii="宋体" w:hAnsi="宋体" w:cs="楷体"/>
          <w:b/>
          <w:bCs/>
          <w:sz w:val="24"/>
          <w:szCs w:val="24"/>
          <w:highlight w:val="none"/>
        </w:rPr>
      </w:pPr>
      <w:bookmarkStart w:id="930" w:name="_Toc296891047"/>
      <w:bookmarkEnd w:id="930"/>
      <w:bookmarkStart w:id="931" w:name="_Toc292559424"/>
      <w:bookmarkEnd w:id="931"/>
      <w:bookmarkStart w:id="932" w:name="_Toc303539172"/>
      <w:bookmarkEnd w:id="932"/>
      <w:bookmarkStart w:id="933" w:name="_Toc351203645"/>
      <w:bookmarkEnd w:id="933"/>
      <w:bookmarkStart w:id="934" w:name="_Toc304295593"/>
      <w:bookmarkEnd w:id="934"/>
      <w:bookmarkStart w:id="935" w:name="_Toc296347218"/>
      <w:bookmarkEnd w:id="935"/>
      <w:bookmarkStart w:id="936" w:name="_Toc296944558"/>
      <w:bookmarkEnd w:id="936"/>
      <w:bookmarkStart w:id="937" w:name="_Toc297216223"/>
      <w:bookmarkEnd w:id="937"/>
      <w:bookmarkStart w:id="938" w:name="_Toc292559929"/>
      <w:bookmarkEnd w:id="938"/>
      <w:bookmarkStart w:id="939" w:name="_Toc296346720"/>
      <w:bookmarkEnd w:id="939"/>
      <w:bookmarkStart w:id="940" w:name="_Toc297048405"/>
      <w:bookmarkEnd w:id="940"/>
      <w:bookmarkStart w:id="941" w:name="_Toc312678053"/>
      <w:bookmarkEnd w:id="941"/>
      <w:bookmarkStart w:id="942" w:name="_Toc296891259"/>
      <w:bookmarkEnd w:id="942"/>
      <w:bookmarkStart w:id="943" w:name="_Toc297123564"/>
      <w:bookmarkEnd w:id="943"/>
      <w:bookmarkStart w:id="944" w:name="_Toc300935015"/>
      <w:bookmarkEnd w:id="944"/>
      <w:bookmarkStart w:id="945" w:name="_Toc296503219"/>
      <w:bookmarkEnd w:id="945"/>
      <w:bookmarkStart w:id="946" w:name="_Toc297120519"/>
      <w:r>
        <w:rPr>
          <w:rFonts w:hint="eastAsia" w:ascii="宋体" w:hAnsi="宋体" w:cs="楷体"/>
          <w:b/>
          <w:bCs/>
          <w:sz w:val="24"/>
          <w:szCs w:val="24"/>
          <w:highlight w:val="none"/>
        </w:rPr>
        <w:t>13. 验收和工程试车</w:t>
      </w:r>
      <w:bookmarkEnd w:id="946"/>
    </w:p>
    <w:p w14:paraId="4C999854">
      <w:pPr>
        <w:spacing w:line="540" w:lineRule="exact"/>
        <w:rPr>
          <w:rFonts w:ascii="宋体" w:hAnsi="宋体" w:cs="楷体"/>
          <w:sz w:val="24"/>
          <w:szCs w:val="24"/>
          <w:highlight w:val="none"/>
        </w:rPr>
      </w:pPr>
      <w:r>
        <w:rPr>
          <w:rFonts w:hint="eastAsia" w:ascii="宋体" w:hAnsi="宋体" w:cs="楷体"/>
          <w:b/>
          <w:bCs/>
          <w:sz w:val="24"/>
          <w:szCs w:val="24"/>
          <w:highlight w:val="none"/>
        </w:rPr>
        <w:t>13.1</w:t>
      </w:r>
      <w:r>
        <w:rPr>
          <w:rFonts w:hint="eastAsia" w:ascii="宋体" w:hAnsi="宋体" w:cs="楷体"/>
          <w:sz w:val="24"/>
          <w:szCs w:val="24"/>
          <w:highlight w:val="none"/>
        </w:rPr>
        <w:t xml:space="preserve"> 分部分项工程验收</w:t>
      </w:r>
    </w:p>
    <w:p w14:paraId="3433A2A0">
      <w:pPr>
        <w:spacing w:line="540" w:lineRule="exact"/>
        <w:rPr>
          <w:rFonts w:ascii="宋体" w:hAnsi="宋体" w:cs="楷体"/>
          <w:sz w:val="24"/>
          <w:szCs w:val="24"/>
          <w:highlight w:val="none"/>
        </w:rPr>
      </w:pPr>
      <w:r>
        <w:rPr>
          <w:rFonts w:hint="eastAsia" w:ascii="宋体" w:hAnsi="宋体" w:cs="楷体"/>
          <w:sz w:val="24"/>
          <w:szCs w:val="24"/>
          <w:highlight w:val="none"/>
        </w:rPr>
        <w:t>13.1.2监理人不能按时进行验收时，应提前</w:t>
      </w:r>
      <w:r>
        <w:rPr>
          <w:rFonts w:hint="eastAsia" w:ascii="宋体" w:hAnsi="宋体" w:cs="楷体"/>
          <w:sz w:val="24"/>
          <w:szCs w:val="24"/>
          <w:highlight w:val="none"/>
          <w:u w:val="single"/>
        </w:rPr>
        <w:t xml:space="preserve">  8  </w:t>
      </w:r>
      <w:r>
        <w:rPr>
          <w:rFonts w:hint="eastAsia" w:ascii="宋体" w:hAnsi="宋体" w:cs="楷体"/>
          <w:sz w:val="24"/>
          <w:szCs w:val="24"/>
          <w:highlight w:val="none"/>
        </w:rPr>
        <w:t>小时提交书面延期要求。</w:t>
      </w:r>
    </w:p>
    <w:p w14:paraId="34F0CDC6">
      <w:pPr>
        <w:spacing w:line="540" w:lineRule="exact"/>
        <w:rPr>
          <w:rFonts w:ascii="宋体" w:hAnsi="宋体" w:cs="楷体"/>
          <w:b/>
          <w:bCs/>
          <w:sz w:val="24"/>
          <w:szCs w:val="24"/>
          <w:highlight w:val="none"/>
        </w:rPr>
      </w:pPr>
      <w:r>
        <w:rPr>
          <w:rFonts w:hint="eastAsia" w:ascii="宋体" w:hAnsi="宋体" w:cs="楷体"/>
          <w:sz w:val="24"/>
          <w:szCs w:val="24"/>
          <w:highlight w:val="none"/>
        </w:rPr>
        <w:t>关于延期最长不得超过：</w:t>
      </w:r>
      <w:r>
        <w:rPr>
          <w:rFonts w:hint="eastAsia" w:ascii="宋体" w:hAnsi="宋体" w:cs="楷体"/>
          <w:sz w:val="24"/>
          <w:szCs w:val="24"/>
          <w:highlight w:val="none"/>
          <w:u w:val="single"/>
        </w:rPr>
        <w:t xml:space="preserve">   24     </w:t>
      </w:r>
      <w:r>
        <w:rPr>
          <w:rFonts w:hint="eastAsia" w:ascii="宋体" w:hAnsi="宋体" w:cs="楷体"/>
          <w:sz w:val="24"/>
          <w:szCs w:val="24"/>
          <w:highlight w:val="none"/>
        </w:rPr>
        <w:t>小时。</w:t>
      </w:r>
    </w:p>
    <w:p w14:paraId="2DF2556C">
      <w:pPr>
        <w:spacing w:line="540" w:lineRule="exact"/>
        <w:rPr>
          <w:rFonts w:ascii="宋体" w:hAnsi="宋体" w:cs="楷体"/>
          <w:sz w:val="24"/>
          <w:szCs w:val="24"/>
          <w:highlight w:val="none"/>
        </w:rPr>
      </w:pPr>
      <w:bookmarkStart w:id="947" w:name="_Toc267251474"/>
      <w:bookmarkEnd w:id="947"/>
      <w:bookmarkStart w:id="948" w:name="_Toc296891051"/>
      <w:bookmarkEnd w:id="948"/>
      <w:bookmarkStart w:id="949" w:name="_Toc297048409"/>
      <w:bookmarkEnd w:id="949"/>
      <w:bookmarkStart w:id="950" w:name="_Toc297120523"/>
      <w:bookmarkEnd w:id="950"/>
      <w:bookmarkStart w:id="951" w:name="_Toc303539173"/>
      <w:bookmarkEnd w:id="951"/>
      <w:bookmarkStart w:id="952" w:name="_Toc297216224"/>
      <w:bookmarkEnd w:id="952"/>
      <w:bookmarkStart w:id="953" w:name="_Toc296347222"/>
      <w:bookmarkEnd w:id="953"/>
      <w:bookmarkStart w:id="954" w:name="_Toc267251473"/>
      <w:bookmarkEnd w:id="954"/>
      <w:bookmarkStart w:id="955" w:name="_Toc267251472"/>
      <w:bookmarkEnd w:id="955"/>
      <w:bookmarkStart w:id="956" w:name="_Toc297123565"/>
      <w:bookmarkEnd w:id="956"/>
      <w:bookmarkStart w:id="957" w:name="_Toc296346724"/>
      <w:bookmarkEnd w:id="957"/>
      <w:bookmarkStart w:id="958" w:name="_Toc296503223"/>
      <w:bookmarkEnd w:id="958"/>
      <w:bookmarkStart w:id="959" w:name="_Toc267251470"/>
      <w:bookmarkEnd w:id="959"/>
      <w:bookmarkStart w:id="960" w:name="_Toc292559428"/>
      <w:bookmarkEnd w:id="960"/>
      <w:bookmarkStart w:id="961" w:name="_Toc312678056"/>
      <w:bookmarkEnd w:id="961"/>
      <w:bookmarkStart w:id="962" w:name="_Toc296944562"/>
      <w:bookmarkEnd w:id="962"/>
      <w:bookmarkStart w:id="963" w:name="_Toc300935016"/>
      <w:bookmarkEnd w:id="963"/>
      <w:bookmarkStart w:id="964" w:name="_Toc304295596"/>
      <w:bookmarkEnd w:id="964"/>
      <w:bookmarkStart w:id="965" w:name="_Toc267251476"/>
      <w:bookmarkEnd w:id="965"/>
      <w:bookmarkStart w:id="966" w:name="_Toc292559933"/>
      <w:bookmarkEnd w:id="966"/>
      <w:bookmarkStart w:id="967" w:name="_Toc267251471"/>
      <w:bookmarkEnd w:id="967"/>
      <w:bookmarkStart w:id="968" w:name="_Toc296891263"/>
      <w:bookmarkEnd w:id="968"/>
      <w:bookmarkStart w:id="969" w:name="_Toc267251475"/>
      <w:r>
        <w:rPr>
          <w:rFonts w:hint="eastAsia" w:ascii="宋体" w:hAnsi="宋体" w:cs="楷体"/>
          <w:b/>
          <w:bCs/>
          <w:sz w:val="24"/>
          <w:szCs w:val="24"/>
          <w:highlight w:val="none"/>
        </w:rPr>
        <w:t>13.2</w:t>
      </w:r>
      <w:bookmarkEnd w:id="969"/>
      <w:r>
        <w:rPr>
          <w:rFonts w:hint="eastAsia" w:ascii="宋体" w:hAnsi="宋体" w:cs="楷体"/>
          <w:sz w:val="24"/>
          <w:szCs w:val="24"/>
          <w:highlight w:val="none"/>
        </w:rPr>
        <w:t xml:space="preserve"> 竣工验收</w:t>
      </w:r>
    </w:p>
    <w:p w14:paraId="4AD24FA7">
      <w:pPr>
        <w:spacing w:line="540" w:lineRule="exact"/>
        <w:rPr>
          <w:rFonts w:ascii="宋体" w:hAnsi="宋体" w:cs="楷体"/>
          <w:sz w:val="24"/>
          <w:szCs w:val="24"/>
          <w:highlight w:val="none"/>
        </w:rPr>
      </w:pPr>
      <w:bookmarkStart w:id="970" w:name="_Toc280868706"/>
      <w:bookmarkEnd w:id="970"/>
      <w:bookmarkStart w:id="971" w:name="_Toc280868707"/>
      <w:bookmarkEnd w:id="971"/>
      <w:bookmarkStart w:id="972" w:name="_Toc280868705"/>
      <w:bookmarkEnd w:id="972"/>
      <w:bookmarkStart w:id="973" w:name="_Toc280868709"/>
      <w:bookmarkEnd w:id="973"/>
      <w:bookmarkStart w:id="974" w:name="_Toc280868708"/>
      <w:bookmarkEnd w:id="974"/>
      <w:bookmarkStart w:id="975" w:name="_Toc280868704"/>
      <w:bookmarkEnd w:id="975"/>
      <w:r>
        <w:rPr>
          <w:rFonts w:hint="eastAsia" w:ascii="宋体" w:hAnsi="宋体" w:cs="楷体"/>
          <w:sz w:val="24"/>
          <w:szCs w:val="24"/>
          <w:highlight w:val="none"/>
        </w:rPr>
        <w:t>13.2.2竣工验收程序</w:t>
      </w:r>
    </w:p>
    <w:p w14:paraId="33B87432">
      <w:pPr>
        <w:spacing w:line="540" w:lineRule="exact"/>
        <w:rPr>
          <w:rFonts w:ascii="宋体" w:hAnsi="宋体" w:cs="楷体"/>
          <w:sz w:val="24"/>
          <w:szCs w:val="24"/>
          <w:highlight w:val="none"/>
        </w:rPr>
      </w:pPr>
      <w:r>
        <w:rPr>
          <w:rFonts w:hint="eastAsia" w:ascii="宋体" w:hAnsi="宋体" w:cs="楷体"/>
          <w:sz w:val="24"/>
          <w:szCs w:val="24"/>
          <w:highlight w:val="none"/>
        </w:rPr>
        <w:t>关于竣工验收程序的约定：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63B7152E">
      <w:pPr>
        <w:spacing w:line="540" w:lineRule="exact"/>
        <w:rPr>
          <w:rFonts w:ascii="宋体" w:hAnsi="宋体" w:cs="楷体"/>
          <w:sz w:val="24"/>
          <w:szCs w:val="24"/>
          <w:highlight w:val="none"/>
        </w:rPr>
      </w:pPr>
      <w:r>
        <w:rPr>
          <w:rFonts w:hint="eastAsia" w:ascii="宋体" w:hAnsi="宋体" w:cs="楷体"/>
          <w:sz w:val="24"/>
          <w:szCs w:val="24"/>
          <w:highlight w:val="none"/>
        </w:rPr>
        <w:t>发包人不按照本项约定组织竣工验收、颁发工程接收证书的违约金的计算方法：</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4906830B">
      <w:pPr>
        <w:spacing w:line="540" w:lineRule="exact"/>
        <w:rPr>
          <w:rFonts w:ascii="宋体" w:hAnsi="宋体" w:cs="楷体"/>
          <w:sz w:val="24"/>
          <w:szCs w:val="24"/>
          <w:highlight w:val="none"/>
        </w:rPr>
      </w:pPr>
      <w:r>
        <w:rPr>
          <w:rFonts w:hint="eastAsia" w:ascii="宋体" w:hAnsi="宋体" w:cs="楷体"/>
          <w:sz w:val="24"/>
          <w:szCs w:val="24"/>
          <w:highlight w:val="none"/>
        </w:rPr>
        <w:t>13.2.5移交、接收全部与部分工程</w:t>
      </w:r>
    </w:p>
    <w:p w14:paraId="46B8D312">
      <w:pPr>
        <w:spacing w:line="540" w:lineRule="exact"/>
        <w:rPr>
          <w:rFonts w:ascii="宋体" w:hAnsi="宋体" w:cs="楷体"/>
          <w:sz w:val="24"/>
          <w:szCs w:val="24"/>
          <w:highlight w:val="none"/>
        </w:rPr>
      </w:pPr>
      <w:r>
        <w:rPr>
          <w:rFonts w:hint="eastAsia" w:ascii="宋体" w:hAnsi="宋体" w:cs="楷体"/>
          <w:sz w:val="24"/>
          <w:szCs w:val="24"/>
          <w:highlight w:val="none"/>
        </w:rPr>
        <w:t>承包人向发包人移交工程的期限：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1A53E74B">
      <w:pPr>
        <w:spacing w:line="540" w:lineRule="exact"/>
        <w:rPr>
          <w:rFonts w:ascii="宋体" w:hAnsi="宋体" w:cs="楷体"/>
          <w:sz w:val="24"/>
          <w:szCs w:val="24"/>
          <w:highlight w:val="none"/>
          <w:u w:val="single"/>
        </w:rPr>
      </w:pPr>
      <w:r>
        <w:rPr>
          <w:rFonts w:hint="eastAsia" w:ascii="宋体" w:hAnsi="宋体" w:cs="楷体"/>
          <w:sz w:val="24"/>
          <w:szCs w:val="24"/>
          <w:highlight w:val="none"/>
        </w:rPr>
        <w:t>发包人未按本合同约定接收全部或部分工程的，违约金的计算方法为：</w:t>
      </w:r>
    </w:p>
    <w:p w14:paraId="3E1742D6">
      <w:pPr>
        <w:spacing w:line="540" w:lineRule="exact"/>
        <w:rPr>
          <w:rFonts w:ascii="宋体" w:hAnsi="宋体" w:cs="楷体"/>
          <w:sz w:val="24"/>
          <w:szCs w:val="24"/>
          <w:highlight w:val="none"/>
        </w:rPr>
      </w:pPr>
      <w:r>
        <w:rPr>
          <w:rFonts w:hint="eastAsia" w:ascii="宋体" w:hAnsi="宋体" w:cs="楷体"/>
          <w:sz w:val="24"/>
          <w:szCs w:val="24"/>
          <w:highlight w:val="none"/>
        </w:rPr>
        <w:t>承包人未按时移交工程的，违约金的计算方法为：。</w:t>
      </w:r>
    </w:p>
    <w:p w14:paraId="136AE33F">
      <w:pPr>
        <w:spacing w:line="540" w:lineRule="exact"/>
        <w:rPr>
          <w:rFonts w:ascii="宋体" w:hAnsi="宋体" w:cs="楷体"/>
          <w:sz w:val="24"/>
          <w:szCs w:val="24"/>
          <w:highlight w:val="none"/>
        </w:rPr>
      </w:pPr>
      <w:r>
        <w:rPr>
          <w:rFonts w:hint="eastAsia" w:ascii="宋体" w:hAnsi="宋体" w:cs="楷体"/>
          <w:b/>
          <w:bCs/>
          <w:sz w:val="24"/>
          <w:szCs w:val="24"/>
          <w:highlight w:val="none"/>
        </w:rPr>
        <w:t>13.3</w:t>
      </w:r>
      <w:r>
        <w:rPr>
          <w:rFonts w:hint="eastAsia" w:ascii="宋体" w:hAnsi="宋体" w:cs="楷体"/>
          <w:sz w:val="24"/>
          <w:szCs w:val="24"/>
          <w:highlight w:val="none"/>
        </w:rPr>
        <w:t xml:space="preserve"> 工程试车</w:t>
      </w:r>
    </w:p>
    <w:p w14:paraId="464B9509">
      <w:pPr>
        <w:spacing w:line="540" w:lineRule="exact"/>
        <w:rPr>
          <w:rFonts w:ascii="宋体" w:hAnsi="宋体" w:cs="楷体"/>
          <w:sz w:val="24"/>
          <w:szCs w:val="24"/>
          <w:highlight w:val="none"/>
        </w:rPr>
      </w:pPr>
      <w:r>
        <w:rPr>
          <w:rFonts w:hint="eastAsia" w:ascii="宋体" w:hAnsi="宋体" w:cs="楷体"/>
          <w:sz w:val="24"/>
          <w:szCs w:val="24"/>
          <w:highlight w:val="none"/>
        </w:rPr>
        <w:t>13.3.1 试车程序</w:t>
      </w:r>
    </w:p>
    <w:p w14:paraId="73AC348A">
      <w:pPr>
        <w:spacing w:line="540" w:lineRule="exact"/>
        <w:rPr>
          <w:rFonts w:ascii="宋体" w:hAnsi="宋体" w:cs="楷体"/>
          <w:sz w:val="24"/>
          <w:szCs w:val="24"/>
          <w:highlight w:val="none"/>
        </w:rPr>
      </w:pPr>
      <w:r>
        <w:rPr>
          <w:rFonts w:hint="eastAsia" w:ascii="宋体" w:hAnsi="宋体" w:cs="楷体"/>
          <w:sz w:val="24"/>
          <w:szCs w:val="24"/>
          <w:highlight w:val="none"/>
        </w:rPr>
        <w:t>工程试车内容：</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46953F47">
      <w:pPr>
        <w:spacing w:line="540" w:lineRule="exact"/>
        <w:rPr>
          <w:rFonts w:ascii="宋体" w:hAnsi="宋体" w:cs="楷体"/>
          <w:sz w:val="24"/>
          <w:szCs w:val="24"/>
          <w:highlight w:val="none"/>
        </w:rPr>
      </w:pPr>
      <w:r>
        <w:rPr>
          <w:rFonts w:hint="eastAsia" w:ascii="宋体" w:hAnsi="宋体" w:cs="楷体"/>
          <w:sz w:val="24"/>
          <w:szCs w:val="24"/>
          <w:highlight w:val="none"/>
        </w:rPr>
        <w:t>（1）单机无负荷试车费用由</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承担；</w:t>
      </w:r>
    </w:p>
    <w:p w14:paraId="09C99F84">
      <w:pPr>
        <w:spacing w:line="540" w:lineRule="exact"/>
        <w:rPr>
          <w:rFonts w:ascii="宋体" w:hAnsi="宋体" w:cs="楷体"/>
          <w:sz w:val="24"/>
          <w:szCs w:val="24"/>
          <w:highlight w:val="none"/>
        </w:rPr>
      </w:pPr>
      <w:r>
        <w:rPr>
          <w:rFonts w:hint="eastAsia" w:ascii="宋体" w:hAnsi="宋体" w:cs="楷体"/>
          <w:sz w:val="24"/>
          <w:szCs w:val="24"/>
          <w:highlight w:val="none"/>
        </w:rPr>
        <w:t>（2）无负荷联动试车费用由</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承担。</w:t>
      </w:r>
    </w:p>
    <w:p w14:paraId="234EDFF3">
      <w:pPr>
        <w:spacing w:line="540" w:lineRule="exact"/>
        <w:rPr>
          <w:rFonts w:ascii="宋体" w:hAnsi="宋体" w:cs="楷体"/>
          <w:sz w:val="24"/>
          <w:szCs w:val="24"/>
          <w:highlight w:val="none"/>
        </w:rPr>
      </w:pPr>
      <w:r>
        <w:rPr>
          <w:rFonts w:hint="eastAsia" w:ascii="宋体" w:hAnsi="宋体" w:cs="楷体"/>
          <w:sz w:val="24"/>
          <w:szCs w:val="24"/>
          <w:highlight w:val="none"/>
        </w:rPr>
        <w:t>13.3.3 投料试车</w:t>
      </w:r>
    </w:p>
    <w:p w14:paraId="75B6663D">
      <w:pPr>
        <w:spacing w:line="540" w:lineRule="exact"/>
        <w:rPr>
          <w:rFonts w:ascii="宋体" w:hAnsi="宋体" w:cs="楷体"/>
          <w:sz w:val="24"/>
          <w:szCs w:val="24"/>
          <w:highlight w:val="none"/>
        </w:rPr>
      </w:pPr>
      <w:r>
        <w:rPr>
          <w:rFonts w:hint="eastAsia" w:ascii="宋体" w:hAnsi="宋体" w:cs="楷体"/>
          <w:sz w:val="24"/>
          <w:szCs w:val="24"/>
          <w:highlight w:val="none"/>
        </w:rPr>
        <w:t>关于投料试车相关事项的约定：</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1169CADA">
      <w:pPr>
        <w:spacing w:line="540" w:lineRule="exact"/>
        <w:rPr>
          <w:rFonts w:ascii="宋体" w:hAnsi="宋体" w:cs="楷体"/>
          <w:sz w:val="24"/>
          <w:szCs w:val="24"/>
          <w:highlight w:val="none"/>
        </w:rPr>
      </w:pPr>
      <w:r>
        <w:rPr>
          <w:rFonts w:hint="eastAsia" w:ascii="宋体" w:hAnsi="宋体" w:cs="楷体"/>
          <w:b/>
          <w:bCs/>
          <w:sz w:val="24"/>
          <w:szCs w:val="24"/>
          <w:highlight w:val="none"/>
        </w:rPr>
        <w:t>13.6</w:t>
      </w:r>
      <w:r>
        <w:rPr>
          <w:rFonts w:hint="eastAsia" w:ascii="宋体" w:hAnsi="宋体" w:cs="楷体"/>
          <w:sz w:val="24"/>
          <w:szCs w:val="24"/>
          <w:highlight w:val="none"/>
        </w:rPr>
        <w:t xml:space="preserve"> 竣工退场</w:t>
      </w:r>
    </w:p>
    <w:p w14:paraId="53857D43">
      <w:pPr>
        <w:spacing w:line="540" w:lineRule="exact"/>
        <w:rPr>
          <w:rFonts w:ascii="宋体" w:hAnsi="宋体" w:cs="楷体"/>
          <w:sz w:val="24"/>
          <w:szCs w:val="24"/>
          <w:highlight w:val="none"/>
        </w:rPr>
      </w:pPr>
      <w:r>
        <w:rPr>
          <w:rFonts w:hint="eastAsia" w:ascii="宋体" w:hAnsi="宋体" w:cs="楷体"/>
          <w:sz w:val="24"/>
          <w:szCs w:val="24"/>
          <w:highlight w:val="none"/>
        </w:rPr>
        <w:t>13.6.1 竣工退场</w:t>
      </w:r>
    </w:p>
    <w:p w14:paraId="0BB029CC">
      <w:pPr>
        <w:spacing w:line="540" w:lineRule="exact"/>
        <w:rPr>
          <w:rFonts w:ascii="宋体" w:hAnsi="宋体" w:cs="楷体"/>
          <w:sz w:val="24"/>
          <w:szCs w:val="24"/>
          <w:highlight w:val="none"/>
        </w:rPr>
      </w:pPr>
      <w:r>
        <w:rPr>
          <w:rFonts w:hint="eastAsia" w:ascii="宋体" w:hAnsi="宋体" w:cs="楷体"/>
          <w:sz w:val="24"/>
          <w:szCs w:val="24"/>
          <w:highlight w:val="none"/>
        </w:rPr>
        <w:t>承包人完成竣工退场的期限：</w:t>
      </w:r>
      <w:r>
        <w:rPr>
          <w:rFonts w:hint="eastAsia" w:ascii="宋体" w:hAnsi="宋体" w:cs="楷体"/>
          <w:sz w:val="24"/>
          <w:szCs w:val="24"/>
          <w:highlight w:val="none"/>
          <w:u w:val="single"/>
        </w:rPr>
        <w:t xml:space="preserve">      颁发工程接收证书后三天内          </w:t>
      </w:r>
      <w:r>
        <w:rPr>
          <w:rFonts w:hint="eastAsia" w:ascii="宋体" w:hAnsi="宋体" w:cs="楷体"/>
          <w:sz w:val="24"/>
          <w:szCs w:val="24"/>
          <w:highlight w:val="none"/>
        </w:rPr>
        <w:t>。</w:t>
      </w:r>
    </w:p>
    <w:p w14:paraId="4A1C56F1">
      <w:pPr>
        <w:keepNext/>
        <w:spacing w:line="540" w:lineRule="exact"/>
        <w:outlineLvl w:val="3"/>
        <w:rPr>
          <w:rFonts w:ascii="宋体" w:hAnsi="宋体" w:cs="楷体"/>
          <w:b/>
          <w:bCs/>
          <w:sz w:val="24"/>
          <w:szCs w:val="24"/>
          <w:highlight w:val="none"/>
        </w:rPr>
      </w:pPr>
      <w:bookmarkStart w:id="976" w:name="_Toc351203646"/>
      <w:bookmarkEnd w:id="976"/>
      <w:r>
        <w:rPr>
          <w:rFonts w:hint="eastAsia" w:ascii="宋体" w:hAnsi="宋体" w:cs="楷体"/>
          <w:b/>
          <w:bCs/>
          <w:sz w:val="24"/>
          <w:szCs w:val="24"/>
          <w:highlight w:val="none"/>
        </w:rPr>
        <w:t>14. 竣工结算</w:t>
      </w:r>
    </w:p>
    <w:p w14:paraId="44435817">
      <w:pPr>
        <w:spacing w:line="540" w:lineRule="exact"/>
        <w:rPr>
          <w:rFonts w:ascii="宋体" w:hAnsi="宋体" w:cs="楷体"/>
          <w:sz w:val="24"/>
          <w:szCs w:val="24"/>
          <w:highlight w:val="none"/>
        </w:rPr>
      </w:pPr>
      <w:r>
        <w:rPr>
          <w:rFonts w:hint="eastAsia" w:ascii="宋体" w:hAnsi="宋体" w:cs="楷体"/>
          <w:b/>
          <w:bCs/>
          <w:sz w:val="24"/>
          <w:szCs w:val="24"/>
          <w:highlight w:val="none"/>
        </w:rPr>
        <w:t>14.1</w:t>
      </w:r>
      <w:r>
        <w:rPr>
          <w:rFonts w:hint="eastAsia" w:ascii="宋体" w:hAnsi="宋体" w:cs="楷体"/>
          <w:sz w:val="24"/>
          <w:szCs w:val="24"/>
          <w:highlight w:val="none"/>
        </w:rPr>
        <w:t xml:space="preserve"> 竣工结算申请</w:t>
      </w:r>
    </w:p>
    <w:p w14:paraId="4B588D36">
      <w:pPr>
        <w:spacing w:line="540" w:lineRule="exact"/>
        <w:rPr>
          <w:rFonts w:ascii="宋体" w:hAnsi="宋体" w:cs="楷体"/>
          <w:sz w:val="24"/>
          <w:szCs w:val="24"/>
          <w:highlight w:val="none"/>
        </w:rPr>
      </w:pPr>
      <w:r>
        <w:rPr>
          <w:rFonts w:hint="eastAsia" w:ascii="宋体" w:hAnsi="宋体" w:cs="楷体"/>
          <w:sz w:val="24"/>
          <w:szCs w:val="24"/>
          <w:highlight w:val="none"/>
        </w:rPr>
        <w:t>承包人提交竣工结算申请单的期限：。</w:t>
      </w:r>
    </w:p>
    <w:p w14:paraId="3AA92F45">
      <w:pPr>
        <w:spacing w:line="540" w:lineRule="exact"/>
        <w:rPr>
          <w:rFonts w:ascii="宋体" w:hAnsi="宋体" w:cs="楷体"/>
          <w:sz w:val="24"/>
          <w:szCs w:val="24"/>
          <w:highlight w:val="none"/>
        </w:rPr>
      </w:pPr>
      <w:r>
        <w:rPr>
          <w:rFonts w:hint="eastAsia" w:ascii="宋体" w:hAnsi="宋体" w:cs="楷体"/>
          <w:sz w:val="24"/>
          <w:szCs w:val="24"/>
          <w:highlight w:val="none"/>
        </w:rPr>
        <w:t>竣工结算申请单应包括的内容：。</w:t>
      </w:r>
    </w:p>
    <w:p w14:paraId="437E676F">
      <w:pPr>
        <w:spacing w:line="540" w:lineRule="exact"/>
        <w:rPr>
          <w:rFonts w:ascii="宋体" w:hAnsi="宋体" w:cs="楷体"/>
          <w:sz w:val="24"/>
          <w:szCs w:val="24"/>
          <w:highlight w:val="none"/>
        </w:rPr>
      </w:pPr>
      <w:r>
        <w:rPr>
          <w:rFonts w:hint="eastAsia" w:ascii="宋体" w:hAnsi="宋体" w:cs="楷体"/>
          <w:b/>
          <w:bCs/>
          <w:sz w:val="24"/>
          <w:szCs w:val="24"/>
          <w:highlight w:val="none"/>
        </w:rPr>
        <w:t>14.2</w:t>
      </w:r>
      <w:r>
        <w:rPr>
          <w:rFonts w:hint="eastAsia" w:ascii="宋体" w:hAnsi="宋体" w:cs="楷体"/>
          <w:sz w:val="24"/>
          <w:szCs w:val="24"/>
          <w:highlight w:val="none"/>
        </w:rPr>
        <w:t xml:space="preserve"> 竣工结算审核</w:t>
      </w:r>
    </w:p>
    <w:p w14:paraId="6E67F8D1">
      <w:pPr>
        <w:spacing w:line="540" w:lineRule="exact"/>
        <w:rPr>
          <w:rFonts w:ascii="宋体" w:hAnsi="宋体" w:cs="楷体"/>
          <w:sz w:val="24"/>
          <w:szCs w:val="24"/>
          <w:highlight w:val="none"/>
        </w:rPr>
      </w:pPr>
      <w:r>
        <w:rPr>
          <w:rFonts w:hint="eastAsia" w:ascii="宋体" w:hAnsi="宋体" w:cs="楷体"/>
          <w:sz w:val="24"/>
          <w:szCs w:val="24"/>
          <w:highlight w:val="none"/>
        </w:rPr>
        <w:t>发包人审批竣工付款申请单的期限：。</w:t>
      </w:r>
    </w:p>
    <w:p w14:paraId="4FB2BFCA">
      <w:pPr>
        <w:spacing w:line="540" w:lineRule="exact"/>
        <w:rPr>
          <w:rFonts w:ascii="宋体" w:hAnsi="宋体" w:cs="楷体"/>
          <w:sz w:val="24"/>
          <w:szCs w:val="24"/>
          <w:highlight w:val="none"/>
        </w:rPr>
      </w:pPr>
      <w:r>
        <w:rPr>
          <w:rFonts w:hint="eastAsia" w:ascii="宋体" w:hAnsi="宋体" w:cs="楷体"/>
          <w:sz w:val="24"/>
          <w:szCs w:val="24"/>
          <w:highlight w:val="none"/>
        </w:rPr>
        <w:t>发包人完成竣工付款的期限：。</w:t>
      </w:r>
    </w:p>
    <w:p w14:paraId="35B6479E">
      <w:pPr>
        <w:spacing w:line="540" w:lineRule="exact"/>
        <w:rPr>
          <w:rFonts w:ascii="宋体" w:hAnsi="宋体" w:cs="楷体"/>
          <w:sz w:val="24"/>
          <w:szCs w:val="24"/>
          <w:highlight w:val="none"/>
        </w:rPr>
      </w:pPr>
      <w:r>
        <w:rPr>
          <w:rFonts w:hint="eastAsia" w:ascii="宋体" w:hAnsi="宋体" w:cs="楷体"/>
          <w:sz w:val="24"/>
          <w:szCs w:val="24"/>
          <w:highlight w:val="none"/>
        </w:rPr>
        <w:t>关于竣工付款证书异议部分复核的方式和程序：</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16309F7">
      <w:pPr>
        <w:spacing w:line="540" w:lineRule="exact"/>
        <w:rPr>
          <w:rFonts w:ascii="宋体" w:hAnsi="宋体" w:cs="楷体"/>
          <w:sz w:val="24"/>
          <w:szCs w:val="24"/>
          <w:highlight w:val="none"/>
        </w:rPr>
      </w:pPr>
      <w:r>
        <w:rPr>
          <w:rFonts w:hint="eastAsia" w:ascii="宋体" w:hAnsi="宋体" w:cs="楷体"/>
          <w:b/>
          <w:bCs/>
          <w:sz w:val="24"/>
          <w:szCs w:val="24"/>
          <w:highlight w:val="none"/>
        </w:rPr>
        <w:t>14.4</w:t>
      </w:r>
      <w:r>
        <w:rPr>
          <w:rFonts w:hint="eastAsia" w:ascii="宋体" w:hAnsi="宋体" w:cs="楷体"/>
          <w:sz w:val="24"/>
          <w:szCs w:val="24"/>
          <w:highlight w:val="none"/>
        </w:rPr>
        <w:t xml:space="preserve"> 最终结清</w:t>
      </w:r>
    </w:p>
    <w:p w14:paraId="6F8DBB02">
      <w:pPr>
        <w:spacing w:line="540" w:lineRule="exact"/>
        <w:rPr>
          <w:rFonts w:ascii="宋体" w:hAnsi="宋体" w:cs="楷体"/>
          <w:sz w:val="24"/>
          <w:szCs w:val="24"/>
          <w:highlight w:val="none"/>
        </w:rPr>
      </w:pPr>
      <w:r>
        <w:rPr>
          <w:rFonts w:hint="eastAsia" w:ascii="宋体" w:hAnsi="宋体" w:cs="楷体"/>
          <w:sz w:val="24"/>
          <w:szCs w:val="24"/>
          <w:highlight w:val="none"/>
        </w:rPr>
        <w:t>14.4.1 最终结清申请单</w:t>
      </w:r>
    </w:p>
    <w:p w14:paraId="516FEBF8">
      <w:pPr>
        <w:spacing w:line="540" w:lineRule="exact"/>
        <w:rPr>
          <w:rFonts w:ascii="宋体" w:hAnsi="宋体" w:cs="楷体"/>
          <w:sz w:val="24"/>
          <w:szCs w:val="24"/>
          <w:highlight w:val="none"/>
        </w:rPr>
      </w:pPr>
      <w:r>
        <w:rPr>
          <w:rFonts w:hint="eastAsia" w:ascii="宋体" w:hAnsi="宋体" w:cs="楷体"/>
          <w:sz w:val="24"/>
          <w:szCs w:val="24"/>
          <w:highlight w:val="none"/>
        </w:rPr>
        <w:t>承包人提交最终结清申请单的份数：</w:t>
      </w:r>
      <w:r>
        <w:rPr>
          <w:rFonts w:hint="eastAsia" w:ascii="宋体" w:hAnsi="宋体" w:cs="楷体"/>
          <w:sz w:val="24"/>
          <w:szCs w:val="24"/>
          <w:highlight w:val="none"/>
          <w:u w:val="single"/>
        </w:rPr>
        <w:t xml:space="preserve">      四份                   </w:t>
      </w:r>
      <w:r>
        <w:rPr>
          <w:rFonts w:hint="eastAsia" w:ascii="宋体" w:hAnsi="宋体" w:cs="楷体"/>
          <w:sz w:val="24"/>
          <w:szCs w:val="24"/>
          <w:highlight w:val="none"/>
        </w:rPr>
        <w:t>。</w:t>
      </w:r>
    </w:p>
    <w:p w14:paraId="4F2F251A">
      <w:pPr>
        <w:spacing w:line="540" w:lineRule="exact"/>
        <w:rPr>
          <w:rFonts w:ascii="宋体" w:hAnsi="宋体" w:cs="楷体"/>
          <w:sz w:val="24"/>
          <w:szCs w:val="24"/>
          <w:highlight w:val="none"/>
        </w:rPr>
      </w:pPr>
      <w:r>
        <w:rPr>
          <w:rFonts w:hint="eastAsia" w:ascii="宋体" w:hAnsi="宋体" w:cs="楷体"/>
          <w:sz w:val="24"/>
          <w:szCs w:val="24"/>
          <w:highlight w:val="none"/>
        </w:rPr>
        <w:t>承包人提交最终结算申请单的期限：</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 xml:space="preserve">。 </w:t>
      </w:r>
    </w:p>
    <w:p w14:paraId="198C2A32">
      <w:pPr>
        <w:spacing w:line="540" w:lineRule="exact"/>
        <w:rPr>
          <w:rFonts w:ascii="宋体" w:hAnsi="宋体" w:cs="楷体"/>
          <w:sz w:val="24"/>
          <w:szCs w:val="24"/>
          <w:highlight w:val="none"/>
        </w:rPr>
      </w:pPr>
      <w:r>
        <w:rPr>
          <w:rFonts w:hint="eastAsia" w:ascii="宋体" w:hAnsi="宋体" w:cs="楷体"/>
          <w:sz w:val="24"/>
          <w:szCs w:val="24"/>
          <w:highlight w:val="none"/>
        </w:rPr>
        <w:t>14.4.2 最终结清证书和支付</w:t>
      </w:r>
    </w:p>
    <w:p w14:paraId="3762C720">
      <w:pPr>
        <w:spacing w:line="540" w:lineRule="exact"/>
        <w:rPr>
          <w:rFonts w:ascii="宋体" w:hAnsi="宋体" w:cs="楷体"/>
          <w:sz w:val="24"/>
          <w:szCs w:val="24"/>
          <w:highlight w:val="none"/>
          <w:u w:val="single"/>
        </w:rPr>
      </w:pPr>
      <w:r>
        <w:rPr>
          <w:rFonts w:hint="eastAsia" w:ascii="宋体" w:hAnsi="宋体" w:cs="楷体"/>
          <w:sz w:val="24"/>
          <w:szCs w:val="24"/>
          <w:highlight w:val="none"/>
        </w:rPr>
        <w:t>（1）发包人完成最终结清申请单的审批并颁发最终结清证书的期限：</w:t>
      </w:r>
    </w:p>
    <w:p w14:paraId="36BA29F0">
      <w:pPr>
        <w:spacing w:line="540" w:lineRule="exact"/>
        <w:rPr>
          <w:rFonts w:ascii="宋体" w:hAnsi="宋体" w:cs="楷体"/>
          <w:sz w:val="24"/>
          <w:szCs w:val="24"/>
          <w:highlight w:val="none"/>
        </w:rPr>
      </w:pPr>
      <w:r>
        <w:rPr>
          <w:rFonts w:hint="eastAsia" w:ascii="宋体" w:hAnsi="宋体" w:cs="楷体"/>
          <w:sz w:val="24"/>
          <w:szCs w:val="24"/>
          <w:highlight w:val="none"/>
          <w:u w:val="single"/>
        </w:rPr>
        <w:t xml:space="preserve">按通用条款执行                        </w:t>
      </w:r>
      <w:r>
        <w:rPr>
          <w:rFonts w:hint="eastAsia" w:ascii="宋体" w:hAnsi="宋体" w:cs="楷体"/>
          <w:sz w:val="24"/>
          <w:szCs w:val="24"/>
          <w:highlight w:val="none"/>
        </w:rPr>
        <w:t>。</w:t>
      </w:r>
    </w:p>
    <w:p w14:paraId="162B1F08">
      <w:pPr>
        <w:spacing w:line="540" w:lineRule="exact"/>
        <w:rPr>
          <w:rFonts w:ascii="宋体" w:hAnsi="宋体" w:cs="楷体"/>
          <w:sz w:val="24"/>
          <w:szCs w:val="24"/>
          <w:highlight w:val="none"/>
        </w:rPr>
      </w:pPr>
      <w:r>
        <w:rPr>
          <w:rFonts w:hint="eastAsia" w:ascii="宋体" w:hAnsi="宋体" w:cs="楷体"/>
          <w:sz w:val="24"/>
          <w:szCs w:val="24"/>
          <w:highlight w:val="none"/>
        </w:rPr>
        <w:t>（2）发包人完成支付的期限：。</w:t>
      </w:r>
    </w:p>
    <w:p w14:paraId="67E6D7DF">
      <w:pPr>
        <w:keepNext/>
        <w:spacing w:line="540" w:lineRule="exact"/>
        <w:outlineLvl w:val="3"/>
        <w:rPr>
          <w:rFonts w:ascii="宋体" w:hAnsi="宋体" w:cs="楷体"/>
          <w:b/>
          <w:bCs/>
          <w:sz w:val="24"/>
          <w:szCs w:val="24"/>
          <w:highlight w:val="none"/>
        </w:rPr>
      </w:pPr>
      <w:bookmarkStart w:id="977" w:name="_Toc267251485"/>
      <w:bookmarkEnd w:id="977"/>
      <w:bookmarkStart w:id="978" w:name="_Toc267251497"/>
      <w:bookmarkEnd w:id="978"/>
      <w:bookmarkStart w:id="979" w:name="_Toc267251514"/>
      <w:bookmarkEnd w:id="979"/>
      <w:bookmarkStart w:id="980" w:name="_Toc267251488"/>
      <w:bookmarkEnd w:id="980"/>
      <w:bookmarkStart w:id="981" w:name="_Toc267251507"/>
      <w:bookmarkEnd w:id="981"/>
      <w:bookmarkStart w:id="982" w:name="_Toc267251484"/>
      <w:bookmarkEnd w:id="982"/>
      <w:bookmarkStart w:id="983" w:name="_Toc267251483"/>
      <w:bookmarkEnd w:id="983"/>
      <w:bookmarkStart w:id="984" w:name="_Toc267251486"/>
      <w:bookmarkEnd w:id="984"/>
      <w:bookmarkStart w:id="985" w:name="_Toc267251498"/>
      <w:bookmarkEnd w:id="985"/>
      <w:bookmarkStart w:id="986" w:name="_Toc267251499"/>
      <w:bookmarkEnd w:id="986"/>
      <w:bookmarkStart w:id="987" w:name="_Toc267251495"/>
      <w:bookmarkEnd w:id="987"/>
      <w:bookmarkStart w:id="988" w:name="_Toc267251491"/>
      <w:bookmarkEnd w:id="988"/>
      <w:bookmarkStart w:id="989" w:name="_Toc267251506"/>
      <w:bookmarkEnd w:id="989"/>
      <w:bookmarkStart w:id="990" w:name="_Toc267251482"/>
      <w:bookmarkEnd w:id="990"/>
      <w:bookmarkStart w:id="991" w:name="_Toc267251510"/>
      <w:bookmarkEnd w:id="991"/>
      <w:bookmarkStart w:id="992" w:name="_Toc267251509"/>
      <w:bookmarkEnd w:id="992"/>
      <w:bookmarkStart w:id="993" w:name="_Toc267251503"/>
      <w:bookmarkEnd w:id="993"/>
      <w:bookmarkStart w:id="994" w:name="_Toc267251501"/>
      <w:bookmarkEnd w:id="994"/>
      <w:bookmarkStart w:id="995" w:name="_Toc267251494"/>
      <w:bookmarkEnd w:id="995"/>
      <w:bookmarkStart w:id="996" w:name="_Toc267251511"/>
      <w:bookmarkEnd w:id="996"/>
      <w:bookmarkStart w:id="997" w:name="_Toc267251492"/>
      <w:bookmarkEnd w:id="997"/>
      <w:bookmarkStart w:id="998" w:name="_Toc351203647"/>
      <w:bookmarkEnd w:id="998"/>
      <w:bookmarkStart w:id="999" w:name="_Toc267251489"/>
      <w:bookmarkEnd w:id="999"/>
      <w:bookmarkStart w:id="1000" w:name="_Toc267251502"/>
      <w:bookmarkEnd w:id="1000"/>
      <w:bookmarkStart w:id="1001" w:name="_Toc267251508"/>
      <w:bookmarkEnd w:id="1001"/>
      <w:bookmarkStart w:id="1002" w:name="_Toc267251496"/>
      <w:bookmarkEnd w:id="1002"/>
      <w:bookmarkStart w:id="1003" w:name="_Toc267251490"/>
      <w:bookmarkEnd w:id="1003"/>
      <w:bookmarkStart w:id="1004" w:name="_Toc267251504"/>
      <w:bookmarkEnd w:id="1004"/>
      <w:bookmarkStart w:id="1005" w:name="_Toc267251515"/>
      <w:bookmarkEnd w:id="1005"/>
      <w:bookmarkStart w:id="1006" w:name="_Toc267251493"/>
      <w:bookmarkEnd w:id="1006"/>
      <w:bookmarkStart w:id="1007" w:name="_Toc267251513"/>
      <w:r>
        <w:rPr>
          <w:rFonts w:hint="eastAsia" w:ascii="宋体" w:hAnsi="宋体" w:cs="楷体"/>
          <w:b/>
          <w:bCs/>
          <w:sz w:val="24"/>
          <w:szCs w:val="24"/>
          <w:highlight w:val="none"/>
        </w:rPr>
        <w:t>15. 缺陷责任期与保修</w:t>
      </w:r>
      <w:bookmarkEnd w:id="1007"/>
    </w:p>
    <w:p w14:paraId="02074A98">
      <w:pPr>
        <w:spacing w:line="540" w:lineRule="exact"/>
        <w:rPr>
          <w:rFonts w:ascii="宋体" w:hAnsi="宋体" w:cs="楷体"/>
          <w:sz w:val="24"/>
          <w:szCs w:val="24"/>
          <w:highlight w:val="none"/>
        </w:rPr>
      </w:pPr>
      <w:r>
        <w:rPr>
          <w:rFonts w:hint="eastAsia" w:ascii="宋体" w:hAnsi="宋体" w:cs="楷体"/>
          <w:b/>
          <w:bCs/>
          <w:sz w:val="24"/>
          <w:szCs w:val="24"/>
          <w:highlight w:val="none"/>
        </w:rPr>
        <w:t>15.2</w:t>
      </w:r>
      <w:r>
        <w:rPr>
          <w:rFonts w:hint="eastAsia" w:ascii="宋体" w:hAnsi="宋体" w:cs="楷体"/>
          <w:sz w:val="24"/>
          <w:szCs w:val="24"/>
          <w:highlight w:val="none"/>
        </w:rPr>
        <w:t>缺陷责任期</w:t>
      </w:r>
    </w:p>
    <w:p w14:paraId="36C64BE0">
      <w:pPr>
        <w:spacing w:line="540" w:lineRule="exact"/>
        <w:rPr>
          <w:rFonts w:ascii="宋体" w:hAnsi="宋体" w:cs="楷体"/>
          <w:sz w:val="24"/>
          <w:szCs w:val="24"/>
          <w:highlight w:val="none"/>
        </w:rPr>
      </w:pPr>
      <w:r>
        <w:rPr>
          <w:rFonts w:hint="eastAsia" w:ascii="宋体" w:hAnsi="宋体" w:cs="楷体"/>
          <w:sz w:val="24"/>
          <w:szCs w:val="24"/>
          <w:highlight w:val="none"/>
        </w:rPr>
        <w:t>缺陷责任期的具体期限：</w:t>
      </w:r>
      <w:r>
        <w:rPr>
          <w:rFonts w:hint="eastAsia" w:ascii="宋体" w:hAnsi="宋体" w:cs="楷体"/>
          <w:sz w:val="24"/>
          <w:szCs w:val="24"/>
          <w:highlight w:val="none"/>
          <w:u w:val="single"/>
        </w:rPr>
        <w:t xml:space="preserve">            12个月                </w:t>
      </w:r>
      <w:r>
        <w:rPr>
          <w:rFonts w:hint="eastAsia" w:ascii="宋体" w:hAnsi="宋体" w:cs="楷体"/>
          <w:sz w:val="24"/>
          <w:szCs w:val="24"/>
          <w:highlight w:val="none"/>
        </w:rPr>
        <w:t>。</w:t>
      </w:r>
    </w:p>
    <w:p w14:paraId="34A01CD3">
      <w:pPr>
        <w:spacing w:line="540" w:lineRule="exact"/>
        <w:rPr>
          <w:rFonts w:ascii="宋体" w:hAnsi="宋体" w:cs="楷体"/>
          <w:sz w:val="24"/>
          <w:szCs w:val="24"/>
          <w:highlight w:val="none"/>
        </w:rPr>
      </w:pPr>
      <w:r>
        <w:rPr>
          <w:rFonts w:hint="eastAsia" w:ascii="宋体" w:hAnsi="宋体" w:cs="楷体"/>
          <w:b/>
          <w:bCs/>
          <w:sz w:val="24"/>
          <w:szCs w:val="24"/>
          <w:highlight w:val="none"/>
        </w:rPr>
        <w:t>15.3</w:t>
      </w:r>
      <w:r>
        <w:rPr>
          <w:rFonts w:hint="eastAsia" w:ascii="宋体" w:hAnsi="宋体" w:cs="楷体"/>
          <w:sz w:val="24"/>
          <w:szCs w:val="24"/>
          <w:highlight w:val="none"/>
        </w:rPr>
        <w:t xml:space="preserve"> 质量保证金</w:t>
      </w:r>
    </w:p>
    <w:p w14:paraId="1FD7C855">
      <w:pPr>
        <w:spacing w:line="540" w:lineRule="exact"/>
        <w:rPr>
          <w:rFonts w:ascii="宋体" w:hAnsi="宋体" w:cs="楷体"/>
          <w:sz w:val="24"/>
          <w:szCs w:val="24"/>
          <w:highlight w:val="none"/>
        </w:rPr>
      </w:pPr>
      <w:r>
        <w:rPr>
          <w:rFonts w:hint="eastAsia" w:ascii="宋体" w:hAnsi="宋体" w:cs="楷体"/>
          <w:sz w:val="24"/>
          <w:szCs w:val="24"/>
          <w:highlight w:val="none"/>
        </w:rPr>
        <w:t>关于是否扣留质量保证金的约定：</w:t>
      </w:r>
      <w:r>
        <w:rPr>
          <w:rFonts w:hint="eastAsia" w:ascii="宋体" w:hAnsi="宋体" w:cs="楷体"/>
          <w:sz w:val="24"/>
          <w:szCs w:val="24"/>
          <w:highlight w:val="none"/>
          <w:u w:val="single"/>
        </w:rPr>
        <w:t xml:space="preserve">         扣留                 </w:t>
      </w:r>
      <w:r>
        <w:rPr>
          <w:rFonts w:hint="eastAsia" w:ascii="宋体" w:hAnsi="宋体" w:cs="楷体"/>
          <w:sz w:val="24"/>
          <w:szCs w:val="24"/>
          <w:highlight w:val="none"/>
        </w:rPr>
        <w:t>。</w:t>
      </w:r>
    </w:p>
    <w:p w14:paraId="1625C7EC">
      <w:pPr>
        <w:spacing w:line="540" w:lineRule="exact"/>
        <w:rPr>
          <w:rFonts w:ascii="宋体" w:hAnsi="宋体" w:cs="楷体"/>
          <w:sz w:val="24"/>
          <w:szCs w:val="24"/>
          <w:highlight w:val="none"/>
        </w:rPr>
      </w:pPr>
      <w:r>
        <w:rPr>
          <w:rFonts w:hint="eastAsia" w:ascii="宋体" w:hAnsi="宋体" w:cs="楷体"/>
          <w:sz w:val="24"/>
          <w:szCs w:val="24"/>
          <w:highlight w:val="none"/>
        </w:rPr>
        <w:t>15.3.1 承包人提供质量保证金的方式</w:t>
      </w:r>
    </w:p>
    <w:p w14:paraId="598AC121">
      <w:pPr>
        <w:spacing w:line="540" w:lineRule="exact"/>
        <w:rPr>
          <w:rFonts w:ascii="宋体" w:hAnsi="宋体" w:cs="楷体"/>
          <w:sz w:val="24"/>
          <w:szCs w:val="24"/>
          <w:highlight w:val="none"/>
        </w:rPr>
      </w:pPr>
      <w:r>
        <w:rPr>
          <w:rFonts w:hint="eastAsia" w:ascii="宋体" w:hAnsi="宋体" w:cs="楷体"/>
          <w:sz w:val="24"/>
          <w:szCs w:val="24"/>
          <w:highlight w:val="none"/>
        </w:rPr>
        <w:t>质量保证金采用以下第</w:t>
      </w:r>
      <w:r>
        <w:rPr>
          <w:rFonts w:hint="eastAsia" w:ascii="宋体" w:hAnsi="宋体" w:cs="楷体"/>
          <w:sz w:val="24"/>
          <w:szCs w:val="24"/>
          <w:highlight w:val="none"/>
          <w:u w:val="single"/>
        </w:rPr>
        <w:t xml:space="preserve">  （2）  </w:t>
      </w:r>
      <w:r>
        <w:rPr>
          <w:rFonts w:hint="eastAsia" w:ascii="宋体" w:hAnsi="宋体" w:cs="楷体"/>
          <w:sz w:val="24"/>
          <w:szCs w:val="24"/>
          <w:highlight w:val="none"/>
        </w:rPr>
        <w:t>种方式：</w:t>
      </w:r>
    </w:p>
    <w:p w14:paraId="2E49DD18">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（1）质量保证金保函，保证金额为：</w:t>
      </w:r>
      <w:r>
        <w:rPr>
          <w:rFonts w:hint="eastAsia" w:ascii="宋体" w:hAnsi="宋体" w:cs="楷体"/>
          <w:sz w:val="24"/>
          <w:szCs w:val="24"/>
          <w:highlight w:val="none"/>
          <w:u w:val="single"/>
        </w:rPr>
        <w:t xml:space="preserve">    \     </w:t>
      </w:r>
      <w:r>
        <w:rPr>
          <w:rFonts w:hint="eastAsia" w:ascii="宋体" w:hAnsi="宋体" w:cs="楷体"/>
          <w:sz w:val="24"/>
          <w:szCs w:val="24"/>
          <w:highlight w:val="none"/>
        </w:rPr>
        <w:t xml:space="preserve">； </w:t>
      </w:r>
    </w:p>
    <w:p w14:paraId="032AB414">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（2）%的工程款；</w:t>
      </w:r>
    </w:p>
    <w:p w14:paraId="12B5A77C">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（3）其他方式:</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3959CCB0">
      <w:pPr>
        <w:spacing w:line="540" w:lineRule="exact"/>
        <w:rPr>
          <w:rFonts w:ascii="宋体" w:hAnsi="宋体" w:cs="楷体"/>
          <w:sz w:val="24"/>
          <w:szCs w:val="24"/>
          <w:highlight w:val="none"/>
        </w:rPr>
      </w:pPr>
      <w:r>
        <w:rPr>
          <w:rFonts w:hint="eastAsia" w:ascii="宋体" w:hAnsi="宋体" w:cs="楷体"/>
          <w:sz w:val="24"/>
          <w:szCs w:val="24"/>
          <w:highlight w:val="none"/>
        </w:rPr>
        <w:t xml:space="preserve">15.3.2 质量保证金的扣留 </w:t>
      </w:r>
    </w:p>
    <w:p w14:paraId="089FAEF5">
      <w:pPr>
        <w:spacing w:line="540" w:lineRule="exact"/>
        <w:rPr>
          <w:rFonts w:ascii="宋体" w:hAnsi="宋体" w:cs="楷体"/>
          <w:sz w:val="24"/>
          <w:szCs w:val="24"/>
          <w:highlight w:val="none"/>
        </w:rPr>
      </w:pPr>
      <w:r>
        <w:rPr>
          <w:rFonts w:hint="eastAsia" w:ascii="宋体" w:hAnsi="宋体" w:cs="楷体"/>
          <w:sz w:val="24"/>
          <w:szCs w:val="24"/>
          <w:highlight w:val="none"/>
        </w:rPr>
        <w:t>质量保证金的扣留采取以下第</w:t>
      </w:r>
      <w:r>
        <w:rPr>
          <w:rFonts w:hint="eastAsia" w:ascii="宋体" w:hAnsi="宋体" w:cs="楷体"/>
          <w:sz w:val="24"/>
          <w:szCs w:val="24"/>
          <w:highlight w:val="none"/>
          <w:u w:val="single"/>
        </w:rPr>
        <w:t xml:space="preserve">  （2） </w:t>
      </w:r>
      <w:r>
        <w:rPr>
          <w:rFonts w:hint="eastAsia" w:ascii="宋体" w:hAnsi="宋体" w:cs="楷体"/>
          <w:sz w:val="24"/>
          <w:szCs w:val="24"/>
          <w:highlight w:val="none"/>
        </w:rPr>
        <w:t>种方式：</w:t>
      </w:r>
    </w:p>
    <w:p w14:paraId="5052FD3A">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（1）在支付工程进度款时逐次扣留，在此情形下，质量保证金的计算基数不包括预付款的支付、扣回以及价格调整的金额；</w:t>
      </w:r>
    </w:p>
    <w:p w14:paraId="34F33904">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（2）工程竣工结算时一次性扣留质量保证金；</w:t>
      </w:r>
    </w:p>
    <w:p w14:paraId="69CCE5B4">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（3）其他扣留方式:</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4E751E4">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15.3.3 质量保证金返还约定办法</w:t>
      </w:r>
    </w:p>
    <w:p w14:paraId="2CA8181D">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（1）自工程竣工五大责任主体验收合格质检站备案书注明之日起，土建工程1年，安装工程两年，屋面防水5年，且各部分时间满30日内分别返还。</w:t>
      </w:r>
    </w:p>
    <w:p w14:paraId="4C1EA3D8">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 xml:space="preserve"> （2）质量保证金返还额度：土建工程按保证金的90%，安装工程按保证金的8%，屋面防水工程按保证金的2%。</w:t>
      </w:r>
    </w:p>
    <w:p w14:paraId="1912418D">
      <w:pPr>
        <w:spacing w:line="540" w:lineRule="exact"/>
        <w:rPr>
          <w:rFonts w:ascii="宋体" w:hAnsi="宋体" w:cs="楷体"/>
          <w:sz w:val="24"/>
          <w:szCs w:val="24"/>
          <w:highlight w:val="none"/>
        </w:rPr>
      </w:pPr>
      <w:r>
        <w:rPr>
          <w:rFonts w:hint="eastAsia" w:ascii="宋体" w:hAnsi="宋体" w:cs="楷体"/>
          <w:sz w:val="24"/>
          <w:szCs w:val="24"/>
          <w:highlight w:val="none"/>
        </w:rPr>
        <w:t>关于质量保证金的补充约定：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3547B474">
      <w:pPr>
        <w:spacing w:line="540" w:lineRule="exact"/>
        <w:rPr>
          <w:rFonts w:ascii="宋体" w:hAnsi="宋体" w:cs="楷体"/>
          <w:sz w:val="24"/>
          <w:szCs w:val="24"/>
          <w:highlight w:val="none"/>
        </w:rPr>
      </w:pPr>
      <w:r>
        <w:rPr>
          <w:rFonts w:hint="eastAsia" w:ascii="宋体" w:hAnsi="宋体" w:cs="楷体"/>
          <w:b/>
          <w:bCs/>
          <w:sz w:val="24"/>
          <w:szCs w:val="24"/>
          <w:highlight w:val="none"/>
        </w:rPr>
        <w:t>15.4</w:t>
      </w:r>
      <w:r>
        <w:rPr>
          <w:rFonts w:hint="eastAsia" w:ascii="宋体" w:hAnsi="宋体" w:cs="楷体"/>
          <w:sz w:val="24"/>
          <w:szCs w:val="24"/>
          <w:highlight w:val="none"/>
        </w:rPr>
        <w:t>保修</w:t>
      </w:r>
    </w:p>
    <w:p w14:paraId="75D8AEB9">
      <w:pPr>
        <w:spacing w:line="540" w:lineRule="exact"/>
        <w:rPr>
          <w:rFonts w:ascii="宋体" w:hAnsi="宋体" w:cs="楷体"/>
          <w:sz w:val="24"/>
          <w:szCs w:val="24"/>
          <w:highlight w:val="none"/>
        </w:rPr>
      </w:pPr>
      <w:r>
        <w:rPr>
          <w:rFonts w:hint="eastAsia" w:ascii="宋体" w:hAnsi="宋体" w:cs="楷体"/>
          <w:sz w:val="24"/>
          <w:szCs w:val="24"/>
          <w:highlight w:val="none"/>
        </w:rPr>
        <w:t>15.4.1 保修责任</w:t>
      </w:r>
    </w:p>
    <w:p w14:paraId="4FB999A6">
      <w:pPr>
        <w:spacing w:line="540" w:lineRule="exact"/>
        <w:rPr>
          <w:rFonts w:ascii="宋体" w:hAnsi="宋体" w:cs="楷体"/>
          <w:sz w:val="24"/>
          <w:szCs w:val="24"/>
          <w:highlight w:val="none"/>
        </w:rPr>
      </w:pPr>
      <w:r>
        <w:rPr>
          <w:rFonts w:hint="eastAsia" w:ascii="宋体" w:hAnsi="宋体" w:cs="楷体"/>
          <w:sz w:val="24"/>
          <w:szCs w:val="24"/>
          <w:highlight w:val="none"/>
        </w:rPr>
        <w:t>工程保修期为：</w:t>
      </w:r>
      <w:r>
        <w:rPr>
          <w:rFonts w:hint="eastAsia" w:ascii="宋体" w:hAnsi="宋体" w:cs="楷体"/>
          <w:sz w:val="24"/>
          <w:szCs w:val="24"/>
          <w:highlight w:val="none"/>
          <w:u w:val="single"/>
        </w:rPr>
        <w:t xml:space="preserve">       见工程质量保修书                               </w:t>
      </w:r>
      <w:r>
        <w:rPr>
          <w:rFonts w:hint="eastAsia" w:ascii="宋体" w:hAnsi="宋体" w:cs="楷体"/>
          <w:sz w:val="24"/>
          <w:szCs w:val="24"/>
          <w:highlight w:val="none"/>
        </w:rPr>
        <w:t>。</w:t>
      </w:r>
    </w:p>
    <w:p w14:paraId="1602D150">
      <w:pPr>
        <w:spacing w:line="540" w:lineRule="exact"/>
        <w:rPr>
          <w:rFonts w:ascii="宋体" w:hAnsi="宋体" w:cs="楷体"/>
          <w:sz w:val="24"/>
          <w:szCs w:val="24"/>
          <w:highlight w:val="none"/>
        </w:rPr>
      </w:pPr>
      <w:r>
        <w:rPr>
          <w:rFonts w:hint="eastAsia" w:ascii="宋体" w:hAnsi="宋体" w:cs="楷体"/>
          <w:sz w:val="24"/>
          <w:szCs w:val="24"/>
          <w:highlight w:val="none"/>
        </w:rPr>
        <w:t>15.4.3 修复通知</w:t>
      </w:r>
    </w:p>
    <w:p w14:paraId="7FD874D1">
      <w:pPr>
        <w:spacing w:line="540" w:lineRule="exact"/>
        <w:rPr>
          <w:rFonts w:ascii="宋体" w:hAnsi="宋体" w:cs="楷体"/>
          <w:sz w:val="24"/>
          <w:szCs w:val="24"/>
          <w:highlight w:val="none"/>
        </w:rPr>
      </w:pPr>
      <w:r>
        <w:rPr>
          <w:rFonts w:hint="eastAsia" w:ascii="宋体" w:hAnsi="宋体" w:cs="楷体"/>
          <w:sz w:val="24"/>
          <w:szCs w:val="24"/>
          <w:highlight w:val="none"/>
        </w:rPr>
        <w:t>承包人收到保修通知并到达工程现场的合理时间：</w:t>
      </w:r>
      <w:r>
        <w:rPr>
          <w:rFonts w:hint="eastAsia" w:ascii="宋体" w:hAnsi="宋体" w:cs="楷体"/>
          <w:sz w:val="24"/>
          <w:szCs w:val="24"/>
          <w:highlight w:val="none"/>
          <w:u w:val="single"/>
        </w:rPr>
        <w:t xml:space="preserve"> 收到通知后24小时内     </w:t>
      </w:r>
      <w:r>
        <w:rPr>
          <w:rFonts w:hint="eastAsia" w:ascii="宋体" w:hAnsi="宋体" w:cs="楷体"/>
          <w:sz w:val="24"/>
          <w:szCs w:val="24"/>
          <w:highlight w:val="none"/>
        </w:rPr>
        <w:t>。</w:t>
      </w:r>
    </w:p>
    <w:p w14:paraId="43EEC7B9">
      <w:pPr>
        <w:keepNext/>
        <w:spacing w:line="540" w:lineRule="exact"/>
        <w:outlineLvl w:val="3"/>
        <w:rPr>
          <w:rFonts w:ascii="宋体" w:hAnsi="宋体" w:cs="楷体"/>
          <w:b/>
          <w:bCs/>
          <w:sz w:val="24"/>
          <w:szCs w:val="24"/>
          <w:highlight w:val="none"/>
        </w:rPr>
      </w:pPr>
      <w:bookmarkStart w:id="1008" w:name="_Toc280868717"/>
      <w:bookmarkEnd w:id="1008"/>
      <w:bookmarkStart w:id="1009" w:name="_Toc351203648"/>
      <w:bookmarkEnd w:id="1009"/>
      <w:bookmarkStart w:id="1010" w:name="_Toc280868718"/>
      <w:bookmarkEnd w:id="1010"/>
      <w:r>
        <w:rPr>
          <w:rFonts w:hint="eastAsia" w:ascii="宋体" w:hAnsi="宋体" w:cs="楷体"/>
          <w:b/>
          <w:bCs/>
          <w:sz w:val="24"/>
          <w:szCs w:val="24"/>
          <w:highlight w:val="none"/>
        </w:rPr>
        <w:t>16. 违约</w:t>
      </w:r>
    </w:p>
    <w:p w14:paraId="5490C1EC">
      <w:pPr>
        <w:spacing w:line="540" w:lineRule="exact"/>
        <w:rPr>
          <w:rFonts w:ascii="宋体" w:hAnsi="宋体" w:cs="楷体"/>
          <w:sz w:val="24"/>
          <w:szCs w:val="24"/>
          <w:highlight w:val="none"/>
        </w:rPr>
      </w:pPr>
      <w:r>
        <w:rPr>
          <w:rFonts w:hint="eastAsia" w:ascii="宋体" w:hAnsi="宋体" w:cs="楷体"/>
          <w:b/>
          <w:bCs/>
          <w:sz w:val="24"/>
          <w:szCs w:val="24"/>
          <w:highlight w:val="none"/>
        </w:rPr>
        <w:t>16.1</w:t>
      </w:r>
      <w:r>
        <w:rPr>
          <w:rFonts w:hint="eastAsia" w:ascii="宋体" w:hAnsi="宋体" w:cs="楷体"/>
          <w:sz w:val="24"/>
          <w:szCs w:val="24"/>
          <w:highlight w:val="none"/>
        </w:rPr>
        <w:t xml:space="preserve"> 发包人违约</w:t>
      </w:r>
    </w:p>
    <w:p w14:paraId="0A71B9E5">
      <w:pPr>
        <w:spacing w:line="540" w:lineRule="exact"/>
        <w:rPr>
          <w:rFonts w:ascii="宋体" w:hAnsi="宋体" w:cs="楷体"/>
          <w:sz w:val="24"/>
          <w:szCs w:val="24"/>
          <w:highlight w:val="none"/>
        </w:rPr>
      </w:pPr>
      <w:r>
        <w:rPr>
          <w:rFonts w:hint="eastAsia" w:ascii="宋体" w:hAnsi="宋体" w:cs="楷体"/>
          <w:sz w:val="24"/>
          <w:szCs w:val="24"/>
          <w:highlight w:val="none"/>
        </w:rPr>
        <w:t>16.1.1发包人违约的情形</w:t>
      </w:r>
    </w:p>
    <w:p w14:paraId="5E7D6B49">
      <w:pPr>
        <w:spacing w:line="540" w:lineRule="exact"/>
        <w:rPr>
          <w:rFonts w:ascii="宋体" w:hAnsi="宋体" w:cs="楷体"/>
          <w:sz w:val="24"/>
          <w:szCs w:val="24"/>
          <w:highlight w:val="none"/>
        </w:rPr>
      </w:pPr>
      <w:r>
        <w:rPr>
          <w:rFonts w:hint="eastAsia" w:ascii="宋体" w:hAnsi="宋体" w:cs="楷体"/>
          <w:sz w:val="24"/>
          <w:szCs w:val="24"/>
          <w:highlight w:val="none"/>
        </w:rPr>
        <w:t>发包人违约的其他情形：</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FC78E89">
      <w:pPr>
        <w:spacing w:line="540" w:lineRule="exact"/>
        <w:rPr>
          <w:rFonts w:ascii="宋体" w:hAnsi="宋体" w:cs="楷体"/>
          <w:sz w:val="24"/>
          <w:szCs w:val="24"/>
          <w:highlight w:val="none"/>
        </w:rPr>
      </w:pPr>
      <w:r>
        <w:rPr>
          <w:rFonts w:hint="eastAsia" w:ascii="宋体" w:hAnsi="宋体" w:cs="楷体"/>
          <w:sz w:val="24"/>
          <w:szCs w:val="24"/>
          <w:highlight w:val="none"/>
        </w:rPr>
        <w:t>16.1.2 发包人违约的责任</w:t>
      </w:r>
    </w:p>
    <w:p w14:paraId="4565A5C0">
      <w:pPr>
        <w:spacing w:line="540" w:lineRule="exact"/>
        <w:rPr>
          <w:rFonts w:ascii="宋体" w:hAnsi="宋体" w:cs="楷体"/>
          <w:sz w:val="24"/>
          <w:szCs w:val="24"/>
          <w:highlight w:val="none"/>
        </w:rPr>
      </w:pPr>
      <w:r>
        <w:rPr>
          <w:rFonts w:hint="eastAsia" w:ascii="宋体" w:hAnsi="宋体" w:cs="楷体"/>
          <w:sz w:val="24"/>
          <w:szCs w:val="24"/>
          <w:highlight w:val="none"/>
        </w:rPr>
        <w:t>发包人违约责任的承担方式和计算方法：</w:t>
      </w:r>
    </w:p>
    <w:p w14:paraId="48E39339">
      <w:pPr>
        <w:spacing w:line="540" w:lineRule="exact"/>
        <w:rPr>
          <w:rFonts w:ascii="宋体" w:hAnsi="宋体" w:cs="楷体"/>
          <w:sz w:val="24"/>
          <w:szCs w:val="24"/>
          <w:highlight w:val="none"/>
          <w:u w:val="single"/>
        </w:rPr>
      </w:pPr>
      <w:r>
        <w:rPr>
          <w:rFonts w:hint="eastAsia" w:ascii="宋体" w:hAnsi="宋体" w:cs="楷体"/>
          <w:sz w:val="24"/>
          <w:szCs w:val="24"/>
          <w:highlight w:val="none"/>
        </w:rPr>
        <w:t>（1）因发包人原因未能在计划开工日期前7天内下达开工通知的违约责任：</w:t>
      </w:r>
      <w:r>
        <w:rPr>
          <w:rFonts w:hint="eastAsia" w:ascii="宋体" w:hAnsi="宋体" w:cs="楷体"/>
          <w:sz w:val="24"/>
          <w:szCs w:val="24"/>
          <w:highlight w:val="none"/>
          <w:u w:val="single"/>
        </w:rPr>
        <w:t xml:space="preserve">        顺延工期            </w:t>
      </w:r>
      <w:r>
        <w:rPr>
          <w:rFonts w:hint="eastAsia" w:ascii="宋体" w:hAnsi="宋体" w:cs="楷体"/>
          <w:sz w:val="24"/>
          <w:szCs w:val="24"/>
          <w:highlight w:val="none"/>
        </w:rPr>
        <w:t>。</w:t>
      </w:r>
    </w:p>
    <w:p w14:paraId="2CDF23E4">
      <w:pPr>
        <w:spacing w:line="540" w:lineRule="exact"/>
        <w:rPr>
          <w:rFonts w:ascii="宋体" w:hAnsi="宋体" w:cs="楷体"/>
          <w:sz w:val="24"/>
          <w:szCs w:val="24"/>
          <w:highlight w:val="none"/>
        </w:rPr>
      </w:pPr>
      <w:r>
        <w:rPr>
          <w:rFonts w:hint="eastAsia" w:ascii="宋体" w:hAnsi="宋体" w:cs="楷体"/>
          <w:sz w:val="24"/>
          <w:szCs w:val="24"/>
          <w:highlight w:val="none"/>
        </w:rPr>
        <w:t>（2）因发包人原因未能按合同约定支付合同价款的违约责任：</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794FCA62">
      <w:pPr>
        <w:spacing w:line="540" w:lineRule="exact"/>
        <w:rPr>
          <w:rFonts w:ascii="宋体" w:hAnsi="宋体" w:cs="楷体"/>
          <w:sz w:val="24"/>
          <w:szCs w:val="24"/>
          <w:highlight w:val="none"/>
        </w:rPr>
      </w:pPr>
      <w:r>
        <w:rPr>
          <w:rFonts w:hint="eastAsia" w:ascii="宋体" w:hAnsi="宋体" w:cs="楷体"/>
          <w:sz w:val="24"/>
          <w:szCs w:val="24"/>
          <w:highlight w:val="none"/>
        </w:rPr>
        <w:t>（3）发包人违反第10.1款〔变更的范围〕第（2）项约定，自行实施被取消的工作或转由他人实施的违约责任：。</w:t>
      </w:r>
    </w:p>
    <w:p w14:paraId="5B6A2202">
      <w:pPr>
        <w:spacing w:line="540" w:lineRule="exact"/>
        <w:rPr>
          <w:rFonts w:ascii="宋体" w:hAnsi="宋体" w:cs="楷体"/>
          <w:sz w:val="24"/>
          <w:szCs w:val="24"/>
          <w:highlight w:val="none"/>
        </w:rPr>
      </w:pPr>
      <w:r>
        <w:rPr>
          <w:rFonts w:hint="eastAsia" w:ascii="宋体" w:hAnsi="宋体" w:cs="楷体"/>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9327D84">
      <w:pPr>
        <w:spacing w:line="540" w:lineRule="exact"/>
        <w:rPr>
          <w:rFonts w:ascii="宋体" w:hAnsi="宋体" w:cs="楷体"/>
          <w:sz w:val="24"/>
          <w:szCs w:val="24"/>
          <w:highlight w:val="none"/>
        </w:rPr>
      </w:pPr>
      <w:r>
        <w:rPr>
          <w:rFonts w:hint="eastAsia" w:ascii="宋体" w:hAnsi="宋体" w:cs="楷体"/>
          <w:sz w:val="24"/>
          <w:szCs w:val="24"/>
          <w:highlight w:val="none"/>
        </w:rPr>
        <w:t>（5）因发包人违反合同约定造成暂停施工的违约责任：</w:t>
      </w:r>
      <w:r>
        <w:rPr>
          <w:rFonts w:hint="eastAsia" w:ascii="宋体" w:hAnsi="宋体" w:cs="楷体"/>
          <w:sz w:val="24"/>
          <w:szCs w:val="24"/>
          <w:highlight w:val="none"/>
          <w:u w:val="single"/>
        </w:rPr>
        <w:t xml:space="preserve">  顺延工期     </w:t>
      </w:r>
      <w:r>
        <w:rPr>
          <w:rFonts w:hint="eastAsia" w:ascii="宋体" w:hAnsi="宋体" w:cs="楷体"/>
          <w:sz w:val="24"/>
          <w:szCs w:val="24"/>
          <w:highlight w:val="none"/>
        </w:rPr>
        <w:t>。</w:t>
      </w:r>
    </w:p>
    <w:p w14:paraId="52DD7648">
      <w:pPr>
        <w:spacing w:line="540" w:lineRule="exact"/>
        <w:rPr>
          <w:rFonts w:ascii="宋体" w:hAnsi="宋体" w:cs="楷体"/>
          <w:sz w:val="24"/>
          <w:szCs w:val="24"/>
          <w:highlight w:val="none"/>
        </w:rPr>
      </w:pPr>
      <w:r>
        <w:rPr>
          <w:rFonts w:hint="eastAsia" w:ascii="宋体" w:hAnsi="宋体" w:cs="楷体"/>
          <w:sz w:val="24"/>
          <w:szCs w:val="24"/>
          <w:highlight w:val="none"/>
        </w:rPr>
        <w:t>（6）发包人无正当理由没有在约定期限内发出复工指示，导致承包人无法复工的违约责任：</w:t>
      </w:r>
      <w:r>
        <w:rPr>
          <w:rFonts w:hint="eastAsia" w:ascii="宋体" w:hAnsi="宋体" w:cs="楷体"/>
          <w:sz w:val="24"/>
          <w:szCs w:val="24"/>
          <w:highlight w:val="none"/>
          <w:u w:val="single"/>
        </w:rPr>
        <w:t xml:space="preserve">    顺延工期                 </w:t>
      </w:r>
      <w:r>
        <w:rPr>
          <w:rFonts w:hint="eastAsia" w:ascii="宋体" w:hAnsi="宋体" w:cs="楷体"/>
          <w:sz w:val="24"/>
          <w:szCs w:val="24"/>
          <w:highlight w:val="none"/>
        </w:rPr>
        <w:t>。</w:t>
      </w:r>
    </w:p>
    <w:p w14:paraId="43B7CC32">
      <w:pPr>
        <w:spacing w:line="540" w:lineRule="exact"/>
        <w:rPr>
          <w:rFonts w:ascii="宋体" w:hAnsi="宋体" w:cs="楷体"/>
          <w:sz w:val="24"/>
          <w:szCs w:val="24"/>
          <w:highlight w:val="none"/>
        </w:rPr>
      </w:pPr>
      <w:r>
        <w:rPr>
          <w:rFonts w:hint="eastAsia" w:ascii="宋体" w:hAnsi="宋体" w:cs="楷体"/>
          <w:sz w:val="24"/>
          <w:szCs w:val="24"/>
          <w:highlight w:val="none"/>
        </w:rPr>
        <w:t>（7）其他：</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353106E7">
      <w:pPr>
        <w:spacing w:line="540" w:lineRule="exact"/>
        <w:rPr>
          <w:rFonts w:ascii="宋体" w:hAnsi="宋体" w:cs="楷体"/>
          <w:sz w:val="24"/>
          <w:szCs w:val="24"/>
          <w:highlight w:val="none"/>
        </w:rPr>
      </w:pPr>
      <w:r>
        <w:rPr>
          <w:rFonts w:hint="eastAsia" w:ascii="宋体" w:hAnsi="宋体" w:cs="楷体"/>
          <w:sz w:val="24"/>
          <w:szCs w:val="24"/>
          <w:highlight w:val="none"/>
        </w:rPr>
        <w:t>16.1.3 因发包人违约解除合同</w:t>
      </w:r>
    </w:p>
    <w:p w14:paraId="39878072">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承包人按16.1.1项〔发包人违约的情形〕约定暂停施工满</w:t>
      </w:r>
      <w:r>
        <w:rPr>
          <w:rFonts w:hint="eastAsia" w:ascii="宋体" w:hAnsi="宋体" w:cs="楷体"/>
          <w:sz w:val="24"/>
          <w:szCs w:val="24"/>
          <w:highlight w:val="none"/>
          <w:u w:val="single"/>
        </w:rPr>
        <w:t xml:space="preserve">  90  </w:t>
      </w:r>
      <w:r>
        <w:rPr>
          <w:rFonts w:hint="eastAsia" w:ascii="宋体" w:hAnsi="宋体" w:cs="楷体"/>
          <w:sz w:val="24"/>
          <w:szCs w:val="24"/>
          <w:highlight w:val="none"/>
        </w:rPr>
        <w:t>天后发包人仍不纠正其违约行为并致使合同目的不能实现的，承包人有权解除合同。</w:t>
      </w:r>
    </w:p>
    <w:p w14:paraId="5F06C6C0">
      <w:pPr>
        <w:spacing w:line="540" w:lineRule="exact"/>
        <w:rPr>
          <w:rFonts w:ascii="宋体" w:hAnsi="宋体" w:cs="楷体"/>
          <w:sz w:val="24"/>
          <w:szCs w:val="24"/>
          <w:highlight w:val="none"/>
        </w:rPr>
      </w:pPr>
      <w:r>
        <w:rPr>
          <w:rFonts w:hint="eastAsia" w:ascii="宋体" w:hAnsi="宋体" w:cs="楷体"/>
          <w:b/>
          <w:bCs/>
          <w:sz w:val="24"/>
          <w:szCs w:val="24"/>
          <w:highlight w:val="none"/>
        </w:rPr>
        <w:t>16.2</w:t>
      </w:r>
      <w:r>
        <w:rPr>
          <w:rFonts w:hint="eastAsia" w:ascii="宋体" w:hAnsi="宋体" w:cs="楷体"/>
          <w:sz w:val="24"/>
          <w:szCs w:val="24"/>
          <w:highlight w:val="none"/>
        </w:rPr>
        <w:t xml:space="preserve"> 承包人违约</w:t>
      </w:r>
    </w:p>
    <w:p w14:paraId="3906B93A">
      <w:pPr>
        <w:spacing w:line="540" w:lineRule="exact"/>
        <w:rPr>
          <w:rFonts w:ascii="宋体" w:hAnsi="宋体" w:cs="楷体"/>
          <w:sz w:val="24"/>
          <w:szCs w:val="24"/>
          <w:highlight w:val="none"/>
        </w:rPr>
      </w:pPr>
      <w:r>
        <w:rPr>
          <w:rFonts w:hint="eastAsia" w:ascii="宋体" w:hAnsi="宋体" w:cs="楷体"/>
          <w:sz w:val="24"/>
          <w:szCs w:val="24"/>
          <w:highlight w:val="none"/>
        </w:rPr>
        <w:t>16.2.1承包人违约的其他情形：</w:t>
      </w:r>
      <w:r>
        <w:rPr>
          <w:rFonts w:hint="eastAsia" w:ascii="宋体" w:hAnsi="宋体" w:cs="楷体"/>
          <w:sz w:val="24"/>
          <w:szCs w:val="24"/>
          <w:highlight w:val="none"/>
          <w:u w:val="single"/>
        </w:rPr>
        <w:t>乙方不按协议意向约定履行协议意向义务，甲方有权终止协议意向并不予退还意向履约保证金</w:t>
      </w:r>
      <w:r>
        <w:rPr>
          <w:rFonts w:hint="eastAsia" w:ascii="宋体" w:hAnsi="宋体" w:cs="楷体"/>
          <w:sz w:val="24"/>
          <w:szCs w:val="24"/>
          <w:highlight w:val="none"/>
        </w:rPr>
        <w:t>。</w:t>
      </w:r>
    </w:p>
    <w:p w14:paraId="6C95BF5A">
      <w:pPr>
        <w:spacing w:line="540" w:lineRule="exact"/>
        <w:rPr>
          <w:rFonts w:ascii="宋体" w:hAnsi="宋体" w:cs="楷体"/>
          <w:sz w:val="24"/>
          <w:szCs w:val="24"/>
          <w:highlight w:val="none"/>
        </w:rPr>
      </w:pPr>
      <w:r>
        <w:rPr>
          <w:rFonts w:hint="eastAsia" w:ascii="宋体" w:hAnsi="宋体" w:cs="楷体"/>
          <w:sz w:val="24"/>
          <w:szCs w:val="24"/>
          <w:highlight w:val="none"/>
        </w:rPr>
        <w:t xml:space="preserve">16.2.2承包人违约的责任 </w:t>
      </w:r>
    </w:p>
    <w:p w14:paraId="2CECAAB3">
      <w:pPr>
        <w:spacing w:line="540" w:lineRule="exact"/>
        <w:rPr>
          <w:rFonts w:ascii="宋体" w:hAnsi="宋体" w:cs="楷体"/>
          <w:sz w:val="24"/>
          <w:szCs w:val="24"/>
          <w:highlight w:val="none"/>
          <w:u w:val="single"/>
        </w:rPr>
      </w:pPr>
      <w:r>
        <w:rPr>
          <w:rFonts w:hint="eastAsia" w:ascii="宋体" w:hAnsi="宋体" w:cs="楷体"/>
          <w:sz w:val="24"/>
          <w:szCs w:val="24"/>
          <w:highlight w:val="none"/>
        </w:rPr>
        <w:t>承包人违约责任的承担方式和计算方法：</w:t>
      </w:r>
      <w:r>
        <w:rPr>
          <w:rFonts w:hint="eastAsia" w:ascii="宋体" w:hAnsi="宋体" w:cs="楷体"/>
          <w:sz w:val="24"/>
          <w:szCs w:val="24"/>
          <w:highlight w:val="none"/>
          <w:u w:val="single"/>
        </w:rPr>
        <w:t xml:space="preserve"> 按总工期每延误一天违约金一万元，违约金总额不得超过总价款的1%</w:t>
      </w:r>
      <w:r>
        <w:rPr>
          <w:rFonts w:hint="eastAsia" w:ascii="宋体" w:hAnsi="宋体" w:cs="楷体"/>
          <w:sz w:val="24"/>
          <w:szCs w:val="24"/>
          <w:highlight w:val="none"/>
        </w:rPr>
        <w:t>。</w:t>
      </w:r>
    </w:p>
    <w:p w14:paraId="7CA8A15E">
      <w:pPr>
        <w:spacing w:line="540" w:lineRule="exact"/>
        <w:rPr>
          <w:rFonts w:ascii="宋体" w:hAnsi="宋体" w:cs="楷体"/>
          <w:sz w:val="24"/>
          <w:szCs w:val="24"/>
          <w:highlight w:val="none"/>
        </w:rPr>
      </w:pPr>
      <w:r>
        <w:rPr>
          <w:rFonts w:hint="eastAsia" w:ascii="宋体" w:hAnsi="宋体" w:cs="楷体"/>
          <w:sz w:val="24"/>
          <w:szCs w:val="24"/>
          <w:highlight w:val="none"/>
        </w:rPr>
        <w:t>16.2.3 因承包人违约解除合同</w:t>
      </w:r>
    </w:p>
    <w:p w14:paraId="773B0965">
      <w:pPr>
        <w:spacing w:line="540" w:lineRule="exact"/>
        <w:rPr>
          <w:rFonts w:ascii="宋体" w:hAnsi="宋体" w:cs="楷体"/>
          <w:sz w:val="24"/>
          <w:szCs w:val="24"/>
          <w:highlight w:val="none"/>
        </w:rPr>
      </w:pPr>
      <w:r>
        <w:rPr>
          <w:rFonts w:hint="eastAsia" w:ascii="宋体" w:hAnsi="宋体" w:cs="楷体"/>
          <w:sz w:val="24"/>
          <w:szCs w:val="24"/>
          <w:highlight w:val="none"/>
        </w:rPr>
        <w:t>关于承包人违约解除合同的特别约定：</w:t>
      </w:r>
      <w:r>
        <w:rPr>
          <w:rFonts w:hint="eastAsia" w:ascii="宋体" w:hAnsi="宋体" w:cs="楷体"/>
          <w:sz w:val="24"/>
          <w:szCs w:val="24"/>
          <w:highlight w:val="none"/>
          <w:u w:val="single"/>
        </w:rPr>
        <w:t xml:space="preserve">  发包人在合同解除后按工程进度向承包人支付款项，同时扣除承包人的履约保证金  </w:t>
      </w:r>
      <w:r>
        <w:rPr>
          <w:rFonts w:hint="eastAsia" w:ascii="宋体" w:hAnsi="宋体" w:cs="楷体"/>
          <w:sz w:val="24"/>
          <w:szCs w:val="24"/>
          <w:highlight w:val="none"/>
        </w:rPr>
        <w:t>。</w:t>
      </w:r>
    </w:p>
    <w:p w14:paraId="4B8AC01D">
      <w:pPr>
        <w:spacing w:line="540" w:lineRule="exact"/>
        <w:rPr>
          <w:rFonts w:ascii="宋体" w:hAnsi="宋体" w:cs="楷体"/>
          <w:sz w:val="24"/>
          <w:szCs w:val="24"/>
          <w:highlight w:val="none"/>
        </w:rPr>
      </w:pPr>
      <w:r>
        <w:rPr>
          <w:rFonts w:hint="eastAsia" w:ascii="宋体" w:hAnsi="宋体" w:cs="楷体"/>
          <w:sz w:val="24"/>
          <w:szCs w:val="24"/>
          <w:highlight w:val="none"/>
        </w:rPr>
        <w:t>发包人继续使用承包人在施工现场的材料、设备、临时工程、承包人文件和由承包人或以其名义编制的其他文件的费用承担方式：</w:t>
      </w:r>
      <w:r>
        <w:rPr>
          <w:rFonts w:hint="eastAsia" w:ascii="宋体" w:hAnsi="宋体" w:cs="楷体"/>
          <w:sz w:val="24"/>
          <w:szCs w:val="24"/>
          <w:highlight w:val="none"/>
          <w:u w:val="single"/>
        </w:rPr>
        <w:t xml:space="preserve">  承包人承担  </w:t>
      </w:r>
      <w:r>
        <w:rPr>
          <w:rFonts w:hint="eastAsia" w:ascii="宋体" w:hAnsi="宋体" w:cs="楷体"/>
          <w:sz w:val="24"/>
          <w:szCs w:val="24"/>
          <w:highlight w:val="none"/>
        </w:rPr>
        <w:t>。</w:t>
      </w:r>
    </w:p>
    <w:p w14:paraId="31099D5E">
      <w:pPr>
        <w:keepNext/>
        <w:spacing w:line="540" w:lineRule="exact"/>
        <w:outlineLvl w:val="3"/>
        <w:rPr>
          <w:rFonts w:ascii="宋体" w:hAnsi="宋体" w:cs="楷体"/>
          <w:b/>
          <w:bCs/>
          <w:sz w:val="24"/>
          <w:szCs w:val="24"/>
          <w:highlight w:val="none"/>
        </w:rPr>
      </w:pPr>
      <w:bookmarkStart w:id="1011" w:name="_Toc351203649"/>
      <w:bookmarkEnd w:id="1011"/>
      <w:r>
        <w:rPr>
          <w:rFonts w:hint="eastAsia" w:ascii="宋体" w:hAnsi="宋体" w:cs="楷体"/>
          <w:b/>
          <w:bCs/>
          <w:sz w:val="24"/>
          <w:szCs w:val="24"/>
          <w:highlight w:val="none"/>
        </w:rPr>
        <w:t xml:space="preserve">17. 不可抗力 </w:t>
      </w:r>
    </w:p>
    <w:p w14:paraId="0DA32B4C">
      <w:pPr>
        <w:spacing w:line="540" w:lineRule="exact"/>
        <w:rPr>
          <w:rFonts w:ascii="宋体" w:hAnsi="宋体" w:cs="楷体"/>
          <w:sz w:val="24"/>
          <w:szCs w:val="24"/>
          <w:highlight w:val="none"/>
        </w:rPr>
      </w:pPr>
      <w:r>
        <w:rPr>
          <w:rFonts w:hint="eastAsia" w:ascii="宋体" w:hAnsi="宋体" w:cs="楷体"/>
          <w:b/>
          <w:bCs/>
          <w:sz w:val="24"/>
          <w:szCs w:val="24"/>
          <w:highlight w:val="none"/>
        </w:rPr>
        <w:t>17.1</w:t>
      </w:r>
      <w:r>
        <w:rPr>
          <w:rFonts w:hint="eastAsia" w:ascii="宋体" w:hAnsi="宋体" w:cs="楷体"/>
          <w:sz w:val="24"/>
          <w:szCs w:val="24"/>
          <w:highlight w:val="none"/>
        </w:rPr>
        <w:t xml:space="preserve"> 不可抗力的确认</w:t>
      </w:r>
    </w:p>
    <w:p w14:paraId="42A90EDC">
      <w:pPr>
        <w:spacing w:line="540" w:lineRule="exact"/>
        <w:rPr>
          <w:rFonts w:ascii="宋体" w:hAnsi="宋体" w:cs="楷体"/>
          <w:sz w:val="24"/>
          <w:szCs w:val="24"/>
          <w:highlight w:val="none"/>
          <w:u w:val="single"/>
        </w:rPr>
      </w:pPr>
      <w:r>
        <w:rPr>
          <w:rFonts w:hint="eastAsia" w:ascii="宋体" w:hAnsi="宋体" w:cs="楷体"/>
          <w:sz w:val="24"/>
          <w:szCs w:val="24"/>
          <w:highlight w:val="none"/>
        </w:rPr>
        <w:t>除通用合同条款约定的不可抗力事件之外，视为不可抗力的其他情形：</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10D614A7">
      <w:pPr>
        <w:spacing w:line="540" w:lineRule="exact"/>
        <w:rPr>
          <w:rFonts w:ascii="宋体" w:hAnsi="宋体" w:cs="楷体"/>
          <w:sz w:val="24"/>
          <w:szCs w:val="24"/>
          <w:highlight w:val="none"/>
        </w:rPr>
      </w:pPr>
      <w:r>
        <w:rPr>
          <w:rFonts w:hint="eastAsia" w:ascii="宋体" w:hAnsi="宋体" w:cs="楷体"/>
          <w:b/>
          <w:bCs/>
          <w:sz w:val="24"/>
          <w:szCs w:val="24"/>
          <w:highlight w:val="none"/>
        </w:rPr>
        <w:t>17.4</w:t>
      </w:r>
      <w:r>
        <w:rPr>
          <w:rFonts w:hint="eastAsia" w:ascii="宋体" w:hAnsi="宋体" w:cs="楷体"/>
          <w:sz w:val="24"/>
          <w:szCs w:val="24"/>
          <w:highlight w:val="none"/>
        </w:rPr>
        <w:t xml:space="preserve"> 因不可抗力解除合同</w:t>
      </w:r>
    </w:p>
    <w:p w14:paraId="18594DDC">
      <w:pPr>
        <w:spacing w:line="540" w:lineRule="exact"/>
        <w:rPr>
          <w:rFonts w:ascii="宋体" w:hAnsi="宋体" w:cs="楷体"/>
          <w:sz w:val="24"/>
          <w:szCs w:val="24"/>
          <w:highlight w:val="none"/>
        </w:rPr>
      </w:pPr>
      <w:r>
        <w:rPr>
          <w:rFonts w:hint="eastAsia" w:ascii="宋体" w:hAnsi="宋体" w:cs="楷体"/>
          <w:sz w:val="24"/>
          <w:szCs w:val="24"/>
          <w:highlight w:val="none"/>
        </w:rPr>
        <w:t>合同解除后，发包人应在商定或确定发包人应支付款项后</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天内完成款项的支付。</w:t>
      </w:r>
    </w:p>
    <w:p w14:paraId="0763B844">
      <w:pPr>
        <w:keepNext/>
        <w:spacing w:line="540" w:lineRule="exact"/>
        <w:outlineLvl w:val="3"/>
        <w:rPr>
          <w:rFonts w:ascii="宋体" w:hAnsi="宋体" w:cs="楷体"/>
          <w:b/>
          <w:bCs/>
          <w:sz w:val="24"/>
          <w:szCs w:val="24"/>
          <w:highlight w:val="none"/>
        </w:rPr>
      </w:pPr>
      <w:bookmarkStart w:id="1012" w:name="_Toc351203650"/>
      <w:bookmarkEnd w:id="1012"/>
      <w:r>
        <w:rPr>
          <w:rFonts w:hint="eastAsia" w:ascii="宋体" w:hAnsi="宋体" w:cs="楷体"/>
          <w:b/>
          <w:bCs/>
          <w:sz w:val="24"/>
          <w:szCs w:val="24"/>
          <w:highlight w:val="none"/>
        </w:rPr>
        <w:t>18. 保险</w:t>
      </w:r>
    </w:p>
    <w:p w14:paraId="1B7778EA">
      <w:pPr>
        <w:spacing w:line="540" w:lineRule="exact"/>
        <w:rPr>
          <w:rFonts w:ascii="宋体" w:hAnsi="宋体" w:cs="楷体"/>
          <w:sz w:val="24"/>
          <w:szCs w:val="24"/>
          <w:highlight w:val="none"/>
        </w:rPr>
      </w:pPr>
      <w:r>
        <w:rPr>
          <w:rFonts w:hint="eastAsia" w:ascii="宋体" w:hAnsi="宋体" w:cs="楷体"/>
          <w:b/>
          <w:bCs/>
          <w:sz w:val="24"/>
          <w:szCs w:val="24"/>
          <w:highlight w:val="none"/>
        </w:rPr>
        <w:t>18.1</w:t>
      </w:r>
      <w:r>
        <w:rPr>
          <w:rFonts w:hint="eastAsia" w:ascii="宋体" w:hAnsi="宋体" w:cs="楷体"/>
          <w:sz w:val="24"/>
          <w:szCs w:val="24"/>
          <w:highlight w:val="none"/>
        </w:rPr>
        <w:t xml:space="preserve"> 工程保险</w:t>
      </w:r>
    </w:p>
    <w:p w14:paraId="60556B4D">
      <w:pPr>
        <w:spacing w:line="540" w:lineRule="exact"/>
        <w:rPr>
          <w:rFonts w:ascii="宋体" w:hAnsi="宋体" w:cs="楷体"/>
          <w:sz w:val="24"/>
          <w:szCs w:val="24"/>
          <w:highlight w:val="none"/>
        </w:rPr>
      </w:pPr>
      <w:r>
        <w:rPr>
          <w:rFonts w:hint="eastAsia" w:ascii="宋体" w:hAnsi="宋体" w:cs="楷体"/>
          <w:sz w:val="24"/>
          <w:szCs w:val="24"/>
          <w:highlight w:val="none"/>
        </w:rPr>
        <w:t>关于工程保险的特别约定：</w:t>
      </w:r>
      <w:r>
        <w:rPr>
          <w:rFonts w:hint="eastAsia" w:ascii="宋体" w:hAnsi="宋体" w:cs="楷体"/>
          <w:sz w:val="24"/>
          <w:szCs w:val="24"/>
          <w:highlight w:val="none"/>
          <w:u w:val="single"/>
        </w:rPr>
        <w:t xml:space="preserve">        无                          </w:t>
      </w:r>
      <w:r>
        <w:rPr>
          <w:rFonts w:hint="eastAsia" w:ascii="宋体" w:hAnsi="宋体" w:cs="楷体"/>
          <w:sz w:val="24"/>
          <w:szCs w:val="24"/>
          <w:highlight w:val="none"/>
        </w:rPr>
        <w:t>。</w:t>
      </w:r>
    </w:p>
    <w:p w14:paraId="07001287">
      <w:pPr>
        <w:spacing w:line="540" w:lineRule="exact"/>
        <w:rPr>
          <w:rFonts w:ascii="宋体" w:hAnsi="宋体" w:cs="楷体"/>
          <w:sz w:val="24"/>
          <w:szCs w:val="24"/>
          <w:highlight w:val="none"/>
        </w:rPr>
      </w:pPr>
      <w:r>
        <w:rPr>
          <w:rFonts w:hint="eastAsia" w:ascii="宋体" w:hAnsi="宋体" w:cs="楷体"/>
          <w:b/>
          <w:bCs/>
          <w:sz w:val="24"/>
          <w:szCs w:val="24"/>
          <w:highlight w:val="none"/>
        </w:rPr>
        <w:t>18.3</w:t>
      </w:r>
      <w:r>
        <w:rPr>
          <w:rFonts w:hint="eastAsia" w:ascii="宋体" w:hAnsi="宋体" w:cs="楷体"/>
          <w:sz w:val="24"/>
          <w:szCs w:val="24"/>
          <w:highlight w:val="none"/>
        </w:rPr>
        <w:t xml:space="preserve"> 其他保险</w:t>
      </w:r>
    </w:p>
    <w:p w14:paraId="3C921820">
      <w:pPr>
        <w:spacing w:line="540" w:lineRule="exact"/>
        <w:rPr>
          <w:rFonts w:ascii="宋体" w:hAnsi="宋体" w:cs="楷体"/>
          <w:sz w:val="24"/>
          <w:szCs w:val="24"/>
          <w:highlight w:val="none"/>
        </w:rPr>
      </w:pPr>
      <w:r>
        <w:rPr>
          <w:rFonts w:hint="eastAsia" w:ascii="宋体" w:hAnsi="宋体" w:cs="楷体"/>
          <w:sz w:val="24"/>
          <w:szCs w:val="24"/>
          <w:highlight w:val="none"/>
        </w:rPr>
        <w:t>关于其他保险的约定：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2886C555">
      <w:pPr>
        <w:spacing w:line="540" w:lineRule="exact"/>
        <w:rPr>
          <w:rFonts w:ascii="宋体" w:hAnsi="宋体" w:cs="楷体"/>
          <w:sz w:val="24"/>
          <w:szCs w:val="24"/>
          <w:highlight w:val="none"/>
        </w:rPr>
      </w:pPr>
      <w:r>
        <w:rPr>
          <w:rFonts w:hint="eastAsia" w:ascii="宋体" w:hAnsi="宋体" w:cs="楷体"/>
          <w:sz w:val="24"/>
          <w:szCs w:val="24"/>
          <w:highlight w:val="none"/>
        </w:rPr>
        <w:t>承包人是否应为其施工设备等办理财产保险：</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3D6775A1">
      <w:pPr>
        <w:spacing w:line="540" w:lineRule="exact"/>
        <w:rPr>
          <w:rFonts w:ascii="宋体" w:hAnsi="宋体" w:cs="楷体"/>
          <w:sz w:val="24"/>
          <w:szCs w:val="24"/>
          <w:highlight w:val="none"/>
        </w:rPr>
      </w:pPr>
      <w:r>
        <w:rPr>
          <w:rFonts w:hint="eastAsia" w:ascii="宋体" w:hAnsi="宋体" w:cs="楷体"/>
          <w:b/>
          <w:bCs/>
          <w:sz w:val="24"/>
          <w:szCs w:val="24"/>
          <w:highlight w:val="none"/>
        </w:rPr>
        <w:t>18.7</w:t>
      </w:r>
      <w:r>
        <w:rPr>
          <w:rFonts w:hint="eastAsia" w:ascii="宋体" w:hAnsi="宋体" w:cs="楷体"/>
          <w:sz w:val="24"/>
          <w:szCs w:val="24"/>
          <w:highlight w:val="none"/>
        </w:rPr>
        <w:t xml:space="preserve"> 通知义务</w:t>
      </w:r>
    </w:p>
    <w:p w14:paraId="1EFC5632">
      <w:pPr>
        <w:spacing w:line="540" w:lineRule="exact"/>
        <w:rPr>
          <w:rFonts w:ascii="宋体" w:hAnsi="宋体" w:cs="楷体"/>
          <w:sz w:val="24"/>
          <w:szCs w:val="24"/>
          <w:highlight w:val="none"/>
        </w:rPr>
      </w:pPr>
      <w:r>
        <w:rPr>
          <w:rFonts w:hint="eastAsia" w:ascii="宋体" w:hAnsi="宋体" w:cs="楷体"/>
          <w:sz w:val="24"/>
          <w:szCs w:val="24"/>
          <w:highlight w:val="none"/>
        </w:rPr>
        <w:t>关于变更保险合同时的通知义务的约定：</w:t>
      </w:r>
      <w:r>
        <w:rPr>
          <w:rFonts w:hint="eastAsia" w:ascii="宋体" w:hAnsi="宋体" w:cs="楷体"/>
          <w:sz w:val="24"/>
          <w:szCs w:val="24"/>
          <w:highlight w:val="none"/>
          <w:u w:val="single"/>
        </w:rPr>
        <w:t xml:space="preserve">      按通用条款执行             </w:t>
      </w:r>
      <w:r>
        <w:rPr>
          <w:rFonts w:hint="eastAsia" w:ascii="宋体" w:hAnsi="宋体" w:cs="楷体"/>
          <w:sz w:val="24"/>
          <w:szCs w:val="24"/>
          <w:highlight w:val="none"/>
        </w:rPr>
        <w:t>。</w:t>
      </w:r>
    </w:p>
    <w:p w14:paraId="58FE09FE">
      <w:pPr>
        <w:keepNext/>
        <w:spacing w:line="540" w:lineRule="exact"/>
        <w:outlineLvl w:val="3"/>
        <w:rPr>
          <w:rFonts w:ascii="宋体" w:hAnsi="宋体" w:cs="楷体"/>
          <w:b/>
          <w:bCs/>
          <w:sz w:val="24"/>
          <w:szCs w:val="24"/>
          <w:highlight w:val="none"/>
        </w:rPr>
      </w:pPr>
      <w:bookmarkStart w:id="1013" w:name="_Toc351203651"/>
      <w:bookmarkEnd w:id="1013"/>
      <w:r>
        <w:rPr>
          <w:rFonts w:hint="eastAsia" w:ascii="宋体" w:hAnsi="宋体" w:cs="楷体"/>
          <w:b/>
          <w:bCs/>
          <w:sz w:val="24"/>
          <w:szCs w:val="24"/>
          <w:highlight w:val="none"/>
        </w:rPr>
        <w:t>20. 争议解决</w:t>
      </w:r>
    </w:p>
    <w:p w14:paraId="775683DF">
      <w:pPr>
        <w:spacing w:line="540" w:lineRule="exact"/>
        <w:rPr>
          <w:rFonts w:ascii="宋体" w:hAnsi="宋体" w:cs="楷体"/>
          <w:sz w:val="24"/>
          <w:szCs w:val="24"/>
          <w:highlight w:val="none"/>
        </w:rPr>
      </w:pPr>
      <w:r>
        <w:rPr>
          <w:rFonts w:hint="eastAsia" w:ascii="宋体" w:hAnsi="宋体" w:cs="楷体"/>
          <w:b/>
          <w:bCs/>
          <w:sz w:val="24"/>
          <w:szCs w:val="24"/>
          <w:highlight w:val="none"/>
        </w:rPr>
        <w:t>20.3</w:t>
      </w:r>
      <w:r>
        <w:rPr>
          <w:rFonts w:hint="eastAsia" w:ascii="宋体" w:hAnsi="宋体" w:cs="楷体"/>
          <w:sz w:val="24"/>
          <w:szCs w:val="24"/>
          <w:highlight w:val="none"/>
        </w:rPr>
        <w:t xml:space="preserve"> 争议评审</w:t>
      </w:r>
    </w:p>
    <w:p w14:paraId="61AA4CD8">
      <w:pPr>
        <w:spacing w:line="540" w:lineRule="exact"/>
        <w:rPr>
          <w:rFonts w:ascii="宋体" w:hAnsi="宋体" w:cs="楷体"/>
          <w:sz w:val="24"/>
          <w:szCs w:val="24"/>
          <w:highlight w:val="none"/>
        </w:rPr>
      </w:pPr>
      <w:r>
        <w:rPr>
          <w:rFonts w:hint="eastAsia" w:ascii="宋体" w:hAnsi="宋体" w:cs="楷体"/>
          <w:sz w:val="24"/>
          <w:szCs w:val="24"/>
          <w:highlight w:val="none"/>
        </w:rPr>
        <w:t>合同当事人是否同意将工程争议提交争议评审小组决定：。</w:t>
      </w:r>
    </w:p>
    <w:p w14:paraId="1550A829">
      <w:pPr>
        <w:spacing w:line="540" w:lineRule="exact"/>
        <w:rPr>
          <w:rFonts w:ascii="宋体" w:hAnsi="宋体" w:cs="楷体"/>
          <w:sz w:val="24"/>
          <w:szCs w:val="24"/>
          <w:highlight w:val="none"/>
        </w:rPr>
      </w:pPr>
      <w:r>
        <w:rPr>
          <w:rFonts w:hint="eastAsia" w:ascii="宋体" w:hAnsi="宋体" w:cs="楷体"/>
          <w:sz w:val="24"/>
          <w:szCs w:val="24"/>
          <w:highlight w:val="none"/>
        </w:rPr>
        <w:t>20.3.1 争议评审小组的确定</w:t>
      </w:r>
    </w:p>
    <w:p w14:paraId="6E05D5F3">
      <w:pPr>
        <w:spacing w:line="540" w:lineRule="exact"/>
        <w:rPr>
          <w:rFonts w:ascii="宋体" w:hAnsi="宋体" w:cs="楷体"/>
          <w:sz w:val="24"/>
          <w:szCs w:val="24"/>
          <w:highlight w:val="none"/>
          <w:u w:val="single"/>
        </w:rPr>
      </w:pPr>
      <w:r>
        <w:rPr>
          <w:rFonts w:hint="eastAsia" w:ascii="宋体" w:hAnsi="宋体" w:cs="楷体"/>
          <w:sz w:val="24"/>
          <w:szCs w:val="24"/>
          <w:highlight w:val="none"/>
        </w:rPr>
        <w:t>争议评审小组成员的确定：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53D11397">
      <w:pPr>
        <w:spacing w:line="540" w:lineRule="exact"/>
        <w:rPr>
          <w:rFonts w:ascii="宋体" w:hAnsi="宋体" w:cs="楷体"/>
          <w:sz w:val="24"/>
          <w:szCs w:val="24"/>
          <w:highlight w:val="none"/>
        </w:rPr>
      </w:pPr>
      <w:r>
        <w:rPr>
          <w:rFonts w:hint="eastAsia" w:ascii="宋体" w:hAnsi="宋体" w:cs="楷体"/>
          <w:sz w:val="24"/>
          <w:szCs w:val="24"/>
          <w:highlight w:val="none"/>
        </w:rPr>
        <w:t>选定争议评审员的期限：</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74B2B178">
      <w:pPr>
        <w:spacing w:line="540" w:lineRule="exact"/>
        <w:rPr>
          <w:rFonts w:ascii="宋体" w:hAnsi="宋体" w:cs="楷体"/>
          <w:sz w:val="24"/>
          <w:szCs w:val="24"/>
          <w:highlight w:val="none"/>
        </w:rPr>
      </w:pPr>
      <w:r>
        <w:rPr>
          <w:rFonts w:hint="eastAsia" w:ascii="宋体" w:hAnsi="宋体" w:cs="楷体"/>
          <w:sz w:val="24"/>
          <w:szCs w:val="24"/>
          <w:highlight w:val="none"/>
        </w:rPr>
        <w:t>争议评审小组成员的报酬承担方式：</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6E9CB7BC">
      <w:pPr>
        <w:spacing w:line="540" w:lineRule="exact"/>
        <w:rPr>
          <w:rFonts w:ascii="宋体" w:hAnsi="宋体" w:cs="楷体"/>
          <w:sz w:val="24"/>
          <w:szCs w:val="24"/>
          <w:highlight w:val="none"/>
        </w:rPr>
      </w:pPr>
      <w:r>
        <w:rPr>
          <w:rFonts w:hint="eastAsia" w:ascii="宋体" w:hAnsi="宋体" w:cs="楷体"/>
          <w:sz w:val="24"/>
          <w:szCs w:val="24"/>
          <w:highlight w:val="none"/>
        </w:rPr>
        <w:t>其他事项的约定：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53EB76A2">
      <w:pPr>
        <w:autoSpaceDE w:val="0"/>
        <w:autoSpaceDN w:val="0"/>
        <w:spacing w:line="540" w:lineRule="exact"/>
        <w:rPr>
          <w:rFonts w:ascii="宋体" w:hAnsi="宋体" w:cs="楷体"/>
          <w:sz w:val="24"/>
          <w:szCs w:val="24"/>
          <w:highlight w:val="none"/>
        </w:rPr>
      </w:pPr>
      <w:r>
        <w:rPr>
          <w:rFonts w:hint="eastAsia" w:ascii="宋体" w:hAnsi="宋体" w:cs="楷体"/>
          <w:sz w:val="24"/>
          <w:szCs w:val="24"/>
          <w:highlight w:val="none"/>
        </w:rPr>
        <w:t>20.3.2 争议评审小组的决定</w:t>
      </w:r>
    </w:p>
    <w:p w14:paraId="7C1D9CA3">
      <w:pPr>
        <w:spacing w:line="540" w:lineRule="exact"/>
        <w:rPr>
          <w:rFonts w:ascii="宋体" w:hAnsi="宋体" w:cs="楷体"/>
          <w:sz w:val="24"/>
          <w:szCs w:val="24"/>
          <w:highlight w:val="none"/>
        </w:rPr>
      </w:pPr>
      <w:r>
        <w:rPr>
          <w:rFonts w:hint="eastAsia" w:ascii="宋体" w:hAnsi="宋体" w:cs="楷体"/>
          <w:sz w:val="24"/>
          <w:szCs w:val="24"/>
          <w:highlight w:val="none"/>
        </w:rPr>
        <w:t>合同当事人关于本项的约定：</w:t>
      </w:r>
      <w:r>
        <w:rPr>
          <w:rFonts w:hint="eastAsia" w:ascii="宋体" w:hAnsi="宋体" w:cs="楷体"/>
          <w:sz w:val="24"/>
          <w:szCs w:val="24"/>
          <w:highlight w:val="none"/>
          <w:u w:val="single"/>
        </w:rPr>
        <w:t xml:space="preserve">                    /       </w:t>
      </w:r>
      <w:r>
        <w:rPr>
          <w:rFonts w:hint="eastAsia" w:ascii="宋体" w:hAnsi="宋体" w:cs="楷体"/>
          <w:sz w:val="24"/>
          <w:szCs w:val="24"/>
          <w:highlight w:val="none"/>
        </w:rPr>
        <w:t>。</w:t>
      </w:r>
    </w:p>
    <w:p w14:paraId="635B2580">
      <w:pPr>
        <w:spacing w:line="540" w:lineRule="exact"/>
        <w:rPr>
          <w:rFonts w:ascii="宋体" w:hAnsi="宋体" w:cs="楷体"/>
          <w:sz w:val="24"/>
          <w:szCs w:val="24"/>
          <w:highlight w:val="none"/>
        </w:rPr>
      </w:pPr>
      <w:r>
        <w:rPr>
          <w:rFonts w:hint="eastAsia" w:ascii="宋体" w:hAnsi="宋体" w:cs="楷体"/>
          <w:b/>
          <w:bCs/>
          <w:sz w:val="24"/>
          <w:szCs w:val="24"/>
          <w:highlight w:val="none"/>
        </w:rPr>
        <w:t>20.4</w:t>
      </w:r>
      <w:r>
        <w:rPr>
          <w:rFonts w:hint="eastAsia" w:ascii="宋体" w:hAnsi="宋体" w:cs="楷体"/>
          <w:sz w:val="24"/>
          <w:szCs w:val="24"/>
          <w:highlight w:val="none"/>
        </w:rPr>
        <w:t>仲裁或诉讼</w:t>
      </w:r>
    </w:p>
    <w:p w14:paraId="09117B11">
      <w:pPr>
        <w:spacing w:line="540" w:lineRule="exact"/>
        <w:rPr>
          <w:rFonts w:hint="eastAsia" w:ascii="宋体" w:hAnsi="宋体" w:cs="楷体"/>
          <w:sz w:val="24"/>
          <w:szCs w:val="24"/>
          <w:highlight w:val="none"/>
        </w:rPr>
      </w:pPr>
      <w:r>
        <w:rPr>
          <w:rFonts w:hint="eastAsia" w:ascii="宋体" w:hAnsi="宋体" w:cs="楷体"/>
          <w:sz w:val="24"/>
          <w:szCs w:val="24"/>
          <w:highlight w:val="none"/>
        </w:rPr>
        <w:t>因合同及合同有关事项发生的争议，向仲裁委员会申请仲裁；</w:t>
      </w:r>
    </w:p>
    <w:p w14:paraId="46D42A1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rPr>
      </w:pPr>
    </w:p>
    <w:p w14:paraId="00C4537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rPr>
      </w:pPr>
    </w:p>
    <w:p w14:paraId="3DDDC8E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rPr>
      </w:pPr>
    </w:p>
    <w:p w14:paraId="2DB4297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rPr>
      </w:pPr>
    </w:p>
    <w:p w14:paraId="62736F5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lang w:eastAsia="zh-CN"/>
        </w:rPr>
      </w:pPr>
    </w:p>
    <w:p w14:paraId="118BE1B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lang w:eastAsia="zh-CN"/>
        </w:rPr>
      </w:pPr>
    </w:p>
    <w:p w14:paraId="3271C77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lang w:eastAsia="zh-CN"/>
        </w:rPr>
      </w:pPr>
    </w:p>
    <w:p w14:paraId="02DC187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工程质量保修书</w:t>
      </w:r>
    </w:p>
    <w:p w14:paraId="0B8087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5B4FF3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承包人（全称）：</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p>
    <w:p w14:paraId="4B73A0C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p>
    <w:p w14:paraId="0843C26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发包人和承包人根据《中华人民共和国建筑法》和《建设工程质量管理条例》，经协商一致就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（工程全称）签订工程质量保修书。</w:t>
      </w:r>
    </w:p>
    <w:p w14:paraId="4A103C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w:t>
      </w:r>
      <w:bookmarkStart w:id="1014" w:name="_Toc26748"/>
      <w:bookmarkStart w:id="1015" w:name="_Toc30287"/>
      <w:bookmarkStart w:id="1016" w:name="_Toc20323"/>
      <w:bookmarkStart w:id="1017" w:name="_Toc502158611"/>
      <w:bookmarkStart w:id="1018" w:name="_Toc499291210"/>
      <w:r>
        <w:rPr>
          <w:rFonts w:hint="eastAsia" w:ascii="宋体" w:hAnsi="宋体" w:eastAsia="宋体" w:cs="宋体"/>
          <w:sz w:val="24"/>
          <w:szCs w:val="24"/>
          <w:highlight w:val="none"/>
        </w:rPr>
        <w:t>一、工程质量保修范围和内容</w:t>
      </w:r>
      <w:bookmarkEnd w:id="1014"/>
      <w:bookmarkEnd w:id="1015"/>
      <w:bookmarkEnd w:id="1016"/>
      <w:bookmarkEnd w:id="1017"/>
      <w:bookmarkEnd w:id="1018"/>
    </w:p>
    <w:p w14:paraId="7FE7D9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承包人在质量保修期内，按照有关法律规定和合同约定，承担工程质量保修责任。</w:t>
      </w:r>
    </w:p>
    <w:p w14:paraId="56FBFBC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质量保修范围包括地基基础工程、主体结构工程，屋面防水工程、有防水要求的卫生间、房间和外墙面的防渗漏，电气管线、给排水管道、设备安装和装修工程等。</w:t>
      </w:r>
    </w:p>
    <w:p w14:paraId="5910453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b/>
          <w:sz w:val="24"/>
          <w:szCs w:val="24"/>
          <w:highlight w:val="none"/>
        </w:rPr>
        <w:t>　　</w:t>
      </w:r>
      <w:bookmarkStart w:id="1019" w:name="_Toc502158612"/>
      <w:bookmarkStart w:id="1020" w:name="_Toc499291211"/>
      <w:bookmarkStart w:id="1021" w:name="_Toc10186"/>
      <w:bookmarkStart w:id="1022" w:name="_Toc22233"/>
      <w:bookmarkStart w:id="1023" w:name="_Toc27771"/>
      <w:r>
        <w:rPr>
          <w:rFonts w:hint="eastAsia" w:ascii="宋体" w:hAnsi="宋体" w:eastAsia="宋体" w:cs="宋体"/>
          <w:sz w:val="24"/>
          <w:szCs w:val="24"/>
          <w:highlight w:val="none"/>
        </w:rPr>
        <w:t>二、质量保修期</w:t>
      </w:r>
      <w:bookmarkEnd w:id="1019"/>
      <w:bookmarkEnd w:id="1020"/>
      <w:bookmarkEnd w:id="1021"/>
      <w:bookmarkEnd w:id="1022"/>
      <w:bookmarkEnd w:id="1023"/>
    </w:p>
    <w:p w14:paraId="52119FE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根据《建设工程质量管理条例》及有关规定，工程的质量保修期如下：</w:t>
      </w:r>
    </w:p>
    <w:p w14:paraId="197554D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1．地基基础工程和主体结构工程为设计文件规定的工程合理使用年限</w:t>
      </w:r>
      <w:r>
        <w:rPr>
          <w:rFonts w:hint="eastAsia" w:ascii="宋体" w:hAnsi="宋体" w:eastAsia="宋体" w:cs="宋体"/>
          <w:sz w:val="24"/>
          <w:szCs w:val="24"/>
          <w:highlight w:val="none"/>
          <w:lang w:eastAsia="zh-CN"/>
        </w:rPr>
        <w:t>。</w:t>
      </w:r>
    </w:p>
    <w:p w14:paraId="40F98D2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2．屋面防水工程、有防水要求的卫生间、房间和外墙面的防渗为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p>
    <w:p w14:paraId="564014E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3．装修工程为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p>
    <w:p w14:paraId="3822411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4．电气管线、给排水管道、设备安装工程为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p>
    <w:p w14:paraId="5CE5184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5．给排水设施、道路等配套工程为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p>
    <w:p w14:paraId="5578CD8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6．其他项目保修期限约定如下：</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856ECE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质量保修期自工程竣工验收合格之日起计算。</w:t>
      </w:r>
    </w:p>
    <w:p w14:paraId="0CB4FAA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bookmarkStart w:id="1024" w:name="_Toc499291212"/>
      <w:bookmarkStart w:id="1025" w:name="_Toc20619"/>
      <w:bookmarkStart w:id="1026" w:name="_Toc502158613"/>
      <w:bookmarkStart w:id="1027" w:name="_Toc2149"/>
      <w:bookmarkStart w:id="1028" w:name="_Toc24956"/>
      <w:r>
        <w:rPr>
          <w:rFonts w:hint="eastAsia" w:ascii="宋体" w:hAnsi="宋体" w:eastAsia="宋体" w:cs="宋体"/>
          <w:sz w:val="24"/>
          <w:szCs w:val="24"/>
          <w:highlight w:val="none"/>
        </w:rPr>
        <w:t>三、缺陷责任期</w:t>
      </w:r>
      <w:bookmarkEnd w:id="1024"/>
      <w:bookmarkEnd w:id="1025"/>
      <w:bookmarkEnd w:id="1026"/>
      <w:bookmarkEnd w:id="1027"/>
      <w:bookmarkEnd w:id="1028"/>
    </w:p>
    <w:p w14:paraId="5F0CA14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工程缺陷责任期为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个月，缺陷责任期自工程通过竣工验收之日起计算。</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工程先于全部工程进行验收，单位工程缺陷责任期自单位工程验收合格之日起算。</w:t>
      </w:r>
    </w:p>
    <w:p w14:paraId="4F4DB2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缺陷责任期终止后，发包人应退还剩余的质量保证金。</w:t>
      </w:r>
    </w:p>
    <w:p w14:paraId="2CF8611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1029" w:name="_Toc19010"/>
      <w:bookmarkStart w:id="1030" w:name="_Toc388"/>
      <w:bookmarkStart w:id="1031" w:name="_Toc502158614"/>
      <w:bookmarkStart w:id="1032" w:name="_Toc28215"/>
      <w:bookmarkStart w:id="1033" w:name="_Toc499291213"/>
      <w:r>
        <w:rPr>
          <w:rFonts w:hint="eastAsia" w:ascii="宋体" w:hAnsi="宋体" w:eastAsia="宋体" w:cs="宋体"/>
          <w:sz w:val="24"/>
          <w:szCs w:val="24"/>
          <w:highlight w:val="none"/>
        </w:rPr>
        <w:t>四、质量保修责任</w:t>
      </w:r>
      <w:bookmarkEnd w:id="1029"/>
      <w:bookmarkEnd w:id="1030"/>
      <w:bookmarkEnd w:id="1031"/>
      <w:bookmarkEnd w:id="1032"/>
      <w:bookmarkEnd w:id="1033"/>
    </w:p>
    <w:p w14:paraId="73B6B3D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91" w:firstLineChars="205"/>
        <w:rPr>
          <w:rFonts w:hint="eastAsia" w:ascii="宋体" w:hAnsi="宋体" w:eastAsia="宋体" w:cs="宋体"/>
          <w:sz w:val="24"/>
          <w:szCs w:val="24"/>
          <w:highlight w:val="none"/>
        </w:rPr>
      </w:pPr>
      <w:r>
        <w:rPr>
          <w:rFonts w:hint="eastAsia" w:ascii="宋体" w:hAnsi="宋体" w:eastAsia="宋体" w:cs="宋体"/>
          <w:sz w:val="24"/>
          <w:szCs w:val="24"/>
          <w:highlight w:val="none"/>
        </w:rPr>
        <w:t>1．属于保修范围、内容的项目，承包人应当在接到保修通知之日起7天内派人保修。承包人不在约定期限内派人保修的，发包人可以委托他人修理。</w:t>
      </w:r>
    </w:p>
    <w:p w14:paraId="3781755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91" w:firstLineChars="205"/>
        <w:rPr>
          <w:rFonts w:hint="eastAsia" w:ascii="宋体" w:hAnsi="宋体" w:eastAsia="宋体" w:cs="宋体"/>
          <w:sz w:val="24"/>
          <w:szCs w:val="24"/>
          <w:highlight w:val="none"/>
        </w:rPr>
      </w:pPr>
      <w:r>
        <w:rPr>
          <w:rFonts w:hint="eastAsia" w:ascii="宋体" w:hAnsi="宋体" w:eastAsia="宋体" w:cs="宋体"/>
          <w:sz w:val="24"/>
          <w:szCs w:val="24"/>
          <w:highlight w:val="none"/>
        </w:rPr>
        <w:t>2．发生紧急事故需抢修的，承包人在接到事故通知后，应当立即到达事故现场抢修。</w:t>
      </w:r>
    </w:p>
    <w:p w14:paraId="57CACA0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91" w:firstLineChars="205"/>
        <w:rPr>
          <w:rFonts w:hint="eastAsia" w:ascii="宋体" w:hAnsi="宋体" w:eastAsia="宋体" w:cs="宋体"/>
          <w:sz w:val="24"/>
          <w:szCs w:val="24"/>
          <w:highlight w:val="none"/>
        </w:rPr>
      </w:pPr>
      <w:r>
        <w:rPr>
          <w:rFonts w:hint="eastAsia" w:ascii="宋体" w:hAnsi="宋体" w:eastAsia="宋体" w:cs="宋体"/>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FE9E70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4．质量保修完成后，由发包人组织验收。</w:t>
      </w:r>
    </w:p>
    <w:p w14:paraId="378241E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w:t>
      </w:r>
      <w:bookmarkStart w:id="1034" w:name="_Toc499291214"/>
      <w:bookmarkStart w:id="1035" w:name="_Toc24138"/>
      <w:bookmarkStart w:id="1036" w:name="_Toc7902"/>
      <w:bookmarkStart w:id="1037" w:name="_Toc13901"/>
      <w:bookmarkStart w:id="1038" w:name="_Toc502158615"/>
      <w:r>
        <w:rPr>
          <w:rFonts w:hint="eastAsia" w:ascii="宋体" w:hAnsi="宋体" w:eastAsia="宋体" w:cs="宋体"/>
          <w:sz w:val="24"/>
          <w:szCs w:val="24"/>
          <w:highlight w:val="none"/>
        </w:rPr>
        <w:t>五、保修费用</w:t>
      </w:r>
      <w:bookmarkEnd w:id="1034"/>
      <w:bookmarkEnd w:id="1035"/>
      <w:bookmarkEnd w:id="1036"/>
      <w:bookmarkEnd w:id="1037"/>
      <w:bookmarkEnd w:id="1038"/>
    </w:p>
    <w:p w14:paraId="6009C6E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保修费用由造成质量缺陷的责任方承担。</w:t>
      </w:r>
    </w:p>
    <w:p w14:paraId="6EA4037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bookmarkStart w:id="1039" w:name="_Toc17910"/>
      <w:bookmarkStart w:id="1040" w:name="_Toc502158616"/>
      <w:bookmarkStart w:id="1041" w:name="_Toc12824"/>
      <w:bookmarkStart w:id="1042" w:name="_Toc25805"/>
      <w:bookmarkStart w:id="1043" w:name="_Toc499291215"/>
      <w:r>
        <w:rPr>
          <w:rFonts w:hint="eastAsia" w:ascii="宋体" w:hAnsi="宋体" w:eastAsia="宋体" w:cs="宋体"/>
          <w:b/>
          <w:sz w:val="24"/>
          <w:szCs w:val="24"/>
          <w:highlight w:val="none"/>
        </w:rPr>
        <w:t xml:space="preserve">    </w:t>
      </w:r>
      <w:r>
        <w:rPr>
          <w:rFonts w:hint="eastAsia" w:ascii="宋体" w:hAnsi="宋体" w:eastAsia="宋体" w:cs="宋体"/>
          <w:bCs/>
          <w:sz w:val="24"/>
          <w:szCs w:val="24"/>
          <w:highlight w:val="none"/>
        </w:rPr>
        <w:t>六</w:t>
      </w:r>
      <w:r>
        <w:rPr>
          <w:rFonts w:hint="eastAsia" w:ascii="宋体" w:hAnsi="宋体" w:eastAsia="宋体" w:cs="宋体"/>
          <w:sz w:val="24"/>
          <w:szCs w:val="24"/>
          <w:highlight w:val="none"/>
        </w:rPr>
        <w:t>、双方约定的其他工程质量保修事项：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bookmarkEnd w:id="1039"/>
      <w:bookmarkEnd w:id="1040"/>
      <w:bookmarkEnd w:id="1041"/>
      <w:bookmarkEnd w:id="1042"/>
      <w:bookmarkEnd w:id="1043"/>
    </w:p>
    <w:p w14:paraId="2074312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56" w:firstLineChars="190"/>
        <w:rPr>
          <w:rFonts w:hint="eastAsia" w:ascii="宋体" w:hAnsi="宋体" w:eastAsia="宋体" w:cs="宋体"/>
          <w:sz w:val="24"/>
          <w:szCs w:val="24"/>
          <w:highlight w:val="none"/>
        </w:rPr>
      </w:pPr>
      <w:r>
        <w:rPr>
          <w:rFonts w:hint="eastAsia" w:ascii="宋体" w:hAnsi="宋体" w:eastAsia="宋体" w:cs="宋体"/>
          <w:sz w:val="24"/>
          <w:szCs w:val="24"/>
          <w:highlight w:val="none"/>
        </w:rPr>
        <w:t>工程质量保修书由发包人、承包人在工程竣工验收前共同签署，作为施工合同附件，其有效期限至保修期满。</w:t>
      </w:r>
    </w:p>
    <w:p w14:paraId="4116552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rPr>
          <w:rFonts w:hint="eastAsia" w:ascii="宋体" w:hAnsi="宋体" w:eastAsia="宋体" w:cs="宋体"/>
          <w:sz w:val="24"/>
          <w:szCs w:val="24"/>
          <w:highlight w:val="none"/>
        </w:rPr>
      </w:pPr>
    </w:p>
    <w:p w14:paraId="0483E0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发包人(公章)：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承包人(公章)：</w:t>
      </w:r>
      <w:r>
        <w:rPr>
          <w:rFonts w:hint="eastAsia" w:ascii="宋体" w:hAnsi="宋体" w:eastAsia="宋体" w:cs="宋体"/>
          <w:sz w:val="24"/>
          <w:szCs w:val="24"/>
          <w:highlight w:val="none"/>
          <w:u w:val="single"/>
        </w:rPr>
        <w:t xml:space="preserve">                </w:t>
      </w:r>
    </w:p>
    <w:p w14:paraId="01501DF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地  址：</w:t>
      </w:r>
      <w:r>
        <w:rPr>
          <w:rFonts w:hint="eastAsia" w:ascii="宋体" w:hAnsi="宋体" w:eastAsia="宋体" w:cs="宋体"/>
          <w:sz w:val="24"/>
          <w:szCs w:val="24"/>
          <w:highlight w:val="none"/>
          <w:u w:val="single"/>
        </w:rPr>
        <w:t xml:space="preserve">          </w:t>
      </w:r>
    </w:p>
    <w:p w14:paraId="12E54C2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法定代表人(签字)：</w:t>
      </w:r>
      <w:r>
        <w:rPr>
          <w:rFonts w:hint="eastAsia" w:ascii="宋体" w:hAnsi="宋体" w:eastAsia="宋体" w:cs="宋体"/>
          <w:sz w:val="24"/>
          <w:szCs w:val="24"/>
          <w:highlight w:val="none"/>
          <w:u w:val="single"/>
        </w:rPr>
        <w:t xml:space="preserve">               </w:t>
      </w:r>
    </w:p>
    <w:p w14:paraId="10ECB32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委托代理人(签字)：</w:t>
      </w:r>
      <w:r>
        <w:rPr>
          <w:rFonts w:hint="eastAsia" w:ascii="宋体" w:hAnsi="宋体" w:eastAsia="宋体" w:cs="宋体"/>
          <w:sz w:val="24"/>
          <w:szCs w:val="24"/>
          <w:highlight w:val="none"/>
          <w:u w:val="single"/>
        </w:rPr>
        <w:t xml:space="preserve">               </w:t>
      </w:r>
    </w:p>
    <w:p w14:paraId="066C41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  话：</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p>
    <w:p w14:paraId="3DF3CB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  真：</w:t>
      </w:r>
      <w:r>
        <w:rPr>
          <w:rFonts w:hint="eastAsia" w:ascii="宋体" w:hAnsi="宋体" w:eastAsia="宋体" w:cs="宋体"/>
          <w:sz w:val="24"/>
          <w:szCs w:val="24"/>
          <w:highlight w:val="none"/>
          <w:u w:val="single"/>
        </w:rPr>
        <w:t xml:space="preserve">                         </w:t>
      </w:r>
    </w:p>
    <w:p w14:paraId="4EF2A6B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14:paraId="7335ED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账  号：</w:t>
      </w:r>
      <w:r>
        <w:rPr>
          <w:rFonts w:hint="eastAsia" w:ascii="宋体" w:hAnsi="宋体" w:eastAsia="宋体" w:cs="宋体"/>
          <w:sz w:val="24"/>
          <w:szCs w:val="24"/>
          <w:highlight w:val="none"/>
          <w:u w:val="single"/>
        </w:rPr>
        <w:t xml:space="preserve">                          </w:t>
      </w:r>
    </w:p>
    <w:p w14:paraId="7422254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14:paraId="379F2FD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32"/>
          <w:szCs w:val="32"/>
          <w:highlight w:val="none"/>
        </w:rPr>
      </w:pPr>
    </w:p>
    <w:p w14:paraId="731EC3A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sz w:val="36"/>
          <w:highlight w:val="none"/>
        </w:rPr>
      </w:pPr>
      <w:bookmarkStart w:id="1044" w:name="_Toc29427"/>
      <w:bookmarkEnd w:id="1044"/>
      <w:bookmarkStart w:id="1045" w:name="_Toc374947236"/>
      <w:bookmarkEnd w:id="1045"/>
      <w:bookmarkStart w:id="1046" w:name="_Toc375041753"/>
      <w:bookmarkEnd w:id="1046"/>
      <w:bookmarkStart w:id="1047" w:name="_Toc445390634"/>
      <w:bookmarkEnd w:id="1047"/>
      <w:bookmarkStart w:id="1048" w:name="_Toc375041310"/>
      <w:bookmarkEnd w:id="1048"/>
      <w:bookmarkStart w:id="1049" w:name="_Toc447871549"/>
      <w:bookmarkEnd w:id="1049"/>
      <w:bookmarkStart w:id="1050" w:name="_Toc423959285"/>
      <w:bookmarkEnd w:id="1050"/>
      <w:bookmarkStart w:id="1051" w:name="_Toc375040612"/>
      <w:bookmarkEnd w:id="1051"/>
      <w:bookmarkStart w:id="1052" w:name="_Toc489024028"/>
      <w:bookmarkEnd w:id="1052"/>
      <w:bookmarkStart w:id="1053" w:name="_Toc498499550"/>
      <w:bookmarkEnd w:id="1053"/>
      <w:bookmarkStart w:id="1054" w:name="_Toc384309409"/>
      <w:bookmarkEnd w:id="1054"/>
      <w:bookmarkStart w:id="1055" w:name="_Toc375041559"/>
      <w:bookmarkEnd w:id="1055"/>
    </w:p>
    <w:p w14:paraId="300954D9">
      <w:pPr>
        <w:kinsoku/>
        <w:overflowPunct/>
        <w:bidi w:val="0"/>
        <w:adjustRightInd w:val="0"/>
        <w:snapToGrid w:val="0"/>
        <w:spacing w:line="360" w:lineRule="auto"/>
        <w:ind w:left="0" w:right="0"/>
        <w:rPr>
          <w:rFonts w:hint="eastAsia" w:ascii="宋体" w:hAnsi="宋体" w:eastAsia="宋体" w:cs="宋体"/>
          <w:highlight w:val="none"/>
        </w:rPr>
      </w:pPr>
    </w:p>
    <w:p w14:paraId="553F7001">
      <w:pPr>
        <w:kinsoku/>
        <w:overflowPunct/>
        <w:bidi w:val="0"/>
        <w:adjustRightInd w:val="0"/>
        <w:snapToGrid w:val="0"/>
        <w:spacing w:line="360" w:lineRule="auto"/>
        <w:ind w:left="0" w:leftChars="0" w:right="0" w:rightChars="0" w:firstLine="643"/>
        <w:outlineLvl w:val="0"/>
        <w:rPr>
          <w:rFonts w:hint="eastAsia" w:ascii="宋体" w:hAnsi="宋体" w:eastAsia="宋体" w:cs="宋体"/>
          <w:b/>
          <w:kern w:val="36"/>
          <w:sz w:val="32"/>
          <w:szCs w:val="21"/>
          <w:highlight w:val="none"/>
        </w:rPr>
      </w:pPr>
    </w:p>
    <w:p w14:paraId="4DD0449E">
      <w:pPr>
        <w:widowControl/>
        <w:kinsoku/>
        <w:overflowPunct/>
        <w:bidi w:val="0"/>
        <w:adjustRightInd w:val="0"/>
        <w:snapToGrid w:val="0"/>
        <w:spacing w:line="360" w:lineRule="auto"/>
        <w:ind w:left="0" w:leftChars="0" w:right="0" w:rightChars="0" w:firstLine="643"/>
        <w:jc w:val="left"/>
        <w:rPr>
          <w:rFonts w:hint="eastAsia" w:ascii="宋体" w:hAnsi="宋体" w:eastAsia="宋体" w:cs="宋体"/>
          <w:b/>
          <w:kern w:val="36"/>
          <w:sz w:val="32"/>
          <w:szCs w:val="21"/>
          <w:highlight w:val="none"/>
        </w:rPr>
      </w:pPr>
    </w:p>
    <w:p w14:paraId="2058A334">
      <w:pPr>
        <w:widowControl/>
        <w:kinsoku/>
        <w:overflowPunct/>
        <w:bidi w:val="0"/>
        <w:adjustRightInd w:val="0"/>
        <w:snapToGrid w:val="0"/>
        <w:spacing w:line="360" w:lineRule="auto"/>
        <w:ind w:left="0" w:leftChars="0" w:right="0" w:rightChars="0" w:firstLine="643"/>
        <w:jc w:val="left"/>
        <w:rPr>
          <w:rFonts w:hint="eastAsia" w:ascii="宋体" w:hAnsi="宋体" w:eastAsia="宋体" w:cs="宋体"/>
          <w:b/>
          <w:kern w:val="36"/>
          <w:sz w:val="32"/>
          <w:szCs w:val="21"/>
          <w:highlight w:val="none"/>
        </w:rPr>
      </w:pPr>
    </w:p>
    <w:p w14:paraId="70A54075">
      <w:pPr>
        <w:widowControl/>
        <w:kinsoku/>
        <w:overflowPunct/>
        <w:bidi w:val="0"/>
        <w:adjustRightInd w:val="0"/>
        <w:snapToGrid w:val="0"/>
        <w:spacing w:line="360" w:lineRule="auto"/>
        <w:ind w:left="0" w:leftChars="0" w:right="0" w:rightChars="0" w:firstLine="643"/>
        <w:jc w:val="left"/>
        <w:rPr>
          <w:rFonts w:hint="eastAsia" w:ascii="宋体" w:hAnsi="宋体" w:eastAsia="宋体" w:cs="宋体"/>
          <w:b/>
          <w:kern w:val="36"/>
          <w:sz w:val="32"/>
          <w:szCs w:val="21"/>
          <w:highlight w:val="none"/>
        </w:rPr>
      </w:pPr>
    </w:p>
    <w:p w14:paraId="6507B01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sz w:val="36"/>
          <w:szCs w:val="40"/>
          <w:highlight w:val="none"/>
        </w:rPr>
      </w:pPr>
      <w:r>
        <w:rPr>
          <w:rFonts w:hint="eastAsia" w:ascii="宋体" w:hAnsi="宋体" w:eastAsia="宋体" w:cs="宋体"/>
          <w:kern w:val="2"/>
          <w:sz w:val="24"/>
          <w:szCs w:val="24"/>
          <w:highlight w:val="none"/>
        </w:rPr>
        <w:br w:type="page"/>
      </w:r>
      <w:bookmarkStart w:id="1056" w:name="_Toc10207"/>
      <w:bookmarkStart w:id="1057" w:name="_Toc29787"/>
    </w:p>
    <w:p w14:paraId="38C8153B">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40"/>
          <w:highlight w:val="none"/>
        </w:rPr>
      </w:pPr>
      <w:r>
        <w:rPr>
          <w:rFonts w:hint="eastAsia" w:ascii="宋体" w:hAnsi="宋体" w:eastAsia="宋体" w:cs="宋体"/>
          <w:b/>
          <w:bCs/>
          <w:sz w:val="36"/>
          <w:szCs w:val="40"/>
          <w:highlight w:val="none"/>
        </w:rPr>
        <w:t>第</w:t>
      </w:r>
      <w:r>
        <w:rPr>
          <w:rFonts w:hint="eastAsia" w:ascii="宋体" w:hAnsi="宋体" w:eastAsia="宋体" w:cs="宋体"/>
          <w:b/>
          <w:bCs/>
          <w:sz w:val="36"/>
          <w:szCs w:val="40"/>
          <w:highlight w:val="none"/>
          <w:lang w:val="en-US" w:eastAsia="zh-CN"/>
        </w:rPr>
        <w:t>五</w:t>
      </w:r>
      <w:r>
        <w:rPr>
          <w:rFonts w:hint="eastAsia" w:ascii="宋体" w:hAnsi="宋体" w:eastAsia="宋体" w:cs="宋体"/>
          <w:b/>
          <w:bCs/>
          <w:sz w:val="36"/>
          <w:szCs w:val="40"/>
          <w:highlight w:val="none"/>
        </w:rPr>
        <w:t>章 工程量清单（另附）</w:t>
      </w:r>
      <w:bookmarkEnd w:id="1056"/>
      <w:bookmarkEnd w:id="1057"/>
    </w:p>
    <w:p w14:paraId="14FC968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kern w:val="44"/>
          <w:sz w:val="36"/>
          <w:szCs w:val="36"/>
          <w:highlight w:val="none"/>
        </w:rPr>
      </w:pPr>
    </w:p>
    <w:p w14:paraId="0112261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4A26FA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6C293E9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6B4613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0BC8C2D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2B33FA1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128AF8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66F28E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5F3202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326F70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2442A6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sz w:val="32"/>
          <w:szCs w:val="32"/>
          <w:highlight w:val="none"/>
        </w:rPr>
      </w:pPr>
    </w:p>
    <w:p w14:paraId="2F7C6F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3DBA42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3293487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649FC7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bookmarkStart w:id="1058" w:name="_Toc69718839"/>
      <w:bookmarkEnd w:id="1058"/>
    </w:p>
    <w:p w14:paraId="63E649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7E4E69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3AB7007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6A1BA5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sz w:val="36"/>
          <w:szCs w:val="40"/>
          <w:highlight w:val="none"/>
        </w:rPr>
      </w:pPr>
      <w:r>
        <w:rPr>
          <w:rFonts w:hint="eastAsia" w:ascii="宋体" w:hAnsi="宋体" w:eastAsia="宋体" w:cs="宋体"/>
          <w:b/>
          <w:kern w:val="44"/>
          <w:sz w:val="36"/>
          <w:szCs w:val="36"/>
          <w:highlight w:val="none"/>
        </w:rPr>
        <w:br w:type="page"/>
      </w:r>
      <w:bookmarkStart w:id="1059" w:name="_Toc69718840"/>
      <w:bookmarkEnd w:id="1059"/>
      <w:bookmarkStart w:id="1060" w:name="_Toc17283"/>
    </w:p>
    <w:bookmarkEnd w:id="1060"/>
    <w:p w14:paraId="0DA7C0D0">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40"/>
          <w:highlight w:val="none"/>
        </w:rPr>
      </w:pPr>
      <w:bookmarkStart w:id="1061" w:name="_Toc22437"/>
      <w:bookmarkStart w:id="1062" w:name="_Toc20730"/>
      <w:r>
        <w:rPr>
          <w:rFonts w:hint="eastAsia" w:ascii="宋体" w:hAnsi="宋体" w:eastAsia="宋体" w:cs="宋体"/>
          <w:b/>
          <w:bCs/>
          <w:sz w:val="36"/>
          <w:szCs w:val="40"/>
          <w:highlight w:val="none"/>
        </w:rPr>
        <w:t>第</w:t>
      </w:r>
      <w:r>
        <w:rPr>
          <w:rFonts w:hint="eastAsia" w:ascii="宋体" w:hAnsi="宋体" w:eastAsia="宋体" w:cs="宋体"/>
          <w:b/>
          <w:bCs/>
          <w:sz w:val="36"/>
          <w:szCs w:val="40"/>
          <w:highlight w:val="none"/>
          <w:lang w:val="en-US" w:eastAsia="zh-CN"/>
        </w:rPr>
        <w:t>六</w:t>
      </w:r>
      <w:r>
        <w:rPr>
          <w:rFonts w:hint="eastAsia" w:ascii="宋体" w:hAnsi="宋体" w:eastAsia="宋体" w:cs="宋体"/>
          <w:b/>
          <w:bCs/>
          <w:sz w:val="36"/>
          <w:szCs w:val="40"/>
          <w:highlight w:val="none"/>
        </w:rPr>
        <w:t>章  图纸（另附）</w:t>
      </w:r>
      <w:bookmarkEnd w:id="1061"/>
      <w:bookmarkEnd w:id="1062"/>
    </w:p>
    <w:p w14:paraId="0768A1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534A088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18B646A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16CCAA2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099FF12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13E5ED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65BA68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4C3F2B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04C839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sz w:val="36"/>
          <w:szCs w:val="40"/>
          <w:highlight w:val="none"/>
        </w:rPr>
      </w:pPr>
      <w:r>
        <w:rPr>
          <w:rFonts w:hint="eastAsia" w:ascii="宋体" w:hAnsi="宋体" w:eastAsia="宋体" w:cs="宋体"/>
          <w:b/>
          <w:kern w:val="44"/>
          <w:sz w:val="36"/>
          <w:szCs w:val="36"/>
          <w:highlight w:val="none"/>
        </w:rPr>
        <w:br w:type="page"/>
      </w:r>
    </w:p>
    <w:p w14:paraId="58984893">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sz w:val="30"/>
          <w:szCs w:val="30"/>
          <w:highlight w:val="none"/>
        </w:rPr>
      </w:pPr>
      <w:bookmarkStart w:id="1063" w:name="_Toc7428"/>
      <w:r>
        <w:rPr>
          <w:rFonts w:hint="eastAsia" w:ascii="宋体" w:hAnsi="宋体" w:eastAsia="宋体" w:cs="宋体"/>
          <w:b/>
          <w:bCs/>
          <w:sz w:val="36"/>
          <w:szCs w:val="40"/>
          <w:highlight w:val="none"/>
        </w:rPr>
        <w:t>第</w:t>
      </w:r>
      <w:r>
        <w:rPr>
          <w:rFonts w:hint="eastAsia" w:ascii="宋体" w:hAnsi="宋体" w:eastAsia="宋体" w:cs="宋体"/>
          <w:b/>
          <w:bCs/>
          <w:sz w:val="36"/>
          <w:szCs w:val="40"/>
          <w:highlight w:val="none"/>
          <w:lang w:val="en-US" w:eastAsia="zh-CN"/>
        </w:rPr>
        <w:t>七</w:t>
      </w:r>
      <w:r>
        <w:rPr>
          <w:rFonts w:hint="eastAsia" w:ascii="宋体" w:hAnsi="宋体" w:eastAsia="宋体" w:cs="宋体"/>
          <w:b/>
          <w:bCs/>
          <w:sz w:val="36"/>
          <w:szCs w:val="40"/>
          <w:highlight w:val="none"/>
        </w:rPr>
        <w:t xml:space="preserve">章  </w:t>
      </w:r>
      <w:r>
        <w:rPr>
          <w:rFonts w:hint="eastAsia" w:ascii="宋体" w:hAnsi="宋体" w:eastAsia="宋体" w:cs="宋体"/>
          <w:b/>
          <w:bCs/>
          <w:sz w:val="36"/>
          <w:szCs w:val="40"/>
          <w:highlight w:val="none"/>
          <w:lang w:val="en-US" w:eastAsia="zh-CN"/>
        </w:rPr>
        <w:t>投标</w:t>
      </w:r>
      <w:r>
        <w:rPr>
          <w:rFonts w:hint="eastAsia" w:ascii="宋体" w:hAnsi="宋体" w:eastAsia="宋体" w:cs="宋体"/>
          <w:b/>
          <w:bCs/>
          <w:sz w:val="36"/>
          <w:szCs w:val="40"/>
          <w:highlight w:val="none"/>
        </w:rPr>
        <w:t>文件格式</w:t>
      </w:r>
      <w:bookmarkEnd w:id="1063"/>
    </w:p>
    <w:p w14:paraId="40B055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44"/>
          <w:szCs w:val="44"/>
          <w:highlight w:val="none"/>
        </w:rPr>
      </w:pPr>
    </w:p>
    <w:p w14:paraId="35F8BD02">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sz w:val="30"/>
          <w:szCs w:val="30"/>
          <w:highlight w:val="none"/>
        </w:rPr>
      </w:pPr>
    </w:p>
    <w:p w14:paraId="2EA68A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44"/>
          <w:szCs w:val="44"/>
          <w:highlight w:val="none"/>
        </w:rPr>
      </w:pPr>
      <w:bookmarkStart w:id="1064" w:name="_Toc32198"/>
      <w:bookmarkStart w:id="1065" w:name="_Toc11268"/>
    </w:p>
    <w:p w14:paraId="5B3525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44"/>
          <w:szCs w:val="44"/>
          <w:highlight w:val="none"/>
          <w:u w:val="single"/>
        </w:rPr>
      </w:pPr>
      <w:r>
        <w:rPr>
          <w:rFonts w:hint="eastAsia" w:ascii="宋体" w:hAnsi="宋体" w:eastAsia="宋体" w:cs="宋体"/>
          <w:b/>
          <w:sz w:val="44"/>
          <w:szCs w:val="44"/>
          <w:highlight w:val="none"/>
        </w:rPr>
        <w:t>（项目名称）</w:t>
      </w:r>
      <w:bookmarkEnd w:id="1064"/>
      <w:bookmarkEnd w:id="1065"/>
    </w:p>
    <w:p w14:paraId="289C0ED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Cs w:val="21"/>
          <w:highlight w:val="none"/>
        </w:rPr>
      </w:pPr>
    </w:p>
    <w:p w14:paraId="2C3151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52"/>
          <w:szCs w:val="52"/>
          <w:highlight w:val="none"/>
        </w:rPr>
      </w:pPr>
    </w:p>
    <w:p w14:paraId="4CF6A6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pacing w:val="24"/>
          <w:kern w:val="10"/>
          <w:sz w:val="72"/>
          <w:szCs w:val="72"/>
          <w:highlight w:val="none"/>
        </w:rPr>
      </w:pPr>
      <w:bookmarkStart w:id="1066" w:name="_Toc21889"/>
      <w:bookmarkStart w:id="1067" w:name="_Toc19263"/>
      <w:r>
        <w:rPr>
          <w:rFonts w:hint="eastAsia" w:ascii="宋体" w:hAnsi="宋体" w:eastAsia="宋体" w:cs="宋体"/>
          <w:b/>
          <w:spacing w:val="24"/>
          <w:kern w:val="10"/>
          <w:sz w:val="72"/>
          <w:szCs w:val="72"/>
          <w:highlight w:val="none"/>
          <w:lang w:val="en-US" w:eastAsia="zh-CN"/>
        </w:rPr>
        <w:t>投标</w:t>
      </w:r>
      <w:r>
        <w:rPr>
          <w:rFonts w:hint="eastAsia" w:ascii="宋体" w:hAnsi="宋体" w:eastAsia="宋体" w:cs="宋体"/>
          <w:b/>
          <w:spacing w:val="24"/>
          <w:kern w:val="10"/>
          <w:sz w:val="72"/>
          <w:szCs w:val="72"/>
          <w:highlight w:val="none"/>
        </w:rPr>
        <w:t>文件</w:t>
      </w:r>
    </w:p>
    <w:p w14:paraId="22244A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b/>
          <w:sz w:val="30"/>
          <w:szCs w:val="30"/>
          <w:highlight w:val="none"/>
        </w:rPr>
      </w:pPr>
    </w:p>
    <w:p w14:paraId="04CEC2F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30"/>
          <w:szCs w:val="30"/>
          <w:highlight w:val="none"/>
          <w:u w:val="single"/>
          <w:lang w:val="en-US" w:eastAsia="zh-CN"/>
        </w:rPr>
      </w:pPr>
      <w:r>
        <w:rPr>
          <w:rFonts w:hint="eastAsia" w:ascii="宋体" w:hAnsi="宋体" w:eastAsia="宋体" w:cs="宋体"/>
          <w:b/>
          <w:sz w:val="30"/>
          <w:szCs w:val="30"/>
          <w:highlight w:val="none"/>
        </w:rPr>
        <w:t>项目编号：</w:t>
      </w:r>
      <w:bookmarkEnd w:id="1066"/>
      <w:bookmarkEnd w:id="1067"/>
    </w:p>
    <w:p w14:paraId="79D3540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30"/>
          <w:szCs w:val="30"/>
          <w:highlight w:val="none"/>
          <w:u w:val="single"/>
        </w:rPr>
      </w:pPr>
    </w:p>
    <w:p w14:paraId="5598654D">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717E64AD">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643F2C3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680E9C9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5DCC51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sz w:val="24"/>
          <w:szCs w:val="24"/>
          <w:highlight w:val="none"/>
        </w:rPr>
      </w:pPr>
    </w:p>
    <w:p w14:paraId="23FE24F8">
      <w:pPr>
        <w:pageBreakBefore w:val="0"/>
        <w:kinsoku/>
        <w:overflowPunct/>
        <w:topLinePunct w:val="0"/>
        <w:bidi w:val="0"/>
        <w:adjustRightInd w:val="0"/>
        <w:snapToGrid w:val="0"/>
        <w:spacing w:beforeAutospacing="0" w:afterAutospacing="0" w:line="360" w:lineRule="auto"/>
        <w:ind w:left="0" w:leftChars="0" w:right="0" w:rightChars="0" w:firstLine="1120" w:firstLineChars="400"/>
        <w:rPr>
          <w:rFonts w:hint="eastAsia" w:ascii="宋体" w:hAnsi="宋体" w:eastAsia="宋体" w:cs="宋体"/>
          <w:sz w:val="28"/>
          <w:highlight w:val="none"/>
        </w:rPr>
      </w:pPr>
      <w:r>
        <w:rPr>
          <w:rFonts w:hint="eastAsia" w:ascii="宋体" w:hAnsi="宋体" w:eastAsia="宋体" w:cs="宋体"/>
          <w:sz w:val="28"/>
          <w:highlight w:val="none"/>
          <w:lang w:eastAsia="zh-CN"/>
        </w:rPr>
        <w:t>投标人</w:t>
      </w:r>
      <w:r>
        <w:rPr>
          <w:rFonts w:hint="eastAsia" w:ascii="宋体" w:hAnsi="宋体" w:eastAsia="宋体" w:cs="宋体"/>
          <w:sz w:val="28"/>
          <w:highlight w:val="none"/>
        </w:rPr>
        <w:t>：</w:t>
      </w: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w:t>
      </w:r>
      <w:r>
        <w:rPr>
          <w:rFonts w:hint="eastAsia" w:ascii="宋体" w:hAnsi="宋体" w:eastAsia="宋体" w:cs="宋体"/>
          <w:sz w:val="28"/>
          <w:highlight w:val="none"/>
          <w:lang w:val="en-US" w:eastAsia="zh-CN"/>
        </w:rPr>
        <w:t>公章</w:t>
      </w:r>
      <w:r>
        <w:rPr>
          <w:rFonts w:hint="eastAsia" w:ascii="宋体" w:hAnsi="宋体" w:eastAsia="宋体" w:cs="宋体"/>
          <w:sz w:val="28"/>
          <w:highlight w:val="none"/>
          <w:lang w:eastAsia="zh-CN"/>
        </w:rPr>
        <w:t>电子签章</w:t>
      </w:r>
      <w:r>
        <w:rPr>
          <w:rFonts w:hint="eastAsia" w:ascii="宋体" w:hAnsi="宋体" w:eastAsia="宋体" w:cs="宋体"/>
          <w:sz w:val="28"/>
          <w:highlight w:val="none"/>
        </w:rPr>
        <w:t>）</w:t>
      </w:r>
    </w:p>
    <w:p w14:paraId="54B674B9">
      <w:pPr>
        <w:pageBreakBefore w:val="0"/>
        <w:kinsoku/>
        <w:overflowPunct/>
        <w:topLinePunct w:val="0"/>
        <w:bidi w:val="0"/>
        <w:adjustRightInd w:val="0"/>
        <w:snapToGrid w:val="0"/>
        <w:spacing w:beforeAutospacing="0" w:afterAutospacing="0" w:line="360" w:lineRule="auto"/>
        <w:ind w:left="0" w:leftChars="0" w:right="0" w:rightChars="0" w:firstLine="1120" w:firstLineChars="400"/>
        <w:rPr>
          <w:rFonts w:hint="eastAsia" w:ascii="宋体" w:hAnsi="宋体" w:eastAsia="宋体" w:cs="宋体"/>
          <w:sz w:val="28"/>
          <w:highlight w:val="none"/>
        </w:rPr>
      </w:pPr>
      <w:r>
        <w:rPr>
          <w:rFonts w:hint="eastAsia" w:ascii="宋体" w:hAnsi="宋体" w:eastAsia="宋体" w:cs="宋体"/>
          <w:sz w:val="28"/>
          <w:highlight w:val="none"/>
        </w:rPr>
        <w:t>法定代表人：</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w:t>
      </w:r>
      <w:r>
        <w:rPr>
          <w:rFonts w:hint="eastAsia" w:ascii="宋体" w:hAnsi="宋体" w:eastAsia="宋体" w:cs="宋体"/>
          <w:sz w:val="28"/>
          <w:highlight w:val="none"/>
          <w:lang w:eastAsia="zh-CN"/>
        </w:rPr>
        <w:t>电子签章</w:t>
      </w:r>
      <w:r>
        <w:rPr>
          <w:rFonts w:hint="eastAsia" w:ascii="宋体" w:hAnsi="宋体" w:eastAsia="宋体" w:cs="宋体"/>
          <w:sz w:val="28"/>
          <w:highlight w:val="none"/>
        </w:rPr>
        <w:t>）</w:t>
      </w:r>
    </w:p>
    <w:p w14:paraId="45E67F80">
      <w:pPr>
        <w:pageBreakBefore w:val="0"/>
        <w:kinsoku/>
        <w:overflowPunct/>
        <w:topLinePunct w:val="0"/>
        <w:bidi w:val="0"/>
        <w:adjustRightInd w:val="0"/>
        <w:snapToGrid w:val="0"/>
        <w:spacing w:beforeAutospacing="0" w:afterAutospacing="0" w:line="360" w:lineRule="auto"/>
        <w:ind w:left="0" w:leftChars="0" w:right="0" w:rightChars="0" w:firstLine="1120" w:firstLineChars="400"/>
        <w:rPr>
          <w:rFonts w:hint="eastAsia" w:ascii="宋体" w:hAnsi="宋体" w:eastAsia="宋体" w:cs="宋体"/>
          <w:sz w:val="28"/>
          <w:highlight w:val="none"/>
        </w:rPr>
      </w:pPr>
      <w:r>
        <w:rPr>
          <w:rFonts w:hint="eastAsia" w:ascii="宋体" w:hAnsi="宋体" w:eastAsia="宋体" w:cs="宋体"/>
          <w:sz w:val="28"/>
          <w:highlight w:val="none"/>
        </w:rPr>
        <w:t>日期：</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年</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月</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日</w:t>
      </w:r>
      <w:bookmarkStart w:id="1068" w:name="_Toc171073043"/>
      <w:bookmarkStart w:id="1069" w:name="_Toc171073208"/>
      <w:bookmarkStart w:id="1070" w:name="_Toc223432388"/>
    </w:p>
    <w:bookmarkEnd w:id="1068"/>
    <w:bookmarkEnd w:id="1069"/>
    <w:bookmarkEnd w:id="1070"/>
    <w:p w14:paraId="2E8384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sz w:val="24"/>
          <w:szCs w:val="24"/>
          <w:highlight w:val="none"/>
        </w:rPr>
      </w:pPr>
    </w:p>
    <w:p w14:paraId="42D26F5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2B5BD985">
      <w:pPr>
        <w:pageBreakBefore w:val="0"/>
        <w:shd w:val="clear" w:color="auto" w:fill="FFFFFF"/>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32"/>
          <w:szCs w:val="32"/>
          <w:highlight w:val="none"/>
        </w:rPr>
      </w:pPr>
    </w:p>
    <w:p w14:paraId="08A7678B">
      <w:pPr>
        <w:pageBreakBefore w:val="0"/>
        <w:shd w:val="clear" w:color="auto" w:fill="FFFFFF"/>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7D1B5FA7">
      <w:pPr>
        <w:pageBreakBefore w:val="0"/>
        <w:shd w:val="clear" w:color="auto" w:fill="FFFFFF"/>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Cs/>
          <w:sz w:val="24"/>
          <w:szCs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自拟</w:t>
      </w:r>
      <w:r>
        <w:rPr>
          <w:rFonts w:hint="eastAsia" w:ascii="宋体" w:hAnsi="宋体" w:eastAsia="宋体" w:cs="宋体"/>
          <w:sz w:val="24"/>
          <w:highlight w:val="none"/>
          <w:lang w:eastAsia="zh-CN"/>
        </w:rPr>
        <w:t>）</w:t>
      </w:r>
    </w:p>
    <w:p w14:paraId="1811F301">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sz w:val="32"/>
          <w:szCs w:val="32"/>
          <w:highlight w:val="none"/>
        </w:rPr>
      </w:pPr>
      <w:bookmarkStart w:id="1071" w:name="_Toc18526"/>
      <w:bookmarkStart w:id="1072" w:name="_Toc27145"/>
      <w:r>
        <w:rPr>
          <w:rFonts w:hint="eastAsia" w:ascii="宋体" w:hAnsi="宋体" w:eastAsia="宋体" w:cs="宋体"/>
          <w:b/>
          <w:bCs/>
          <w:sz w:val="32"/>
          <w:szCs w:val="32"/>
          <w:highlight w:val="none"/>
        </w:rPr>
        <w:br w:type="page"/>
      </w:r>
    </w:p>
    <w:bookmarkEnd w:id="1071"/>
    <w:bookmarkEnd w:id="1072"/>
    <w:p w14:paraId="219673E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rPr>
      </w:pPr>
      <w:bookmarkStart w:id="1073" w:name="_Toc69718842"/>
      <w:bookmarkEnd w:id="1073"/>
      <w:bookmarkStart w:id="1074" w:name="_Toc27307"/>
      <w:bookmarkStart w:id="1075" w:name="_Toc25792"/>
      <w:bookmarkStart w:id="1076" w:name="_Toc20579"/>
      <w:bookmarkStart w:id="1077" w:name="_Toc19134"/>
      <w:r>
        <w:rPr>
          <w:rFonts w:hint="eastAsia" w:ascii="宋体" w:hAnsi="宋体" w:eastAsia="宋体" w:cs="宋体"/>
          <w:b/>
          <w:bCs/>
          <w:sz w:val="32"/>
          <w:szCs w:val="32"/>
          <w:highlight w:val="none"/>
        </w:rPr>
        <w:t>一、磋商函及磋商函附录</w:t>
      </w:r>
      <w:bookmarkEnd w:id="1074"/>
      <w:bookmarkEnd w:id="1075"/>
    </w:p>
    <w:p w14:paraId="34BE0D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28"/>
          <w:highlight w:val="none"/>
        </w:rPr>
      </w:pPr>
      <w:bookmarkStart w:id="1078" w:name="_Toc4905"/>
      <w:bookmarkStart w:id="1079" w:name="_Toc11888"/>
      <w:bookmarkStart w:id="1080" w:name="_Toc28003"/>
      <w:bookmarkStart w:id="1081" w:name="_Toc21361"/>
      <w:bookmarkStart w:id="1082" w:name="_Toc6004"/>
      <w:r>
        <w:rPr>
          <w:rFonts w:hint="eastAsia" w:ascii="宋体" w:hAnsi="宋体" w:eastAsia="宋体" w:cs="宋体"/>
          <w:b/>
          <w:bCs/>
          <w:sz w:val="28"/>
          <w:highlight w:val="none"/>
        </w:rPr>
        <w:t>（一）磋商函</w:t>
      </w:r>
      <w:bookmarkEnd w:id="1078"/>
      <w:bookmarkEnd w:id="1079"/>
      <w:bookmarkEnd w:id="1080"/>
      <w:bookmarkEnd w:id="1081"/>
      <w:bookmarkEnd w:id="1082"/>
    </w:p>
    <w:p w14:paraId="77C0834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名称）：</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p>
    <w:p w14:paraId="202C557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我方已仔细研究了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文件的全部内容，愿意以（大写）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元的磋商报价，工期：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，按合同约定实施和完成工程，修补工程中的任何缺陷，</w:t>
      </w:r>
      <w:r>
        <w:rPr>
          <w:rFonts w:hint="eastAsia" w:ascii="宋体" w:hAnsi="宋体" w:eastAsia="宋体" w:cs="宋体"/>
          <w:sz w:val="24"/>
          <w:highlight w:val="none"/>
          <w:lang w:eastAsia="zh-CN"/>
        </w:rPr>
        <w:t>质量要求</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 xml:space="preserve">   </w:t>
      </w:r>
    </w:p>
    <w:p w14:paraId="04B6D4F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1.我方承诺在</w:t>
      </w:r>
      <w:r>
        <w:rPr>
          <w:rFonts w:hint="eastAsia" w:ascii="宋体" w:hAnsi="宋体" w:eastAsia="宋体" w:cs="宋体"/>
          <w:sz w:val="24"/>
          <w:highlight w:val="none"/>
          <w:lang w:eastAsia="zh-CN"/>
        </w:rPr>
        <w:t>投标文件</w:t>
      </w:r>
      <w:r>
        <w:rPr>
          <w:rFonts w:hint="eastAsia" w:ascii="宋体" w:hAnsi="宋体" w:eastAsia="宋体" w:cs="宋体"/>
          <w:sz w:val="24"/>
          <w:highlight w:val="none"/>
        </w:rPr>
        <w:t>规定的磋商有效期内不撤销</w:t>
      </w:r>
      <w:r>
        <w:rPr>
          <w:rFonts w:hint="eastAsia" w:ascii="宋体" w:hAnsi="宋体" w:eastAsia="宋体" w:cs="宋体"/>
          <w:sz w:val="24"/>
          <w:highlight w:val="none"/>
          <w:lang w:eastAsia="zh-CN"/>
        </w:rPr>
        <w:t>投标文件</w:t>
      </w:r>
      <w:r>
        <w:rPr>
          <w:rFonts w:hint="eastAsia" w:ascii="宋体" w:hAnsi="宋体" w:eastAsia="宋体" w:cs="宋体"/>
          <w:sz w:val="24"/>
          <w:highlight w:val="none"/>
        </w:rPr>
        <w:t>。</w:t>
      </w:r>
    </w:p>
    <w:p w14:paraId="5DA0130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2.如我方成交，我方承诺：</w:t>
      </w:r>
    </w:p>
    <w:p w14:paraId="2432EB2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（1）在收到成交通知书后，在成交通知书规定的期限内与你方签订合同；</w:t>
      </w:r>
    </w:p>
    <w:p w14:paraId="04F3EDC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（2）随同本磋商函递交的磋商函附录属于合同文件的组成部分。</w:t>
      </w:r>
    </w:p>
    <w:p w14:paraId="2824D24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（3）我方承诺按照磋商文件规定向你方递交履约担保。</w:t>
      </w:r>
    </w:p>
    <w:p w14:paraId="7980111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（4）我方承诺在合同约定的期限内完成并移交全部合同工程。</w:t>
      </w:r>
    </w:p>
    <w:p w14:paraId="691E69E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（5）我方承诺满足合同专用条款中补充条款的内容。</w:t>
      </w:r>
    </w:p>
    <w:p w14:paraId="5820785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3．我方在此声明，所递交的</w:t>
      </w:r>
      <w:r>
        <w:rPr>
          <w:rFonts w:hint="eastAsia" w:ascii="宋体" w:hAnsi="宋体" w:eastAsia="宋体" w:cs="宋体"/>
          <w:sz w:val="24"/>
          <w:highlight w:val="none"/>
          <w:lang w:eastAsia="zh-CN"/>
        </w:rPr>
        <w:t>投标文件</w:t>
      </w:r>
      <w:r>
        <w:rPr>
          <w:rFonts w:hint="eastAsia" w:ascii="宋体" w:hAnsi="宋体" w:eastAsia="宋体" w:cs="宋体"/>
          <w:sz w:val="24"/>
          <w:highlight w:val="none"/>
        </w:rPr>
        <w:t>及有关资料内容完整、真实和准确。</w:t>
      </w:r>
    </w:p>
    <w:p w14:paraId="64EB025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（其他补充说明）。</w:t>
      </w:r>
    </w:p>
    <w:p w14:paraId="7C99720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1AD2199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531C1B9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7DC0A43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14:paraId="2D398AE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rPr>
        <w:t xml:space="preserve">                    地  址：</w:t>
      </w:r>
      <w:r>
        <w:rPr>
          <w:rFonts w:hint="eastAsia" w:ascii="宋体" w:hAnsi="宋体" w:eastAsia="宋体" w:cs="宋体"/>
          <w:sz w:val="24"/>
          <w:highlight w:val="none"/>
          <w:u w:val="single"/>
        </w:rPr>
        <w:t xml:space="preserve">                                 </w:t>
      </w:r>
    </w:p>
    <w:p w14:paraId="117F37AA">
      <w:pPr>
        <w:pStyle w:val="10"/>
        <w:pageBreakBefore w:val="0"/>
        <w:kinsoku/>
        <w:overflowPunct/>
        <w:topLinePunct w:val="0"/>
        <w:bidi w:val="0"/>
        <w:adjustRightInd w:val="0"/>
        <w:snapToGrid w:val="0"/>
        <w:spacing w:beforeAutospacing="0" w:after="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rPr>
        <w:t xml:space="preserve">                    电  话：</w:t>
      </w:r>
      <w:r>
        <w:rPr>
          <w:rFonts w:hint="eastAsia" w:ascii="宋体" w:hAnsi="宋体" w:eastAsia="宋体" w:cs="宋体"/>
          <w:sz w:val="24"/>
          <w:szCs w:val="24"/>
          <w:highlight w:val="none"/>
          <w:u w:val="single"/>
          <w:lang w:bidi="en-US"/>
        </w:rPr>
        <w:t>（填写能联系到的电话号码，方便通知二次报价）</w:t>
      </w:r>
    </w:p>
    <w:p w14:paraId="0C18D118">
      <w:pPr>
        <w:pStyle w:val="10"/>
        <w:pageBreakBefore w:val="0"/>
        <w:kinsoku/>
        <w:overflowPunct/>
        <w:topLinePunct w:val="0"/>
        <w:bidi w:val="0"/>
        <w:adjustRightInd w:val="0"/>
        <w:snapToGrid w:val="0"/>
        <w:spacing w:beforeAutospacing="0" w:after="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rPr>
        <w:t xml:space="preserve">                    邮  箱：</w:t>
      </w:r>
      <w:r>
        <w:rPr>
          <w:rFonts w:hint="eastAsia" w:ascii="宋体" w:hAnsi="宋体" w:eastAsia="宋体" w:cs="宋体"/>
          <w:sz w:val="24"/>
          <w:highlight w:val="none"/>
          <w:u w:val="single"/>
        </w:rPr>
        <w:t xml:space="preserve">                                </w:t>
      </w:r>
    </w:p>
    <w:p w14:paraId="5CFB1D8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eastAsia="宋体" w:cs="宋体"/>
          <w:sz w:val="24"/>
          <w:highlight w:val="none"/>
        </w:rPr>
        <w:tab/>
      </w:r>
      <w:r>
        <w:rPr>
          <w:rFonts w:hint="eastAsia" w:ascii="宋体" w:hAnsi="宋体" w:eastAsia="宋体" w:cs="宋体"/>
          <w:sz w:val="24"/>
          <w:highlight w:val="none"/>
        </w:rPr>
        <w:t xml:space="preserve">  月</w:t>
      </w:r>
      <w:r>
        <w:rPr>
          <w:rFonts w:hint="eastAsia" w:ascii="宋体" w:hAnsi="宋体" w:eastAsia="宋体" w:cs="宋体"/>
          <w:sz w:val="24"/>
          <w:highlight w:val="none"/>
        </w:rPr>
        <w:tab/>
      </w:r>
      <w:r>
        <w:rPr>
          <w:rFonts w:hint="eastAsia" w:ascii="宋体" w:hAnsi="宋体" w:eastAsia="宋体" w:cs="宋体"/>
          <w:sz w:val="24"/>
          <w:highlight w:val="none"/>
        </w:rPr>
        <w:t>日</w:t>
      </w:r>
    </w:p>
    <w:p w14:paraId="13D99E3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76E2D63E">
      <w:pPr>
        <w:pStyle w:val="38"/>
        <w:pageBreakBefore w:val="0"/>
        <w:kinsoku/>
        <w:overflowPunct/>
        <w:topLinePunct w:val="0"/>
        <w:bidi w:val="0"/>
        <w:adjustRightInd w:val="0"/>
        <w:snapToGrid w:val="0"/>
        <w:spacing w:beforeAutospacing="0" w:after="0" w:afterAutospacing="0" w:line="360" w:lineRule="auto"/>
        <w:ind w:left="0" w:leftChars="0" w:right="0" w:rightChars="0" w:firstLine="0" w:firstLineChars="0"/>
        <w:outlineLvl w:val="9"/>
        <w:rPr>
          <w:rFonts w:hint="eastAsia" w:ascii="宋体" w:hAnsi="宋体" w:eastAsia="宋体" w:cs="宋体"/>
          <w:highlight w:val="none"/>
        </w:rPr>
      </w:pPr>
    </w:p>
    <w:p w14:paraId="4FAE56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sz w:val="32"/>
          <w:szCs w:val="30"/>
          <w:highlight w:val="none"/>
        </w:rPr>
      </w:pPr>
    </w:p>
    <w:p w14:paraId="4A39E81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bCs/>
          <w:sz w:val="28"/>
          <w:highlight w:val="none"/>
        </w:rPr>
      </w:pPr>
      <w:r>
        <w:rPr>
          <w:rFonts w:hint="eastAsia" w:ascii="宋体" w:hAnsi="宋体" w:eastAsia="宋体" w:cs="宋体"/>
          <w:b/>
          <w:bCs/>
          <w:sz w:val="28"/>
          <w:highlight w:val="none"/>
        </w:rPr>
        <w:br w:type="page"/>
      </w:r>
    </w:p>
    <w:p w14:paraId="056EF4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28"/>
          <w:highlight w:val="none"/>
        </w:rPr>
      </w:pPr>
      <w:r>
        <w:rPr>
          <w:rFonts w:hint="eastAsia" w:ascii="宋体" w:hAnsi="宋体" w:eastAsia="宋体" w:cs="宋体"/>
          <w:b/>
          <w:bCs/>
          <w:sz w:val="28"/>
          <w:highlight w:val="none"/>
        </w:rPr>
        <w:t>（二）磋商函附录</w:t>
      </w:r>
    </w:p>
    <w:tbl>
      <w:tblPr>
        <w:tblStyle w:val="23"/>
        <w:tblpPr w:leftFromText="181" w:rightFromText="181" w:vertAnchor="text" w:horzAnchor="margin" w:tblpXSpec="center" w:tblpY="128"/>
        <w:tblOverlap w:val="never"/>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711"/>
        <w:gridCol w:w="324"/>
        <w:gridCol w:w="988"/>
        <w:gridCol w:w="1288"/>
        <w:gridCol w:w="862"/>
        <w:gridCol w:w="2099"/>
      </w:tblGrid>
      <w:tr w14:paraId="333A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1387" w:type="dxa"/>
            <w:vAlign w:val="center"/>
          </w:tcPr>
          <w:p w14:paraId="7190BC6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7272" w:type="dxa"/>
            <w:gridSpan w:val="6"/>
            <w:vAlign w:val="center"/>
          </w:tcPr>
          <w:p w14:paraId="04A502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r>
      <w:tr w14:paraId="6C0B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1387" w:type="dxa"/>
            <w:vAlign w:val="center"/>
          </w:tcPr>
          <w:p w14:paraId="399D1F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投标人</w:t>
            </w:r>
          </w:p>
        </w:tc>
        <w:tc>
          <w:tcPr>
            <w:tcW w:w="7272" w:type="dxa"/>
            <w:gridSpan w:val="6"/>
            <w:vAlign w:val="center"/>
          </w:tcPr>
          <w:p w14:paraId="011B6A1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r>
      <w:tr w14:paraId="512F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jc w:val="center"/>
        </w:trPr>
        <w:tc>
          <w:tcPr>
            <w:tcW w:w="1387" w:type="dxa"/>
            <w:vMerge w:val="restart"/>
            <w:vAlign w:val="center"/>
          </w:tcPr>
          <w:p w14:paraId="132931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项目经理</w:t>
            </w:r>
          </w:p>
        </w:tc>
        <w:tc>
          <w:tcPr>
            <w:tcW w:w="1711" w:type="dxa"/>
            <w:vMerge w:val="restart"/>
            <w:vAlign w:val="center"/>
          </w:tcPr>
          <w:p w14:paraId="7085AD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c>
          <w:tcPr>
            <w:tcW w:w="1312" w:type="dxa"/>
            <w:gridSpan w:val="2"/>
            <w:vAlign w:val="center"/>
          </w:tcPr>
          <w:p w14:paraId="5985F91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级别</w:t>
            </w:r>
          </w:p>
        </w:tc>
        <w:tc>
          <w:tcPr>
            <w:tcW w:w="1288" w:type="dxa"/>
            <w:vAlign w:val="center"/>
          </w:tcPr>
          <w:p w14:paraId="1A1B955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c>
          <w:tcPr>
            <w:tcW w:w="862" w:type="dxa"/>
            <w:vAlign w:val="center"/>
          </w:tcPr>
          <w:p w14:paraId="68EC10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注册编号</w:t>
            </w:r>
          </w:p>
        </w:tc>
        <w:tc>
          <w:tcPr>
            <w:tcW w:w="2099" w:type="dxa"/>
            <w:vAlign w:val="center"/>
          </w:tcPr>
          <w:p w14:paraId="03D8071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tc>
      </w:tr>
      <w:tr w14:paraId="2C29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exact"/>
          <w:jc w:val="center"/>
        </w:trPr>
        <w:tc>
          <w:tcPr>
            <w:tcW w:w="1387" w:type="dxa"/>
            <w:vMerge w:val="continue"/>
            <w:vAlign w:val="center"/>
          </w:tcPr>
          <w:p w14:paraId="190566E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c>
          <w:tcPr>
            <w:tcW w:w="1711" w:type="dxa"/>
            <w:vMerge w:val="continue"/>
            <w:vAlign w:val="center"/>
          </w:tcPr>
          <w:p w14:paraId="568D7F0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c>
          <w:tcPr>
            <w:tcW w:w="1312" w:type="dxa"/>
            <w:gridSpan w:val="2"/>
            <w:vAlign w:val="center"/>
          </w:tcPr>
          <w:p w14:paraId="6D7E957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身份证号</w:t>
            </w:r>
          </w:p>
        </w:tc>
        <w:tc>
          <w:tcPr>
            <w:tcW w:w="4249" w:type="dxa"/>
            <w:gridSpan w:val="3"/>
            <w:vAlign w:val="center"/>
          </w:tcPr>
          <w:p w14:paraId="6664040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tc>
      </w:tr>
      <w:tr w14:paraId="032C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exact"/>
          <w:jc w:val="center"/>
        </w:trPr>
        <w:tc>
          <w:tcPr>
            <w:tcW w:w="3422" w:type="dxa"/>
            <w:gridSpan w:val="3"/>
            <w:vAlign w:val="center"/>
          </w:tcPr>
          <w:p w14:paraId="318C006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磋商内容</w:t>
            </w:r>
          </w:p>
        </w:tc>
        <w:tc>
          <w:tcPr>
            <w:tcW w:w="5237" w:type="dxa"/>
            <w:gridSpan w:val="4"/>
            <w:vAlign w:val="center"/>
          </w:tcPr>
          <w:p w14:paraId="6068BB9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tc>
      </w:tr>
      <w:tr w14:paraId="5C44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3422" w:type="dxa"/>
            <w:gridSpan w:val="3"/>
            <w:vAlign w:val="center"/>
          </w:tcPr>
          <w:p w14:paraId="1869A5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磋商报价</w:t>
            </w:r>
          </w:p>
        </w:tc>
        <w:tc>
          <w:tcPr>
            <w:tcW w:w="5237" w:type="dxa"/>
            <w:gridSpan w:val="4"/>
            <w:vAlign w:val="center"/>
          </w:tcPr>
          <w:p w14:paraId="14AB096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rPr>
              <w:t>（大写）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14:paraId="74C6427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（小写）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tc>
      </w:tr>
      <w:tr w14:paraId="648E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3422" w:type="dxa"/>
            <w:gridSpan w:val="3"/>
            <w:vAlign w:val="center"/>
          </w:tcPr>
          <w:p w14:paraId="25FC669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 xml:space="preserve">质量要求 </w:t>
            </w:r>
          </w:p>
        </w:tc>
        <w:tc>
          <w:tcPr>
            <w:tcW w:w="5237" w:type="dxa"/>
            <w:gridSpan w:val="4"/>
            <w:vAlign w:val="center"/>
          </w:tcPr>
          <w:p w14:paraId="76373D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r>
      <w:tr w14:paraId="7D56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422" w:type="dxa"/>
            <w:gridSpan w:val="3"/>
            <w:vAlign w:val="center"/>
          </w:tcPr>
          <w:p w14:paraId="06EE6E6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工期</w:t>
            </w:r>
          </w:p>
        </w:tc>
        <w:tc>
          <w:tcPr>
            <w:tcW w:w="5237" w:type="dxa"/>
            <w:gridSpan w:val="4"/>
            <w:vAlign w:val="center"/>
          </w:tcPr>
          <w:p w14:paraId="2AAADC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r>
      <w:tr w14:paraId="4CE7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3422" w:type="dxa"/>
            <w:gridSpan w:val="3"/>
            <w:vAlign w:val="center"/>
          </w:tcPr>
          <w:p w14:paraId="038747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磋商有效期</w:t>
            </w:r>
          </w:p>
        </w:tc>
        <w:tc>
          <w:tcPr>
            <w:tcW w:w="5237" w:type="dxa"/>
            <w:gridSpan w:val="4"/>
            <w:vAlign w:val="center"/>
          </w:tcPr>
          <w:p w14:paraId="5AC71D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递交截止之日起60日历天</w:t>
            </w:r>
          </w:p>
        </w:tc>
      </w:tr>
      <w:tr w14:paraId="189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3422" w:type="dxa"/>
            <w:gridSpan w:val="3"/>
            <w:vAlign w:val="center"/>
          </w:tcPr>
          <w:p w14:paraId="15AA17C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其他说明</w:t>
            </w:r>
          </w:p>
        </w:tc>
        <w:tc>
          <w:tcPr>
            <w:tcW w:w="5237" w:type="dxa"/>
            <w:gridSpan w:val="4"/>
            <w:vAlign w:val="center"/>
          </w:tcPr>
          <w:p w14:paraId="273E90B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tc>
      </w:tr>
    </w:tbl>
    <w:p w14:paraId="3B84FBD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69A5AAE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1ADFABA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6C649B41">
      <w:pPr>
        <w:pageBreakBefore w:val="0"/>
        <w:kinsoku/>
        <w:overflowPunct/>
        <w:topLinePunct w:val="0"/>
        <w:bidi w:val="0"/>
        <w:adjustRightInd w:val="0"/>
        <w:snapToGrid w:val="0"/>
        <w:spacing w:beforeAutospacing="0" w:afterAutospacing="0" w:line="360" w:lineRule="auto"/>
        <w:ind w:left="0" w:leftChars="0" w:right="0" w:rightChars="0" w:firstLine="3360" w:firstLineChars="1400"/>
        <w:outlineLvl w:val="9"/>
        <w:rPr>
          <w:rFonts w:hint="eastAsia" w:ascii="宋体" w:hAnsi="宋体" w:eastAsia="宋体" w:cs="宋体"/>
          <w:sz w:val="24"/>
          <w:highlight w:val="none"/>
        </w:rPr>
      </w:pP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41F839A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7C7AE9C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14:paraId="57AB150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2EFD559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highlight w:val="none"/>
        </w:rPr>
      </w:pPr>
      <w:r>
        <w:rPr>
          <w:rFonts w:hint="eastAsia" w:ascii="宋体" w:hAnsi="宋体" w:eastAsia="宋体" w:cs="宋体"/>
          <w:sz w:val="24"/>
          <w:highlight w:val="none"/>
        </w:rPr>
        <w:t xml:space="preserve">                                                     年    月    日</w:t>
      </w:r>
    </w:p>
    <w:p w14:paraId="6E6356B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rPr>
      </w:pPr>
      <w:bookmarkStart w:id="1083" w:name="_Toc23613"/>
      <w:r>
        <w:rPr>
          <w:rFonts w:hint="eastAsia" w:ascii="宋体" w:hAnsi="宋体" w:eastAsia="宋体" w:cs="宋体"/>
          <w:b/>
          <w:bCs/>
          <w:sz w:val="32"/>
          <w:szCs w:val="32"/>
          <w:highlight w:val="none"/>
        </w:rPr>
        <w:t>二、法定代表人身份证明及授权委托书</w:t>
      </w:r>
      <w:bookmarkEnd w:id="1076"/>
      <w:bookmarkEnd w:id="1077"/>
      <w:bookmarkEnd w:id="1083"/>
      <w:bookmarkStart w:id="1084" w:name="_Toc234382962"/>
      <w:bookmarkEnd w:id="1084"/>
      <w:bookmarkStart w:id="1085" w:name="_Toc387671679"/>
      <w:bookmarkEnd w:id="1085"/>
      <w:bookmarkStart w:id="1086" w:name="_Toc387671317"/>
      <w:bookmarkEnd w:id="1086"/>
      <w:bookmarkStart w:id="1087" w:name="_Toc387669603"/>
      <w:bookmarkEnd w:id="1087"/>
    </w:p>
    <w:p w14:paraId="7AC5951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（一）法定代表人身份证明</w:t>
      </w:r>
    </w:p>
    <w:p w14:paraId="73577AA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lang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p>
    <w:p w14:paraId="29F6FD7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单位性质：</w:t>
      </w:r>
      <w:r>
        <w:rPr>
          <w:rFonts w:hint="eastAsia" w:ascii="宋体" w:hAnsi="宋体" w:eastAsia="宋体" w:cs="宋体"/>
          <w:sz w:val="24"/>
          <w:highlight w:val="none"/>
          <w:u w:val="single"/>
        </w:rPr>
        <w:t xml:space="preserve">                                   </w:t>
      </w:r>
    </w:p>
    <w:p w14:paraId="3C521D2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01A1BA6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成立时间：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0C1CF2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经营期限：</w:t>
      </w:r>
      <w:r>
        <w:rPr>
          <w:rFonts w:hint="eastAsia" w:ascii="宋体" w:hAnsi="宋体" w:eastAsia="宋体" w:cs="宋体"/>
          <w:sz w:val="24"/>
          <w:highlight w:val="none"/>
          <w:u w:val="single"/>
        </w:rPr>
        <w:t xml:space="preserve">                                 </w:t>
      </w:r>
    </w:p>
    <w:p w14:paraId="7925748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47B74AB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单位名称）的法定代表人。</w:t>
      </w:r>
    </w:p>
    <w:p w14:paraId="147FBE5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特此证明。</w:t>
      </w:r>
    </w:p>
    <w:p w14:paraId="41DECBE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3ED6315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附：法定代表人身份证复印件</w:t>
      </w:r>
    </w:p>
    <w:p w14:paraId="1E26AD4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241BE06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3D7ABA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right"/>
        <w:outlineLvl w:val="9"/>
        <w:rPr>
          <w:rFonts w:hint="eastAsia" w:ascii="宋体" w:hAnsi="宋体" w:eastAsia="宋体" w:cs="宋体"/>
          <w:sz w:val="24"/>
          <w:highlight w:val="none"/>
        </w:rPr>
      </w:pP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54FFC513">
      <w:pPr>
        <w:pStyle w:val="38"/>
        <w:pageBreakBefore w:val="0"/>
        <w:kinsoku/>
        <w:overflowPunct/>
        <w:topLinePunct w:val="0"/>
        <w:bidi w:val="0"/>
        <w:adjustRightInd w:val="0"/>
        <w:snapToGrid w:val="0"/>
        <w:spacing w:beforeAutospacing="0" w:after="0" w:afterAutospacing="0" w:line="360" w:lineRule="auto"/>
        <w:ind w:left="0" w:leftChars="0" w:right="0" w:rightChars="0" w:firstLine="0" w:firstLineChars="0"/>
        <w:outlineLvl w:val="9"/>
        <w:rPr>
          <w:rFonts w:hint="eastAsia" w:ascii="宋体" w:hAnsi="宋体" w:eastAsia="宋体" w:cs="宋体"/>
          <w:highlight w:val="none"/>
        </w:rPr>
      </w:pPr>
    </w:p>
    <w:p w14:paraId="4B0570B2">
      <w:pPr>
        <w:pStyle w:val="7"/>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right"/>
        <w:outlineLvl w:val="9"/>
        <w:rPr>
          <w:rFonts w:hint="eastAsia" w:ascii="宋体" w:hAnsi="宋体" w:eastAsia="宋体" w:cs="宋体"/>
          <w:kern w:val="2"/>
          <w:szCs w:val="22"/>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年</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月</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日</w:t>
      </w:r>
    </w:p>
    <w:p w14:paraId="5B8E127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5B24714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0C665C3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42D7762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31D078C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1AD114C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026663E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7FB96C19">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kern w:val="44"/>
          <w:sz w:val="24"/>
          <w:szCs w:val="24"/>
          <w:highlight w:val="none"/>
        </w:rPr>
      </w:pPr>
      <w:bookmarkStart w:id="1088" w:name="_Toc2342"/>
      <w:bookmarkStart w:id="1089" w:name="_Toc5803"/>
      <w:r>
        <w:rPr>
          <w:rFonts w:hint="eastAsia" w:ascii="宋体" w:hAnsi="宋体" w:eastAsia="宋体" w:cs="宋体"/>
          <w:b/>
          <w:bCs/>
          <w:kern w:val="44"/>
          <w:sz w:val="24"/>
          <w:szCs w:val="24"/>
          <w:highlight w:val="none"/>
        </w:rPr>
        <w:br w:type="page"/>
      </w:r>
    </w:p>
    <w:p w14:paraId="48C1F55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（二）授权委托书</w:t>
      </w:r>
      <w:bookmarkEnd w:id="1088"/>
      <w:bookmarkEnd w:id="1089"/>
    </w:p>
    <w:p w14:paraId="4EA8647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5CEB5719">
      <w:pPr>
        <w:pageBreakBefore w:val="0"/>
        <w:kinsoku/>
        <w:overflowPunct/>
        <w:topLinePunct w:val="0"/>
        <w:bidi w:val="0"/>
        <w:adjustRightInd w:val="0"/>
        <w:snapToGrid w:val="0"/>
        <w:spacing w:beforeAutospacing="0" w:afterAutospacing="0" w:line="360" w:lineRule="auto"/>
        <w:ind w:left="0" w:leftChars="0" w:right="0" w:rightChars="0" w:firstLine="480" w:firstLineChars="200"/>
        <w:outlineLvl w:val="9"/>
        <w:rPr>
          <w:rFonts w:hint="eastAsia" w:ascii="宋体" w:hAnsi="宋体" w:eastAsia="宋体" w:cs="宋体"/>
          <w:bCs/>
          <w:sz w:val="24"/>
          <w:highlight w:val="none"/>
        </w:rPr>
      </w:pPr>
      <w:bookmarkStart w:id="1090" w:name="_Toc69718843"/>
      <w:bookmarkEnd w:id="1090"/>
      <w:bookmarkStart w:id="1091" w:name="_Toc25646"/>
      <w:bookmarkStart w:id="1092" w:name="_Toc21259"/>
      <w:r>
        <w:rPr>
          <w:rFonts w:hint="eastAsia" w:ascii="宋体" w:hAnsi="宋体" w:eastAsia="宋体" w:cs="宋体"/>
          <w:bCs/>
          <w:sz w:val="24"/>
          <w:highlight w:val="none"/>
        </w:rPr>
        <w:t>本人</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（姓名）系</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名称）的法定代表人，现委托</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（姓名）为我方代理人。代理人根据授权，以我方名义签署、澄清、说明、补正、递交、撤回、修改</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（项目名称）</w:t>
      </w:r>
      <w:r>
        <w:rPr>
          <w:rFonts w:hint="eastAsia" w:ascii="宋体" w:hAnsi="宋体" w:eastAsia="宋体" w:cs="宋体"/>
          <w:bCs/>
          <w:sz w:val="24"/>
          <w:highlight w:val="none"/>
          <w:lang w:eastAsia="zh-CN"/>
        </w:rPr>
        <w:t>投标文件</w:t>
      </w:r>
      <w:r>
        <w:rPr>
          <w:rFonts w:hint="eastAsia" w:ascii="宋体" w:hAnsi="宋体" w:eastAsia="宋体" w:cs="宋体"/>
          <w:bCs/>
          <w:sz w:val="24"/>
          <w:highlight w:val="none"/>
        </w:rPr>
        <w:t>、签订合同和处理有关事宜，其法律后果由我方承担。</w:t>
      </w:r>
    </w:p>
    <w:p w14:paraId="5FF5E7B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委托期限：</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w:t>
      </w:r>
    </w:p>
    <w:p w14:paraId="7A44A87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代理人无转委托权。 </w:t>
      </w:r>
    </w:p>
    <w:p w14:paraId="56F5271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0B670BE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3C53643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045EDD7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00C96D5F">
      <w:pPr>
        <w:pageBreakBefore w:val="0"/>
        <w:kinsoku/>
        <w:overflowPunct/>
        <w:topLinePunct w:val="0"/>
        <w:bidi w:val="0"/>
        <w:adjustRightInd w:val="0"/>
        <w:snapToGrid w:val="0"/>
        <w:spacing w:beforeAutospacing="0" w:afterAutospacing="0" w:line="360" w:lineRule="auto"/>
        <w:ind w:left="0" w:leftChars="0" w:right="0" w:rightChars="0" w:firstLine="4080" w:firstLineChars="1700"/>
        <w:jc w:val="both"/>
        <w:outlineLvl w:val="9"/>
        <w:rPr>
          <w:rFonts w:hint="eastAsia" w:ascii="宋体" w:hAnsi="宋体" w:eastAsia="宋体" w:cs="宋体"/>
          <w:bCs/>
          <w:sz w:val="24"/>
          <w:highlight w:val="none"/>
        </w:rPr>
      </w:pP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公章电子签章</w:t>
      </w:r>
      <w:r>
        <w:rPr>
          <w:rFonts w:hint="eastAsia" w:ascii="宋体" w:hAnsi="宋体" w:eastAsia="宋体" w:cs="宋体"/>
          <w:bCs/>
          <w:sz w:val="24"/>
          <w:highlight w:val="none"/>
        </w:rPr>
        <w:t xml:space="preserve">） </w:t>
      </w:r>
    </w:p>
    <w:p w14:paraId="31705BFA">
      <w:pPr>
        <w:pageBreakBefore w:val="0"/>
        <w:kinsoku/>
        <w:overflowPunct/>
        <w:topLinePunct w:val="0"/>
        <w:bidi w:val="0"/>
        <w:adjustRightInd w:val="0"/>
        <w:snapToGrid w:val="0"/>
        <w:spacing w:beforeAutospacing="0" w:afterAutospacing="0" w:line="360" w:lineRule="auto"/>
        <w:ind w:left="0" w:leftChars="0" w:right="0" w:rightChars="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（电子签章）</w:t>
      </w:r>
    </w:p>
    <w:p w14:paraId="75B01E75">
      <w:pPr>
        <w:pageBreakBefore w:val="0"/>
        <w:tabs>
          <w:tab w:val="left" w:pos="6510"/>
        </w:tabs>
        <w:kinsoku/>
        <w:overflowPunct/>
        <w:topLinePunct w:val="0"/>
        <w:bidi w:val="0"/>
        <w:adjustRightInd w:val="0"/>
        <w:snapToGrid w:val="0"/>
        <w:spacing w:beforeAutospacing="0" w:afterAutospacing="0" w:line="360" w:lineRule="auto"/>
        <w:ind w:right="0" w:rightChars="0" w:firstLine="4320" w:firstLineChars="1800"/>
        <w:jc w:val="left"/>
        <w:outlineLvl w:val="9"/>
        <w:rPr>
          <w:rFonts w:hint="eastAsia" w:ascii="宋体" w:hAnsi="宋体" w:eastAsia="宋体" w:cs="宋体"/>
          <w:sz w:val="24"/>
          <w:highlight w:val="none"/>
        </w:rPr>
      </w:pPr>
      <w:r>
        <w:rPr>
          <w:rFonts w:hint="eastAsia" w:ascii="宋体" w:hAnsi="宋体" w:eastAsia="宋体" w:cs="宋体"/>
          <w:color w:val="auto"/>
          <w:sz w:val="24"/>
          <w:highlight w:val="none"/>
          <w:lang w:val="en-US" w:eastAsia="zh-CN"/>
        </w:rPr>
        <w:t>时间：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年     月  </w:t>
      </w:r>
      <w:r>
        <w:rPr>
          <w:rFonts w:hint="eastAsia" w:ascii="宋体" w:hAnsi="宋体" w:eastAsia="宋体" w:cs="宋体"/>
          <w:color w:val="auto"/>
          <w:sz w:val="24"/>
          <w:highlight w:val="none"/>
          <w:u w:val="single"/>
          <w:lang w:val="en-US" w:eastAsia="zh-CN"/>
        </w:rPr>
        <w:t xml:space="preserve">  日</w:t>
      </w:r>
      <w:r>
        <w:rPr>
          <w:rFonts w:hint="eastAsia" w:ascii="宋体" w:hAnsi="宋体" w:eastAsia="宋体" w:cs="宋体"/>
          <w:color w:val="auto"/>
          <w:sz w:val="24"/>
          <w:highlight w:val="none"/>
        </w:rPr>
        <w:t xml:space="preserve"> </w:t>
      </w:r>
    </w:p>
    <w:p w14:paraId="5A72889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u w:val="single"/>
        </w:rPr>
      </w:pPr>
    </w:p>
    <w:p w14:paraId="36E982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p w14:paraId="0020E2F7">
      <w:pPr>
        <w:pageBreakBefore w:val="0"/>
        <w:tabs>
          <w:tab w:val="left" w:pos="6510"/>
        </w:tabs>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color w:val="auto"/>
          <w:sz w:val="24"/>
          <w:highlight w:val="none"/>
        </w:rPr>
        <w:t xml:space="preserve"> </w:t>
      </w:r>
    </w:p>
    <w:p w14:paraId="5C2635B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4D950F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rPr>
      </w:pPr>
      <w:bookmarkStart w:id="1093" w:name="_Toc7558"/>
      <w:r>
        <w:rPr>
          <w:rFonts w:hint="eastAsia" w:ascii="宋体" w:hAnsi="宋体" w:eastAsia="宋体" w:cs="宋体"/>
          <w:b/>
          <w:bCs/>
          <w:sz w:val="32"/>
          <w:szCs w:val="32"/>
          <w:highlight w:val="none"/>
        </w:rPr>
        <w:t>三</w:t>
      </w:r>
      <w:bookmarkEnd w:id="1091"/>
      <w:bookmarkEnd w:id="1092"/>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磋商承诺函</w:t>
      </w:r>
      <w:bookmarkEnd w:id="1093"/>
    </w:p>
    <w:p w14:paraId="239B697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highlight w:val="none"/>
        </w:rPr>
      </w:pPr>
      <w:r>
        <w:rPr>
          <w:rFonts w:hint="eastAsia" w:ascii="宋体" w:hAnsi="宋体" w:eastAsia="宋体" w:cs="宋体"/>
          <w:b/>
          <w:sz w:val="24"/>
          <w:highlight w:val="none"/>
        </w:rPr>
        <w:t>致：</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u w:val="single"/>
          <w:lang w:eastAsia="zh-CN"/>
        </w:rPr>
        <w:t>招标人</w:t>
      </w:r>
      <w:r>
        <w:rPr>
          <w:rFonts w:hint="eastAsia" w:ascii="宋体" w:hAnsi="宋体" w:eastAsia="宋体" w:cs="宋体"/>
          <w:b/>
          <w:sz w:val="24"/>
          <w:highlight w:val="none"/>
          <w:u w:val="single"/>
        </w:rPr>
        <w:t xml:space="preserve">及采购代理机构） </w:t>
      </w:r>
    </w:p>
    <w:p w14:paraId="69FBC57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我公司作为本次采购项目的</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，根据竞争性磋商文件要求，现郑重承诺如下：</w:t>
      </w:r>
    </w:p>
    <w:p w14:paraId="0B0E9ED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一、具备《中华人民共和国政府采购法》第二十二条第一款和本项目规定的条件：</w:t>
      </w:r>
    </w:p>
    <w:p w14:paraId="1B7E913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（一）具有独立承担民事责任的能力； </w:t>
      </w:r>
    </w:p>
    <w:p w14:paraId="2811DF3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（二）具有良好的商业信誉和健全的财务会计制度； </w:t>
      </w:r>
    </w:p>
    <w:p w14:paraId="7CBE800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（三）具有履行合同所必需的设备和专业技术能力； </w:t>
      </w:r>
    </w:p>
    <w:p w14:paraId="5BD94E7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（四）有依法缴纳税收和社会保障资金的良好记录； </w:t>
      </w:r>
    </w:p>
    <w:p w14:paraId="2B6E8DA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（五）参加政府采购活动前三年内，在经营活动中没有重大违法记录； </w:t>
      </w:r>
    </w:p>
    <w:p w14:paraId="146A4F0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（六）法律、行政法规规定的其他条件； </w:t>
      </w:r>
    </w:p>
    <w:p w14:paraId="442F912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（七）根据采购项目提出的特殊条件。 </w:t>
      </w:r>
    </w:p>
    <w:p w14:paraId="40FC016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二、完全接受和满足本项目竞争性磋商文件中规定的实质性要求，如对竞争性磋商文件有异议，已经在磋商截止时间届满前依法进行维权，不存在对竞争性磋商文件有异议的同时又参加竞争性磋商以求侥幸成交或者为实现其他非法目的的行为。</w:t>
      </w:r>
    </w:p>
    <w:p w14:paraId="414D5DA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三、参加本次项目，不存在与单位负责人为同一人或者存在直接控股、管理关系的其他</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参与同一合同项下的政府采购活动的行为。 </w:t>
      </w:r>
    </w:p>
    <w:p w14:paraId="3134A12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四、参加本次项目，不存在为本项目提供整体设计、规范编制或者项目管理、监理、检测等服务的行为。</w:t>
      </w:r>
    </w:p>
    <w:p w14:paraId="080CC35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五、参加本次项目，不存在和其他</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在同一合同项下的采购项目中，同时委托同一个自然人、同一家庭的人员、同一单位的人员作为代理人的行为。 </w:t>
      </w:r>
    </w:p>
    <w:p w14:paraId="6A92105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六、参加本次政府采购活动要求在近三年内</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和其法定代表人没有行贿犯罪行为。 </w:t>
      </w:r>
    </w:p>
    <w:p w14:paraId="1036521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七、参加本次项目，不存在联合体磋商。 </w:t>
      </w:r>
    </w:p>
    <w:p w14:paraId="7552967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highlight w:val="none"/>
        </w:rPr>
      </w:pPr>
      <w:r>
        <w:rPr>
          <w:rFonts w:hint="eastAsia" w:ascii="宋体" w:hAnsi="宋体" w:eastAsia="宋体" w:cs="宋体"/>
          <w:b/>
          <w:sz w:val="24"/>
          <w:highlight w:val="none"/>
        </w:rPr>
        <w:t xml:space="preserve">八、存在以下行为之一的愿意接受相关部门的处理： </w:t>
      </w:r>
    </w:p>
    <w:p w14:paraId="07956E9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（一）磋商有效期内撤销</w:t>
      </w:r>
      <w:r>
        <w:rPr>
          <w:rFonts w:hint="eastAsia" w:ascii="宋体" w:hAnsi="宋体" w:eastAsia="宋体" w:cs="宋体"/>
          <w:bCs/>
          <w:sz w:val="24"/>
          <w:highlight w:val="none"/>
          <w:lang w:eastAsia="zh-CN"/>
        </w:rPr>
        <w:t>投标文件</w:t>
      </w:r>
      <w:r>
        <w:rPr>
          <w:rFonts w:hint="eastAsia" w:ascii="宋体" w:hAnsi="宋体" w:eastAsia="宋体" w:cs="宋体"/>
          <w:bCs/>
          <w:sz w:val="24"/>
          <w:highlight w:val="none"/>
        </w:rPr>
        <w:t xml:space="preserve">的； </w:t>
      </w:r>
    </w:p>
    <w:p w14:paraId="2ABCF40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（二）在</w:t>
      </w:r>
      <w:r>
        <w:rPr>
          <w:rFonts w:hint="eastAsia" w:ascii="宋体" w:hAnsi="宋体" w:eastAsia="宋体" w:cs="宋体"/>
          <w:bCs/>
          <w:sz w:val="24"/>
          <w:highlight w:val="none"/>
          <w:lang w:eastAsia="zh-CN"/>
        </w:rPr>
        <w:t>招标人</w:t>
      </w:r>
      <w:r>
        <w:rPr>
          <w:rFonts w:hint="eastAsia" w:ascii="宋体" w:hAnsi="宋体" w:eastAsia="宋体" w:cs="宋体"/>
          <w:bCs/>
          <w:sz w:val="24"/>
          <w:highlight w:val="none"/>
        </w:rPr>
        <w:t xml:space="preserve">确定成交人以前放弃成交候选资格的； </w:t>
      </w:r>
    </w:p>
    <w:p w14:paraId="182C802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（三）由于成交人的原因未能按照竞争性磋商文件的规定与</w:t>
      </w:r>
      <w:r>
        <w:rPr>
          <w:rFonts w:hint="eastAsia" w:ascii="宋体" w:hAnsi="宋体" w:eastAsia="宋体" w:cs="宋体"/>
          <w:bCs/>
          <w:sz w:val="24"/>
          <w:highlight w:val="none"/>
          <w:lang w:eastAsia="zh-CN"/>
        </w:rPr>
        <w:t>招标人</w:t>
      </w:r>
      <w:r>
        <w:rPr>
          <w:rFonts w:hint="eastAsia" w:ascii="宋体" w:hAnsi="宋体" w:eastAsia="宋体" w:cs="宋体"/>
          <w:bCs/>
          <w:sz w:val="24"/>
          <w:highlight w:val="none"/>
        </w:rPr>
        <w:t>签订合同；</w:t>
      </w:r>
    </w:p>
    <w:p w14:paraId="219FA28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（四）由于成交人的原因未能按照竞争性磋商文件的规定交纳履约担保； </w:t>
      </w:r>
    </w:p>
    <w:p w14:paraId="4B25EA3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（五）在</w:t>
      </w:r>
      <w:r>
        <w:rPr>
          <w:rFonts w:hint="eastAsia" w:ascii="宋体" w:hAnsi="宋体" w:eastAsia="宋体" w:cs="宋体"/>
          <w:bCs/>
          <w:sz w:val="24"/>
          <w:highlight w:val="none"/>
          <w:lang w:eastAsia="zh-CN"/>
        </w:rPr>
        <w:t>投标文件</w:t>
      </w:r>
      <w:r>
        <w:rPr>
          <w:rFonts w:hint="eastAsia" w:ascii="宋体" w:hAnsi="宋体" w:eastAsia="宋体" w:cs="宋体"/>
          <w:bCs/>
          <w:sz w:val="24"/>
          <w:highlight w:val="none"/>
        </w:rPr>
        <w:t xml:space="preserve">中提供虚假材料谋取成交的； </w:t>
      </w:r>
    </w:p>
    <w:p w14:paraId="7CC84A7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（六）与</w:t>
      </w:r>
      <w:r>
        <w:rPr>
          <w:rFonts w:hint="eastAsia" w:ascii="宋体" w:hAnsi="宋体" w:eastAsia="宋体" w:cs="宋体"/>
          <w:bCs/>
          <w:sz w:val="24"/>
          <w:highlight w:val="none"/>
          <w:lang w:eastAsia="zh-CN"/>
        </w:rPr>
        <w:t>招标人</w:t>
      </w:r>
      <w:r>
        <w:rPr>
          <w:rFonts w:hint="eastAsia" w:ascii="宋体" w:hAnsi="宋体" w:eastAsia="宋体" w:cs="宋体"/>
          <w:bCs/>
          <w:sz w:val="24"/>
          <w:highlight w:val="none"/>
        </w:rPr>
        <w:t>、其他</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或者采购代理机构恶意串通的； </w:t>
      </w:r>
    </w:p>
    <w:p w14:paraId="6A0E860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（七）磋商有效期内，</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在政府采购活动中有违法、违规、违纪行为。 </w:t>
      </w:r>
    </w:p>
    <w:p w14:paraId="23CF148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由此产生的一切法律后果和责任由我公司承担。我公司声明放弃对此提出任何异议和追索的权利。 </w:t>
      </w:r>
    </w:p>
    <w:p w14:paraId="3A0F343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本公司对上述承诺的内容事项真实性负责。如经查实上述承诺的内容事项存在虚假，我公司愿意接受以提供虚假材料谋取中标追究法律责任。</w:t>
      </w:r>
    </w:p>
    <w:p w14:paraId="6664872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lang w:eastAsia="zh-CN"/>
        </w:rPr>
      </w:pPr>
    </w:p>
    <w:p w14:paraId="2E23060D">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highlight w:val="none"/>
        </w:rPr>
      </w:pPr>
    </w:p>
    <w:p w14:paraId="6E732D7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3B560F4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highlight w:val="none"/>
        </w:rPr>
      </w:pPr>
    </w:p>
    <w:p w14:paraId="50F060FB">
      <w:pPr>
        <w:pStyle w:val="38"/>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center"/>
        <w:outlineLvl w:val="9"/>
        <w:rPr>
          <w:rFonts w:hint="eastAsia" w:ascii="宋体" w:hAnsi="宋体" w:eastAsia="宋体" w:cs="宋体"/>
          <w:highlight w:val="none"/>
        </w:rPr>
      </w:pPr>
      <w:r>
        <w:rPr>
          <w:rFonts w:hint="eastAsia" w:ascii="宋体" w:hAnsi="宋体" w:eastAsia="宋体" w:cs="宋体"/>
          <w:bCs/>
          <w:highlight w:val="none"/>
        </w:rPr>
        <w:t xml:space="preserve">                         法定代表人：</w:t>
      </w:r>
      <w:r>
        <w:rPr>
          <w:rFonts w:hint="eastAsia" w:ascii="宋体" w:hAnsi="宋体" w:eastAsia="宋体" w:cs="宋体"/>
          <w:bCs/>
          <w:highlight w:val="none"/>
          <w:u w:val="single"/>
        </w:rPr>
        <w:t xml:space="preserve">                  </w:t>
      </w:r>
      <w:r>
        <w:rPr>
          <w:rFonts w:hint="eastAsia" w:ascii="宋体" w:hAnsi="宋体" w:eastAsia="宋体" w:cs="宋体"/>
          <w:color w:val="000000"/>
          <w:sz w:val="24"/>
          <w:highlight w:val="none"/>
          <w:lang w:bidi="ar"/>
        </w:rPr>
        <w:t>（</w:t>
      </w:r>
      <w:r>
        <w:rPr>
          <w:rFonts w:hint="eastAsia" w:ascii="宋体" w:hAnsi="宋体" w:eastAsia="宋体" w:cs="宋体"/>
          <w:sz w:val="24"/>
          <w:highlight w:val="none"/>
        </w:rPr>
        <w:t>电子签章</w:t>
      </w:r>
      <w:r>
        <w:rPr>
          <w:rFonts w:hint="eastAsia" w:ascii="宋体" w:hAnsi="宋体" w:eastAsia="宋体" w:cs="宋体"/>
          <w:color w:val="000000"/>
          <w:sz w:val="24"/>
          <w:highlight w:val="none"/>
          <w:lang w:bidi="ar"/>
        </w:rPr>
        <w:t>）</w:t>
      </w:r>
    </w:p>
    <w:p w14:paraId="4BFDC6D8">
      <w:pPr>
        <w:pStyle w:val="7"/>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right"/>
        <w:outlineLvl w:val="9"/>
        <w:rPr>
          <w:rFonts w:hint="eastAsia" w:ascii="宋体" w:hAnsi="宋体" w:eastAsia="宋体" w:cs="宋体"/>
          <w:kern w:val="2"/>
          <w:szCs w:val="22"/>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年</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月</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日</w:t>
      </w:r>
    </w:p>
    <w:p w14:paraId="5E6D7FF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7409520D">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4F4D3D4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54A0364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51DA3ED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333A0A94">
      <w:pPr>
        <w:pStyle w:val="21"/>
        <w:pageBreakBefore w:val="0"/>
        <w:kinsoku/>
        <w:overflowPunct/>
        <w:topLinePunct w:val="0"/>
        <w:bidi w:val="0"/>
        <w:adjustRightInd w:val="0"/>
        <w:snapToGrid w:val="0"/>
        <w:spacing w:after="0" w:line="360" w:lineRule="auto"/>
        <w:rPr>
          <w:rFonts w:hint="eastAsia" w:ascii="宋体" w:hAnsi="宋体" w:eastAsia="宋体" w:cs="宋体"/>
          <w:bCs/>
          <w:sz w:val="24"/>
          <w:highlight w:val="none"/>
        </w:rPr>
      </w:pPr>
    </w:p>
    <w:p w14:paraId="5BAC9FB5">
      <w:pPr>
        <w:pStyle w:val="22"/>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36EC4B86">
      <w:pPr>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1B8BB04A">
      <w:pPr>
        <w:pStyle w:val="21"/>
        <w:pageBreakBefore w:val="0"/>
        <w:kinsoku/>
        <w:overflowPunct/>
        <w:topLinePunct w:val="0"/>
        <w:bidi w:val="0"/>
        <w:adjustRightInd w:val="0"/>
        <w:snapToGrid w:val="0"/>
        <w:spacing w:after="0" w:line="360" w:lineRule="auto"/>
        <w:rPr>
          <w:rFonts w:hint="eastAsia" w:ascii="宋体" w:hAnsi="宋体" w:eastAsia="宋体" w:cs="宋体"/>
          <w:bCs/>
          <w:sz w:val="24"/>
          <w:highlight w:val="none"/>
        </w:rPr>
      </w:pPr>
    </w:p>
    <w:p w14:paraId="2EB2F49A">
      <w:pPr>
        <w:pStyle w:val="22"/>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7DA95584">
      <w:pPr>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17344D31">
      <w:pPr>
        <w:pStyle w:val="21"/>
        <w:pageBreakBefore w:val="0"/>
        <w:kinsoku/>
        <w:overflowPunct/>
        <w:topLinePunct w:val="0"/>
        <w:bidi w:val="0"/>
        <w:adjustRightInd w:val="0"/>
        <w:snapToGrid w:val="0"/>
        <w:spacing w:after="0" w:line="360" w:lineRule="auto"/>
        <w:rPr>
          <w:rFonts w:hint="eastAsia" w:ascii="宋体" w:hAnsi="宋体" w:eastAsia="宋体" w:cs="宋体"/>
          <w:bCs/>
          <w:sz w:val="24"/>
          <w:highlight w:val="none"/>
        </w:rPr>
      </w:pPr>
    </w:p>
    <w:p w14:paraId="475145D9">
      <w:pPr>
        <w:pStyle w:val="22"/>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6FFD5C23">
      <w:pPr>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12C64ADD">
      <w:pPr>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3047C4EF">
      <w:pPr>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27DEA289">
      <w:pPr>
        <w:pageBreakBefore w:val="0"/>
        <w:kinsoku/>
        <w:overflowPunct/>
        <w:topLinePunct w:val="0"/>
        <w:bidi w:val="0"/>
        <w:adjustRightInd w:val="0"/>
        <w:snapToGrid w:val="0"/>
        <w:spacing w:line="360" w:lineRule="auto"/>
        <w:rPr>
          <w:rFonts w:hint="eastAsia" w:ascii="宋体" w:hAnsi="宋体" w:eastAsia="宋体" w:cs="宋体"/>
          <w:bCs/>
          <w:sz w:val="24"/>
          <w:highlight w:val="none"/>
        </w:rPr>
      </w:pPr>
    </w:p>
    <w:p w14:paraId="7F8899DB">
      <w:pPr>
        <w:pStyle w:val="21"/>
        <w:pageBreakBefore w:val="0"/>
        <w:kinsoku/>
        <w:overflowPunct/>
        <w:topLinePunct w:val="0"/>
        <w:bidi w:val="0"/>
        <w:adjustRightInd w:val="0"/>
        <w:snapToGrid w:val="0"/>
        <w:spacing w:after="0" w:line="360" w:lineRule="auto"/>
        <w:rPr>
          <w:rFonts w:hint="eastAsia" w:ascii="宋体" w:hAnsi="宋体" w:eastAsia="宋体" w:cs="宋体"/>
          <w:highlight w:val="none"/>
        </w:rPr>
      </w:pPr>
    </w:p>
    <w:p w14:paraId="37E7ACA1">
      <w:pPr>
        <w:pStyle w:val="22"/>
        <w:rPr>
          <w:rFonts w:hint="eastAsia" w:ascii="宋体" w:hAnsi="宋体" w:eastAsia="宋体" w:cs="宋体"/>
          <w:highlight w:val="none"/>
        </w:rPr>
      </w:pPr>
    </w:p>
    <w:p w14:paraId="4AC40931">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bookmarkStart w:id="1094" w:name="_Toc2430"/>
      <w:bookmarkStart w:id="1095" w:name="_Toc3405"/>
      <w:r>
        <w:rPr>
          <w:rFonts w:hint="eastAsia" w:ascii="宋体" w:hAnsi="宋体" w:eastAsia="宋体" w:cs="宋体"/>
          <w:highlight w:val="none"/>
          <w:lang w:val="en-US" w:eastAsia="zh-CN"/>
        </w:rPr>
        <w:tab/>
      </w:r>
      <w:bookmarkStart w:id="1096" w:name="_Toc8732"/>
      <w:r>
        <w:rPr>
          <w:rFonts w:hint="eastAsia" w:ascii="宋体" w:hAnsi="宋体" w:eastAsia="宋体" w:cs="宋体"/>
          <w:b/>
          <w:bCs/>
          <w:sz w:val="32"/>
          <w:szCs w:val="32"/>
          <w:highlight w:val="none"/>
          <w:lang w:eastAsia="zh-CN"/>
        </w:rPr>
        <w:t>四、</w:t>
      </w:r>
      <w:r>
        <w:rPr>
          <w:rFonts w:hint="eastAsia" w:ascii="宋体" w:hAnsi="宋体" w:eastAsia="宋体" w:cs="宋体"/>
          <w:b/>
          <w:bCs/>
          <w:sz w:val="32"/>
          <w:szCs w:val="32"/>
          <w:highlight w:val="none"/>
        </w:rPr>
        <w:t>已标价工程量清单</w:t>
      </w:r>
      <w:bookmarkEnd w:id="1094"/>
      <w:bookmarkEnd w:id="1095"/>
      <w:bookmarkEnd w:id="1096"/>
    </w:p>
    <w:p w14:paraId="6541FC8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2A84A9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29CF16E8">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2E1AE3F3">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6BC0E794">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0AE95046">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63BFBF53">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8F9F86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007C079">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377C2825">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23887873">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00D3385A">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089048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6273768E">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1EAD8FC3">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803682D">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1D819BEE">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460B2F6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650733A4">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5F250DD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lang w:eastAsia="zh-CN"/>
        </w:rPr>
      </w:pPr>
      <w:bookmarkStart w:id="1097" w:name="_Toc479320260"/>
      <w:bookmarkStart w:id="1098" w:name="_Toc23480"/>
      <w:bookmarkStart w:id="1099" w:name="_Toc10314"/>
      <w:bookmarkStart w:id="1100" w:name="_Toc1884"/>
      <w:r>
        <w:rPr>
          <w:rFonts w:hint="eastAsia" w:ascii="宋体" w:hAnsi="宋体" w:eastAsia="宋体" w:cs="宋体"/>
          <w:b/>
          <w:bCs/>
          <w:caps w:val="0"/>
          <w:snapToGrid w:val="0"/>
          <w:color w:val="auto"/>
          <w:sz w:val="32"/>
          <w:szCs w:val="32"/>
          <w:highlight w:val="none"/>
          <w:lang w:val="en-US" w:eastAsia="zh-CN"/>
        </w:rPr>
        <w:t>五</w:t>
      </w:r>
      <w:r>
        <w:rPr>
          <w:rFonts w:hint="eastAsia" w:ascii="宋体" w:hAnsi="宋体" w:eastAsia="宋体" w:cs="宋体"/>
          <w:b/>
          <w:bCs/>
          <w:caps w:val="0"/>
          <w:snapToGrid w:val="0"/>
          <w:color w:val="auto"/>
          <w:sz w:val="32"/>
          <w:szCs w:val="32"/>
          <w:highlight w:val="none"/>
        </w:rPr>
        <w:t>、</w:t>
      </w:r>
      <w:r>
        <w:rPr>
          <w:rFonts w:hint="eastAsia" w:ascii="宋体" w:hAnsi="宋体" w:eastAsia="宋体" w:cs="宋体"/>
          <w:b/>
          <w:bCs/>
          <w:sz w:val="32"/>
          <w:szCs w:val="32"/>
          <w:highlight w:val="none"/>
          <w:lang w:eastAsia="zh-CN"/>
        </w:rPr>
        <w:t>施工组织设计</w:t>
      </w:r>
      <w:bookmarkEnd w:id="1097"/>
      <w:bookmarkEnd w:id="1098"/>
      <w:bookmarkEnd w:id="1099"/>
      <w:bookmarkEnd w:id="1100"/>
    </w:p>
    <w:p w14:paraId="4BF6EDAD">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snapToGrid w:val="0"/>
          <w:color w:val="auto"/>
          <w:sz w:val="24"/>
          <w:szCs w:val="24"/>
          <w:highlight w:val="none"/>
        </w:rPr>
      </w:pPr>
      <w:r>
        <w:rPr>
          <w:rFonts w:hint="eastAsia" w:ascii="宋体" w:hAnsi="宋体" w:eastAsia="宋体" w:cs="宋体"/>
          <w:caps w:val="0"/>
          <w:snapToGrid w:val="0"/>
          <w:color w:val="auto"/>
          <w:sz w:val="24"/>
          <w:szCs w:val="24"/>
          <w:highlight w:val="none"/>
        </w:rPr>
        <w:t>1．结合工程特点提出切实可行的工程质量、安全生产、文明施工、工程进度、技术组织措施，同时应对关键工序、复杂环节重点提出相应技术措施，如雨季施工技术、减少噪音、降低环境污染、地下管线及其他地上地下设施的保护加固措施等。</w:t>
      </w:r>
    </w:p>
    <w:p w14:paraId="364AE360">
      <w:pPr>
        <w:pageBreakBefore w:val="0"/>
        <w:kinsoku/>
        <w:wordWrap/>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snapToGrid w:val="0"/>
          <w:color w:val="auto"/>
          <w:sz w:val="24"/>
          <w:szCs w:val="24"/>
          <w:highlight w:val="none"/>
        </w:rPr>
      </w:pPr>
      <w:r>
        <w:rPr>
          <w:rFonts w:hint="eastAsia" w:ascii="宋体" w:hAnsi="宋体" w:eastAsia="宋体" w:cs="宋体"/>
          <w:caps w:val="0"/>
          <w:snapToGrid w:val="0"/>
          <w:color w:val="auto"/>
          <w:sz w:val="24"/>
          <w:szCs w:val="24"/>
          <w:highlight w:val="none"/>
        </w:rPr>
        <w:t>2． 投标人应递交施工进度网络图或施工进度表，说明按</w:t>
      </w:r>
      <w:r>
        <w:rPr>
          <w:rFonts w:hint="eastAsia" w:ascii="宋体" w:hAnsi="宋体" w:eastAsia="宋体" w:cs="宋体"/>
          <w:caps w:val="0"/>
          <w:snapToGrid w:val="0"/>
          <w:color w:val="auto"/>
          <w:sz w:val="24"/>
          <w:szCs w:val="24"/>
          <w:highlight w:val="none"/>
          <w:lang w:val="en-US" w:eastAsia="zh-CN"/>
        </w:rPr>
        <w:t>磋商</w:t>
      </w:r>
      <w:r>
        <w:rPr>
          <w:rFonts w:hint="eastAsia" w:ascii="宋体" w:hAnsi="宋体" w:eastAsia="宋体" w:cs="宋体"/>
          <w:caps w:val="0"/>
          <w:snapToGrid w:val="0"/>
          <w:color w:val="auto"/>
          <w:sz w:val="24"/>
          <w:szCs w:val="24"/>
          <w:highlight w:val="none"/>
        </w:rPr>
        <w:t>文件要求的计划工期进行施工的各个关键日期，施工进度表可采用网络图（或横道图）表示。</w:t>
      </w:r>
    </w:p>
    <w:p w14:paraId="4DEB4C2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．施工组织设计除采用文字表述外可附下列图表，图表及格式要求附后</w:t>
      </w:r>
    </w:p>
    <w:p w14:paraId="340389A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附表一  拟投入本工程的主要施工设备表</w:t>
      </w:r>
    </w:p>
    <w:p w14:paraId="66718B1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附表二  拟配备本工程的试验和检测仪器设备表</w:t>
      </w:r>
    </w:p>
    <w:p w14:paraId="45C6711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附表三  劳动力计划表</w:t>
      </w:r>
    </w:p>
    <w:p w14:paraId="0ABE3A9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附表四  计划开、竣工日期和施工进度网络图</w:t>
      </w:r>
    </w:p>
    <w:p w14:paraId="17C033D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附表五  施工总平面图</w:t>
      </w:r>
    </w:p>
    <w:p w14:paraId="23BB676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附表六  临时用地表</w:t>
      </w:r>
    </w:p>
    <w:p w14:paraId="628D8F6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b/>
          <w:bCs/>
          <w:sz w:val="24"/>
          <w:highlight w:val="none"/>
        </w:rPr>
      </w:pPr>
    </w:p>
    <w:p w14:paraId="57F8F2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713D6E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br w:type="page"/>
      </w:r>
      <w:r>
        <w:rPr>
          <w:rFonts w:hint="eastAsia" w:ascii="宋体" w:hAnsi="宋体" w:eastAsia="宋体" w:cs="宋体"/>
          <w:b/>
          <w:bCs/>
          <w:sz w:val="24"/>
          <w:highlight w:val="none"/>
        </w:rPr>
        <w:t>附表一：拟投入本工程的主要施工设备表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59A1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F6DFC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22DC07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设备</w:t>
            </w:r>
          </w:p>
          <w:p w14:paraId="61B6952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227C88A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56F7F7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0E5EE82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0AF0C3E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2D4E53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611D5D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540850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4386E6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额定功率</w:t>
            </w:r>
          </w:p>
          <w:p w14:paraId="4FD43A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7CAA8CE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生产</w:t>
            </w:r>
          </w:p>
          <w:p w14:paraId="0B1C3A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4F6B4C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用于施</w:t>
            </w:r>
          </w:p>
          <w:p w14:paraId="7D9F1C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58FAFB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00C9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18500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C9DA2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027F5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2BA16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D4787C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15EE69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AC9E5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7F8934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11D95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6F115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AE2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BC88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02E10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CFB50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0E403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6EF6E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8551B0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A4018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A25703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F06FB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6AF80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83B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721F1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B864C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509C7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383B0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FF396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A9F89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9AEAF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780C61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C0938C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074880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E60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727FAF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F8748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F55C50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1B3CEE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4664F1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4634F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6CE231F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D6D5A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55DB6C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44273E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F0A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E45B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5DB5E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D6D460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9147E4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DE5F8A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4CE401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E3674B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272103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9E02B1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D45486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633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D3511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7FD073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C9D4F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ACEB1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8A05A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03822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6EC9B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5A3E8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78DF7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465187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FDD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9274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785F3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A71BFC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FE6A48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F5F79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47D4E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C83885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03291F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76FA49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1F424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59D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4E37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BE27E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B81FD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EA92B0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B59AC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330D0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3D17C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5DCAC7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E47C3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E831B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D80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198E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4DC3B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A97A87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A823E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902D5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21A6BC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9CAD21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C661F1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2F11CA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1C5AD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FA0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57169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043AF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272E40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E16C95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2C739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728ED9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6B0681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C90CD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E70096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BDB35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082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7485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BF585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097A0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120222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114EDF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C63428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6CDAB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A33C48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3A94D6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CE75B9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3F8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9619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C0305A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BB971E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30F77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0758BF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A9F6F0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6E5E5E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0EC7D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48F048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F049D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378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D92AF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6DCF6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BF3D9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144B0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B62BE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642E77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0E4A2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E59331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7B053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0D1F1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F0F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EB98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1CA6F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83CD9F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7EFF7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DBE16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B0CD3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59A112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486D7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FBF6C8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E7F56E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B51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08CE5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6B9405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BD84D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0ECE52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F160D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DAAAE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88FE6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FEFEC2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2139D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A15CFE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0EE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6A391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4A50B8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93884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0E2D20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D9537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CEC2F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771FCC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5D809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53E6FE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A28D8C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B07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B4B2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6AD1F6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FB981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F07FA1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22ED9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A1B25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1E6F9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AFF9E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713EF7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713C8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B9B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7FC7E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DF93B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C9AFD3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D5DA8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6B4A1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3B1EA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CBB264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CB19D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71801E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59C9E7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527801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548AB5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233FA01F">
      <w:pPr>
        <w:pStyle w:val="21"/>
        <w:pageBreakBefore w:val="0"/>
        <w:kinsoku/>
        <w:overflowPunct/>
        <w:topLinePunct w:val="0"/>
        <w:bidi w:val="0"/>
        <w:adjustRightInd w:val="0"/>
        <w:snapToGrid w:val="0"/>
        <w:spacing w:after="0" w:line="360" w:lineRule="auto"/>
        <w:rPr>
          <w:rFonts w:hint="eastAsia" w:ascii="宋体" w:hAnsi="宋体" w:eastAsia="宋体" w:cs="宋体"/>
          <w:b/>
          <w:bCs/>
          <w:sz w:val="24"/>
          <w:highlight w:val="none"/>
        </w:rPr>
      </w:pPr>
    </w:p>
    <w:p w14:paraId="4D8044F5">
      <w:pPr>
        <w:pStyle w:val="22"/>
        <w:pageBreakBefore w:val="0"/>
        <w:kinsoku/>
        <w:overflowPunct/>
        <w:topLinePunct w:val="0"/>
        <w:bidi w:val="0"/>
        <w:adjustRightInd w:val="0"/>
        <w:snapToGrid w:val="0"/>
        <w:spacing w:line="360" w:lineRule="auto"/>
        <w:rPr>
          <w:rFonts w:hint="eastAsia" w:ascii="宋体" w:hAnsi="宋体" w:eastAsia="宋体" w:cs="宋体"/>
          <w:b/>
          <w:bCs/>
          <w:sz w:val="24"/>
          <w:highlight w:val="none"/>
        </w:rPr>
      </w:pPr>
    </w:p>
    <w:p w14:paraId="7B95B8AE">
      <w:pPr>
        <w:pageBreakBefore w:val="0"/>
        <w:kinsoku/>
        <w:overflowPunct/>
        <w:topLinePunct w:val="0"/>
        <w:bidi w:val="0"/>
        <w:adjustRightInd w:val="0"/>
        <w:snapToGrid w:val="0"/>
        <w:spacing w:line="360" w:lineRule="auto"/>
        <w:rPr>
          <w:rFonts w:hint="eastAsia" w:ascii="宋体" w:hAnsi="宋体" w:eastAsia="宋体" w:cs="宋体"/>
          <w:highlight w:val="none"/>
        </w:rPr>
      </w:pPr>
    </w:p>
    <w:p w14:paraId="5942E7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321E940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附表二：拟配备本工程的试验和检测仪器设备表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1E85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DA74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0EEE75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仪器设备</w:t>
            </w:r>
          </w:p>
          <w:p w14:paraId="1F9039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7C9947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63AEEC3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2CA0E34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57E68E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4B64022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154126B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47667B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17ED52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已使用</w:t>
            </w:r>
          </w:p>
          <w:p w14:paraId="7B88C81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1319B2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4027D56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03C7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E09E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9E8E8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C05CC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4BB267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C9FE8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E91F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286FB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42105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67142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B7A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E0C7A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D519A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5D9E5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0D01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2369C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6068BE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C17E1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FA7215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C4E28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3BD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3101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22C6DD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05BD87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D120E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958E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38BB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FBC22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1E405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DB2458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6BC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5D64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BB52F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A95033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1EFEE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3570D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F350A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59CE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AF334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E6648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4A8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2D36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C0B6F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F98C4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7675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DD6CD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4086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748B1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F1E2F4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F228B3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385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3D425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563B61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757E4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A3B9A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269BDA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C0031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4B3C67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089AF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D4AEF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3DC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F405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5FECC8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8EEF8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E2F48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D568E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5AE8B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7300A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D9362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230433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D1D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7C2F1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9ECD4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095C8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0E91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954B3B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D3EC5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AE185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70442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A3D20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C4E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F2CF5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BF55BF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E16736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3C278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F43201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CFE64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CB127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8AF9A5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B1C81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A3E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AAFD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5413B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AC39D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D65C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DB5F3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48F96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E33CC4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56EF6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C49AE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D92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B3E1D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44644A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42BACB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C71CC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3591B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D5C96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D58C2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7730C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CEA6B8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574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7337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0D09B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E7D7C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5740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57ED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B07F41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D3B63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B4AC0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FFA2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528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B84B4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8FC64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5FE28C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49394C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33F811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621691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271A69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99547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66B5FA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177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92AD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EA44D7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2704F5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DA9B5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98B48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2980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F83F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989D3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6BB25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FD9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F8F7B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7BEF6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8B589C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CF76D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12EF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DFE9C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F29BB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9B378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CE8AEC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92D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B6EAE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E39108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11120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7EE14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06B4B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03F63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AF702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7013D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45B16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42B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E5A7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FE36F5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BDD14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2AF8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535EA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E3885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F4B3F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3E993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D5365F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EC5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BD6B0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2C853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3880A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CA7C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665E38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50848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8A433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3162A4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E1F0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225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9DE2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7706A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A8EF2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EC2D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0225A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624C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EBE628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F6272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CD336E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CC9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3080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A5F95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1A024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87AD9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D819EA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FEE01C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D657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EDFF8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C521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3AD743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605B3D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5EECD3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5D0FAD3A">
      <w:pPr>
        <w:pStyle w:val="21"/>
        <w:pageBreakBefore w:val="0"/>
        <w:kinsoku/>
        <w:overflowPunct/>
        <w:topLinePunct w:val="0"/>
        <w:bidi w:val="0"/>
        <w:adjustRightInd w:val="0"/>
        <w:snapToGrid w:val="0"/>
        <w:spacing w:after="0" w:line="360" w:lineRule="auto"/>
        <w:rPr>
          <w:rFonts w:hint="eastAsia" w:ascii="宋体" w:hAnsi="宋体" w:eastAsia="宋体" w:cs="宋体"/>
          <w:b/>
          <w:bCs/>
          <w:sz w:val="24"/>
          <w:highlight w:val="none"/>
        </w:rPr>
      </w:pPr>
    </w:p>
    <w:p w14:paraId="0D12B691">
      <w:pPr>
        <w:pStyle w:val="22"/>
        <w:pageBreakBefore w:val="0"/>
        <w:kinsoku/>
        <w:overflowPunct/>
        <w:topLinePunct w:val="0"/>
        <w:bidi w:val="0"/>
        <w:adjustRightInd w:val="0"/>
        <w:snapToGrid w:val="0"/>
        <w:spacing w:line="360" w:lineRule="auto"/>
        <w:rPr>
          <w:rFonts w:hint="eastAsia" w:ascii="宋体" w:hAnsi="宋体" w:eastAsia="宋体" w:cs="宋体"/>
          <w:b/>
          <w:bCs/>
          <w:sz w:val="24"/>
          <w:highlight w:val="none"/>
        </w:rPr>
      </w:pPr>
    </w:p>
    <w:p w14:paraId="61E41D29">
      <w:pPr>
        <w:rPr>
          <w:rFonts w:hint="eastAsia" w:ascii="宋体" w:hAnsi="宋体" w:eastAsia="宋体" w:cs="宋体"/>
          <w:highlight w:val="none"/>
        </w:rPr>
      </w:pPr>
    </w:p>
    <w:p w14:paraId="584B0122">
      <w:pPr>
        <w:pageBreakBefore w:val="0"/>
        <w:kinsoku/>
        <w:overflowPunct/>
        <w:topLinePunct w:val="0"/>
        <w:bidi w:val="0"/>
        <w:adjustRightInd w:val="0"/>
        <w:snapToGrid w:val="0"/>
        <w:spacing w:line="360" w:lineRule="auto"/>
        <w:rPr>
          <w:rFonts w:hint="eastAsia" w:ascii="宋体" w:hAnsi="宋体" w:eastAsia="宋体" w:cs="宋体"/>
          <w:highlight w:val="none"/>
        </w:rPr>
      </w:pPr>
    </w:p>
    <w:p w14:paraId="00CEA5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附表三：劳动力计划表</w:t>
      </w:r>
    </w:p>
    <w:p w14:paraId="3B8414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right"/>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单位：人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4CFC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13AE7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工种</w:t>
            </w:r>
          </w:p>
        </w:tc>
        <w:tc>
          <w:tcPr>
            <w:tcW w:w="7796" w:type="dxa"/>
            <w:gridSpan w:val="7"/>
            <w:tcBorders>
              <w:top w:val="single" w:color="auto" w:sz="4" w:space="0"/>
              <w:left w:val="nil"/>
              <w:bottom w:val="single" w:color="auto" w:sz="4" w:space="0"/>
              <w:right w:val="single" w:color="auto" w:sz="4" w:space="0"/>
            </w:tcBorders>
            <w:noWrap w:val="0"/>
            <w:vAlign w:val="center"/>
          </w:tcPr>
          <w:p w14:paraId="0DCA01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按工程施工阶段投入劳动力情况</w:t>
            </w:r>
          </w:p>
        </w:tc>
      </w:tr>
      <w:tr w14:paraId="45E4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7D5AC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ACB20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913D30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D8C66A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461FA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6BAF8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18E7B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B4B2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F2F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23DAB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14A46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7535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78E8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A40F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1517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9E3E0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296337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1D4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7C08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4906C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7825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C61E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35AC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DD9710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54F66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AC94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13A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05F8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1CCB4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29B11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6054C0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CE6B1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4483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E9B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E4413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EED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CD02A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19F16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188496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B515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A9584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F97D1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FACA7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C5631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953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CD41B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5097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1F16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B35C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8941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B7497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663CC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1D91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6FC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1828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B0688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00DD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6FAE3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AFC6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B8341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A163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5BB4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5FC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A7C3F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3F9B12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D0938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D88689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30C2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9AC5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8AA7A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110B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081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0703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46F2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FD1D4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A9CE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E97D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F1B5D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AF2F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0C4A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B96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B278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3E02B7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98A7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6972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287074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AA8B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F719F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79855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EB2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AD0F96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4B367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2750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BA8C4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FBEF6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FDBAF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FE3CD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C5D5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D89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10D821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8F1C93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C6FB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462C1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FD6F2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A28B04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26A3D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08BD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33C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A5349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21DC2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E9461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E67D5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13801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C8A03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CC5F0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6B37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46C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5F86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7967D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1C922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12B32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1686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3C759C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D40B6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9B283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039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AB1F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AA3D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B31B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AB17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ACD5C8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F2F4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C34FC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35BAC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F83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B3FD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97C3C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63575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DFDFD8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FE27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DD03E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76FE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16BF4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996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C747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FB02D1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E6E9A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98B1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C67C3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03EC8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A0E5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1878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0A0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101B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240A6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1E19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DA47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DE537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A7F6B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FD138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0AC3C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743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0F328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CF20A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4382C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C9E55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F93B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DB2F4E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FBB6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FA65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907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97C9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9A66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BF5D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13D0C3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422D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3C91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626D9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15278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75A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E560B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7E026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74C6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FEF2A3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22D42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20C3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FF8107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AC67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5FDEF87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br w:type="page"/>
      </w:r>
    </w:p>
    <w:p w14:paraId="6469D8F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附表四：计划开、竣工日期和施工进度网络图</w:t>
      </w:r>
    </w:p>
    <w:p w14:paraId="782DAC5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应递交施工进度网络图或施工进度表，说明按磋商文件要求的计划工期进行施工的各个关键日期。</w:t>
      </w:r>
    </w:p>
    <w:p w14:paraId="23C45A7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2．施工进度表可采用网络图和（或）横道图表示。</w:t>
      </w:r>
    </w:p>
    <w:p w14:paraId="12F4F7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rPr>
        <w:t>附表五：施工总平面图</w:t>
      </w:r>
    </w:p>
    <w:p w14:paraId="3E0A90C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rPr>
        <w:t>附表六：临时用地表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2B7B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213F71A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用  途</w:t>
            </w:r>
          </w:p>
        </w:tc>
        <w:tc>
          <w:tcPr>
            <w:tcW w:w="2079" w:type="dxa"/>
            <w:tcBorders>
              <w:top w:val="single" w:color="auto" w:sz="4" w:space="0"/>
              <w:left w:val="nil"/>
              <w:bottom w:val="single" w:color="auto" w:sz="4" w:space="0"/>
              <w:right w:val="single" w:color="auto" w:sz="4" w:space="0"/>
            </w:tcBorders>
            <w:noWrap w:val="0"/>
            <w:vAlign w:val="center"/>
          </w:tcPr>
          <w:p w14:paraId="699541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592E0D7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位  置</w:t>
            </w:r>
          </w:p>
        </w:tc>
        <w:tc>
          <w:tcPr>
            <w:tcW w:w="2079" w:type="dxa"/>
            <w:tcBorders>
              <w:top w:val="single" w:color="auto" w:sz="4" w:space="0"/>
              <w:left w:val="nil"/>
              <w:bottom w:val="single" w:color="auto" w:sz="4" w:space="0"/>
              <w:right w:val="single" w:color="auto" w:sz="4" w:space="0"/>
            </w:tcBorders>
            <w:noWrap w:val="0"/>
            <w:vAlign w:val="center"/>
          </w:tcPr>
          <w:p w14:paraId="488742C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需用时间</w:t>
            </w:r>
          </w:p>
        </w:tc>
      </w:tr>
      <w:tr w14:paraId="74AB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28B6DA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7533DC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3031F4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BBE89B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3658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D66168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9C9DF5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B5B854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4ED8578">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23F3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DD048C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75CD13D">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DB0240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CB2802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F7F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E01592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78D11CD">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767040D">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0EDAEB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1B0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8D2B8B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E7549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1B312C9">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94D0E3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78A0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8536CB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BE30AB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8337AA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EE299D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1352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3DB2EE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75D58C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1FA667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6D5A1A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E96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BB7748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D5664A9">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1172D8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F7410D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231A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9BA77C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09D5E4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A1E842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91865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31B5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732668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899B0D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532FA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E585CF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736E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89F8BA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EAA18F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AAB904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59B624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75B6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34030A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066304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84A7FB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B36117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313C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DBB57B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82B7A0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3AF908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C7EC00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062F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E6FCBC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888D79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7859C3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E2894F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556A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D13F03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3AE878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21EBB3D">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2B647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C00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01090B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23534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51ECC4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695D13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60E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57838D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003AE1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9C1DCB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F0FB8F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0E0E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CD33C58">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EB1B80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A84765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466D9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14F3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E4A4DD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54FA8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715F7A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4479B9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6746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F09005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1C4B598">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E08D1F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BD216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1027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32E6D7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776536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C1F3AA9">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DC5F13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3846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FE5F00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6D7340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5CD026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170FDE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bl>
    <w:p w14:paraId="0317AF69">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7E3F31D9">
      <w:pPr>
        <w:pStyle w:val="21"/>
        <w:rPr>
          <w:rFonts w:hint="eastAsia" w:ascii="宋体" w:hAnsi="宋体" w:eastAsia="宋体" w:cs="宋体"/>
          <w:highlight w:val="none"/>
        </w:rPr>
      </w:pPr>
    </w:p>
    <w:p w14:paraId="20B898A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49F7BE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30"/>
          <w:szCs w:val="30"/>
          <w:highlight w:val="none"/>
        </w:rPr>
      </w:pPr>
    </w:p>
    <w:p w14:paraId="4638A42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bookmarkStart w:id="1101" w:name="_Toc14989"/>
      <w:bookmarkStart w:id="1102" w:name="_Toc3987"/>
      <w:bookmarkStart w:id="1103" w:name="_Toc6339"/>
      <w:bookmarkStart w:id="1104" w:name="_Toc13347"/>
      <w:r>
        <w:rPr>
          <w:rFonts w:hint="eastAsia" w:ascii="宋体" w:hAnsi="宋体" w:eastAsia="宋体" w:cs="宋体"/>
          <w:b/>
          <w:bCs/>
          <w:sz w:val="30"/>
          <w:szCs w:val="30"/>
          <w:highlight w:val="none"/>
          <w:lang w:val="en-US" w:eastAsia="zh-CN"/>
        </w:rPr>
        <w:t>六</w:t>
      </w:r>
      <w:r>
        <w:rPr>
          <w:rFonts w:hint="eastAsia" w:ascii="宋体" w:hAnsi="宋体" w:eastAsia="宋体" w:cs="宋体"/>
          <w:b/>
          <w:bCs/>
          <w:sz w:val="30"/>
          <w:szCs w:val="30"/>
          <w:highlight w:val="none"/>
        </w:rPr>
        <w:t>、项目管理机构</w:t>
      </w:r>
      <w:bookmarkEnd w:id="1101"/>
      <w:bookmarkEnd w:id="1102"/>
      <w:bookmarkEnd w:id="1103"/>
      <w:bookmarkEnd w:id="1104"/>
    </w:p>
    <w:p w14:paraId="46563754">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（一）项目管理机构组成表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708"/>
      </w:tblGrid>
      <w:tr w14:paraId="798C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4F85F0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58E975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069AA5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3BFD473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执业或职业资格证明</w:t>
            </w:r>
          </w:p>
        </w:tc>
        <w:tc>
          <w:tcPr>
            <w:tcW w:w="708" w:type="dxa"/>
            <w:vMerge w:val="restart"/>
            <w:tcBorders>
              <w:top w:val="single" w:color="auto" w:sz="4" w:space="0"/>
              <w:left w:val="nil"/>
              <w:bottom w:val="single" w:color="auto" w:sz="4" w:space="0"/>
              <w:right w:val="single" w:color="auto" w:sz="4" w:space="0"/>
            </w:tcBorders>
            <w:noWrap w:val="0"/>
            <w:vAlign w:val="center"/>
          </w:tcPr>
          <w:p w14:paraId="638BC1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4488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B95101D">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Cs w:val="21"/>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6E8D0AF4">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Cs w:val="21"/>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4B56EBCC">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Cs w:val="21"/>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2E4AC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证书名称</w:t>
            </w:r>
          </w:p>
        </w:tc>
        <w:tc>
          <w:tcPr>
            <w:tcW w:w="993" w:type="dxa"/>
            <w:tcBorders>
              <w:top w:val="single" w:color="auto" w:sz="4" w:space="0"/>
              <w:left w:val="nil"/>
              <w:bottom w:val="single" w:color="auto" w:sz="4" w:space="0"/>
              <w:right w:val="single" w:color="auto" w:sz="4" w:space="0"/>
            </w:tcBorders>
            <w:noWrap w:val="0"/>
            <w:vAlign w:val="center"/>
          </w:tcPr>
          <w:p w14:paraId="38CC09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级别</w:t>
            </w:r>
          </w:p>
        </w:tc>
        <w:tc>
          <w:tcPr>
            <w:tcW w:w="992" w:type="dxa"/>
            <w:tcBorders>
              <w:top w:val="single" w:color="auto" w:sz="4" w:space="0"/>
              <w:left w:val="nil"/>
              <w:bottom w:val="single" w:color="auto" w:sz="4" w:space="0"/>
              <w:right w:val="single" w:color="auto" w:sz="4" w:space="0"/>
            </w:tcBorders>
            <w:noWrap w:val="0"/>
            <w:vAlign w:val="center"/>
          </w:tcPr>
          <w:p w14:paraId="5E124B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证号</w:t>
            </w:r>
          </w:p>
        </w:tc>
        <w:tc>
          <w:tcPr>
            <w:tcW w:w="992" w:type="dxa"/>
            <w:tcBorders>
              <w:top w:val="single" w:color="auto" w:sz="4" w:space="0"/>
              <w:left w:val="nil"/>
              <w:bottom w:val="single" w:color="auto" w:sz="4" w:space="0"/>
              <w:right w:val="single" w:color="auto" w:sz="4" w:space="0"/>
            </w:tcBorders>
            <w:noWrap w:val="0"/>
            <w:vAlign w:val="center"/>
          </w:tcPr>
          <w:p w14:paraId="7C6646D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专业</w:t>
            </w:r>
          </w:p>
        </w:tc>
        <w:tc>
          <w:tcPr>
            <w:tcW w:w="1418" w:type="dxa"/>
            <w:tcBorders>
              <w:top w:val="single" w:color="auto" w:sz="4" w:space="0"/>
              <w:left w:val="nil"/>
              <w:bottom w:val="single" w:color="auto" w:sz="4" w:space="0"/>
              <w:right w:val="single" w:color="auto" w:sz="4" w:space="0"/>
            </w:tcBorders>
            <w:noWrap w:val="0"/>
            <w:vAlign w:val="center"/>
          </w:tcPr>
          <w:p w14:paraId="2BB3C00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养老保险</w:t>
            </w:r>
          </w:p>
        </w:tc>
        <w:tc>
          <w:tcPr>
            <w:tcW w:w="708" w:type="dxa"/>
            <w:vMerge w:val="continue"/>
            <w:tcBorders>
              <w:top w:val="single" w:color="auto" w:sz="4" w:space="0"/>
              <w:left w:val="nil"/>
              <w:bottom w:val="single" w:color="auto" w:sz="4" w:space="0"/>
              <w:right w:val="single" w:color="auto" w:sz="4" w:space="0"/>
            </w:tcBorders>
            <w:noWrap w:val="0"/>
            <w:vAlign w:val="center"/>
          </w:tcPr>
          <w:p w14:paraId="1336FE45">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Cs w:val="21"/>
                <w:highlight w:val="none"/>
              </w:rPr>
            </w:pPr>
          </w:p>
        </w:tc>
      </w:tr>
      <w:tr w14:paraId="143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96C6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90C0A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5B502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C00C1D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7038A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76EDC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129A6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9BA4D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161EE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r>
      <w:tr w14:paraId="3038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3E82D9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505FA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F996B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3D7C9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06123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DC825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AE572A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41E5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804D3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643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C2F3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68FC4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2B481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3DBE1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5FB81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01BDB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232FD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D6D681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A3F25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8D1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21466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EC762E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C2115D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5C26A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D9ADB0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8C28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FE230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86F67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7F994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FA1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AD61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9AEB4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27678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41E76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89EB7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08821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8678C5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46726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F2520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9D5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4FB2A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5DF4C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165849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36A13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9E837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1F1A6D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D1318C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38BC9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B9E46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E3E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8ED2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F82EC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9F0A3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B2422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2D2A3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FB475C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57B2B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768FE2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857B9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DE4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7DDF9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F0B47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624A7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C10A6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792438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279110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9620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B95EB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D784E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D4F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BBA55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8FAD0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F4680A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529BF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1E830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25A78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166F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2723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260B9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EC1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9832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0DA5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3EC2C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DFBB9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7C7C65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B9A0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F441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A4CFE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43B5F1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F23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3102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29D3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2588F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5655B7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1E938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6EADE3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B806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8E3A6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99C31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1E5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95E72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C52EF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58C45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C7F207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2EBA7D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0B9F8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229F7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1736C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DF60C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4CB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D6616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52844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DB18CA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09F97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00509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558F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3185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BF79B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2496C5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661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9C4E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D2FF2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C9AA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99296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3AFF8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F81943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1758C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2C7F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B9C5B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4BF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93103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00E53A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063C6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B8C33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B93865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50B1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B722F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735FE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700D1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BC3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27564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DFB6A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2179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18050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6AC99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5D206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FEC242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72C62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A0ED7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ABC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8D148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91905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EB5C1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B2146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908E8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1A0A2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7201F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54A6D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06CACB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43C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7DC4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5C048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9DD06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1F460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E6C439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EB9A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DD34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824DB6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8701B6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B49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7289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235E5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DE89C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CA4BB9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77272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BC99E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44AF5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4062A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67DD7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20D6546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74C3468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0154C2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38D637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0ACCDD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44C9726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028B80A2">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（二）主要人员简历表</w:t>
      </w:r>
    </w:p>
    <w:p w14:paraId="0FA9A758">
      <w:pPr>
        <w:pageBreakBefore w:val="0"/>
        <w:kinsoku/>
        <w:wordWrap/>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t>“主要人员简历表”中的项目经理应附注册建造师证、身份证、安全生产考核合格证、养老保险缴费证明</w:t>
      </w:r>
      <w:r>
        <w:rPr>
          <w:rFonts w:hint="eastAsia" w:ascii="宋体" w:hAnsi="宋体" w:eastAsia="宋体" w:cs="宋体"/>
          <w:caps w:val="0"/>
          <w:color w:val="auto"/>
          <w:sz w:val="24"/>
          <w:szCs w:val="24"/>
          <w:highlight w:val="none"/>
          <w:lang w:eastAsia="zh-CN"/>
        </w:rPr>
        <w:t>、无在建工程承诺书</w:t>
      </w:r>
      <w:r>
        <w:rPr>
          <w:rFonts w:hint="eastAsia" w:ascii="宋体" w:hAnsi="宋体" w:eastAsia="宋体" w:cs="宋体"/>
          <w:caps w:val="0"/>
          <w:color w:val="auto"/>
          <w:sz w:val="24"/>
          <w:szCs w:val="24"/>
          <w:highlight w:val="none"/>
        </w:rPr>
        <w:t>等扫描件</w:t>
      </w:r>
      <w:r>
        <w:rPr>
          <w:rFonts w:hint="eastAsia" w:ascii="宋体" w:hAnsi="宋体" w:eastAsia="宋体" w:cs="宋体"/>
          <w:caps w:val="0"/>
          <w:color w:val="auto"/>
          <w:sz w:val="24"/>
          <w:szCs w:val="24"/>
          <w:highlight w:val="none"/>
          <w:lang w:eastAsia="zh-CN"/>
        </w:rPr>
        <w:t>。负责过的项目业绩须附</w:t>
      </w:r>
      <w:r>
        <w:rPr>
          <w:rFonts w:hint="eastAsia" w:ascii="宋体" w:hAnsi="宋体" w:eastAsia="宋体" w:cs="宋体"/>
          <w:caps w:val="0"/>
          <w:color w:val="auto"/>
          <w:sz w:val="24"/>
          <w:szCs w:val="24"/>
          <w:highlight w:val="none"/>
          <w:lang w:val="en-US" w:eastAsia="zh-CN"/>
        </w:rPr>
        <w:t>中标通知书或</w:t>
      </w:r>
      <w:r>
        <w:rPr>
          <w:rFonts w:hint="eastAsia" w:ascii="宋体" w:hAnsi="宋体" w:eastAsia="宋体" w:cs="宋体"/>
          <w:caps w:val="0"/>
          <w:color w:val="auto"/>
          <w:sz w:val="24"/>
          <w:szCs w:val="24"/>
          <w:highlight w:val="none"/>
          <w:lang w:eastAsia="zh-CN"/>
        </w:rPr>
        <w:t>合同协议书扫描件；</w:t>
      </w:r>
      <w:r>
        <w:rPr>
          <w:rFonts w:hint="eastAsia" w:ascii="宋体" w:hAnsi="宋体" w:eastAsia="宋体" w:cs="宋体"/>
          <w:caps w:val="0"/>
          <w:color w:val="auto"/>
          <w:sz w:val="24"/>
          <w:szCs w:val="24"/>
          <w:highlight w:val="none"/>
        </w:rPr>
        <w:t>技术负责人应附身份证、职称证等扫描件，其他主要人员应附职称证（执业证或上岗证书）等扫描件</w:t>
      </w:r>
    </w:p>
    <w:tbl>
      <w:tblPr>
        <w:tblStyle w:val="23"/>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2A35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F740F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50A6D1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B632C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2AA7450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9216B6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学历</w:t>
            </w:r>
          </w:p>
        </w:tc>
        <w:tc>
          <w:tcPr>
            <w:tcW w:w="2181" w:type="dxa"/>
            <w:tcBorders>
              <w:top w:val="single" w:color="auto" w:sz="4" w:space="0"/>
              <w:left w:val="nil"/>
              <w:bottom w:val="single" w:color="auto" w:sz="4" w:space="0"/>
              <w:right w:val="single" w:color="auto" w:sz="4" w:space="0"/>
            </w:tcBorders>
            <w:noWrap w:val="0"/>
            <w:vAlign w:val="center"/>
          </w:tcPr>
          <w:p w14:paraId="7F0C94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4F7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07EA2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22C9A1B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E1038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4D5244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530ADD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拟在本工程</w:t>
            </w:r>
          </w:p>
          <w:p w14:paraId="6658979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任职</w:t>
            </w:r>
          </w:p>
        </w:tc>
        <w:tc>
          <w:tcPr>
            <w:tcW w:w="2181" w:type="dxa"/>
            <w:tcBorders>
              <w:top w:val="single" w:color="auto" w:sz="4" w:space="0"/>
              <w:left w:val="nil"/>
              <w:bottom w:val="single" w:color="auto" w:sz="4" w:space="0"/>
              <w:right w:val="single" w:color="auto" w:sz="4" w:space="0"/>
            </w:tcBorders>
            <w:noWrap w:val="0"/>
            <w:vAlign w:val="center"/>
          </w:tcPr>
          <w:p w14:paraId="09F1EB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50A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DFE46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1D9055D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年毕业于                  学校            专业</w:t>
            </w:r>
          </w:p>
        </w:tc>
      </w:tr>
      <w:tr w14:paraId="5766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3BDFEF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主要工作经历</w:t>
            </w:r>
          </w:p>
        </w:tc>
      </w:tr>
      <w:tr w14:paraId="6F19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B7B140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6AB2A97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139F8B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担任职务</w:t>
            </w:r>
          </w:p>
        </w:tc>
        <w:tc>
          <w:tcPr>
            <w:tcW w:w="2181" w:type="dxa"/>
            <w:tcBorders>
              <w:top w:val="single" w:color="auto" w:sz="4" w:space="0"/>
              <w:left w:val="nil"/>
              <w:bottom w:val="single" w:color="auto" w:sz="4" w:space="0"/>
              <w:right w:val="single" w:color="auto" w:sz="4" w:space="0"/>
            </w:tcBorders>
            <w:noWrap w:val="0"/>
            <w:vAlign w:val="center"/>
          </w:tcPr>
          <w:p w14:paraId="49EFB6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发包人及联系</w:t>
            </w:r>
          </w:p>
          <w:p w14:paraId="427F41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电话</w:t>
            </w:r>
          </w:p>
        </w:tc>
      </w:tr>
      <w:tr w14:paraId="2D8F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E20183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4E34D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F06E6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C28E42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ECB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0AD1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3B7BC23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13C61A4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241845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729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77104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0DA72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6C434D8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2D433C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19B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2967D8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2514D25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D9B67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09FE63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8D0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4A007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43894CC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2ABD96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2523A3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B97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2ADC4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3F0E41A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2579B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3CC11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5FBF849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4CC899CC">
      <w:pPr>
        <w:pStyle w:val="37"/>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highlight w:val="none"/>
          <w:lang w:eastAsia="zh-CN"/>
        </w:rPr>
      </w:pPr>
      <w:bookmarkStart w:id="1105" w:name="_Toc19060"/>
      <w:bookmarkStart w:id="1106" w:name="_Toc14764"/>
      <w:bookmarkStart w:id="1107" w:name="_Toc13861"/>
      <w:bookmarkStart w:id="1108" w:name="_Toc17594"/>
    </w:p>
    <w:p w14:paraId="680F3DB2">
      <w:pPr>
        <w:pStyle w:val="37"/>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highlight w:val="none"/>
          <w:lang w:eastAsia="zh-CN"/>
        </w:rPr>
      </w:pPr>
    </w:p>
    <w:p w14:paraId="77CA358B">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2"/>
          <w:sz w:val="36"/>
          <w:highlight w:val="none"/>
        </w:rPr>
      </w:pPr>
      <w:r>
        <w:rPr>
          <w:rFonts w:hint="eastAsia" w:ascii="宋体" w:hAnsi="宋体" w:eastAsia="宋体" w:cs="宋体"/>
          <w:kern w:val="2"/>
          <w:sz w:val="36"/>
          <w:highlight w:val="none"/>
        </w:rPr>
        <w:t>无在建承诺书</w:t>
      </w:r>
    </w:p>
    <w:p w14:paraId="41CB4DA1">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r>
        <w:rPr>
          <w:rFonts w:hint="eastAsia" w:ascii="宋体" w:hAnsi="宋体" w:eastAsia="宋体" w:cs="宋体"/>
          <w:kern w:val="2"/>
          <w:position w:val="-7"/>
          <w:sz w:val="24"/>
          <w:highlight w:val="none"/>
          <w:u w:val="single"/>
        </w:rPr>
        <w:t xml:space="preserve">                     </w:t>
      </w:r>
      <w:r>
        <w:rPr>
          <w:rFonts w:hint="eastAsia" w:ascii="宋体" w:hAnsi="宋体" w:eastAsia="宋体" w:cs="宋体"/>
          <w:kern w:val="2"/>
          <w:sz w:val="24"/>
          <w:highlight w:val="none"/>
        </w:rPr>
        <w:t>（</w:t>
      </w:r>
      <w:r>
        <w:rPr>
          <w:rFonts w:hint="eastAsia" w:ascii="宋体" w:hAnsi="宋体" w:eastAsia="宋体" w:cs="宋体"/>
          <w:kern w:val="2"/>
          <w:sz w:val="24"/>
          <w:highlight w:val="none"/>
          <w:lang w:eastAsia="zh-CN"/>
        </w:rPr>
        <w:t>招标人</w:t>
      </w:r>
      <w:r>
        <w:rPr>
          <w:rFonts w:hint="eastAsia" w:ascii="宋体" w:hAnsi="宋体" w:eastAsia="宋体" w:cs="宋体"/>
          <w:kern w:val="2"/>
          <w:sz w:val="24"/>
          <w:highlight w:val="none"/>
        </w:rPr>
        <w:t>名称）：</w:t>
      </w:r>
    </w:p>
    <w:p w14:paraId="3FBCBB73">
      <w:pPr>
        <w:pageBreakBefore w:val="0"/>
        <w:widowControl w:val="0"/>
        <w:kinsoku/>
        <w:overflowPunct/>
        <w:topLinePunct w:val="0"/>
        <w:bidi w:val="0"/>
        <w:adjustRightInd w:val="0"/>
        <w:snapToGrid w:val="0"/>
        <w:spacing w:beforeAutospacing="0" w:afterAutospacing="0" w:line="360" w:lineRule="auto"/>
        <w:ind w:left="0" w:leftChars="0" w:right="0" w:rightChars="0"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rPr>
        <w:t>我方在此声明，我方拟派往</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（项目名称）（以下简称“本工程”）的项目经理</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（项目经理姓名）现阶段没有担任任何在施建设工程项目的项目经理。</w:t>
      </w:r>
    </w:p>
    <w:p w14:paraId="38D3B098">
      <w:pPr>
        <w:pageBreakBefore w:val="0"/>
        <w:widowControl w:val="0"/>
        <w:kinsoku/>
        <w:overflowPunct/>
        <w:topLinePunct w:val="0"/>
        <w:bidi w:val="0"/>
        <w:adjustRightInd w:val="0"/>
        <w:snapToGrid w:val="0"/>
        <w:spacing w:beforeAutospacing="0" w:afterAutospacing="0" w:line="360" w:lineRule="auto"/>
        <w:ind w:left="0" w:leftChars="0" w:right="0" w:rightChars="0"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rPr>
        <w:t>我方保证上述信息的真实和准确，并愿意承担因我方就此弄虚作假所引起的一切法律后果。</w:t>
      </w:r>
    </w:p>
    <w:p w14:paraId="67924B2B">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p>
    <w:p w14:paraId="4A691F75">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p>
    <w:p w14:paraId="27535D71">
      <w:pPr>
        <w:pageBreakBefore w:val="0"/>
        <w:widowControl w:val="0"/>
        <w:kinsoku/>
        <w:overflowPunct/>
        <w:topLinePunct w:val="0"/>
        <w:bidi w:val="0"/>
        <w:adjustRightInd w:val="0"/>
        <w:snapToGrid w:val="0"/>
        <w:spacing w:beforeAutospacing="0" w:afterAutospacing="0" w:line="360" w:lineRule="auto"/>
        <w:ind w:left="0" w:leftChars="0" w:right="0" w:rightChars="0"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rPr>
        <w:t>特此承诺</w:t>
      </w:r>
    </w:p>
    <w:p w14:paraId="39AB613D">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p>
    <w:p w14:paraId="5795CCFE">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p>
    <w:p w14:paraId="7FAA12B5">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kern w:val="2"/>
          <w:sz w:val="24"/>
          <w:highlight w:val="none"/>
        </w:rPr>
      </w:pPr>
    </w:p>
    <w:p w14:paraId="4859D685">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kern w:val="2"/>
          <w:sz w:val="24"/>
          <w:highlight w:val="none"/>
        </w:rPr>
      </w:pPr>
      <w:r>
        <w:rPr>
          <w:rFonts w:hint="eastAsia" w:ascii="宋体" w:hAnsi="宋体" w:eastAsia="宋体" w:cs="宋体"/>
          <w:kern w:val="2"/>
          <w:sz w:val="24"/>
          <w:highlight w:val="none"/>
          <w:lang w:eastAsia="zh-CN"/>
        </w:rPr>
        <w:t>投标人</w:t>
      </w:r>
      <w:r>
        <w:rPr>
          <w:rFonts w:hint="eastAsia" w:ascii="宋体" w:hAnsi="宋体" w:eastAsia="宋体" w:cs="宋体"/>
          <w:kern w:val="2"/>
          <w:sz w:val="24"/>
          <w:highlight w:val="none"/>
        </w:rPr>
        <w:t>：</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（盖章）</w:t>
      </w:r>
    </w:p>
    <w:p w14:paraId="7C8C275F">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kern w:val="2"/>
          <w:sz w:val="24"/>
          <w:highlight w:val="none"/>
        </w:rPr>
      </w:pPr>
      <w:r>
        <w:rPr>
          <w:rFonts w:hint="eastAsia" w:ascii="宋体" w:hAnsi="宋体" w:eastAsia="宋体" w:cs="宋体"/>
          <w:kern w:val="2"/>
          <w:sz w:val="24"/>
          <w:highlight w:val="none"/>
        </w:rPr>
        <w:t>法定代表人：</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w:t>
      </w:r>
      <w:r>
        <w:rPr>
          <w:rFonts w:hint="eastAsia" w:ascii="宋体" w:hAnsi="宋体" w:eastAsia="宋体" w:cs="宋体"/>
          <w:kern w:val="2"/>
          <w:sz w:val="24"/>
          <w:highlight w:val="none"/>
          <w:lang w:val="en-US" w:eastAsia="zh-CN"/>
        </w:rPr>
        <w:t>电子签章</w:t>
      </w:r>
      <w:r>
        <w:rPr>
          <w:rFonts w:hint="eastAsia" w:ascii="宋体" w:hAnsi="宋体" w:eastAsia="宋体" w:cs="宋体"/>
          <w:kern w:val="2"/>
          <w:sz w:val="24"/>
          <w:highlight w:val="none"/>
        </w:rPr>
        <w:t>）</w:t>
      </w:r>
    </w:p>
    <w:p w14:paraId="3DA3024F">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kern w:val="2"/>
          <w:sz w:val="24"/>
          <w:highlight w:val="none"/>
        </w:rPr>
      </w:pPr>
    </w:p>
    <w:p w14:paraId="1E4DA910">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kern w:val="2"/>
          <w:sz w:val="24"/>
          <w:highlight w:val="none"/>
        </w:rPr>
        <w:sectPr>
          <w:footerReference r:id="rId5"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年</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月</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日</w:t>
      </w:r>
    </w:p>
    <w:p w14:paraId="2F807E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en-US" w:eastAsia="zh-CN"/>
        </w:rPr>
        <w:t>七</w:t>
      </w:r>
      <w:r>
        <w:rPr>
          <w:rFonts w:hint="eastAsia" w:ascii="宋体" w:hAnsi="宋体" w:eastAsia="宋体" w:cs="宋体"/>
          <w:b/>
          <w:bCs/>
          <w:sz w:val="30"/>
          <w:szCs w:val="30"/>
          <w:highlight w:val="none"/>
        </w:rPr>
        <w:t>、资格审查资料</w:t>
      </w:r>
      <w:bookmarkEnd w:id="1105"/>
      <w:bookmarkEnd w:id="1106"/>
      <w:bookmarkEnd w:id="1107"/>
      <w:bookmarkEnd w:id="1108"/>
    </w:p>
    <w:p w14:paraId="1B256E89">
      <w:pPr>
        <w:pStyle w:val="21"/>
        <w:pageBreakBefore w:val="0"/>
        <w:kinsoku/>
        <w:wordWrap/>
        <w:overflowPunct/>
        <w:topLinePunct w:val="0"/>
        <w:bidi w:val="0"/>
        <w:adjustRightInd w:val="0"/>
        <w:snapToGrid w:val="0"/>
        <w:spacing w:beforeAutospacing="0" w:after="0" w:afterAutospacing="0" w:line="360" w:lineRule="auto"/>
        <w:ind w:left="0" w:leftChars="0" w:right="0" w:rightChars="0" w:firstLine="0" w:firstLineChars="0"/>
        <w:jc w:val="center"/>
        <w:rPr>
          <w:rFonts w:hint="eastAsia" w:ascii="宋体" w:hAnsi="宋体" w:eastAsia="宋体" w:cs="宋体"/>
          <w:caps w:val="0"/>
          <w:color w:val="auto"/>
          <w:highlight w:val="none"/>
          <w:lang w:val="en-US" w:eastAsia="zh-CN"/>
        </w:rPr>
      </w:pPr>
      <w:r>
        <w:rPr>
          <w:rFonts w:hint="eastAsia" w:ascii="宋体" w:hAnsi="宋体" w:eastAsia="宋体" w:cs="宋体"/>
          <w:b/>
          <w:bCs/>
          <w:caps w:val="0"/>
          <w:snapToGrid w:val="0"/>
          <w:color w:val="auto"/>
          <w:kern w:val="0"/>
          <w:sz w:val="32"/>
          <w:szCs w:val="32"/>
          <w:highlight w:val="none"/>
          <w:lang w:eastAsia="zh-CN"/>
        </w:rPr>
        <w:t>（</w:t>
      </w:r>
      <w:r>
        <w:rPr>
          <w:rFonts w:hint="eastAsia" w:ascii="宋体" w:hAnsi="宋体" w:eastAsia="宋体" w:cs="宋体"/>
          <w:b/>
          <w:bCs/>
          <w:caps w:val="0"/>
          <w:snapToGrid w:val="0"/>
          <w:color w:val="auto"/>
          <w:kern w:val="0"/>
          <w:sz w:val="32"/>
          <w:szCs w:val="32"/>
          <w:highlight w:val="none"/>
          <w:lang w:val="en-US" w:eastAsia="zh-CN"/>
        </w:rPr>
        <w:t>一）投标人基本情况表</w:t>
      </w:r>
    </w:p>
    <w:tbl>
      <w:tblPr>
        <w:tblStyle w:val="23"/>
        <w:tblW w:w="0" w:type="auto"/>
        <w:jc w:val="center"/>
        <w:tblLayout w:type="fixed"/>
        <w:tblCellMar>
          <w:top w:w="0" w:type="dxa"/>
          <w:left w:w="108" w:type="dxa"/>
          <w:bottom w:w="0" w:type="dxa"/>
          <w:right w:w="108" w:type="dxa"/>
        </w:tblCellMar>
      </w:tblPr>
      <w:tblGrid>
        <w:gridCol w:w="1596"/>
        <w:gridCol w:w="993"/>
        <w:gridCol w:w="886"/>
        <w:gridCol w:w="1243"/>
        <w:gridCol w:w="1418"/>
        <w:gridCol w:w="929"/>
        <w:gridCol w:w="1334"/>
      </w:tblGrid>
      <w:tr w14:paraId="0CBBAA12">
        <w:tblPrEx>
          <w:tblCellMar>
            <w:top w:w="0" w:type="dxa"/>
            <w:left w:w="108" w:type="dxa"/>
            <w:bottom w:w="0" w:type="dxa"/>
            <w:right w:w="108" w:type="dxa"/>
          </w:tblCellMar>
        </w:tblPrEx>
        <w:trPr>
          <w:trHeight w:val="100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49482F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投标人</w:t>
            </w:r>
          </w:p>
          <w:p w14:paraId="30E689CE">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名称</w:t>
            </w:r>
          </w:p>
        </w:tc>
        <w:tc>
          <w:tcPr>
            <w:tcW w:w="6803" w:type="dxa"/>
            <w:gridSpan w:val="6"/>
            <w:tcBorders>
              <w:top w:val="single" w:color="auto" w:sz="4" w:space="0"/>
              <w:left w:val="nil"/>
              <w:bottom w:val="single" w:color="auto" w:sz="4" w:space="0"/>
              <w:right w:val="single" w:color="auto" w:sz="4" w:space="0"/>
            </w:tcBorders>
            <w:noWrap w:val="0"/>
            <w:vAlign w:val="center"/>
          </w:tcPr>
          <w:p w14:paraId="0ED1C8AA">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278DF4C">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0B25FF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注册地址</w:t>
            </w:r>
          </w:p>
        </w:tc>
        <w:tc>
          <w:tcPr>
            <w:tcW w:w="3122" w:type="dxa"/>
            <w:gridSpan w:val="3"/>
            <w:tcBorders>
              <w:top w:val="single" w:color="auto" w:sz="4" w:space="0"/>
              <w:left w:val="nil"/>
              <w:bottom w:val="single" w:color="auto" w:sz="4" w:space="0"/>
              <w:right w:val="single" w:color="auto" w:sz="4" w:space="0"/>
            </w:tcBorders>
            <w:noWrap w:val="0"/>
            <w:vAlign w:val="center"/>
          </w:tcPr>
          <w:p w14:paraId="292B5912">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EF5A6A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邮政编码</w:t>
            </w:r>
          </w:p>
        </w:tc>
        <w:tc>
          <w:tcPr>
            <w:tcW w:w="2263" w:type="dxa"/>
            <w:gridSpan w:val="2"/>
            <w:tcBorders>
              <w:top w:val="single" w:color="auto" w:sz="4" w:space="0"/>
              <w:left w:val="nil"/>
              <w:bottom w:val="single" w:color="auto" w:sz="4" w:space="0"/>
              <w:right w:val="single" w:color="auto" w:sz="4" w:space="0"/>
            </w:tcBorders>
            <w:noWrap w:val="0"/>
            <w:vAlign w:val="center"/>
          </w:tcPr>
          <w:p w14:paraId="637ABE2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182CDBB8">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717C6E2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联系方式</w:t>
            </w:r>
          </w:p>
        </w:tc>
        <w:tc>
          <w:tcPr>
            <w:tcW w:w="993" w:type="dxa"/>
            <w:tcBorders>
              <w:top w:val="single" w:color="auto" w:sz="4" w:space="0"/>
              <w:left w:val="nil"/>
              <w:bottom w:val="single" w:color="auto" w:sz="4" w:space="0"/>
              <w:right w:val="single" w:color="auto" w:sz="4" w:space="0"/>
            </w:tcBorders>
            <w:noWrap w:val="0"/>
            <w:vAlign w:val="center"/>
          </w:tcPr>
          <w:p w14:paraId="445D59B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联系人</w:t>
            </w:r>
          </w:p>
        </w:tc>
        <w:tc>
          <w:tcPr>
            <w:tcW w:w="2129" w:type="dxa"/>
            <w:gridSpan w:val="2"/>
            <w:tcBorders>
              <w:top w:val="single" w:color="auto" w:sz="4" w:space="0"/>
              <w:left w:val="nil"/>
              <w:bottom w:val="single" w:color="auto" w:sz="4" w:space="0"/>
              <w:right w:val="single" w:color="auto" w:sz="4" w:space="0"/>
            </w:tcBorders>
            <w:noWrap w:val="0"/>
            <w:vAlign w:val="center"/>
          </w:tcPr>
          <w:p w14:paraId="6ADA2E9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EDB01B9">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电话</w:t>
            </w:r>
          </w:p>
        </w:tc>
        <w:tc>
          <w:tcPr>
            <w:tcW w:w="2263" w:type="dxa"/>
            <w:gridSpan w:val="2"/>
            <w:tcBorders>
              <w:top w:val="single" w:color="auto" w:sz="4" w:space="0"/>
              <w:left w:val="nil"/>
              <w:bottom w:val="single" w:color="auto" w:sz="4" w:space="0"/>
              <w:right w:val="single" w:color="auto" w:sz="4" w:space="0"/>
            </w:tcBorders>
            <w:noWrap w:val="0"/>
            <w:vAlign w:val="center"/>
          </w:tcPr>
          <w:p w14:paraId="6F04704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731744D8">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3C1DF79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法定代表人</w:t>
            </w:r>
          </w:p>
        </w:tc>
        <w:tc>
          <w:tcPr>
            <w:tcW w:w="993" w:type="dxa"/>
            <w:tcBorders>
              <w:top w:val="single" w:color="auto" w:sz="4" w:space="0"/>
              <w:left w:val="nil"/>
              <w:bottom w:val="single" w:color="auto" w:sz="4" w:space="0"/>
              <w:right w:val="single" w:color="auto" w:sz="4" w:space="0"/>
            </w:tcBorders>
            <w:noWrap w:val="0"/>
            <w:vAlign w:val="center"/>
          </w:tcPr>
          <w:p w14:paraId="09AF998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姓名</w:t>
            </w:r>
          </w:p>
        </w:tc>
        <w:tc>
          <w:tcPr>
            <w:tcW w:w="886" w:type="dxa"/>
            <w:tcBorders>
              <w:top w:val="single" w:color="auto" w:sz="4" w:space="0"/>
              <w:left w:val="nil"/>
              <w:bottom w:val="single" w:color="auto" w:sz="4" w:space="0"/>
              <w:right w:val="single" w:color="auto" w:sz="4" w:space="0"/>
            </w:tcBorders>
            <w:noWrap w:val="0"/>
            <w:vAlign w:val="center"/>
          </w:tcPr>
          <w:p w14:paraId="74FAE65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c>
          <w:tcPr>
            <w:tcW w:w="1243" w:type="dxa"/>
            <w:tcBorders>
              <w:top w:val="single" w:color="auto" w:sz="4" w:space="0"/>
              <w:left w:val="nil"/>
              <w:bottom w:val="single" w:color="auto" w:sz="4" w:space="0"/>
              <w:right w:val="single" w:color="auto" w:sz="4" w:space="0"/>
            </w:tcBorders>
            <w:noWrap w:val="0"/>
            <w:vAlign w:val="center"/>
          </w:tcPr>
          <w:p w14:paraId="4BD15A0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技术职称</w:t>
            </w:r>
          </w:p>
        </w:tc>
        <w:tc>
          <w:tcPr>
            <w:tcW w:w="1418" w:type="dxa"/>
            <w:tcBorders>
              <w:top w:val="single" w:color="auto" w:sz="4" w:space="0"/>
              <w:left w:val="nil"/>
              <w:bottom w:val="single" w:color="auto" w:sz="4" w:space="0"/>
              <w:right w:val="single" w:color="auto" w:sz="4" w:space="0"/>
            </w:tcBorders>
            <w:noWrap w:val="0"/>
            <w:vAlign w:val="center"/>
          </w:tcPr>
          <w:p w14:paraId="5D96194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c>
          <w:tcPr>
            <w:tcW w:w="929" w:type="dxa"/>
            <w:tcBorders>
              <w:top w:val="single" w:color="auto" w:sz="4" w:space="0"/>
              <w:left w:val="nil"/>
              <w:bottom w:val="single" w:color="auto" w:sz="4" w:space="0"/>
              <w:right w:val="single" w:color="auto" w:sz="4" w:space="0"/>
            </w:tcBorders>
            <w:noWrap w:val="0"/>
            <w:vAlign w:val="center"/>
          </w:tcPr>
          <w:p w14:paraId="03C2B1CC">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电话</w:t>
            </w:r>
          </w:p>
        </w:tc>
        <w:tc>
          <w:tcPr>
            <w:tcW w:w="1334" w:type="dxa"/>
            <w:tcBorders>
              <w:top w:val="single" w:color="auto" w:sz="4" w:space="0"/>
              <w:left w:val="nil"/>
              <w:bottom w:val="single" w:color="auto" w:sz="4" w:space="0"/>
              <w:right w:val="single" w:color="auto" w:sz="4" w:space="0"/>
            </w:tcBorders>
            <w:noWrap w:val="0"/>
            <w:vAlign w:val="center"/>
          </w:tcPr>
          <w:p w14:paraId="39A6D989">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3EB33CA8">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674F17B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成立时间</w:t>
            </w:r>
          </w:p>
        </w:tc>
        <w:tc>
          <w:tcPr>
            <w:tcW w:w="6803" w:type="dxa"/>
            <w:gridSpan w:val="6"/>
            <w:tcBorders>
              <w:top w:val="single" w:color="auto" w:sz="4" w:space="0"/>
              <w:left w:val="nil"/>
              <w:bottom w:val="single" w:color="auto" w:sz="4" w:space="0"/>
              <w:right w:val="single" w:color="auto" w:sz="4" w:space="0"/>
            </w:tcBorders>
            <w:noWrap w:val="0"/>
            <w:vAlign w:val="center"/>
          </w:tcPr>
          <w:p w14:paraId="6506173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87D8171">
        <w:tblPrEx>
          <w:tblCellMar>
            <w:top w:w="0" w:type="dxa"/>
            <w:left w:w="108" w:type="dxa"/>
            <w:bottom w:w="0" w:type="dxa"/>
            <w:right w:w="108" w:type="dxa"/>
          </w:tblCellMar>
        </w:tblPrEx>
        <w:trPr>
          <w:trHeight w:val="100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6ECD2D3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企业资质等级</w:t>
            </w:r>
          </w:p>
        </w:tc>
        <w:tc>
          <w:tcPr>
            <w:tcW w:w="6803" w:type="dxa"/>
            <w:gridSpan w:val="6"/>
            <w:tcBorders>
              <w:top w:val="single" w:color="auto" w:sz="4" w:space="0"/>
              <w:left w:val="nil"/>
              <w:bottom w:val="single" w:color="auto" w:sz="4" w:space="0"/>
              <w:right w:val="single" w:color="auto" w:sz="4" w:space="0"/>
            </w:tcBorders>
            <w:noWrap w:val="0"/>
            <w:vAlign w:val="center"/>
          </w:tcPr>
          <w:p w14:paraId="67586835">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B5E418C">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6480A1F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营业执照号</w:t>
            </w:r>
          </w:p>
        </w:tc>
        <w:tc>
          <w:tcPr>
            <w:tcW w:w="6803" w:type="dxa"/>
            <w:gridSpan w:val="6"/>
            <w:tcBorders>
              <w:top w:val="single" w:color="auto" w:sz="4" w:space="0"/>
              <w:left w:val="nil"/>
              <w:bottom w:val="single" w:color="auto" w:sz="4" w:space="0"/>
              <w:right w:val="single" w:color="auto" w:sz="4" w:space="0"/>
            </w:tcBorders>
            <w:noWrap w:val="0"/>
            <w:vAlign w:val="center"/>
          </w:tcPr>
          <w:p w14:paraId="521EF09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4E943C3F">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29DE4C3A">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注册资金</w:t>
            </w:r>
          </w:p>
        </w:tc>
        <w:tc>
          <w:tcPr>
            <w:tcW w:w="6803" w:type="dxa"/>
            <w:gridSpan w:val="6"/>
            <w:tcBorders>
              <w:top w:val="single" w:color="auto" w:sz="4" w:space="0"/>
              <w:left w:val="nil"/>
              <w:bottom w:val="single" w:color="auto" w:sz="4" w:space="0"/>
              <w:right w:val="single" w:color="auto" w:sz="4" w:space="0"/>
            </w:tcBorders>
            <w:noWrap w:val="0"/>
            <w:vAlign w:val="center"/>
          </w:tcPr>
          <w:p w14:paraId="2A5F9F8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79C92AF0">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552077E9">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开户银行</w:t>
            </w:r>
          </w:p>
        </w:tc>
        <w:tc>
          <w:tcPr>
            <w:tcW w:w="6803" w:type="dxa"/>
            <w:gridSpan w:val="6"/>
            <w:tcBorders>
              <w:top w:val="single" w:color="auto" w:sz="4" w:space="0"/>
              <w:left w:val="nil"/>
              <w:bottom w:val="single" w:color="auto" w:sz="4" w:space="0"/>
              <w:right w:val="single" w:color="auto" w:sz="4" w:space="0"/>
            </w:tcBorders>
            <w:noWrap w:val="0"/>
            <w:vAlign w:val="center"/>
          </w:tcPr>
          <w:p w14:paraId="229AC2C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847BF53">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365EBA5">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账号</w:t>
            </w:r>
          </w:p>
        </w:tc>
        <w:tc>
          <w:tcPr>
            <w:tcW w:w="6803" w:type="dxa"/>
            <w:gridSpan w:val="6"/>
            <w:tcBorders>
              <w:top w:val="single" w:color="auto" w:sz="4" w:space="0"/>
              <w:left w:val="nil"/>
              <w:bottom w:val="single" w:color="auto" w:sz="4" w:space="0"/>
              <w:right w:val="single" w:color="auto" w:sz="4" w:space="0"/>
            </w:tcBorders>
            <w:noWrap w:val="0"/>
            <w:vAlign w:val="center"/>
          </w:tcPr>
          <w:p w14:paraId="4837C0C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176324FE">
        <w:tblPrEx>
          <w:tblCellMar>
            <w:top w:w="0" w:type="dxa"/>
            <w:left w:w="108" w:type="dxa"/>
            <w:bottom w:w="0" w:type="dxa"/>
            <w:right w:w="108" w:type="dxa"/>
          </w:tblCellMar>
        </w:tblPrEx>
        <w:trPr>
          <w:trHeight w:val="346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3DC163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经营范围</w:t>
            </w:r>
          </w:p>
        </w:tc>
        <w:tc>
          <w:tcPr>
            <w:tcW w:w="6803" w:type="dxa"/>
            <w:gridSpan w:val="6"/>
            <w:tcBorders>
              <w:top w:val="single" w:color="auto" w:sz="4" w:space="0"/>
              <w:left w:val="nil"/>
              <w:bottom w:val="single" w:color="auto" w:sz="4" w:space="0"/>
              <w:right w:val="single" w:color="auto" w:sz="4" w:space="0"/>
            </w:tcBorders>
            <w:noWrap w:val="0"/>
            <w:vAlign w:val="center"/>
          </w:tcPr>
          <w:p w14:paraId="0394E57E">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A6D6744">
        <w:tblPrEx>
          <w:tblCellMar>
            <w:top w:w="0" w:type="dxa"/>
            <w:left w:w="108" w:type="dxa"/>
            <w:bottom w:w="0" w:type="dxa"/>
            <w:right w:w="108" w:type="dxa"/>
          </w:tblCellMar>
        </w:tblPrEx>
        <w:trPr>
          <w:trHeight w:val="54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318E0A3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aps w:val="0"/>
                <w:snapToGrid w:val="0"/>
                <w:color w:val="auto"/>
                <w:kern w:val="0"/>
                <w:sz w:val="24"/>
                <w:szCs w:val="24"/>
                <w:highlight w:val="none"/>
              </w:rPr>
            </w:pPr>
            <w:r>
              <w:rPr>
                <w:rFonts w:hint="eastAsia" w:ascii="宋体" w:hAnsi="宋体" w:eastAsia="宋体" w:cs="宋体"/>
                <w:b w:val="0"/>
                <w:bCs w:val="0"/>
                <w:caps w:val="0"/>
                <w:snapToGrid w:val="0"/>
                <w:color w:val="auto"/>
                <w:kern w:val="0"/>
                <w:sz w:val="24"/>
                <w:szCs w:val="24"/>
                <w:highlight w:val="none"/>
              </w:rPr>
              <w:t>备注</w:t>
            </w:r>
          </w:p>
        </w:tc>
        <w:tc>
          <w:tcPr>
            <w:tcW w:w="6803" w:type="dxa"/>
            <w:gridSpan w:val="6"/>
            <w:tcBorders>
              <w:top w:val="single" w:color="auto" w:sz="4" w:space="0"/>
              <w:left w:val="nil"/>
              <w:bottom w:val="single" w:color="auto" w:sz="4" w:space="0"/>
              <w:right w:val="single" w:color="auto" w:sz="4" w:space="0"/>
            </w:tcBorders>
            <w:noWrap w:val="0"/>
            <w:vAlign w:val="center"/>
          </w:tcPr>
          <w:p w14:paraId="6119972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aps w:val="0"/>
                <w:snapToGrid w:val="0"/>
                <w:color w:val="auto"/>
                <w:kern w:val="0"/>
                <w:sz w:val="24"/>
                <w:szCs w:val="24"/>
                <w:highlight w:val="none"/>
              </w:rPr>
            </w:pPr>
          </w:p>
        </w:tc>
      </w:tr>
    </w:tbl>
    <w:p w14:paraId="01112832">
      <w:pPr>
        <w:pageBreakBefore w:val="0"/>
        <w:kinsoku/>
        <w:wordWrap/>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caps w:val="0"/>
          <w:snapToGrid w:val="0"/>
          <w:color w:val="auto"/>
          <w:sz w:val="24"/>
          <w:szCs w:val="24"/>
          <w:highlight w:val="none"/>
        </w:rPr>
      </w:pPr>
    </w:p>
    <w:p w14:paraId="5BD9AE77">
      <w:pPr>
        <w:pStyle w:val="38"/>
        <w:pageBreakBefore w:val="0"/>
        <w:kinsoku/>
        <w:wordWrap/>
        <w:overflowPunct/>
        <w:topLinePunct w:val="0"/>
        <w:bidi w:val="0"/>
        <w:adjustRightInd w:val="0"/>
        <w:snapToGrid w:val="0"/>
        <w:spacing w:beforeAutospacing="0" w:after="0" w:afterAutospacing="0" w:line="360" w:lineRule="auto"/>
        <w:ind w:left="0" w:leftChars="0" w:right="0" w:rightChars="0" w:firstLine="0" w:firstLineChars="0"/>
        <w:jc w:val="left"/>
        <w:rPr>
          <w:rFonts w:hint="eastAsia" w:ascii="宋体" w:hAnsi="宋体" w:eastAsia="宋体" w:cs="宋体"/>
          <w:b/>
          <w:bCs/>
          <w:caps w:val="0"/>
          <w:snapToGrid w:val="0"/>
          <w:color w:val="auto"/>
          <w:sz w:val="24"/>
          <w:szCs w:val="24"/>
          <w:highlight w:val="none"/>
          <w:lang w:val="en-US" w:eastAsia="zh-CN"/>
        </w:rPr>
      </w:pPr>
      <w:r>
        <w:rPr>
          <w:rFonts w:hint="eastAsia" w:ascii="宋体" w:hAnsi="宋体" w:eastAsia="宋体" w:cs="宋体"/>
          <w:b/>
          <w:bCs/>
          <w:caps w:val="0"/>
          <w:snapToGrid w:val="0"/>
          <w:color w:val="auto"/>
          <w:sz w:val="24"/>
          <w:szCs w:val="24"/>
          <w:highlight w:val="none"/>
          <w:lang w:eastAsia="zh-CN"/>
        </w:rPr>
        <w:t>注：</w:t>
      </w:r>
      <w:r>
        <w:rPr>
          <w:rFonts w:hint="eastAsia" w:ascii="宋体" w:hAnsi="宋体" w:eastAsia="宋体" w:cs="宋体"/>
          <w:b/>
          <w:bCs/>
          <w:caps w:val="0"/>
          <w:color w:val="auto"/>
          <w:kern w:val="0"/>
          <w:sz w:val="24"/>
          <w:szCs w:val="24"/>
          <w:highlight w:val="none"/>
          <w:lang w:val="en-US" w:eastAsia="zh-CN" w:bidi="en-US"/>
        </w:rPr>
        <w:t>附</w:t>
      </w:r>
      <w:r>
        <w:rPr>
          <w:rFonts w:hint="eastAsia" w:ascii="宋体" w:hAnsi="宋体" w:eastAsia="宋体" w:cs="宋体"/>
          <w:b/>
          <w:bCs/>
          <w:caps w:val="0"/>
          <w:snapToGrid w:val="0"/>
          <w:color w:val="auto"/>
          <w:sz w:val="24"/>
          <w:szCs w:val="24"/>
          <w:highlight w:val="none"/>
        </w:rPr>
        <w:t>营业执照</w:t>
      </w:r>
      <w:r>
        <w:rPr>
          <w:rFonts w:hint="eastAsia" w:ascii="宋体" w:hAnsi="宋体" w:eastAsia="宋体" w:cs="宋体"/>
          <w:b/>
          <w:bCs/>
          <w:caps w:val="0"/>
          <w:snapToGrid w:val="0"/>
          <w:color w:val="auto"/>
          <w:sz w:val="24"/>
          <w:szCs w:val="24"/>
          <w:highlight w:val="none"/>
          <w:lang w:eastAsia="zh-CN"/>
        </w:rPr>
        <w:t>、</w:t>
      </w:r>
      <w:r>
        <w:rPr>
          <w:rFonts w:hint="eastAsia" w:ascii="宋体" w:hAnsi="宋体" w:eastAsia="宋体" w:cs="宋体"/>
          <w:b/>
          <w:bCs/>
          <w:caps w:val="0"/>
          <w:snapToGrid w:val="0"/>
          <w:color w:val="auto"/>
          <w:sz w:val="24"/>
          <w:szCs w:val="24"/>
          <w:highlight w:val="none"/>
        </w:rPr>
        <w:t>企业资质证书、安全生产许可证</w:t>
      </w:r>
      <w:bookmarkStart w:id="1109" w:name="_Toc479320265"/>
      <w:r>
        <w:rPr>
          <w:rFonts w:hint="eastAsia" w:ascii="宋体" w:hAnsi="宋体" w:eastAsia="宋体" w:cs="宋体"/>
          <w:b/>
          <w:bCs/>
          <w:caps w:val="0"/>
          <w:snapToGrid w:val="0"/>
          <w:color w:val="auto"/>
          <w:sz w:val="24"/>
          <w:szCs w:val="24"/>
          <w:highlight w:val="none"/>
          <w:lang w:val="en-US" w:eastAsia="zh-CN"/>
        </w:rPr>
        <w:t>等资料的扫描件。</w:t>
      </w:r>
    </w:p>
    <w:p w14:paraId="5EB3D970">
      <w:pPr>
        <w:pStyle w:val="38"/>
        <w:pageBreakBefore w:val="0"/>
        <w:kinsoku/>
        <w:wordWrap/>
        <w:overflowPunct/>
        <w:topLinePunct w:val="0"/>
        <w:bidi w:val="0"/>
        <w:adjustRightInd w:val="0"/>
        <w:snapToGrid w:val="0"/>
        <w:spacing w:beforeAutospacing="0" w:after="0" w:afterAutospacing="0" w:line="360" w:lineRule="auto"/>
        <w:ind w:left="0" w:leftChars="0" w:right="0" w:rightChars="0" w:firstLine="0" w:firstLineChars="0"/>
        <w:jc w:val="left"/>
        <w:rPr>
          <w:rFonts w:hint="eastAsia" w:ascii="宋体" w:hAnsi="宋体" w:eastAsia="宋体" w:cs="宋体"/>
          <w:b/>
          <w:bCs/>
          <w:caps w:val="0"/>
          <w:snapToGrid w:val="0"/>
          <w:color w:val="auto"/>
          <w:sz w:val="24"/>
          <w:szCs w:val="24"/>
          <w:highlight w:val="none"/>
          <w:lang w:val="en-US" w:eastAsia="zh-CN"/>
        </w:rPr>
      </w:pPr>
      <w:r>
        <w:rPr>
          <w:rFonts w:hint="eastAsia" w:ascii="宋体" w:hAnsi="宋体" w:eastAsia="宋体" w:cs="宋体"/>
          <w:b/>
          <w:bCs/>
          <w:caps w:val="0"/>
          <w:snapToGrid w:val="0"/>
          <w:color w:val="auto"/>
          <w:sz w:val="24"/>
          <w:szCs w:val="24"/>
          <w:highlight w:val="none"/>
          <w:lang w:val="en-US" w:eastAsia="zh-CN"/>
        </w:rPr>
        <w:br w:type="page"/>
      </w:r>
    </w:p>
    <w:p w14:paraId="1CDD385C">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jc w:val="center"/>
        <w:outlineLvl w:val="1"/>
        <w:rPr>
          <w:rFonts w:hint="eastAsia" w:ascii="宋体" w:hAnsi="宋体" w:eastAsia="宋体" w:cs="宋体"/>
          <w:b/>
          <w:bCs/>
          <w:caps w:val="0"/>
          <w:color w:val="auto"/>
          <w:sz w:val="32"/>
          <w:szCs w:val="32"/>
          <w:highlight w:val="none"/>
          <w:lang w:val="en-US" w:eastAsia="zh-CN"/>
        </w:rPr>
      </w:pPr>
      <w:r>
        <w:rPr>
          <w:rFonts w:hint="eastAsia" w:ascii="宋体" w:hAnsi="宋体" w:eastAsia="宋体" w:cs="宋体"/>
          <w:b/>
          <w:bCs/>
          <w:caps w:val="0"/>
          <w:color w:val="auto"/>
          <w:sz w:val="32"/>
          <w:szCs w:val="32"/>
          <w:highlight w:val="none"/>
          <w:lang w:val="zh-CN"/>
        </w:rPr>
        <w:t>（</w:t>
      </w:r>
      <w:r>
        <w:rPr>
          <w:rFonts w:hint="eastAsia" w:ascii="宋体" w:hAnsi="宋体" w:eastAsia="宋体" w:cs="宋体"/>
          <w:b/>
          <w:bCs/>
          <w:caps w:val="0"/>
          <w:color w:val="auto"/>
          <w:sz w:val="32"/>
          <w:szCs w:val="32"/>
          <w:highlight w:val="none"/>
          <w:lang w:val="en-US" w:eastAsia="zh-CN"/>
        </w:rPr>
        <w:t>二</w:t>
      </w:r>
      <w:r>
        <w:rPr>
          <w:rFonts w:hint="eastAsia" w:ascii="宋体" w:hAnsi="宋体" w:eastAsia="宋体" w:cs="宋体"/>
          <w:b/>
          <w:bCs/>
          <w:caps w:val="0"/>
          <w:color w:val="auto"/>
          <w:sz w:val="32"/>
          <w:szCs w:val="32"/>
          <w:highlight w:val="none"/>
          <w:lang w:val="zh-CN"/>
        </w:rPr>
        <w:t>）近三年内类似项目业绩表</w:t>
      </w:r>
      <w:bookmarkEnd w:id="1109"/>
    </w:p>
    <w:p w14:paraId="75179EAF">
      <w:pPr>
        <w:pStyle w:val="21"/>
        <w:pageBreakBefore w:val="0"/>
        <w:numPr>
          <w:ilvl w:val="0"/>
          <w:numId w:val="0"/>
        </w:numPr>
        <w:kinsoku/>
        <w:wordWrap/>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caps w:val="0"/>
          <w:color w:val="auto"/>
          <w:sz w:val="24"/>
          <w:szCs w:val="24"/>
          <w:highlight w:val="none"/>
          <w:lang w:val="zh-CN"/>
        </w:rPr>
      </w:pPr>
    </w:p>
    <w:tbl>
      <w:tblPr>
        <w:tblStyle w:val="23"/>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5783"/>
      </w:tblGrid>
      <w:tr w14:paraId="0A1A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42" w:type="dxa"/>
            <w:noWrap w:val="0"/>
            <w:vAlign w:val="center"/>
          </w:tcPr>
          <w:p w14:paraId="7994E0A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项目名称</w:t>
            </w:r>
          </w:p>
        </w:tc>
        <w:tc>
          <w:tcPr>
            <w:tcW w:w="5783" w:type="dxa"/>
            <w:noWrap w:val="0"/>
            <w:vAlign w:val="top"/>
          </w:tcPr>
          <w:p w14:paraId="7D31E92A">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0207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842" w:type="dxa"/>
            <w:noWrap w:val="0"/>
            <w:vAlign w:val="center"/>
          </w:tcPr>
          <w:p w14:paraId="6E91A4F8">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项目所在地</w:t>
            </w:r>
          </w:p>
        </w:tc>
        <w:tc>
          <w:tcPr>
            <w:tcW w:w="5783" w:type="dxa"/>
            <w:noWrap w:val="0"/>
            <w:vAlign w:val="top"/>
          </w:tcPr>
          <w:p w14:paraId="4B4BC45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20D9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842" w:type="dxa"/>
            <w:noWrap w:val="0"/>
            <w:vAlign w:val="center"/>
          </w:tcPr>
          <w:p w14:paraId="260D34A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发包人名称</w:t>
            </w:r>
          </w:p>
        </w:tc>
        <w:tc>
          <w:tcPr>
            <w:tcW w:w="5783" w:type="dxa"/>
            <w:noWrap w:val="0"/>
            <w:vAlign w:val="top"/>
          </w:tcPr>
          <w:p w14:paraId="682FBA8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363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842" w:type="dxa"/>
            <w:noWrap w:val="0"/>
            <w:vAlign w:val="center"/>
          </w:tcPr>
          <w:p w14:paraId="643C53B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发包人地址</w:t>
            </w:r>
          </w:p>
        </w:tc>
        <w:tc>
          <w:tcPr>
            <w:tcW w:w="5783" w:type="dxa"/>
            <w:noWrap w:val="0"/>
            <w:vAlign w:val="top"/>
          </w:tcPr>
          <w:p w14:paraId="152C4D6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BC8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42" w:type="dxa"/>
            <w:noWrap w:val="0"/>
            <w:vAlign w:val="center"/>
          </w:tcPr>
          <w:p w14:paraId="2357EB7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发包人联系人及电话</w:t>
            </w:r>
          </w:p>
        </w:tc>
        <w:tc>
          <w:tcPr>
            <w:tcW w:w="5783" w:type="dxa"/>
            <w:noWrap w:val="0"/>
            <w:vAlign w:val="top"/>
          </w:tcPr>
          <w:p w14:paraId="34A203AE">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636C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842" w:type="dxa"/>
            <w:noWrap w:val="0"/>
            <w:vAlign w:val="center"/>
          </w:tcPr>
          <w:p w14:paraId="6A168DC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合同价格</w:t>
            </w:r>
          </w:p>
        </w:tc>
        <w:tc>
          <w:tcPr>
            <w:tcW w:w="5783" w:type="dxa"/>
            <w:noWrap w:val="0"/>
            <w:vAlign w:val="top"/>
          </w:tcPr>
          <w:p w14:paraId="198898E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3A9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842" w:type="dxa"/>
            <w:noWrap w:val="0"/>
            <w:vAlign w:val="center"/>
          </w:tcPr>
          <w:p w14:paraId="26F9318F">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开工日期</w:t>
            </w:r>
          </w:p>
        </w:tc>
        <w:tc>
          <w:tcPr>
            <w:tcW w:w="5783" w:type="dxa"/>
            <w:noWrap w:val="0"/>
            <w:vAlign w:val="top"/>
          </w:tcPr>
          <w:p w14:paraId="4C7414F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6A5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842" w:type="dxa"/>
            <w:noWrap w:val="0"/>
            <w:vAlign w:val="center"/>
          </w:tcPr>
          <w:p w14:paraId="16A0638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竣工日期</w:t>
            </w:r>
          </w:p>
        </w:tc>
        <w:tc>
          <w:tcPr>
            <w:tcW w:w="5783" w:type="dxa"/>
            <w:noWrap w:val="0"/>
            <w:vAlign w:val="top"/>
          </w:tcPr>
          <w:p w14:paraId="34E1CC8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4BCF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42" w:type="dxa"/>
            <w:noWrap w:val="0"/>
            <w:vAlign w:val="center"/>
          </w:tcPr>
          <w:p w14:paraId="2F933E95">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承担的工作</w:t>
            </w:r>
          </w:p>
        </w:tc>
        <w:tc>
          <w:tcPr>
            <w:tcW w:w="5783" w:type="dxa"/>
            <w:noWrap w:val="0"/>
            <w:vAlign w:val="top"/>
          </w:tcPr>
          <w:p w14:paraId="32AE416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1D0C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42" w:type="dxa"/>
            <w:noWrap w:val="0"/>
            <w:vAlign w:val="center"/>
          </w:tcPr>
          <w:p w14:paraId="25720E4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工程质量</w:t>
            </w:r>
          </w:p>
        </w:tc>
        <w:tc>
          <w:tcPr>
            <w:tcW w:w="5783" w:type="dxa"/>
            <w:noWrap w:val="0"/>
            <w:vAlign w:val="top"/>
          </w:tcPr>
          <w:p w14:paraId="5117844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05D5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842" w:type="dxa"/>
            <w:noWrap w:val="0"/>
            <w:vAlign w:val="center"/>
          </w:tcPr>
          <w:p w14:paraId="19A7F28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项目经理</w:t>
            </w:r>
          </w:p>
        </w:tc>
        <w:tc>
          <w:tcPr>
            <w:tcW w:w="5783" w:type="dxa"/>
            <w:noWrap w:val="0"/>
            <w:vAlign w:val="top"/>
          </w:tcPr>
          <w:p w14:paraId="7E5DDFBF">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3318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42" w:type="dxa"/>
            <w:noWrap w:val="0"/>
            <w:vAlign w:val="center"/>
          </w:tcPr>
          <w:p w14:paraId="5B8AAA4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技术负责人</w:t>
            </w:r>
          </w:p>
        </w:tc>
        <w:tc>
          <w:tcPr>
            <w:tcW w:w="5783" w:type="dxa"/>
            <w:noWrap w:val="0"/>
            <w:vAlign w:val="top"/>
          </w:tcPr>
          <w:p w14:paraId="47212A79">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41FC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842" w:type="dxa"/>
            <w:noWrap w:val="0"/>
            <w:vAlign w:val="center"/>
          </w:tcPr>
          <w:p w14:paraId="6E6F278F">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总监理工程师及电话</w:t>
            </w:r>
          </w:p>
        </w:tc>
        <w:tc>
          <w:tcPr>
            <w:tcW w:w="5783" w:type="dxa"/>
            <w:noWrap w:val="0"/>
            <w:vAlign w:val="top"/>
          </w:tcPr>
          <w:p w14:paraId="6DEE09DC">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C6C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842" w:type="dxa"/>
            <w:noWrap w:val="0"/>
            <w:vAlign w:val="center"/>
          </w:tcPr>
          <w:p w14:paraId="5F3FAB0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项目描述</w:t>
            </w:r>
          </w:p>
        </w:tc>
        <w:tc>
          <w:tcPr>
            <w:tcW w:w="5783" w:type="dxa"/>
            <w:noWrap w:val="0"/>
            <w:vAlign w:val="top"/>
          </w:tcPr>
          <w:p w14:paraId="2DD74E0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p w14:paraId="2D9FAF4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1592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842" w:type="dxa"/>
            <w:noWrap w:val="0"/>
            <w:vAlign w:val="center"/>
          </w:tcPr>
          <w:p w14:paraId="5CD6192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备注</w:t>
            </w:r>
          </w:p>
        </w:tc>
        <w:tc>
          <w:tcPr>
            <w:tcW w:w="5783" w:type="dxa"/>
            <w:noWrap w:val="0"/>
            <w:vAlign w:val="top"/>
          </w:tcPr>
          <w:p w14:paraId="1F1C0F7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bl>
    <w:p w14:paraId="39CD65F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sz w:val="24"/>
          <w:szCs w:val="24"/>
          <w:highlight w:val="none"/>
        </w:rPr>
      </w:pPr>
      <w:r>
        <w:rPr>
          <w:rFonts w:hint="eastAsia" w:ascii="宋体" w:hAnsi="宋体" w:eastAsia="宋体" w:cs="宋体"/>
          <w:b/>
          <w:bCs/>
          <w:caps w:val="0"/>
          <w:color w:val="auto"/>
          <w:kern w:val="0"/>
          <w:sz w:val="24"/>
          <w:szCs w:val="24"/>
          <w:highlight w:val="none"/>
        </w:rPr>
        <w:t>注：1、本表后附中标通知书</w:t>
      </w:r>
      <w:r>
        <w:rPr>
          <w:rFonts w:hint="eastAsia" w:ascii="宋体" w:hAnsi="宋体" w:eastAsia="宋体" w:cs="宋体"/>
          <w:b/>
          <w:bCs/>
          <w:caps w:val="0"/>
          <w:color w:val="auto"/>
          <w:kern w:val="0"/>
          <w:sz w:val="24"/>
          <w:szCs w:val="24"/>
          <w:highlight w:val="none"/>
          <w:lang w:val="en-US" w:eastAsia="zh-CN"/>
        </w:rPr>
        <w:t>及</w:t>
      </w:r>
      <w:r>
        <w:rPr>
          <w:rFonts w:hint="eastAsia" w:ascii="宋体" w:hAnsi="宋体" w:eastAsia="宋体" w:cs="宋体"/>
          <w:b/>
          <w:bCs/>
          <w:caps w:val="0"/>
          <w:color w:val="auto"/>
          <w:kern w:val="0"/>
          <w:sz w:val="24"/>
          <w:szCs w:val="24"/>
          <w:highlight w:val="none"/>
        </w:rPr>
        <w:t>合同协议书</w:t>
      </w:r>
      <w:r>
        <w:rPr>
          <w:rFonts w:hint="eastAsia" w:ascii="宋体" w:hAnsi="宋体" w:eastAsia="宋体" w:cs="宋体"/>
          <w:b/>
          <w:bCs/>
          <w:caps w:val="0"/>
          <w:color w:val="auto"/>
          <w:kern w:val="0"/>
          <w:sz w:val="24"/>
          <w:szCs w:val="24"/>
          <w:highlight w:val="none"/>
          <w:lang w:val="en-US" w:eastAsia="zh-CN"/>
        </w:rPr>
        <w:t>扫描件</w:t>
      </w:r>
      <w:r>
        <w:rPr>
          <w:rFonts w:hint="eastAsia" w:ascii="宋体" w:hAnsi="宋体" w:eastAsia="宋体" w:cs="宋体"/>
          <w:b/>
          <w:bCs/>
          <w:caps w:val="0"/>
          <w:color w:val="auto"/>
          <w:kern w:val="0"/>
          <w:sz w:val="24"/>
          <w:szCs w:val="24"/>
          <w:highlight w:val="none"/>
        </w:rPr>
        <w:t>，具体年份要求20</w:t>
      </w:r>
      <w:r>
        <w:rPr>
          <w:rFonts w:hint="eastAsia" w:ascii="宋体" w:hAnsi="宋体" w:eastAsia="宋体" w:cs="宋体"/>
          <w:b/>
          <w:bCs/>
          <w:caps w:val="0"/>
          <w:color w:val="auto"/>
          <w:kern w:val="0"/>
          <w:sz w:val="24"/>
          <w:szCs w:val="24"/>
          <w:highlight w:val="none"/>
          <w:lang w:val="en-US" w:eastAsia="zh-CN"/>
        </w:rPr>
        <w:t>22</w:t>
      </w:r>
      <w:r>
        <w:rPr>
          <w:rFonts w:hint="eastAsia" w:ascii="宋体" w:hAnsi="宋体" w:eastAsia="宋体" w:cs="宋体"/>
          <w:b/>
          <w:bCs/>
          <w:caps w:val="0"/>
          <w:color w:val="auto"/>
          <w:kern w:val="0"/>
          <w:sz w:val="24"/>
          <w:szCs w:val="24"/>
          <w:highlight w:val="none"/>
        </w:rPr>
        <w:t>年1月1日以来</w:t>
      </w:r>
      <w:r>
        <w:rPr>
          <w:rFonts w:hint="eastAsia" w:ascii="宋体" w:hAnsi="宋体" w:eastAsia="宋体" w:cs="宋体"/>
          <w:b/>
          <w:bCs/>
          <w:caps w:val="0"/>
          <w:color w:val="auto"/>
          <w:kern w:val="0"/>
          <w:sz w:val="24"/>
          <w:szCs w:val="24"/>
          <w:highlight w:val="none"/>
          <w:lang w:eastAsia="zh-CN"/>
        </w:rPr>
        <w:t>，</w:t>
      </w:r>
      <w:r>
        <w:rPr>
          <w:rFonts w:hint="eastAsia" w:ascii="宋体" w:hAnsi="宋体" w:eastAsia="宋体" w:cs="宋体"/>
          <w:b/>
          <w:bCs/>
          <w:caps w:val="0"/>
          <w:color w:val="auto"/>
          <w:kern w:val="0"/>
          <w:sz w:val="24"/>
          <w:szCs w:val="24"/>
          <w:highlight w:val="none"/>
          <w:lang w:val="en-US" w:eastAsia="zh-CN"/>
        </w:rPr>
        <w:t>以合同签订日期为准</w:t>
      </w:r>
      <w:r>
        <w:rPr>
          <w:rFonts w:hint="eastAsia" w:ascii="宋体" w:hAnsi="宋体" w:eastAsia="宋体" w:cs="宋体"/>
          <w:b/>
          <w:bCs/>
          <w:caps w:val="0"/>
          <w:color w:val="auto"/>
          <w:kern w:val="0"/>
          <w:sz w:val="24"/>
          <w:szCs w:val="24"/>
          <w:highlight w:val="none"/>
        </w:rPr>
        <w:t>。每张表格只填写一个项目。</w:t>
      </w:r>
    </w:p>
    <w:p w14:paraId="0424867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lang w:eastAsia="zh-CN"/>
        </w:rPr>
      </w:pPr>
    </w:p>
    <w:p w14:paraId="43463D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highlight w:val="none"/>
        </w:rPr>
      </w:pPr>
      <w:r>
        <w:rPr>
          <w:rFonts w:hint="eastAsia" w:ascii="宋体" w:hAnsi="宋体" w:eastAsia="宋体" w:cs="宋体"/>
          <w:highlight w:val="none"/>
        </w:rPr>
        <w:br w:type="page"/>
      </w:r>
    </w:p>
    <w:p w14:paraId="153AE872">
      <w:pPr>
        <w:keepNext/>
        <w:keepLines/>
        <w:pageBreakBefore w:val="0"/>
        <w:numPr>
          <w:ilvl w:val="0"/>
          <w:numId w:val="3"/>
        </w:numPr>
        <w:kinsoku/>
        <w:overflowPunct/>
        <w:topLinePunct w:val="0"/>
        <w:bidi w:val="0"/>
        <w:adjustRightInd w:val="0"/>
        <w:snapToGrid w:val="0"/>
        <w:spacing w:beforeAutospacing="0" w:afterAutospacing="0" w:line="360" w:lineRule="auto"/>
        <w:ind w:left="0" w:leftChars="0" w:right="0" w:rightChars="0" w:firstLine="0" w:firstLineChars="0"/>
        <w:jc w:val="center"/>
        <w:outlineLvl w:val="3"/>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其他资格审查资料</w:t>
      </w:r>
    </w:p>
    <w:p w14:paraId="6B6AC0AA">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52EA0BCD">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2D8D9DE5">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5C641086">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673F37AF">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3AFD36AF">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6D3035EA">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268B9314">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588B35C2">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9FC39D4">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6551AB06">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43F84AD">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7905278A">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209A602E">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0B34FAB1">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1A74EE81">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6DEF13CE">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3CFC9429">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2FB5AAF2">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5DE19FE6">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05928F88">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002BBF0F">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6BF4C45E">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A2D16C7">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C9F32BF">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08CECF52">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附件</w:t>
      </w:r>
      <w:r>
        <w:rPr>
          <w:rFonts w:hint="eastAsia" w:ascii="宋体" w:hAnsi="宋体" w:eastAsia="宋体" w:cs="宋体"/>
          <w:b/>
          <w:kern w:val="0"/>
          <w:sz w:val="28"/>
          <w:szCs w:val="28"/>
          <w:highlight w:val="none"/>
          <w:lang w:val="en-US" w:eastAsia="zh-CN"/>
        </w:rPr>
        <w:t>1</w:t>
      </w:r>
      <w:r>
        <w:rPr>
          <w:rFonts w:hint="eastAsia" w:ascii="宋体" w:hAnsi="宋体" w:eastAsia="宋体" w:cs="宋体"/>
          <w:b/>
          <w:kern w:val="0"/>
          <w:sz w:val="28"/>
          <w:szCs w:val="28"/>
          <w:highlight w:val="none"/>
        </w:rPr>
        <w:t>：</w:t>
      </w:r>
    </w:p>
    <w:p w14:paraId="37B51FF3">
      <w:pPr>
        <w:pageBreakBefore w:val="0"/>
        <w:widowControl/>
        <w:shd w:val="clear" w:color="auto" w:fill="FFFFFF"/>
        <w:bidi w:val="0"/>
        <w:adjustRightInd w:val="0"/>
        <w:snapToGrid w:val="0"/>
        <w:spacing w:beforeAutospacing="0" w:afterAutospacing="0" w:line="360" w:lineRule="auto"/>
        <w:ind w:left="0" w:leftChars="0" w:right="0" w:firstLine="482" w:firstLineChars="200"/>
        <w:jc w:val="center"/>
        <w:textAlignment w:val="baseline"/>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满足《中华人民共和国政府采购法》第二十二条规定的承诺书</w:t>
      </w:r>
    </w:p>
    <w:p w14:paraId="2D22E488">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致（采购单位）：</w:t>
      </w:r>
    </w:p>
    <w:p w14:paraId="6D5FE500">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我单位自愿参加本次采购活动，严格遵守《中华人民共和国政府采购法》及相关法律法规，依法诚信经营，依法遵守本次政府采购活动的各项规定。我单位郑重承诺声明如下：</w:t>
      </w:r>
    </w:p>
    <w:p w14:paraId="5E0D7C6D">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一、我单位全称为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，注册地点为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，统一社会信用代码为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法定代表人（主要负责人）为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联系方式为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4D3AEC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二、我单位具有独立承担民事责任的能力(如分公司参加投标的，其民事责任由总公司承担)。</w:t>
      </w:r>
    </w:p>
    <w:p w14:paraId="05C5FD1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三、我单位具有良好的商业信誉和健全的财务会计制度。 </w:t>
      </w:r>
    </w:p>
    <w:p w14:paraId="62250E5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四、我单位具有履行合同所必需的设备和专业技术能力。 </w:t>
      </w:r>
    </w:p>
    <w:p w14:paraId="30D47829">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五、我单位有依法缴纳税收和社会保障资金的良好记录。</w:t>
      </w:r>
    </w:p>
    <w:p w14:paraId="73FFD917">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14:paraId="237FA151">
      <w:pPr>
        <w:pageBreakBefore w:val="0"/>
        <w:bidi w:val="0"/>
        <w:adjustRightInd w:val="0"/>
        <w:snapToGrid w:val="0"/>
        <w:spacing w:beforeAutospacing="0" w:afterAutospacing="0" w:line="360" w:lineRule="auto"/>
        <w:ind w:left="0" w:leftChars="0" w:right="0" w:firstLine="480" w:firstLineChars="200"/>
        <w:outlineLvl w:val="1"/>
        <w:rPr>
          <w:rFonts w:hint="eastAsia" w:ascii="宋体" w:hAnsi="宋体" w:eastAsia="宋体" w:cs="宋体"/>
          <w:sz w:val="24"/>
          <w:szCs w:val="24"/>
          <w:highlight w:val="none"/>
        </w:rPr>
      </w:pPr>
      <w:bookmarkStart w:id="1110" w:name="_Toc4968"/>
      <w:bookmarkStart w:id="1111" w:name="_Toc12051"/>
      <w:bookmarkStart w:id="1112" w:name="_Toc27798"/>
      <w:r>
        <w:rPr>
          <w:rFonts w:hint="eastAsia" w:ascii="宋体" w:hAnsi="宋体" w:eastAsia="宋体" w:cs="宋体"/>
          <w:sz w:val="24"/>
          <w:szCs w:val="24"/>
          <w:highlight w:val="none"/>
        </w:rPr>
        <w:t>七、我单位具备法律、行政法规规定的其他条件。</w:t>
      </w:r>
      <w:bookmarkEnd w:id="1110"/>
      <w:bookmarkEnd w:id="1111"/>
      <w:bookmarkEnd w:id="1112"/>
    </w:p>
    <w:p w14:paraId="279D9199">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保证上述声明的事项都是真实的，符合《中华人民共和国政府采购法》规定的供应商资格条件。如有弄虚作假，我单位愿意按照“提供虚假材料谋取中标”承担相应的法律责任，同意将违背承诺行为作为失信行为记录到社会信用信息平台，并承担因此所造成的一切损失。</w:t>
      </w:r>
    </w:p>
    <w:p w14:paraId="47E4E511">
      <w:pPr>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highlight w:val="none"/>
        </w:rPr>
        <w:t>供应商：</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02681491">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7EBC65C8">
      <w:pPr>
        <w:pStyle w:val="9"/>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 xml:space="preserve">                             年     月     日</w:t>
      </w:r>
    </w:p>
    <w:p w14:paraId="76391E76">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B6C530F">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52372295">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13BABBF0">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53DF343">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 xml:space="preserve">附件2： </w:t>
      </w:r>
    </w:p>
    <w:p w14:paraId="00C17DCD">
      <w:pPr>
        <w:pageBreakBefore w:val="0"/>
        <w:widowControl/>
        <w:shd w:val="clear" w:color="auto" w:fill="FFFFFF"/>
        <w:bidi w:val="0"/>
        <w:adjustRightInd w:val="0"/>
        <w:snapToGrid w:val="0"/>
        <w:spacing w:beforeAutospacing="0" w:afterAutospacing="0" w:line="360" w:lineRule="auto"/>
        <w:ind w:left="0" w:leftChars="0" w:right="0" w:firstLine="482" w:firstLineChars="200"/>
        <w:jc w:val="center"/>
        <w:textAlignment w:val="baseline"/>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无商业贿赂</w:t>
      </w:r>
      <w:r>
        <w:rPr>
          <w:rFonts w:hint="eastAsia" w:ascii="宋体" w:hAnsi="宋体" w:eastAsia="宋体" w:cs="宋体"/>
          <w:b/>
          <w:kern w:val="0"/>
          <w:sz w:val="24"/>
          <w:highlight w:val="none"/>
          <w:lang w:val="en-US" w:eastAsia="zh-CN"/>
        </w:rPr>
        <w:t>及</w:t>
      </w:r>
      <w:r>
        <w:rPr>
          <w:rFonts w:hint="eastAsia" w:ascii="宋体" w:hAnsi="宋体" w:eastAsia="宋体" w:cs="宋体"/>
          <w:b/>
          <w:kern w:val="0"/>
          <w:sz w:val="24"/>
          <w:highlight w:val="none"/>
          <w:lang w:val="zh-CN"/>
        </w:rPr>
        <w:t>无不正当竞争行为的承诺书</w:t>
      </w:r>
    </w:p>
    <w:p w14:paraId="164B7416">
      <w:pPr>
        <w:pageBreakBefore w:val="0"/>
        <w:widowControl/>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rPr>
      </w:pPr>
    </w:p>
    <w:p w14:paraId="1CE25922">
      <w:pPr>
        <w:pageBreakBefore w:val="0"/>
        <w:widowControl/>
        <w:bidi w:val="0"/>
        <w:adjustRightInd w:val="0"/>
        <w:snapToGrid w:val="0"/>
        <w:spacing w:beforeAutospacing="0" w:afterAutospacing="0" w:line="360" w:lineRule="auto"/>
        <w:ind w:left="0" w:leftChars="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63CFEFB2">
      <w:pPr>
        <w:pageBreakBefore w:val="0"/>
        <w:widowControl/>
        <w:bidi w:val="0"/>
        <w:adjustRightInd w:val="0"/>
        <w:snapToGrid w:val="0"/>
        <w:spacing w:beforeAutospacing="0" w:afterAutospacing="0" w:line="360" w:lineRule="auto"/>
        <w:ind w:left="0" w:leftChars="0" w:right="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一、我公司</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及法人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自成立以来，在参与政府采购活动中，从无商业贿赂及不正当竞争行为。</w:t>
      </w:r>
    </w:p>
    <w:p w14:paraId="39D93E90">
      <w:pPr>
        <w:pageBreakBefore w:val="0"/>
        <w:widowControl/>
        <w:bidi w:val="0"/>
        <w:adjustRightInd w:val="0"/>
        <w:snapToGrid w:val="0"/>
        <w:spacing w:beforeAutospacing="0" w:afterAutospacing="0" w:line="360" w:lineRule="auto"/>
        <w:ind w:left="0" w:leftChars="0" w:right="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二、公平竞争参加本次采购活动。</w:t>
      </w:r>
    </w:p>
    <w:p w14:paraId="61C298C1">
      <w:pPr>
        <w:pageBreakBefore w:val="0"/>
        <w:widowControl/>
        <w:bidi w:val="0"/>
        <w:adjustRightInd w:val="0"/>
        <w:snapToGrid w:val="0"/>
        <w:spacing w:beforeAutospacing="0" w:afterAutospacing="0" w:line="360" w:lineRule="auto"/>
        <w:ind w:left="0" w:leftChars="0" w:right="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14:paraId="0B410DE1">
      <w:pPr>
        <w:pageBreakBefore w:val="0"/>
        <w:widowControl/>
        <w:bidi w:val="0"/>
        <w:adjustRightInd w:val="0"/>
        <w:snapToGrid w:val="0"/>
        <w:spacing w:beforeAutospacing="0" w:afterAutospacing="0" w:line="360" w:lineRule="auto"/>
        <w:ind w:left="0" w:leftChars="0" w:right="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四、坚持投标独立性，保证不以任何手段了解或意图了解其他投标参与人情况及其报价信息。除公开渠道获取相关信息外，保证不以其它方式刺探或意图刺探贵司评标、议标信息及其进展。</w:t>
      </w:r>
    </w:p>
    <w:p w14:paraId="31F3CB7B">
      <w:pPr>
        <w:pageBreakBefore w:val="0"/>
        <w:widowControl/>
        <w:bidi w:val="0"/>
        <w:adjustRightInd w:val="0"/>
        <w:snapToGrid w:val="0"/>
        <w:spacing w:beforeAutospacing="0" w:afterAutospacing="0" w:line="360" w:lineRule="auto"/>
        <w:ind w:left="0" w:leftChars="0" w:right="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五、若出现上述行为，与投标的工作人员愿意接受按照国家法律法规等有关规定给子的处罚。</w:t>
      </w:r>
    </w:p>
    <w:p w14:paraId="5531B410">
      <w:pPr>
        <w:pageBreakBefore w:val="0"/>
        <w:widowControl/>
        <w:bidi w:val="0"/>
        <w:adjustRightInd w:val="0"/>
        <w:snapToGrid w:val="0"/>
        <w:spacing w:beforeAutospacing="0" w:afterAutospacing="0" w:line="360" w:lineRule="auto"/>
        <w:ind w:left="0" w:leftChars="0" w:right="0" w:firstLine="46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07FD1B9D">
      <w:pPr>
        <w:pStyle w:val="21"/>
        <w:pageBreakBefore w:val="0"/>
        <w:bidi w:val="0"/>
        <w:adjustRightInd w:val="0"/>
        <w:snapToGrid w:val="0"/>
        <w:spacing w:beforeAutospacing="0" w:afterAutospacing="0" w:line="360" w:lineRule="auto"/>
        <w:ind w:left="0" w:leftChars="0" w:right="0" w:firstLine="200"/>
        <w:rPr>
          <w:rFonts w:hint="eastAsia" w:ascii="宋体" w:hAnsi="宋体" w:eastAsia="宋体" w:cs="宋体"/>
          <w:highlight w:val="none"/>
        </w:rPr>
      </w:pPr>
    </w:p>
    <w:p w14:paraId="49EAD194">
      <w:pPr>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highlight w:val="none"/>
        </w:rPr>
        <w:t>供应商：</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76B85391">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4CC1BDF1">
      <w:pPr>
        <w:pStyle w:val="9"/>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 xml:space="preserve">                             年     月     日</w:t>
      </w:r>
    </w:p>
    <w:p w14:paraId="376F48C5">
      <w:pPr>
        <w:pageBreakBefore w:val="0"/>
        <w:bidi w:val="0"/>
        <w:adjustRightInd w:val="0"/>
        <w:snapToGrid w:val="0"/>
        <w:spacing w:beforeAutospacing="0" w:afterAutospacing="0" w:line="360" w:lineRule="auto"/>
        <w:ind w:left="0" w:leftChars="0" w:right="0"/>
        <w:jc w:val="right"/>
        <w:rPr>
          <w:rFonts w:hint="eastAsia" w:ascii="宋体" w:hAnsi="宋体" w:eastAsia="宋体" w:cs="宋体"/>
          <w:color w:val="auto"/>
          <w:sz w:val="30"/>
          <w:szCs w:val="30"/>
          <w:highlight w:val="none"/>
        </w:rPr>
      </w:pPr>
    </w:p>
    <w:p w14:paraId="12F2A7D1">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highlight w:val="none"/>
        </w:rPr>
      </w:pPr>
    </w:p>
    <w:p w14:paraId="55F8E018">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7073DB9D">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22244605">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5F9ACB26">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779EB46C">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76ABA882">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附件</w:t>
      </w:r>
      <w:r>
        <w:rPr>
          <w:rFonts w:hint="eastAsia" w:ascii="宋体" w:hAnsi="宋体" w:eastAsia="宋体" w:cs="宋体"/>
          <w:b/>
          <w:kern w:val="0"/>
          <w:sz w:val="28"/>
          <w:szCs w:val="28"/>
          <w:highlight w:val="none"/>
          <w:lang w:val="en-US" w:eastAsia="zh-CN"/>
        </w:rPr>
        <w:t>3</w:t>
      </w:r>
      <w:r>
        <w:rPr>
          <w:rFonts w:hint="eastAsia" w:ascii="宋体" w:hAnsi="宋体" w:eastAsia="宋体" w:cs="宋体"/>
          <w:b/>
          <w:kern w:val="0"/>
          <w:sz w:val="28"/>
          <w:szCs w:val="28"/>
          <w:highlight w:val="none"/>
        </w:rPr>
        <w:t>：</w:t>
      </w:r>
    </w:p>
    <w:p w14:paraId="69BA3218">
      <w:pPr>
        <w:pageBreakBefore w:val="0"/>
        <w:widowControl/>
        <w:shd w:val="clear" w:color="auto" w:fill="FFFFFF"/>
        <w:bidi w:val="0"/>
        <w:adjustRightInd w:val="0"/>
        <w:snapToGrid w:val="0"/>
        <w:spacing w:beforeAutospacing="0" w:afterAutospacing="0" w:line="360" w:lineRule="auto"/>
        <w:ind w:left="0" w:leftChars="0" w:right="0"/>
        <w:jc w:val="center"/>
        <w:textAlignment w:val="baseline"/>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非联合体投标承诺书</w:t>
      </w:r>
    </w:p>
    <w:p w14:paraId="7D2B225B">
      <w:pPr>
        <w:pageBreakBefore w:val="0"/>
        <w:widowControl/>
        <w:shd w:val="clear" w:color="auto" w:fill="FFFFFF"/>
        <w:bidi w:val="0"/>
        <w:adjustRightInd w:val="0"/>
        <w:snapToGrid w:val="0"/>
        <w:spacing w:beforeAutospacing="0" w:afterAutospacing="0" w:line="360" w:lineRule="auto"/>
        <w:ind w:left="0" w:leftChars="0" w:right="0"/>
        <w:jc w:val="center"/>
        <w:textAlignment w:val="baseline"/>
        <w:rPr>
          <w:rFonts w:hint="eastAsia" w:ascii="宋体" w:hAnsi="宋体" w:eastAsia="宋体" w:cs="宋体"/>
          <w:b/>
          <w:kern w:val="0"/>
          <w:sz w:val="24"/>
          <w:highlight w:val="none"/>
          <w:lang w:val="zh-CN" w:eastAsia="zh-CN"/>
        </w:rPr>
      </w:pPr>
    </w:p>
    <w:p w14:paraId="5299DFE0">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致（采购单位）：</w:t>
      </w:r>
    </w:p>
    <w:p w14:paraId="0D381187">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我单位参与本次采购活动中，非联合体投标，特此承诺。 </w:t>
      </w:r>
    </w:p>
    <w:p w14:paraId="5AD418C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若承诺不实，同意取消投标资格，接受相关处理。</w:t>
      </w:r>
    </w:p>
    <w:p w14:paraId="4E59099E">
      <w:pPr>
        <w:pageBreakBefore w:val="0"/>
        <w:bidi w:val="0"/>
        <w:adjustRightInd w:val="0"/>
        <w:snapToGrid w:val="0"/>
        <w:spacing w:beforeAutospacing="0" w:afterAutospacing="0" w:line="360" w:lineRule="auto"/>
        <w:ind w:left="0" w:leftChars="0" w:right="0"/>
        <w:jc w:val="right"/>
        <w:rPr>
          <w:rFonts w:hint="eastAsia" w:ascii="宋体" w:hAnsi="宋体" w:eastAsia="宋体" w:cs="宋体"/>
          <w:sz w:val="24"/>
          <w:szCs w:val="24"/>
          <w:highlight w:val="none"/>
        </w:rPr>
      </w:pPr>
    </w:p>
    <w:p w14:paraId="7CC32D65">
      <w:pPr>
        <w:pageBreakBefore w:val="0"/>
        <w:bidi w:val="0"/>
        <w:adjustRightInd w:val="0"/>
        <w:snapToGrid w:val="0"/>
        <w:spacing w:beforeAutospacing="0" w:afterAutospacing="0" w:line="360" w:lineRule="auto"/>
        <w:ind w:left="0" w:leftChars="0" w:right="0"/>
        <w:jc w:val="right"/>
        <w:rPr>
          <w:rFonts w:hint="eastAsia" w:ascii="宋体" w:hAnsi="宋体" w:eastAsia="宋体" w:cs="宋体"/>
          <w:sz w:val="24"/>
          <w:szCs w:val="24"/>
          <w:highlight w:val="none"/>
        </w:rPr>
      </w:pPr>
    </w:p>
    <w:p w14:paraId="4C9FC07D">
      <w:pPr>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kern w:val="0"/>
          <w:sz w:val="24"/>
          <w:highlight w:val="none"/>
        </w:rPr>
        <w:t>供应商：</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79BBB2B6">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电子签章</w:t>
      </w:r>
      <w:r>
        <w:rPr>
          <w:rFonts w:hint="eastAsia" w:ascii="宋体" w:hAnsi="宋体" w:eastAsia="宋体" w:cs="宋体"/>
          <w:kern w:val="0"/>
          <w:sz w:val="24"/>
          <w:szCs w:val="24"/>
          <w:highlight w:val="none"/>
        </w:rPr>
        <w:t>）</w:t>
      </w:r>
    </w:p>
    <w:p w14:paraId="784B4638">
      <w:pPr>
        <w:pStyle w:val="9"/>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Cs w:val="24"/>
          <w:highlight w:val="none"/>
          <w:lang w:val="en-US" w:eastAsia="zh-CN"/>
        </w:rPr>
      </w:pPr>
      <w:r>
        <w:rPr>
          <w:rFonts w:hint="eastAsia" w:ascii="宋体" w:hAnsi="宋体" w:eastAsia="宋体" w:cs="宋体"/>
          <w:kern w:val="0"/>
          <w:szCs w:val="24"/>
          <w:highlight w:val="none"/>
          <w:lang w:val="en-US" w:eastAsia="zh-CN"/>
        </w:rPr>
        <w:t xml:space="preserve">                             年     月     日</w:t>
      </w:r>
    </w:p>
    <w:p w14:paraId="76707D84">
      <w:pPr>
        <w:pStyle w:val="3"/>
        <w:pageBreakBefore w:val="0"/>
        <w:bidi w:val="0"/>
        <w:adjustRightInd w:val="0"/>
        <w:snapToGrid w:val="0"/>
        <w:spacing w:before="0" w:beforeAutospacing="0" w:afterAutospacing="0" w:line="360" w:lineRule="auto"/>
        <w:ind w:left="0" w:leftChars="0" w:right="0"/>
        <w:rPr>
          <w:rFonts w:hint="eastAsia" w:ascii="宋体" w:hAnsi="宋体" w:eastAsia="宋体" w:cs="宋体"/>
          <w:highlight w:val="none"/>
        </w:rPr>
      </w:pPr>
    </w:p>
    <w:p w14:paraId="2BAE22AA">
      <w:pPr>
        <w:pStyle w:val="10"/>
        <w:pageBreakBefore w:val="0"/>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highlight w:val="none"/>
        </w:rPr>
      </w:pPr>
      <w:r>
        <w:rPr>
          <w:rFonts w:hint="eastAsia" w:ascii="宋体" w:hAnsi="宋体" w:eastAsia="宋体" w:cs="宋体"/>
          <w:highlight w:val="none"/>
        </w:rPr>
        <w:br w:type="page"/>
      </w:r>
    </w:p>
    <w:p w14:paraId="25813513">
      <w:pPr>
        <w:pageBreakBefore w:val="0"/>
        <w:numPr>
          <w:ilvl w:val="0"/>
          <w:numId w:val="0"/>
        </w:numPr>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八、服务承诺</w:t>
      </w:r>
    </w:p>
    <w:p w14:paraId="281FFCC4">
      <w:pPr>
        <w:pStyle w:val="21"/>
        <w:pageBreakBefore w:val="0"/>
        <w:numPr>
          <w:ilvl w:val="0"/>
          <w:numId w:val="0"/>
        </w:numPr>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highlight w:val="none"/>
          <w:lang w:val="en-US" w:eastAsia="zh-CN"/>
        </w:rPr>
      </w:pPr>
    </w:p>
    <w:p w14:paraId="43A00F57">
      <w:pPr>
        <w:pStyle w:val="21"/>
        <w:pageBreakBefore w:val="0"/>
        <w:numPr>
          <w:ilvl w:val="0"/>
          <w:numId w:val="0"/>
        </w:numPr>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格式自拟</w:t>
      </w:r>
    </w:p>
    <w:p w14:paraId="561D7C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633C173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2BABED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01817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33165D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1E90B5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51EC816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47A90C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00A3E4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4BFA04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6F57AA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69BBE4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0D09953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3CEBCB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0284A4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B9FF2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0A40BD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24AEE8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2EAC2F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73E6E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12262EA2">
      <w:pPr>
        <w:pStyle w:val="22"/>
        <w:pageBreakBefore w:val="0"/>
        <w:kinsoku/>
        <w:overflowPunct/>
        <w:topLinePunct w:val="0"/>
        <w:bidi w:val="0"/>
        <w:adjustRightInd w:val="0"/>
        <w:snapToGrid w:val="0"/>
        <w:spacing w:line="360" w:lineRule="auto"/>
        <w:ind w:left="0" w:leftChars="0" w:firstLine="0" w:firstLineChars="0"/>
        <w:rPr>
          <w:rFonts w:hint="eastAsia" w:ascii="宋体" w:hAnsi="宋体" w:eastAsia="宋体" w:cs="宋体"/>
          <w:highlight w:val="none"/>
        </w:rPr>
      </w:pPr>
      <w:bookmarkStart w:id="1113" w:name="_Toc23724"/>
      <w:bookmarkStart w:id="1114" w:name="_Toc10242"/>
      <w:bookmarkStart w:id="1115" w:name="_Toc23639"/>
    </w:p>
    <w:p w14:paraId="057866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0"/>
        <w:rPr>
          <w:rFonts w:hint="eastAsia" w:ascii="宋体" w:hAnsi="宋体" w:eastAsia="宋体" w:cs="宋体"/>
          <w:b/>
          <w:bCs/>
          <w:color w:val="auto"/>
          <w:sz w:val="30"/>
          <w:szCs w:val="30"/>
          <w:highlight w:val="none"/>
          <w:lang w:val="en-US" w:eastAsia="zh-CN"/>
        </w:rPr>
      </w:pPr>
      <w:r>
        <w:rPr>
          <w:rFonts w:hint="eastAsia" w:ascii="宋体" w:hAnsi="宋体" w:eastAsia="宋体" w:cs="宋体"/>
          <w:b/>
          <w:bCs/>
          <w:sz w:val="32"/>
          <w:szCs w:val="32"/>
          <w:highlight w:val="none"/>
          <w:lang w:val="en-US" w:eastAsia="zh-CN"/>
        </w:rPr>
        <w:t>九</w:t>
      </w:r>
      <w:r>
        <w:rPr>
          <w:rFonts w:hint="eastAsia" w:ascii="宋体" w:hAnsi="宋体" w:eastAsia="宋体" w:cs="宋体"/>
          <w:b/>
          <w:bCs/>
          <w:sz w:val="32"/>
          <w:szCs w:val="32"/>
          <w:highlight w:val="none"/>
        </w:rPr>
        <w:t>、</w:t>
      </w:r>
      <w:bookmarkEnd w:id="1113"/>
      <w:bookmarkEnd w:id="1114"/>
      <w:bookmarkEnd w:id="1115"/>
      <w:bookmarkStart w:id="1116" w:name="_Toc26236"/>
      <w:bookmarkStart w:id="1117" w:name="_Toc15896"/>
      <w:r>
        <w:rPr>
          <w:rFonts w:hint="eastAsia" w:ascii="宋体" w:hAnsi="宋体" w:eastAsia="宋体" w:cs="宋体"/>
          <w:b/>
          <w:bCs/>
          <w:color w:val="auto"/>
          <w:sz w:val="30"/>
          <w:szCs w:val="30"/>
          <w:highlight w:val="none"/>
          <w:lang w:val="en-US" w:eastAsia="zh-CN"/>
        </w:rPr>
        <w:t>其他材料</w:t>
      </w:r>
    </w:p>
    <w:bookmarkEnd w:id="1116"/>
    <w:bookmarkEnd w:id="1117"/>
    <w:p w14:paraId="6FC35A60">
      <w:pPr>
        <w:spacing w:line="312" w:lineRule="auto"/>
        <w:ind w:right="-334" w:rightChars="-159"/>
        <w:jc w:val="center"/>
        <w:rPr>
          <w:rFonts w:hint="eastAsia" w:ascii="宋体" w:hAnsi="宋体" w:eastAsia="宋体" w:cs="宋体"/>
          <w:b/>
          <w:bCs/>
          <w:color w:val="auto"/>
          <w:sz w:val="28"/>
          <w:szCs w:val="28"/>
          <w:highlight w:val="none"/>
          <w:lang w:val="en-US" w:eastAsia="zh-CN"/>
        </w:rPr>
      </w:pPr>
      <w:bookmarkStart w:id="1118" w:name="_Toc11842"/>
      <w:bookmarkStart w:id="1119" w:name="_Toc22169"/>
      <w:r>
        <w:rPr>
          <w:rFonts w:hint="eastAsia" w:ascii="宋体" w:hAnsi="宋体" w:eastAsia="宋体" w:cs="宋体"/>
          <w:b/>
          <w:bCs/>
          <w:color w:val="auto"/>
          <w:sz w:val="28"/>
          <w:szCs w:val="28"/>
          <w:highlight w:val="none"/>
          <w:lang w:val="en-US" w:eastAsia="zh-CN"/>
        </w:rPr>
        <w:t>投标人认为可提交的其他资料</w:t>
      </w:r>
    </w:p>
    <w:p w14:paraId="60D222EC">
      <w:pPr>
        <w:spacing w:line="312" w:lineRule="auto"/>
        <w:ind w:right="-334" w:rightChars="-159"/>
        <w:jc w:val="both"/>
        <w:rPr>
          <w:rFonts w:hint="eastAsia" w:ascii="宋体" w:hAnsi="宋体" w:eastAsia="宋体" w:cs="宋体"/>
          <w:b/>
          <w:bCs/>
          <w:kern w:val="10"/>
          <w:sz w:val="28"/>
          <w:szCs w:val="28"/>
          <w:highlight w:val="none"/>
          <w:lang w:val="en-US" w:eastAsia="zh-CN"/>
        </w:rPr>
      </w:pPr>
    </w:p>
    <w:p w14:paraId="78886583">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629F34F">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A08141F">
      <w:pPr>
        <w:spacing w:line="312" w:lineRule="auto"/>
        <w:ind w:right="-334" w:rightChars="-159"/>
        <w:jc w:val="both"/>
        <w:rPr>
          <w:rFonts w:hint="eastAsia" w:ascii="宋体" w:hAnsi="宋体" w:eastAsia="宋体" w:cs="宋体"/>
          <w:b/>
          <w:bCs/>
          <w:kern w:val="10"/>
          <w:sz w:val="28"/>
          <w:szCs w:val="28"/>
          <w:highlight w:val="none"/>
          <w:lang w:val="en-US" w:eastAsia="zh-CN"/>
        </w:rPr>
      </w:pPr>
    </w:p>
    <w:p w14:paraId="62F21677">
      <w:pPr>
        <w:spacing w:line="312" w:lineRule="auto"/>
        <w:ind w:right="-334" w:rightChars="-159"/>
        <w:jc w:val="both"/>
        <w:rPr>
          <w:rFonts w:hint="eastAsia" w:ascii="宋体" w:hAnsi="宋体" w:eastAsia="宋体" w:cs="宋体"/>
          <w:b/>
          <w:bCs/>
          <w:kern w:val="10"/>
          <w:sz w:val="28"/>
          <w:szCs w:val="28"/>
          <w:highlight w:val="none"/>
          <w:lang w:val="en-US" w:eastAsia="zh-CN"/>
        </w:rPr>
      </w:pPr>
    </w:p>
    <w:p w14:paraId="02C5DC2E">
      <w:pPr>
        <w:spacing w:line="312" w:lineRule="auto"/>
        <w:ind w:right="-334" w:rightChars="-159"/>
        <w:jc w:val="both"/>
        <w:rPr>
          <w:rFonts w:hint="eastAsia" w:ascii="宋体" w:hAnsi="宋体" w:eastAsia="宋体" w:cs="宋体"/>
          <w:b/>
          <w:bCs/>
          <w:kern w:val="10"/>
          <w:sz w:val="28"/>
          <w:szCs w:val="28"/>
          <w:highlight w:val="none"/>
          <w:lang w:val="en-US" w:eastAsia="zh-CN"/>
        </w:rPr>
      </w:pPr>
    </w:p>
    <w:p w14:paraId="4B6BDF46">
      <w:pPr>
        <w:spacing w:line="312" w:lineRule="auto"/>
        <w:ind w:right="-334" w:rightChars="-159"/>
        <w:jc w:val="both"/>
        <w:rPr>
          <w:rFonts w:hint="eastAsia" w:ascii="宋体" w:hAnsi="宋体" w:eastAsia="宋体" w:cs="宋体"/>
          <w:b/>
          <w:bCs/>
          <w:kern w:val="10"/>
          <w:sz w:val="28"/>
          <w:szCs w:val="28"/>
          <w:highlight w:val="none"/>
          <w:lang w:val="en-US" w:eastAsia="zh-CN"/>
        </w:rPr>
      </w:pPr>
    </w:p>
    <w:p w14:paraId="1D4D800A">
      <w:pPr>
        <w:spacing w:line="312" w:lineRule="auto"/>
        <w:ind w:right="-334" w:rightChars="-159"/>
        <w:jc w:val="both"/>
        <w:rPr>
          <w:rFonts w:hint="eastAsia" w:ascii="宋体" w:hAnsi="宋体" w:eastAsia="宋体" w:cs="宋体"/>
          <w:b/>
          <w:bCs/>
          <w:kern w:val="10"/>
          <w:sz w:val="28"/>
          <w:szCs w:val="28"/>
          <w:highlight w:val="none"/>
          <w:lang w:val="en-US" w:eastAsia="zh-CN"/>
        </w:rPr>
      </w:pPr>
    </w:p>
    <w:p w14:paraId="51C743E4">
      <w:pPr>
        <w:spacing w:line="312" w:lineRule="auto"/>
        <w:ind w:right="-334" w:rightChars="-159"/>
        <w:jc w:val="both"/>
        <w:rPr>
          <w:rFonts w:hint="eastAsia" w:ascii="宋体" w:hAnsi="宋体" w:eastAsia="宋体" w:cs="宋体"/>
          <w:b/>
          <w:bCs/>
          <w:kern w:val="10"/>
          <w:sz w:val="28"/>
          <w:szCs w:val="28"/>
          <w:highlight w:val="none"/>
          <w:lang w:val="en-US" w:eastAsia="zh-CN"/>
        </w:rPr>
      </w:pPr>
    </w:p>
    <w:p w14:paraId="054F97BB">
      <w:pPr>
        <w:spacing w:line="312" w:lineRule="auto"/>
        <w:ind w:right="-334" w:rightChars="-159"/>
        <w:jc w:val="both"/>
        <w:rPr>
          <w:rFonts w:hint="eastAsia" w:ascii="宋体" w:hAnsi="宋体" w:eastAsia="宋体" w:cs="宋体"/>
          <w:b/>
          <w:bCs/>
          <w:kern w:val="10"/>
          <w:sz w:val="28"/>
          <w:szCs w:val="28"/>
          <w:highlight w:val="none"/>
          <w:lang w:val="en-US" w:eastAsia="zh-CN"/>
        </w:rPr>
      </w:pPr>
    </w:p>
    <w:p w14:paraId="71170874">
      <w:pPr>
        <w:spacing w:line="312" w:lineRule="auto"/>
        <w:ind w:right="-334" w:rightChars="-159"/>
        <w:jc w:val="both"/>
        <w:rPr>
          <w:rFonts w:hint="eastAsia" w:ascii="宋体" w:hAnsi="宋体" w:eastAsia="宋体" w:cs="宋体"/>
          <w:b/>
          <w:bCs/>
          <w:kern w:val="10"/>
          <w:sz w:val="28"/>
          <w:szCs w:val="28"/>
          <w:highlight w:val="none"/>
          <w:lang w:val="en-US" w:eastAsia="zh-CN"/>
        </w:rPr>
      </w:pPr>
    </w:p>
    <w:p w14:paraId="4BBDAC8F">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8AE0436">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EE54223">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2CC3767">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82D4413">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AD701D0">
      <w:pPr>
        <w:spacing w:line="312" w:lineRule="auto"/>
        <w:ind w:right="-334" w:rightChars="-159"/>
        <w:jc w:val="both"/>
        <w:rPr>
          <w:rFonts w:hint="eastAsia" w:ascii="宋体" w:hAnsi="宋体" w:eastAsia="宋体" w:cs="宋体"/>
          <w:b/>
          <w:bCs/>
          <w:kern w:val="10"/>
          <w:sz w:val="28"/>
          <w:szCs w:val="28"/>
          <w:highlight w:val="none"/>
          <w:lang w:val="en-US" w:eastAsia="zh-CN"/>
        </w:rPr>
      </w:pPr>
    </w:p>
    <w:p w14:paraId="13DFE180">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4777E5C">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F20C8CD">
      <w:pPr>
        <w:spacing w:line="312" w:lineRule="auto"/>
        <w:ind w:right="-334" w:rightChars="-159"/>
        <w:jc w:val="both"/>
        <w:rPr>
          <w:rFonts w:hint="eastAsia" w:ascii="宋体" w:hAnsi="宋体" w:eastAsia="宋体" w:cs="宋体"/>
          <w:b/>
          <w:bCs/>
          <w:kern w:val="10"/>
          <w:sz w:val="28"/>
          <w:szCs w:val="28"/>
          <w:highlight w:val="none"/>
          <w:lang w:val="en-US" w:eastAsia="zh-CN"/>
        </w:rPr>
      </w:pPr>
    </w:p>
    <w:bookmarkEnd w:id="1118"/>
    <w:bookmarkEnd w:id="1119"/>
    <w:p w14:paraId="2E5FE203">
      <w:pPr>
        <w:spacing w:line="312" w:lineRule="auto"/>
        <w:ind w:right="-334" w:rightChars="-159"/>
        <w:jc w:val="both"/>
        <w:rPr>
          <w:rFonts w:hint="eastAsia" w:ascii="宋体" w:hAnsi="宋体" w:eastAsia="宋体" w:cs="宋体"/>
          <w:b/>
          <w:bCs/>
          <w:kern w:val="10"/>
          <w:sz w:val="28"/>
          <w:szCs w:val="28"/>
          <w:highlight w:val="none"/>
          <w:lang w:val="en-US" w:eastAsia="zh-CN"/>
        </w:rPr>
      </w:pPr>
      <w:r>
        <w:rPr>
          <w:rFonts w:hint="eastAsia" w:ascii="宋体" w:hAnsi="宋体" w:eastAsia="宋体" w:cs="宋体"/>
          <w:b/>
          <w:bCs/>
          <w:kern w:val="10"/>
          <w:sz w:val="28"/>
          <w:szCs w:val="28"/>
          <w:highlight w:val="none"/>
          <w:lang w:val="en-US" w:eastAsia="zh-CN"/>
        </w:rPr>
        <w:t>附件1</w:t>
      </w:r>
    </w:p>
    <w:p w14:paraId="47D961CF">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D8E8E96">
      <w:pPr>
        <w:spacing w:line="312" w:lineRule="auto"/>
        <w:ind w:right="-334" w:rightChars="-159"/>
        <w:jc w:val="center"/>
        <w:rPr>
          <w:rFonts w:hint="eastAsia" w:ascii="宋体" w:hAnsi="宋体" w:eastAsia="宋体" w:cs="宋体"/>
          <w:b/>
          <w:bCs/>
          <w:kern w:val="10"/>
          <w:sz w:val="28"/>
          <w:szCs w:val="28"/>
          <w:highlight w:val="none"/>
        </w:rPr>
      </w:pPr>
      <w:r>
        <w:rPr>
          <w:rFonts w:hint="eastAsia" w:ascii="宋体" w:hAnsi="宋体" w:eastAsia="宋体" w:cs="宋体"/>
          <w:b/>
          <w:bCs/>
          <w:kern w:val="10"/>
          <w:sz w:val="28"/>
          <w:szCs w:val="28"/>
          <w:highlight w:val="none"/>
        </w:rPr>
        <w:t>1、中小企业声明函（工程）</w:t>
      </w:r>
    </w:p>
    <w:p w14:paraId="4BF6D788">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kern w:val="0"/>
          <w:sz w:val="24"/>
          <w:szCs w:val="24"/>
          <w:highlight w:val="none"/>
          <w:u w:val="single"/>
        </w:rPr>
        <w:t>（单位名称）</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（项目名称）</w:t>
      </w:r>
      <w:r>
        <w:rPr>
          <w:rFonts w:hint="eastAsia" w:ascii="宋体" w:hAnsi="宋体" w:eastAsia="宋体" w:cs="宋体"/>
          <w:kern w:val="0"/>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18836016">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u w:val="single"/>
        </w:rPr>
        <w:t>（标的名称）</w:t>
      </w:r>
      <w:r>
        <w:rPr>
          <w:rFonts w:hint="eastAsia" w:ascii="宋体" w:hAnsi="宋体" w:eastAsia="宋体" w:cs="宋体"/>
          <w:kern w:val="0"/>
          <w:sz w:val="24"/>
          <w:szCs w:val="24"/>
          <w:highlight w:val="none"/>
        </w:rPr>
        <w:t>，属于</w:t>
      </w:r>
      <w:r>
        <w:rPr>
          <w:rFonts w:hint="eastAsia" w:ascii="宋体" w:hAnsi="宋体" w:eastAsia="宋体" w:cs="宋体"/>
          <w:kern w:val="0"/>
          <w:sz w:val="24"/>
          <w:szCs w:val="24"/>
          <w:highlight w:val="none"/>
          <w:u w:val="single"/>
        </w:rPr>
        <w:t>建筑业（采购文件中明确的所属行业）</w:t>
      </w:r>
      <w:r>
        <w:rPr>
          <w:rFonts w:hint="eastAsia" w:ascii="宋体" w:hAnsi="宋体" w:eastAsia="宋体" w:cs="宋体"/>
          <w:kern w:val="0"/>
          <w:sz w:val="24"/>
          <w:szCs w:val="24"/>
          <w:highlight w:val="none"/>
        </w:rPr>
        <w:t>；承建（承接）企业为</w:t>
      </w:r>
      <w:r>
        <w:rPr>
          <w:rFonts w:hint="eastAsia" w:ascii="宋体" w:hAnsi="宋体" w:eastAsia="宋体" w:cs="宋体"/>
          <w:kern w:val="0"/>
          <w:sz w:val="24"/>
          <w:szCs w:val="24"/>
          <w:highlight w:val="none"/>
          <w:u w:val="single"/>
        </w:rPr>
        <w:t>（企业名称）</w:t>
      </w: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人，营业收入为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万元，资产总额为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万元，属于</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（中型企业、 小型企业、微型企业）；</w:t>
      </w:r>
    </w:p>
    <w:p w14:paraId="07DF57C0">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以上企业，不属于大企业的分支机构，不存在控股股东为大企业的情形，也不存在与大企业的负责人为同一人的情形。</w:t>
      </w:r>
    </w:p>
    <w:p w14:paraId="50BC6603">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本企业对上述声明内容的真实性负责。如有虚假，将依 法承担相应责任。</w:t>
      </w:r>
    </w:p>
    <w:p w14:paraId="4AD9B0FA">
      <w:pPr>
        <w:spacing w:line="312" w:lineRule="auto"/>
        <w:ind w:firstLine="480" w:firstLineChars="200"/>
        <w:jc w:val="left"/>
        <w:rPr>
          <w:rFonts w:hint="eastAsia" w:ascii="宋体" w:hAnsi="宋体" w:eastAsia="宋体" w:cs="宋体"/>
          <w:kern w:val="0"/>
          <w:sz w:val="24"/>
          <w:szCs w:val="24"/>
          <w:highlight w:val="none"/>
        </w:rPr>
      </w:pPr>
    </w:p>
    <w:p w14:paraId="63D0D525">
      <w:pPr>
        <w:pageBreakBefore w:val="0"/>
        <w:bidi w:val="0"/>
        <w:adjustRightInd w:val="0"/>
        <w:snapToGrid w:val="0"/>
        <w:spacing w:beforeAutospacing="0" w:afterAutospacing="0" w:line="360" w:lineRule="auto"/>
        <w:ind w:left="0" w:leftChars="0" w:right="0" w:firstLine="42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注：（根据《政府采购促进中小企业发展管理办法》（财库〔2020〕46号）规定，本项目专门面向中小企业采购,同时供应商须提供《中小企业声明函》</w:t>
      </w:r>
      <w:r>
        <w:rPr>
          <w:rFonts w:hint="eastAsia" w:ascii="宋体" w:hAnsi="宋体" w:eastAsia="宋体" w:cs="宋体"/>
          <w:b/>
          <w:bCs/>
          <w:szCs w:val="24"/>
          <w:highlight w:val="none"/>
          <w:lang w:eastAsia="zh-CN"/>
        </w:rPr>
        <w:t>。</w:t>
      </w:r>
    </w:p>
    <w:p w14:paraId="6008323A">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1F98F28F">
      <w:pPr>
        <w:pageBreakBefore w:val="0"/>
        <w:bidi w:val="0"/>
        <w:adjustRightInd w:val="0"/>
        <w:snapToGrid w:val="0"/>
        <w:spacing w:beforeAutospacing="0" w:afterAutospacing="0" w:line="360" w:lineRule="auto"/>
        <w:ind w:left="0" w:leftChars="0" w:right="0"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759C4205">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103744FB">
      <w:pPr>
        <w:pageBreakBefore w:val="0"/>
        <w:bidi w:val="0"/>
        <w:adjustRightInd w:val="0"/>
        <w:snapToGrid w:val="0"/>
        <w:spacing w:beforeAutospacing="0" w:afterAutospacing="0" w:line="360" w:lineRule="auto"/>
        <w:ind w:right="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注：①从业人员、营业收入、资产总额填报上一年度数据，无上一年度数据的新成立企业可不填报。</w:t>
      </w:r>
    </w:p>
    <w:p w14:paraId="5A62FF18">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②供应商提供的货物既有中小企业制造货物，也有大型企业制造货物的，不享受《政府采购促进中小企业发展管理办法》规定的中小企业扶持政策。</w:t>
      </w:r>
    </w:p>
    <w:p w14:paraId="2A3B91B3">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 xml:space="preserve">③以联合体形式参加政府采购活动，联合体各方均为中小企业的，联合体视同中小企业。其中，联合体各方均为小微企业的，联合体视同小微企业。 </w:t>
      </w:r>
    </w:p>
    <w:p w14:paraId="779F8F9A">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④在政府采购活动中，供应商提供的所有货物由小微企业制造，即货物由小微企业生产且使用该小微企业商号或者注册商标的，才能享受《政府采购促进中小企业发展管理办法》规定的价格扣减。</w:t>
      </w:r>
    </w:p>
    <w:p w14:paraId="58ECA39E">
      <w:pPr>
        <w:pageBreakBefore w:val="0"/>
        <w:bidi w:val="0"/>
        <w:adjustRightInd w:val="0"/>
        <w:snapToGrid w:val="0"/>
        <w:spacing w:beforeAutospacing="0" w:afterAutospacing="0" w:line="360" w:lineRule="auto"/>
        <w:ind w:left="0" w:leftChars="0" w:right="0" w:firstLine="440" w:firstLineChars="20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⑤中小企业声明函格式应严格按照磋商文件提供的格式填写。非单一产品采购的，设备制造商不止一家时，中小企业声明函中须列出所有的设备及制造商，罗列不全的中小企业声明函不予认可。</w:t>
      </w:r>
    </w:p>
    <w:p w14:paraId="7E609DD8">
      <w:pPr>
        <w:pStyle w:val="10"/>
        <w:pageBreakBefore w:val="0"/>
        <w:tabs>
          <w:tab w:val="left" w:pos="219"/>
        </w:tabs>
        <w:bidi w:val="0"/>
        <w:adjustRightInd w:val="0"/>
        <w:snapToGrid w:val="0"/>
        <w:spacing w:after="0" w:line="360" w:lineRule="auto"/>
        <w:ind w:left="0" w:leftChars="0" w:right="0" w:rightChars="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⑥在货物采购项目中，货物应当由中小企业制造，不对其中涉及的服务的承接商作出要求。</w:t>
      </w:r>
    </w:p>
    <w:p w14:paraId="594C7FDE">
      <w:pPr>
        <w:pageBreakBefore w:val="0"/>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68FEB6C9">
      <w:pPr>
        <w:pageBreakBefore w:val="0"/>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10F666EF">
      <w:pPr>
        <w:pStyle w:val="10"/>
        <w:pageBreakBefore w:val="0"/>
        <w:tabs>
          <w:tab w:val="left" w:pos="219"/>
        </w:tabs>
        <w:bidi w:val="0"/>
        <w:adjustRightInd w:val="0"/>
        <w:snapToGrid w:val="0"/>
        <w:spacing w:after="0" w:line="360" w:lineRule="auto"/>
        <w:ind w:left="0" w:leftChars="0" w:right="0" w:rightChars="0"/>
        <w:rPr>
          <w:spacing w:val="-14"/>
          <w:sz w:val="31"/>
          <w:szCs w:val="31"/>
          <w:highlight w:val="none"/>
        </w:rPr>
      </w:pPr>
    </w:p>
    <w:p w14:paraId="7DEA3C6B">
      <w:pPr>
        <w:pageBreakBefore w:val="0"/>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25A7BD07">
      <w:pPr>
        <w:pageBreakBefore w:val="0"/>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2A496659">
      <w:pPr>
        <w:pageBreakBefore w:val="0"/>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6FCC238D">
      <w:pPr>
        <w:pStyle w:val="37"/>
        <w:rPr>
          <w:rFonts w:hint="eastAsia" w:ascii="宋体" w:hAnsi="宋体" w:eastAsia="宋体" w:cs="宋体"/>
          <w:b/>
          <w:bCs/>
          <w:color w:val="000000"/>
          <w:kern w:val="10"/>
          <w:sz w:val="28"/>
          <w:szCs w:val="28"/>
          <w:highlight w:val="none"/>
          <w:shd w:val="clear" w:color="auto" w:fill="FFFFFF"/>
        </w:rPr>
      </w:pPr>
    </w:p>
    <w:p w14:paraId="2FB5D13B">
      <w:pPr>
        <w:pStyle w:val="37"/>
        <w:rPr>
          <w:rFonts w:hint="eastAsia" w:ascii="宋体" w:hAnsi="宋体" w:eastAsia="宋体" w:cs="宋体"/>
          <w:b/>
          <w:bCs/>
          <w:color w:val="000000"/>
          <w:kern w:val="10"/>
          <w:sz w:val="28"/>
          <w:szCs w:val="28"/>
          <w:highlight w:val="none"/>
          <w:shd w:val="clear" w:color="auto" w:fill="FFFFFF"/>
        </w:rPr>
      </w:pPr>
    </w:p>
    <w:p w14:paraId="6B330100">
      <w:pPr>
        <w:pStyle w:val="37"/>
        <w:rPr>
          <w:rFonts w:hint="eastAsia" w:ascii="宋体" w:hAnsi="宋体" w:eastAsia="宋体" w:cs="宋体"/>
          <w:b/>
          <w:bCs/>
          <w:color w:val="000000"/>
          <w:kern w:val="10"/>
          <w:sz w:val="28"/>
          <w:szCs w:val="28"/>
          <w:highlight w:val="none"/>
          <w:shd w:val="clear" w:color="auto" w:fill="FFFFFF"/>
        </w:rPr>
      </w:pPr>
    </w:p>
    <w:p w14:paraId="48A47437">
      <w:pPr>
        <w:pStyle w:val="37"/>
        <w:rPr>
          <w:rFonts w:hint="eastAsia" w:ascii="宋体" w:hAnsi="宋体" w:eastAsia="宋体" w:cs="宋体"/>
          <w:b/>
          <w:bCs/>
          <w:color w:val="000000"/>
          <w:kern w:val="10"/>
          <w:sz w:val="28"/>
          <w:szCs w:val="28"/>
          <w:highlight w:val="none"/>
          <w:shd w:val="clear" w:color="auto" w:fill="FFFFFF"/>
        </w:rPr>
      </w:pPr>
    </w:p>
    <w:p w14:paraId="69BBE712">
      <w:pPr>
        <w:pStyle w:val="37"/>
        <w:rPr>
          <w:rFonts w:hint="eastAsia" w:ascii="宋体" w:hAnsi="宋体" w:eastAsia="宋体" w:cs="宋体"/>
          <w:b/>
          <w:bCs/>
          <w:color w:val="000000"/>
          <w:kern w:val="10"/>
          <w:sz w:val="28"/>
          <w:szCs w:val="28"/>
          <w:highlight w:val="none"/>
          <w:shd w:val="clear" w:color="auto" w:fill="FFFFFF"/>
        </w:rPr>
      </w:pPr>
    </w:p>
    <w:p w14:paraId="538608D9">
      <w:pPr>
        <w:pStyle w:val="37"/>
        <w:rPr>
          <w:rFonts w:hint="eastAsia" w:ascii="宋体" w:hAnsi="宋体" w:eastAsia="宋体" w:cs="宋体"/>
          <w:b/>
          <w:bCs/>
          <w:color w:val="000000"/>
          <w:kern w:val="10"/>
          <w:sz w:val="28"/>
          <w:szCs w:val="28"/>
          <w:highlight w:val="none"/>
          <w:shd w:val="clear" w:color="auto" w:fill="FFFFFF"/>
        </w:rPr>
      </w:pPr>
    </w:p>
    <w:p w14:paraId="64874719">
      <w:pPr>
        <w:pStyle w:val="37"/>
        <w:rPr>
          <w:rFonts w:hint="eastAsia" w:ascii="宋体" w:hAnsi="宋体" w:eastAsia="宋体" w:cs="宋体"/>
          <w:b/>
          <w:bCs/>
          <w:color w:val="000000"/>
          <w:kern w:val="10"/>
          <w:sz w:val="28"/>
          <w:szCs w:val="28"/>
          <w:highlight w:val="none"/>
          <w:shd w:val="clear" w:color="auto" w:fill="FFFFFF"/>
        </w:rPr>
      </w:pPr>
    </w:p>
    <w:p w14:paraId="47E1E222">
      <w:pPr>
        <w:pStyle w:val="37"/>
        <w:rPr>
          <w:rFonts w:hint="eastAsia" w:ascii="宋体" w:hAnsi="宋体" w:eastAsia="宋体" w:cs="宋体"/>
          <w:b/>
          <w:bCs/>
          <w:color w:val="000000"/>
          <w:kern w:val="10"/>
          <w:sz w:val="28"/>
          <w:szCs w:val="28"/>
          <w:highlight w:val="none"/>
          <w:shd w:val="clear" w:color="auto" w:fill="FFFFFF"/>
        </w:rPr>
      </w:pPr>
    </w:p>
    <w:p w14:paraId="11F568E8">
      <w:pPr>
        <w:pStyle w:val="37"/>
        <w:rPr>
          <w:rFonts w:hint="eastAsia" w:ascii="宋体" w:hAnsi="宋体" w:eastAsia="宋体" w:cs="宋体"/>
          <w:b/>
          <w:bCs/>
          <w:color w:val="000000"/>
          <w:kern w:val="10"/>
          <w:sz w:val="28"/>
          <w:szCs w:val="28"/>
          <w:highlight w:val="none"/>
          <w:shd w:val="clear" w:color="auto" w:fill="FFFFFF"/>
        </w:rPr>
      </w:pPr>
    </w:p>
    <w:p w14:paraId="7C1C937A">
      <w:pPr>
        <w:pStyle w:val="37"/>
        <w:rPr>
          <w:rFonts w:hint="eastAsia" w:ascii="宋体" w:hAnsi="宋体" w:eastAsia="宋体" w:cs="宋体"/>
          <w:b/>
          <w:bCs/>
          <w:color w:val="000000"/>
          <w:kern w:val="10"/>
          <w:sz w:val="28"/>
          <w:szCs w:val="28"/>
          <w:highlight w:val="none"/>
          <w:shd w:val="clear" w:color="auto" w:fill="FFFFFF"/>
        </w:rPr>
      </w:pPr>
    </w:p>
    <w:p w14:paraId="7746D712">
      <w:pPr>
        <w:pStyle w:val="37"/>
        <w:rPr>
          <w:rFonts w:hint="eastAsia" w:ascii="宋体" w:hAnsi="宋体" w:eastAsia="宋体" w:cs="宋体"/>
          <w:b/>
          <w:bCs/>
          <w:color w:val="000000"/>
          <w:kern w:val="10"/>
          <w:sz w:val="28"/>
          <w:szCs w:val="28"/>
          <w:highlight w:val="none"/>
          <w:shd w:val="clear" w:color="auto" w:fill="FFFFFF"/>
        </w:rPr>
      </w:pPr>
    </w:p>
    <w:p w14:paraId="4D0C70C0">
      <w:pPr>
        <w:pStyle w:val="37"/>
        <w:rPr>
          <w:rFonts w:hint="eastAsia" w:ascii="宋体" w:hAnsi="宋体" w:eastAsia="宋体" w:cs="宋体"/>
          <w:b/>
          <w:bCs/>
          <w:color w:val="000000"/>
          <w:kern w:val="10"/>
          <w:sz w:val="28"/>
          <w:szCs w:val="28"/>
          <w:highlight w:val="none"/>
          <w:shd w:val="clear" w:color="auto" w:fill="FFFFFF"/>
        </w:rPr>
      </w:pPr>
    </w:p>
    <w:p w14:paraId="0041DC18">
      <w:pPr>
        <w:pStyle w:val="37"/>
        <w:rPr>
          <w:rFonts w:hint="eastAsia" w:ascii="宋体" w:hAnsi="宋体" w:eastAsia="宋体" w:cs="宋体"/>
          <w:b/>
          <w:bCs/>
          <w:color w:val="000000"/>
          <w:kern w:val="10"/>
          <w:sz w:val="28"/>
          <w:szCs w:val="28"/>
          <w:highlight w:val="none"/>
          <w:shd w:val="clear" w:color="auto" w:fill="FFFFFF"/>
        </w:rPr>
      </w:pPr>
    </w:p>
    <w:p w14:paraId="22CC913A">
      <w:pPr>
        <w:pStyle w:val="37"/>
        <w:rPr>
          <w:rFonts w:hint="eastAsia" w:ascii="宋体" w:hAnsi="宋体" w:eastAsia="宋体" w:cs="宋体"/>
          <w:b/>
          <w:bCs/>
          <w:color w:val="000000"/>
          <w:kern w:val="10"/>
          <w:sz w:val="28"/>
          <w:szCs w:val="28"/>
          <w:highlight w:val="none"/>
          <w:shd w:val="clear" w:color="auto" w:fill="FFFFFF"/>
        </w:rPr>
      </w:pPr>
    </w:p>
    <w:p w14:paraId="12F1C26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bookmarkStart w:id="1120" w:name="_Toc141079824"/>
      <w:bookmarkStart w:id="1121" w:name="_Toc121749381"/>
      <w:bookmarkStart w:id="1122" w:name="_Toc122004270"/>
      <w:r>
        <w:rPr>
          <w:rFonts w:hint="eastAsia" w:ascii="宋体" w:hAnsi="宋体" w:eastAsia="宋体" w:cs="宋体"/>
          <w:b/>
          <w:bCs/>
          <w:color w:val="000000"/>
          <w:kern w:val="10"/>
          <w:sz w:val="28"/>
          <w:szCs w:val="28"/>
          <w:highlight w:val="none"/>
          <w:shd w:val="clear" w:color="auto" w:fill="FFFFFF"/>
        </w:rPr>
        <w:t>（二）监狱企业证明材料</w:t>
      </w:r>
      <w:bookmarkEnd w:id="1120"/>
      <w:bookmarkEnd w:id="1121"/>
      <w:bookmarkEnd w:id="1122"/>
    </w:p>
    <w:p w14:paraId="799D71A2">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p>
    <w:p w14:paraId="10732DE4">
      <w:pPr>
        <w:pageBreakBefore w:val="0"/>
        <w:bidi w:val="0"/>
        <w:adjustRightInd w:val="0"/>
        <w:snapToGrid w:val="0"/>
        <w:spacing w:beforeAutospacing="0" w:afterAutospacing="0" w:line="360" w:lineRule="auto"/>
        <w:ind w:left="0" w:leftChars="0" w:right="0" w:firstLine="504" w:firstLineChars="200"/>
        <w:jc w:val="left"/>
        <w:outlineLvl w:val="1"/>
        <w:rPr>
          <w:rFonts w:hint="eastAsia" w:ascii="宋体" w:hAnsi="宋体" w:eastAsia="宋体" w:cs="宋体"/>
          <w:spacing w:val="6"/>
          <w:sz w:val="24"/>
          <w:highlight w:val="none"/>
          <w:shd w:val="clear" w:color="auto" w:fill="FFFFFF"/>
        </w:rPr>
      </w:pPr>
      <w:bookmarkStart w:id="1123" w:name="_Toc141079825"/>
      <w:bookmarkStart w:id="1124" w:name="_Toc121749382"/>
      <w:bookmarkStart w:id="1125" w:name="_Toc122004271"/>
      <w:r>
        <w:rPr>
          <w:rFonts w:hint="eastAsia" w:ascii="宋体" w:hAnsi="宋体" w:eastAsia="宋体" w:cs="宋体"/>
          <w:spacing w:val="6"/>
          <w:sz w:val="24"/>
          <w:highlight w:val="none"/>
          <w:shd w:val="clear" w:color="auto" w:fill="FFFFFF"/>
        </w:rPr>
        <w:t>监狱企业参加政府采购活动时，应当提供由省级以上监狱管理局、戒毒管理局（含新疆生产建设兵团）出具的属于监狱企业的证明文件。</w:t>
      </w:r>
      <w:bookmarkEnd w:id="1123"/>
      <w:bookmarkEnd w:id="1124"/>
      <w:bookmarkEnd w:id="1125"/>
    </w:p>
    <w:p w14:paraId="1A6B3A59">
      <w:pPr>
        <w:pageBreakBefore w:val="0"/>
        <w:bidi w:val="0"/>
        <w:adjustRightInd w:val="0"/>
        <w:snapToGrid w:val="0"/>
        <w:spacing w:beforeAutospacing="0" w:afterAutospacing="0" w:line="360" w:lineRule="auto"/>
        <w:ind w:left="0" w:leftChars="0" w:right="0" w:firstLine="562" w:firstLineChars="200"/>
        <w:jc w:val="left"/>
        <w:outlineLvl w:val="1"/>
        <w:rPr>
          <w:rFonts w:hint="eastAsia" w:ascii="宋体" w:hAnsi="宋体" w:eastAsia="宋体" w:cs="宋体"/>
          <w:b/>
          <w:bCs/>
          <w:color w:val="000000"/>
          <w:kern w:val="10"/>
          <w:sz w:val="28"/>
          <w:szCs w:val="28"/>
          <w:highlight w:val="none"/>
          <w:shd w:val="clear" w:color="auto" w:fill="FFFFFF"/>
          <w:lang w:val="en-GB"/>
        </w:rPr>
      </w:pPr>
    </w:p>
    <w:p w14:paraId="579960F5">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（提醒：如果投标人</w:t>
      </w:r>
      <w:r>
        <w:rPr>
          <w:rFonts w:hint="eastAsia" w:ascii="宋体" w:hAnsi="宋体" w:eastAsia="宋体" w:cs="宋体"/>
          <w:b/>
          <w:color w:val="000000"/>
          <w:spacing w:val="10"/>
          <w:kern w:val="0"/>
          <w:sz w:val="24"/>
          <w:highlight w:val="none"/>
        </w:rPr>
        <w:t>不是</w:t>
      </w:r>
      <w:r>
        <w:rPr>
          <w:rFonts w:hint="eastAsia" w:ascii="宋体" w:hAnsi="宋体" w:eastAsia="宋体" w:cs="宋体"/>
          <w:b/>
          <w:bCs/>
          <w:color w:val="000000"/>
          <w:sz w:val="24"/>
          <w:highlight w:val="none"/>
          <w:lang w:val="en-GB"/>
        </w:rPr>
        <w:t>监狱企业</w:t>
      </w:r>
      <w:r>
        <w:rPr>
          <w:rFonts w:hint="eastAsia" w:ascii="宋体" w:hAnsi="宋体" w:eastAsia="宋体" w:cs="宋体"/>
          <w:b/>
          <w:color w:val="000000"/>
          <w:sz w:val="24"/>
          <w:highlight w:val="none"/>
        </w:rPr>
        <w:t>，则不需要提供</w:t>
      </w:r>
      <w:r>
        <w:rPr>
          <w:rFonts w:hint="eastAsia" w:ascii="宋体" w:hAnsi="宋体" w:eastAsia="宋体" w:cs="宋体"/>
          <w:b/>
          <w:color w:val="000000"/>
          <w:sz w:val="24"/>
          <w:highlight w:val="none"/>
          <w:lang w:val="en-GB"/>
        </w:rPr>
        <w:t>证明材料</w:t>
      </w:r>
      <w:r>
        <w:rPr>
          <w:rFonts w:hint="eastAsia" w:ascii="宋体" w:hAnsi="宋体" w:cs="宋体"/>
          <w:b/>
          <w:color w:val="000000"/>
          <w:sz w:val="24"/>
          <w:highlight w:val="none"/>
          <w:lang w:val="en-GB" w:eastAsia="zh-CN"/>
        </w:rPr>
        <w:t>，</w:t>
      </w:r>
      <w:r>
        <w:rPr>
          <w:rFonts w:hint="eastAsia" w:ascii="宋体" w:hAnsi="宋体" w:cs="宋体"/>
          <w:b/>
          <w:color w:val="000000"/>
          <w:sz w:val="24"/>
          <w:highlight w:val="none"/>
          <w:lang w:val="en-US" w:eastAsia="zh-CN"/>
        </w:rPr>
        <w:t>不删除本项，标明不属于监狱企业</w:t>
      </w:r>
      <w:r>
        <w:rPr>
          <w:rFonts w:hint="eastAsia" w:ascii="宋体" w:hAnsi="宋体" w:eastAsia="宋体" w:cs="宋体"/>
          <w:b/>
          <w:color w:val="000000"/>
          <w:sz w:val="24"/>
          <w:highlight w:val="none"/>
        </w:rPr>
        <w:t>）</w:t>
      </w:r>
    </w:p>
    <w:p w14:paraId="1DC3F82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92E05E4">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140807BC">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53DE86D5">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350903BA">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4FD0A4F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70D63F0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164BED58">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7721AE5F">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bookmarkStart w:id="1126" w:name="_Toc122004272"/>
      <w:bookmarkStart w:id="1127" w:name="_Toc141079826"/>
      <w:bookmarkStart w:id="1128" w:name="_Toc121749383"/>
    </w:p>
    <w:p w14:paraId="60B01F3B">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0E995FC">
      <w:pPr>
        <w:pageBreakBefore w:val="0"/>
        <w:bidi w:val="0"/>
        <w:adjustRightInd w:val="0"/>
        <w:snapToGrid w:val="0"/>
        <w:spacing w:beforeAutospacing="0" w:afterAutospacing="0" w:line="360" w:lineRule="auto"/>
        <w:ind w:left="0" w:leftChars="0" w:right="0"/>
        <w:jc w:val="both"/>
        <w:outlineLvl w:val="1"/>
        <w:rPr>
          <w:rFonts w:hint="eastAsia" w:ascii="宋体" w:hAnsi="宋体" w:eastAsia="宋体" w:cs="宋体"/>
          <w:b/>
          <w:bCs/>
          <w:color w:val="000000"/>
          <w:kern w:val="10"/>
          <w:sz w:val="28"/>
          <w:szCs w:val="28"/>
          <w:highlight w:val="none"/>
          <w:shd w:val="clear" w:color="auto" w:fill="FFFFFF"/>
        </w:rPr>
      </w:pPr>
    </w:p>
    <w:p w14:paraId="43FD2B27">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0F28DDE3">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2103A1A7">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7B2A9508">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75EC747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439E809E">
      <w:pPr>
        <w:pStyle w:val="38"/>
        <w:rPr>
          <w:rFonts w:hint="eastAsia"/>
          <w:highlight w:val="none"/>
        </w:rPr>
      </w:pPr>
    </w:p>
    <w:p w14:paraId="5879E7A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619F1A5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C02A692">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r>
        <w:rPr>
          <w:rFonts w:hint="eastAsia" w:ascii="宋体" w:hAnsi="宋体" w:eastAsia="宋体" w:cs="宋体"/>
          <w:b/>
          <w:bCs/>
          <w:color w:val="000000"/>
          <w:kern w:val="10"/>
          <w:sz w:val="28"/>
          <w:szCs w:val="28"/>
          <w:highlight w:val="none"/>
          <w:shd w:val="clear" w:color="auto" w:fill="FFFFFF"/>
        </w:rPr>
        <w:t>（三）残疾人福利性单位声明函</w:t>
      </w:r>
      <w:bookmarkEnd w:id="1126"/>
      <w:bookmarkEnd w:id="1127"/>
      <w:bookmarkEnd w:id="1128"/>
    </w:p>
    <w:p w14:paraId="2BBD7E66">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单位的</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项目采购活动提供本单位制造的货物（由本单位承担工程/提供服务），或者提供其他残疾人福利性单位制造的货物（不包括使用非残疾人福利性单位注册商标的货物）。</w:t>
      </w:r>
    </w:p>
    <w:p w14:paraId="7044CD9A">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本单位对上述声明的真实性负责。如有虚假，将依法承担相应责任。</w:t>
      </w:r>
    </w:p>
    <w:p w14:paraId="3E8212F4">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（提醒：如果投标人不是残疾人福利性单位，则不需要提供</w:t>
      </w:r>
      <w:r>
        <w:rPr>
          <w:rFonts w:hint="eastAsia" w:ascii="宋体" w:hAnsi="宋体" w:cs="宋体"/>
          <w:b/>
          <w:spacing w:val="6"/>
          <w:sz w:val="24"/>
          <w:highlight w:val="none"/>
          <w:shd w:val="clear" w:color="auto" w:fill="FFFFFF"/>
          <w:lang w:val="en-US" w:eastAsia="zh-CN"/>
        </w:rPr>
        <w:t>证明材料，</w:t>
      </w:r>
      <w:r>
        <w:rPr>
          <w:rFonts w:hint="eastAsia" w:ascii="宋体" w:hAnsi="宋体" w:cs="宋体"/>
          <w:b/>
          <w:color w:val="000000"/>
          <w:sz w:val="24"/>
          <w:highlight w:val="none"/>
          <w:lang w:val="en-US" w:eastAsia="zh-CN"/>
        </w:rPr>
        <w:t>不删除本项，标明不属于残疾人福利性单位</w:t>
      </w:r>
      <w:r>
        <w:rPr>
          <w:rFonts w:hint="eastAsia" w:ascii="宋体" w:hAnsi="宋体" w:eastAsia="宋体" w:cs="宋体"/>
          <w:b/>
          <w:color w:val="000000"/>
          <w:sz w:val="24"/>
          <w:highlight w:val="none"/>
        </w:rPr>
        <w:t>）</w:t>
      </w:r>
    </w:p>
    <w:p w14:paraId="6BB2BDA6">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p>
    <w:p w14:paraId="6C86C153">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pacing w:val="6"/>
          <w:sz w:val="24"/>
          <w:highlight w:val="none"/>
          <w:shd w:val="clear" w:color="auto" w:fill="FFFFFF"/>
        </w:rPr>
        <w:t xml:space="preserve">        </w:t>
      </w: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02B85F09">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623FD49F">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《财政部民政部中国残疾人联合会关于促进残疾人就业政府采购政策的通知》（财库（2017〔141〕号）的规定：</w:t>
      </w:r>
    </w:p>
    <w:p w14:paraId="34C3423A">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 享受政府采购支持政策的残疾人福利性单位应当同时满足以下条件：</w:t>
      </w:r>
    </w:p>
    <w:p w14:paraId="5E3B266D">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（1）安置的残疾人占本单位在职职工人数的比例不低于25%（含25%），并且安置的残疾人人数不少于10人（含10人）；</w:t>
      </w:r>
    </w:p>
    <w:p w14:paraId="6181B89F">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（2）依法与安置的每位残疾人签订了一年以上（含一年）的劳动合同或服务协议；</w:t>
      </w:r>
    </w:p>
    <w:p w14:paraId="202B85C2">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（3）为安置的每位残疾人按月足额缴纳了基本养老保险、基本医疗保险、失业保险、工伤保险和生育保险等社会保险费；</w:t>
      </w:r>
    </w:p>
    <w:p w14:paraId="56F8F570">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（4）通过银行等金融机构向安置的每位残疾人，按月支付了不低于单位所在区县适用的经省级人民政府批准的月最低工资标准的工资；</w:t>
      </w:r>
    </w:p>
    <w:p w14:paraId="3904036E">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（5）提供本单位制造的货物、承担的工程或者服务（以下简称产品），或者提供其他残疾人福利性单位制造的货物（不包括使用非残疾人福利性单位注册商标的货物）。</w:t>
      </w:r>
    </w:p>
    <w:p w14:paraId="3816D187">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spacing w:val="6"/>
          <w:sz w:val="24"/>
          <w:highlight w:val="none"/>
          <w:shd w:val="clear" w:color="auto" w:fill="FFFFFF"/>
        </w:rPr>
        <w:t>2. 中标人为残疾人福利性单位的，采购人或者其委托的采购代理机构应当随中标、成交结果同时公告其《残疾人福利性单位声明函》，接受社会监督。</w:t>
      </w:r>
      <w:r>
        <w:rPr>
          <w:rFonts w:hint="eastAsia" w:ascii="宋体" w:hAnsi="宋体" w:eastAsia="宋体" w:cs="宋体"/>
          <w:b/>
          <w:bCs/>
          <w:color w:val="auto"/>
          <w:sz w:val="28"/>
          <w:szCs w:val="28"/>
          <w:highlight w:val="none"/>
          <w:lang w:val="en-US" w:eastAsia="zh-CN"/>
        </w:rPr>
        <w:br w:type="page"/>
      </w:r>
    </w:p>
    <w:p w14:paraId="1EA80FEE">
      <w:pPr>
        <w:spacing w:line="312" w:lineRule="auto"/>
        <w:ind w:right="-334" w:rightChars="-159"/>
        <w:jc w:val="both"/>
        <w:rPr>
          <w:rFonts w:hint="eastAsia" w:ascii="宋体" w:hAnsi="宋体" w:eastAsia="宋体" w:cs="宋体"/>
          <w:b/>
          <w:bCs/>
          <w:kern w:val="10"/>
          <w:sz w:val="28"/>
          <w:szCs w:val="28"/>
          <w:highlight w:val="none"/>
          <w:lang w:val="en-US" w:eastAsia="zh-CN"/>
        </w:rPr>
      </w:pPr>
      <w:r>
        <w:rPr>
          <w:rFonts w:hint="eastAsia" w:ascii="宋体" w:hAnsi="宋体" w:eastAsia="宋体" w:cs="宋体"/>
          <w:b/>
          <w:bCs/>
          <w:kern w:val="10"/>
          <w:sz w:val="28"/>
          <w:szCs w:val="28"/>
          <w:highlight w:val="none"/>
          <w:lang w:val="en-US" w:eastAsia="zh-CN"/>
        </w:rPr>
        <w:t>附件2</w:t>
      </w:r>
    </w:p>
    <w:p w14:paraId="65CF4E01">
      <w:pPr>
        <w:jc w:val="center"/>
        <w:rPr>
          <w:rFonts w:hint="eastAsia" w:ascii="宋体" w:hAnsi="宋体" w:eastAsia="宋体" w:cs="宋体"/>
          <w:b/>
          <w:sz w:val="32"/>
          <w:highlight w:val="none"/>
        </w:rPr>
      </w:pPr>
      <w:r>
        <w:rPr>
          <w:rFonts w:hint="eastAsia" w:ascii="宋体" w:hAnsi="宋体" w:eastAsia="宋体" w:cs="宋体"/>
          <w:b/>
          <w:sz w:val="32"/>
          <w:highlight w:val="none"/>
        </w:rPr>
        <w:t>农民工工资支付承诺书</w:t>
      </w:r>
    </w:p>
    <w:p w14:paraId="36A703F1">
      <w:pPr>
        <w:rPr>
          <w:rFonts w:hint="eastAsia" w:ascii="宋体" w:hAnsi="宋体" w:eastAsia="宋体" w:cs="宋体"/>
          <w:sz w:val="24"/>
          <w:highlight w:val="none"/>
        </w:rPr>
      </w:pPr>
    </w:p>
    <w:p w14:paraId="5D032ECC">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为保护农民工的合法权益，不拖欠农民工工资，本公司郑重承诺：</w:t>
      </w:r>
    </w:p>
    <w:p w14:paraId="46174395">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1、不转包或违法分包，并禁止分包单位再分包或层层转包。</w:t>
      </w:r>
    </w:p>
    <w:p w14:paraId="30E0E58A">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自己雇佣农民工，与农民工签订劳务合同，如果有分包的督促劳务公司与农民工签订劳务合同并到总包单位备案。农民工工资由本公司或劳务公司直接足额发放到农民工本人手里，严禁发放给“包工头”。如“包工头”携款逃逸，或因其他原因无法支付民工工资，由本公司负责支付。</w:t>
      </w:r>
    </w:p>
    <w:p w14:paraId="13C66461">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3、按照“总包负总责”的原则，若发生集体上访事件，第一时间到场解决，若确认拖欠农民工工资的，不论何种原因将由我公司先行垫付。不能垫付的同意动用农民工工资保证金并及时按规定补齐。</w:t>
      </w:r>
    </w:p>
    <w:p w14:paraId="202C61D4">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切实做好农民工记工考勤工作，按约定及时与农民工结算工资。如果发生违反规定拖欠和克扣农民工工资行为，或因劳资纠纷造成农民工上访，并引发群体性突发事件，本单位愿意无条件接受相关部门依照有关规定作出的任何处罚决定。</w:t>
      </w:r>
    </w:p>
    <w:p w14:paraId="066409C5">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特此承诺!</w:t>
      </w:r>
    </w:p>
    <w:p w14:paraId="70F03DA8">
      <w:pPr>
        <w:rPr>
          <w:rFonts w:hint="eastAsia" w:ascii="宋体" w:hAnsi="宋体" w:eastAsia="宋体" w:cs="宋体"/>
          <w:sz w:val="24"/>
          <w:highlight w:val="none"/>
        </w:rPr>
      </w:pPr>
    </w:p>
    <w:p w14:paraId="6BF547B7">
      <w:pPr>
        <w:rPr>
          <w:rFonts w:hint="eastAsia" w:ascii="宋体" w:hAnsi="宋体" w:eastAsia="宋体" w:cs="宋体"/>
          <w:highlight w:val="none"/>
        </w:rPr>
      </w:pPr>
    </w:p>
    <w:p w14:paraId="3C66270B">
      <w:pPr>
        <w:spacing w:line="480" w:lineRule="exact"/>
        <w:ind w:firstLine="2244" w:firstLineChars="935"/>
        <w:rPr>
          <w:rFonts w:hint="eastAsia" w:ascii="宋体" w:hAnsi="宋体" w:eastAsia="宋体" w:cs="宋体"/>
          <w:sz w:val="24"/>
          <w:highlight w:val="none"/>
          <w:u w:val="single"/>
        </w:rPr>
      </w:pPr>
      <w:r>
        <w:rPr>
          <w:rFonts w:hint="eastAsia" w:ascii="宋体" w:hAnsi="宋体" w:eastAsia="宋体" w:cs="宋体"/>
          <w:sz w:val="24"/>
          <w:highlight w:val="none"/>
        </w:rPr>
        <w:t xml:space="preserve">投标人：（盖章） </w:t>
      </w:r>
      <w:r>
        <w:rPr>
          <w:rFonts w:hint="eastAsia" w:ascii="宋体" w:hAnsi="宋体" w:eastAsia="宋体" w:cs="宋体"/>
          <w:sz w:val="24"/>
          <w:highlight w:val="none"/>
          <w:u w:val="single"/>
        </w:rPr>
        <w:t xml:space="preserve">         </w:t>
      </w:r>
    </w:p>
    <w:p w14:paraId="3F8DE4FE">
      <w:pPr>
        <w:spacing w:line="480" w:lineRule="exact"/>
        <w:ind w:firstLine="2244" w:firstLineChars="935"/>
        <w:rPr>
          <w:rFonts w:hint="eastAsia" w:ascii="宋体" w:hAnsi="宋体" w:eastAsia="宋体" w:cs="宋体"/>
          <w:sz w:val="24"/>
          <w:highlight w:val="none"/>
          <w:u w:val="single"/>
        </w:rPr>
      </w:pPr>
      <w:r>
        <w:rPr>
          <w:rFonts w:hint="eastAsia" w:ascii="宋体" w:hAnsi="宋体" w:eastAsia="宋体" w:cs="宋体"/>
          <w:sz w:val="24"/>
          <w:highlight w:val="none"/>
        </w:rPr>
        <w:t>法定代表人：（电子签章）</w:t>
      </w:r>
      <w:r>
        <w:rPr>
          <w:rFonts w:hint="eastAsia" w:ascii="宋体" w:hAnsi="宋体" w:eastAsia="宋体" w:cs="宋体"/>
          <w:sz w:val="24"/>
          <w:highlight w:val="none"/>
          <w:u w:val="single"/>
        </w:rPr>
        <w:t xml:space="preserve">            </w:t>
      </w:r>
    </w:p>
    <w:p w14:paraId="7020A483">
      <w:pPr>
        <w:spacing w:line="480" w:lineRule="exact"/>
        <w:ind w:firstLine="2724" w:firstLineChars="1135"/>
        <w:rPr>
          <w:rFonts w:hint="eastAsia" w:ascii="宋体" w:hAnsi="宋体" w:eastAsia="宋体" w:cs="宋体"/>
          <w:sz w:val="24"/>
          <w:highlight w:val="none"/>
        </w:rPr>
      </w:pP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p w14:paraId="38E64B49">
      <w:pPr>
        <w:rPr>
          <w:rFonts w:hint="eastAsia" w:ascii="宋体" w:hAnsi="宋体" w:eastAsia="宋体" w:cs="宋体"/>
          <w:highlight w:val="none"/>
        </w:rPr>
      </w:pPr>
    </w:p>
    <w:p w14:paraId="30883D09">
      <w:pPr>
        <w:widowControl/>
        <w:spacing w:line="240" w:lineRule="auto"/>
        <w:jc w:val="left"/>
        <w:rPr>
          <w:rFonts w:hint="eastAsia" w:ascii="宋体" w:hAnsi="宋体" w:eastAsia="宋体" w:cs="宋体"/>
          <w:highlight w:val="none"/>
          <w:lang w:val="en-US" w:eastAsia="zh-CN"/>
        </w:rPr>
      </w:pPr>
    </w:p>
    <w:p w14:paraId="4F102057">
      <w:pPr>
        <w:pStyle w:val="21"/>
        <w:rPr>
          <w:rFonts w:hint="eastAsia" w:ascii="宋体" w:hAnsi="宋体" w:eastAsia="宋体" w:cs="宋体"/>
          <w:highlight w:val="none"/>
          <w:lang w:val="en-US" w:eastAsia="zh-CN"/>
        </w:rPr>
      </w:pPr>
    </w:p>
    <w:p w14:paraId="5DE0A32D">
      <w:pPr>
        <w:pStyle w:val="22"/>
        <w:rPr>
          <w:rFonts w:hint="eastAsia" w:ascii="宋体" w:hAnsi="宋体" w:eastAsia="宋体" w:cs="宋体"/>
          <w:highlight w:val="none"/>
          <w:lang w:val="en-US" w:eastAsia="zh-CN"/>
        </w:rPr>
      </w:pPr>
    </w:p>
    <w:p w14:paraId="3494867C">
      <w:pPr>
        <w:rPr>
          <w:rFonts w:hint="eastAsia" w:ascii="宋体" w:hAnsi="宋体" w:eastAsia="宋体" w:cs="宋体"/>
          <w:highlight w:val="none"/>
          <w:lang w:val="en-US" w:eastAsia="zh-CN"/>
        </w:rPr>
      </w:pPr>
    </w:p>
    <w:p w14:paraId="5F02D9E5">
      <w:pPr>
        <w:pStyle w:val="22"/>
        <w:ind w:left="0" w:leftChars="0" w:firstLine="0" w:firstLineChars="0"/>
        <w:rPr>
          <w:rFonts w:hint="eastAsia" w:ascii="宋体" w:hAnsi="宋体" w:eastAsia="宋体" w:cs="宋体"/>
          <w:highlight w:val="none"/>
          <w:lang w:val="en-US" w:eastAsia="zh-CN"/>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4C03">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6937">
    <w:pPr>
      <w:pStyle w:val="16"/>
      <w:tabs>
        <w:tab w:val="center" w:pos="4536"/>
        <w:tab w:val="clear" w:pos="4153"/>
        <w:tab w:val="clear" w:pos="8306"/>
      </w:tabs>
      <w:rPr>
        <w:rFonts w:ascii="宋体" w:hAnsi="宋体"/>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E8810">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6499A">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06499A">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58D9">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18F89">
                          <w:pPr>
                            <w:pStyle w:val="1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A18F89">
                    <w:pPr>
                      <w:pStyle w:val="1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88D16">
    <w:pPr>
      <w:pStyle w:val="17"/>
      <w:pBdr>
        <w:bottom w:val="none" w:color="auto" w:sz="0" w:space="1"/>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B090E"/>
    <w:multiLevelType w:val="singleLevel"/>
    <w:tmpl w:val="EF2B090E"/>
    <w:lvl w:ilvl="0" w:tentative="0">
      <w:start w:val="3"/>
      <w:numFmt w:val="chineseCounting"/>
      <w:suff w:val="nothing"/>
      <w:lvlText w:val="（%1）"/>
      <w:lvlJc w:val="left"/>
      <w:rPr>
        <w:rFonts w:hint="eastAsia"/>
      </w:rPr>
    </w:lvl>
  </w:abstractNum>
  <w:abstractNum w:abstractNumId="1">
    <w:nsid w:val="5D304E27"/>
    <w:multiLevelType w:val="singleLevel"/>
    <w:tmpl w:val="5D304E27"/>
    <w:lvl w:ilvl="0" w:tentative="0">
      <w:start w:val="1"/>
      <w:numFmt w:val="chineseCounting"/>
      <w:suff w:val="space"/>
      <w:lvlText w:val="第%1章"/>
      <w:lvlJc w:val="left"/>
      <w:rPr>
        <w:rFonts w:hint="eastAsia"/>
      </w:rPr>
    </w:lvl>
  </w:abstractNum>
  <w:abstractNum w:abstractNumId="2">
    <w:nsid w:val="669F2904"/>
    <w:multiLevelType w:val="singleLevel"/>
    <w:tmpl w:val="669F290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dwYmyg5bGlQ5XFSfE8VrKNkfB2U=" w:salt="IKcrgtEOUZRpR/IK2AmN+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YTM3ZjE2NjZkNDY3YmYwOTcyMmUzMTVkNDdjMzAifQ=="/>
  </w:docVars>
  <w:rsids>
    <w:rsidRoot w:val="6BE66F35"/>
    <w:rsid w:val="003176A7"/>
    <w:rsid w:val="02F46664"/>
    <w:rsid w:val="03476C66"/>
    <w:rsid w:val="03B56367"/>
    <w:rsid w:val="03D2609A"/>
    <w:rsid w:val="04275653"/>
    <w:rsid w:val="04613C59"/>
    <w:rsid w:val="04973358"/>
    <w:rsid w:val="04B50EB1"/>
    <w:rsid w:val="05A76A4C"/>
    <w:rsid w:val="05AC2C98"/>
    <w:rsid w:val="06A66D86"/>
    <w:rsid w:val="06B304CB"/>
    <w:rsid w:val="07144B94"/>
    <w:rsid w:val="077315DD"/>
    <w:rsid w:val="08B63B10"/>
    <w:rsid w:val="08C6368D"/>
    <w:rsid w:val="095A3DD5"/>
    <w:rsid w:val="0B225961"/>
    <w:rsid w:val="0BFB5803"/>
    <w:rsid w:val="0C2572CB"/>
    <w:rsid w:val="0C2D643A"/>
    <w:rsid w:val="0C3C3C66"/>
    <w:rsid w:val="0C7D22B4"/>
    <w:rsid w:val="0C992E66"/>
    <w:rsid w:val="0DA6000F"/>
    <w:rsid w:val="0EAA5E15"/>
    <w:rsid w:val="0F7D4C2A"/>
    <w:rsid w:val="0F852AF2"/>
    <w:rsid w:val="0FB034A9"/>
    <w:rsid w:val="0FCE59E1"/>
    <w:rsid w:val="10481576"/>
    <w:rsid w:val="10807106"/>
    <w:rsid w:val="10E71C1F"/>
    <w:rsid w:val="1130052C"/>
    <w:rsid w:val="113A4C18"/>
    <w:rsid w:val="11587DAE"/>
    <w:rsid w:val="11D15E6A"/>
    <w:rsid w:val="11EF7964"/>
    <w:rsid w:val="12B47A9F"/>
    <w:rsid w:val="13461F80"/>
    <w:rsid w:val="13967451"/>
    <w:rsid w:val="139C5DAD"/>
    <w:rsid w:val="13EB21F9"/>
    <w:rsid w:val="14092680"/>
    <w:rsid w:val="149C7998"/>
    <w:rsid w:val="14AD74AF"/>
    <w:rsid w:val="15674EC2"/>
    <w:rsid w:val="159A00CD"/>
    <w:rsid w:val="166B5873"/>
    <w:rsid w:val="167364D6"/>
    <w:rsid w:val="16BB06AF"/>
    <w:rsid w:val="16CF5AB3"/>
    <w:rsid w:val="172E0667"/>
    <w:rsid w:val="17BE1B6A"/>
    <w:rsid w:val="18507D42"/>
    <w:rsid w:val="18BD24C2"/>
    <w:rsid w:val="18CE0426"/>
    <w:rsid w:val="198862BD"/>
    <w:rsid w:val="19AE6B80"/>
    <w:rsid w:val="19B41C8E"/>
    <w:rsid w:val="19E33973"/>
    <w:rsid w:val="1A3D3083"/>
    <w:rsid w:val="1A750A6F"/>
    <w:rsid w:val="1A767E31"/>
    <w:rsid w:val="1B1262BE"/>
    <w:rsid w:val="1B867438"/>
    <w:rsid w:val="1B9969DF"/>
    <w:rsid w:val="1BD17F27"/>
    <w:rsid w:val="1C0550B3"/>
    <w:rsid w:val="1CE774F0"/>
    <w:rsid w:val="1D13456F"/>
    <w:rsid w:val="1DD24ACF"/>
    <w:rsid w:val="1E9B419D"/>
    <w:rsid w:val="1ED146E2"/>
    <w:rsid w:val="1EE53CE9"/>
    <w:rsid w:val="1F3852CA"/>
    <w:rsid w:val="1F9C4CF0"/>
    <w:rsid w:val="1FC2105A"/>
    <w:rsid w:val="1FC85AE5"/>
    <w:rsid w:val="216008F7"/>
    <w:rsid w:val="217750CC"/>
    <w:rsid w:val="22145011"/>
    <w:rsid w:val="22D34D9D"/>
    <w:rsid w:val="237F1DD9"/>
    <w:rsid w:val="23897339"/>
    <w:rsid w:val="23D83E1C"/>
    <w:rsid w:val="23F64F3C"/>
    <w:rsid w:val="25B03150"/>
    <w:rsid w:val="262E183C"/>
    <w:rsid w:val="26345C82"/>
    <w:rsid w:val="266D6A9E"/>
    <w:rsid w:val="268F110A"/>
    <w:rsid w:val="26941ABB"/>
    <w:rsid w:val="26CA6B05"/>
    <w:rsid w:val="26CD6F21"/>
    <w:rsid w:val="276C4FA7"/>
    <w:rsid w:val="27723044"/>
    <w:rsid w:val="28372FFA"/>
    <w:rsid w:val="28D10C13"/>
    <w:rsid w:val="28DD318F"/>
    <w:rsid w:val="295E1EA5"/>
    <w:rsid w:val="29980ADF"/>
    <w:rsid w:val="29C63C15"/>
    <w:rsid w:val="2A351FC9"/>
    <w:rsid w:val="2A9F01E2"/>
    <w:rsid w:val="2B997B5B"/>
    <w:rsid w:val="2BFB76D0"/>
    <w:rsid w:val="2C25543D"/>
    <w:rsid w:val="2C5902D2"/>
    <w:rsid w:val="2CA33CE4"/>
    <w:rsid w:val="2D0A3FA6"/>
    <w:rsid w:val="2D263476"/>
    <w:rsid w:val="2D986AF6"/>
    <w:rsid w:val="2DE7532E"/>
    <w:rsid w:val="2E5F7614"/>
    <w:rsid w:val="2F1847ED"/>
    <w:rsid w:val="2F3C2725"/>
    <w:rsid w:val="2FB03DBA"/>
    <w:rsid w:val="2FB4573E"/>
    <w:rsid w:val="2FE9045C"/>
    <w:rsid w:val="3014442E"/>
    <w:rsid w:val="3061710D"/>
    <w:rsid w:val="30A340B2"/>
    <w:rsid w:val="31EC6BC4"/>
    <w:rsid w:val="31FD353C"/>
    <w:rsid w:val="32081D71"/>
    <w:rsid w:val="32701CFF"/>
    <w:rsid w:val="32B85545"/>
    <w:rsid w:val="32E875B7"/>
    <w:rsid w:val="33166AA7"/>
    <w:rsid w:val="3368588E"/>
    <w:rsid w:val="337634BA"/>
    <w:rsid w:val="33AF4B9A"/>
    <w:rsid w:val="33EE7140"/>
    <w:rsid w:val="34CD0E7F"/>
    <w:rsid w:val="35346B5C"/>
    <w:rsid w:val="35387BED"/>
    <w:rsid w:val="364F61C0"/>
    <w:rsid w:val="36C4304A"/>
    <w:rsid w:val="39AF7BC3"/>
    <w:rsid w:val="3A5244D1"/>
    <w:rsid w:val="3AC90631"/>
    <w:rsid w:val="3AE84769"/>
    <w:rsid w:val="3B2D45F6"/>
    <w:rsid w:val="3B365BA1"/>
    <w:rsid w:val="3B3B4F65"/>
    <w:rsid w:val="3C4D3F8E"/>
    <w:rsid w:val="3C6D55F2"/>
    <w:rsid w:val="3C757445"/>
    <w:rsid w:val="3CC701F0"/>
    <w:rsid w:val="3CDB1958"/>
    <w:rsid w:val="3D3D6D72"/>
    <w:rsid w:val="3D416F17"/>
    <w:rsid w:val="3D521DFC"/>
    <w:rsid w:val="3D553D12"/>
    <w:rsid w:val="3D694964"/>
    <w:rsid w:val="3D747AF0"/>
    <w:rsid w:val="3E106BCB"/>
    <w:rsid w:val="3E594080"/>
    <w:rsid w:val="3E672ADA"/>
    <w:rsid w:val="3FC10A9F"/>
    <w:rsid w:val="3FEF45EE"/>
    <w:rsid w:val="408476E2"/>
    <w:rsid w:val="40EA7E66"/>
    <w:rsid w:val="412A1D04"/>
    <w:rsid w:val="41764F49"/>
    <w:rsid w:val="41DC7E2F"/>
    <w:rsid w:val="42120947"/>
    <w:rsid w:val="42510663"/>
    <w:rsid w:val="435B43F6"/>
    <w:rsid w:val="450B366A"/>
    <w:rsid w:val="451A2B1D"/>
    <w:rsid w:val="45406E38"/>
    <w:rsid w:val="45782B3C"/>
    <w:rsid w:val="45833AEE"/>
    <w:rsid w:val="46275125"/>
    <w:rsid w:val="464F7B16"/>
    <w:rsid w:val="467F198E"/>
    <w:rsid w:val="46BC0BB3"/>
    <w:rsid w:val="471C3E9C"/>
    <w:rsid w:val="472E0399"/>
    <w:rsid w:val="473507CA"/>
    <w:rsid w:val="47384505"/>
    <w:rsid w:val="486437F4"/>
    <w:rsid w:val="48AF65F2"/>
    <w:rsid w:val="48BB1493"/>
    <w:rsid w:val="48C96F4F"/>
    <w:rsid w:val="48D9333D"/>
    <w:rsid w:val="48EB735F"/>
    <w:rsid w:val="495C0214"/>
    <w:rsid w:val="498B5309"/>
    <w:rsid w:val="4A7162AD"/>
    <w:rsid w:val="4A9B6AF9"/>
    <w:rsid w:val="4AD565B7"/>
    <w:rsid w:val="4AE42F23"/>
    <w:rsid w:val="4B555E5D"/>
    <w:rsid w:val="4D447CA9"/>
    <w:rsid w:val="4DC011FF"/>
    <w:rsid w:val="4E437F61"/>
    <w:rsid w:val="4E531500"/>
    <w:rsid w:val="4E731C03"/>
    <w:rsid w:val="4E776CF0"/>
    <w:rsid w:val="4ECC264C"/>
    <w:rsid w:val="4EDE412D"/>
    <w:rsid w:val="4F391364"/>
    <w:rsid w:val="4FA451A5"/>
    <w:rsid w:val="4FFC486B"/>
    <w:rsid w:val="502720EE"/>
    <w:rsid w:val="50BE7D72"/>
    <w:rsid w:val="50EE68AA"/>
    <w:rsid w:val="51343ECB"/>
    <w:rsid w:val="51450494"/>
    <w:rsid w:val="519438C7"/>
    <w:rsid w:val="529D25C1"/>
    <w:rsid w:val="53133071"/>
    <w:rsid w:val="54251C38"/>
    <w:rsid w:val="553848E3"/>
    <w:rsid w:val="559E0A3C"/>
    <w:rsid w:val="55CE495A"/>
    <w:rsid w:val="55F3682D"/>
    <w:rsid w:val="55FD75BA"/>
    <w:rsid w:val="56B539C6"/>
    <w:rsid w:val="575447AF"/>
    <w:rsid w:val="577949F3"/>
    <w:rsid w:val="57BA21BF"/>
    <w:rsid w:val="57DA101B"/>
    <w:rsid w:val="580544D9"/>
    <w:rsid w:val="581B7AC0"/>
    <w:rsid w:val="58525935"/>
    <w:rsid w:val="58A518E6"/>
    <w:rsid w:val="59350DEE"/>
    <w:rsid w:val="59737644"/>
    <w:rsid w:val="597F4113"/>
    <w:rsid w:val="59BB7545"/>
    <w:rsid w:val="59BC5A1F"/>
    <w:rsid w:val="5A424E2A"/>
    <w:rsid w:val="5A47702B"/>
    <w:rsid w:val="5A667936"/>
    <w:rsid w:val="5B1C0BCF"/>
    <w:rsid w:val="5B6F52D1"/>
    <w:rsid w:val="5B90055D"/>
    <w:rsid w:val="5BBB5BF7"/>
    <w:rsid w:val="5CB04800"/>
    <w:rsid w:val="5D6545CE"/>
    <w:rsid w:val="5D790B89"/>
    <w:rsid w:val="5E044899"/>
    <w:rsid w:val="5E0E0938"/>
    <w:rsid w:val="5E3F1677"/>
    <w:rsid w:val="5E78032A"/>
    <w:rsid w:val="5E903C03"/>
    <w:rsid w:val="5F0157EA"/>
    <w:rsid w:val="5F681281"/>
    <w:rsid w:val="5FE80968"/>
    <w:rsid w:val="60F153BB"/>
    <w:rsid w:val="617C0DC9"/>
    <w:rsid w:val="618F4B0C"/>
    <w:rsid w:val="61B718A7"/>
    <w:rsid w:val="62894684"/>
    <w:rsid w:val="62B3262E"/>
    <w:rsid w:val="62D1447B"/>
    <w:rsid w:val="62FD288C"/>
    <w:rsid w:val="64312FEF"/>
    <w:rsid w:val="64334033"/>
    <w:rsid w:val="64EC06E2"/>
    <w:rsid w:val="65456BD3"/>
    <w:rsid w:val="65C459D3"/>
    <w:rsid w:val="65E61B13"/>
    <w:rsid w:val="66445673"/>
    <w:rsid w:val="669C5E64"/>
    <w:rsid w:val="673F58BB"/>
    <w:rsid w:val="67DF6AF4"/>
    <w:rsid w:val="67F65BEC"/>
    <w:rsid w:val="681749C9"/>
    <w:rsid w:val="68C036A8"/>
    <w:rsid w:val="68FF75C6"/>
    <w:rsid w:val="69567B1D"/>
    <w:rsid w:val="6A7C2557"/>
    <w:rsid w:val="6AAF43BF"/>
    <w:rsid w:val="6B607DD6"/>
    <w:rsid w:val="6B797260"/>
    <w:rsid w:val="6BDF70C3"/>
    <w:rsid w:val="6BE66F35"/>
    <w:rsid w:val="6C297B24"/>
    <w:rsid w:val="6DB215CF"/>
    <w:rsid w:val="6DB21D5B"/>
    <w:rsid w:val="6DEB3489"/>
    <w:rsid w:val="6E44485D"/>
    <w:rsid w:val="6E876AC8"/>
    <w:rsid w:val="6ED752C3"/>
    <w:rsid w:val="6F745D74"/>
    <w:rsid w:val="6FAE1EB3"/>
    <w:rsid w:val="6FC50CC6"/>
    <w:rsid w:val="708B5A6B"/>
    <w:rsid w:val="70A4744B"/>
    <w:rsid w:val="70F00039"/>
    <w:rsid w:val="70FD2C17"/>
    <w:rsid w:val="717379B2"/>
    <w:rsid w:val="71E965E3"/>
    <w:rsid w:val="722717C4"/>
    <w:rsid w:val="724265FE"/>
    <w:rsid w:val="73320420"/>
    <w:rsid w:val="735008A6"/>
    <w:rsid w:val="7467234B"/>
    <w:rsid w:val="746E36DA"/>
    <w:rsid w:val="75377F70"/>
    <w:rsid w:val="7541467F"/>
    <w:rsid w:val="754601B3"/>
    <w:rsid w:val="755B39B7"/>
    <w:rsid w:val="756C200D"/>
    <w:rsid w:val="759E1D9D"/>
    <w:rsid w:val="75EF25F8"/>
    <w:rsid w:val="75EF3F7E"/>
    <w:rsid w:val="76A4753E"/>
    <w:rsid w:val="76D4359C"/>
    <w:rsid w:val="76D64270"/>
    <w:rsid w:val="772D5B56"/>
    <w:rsid w:val="77692ADD"/>
    <w:rsid w:val="778D6739"/>
    <w:rsid w:val="784C3D32"/>
    <w:rsid w:val="78A7540C"/>
    <w:rsid w:val="79C43D9C"/>
    <w:rsid w:val="79E91F99"/>
    <w:rsid w:val="7A0B3779"/>
    <w:rsid w:val="7A8157E9"/>
    <w:rsid w:val="7AA651BE"/>
    <w:rsid w:val="7BA50EA0"/>
    <w:rsid w:val="7BF967D3"/>
    <w:rsid w:val="7C036DFE"/>
    <w:rsid w:val="7C435750"/>
    <w:rsid w:val="7C6353F0"/>
    <w:rsid w:val="7CAB2FF1"/>
    <w:rsid w:val="7CC55E61"/>
    <w:rsid w:val="7CF76237"/>
    <w:rsid w:val="7DA91662"/>
    <w:rsid w:val="7DAC0DCF"/>
    <w:rsid w:val="7DFB376C"/>
    <w:rsid w:val="7E1D37BF"/>
    <w:rsid w:val="7E2802E4"/>
    <w:rsid w:val="7E2E1717"/>
    <w:rsid w:val="7E4653C6"/>
    <w:rsid w:val="7EA640F0"/>
    <w:rsid w:val="7F1D09C6"/>
    <w:rsid w:val="7F232C49"/>
    <w:rsid w:val="7F5B0048"/>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autoRedefine/>
    <w:unhideWhenUsed/>
    <w:qFormat/>
    <w:uiPriority w:val="0"/>
    <w:pPr>
      <w:keepNext/>
      <w:keepLines/>
      <w:spacing w:before="260" w:after="260" w:line="412" w:lineRule="auto"/>
      <w:outlineLvl w:val="1"/>
    </w:pPr>
    <w:rPr>
      <w:rFonts w:ascii="Arial" w:hAnsi="Arial" w:eastAsia="黑体"/>
      <w:b/>
      <w:bCs/>
      <w:sz w:val="32"/>
      <w:szCs w:val="32"/>
      <w:lang w:val="zh-CN"/>
    </w:rPr>
  </w:style>
  <w:style w:type="paragraph" w:styleId="4">
    <w:name w:val="heading 3"/>
    <w:basedOn w:val="1"/>
    <w:next w:val="1"/>
    <w:autoRedefine/>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9"/>
    <w:pPr>
      <w:keepNext/>
      <w:keepLines/>
      <w:spacing w:line="360" w:lineRule="auto"/>
      <w:outlineLvl w:val="3"/>
    </w:pPr>
    <w:rPr>
      <w:rFonts w:ascii="Arial" w:hAnsi="Arial" w:eastAsia="楷体_GB2312"/>
      <w:b/>
      <w:bCs/>
      <w:szCs w:val="28"/>
    </w:rPr>
  </w:style>
  <w:style w:type="paragraph" w:styleId="6">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24">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spacing w:after="200" w:line="276" w:lineRule="auto"/>
      <w:ind w:firstLine="420" w:firstLineChars="200"/>
    </w:pPr>
    <w:rPr>
      <w:rFonts w:ascii="宋体" w:hAnsi="Calibri" w:eastAsia="仿宋"/>
      <w:sz w:val="24"/>
      <w:szCs w:val="21"/>
    </w:rPr>
  </w:style>
  <w:style w:type="paragraph" w:styleId="8">
    <w:name w:val="annotation text"/>
    <w:basedOn w:val="1"/>
    <w:autoRedefine/>
    <w:qFormat/>
    <w:uiPriority w:val="99"/>
    <w:pPr>
      <w:widowControl/>
      <w:jc w:val="left"/>
    </w:pPr>
    <w:rPr>
      <w:kern w:val="0"/>
      <w:sz w:val="20"/>
      <w:szCs w:val="20"/>
    </w:rPr>
  </w:style>
  <w:style w:type="paragraph" w:styleId="9">
    <w:name w:val="Body Text 3"/>
    <w:basedOn w:val="1"/>
    <w:autoRedefine/>
    <w:qFormat/>
    <w:uiPriority w:val="0"/>
    <w:rPr>
      <w:rFonts w:ascii="宋体"/>
      <w:sz w:val="24"/>
      <w:szCs w:val="20"/>
    </w:rPr>
  </w:style>
  <w:style w:type="paragraph" w:styleId="10">
    <w:name w:val="Body Text"/>
    <w:basedOn w:val="1"/>
    <w:next w:val="11"/>
    <w:autoRedefine/>
    <w:unhideWhenUsed/>
    <w:qFormat/>
    <w:uiPriority w:val="99"/>
    <w:pPr>
      <w:spacing w:after="120"/>
    </w:pPr>
  </w:style>
  <w:style w:type="paragraph" w:styleId="11">
    <w:name w:val="Body Text 2"/>
    <w:basedOn w:val="1"/>
    <w:next w:val="10"/>
    <w:autoRedefine/>
    <w:qFormat/>
    <w:uiPriority w:val="0"/>
    <w:pPr>
      <w:spacing w:line="360" w:lineRule="auto"/>
    </w:pPr>
    <w:rPr>
      <w:sz w:val="24"/>
      <w:szCs w:val="20"/>
    </w:rPr>
  </w:style>
  <w:style w:type="paragraph" w:styleId="12">
    <w:name w:val="Body Text Indent"/>
    <w:basedOn w:val="1"/>
    <w:next w:val="13"/>
    <w:autoRedefine/>
    <w:qFormat/>
    <w:uiPriority w:val="0"/>
    <w:pPr>
      <w:spacing w:after="120" w:line="276" w:lineRule="auto"/>
      <w:ind w:left="420" w:leftChars="200"/>
    </w:pPr>
    <w:rPr>
      <w:rFonts w:ascii="宋体" w:hAnsi="Calibri" w:eastAsia="仿宋"/>
      <w:sz w:val="24"/>
      <w:szCs w:val="21"/>
    </w:rPr>
  </w:style>
  <w:style w:type="paragraph" w:styleId="13">
    <w:name w:val="envelope return"/>
    <w:basedOn w:val="1"/>
    <w:autoRedefine/>
    <w:semiHidden/>
    <w:qFormat/>
    <w:uiPriority w:val="0"/>
    <w:pPr>
      <w:snapToGrid w:val="0"/>
      <w:spacing w:after="200" w:line="276" w:lineRule="auto"/>
    </w:pPr>
    <w:rPr>
      <w:rFonts w:ascii="Arial" w:hAnsi="Arial" w:cs="Arial"/>
      <w:sz w:val="22"/>
      <w:szCs w:val="22"/>
      <w:lang w:eastAsia="en-US" w:bidi="en-US"/>
    </w:rPr>
  </w:style>
  <w:style w:type="paragraph" w:styleId="14">
    <w:name w:val="Plain Text"/>
    <w:basedOn w:val="1"/>
    <w:autoRedefine/>
    <w:unhideWhenUsed/>
    <w:qFormat/>
    <w:uiPriority w:val="99"/>
    <w:rPr>
      <w:rFonts w:ascii="宋体" w:hAnsi="Courier New"/>
    </w:rPr>
  </w:style>
  <w:style w:type="paragraph" w:styleId="15">
    <w:name w:val="Body Text Indent 2"/>
    <w:basedOn w:val="1"/>
    <w:autoRedefine/>
    <w:qFormat/>
    <w:uiPriority w:val="0"/>
    <w:pPr>
      <w:spacing w:after="120" w:line="480" w:lineRule="auto"/>
      <w:ind w:left="420" w:leftChars="200"/>
    </w:pPr>
    <w:rPr>
      <w:rFonts w:ascii="宋体" w:hAnsi="Calibri" w:eastAsia="仿宋"/>
      <w:sz w:val="24"/>
      <w:szCs w:val="21"/>
    </w:rPr>
  </w:style>
  <w:style w:type="paragraph" w:styleId="16">
    <w:name w:val="footer"/>
    <w:basedOn w:val="1"/>
    <w:autoRedefine/>
    <w:semiHidden/>
    <w:unhideWhenUsed/>
    <w:qFormat/>
    <w:uiPriority w:val="99"/>
    <w:pPr>
      <w:tabs>
        <w:tab w:val="center" w:pos="4153"/>
        <w:tab w:val="right" w:pos="8306"/>
      </w:tabs>
      <w:snapToGrid w:val="0"/>
      <w:jc w:val="left"/>
    </w:pPr>
    <w:rPr>
      <w:sz w:val="18"/>
      <w:szCs w:val="18"/>
    </w:rPr>
  </w:style>
  <w:style w:type="paragraph" w:styleId="1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footnote text"/>
    <w:basedOn w:val="1"/>
    <w:autoRedefine/>
    <w:qFormat/>
    <w:uiPriority w:val="0"/>
    <w:rPr>
      <w:sz w:val="20"/>
      <w:szCs w:val="20"/>
    </w:rPr>
  </w:style>
  <w:style w:type="paragraph" w:styleId="2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1">
    <w:name w:val="Body Text First Indent"/>
    <w:basedOn w:val="10"/>
    <w:next w:val="22"/>
    <w:autoRedefine/>
    <w:qFormat/>
    <w:uiPriority w:val="0"/>
    <w:pPr>
      <w:spacing w:line="360" w:lineRule="auto"/>
      <w:ind w:firstLine="420"/>
    </w:pPr>
    <w:rPr>
      <w:rFonts w:ascii="Calibri" w:hAnsi="Calibri" w:eastAsia="Arial Unicode MS"/>
      <w:color w:val="000000"/>
      <w:kern w:val="0"/>
      <w:sz w:val="28"/>
      <w:szCs w:val="28"/>
    </w:rPr>
  </w:style>
  <w:style w:type="paragraph" w:styleId="22">
    <w:name w:val="Body Text First Indent 2"/>
    <w:basedOn w:val="1"/>
    <w:next w:val="1"/>
    <w:autoRedefine/>
    <w:qFormat/>
    <w:uiPriority w:val="0"/>
    <w:pPr>
      <w:ind w:firstLine="420" w:firstLineChars="200"/>
    </w:pPr>
  </w:style>
  <w:style w:type="character" w:styleId="25">
    <w:name w:val="Strong"/>
    <w:basedOn w:val="24"/>
    <w:autoRedefine/>
    <w:qFormat/>
    <w:uiPriority w:val="0"/>
    <w:rPr>
      <w:b/>
      <w:bCs/>
    </w:rPr>
  </w:style>
  <w:style w:type="character" w:styleId="26">
    <w:name w:val="FollowedHyperlink"/>
    <w:basedOn w:val="24"/>
    <w:autoRedefine/>
    <w:qFormat/>
    <w:uiPriority w:val="0"/>
    <w:rPr>
      <w:color w:val="800080"/>
      <w:u w:val="none"/>
    </w:rPr>
  </w:style>
  <w:style w:type="character" w:styleId="27">
    <w:name w:val="Emphasis"/>
    <w:basedOn w:val="24"/>
    <w:autoRedefine/>
    <w:qFormat/>
    <w:uiPriority w:val="0"/>
    <w:rPr>
      <w:b/>
      <w:bCs/>
    </w:rPr>
  </w:style>
  <w:style w:type="character" w:styleId="28">
    <w:name w:val="HTML Definition"/>
    <w:basedOn w:val="24"/>
    <w:autoRedefine/>
    <w:qFormat/>
    <w:uiPriority w:val="0"/>
  </w:style>
  <w:style w:type="character" w:styleId="29">
    <w:name w:val="HTML Typewriter"/>
    <w:basedOn w:val="24"/>
    <w:autoRedefine/>
    <w:qFormat/>
    <w:uiPriority w:val="0"/>
    <w:rPr>
      <w:rFonts w:ascii="monospace" w:hAnsi="monospace" w:eastAsia="monospace" w:cs="monospace"/>
      <w:sz w:val="20"/>
    </w:rPr>
  </w:style>
  <w:style w:type="character" w:styleId="30">
    <w:name w:val="HTML Acronym"/>
    <w:basedOn w:val="24"/>
    <w:autoRedefine/>
    <w:qFormat/>
    <w:uiPriority w:val="0"/>
  </w:style>
  <w:style w:type="character" w:styleId="31">
    <w:name w:val="HTML Variable"/>
    <w:basedOn w:val="24"/>
    <w:autoRedefine/>
    <w:qFormat/>
    <w:uiPriority w:val="0"/>
  </w:style>
  <w:style w:type="character" w:styleId="32">
    <w:name w:val="Hyperlink"/>
    <w:basedOn w:val="24"/>
    <w:autoRedefine/>
    <w:qFormat/>
    <w:uiPriority w:val="0"/>
    <w:rPr>
      <w:color w:val="0000FF"/>
      <w:u w:val="none"/>
    </w:rPr>
  </w:style>
  <w:style w:type="character" w:styleId="33">
    <w:name w:val="HTML Code"/>
    <w:basedOn w:val="24"/>
    <w:autoRedefine/>
    <w:qFormat/>
    <w:uiPriority w:val="0"/>
    <w:rPr>
      <w:rFonts w:hint="default" w:ascii="monospace" w:hAnsi="monospace" w:eastAsia="monospace" w:cs="monospace"/>
      <w:sz w:val="20"/>
    </w:rPr>
  </w:style>
  <w:style w:type="character" w:styleId="34">
    <w:name w:val="HTML Cite"/>
    <w:basedOn w:val="24"/>
    <w:autoRedefine/>
    <w:qFormat/>
    <w:uiPriority w:val="0"/>
  </w:style>
  <w:style w:type="character" w:styleId="35">
    <w:name w:val="HTML Keyboard"/>
    <w:basedOn w:val="24"/>
    <w:autoRedefine/>
    <w:qFormat/>
    <w:uiPriority w:val="0"/>
    <w:rPr>
      <w:rFonts w:hint="default" w:ascii="monospace" w:hAnsi="monospace" w:eastAsia="monospace" w:cs="monospace"/>
      <w:sz w:val="20"/>
    </w:rPr>
  </w:style>
  <w:style w:type="character" w:styleId="36">
    <w:name w:val="HTML Sample"/>
    <w:basedOn w:val="24"/>
    <w:autoRedefine/>
    <w:qFormat/>
    <w:uiPriority w:val="0"/>
    <w:rPr>
      <w:rFonts w:hint="default" w:ascii="monospace" w:hAnsi="monospace" w:eastAsia="monospace" w:cs="monospace"/>
    </w:rPr>
  </w:style>
  <w:style w:type="paragraph" w:customStyle="1" w:styleId="37">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Default"/>
    <w:autoRedefine/>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39">
    <w:name w:val="大标题"/>
    <w:basedOn w:val="1"/>
    <w:next w:val="22"/>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40">
    <w:name w:val="cjk"/>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Table Paragraph"/>
    <w:basedOn w:val="1"/>
    <w:autoRedefine/>
    <w:qFormat/>
    <w:uiPriority w:val="1"/>
  </w:style>
  <w:style w:type="paragraph" w:customStyle="1" w:styleId="42">
    <w:name w:val="p0"/>
    <w:basedOn w:val="1"/>
    <w:autoRedefine/>
    <w:qFormat/>
    <w:uiPriority w:val="0"/>
    <w:pPr>
      <w:widowControl/>
    </w:pPr>
    <w:rPr>
      <w:kern w:val="0"/>
      <w:szCs w:val="21"/>
    </w:rPr>
  </w:style>
  <w:style w:type="character" w:customStyle="1" w:styleId="43">
    <w:name w:val="标题4 Char"/>
    <w:link w:val="44"/>
    <w:autoRedefine/>
    <w:qFormat/>
    <w:uiPriority w:val="0"/>
    <w:rPr>
      <w:rFonts w:asciiTheme="minorHAnsi" w:hAnsiTheme="minorHAnsi" w:eastAsiaTheme="minorEastAsia" w:cstheme="minorBidi"/>
      <w:kern w:val="0"/>
      <w:sz w:val="28"/>
      <w:szCs w:val="20"/>
    </w:rPr>
  </w:style>
  <w:style w:type="paragraph" w:customStyle="1" w:styleId="44">
    <w:name w:val="标题4"/>
    <w:basedOn w:val="1"/>
    <w:next w:val="1"/>
    <w:link w:val="43"/>
    <w:autoRedefine/>
    <w:qFormat/>
    <w:uiPriority w:val="0"/>
    <w:pPr>
      <w:spacing w:line="360" w:lineRule="auto"/>
      <w:ind w:firstLine="105" w:firstLineChars="50"/>
      <w:jc w:val="left"/>
    </w:pPr>
    <w:rPr>
      <w:rFonts w:asciiTheme="minorHAnsi" w:hAnsiTheme="minorHAnsi" w:eastAsiaTheme="minorEastAsia" w:cstheme="minorBidi"/>
      <w:kern w:val="0"/>
      <w:sz w:val="28"/>
      <w:szCs w:val="20"/>
    </w:rPr>
  </w:style>
  <w:style w:type="character" w:customStyle="1" w:styleId="45">
    <w:name w:val="layui-layer-tabnow"/>
    <w:basedOn w:val="24"/>
    <w:autoRedefine/>
    <w:qFormat/>
    <w:uiPriority w:val="0"/>
    <w:rPr>
      <w:bdr w:val="single" w:color="CCCCCC" w:sz="6" w:space="0"/>
      <w:shd w:val="clear" w:fill="FFFFFF"/>
    </w:rPr>
  </w:style>
  <w:style w:type="character" w:customStyle="1" w:styleId="46">
    <w:name w:val="first-child"/>
    <w:basedOn w:val="24"/>
    <w:autoRedefine/>
    <w:qFormat/>
    <w:uiPriority w:val="0"/>
  </w:style>
  <w:style w:type="paragraph" w:customStyle="1" w:styleId="47">
    <w:name w:val="报告正文"/>
    <w:basedOn w:val="1"/>
    <w:autoRedefine/>
    <w:qFormat/>
    <w:uiPriority w:val="0"/>
    <w:pPr>
      <w:adjustRightInd w:val="0"/>
      <w:ind w:firstLine="560" w:firstLineChars="200"/>
    </w:pPr>
    <w:rPr>
      <w:rFonts w:ascii="宋体" w:hAnsi="宋体"/>
      <w:kern w:val="0"/>
      <w:sz w:val="28"/>
      <w:szCs w:val="20"/>
    </w:rPr>
  </w:style>
  <w:style w:type="character" w:customStyle="1" w:styleId="48">
    <w:name w:val="hover1"/>
    <w:basedOn w:val="24"/>
    <w:autoRedefine/>
    <w:qFormat/>
    <w:uiPriority w:val="0"/>
  </w:style>
  <w:style w:type="character" w:customStyle="1" w:styleId="49">
    <w:name w:val="hover2"/>
    <w:basedOn w:val="24"/>
    <w:autoRedefine/>
    <w:qFormat/>
    <w:uiPriority w:val="0"/>
    <w:rPr>
      <w:color w:val="2590EB"/>
    </w:rPr>
  </w:style>
  <w:style w:type="character" w:customStyle="1" w:styleId="50">
    <w:name w:val="hover3"/>
    <w:basedOn w:val="24"/>
    <w:autoRedefine/>
    <w:qFormat/>
    <w:uiPriority w:val="0"/>
    <w:rPr>
      <w:color w:val="2590EB"/>
    </w:rPr>
  </w:style>
  <w:style w:type="character" w:customStyle="1" w:styleId="51">
    <w:name w:val="mini-outputtext1"/>
    <w:basedOn w:val="24"/>
    <w:autoRedefine/>
    <w:qFormat/>
    <w:uiPriority w:val="0"/>
  </w:style>
  <w:style w:type="character" w:customStyle="1" w:styleId="52">
    <w:name w:val="hover"/>
    <w:basedOn w:val="24"/>
    <w:autoRedefine/>
    <w:qFormat/>
    <w:uiPriority w:val="0"/>
    <w:rPr>
      <w:color w:val="2590EB"/>
    </w:rPr>
  </w:style>
  <w:style w:type="paragraph" w:customStyle="1" w:styleId="53">
    <w:name w:val="正文 1.1"/>
    <w:basedOn w:val="1"/>
    <w:next w:val="54"/>
    <w:autoRedefine/>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54">
    <w:name w:val="正文 1.1.1"/>
    <w:basedOn w:val="1"/>
    <w:next w:val="1"/>
    <w:autoRedefine/>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customStyle="1" w:styleId="5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TOC 标题1"/>
    <w:basedOn w:val="2"/>
    <w:next w:val="1"/>
    <w:qFormat/>
    <w:uiPriority w:val="0"/>
    <w:pPr>
      <w:keepNext/>
      <w:keepLines/>
      <w:widowControl w:val="0"/>
      <w:spacing w:before="340" w:after="330" w:line="578" w:lineRule="auto"/>
      <w:jc w:val="both"/>
      <w:outlineLvl w:val="9"/>
    </w:pPr>
    <w:rPr>
      <w:rFonts w:ascii="Calibri" w:hAnsi="Calibri"/>
      <w:color w:val="auto"/>
      <w:kern w:val="44"/>
      <w:sz w:val="44"/>
      <w:szCs w:val="44"/>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paragraph" w:customStyle="1" w:styleId="59">
    <w:name w:val="Table Text"/>
    <w:basedOn w:val="1"/>
    <w:semiHidden/>
    <w:qFormat/>
    <w:uiPriority w:val="0"/>
    <w:rPr>
      <w:rFonts w:ascii="微软雅黑" w:hAnsi="微软雅黑" w:eastAsia="微软雅黑" w:cs="微软雅黑"/>
      <w:sz w:val="22"/>
      <w:szCs w:val="22"/>
      <w:lang w:val="en-US" w:eastAsia="en-US" w:bidi="ar-SA"/>
    </w:rPr>
  </w:style>
  <w:style w:type="table" w:customStyle="1" w:styleId="60">
    <w:name w:val="Table Normal"/>
    <w:unhideWhenUsed/>
    <w:qFormat/>
    <w:uiPriority w:val="0"/>
    <w:tblPr>
      <w:tblCellMar>
        <w:top w:w="0" w:type="dxa"/>
        <w:left w:w="0" w:type="dxa"/>
        <w:bottom w:w="0" w:type="dxa"/>
        <w:right w:w="0" w:type="dxa"/>
      </w:tblCellMar>
    </w:tblPr>
  </w:style>
  <w:style w:type="character" w:customStyle="1" w:styleId="61">
    <w:name w:val="xiadan"/>
    <w:basedOn w:val="24"/>
    <w:qFormat/>
    <w:uiPriority w:val="0"/>
    <w:rPr>
      <w:shd w:val="clear" w:fill="E4393C"/>
    </w:rPr>
  </w:style>
  <w:style w:type="character" w:customStyle="1" w:styleId="62">
    <w:name w:val="icon_ds"/>
    <w:basedOn w:val="24"/>
    <w:qFormat/>
    <w:uiPriority w:val="0"/>
    <w:rPr>
      <w:sz w:val="21"/>
      <w:szCs w:val="21"/>
    </w:rPr>
  </w:style>
  <w:style w:type="character" w:customStyle="1" w:styleId="63">
    <w:name w:val="icon_ds1"/>
    <w:basedOn w:val="24"/>
    <w:qFormat/>
    <w:uiPriority w:val="0"/>
  </w:style>
  <w:style w:type="character" w:customStyle="1" w:styleId="64">
    <w:name w:val="fr"/>
    <w:basedOn w:val="24"/>
    <w:qFormat/>
    <w:uiPriority w:val="0"/>
  </w:style>
  <w:style w:type="character" w:customStyle="1" w:styleId="65">
    <w:name w:val="nth-child(1)"/>
    <w:basedOn w:val="24"/>
    <w:qFormat/>
    <w:uiPriority w:val="0"/>
  </w:style>
  <w:style w:type="character" w:customStyle="1" w:styleId="66">
    <w:name w:val="icon_gys"/>
    <w:basedOn w:val="24"/>
    <w:qFormat/>
    <w:uiPriority w:val="0"/>
    <w:rPr>
      <w:sz w:val="21"/>
      <w:szCs w:val="21"/>
    </w:rPr>
  </w:style>
  <w:style w:type="character" w:customStyle="1" w:styleId="67">
    <w:name w:val="first-child1"/>
    <w:basedOn w:val="24"/>
    <w:qFormat/>
    <w:uiPriority w:val="0"/>
    <w:rPr>
      <w:color w:val="1F3149"/>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7411</Words>
  <Characters>8518</Characters>
  <Lines>0</Lines>
  <Paragraphs>0</Paragraphs>
  <TotalTime>160</TotalTime>
  <ScaleCrop>false</ScaleCrop>
  <LinksUpToDate>false</LinksUpToDate>
  <CharactersWithSpaces>8597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2023-03-10T04:00:00Z</dcterms:created>
  <dc:creator>mary</dc:creator>
  <cp:lastModifiedBy>Administrator</cp:lastModifiedBy>
  <cp:lastPrinted>2025-05-09T08:57:00Z</cp:lastPrinted>
  <dcterms:modified xsi:type="dcterms:W3CDTF">2025-07-08T09:06:43Z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33AEA241DF594322BC47C200C38396E2_13</vt:lpwstr>
  </property>
  <property fmtid="{D5CDD505-2E9C-101B-9397-08002B2CF9AE}" pid="4" name="KSOTemplateDocerSaveRecord">
    <vt:lpwstr>eyJoZGlkIjoiMGVkYmZmYjM3MDg5NmRlNTNmYzBmNGY4MDI4MzRjNWYiLCJ1c2VySWQiOiIyNzc1ODI1NDIifQ==</vt:lpwstr>
  </property>
</Properties>
</file>