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2AE97">
      <w:pPr>
        <w:spacing w:line="264" w:lineRule="auto"/>
        <w:jc w:val="center"/>
        <w:outlineLvl w:val="0"/>
        <w:rPr>
          <w:rFonts w:hint="eastAsia" w:asciiTheme="minorEastAsia" w:hAnsiTheme="minorEastAsia" w:eastAsiaTheme="minorEastAsia" w:cstheme="minorEastAsia"/>
          <w:b/>
          <w:bCs/>
          <w:color w:val="auto"/>
          <w:spacing w:val="20"/>
          <w:sz w:val="42"/>
          <w:szCs w:val="42"/>
          <w:highlight w:val="none"/>
          <w:lang w:eastAsia="zh-CN"/>
        </w:rPr>
      </w:pPr>
      <w:bookmarkStart w:id="679" w:name="_GoBack"/>
      <w:bookmarkEnd w:id="679"/>
      <w:bookmarkStart w:id="0" w:name="_Toc14836"/>
      <w:bookmarkStart w:id="1" w:name="_Toc24644"/>
    </w:p>
    <w:p w14:paraId="54DF9A34">
      <w:pPr>
        <w:spacing w:line="360" w:lineRule="auto"/>
        <w:jc w:val="center"/>
        <w:outlineLvl w:val="0"/>
        <w:rPr>
          <w:rFonts w:hint="eastAsia" w:asciiTheme="minorEastAsia" w:hAnsiTheme="minorEastAsia" w:eastAsiaTheme="minorEastAsia" w:cstheme="minorEastAsia"/>
          <w:b/>
          <w:bCs/>
          <w:color w:val="auto"/>
          <w:spacing w:val="20"/>
          <w:sz w:val="112"/>
          <w:szCs w:val="112"/>
          <w:highlight w:val="none"/>
          <w:lang w:eastAsia="zh-CN"/>
        </w:rPr>
      </w:pPr>
      <w:bookmarkStart w:id="2" w:name="_Toc21088"/>
      <w:r>
        <w:rPr>
          <w:rFonts w:hint="eastAsia" w:asciiTheme="minorEastAsia" w:hAnsiTheme="minorEastAsia" w:eastAsiaTheme="minorEastAsia" w:cstheme="minorEastAsia"/>
          <w:b/>
          <w:bCs/>
          <w:color w:val="auto"/>
          <w:spacing w:val="20"/>
          <w:sz w:val="48"/>
          <w:szCs w:val="48"/>
          <w:highlight w:val="none"/>
          <w:lang w:eastAsia="zh-CN"/>
        </w:rPr>
        <w:t>灵宝市窄口库区事务中心窄口试点水库现代化运行管理矩阵建设项目</w:t>
      </w:r>
      <w:bookmarkEnd w:id="2"/>
    </w:p>
    <w:p w14:paraId="34377AF7">
      <w:pPr>
        <w:spacing w:line="264" w:lineRule="auto"/>
        <w:jc w:val="center"/>
        <w:outlineLvl w:val="0"/>
        <w:rPr>
          <w:rFonts w:hint="eastAsia" w:asciiTheme="minorEastAsia" w:hAnsiTheme="minorEastAsia" w:eastAsiaTheme="minorEastAsia" w:cstheme="minorEastAsia"/>
          <w:b/>
          <w:bCs/>
          <w:color w:val="auto"/>
          <w:spacing w:val="20"/>
          <w:sz w:val="32"/>
          <w:szCs w:val="32"/>
          <w:highlight w:val="none"/>
        </w:rPr>
      </w:pPr>
    </w:p>
    <w:p w14:paraId="1F9F8A8B">
      <w:pPr>
        <w:spacing w:line="264" w:lineRule="auto"/>
        <w:jc w:val="center"/>
        <w:outlineLvl w:val="0"/>
        <w:rPr>
          <w:rFonts w:hint="eastAsia" w:asciiTheme="minorEastAsia" w:hAnsiTheme="minorEastAsia" w:eastAsiaTheme="minorEastAsia" w:cstheme="minorEastAsia"/>
          <w:b/>
          <w:bCs/>
          <w:color w:val="auto"/>
          <w:spacing w:val="20"/>
          <w:sz w:val="96"/>
          <w:szCs w:val="96"/>
          <w:highlight w:val="none"/>
        </w:rPr>
      </w:pPr>
      <w:bookmarkStart w:id="3" w:name="_Toc19271"/>
      <w:r>
        <w:rPr>
          <w:rFonts w:hint="eastAsia" w:asciiTheme="minorEastAsia" w:hAnsiTheme="minorEastAsia" w:eastAsiaTheme="minorEastAsia" w:cstheme="minorEastAsia"/>
          <w:b/>
          <w:bCs/>
          <w:color w:val="auto"/>
          <w:spacing w:val="20"/>
          <w:sz w:val="72"/>
          <w:szCs w:val="72"/>
          <w:highlight w:val="none"/>
        </w:rPr>
        <w:t>竞争性磋商文件</w:t>
      </w:r>
      <w:bookmarkEnd w:id="0"/>
      <w:bookmarkEnd w:id="1"/>
      <w:bookmarkEnd w:id="3"/>
    </w:p>
    <w:p w14:paraId="2A0281C1">
      <w:pPr>
        <w:spacing w:line="264"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项目编号：灵宝竞磋采购-2025-119</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LBGZ[2025]220-ZC163</w:t>
      </w:r>
    </w:p>
    <w:p w14:paraId="3E0B95FF">
      <w:pPr>
        <w:rPr>
          <w:rFonts w:hint="eastAsia" w:asciiTheme="minorEastAsia" w:hAnsiTheme="minorEastAsia" w:eastAsiaTheme="minorEastAsia" w:cstheme="minorEastAsia"/>
          <w:b/>
          <w:bCs/>
          <w:color w:val="auto"/>
          <w:sz w:val="30"/>
          <w:szCs w:val="30"/>
          <w:highlight w:val="none"/>
        </w:rPr>
      </w:pPr>
    </w:p>
    <w:p w14:paraId="0C32DD60">
      <w:pP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1530985</wp:posOffset>
            </wp:positionH>
            <wp:positionV relativeFrom="paragraph">
              <wp:posOffset>62865</wp:posOffset>
            </wp:positionV>
            <wp:extent cx="2474595" cy="2468880"/>
            <wp:effectExtent l="0" t="0" r="1905" b="7620"/>
            <wp:wrapNone/>
            <wp:docPr id="13" name="图片 13" descr="94071e0c0f5fa67400142b89049ff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4071e0c0f5fa67400142b89049ff54"/>
                    <pic:cNvPicPr>
                      <a:picLocks noChangeAspect="1"/>
                    </pic:cNvPicPr>
                  </pic:nvPicPr>
                  <pic:blipFill>
                    <a:blip r:embed="rId12"/>
                    <a:stretch>
                      <a:fillRect/>
                    </a:stretch>
                  </pic:blipFill>
                  <pic:spPr>
                    <a:xfrm>
                      <a:off x="0" y="0"/>
                      <a:ext cx="2474595" cy="2468880"/>
                    </a:xfrm>
                    <a:prstGeom prst="rect">
                      <a:avLst/>
                    </a:prstGeom>
                  </pic:spPr>
                </pic:pic>
              </a:graphicData>
            </a:graphic>
          </wp:anchor>
        </w:drawing>
      </w:r>
    </w:p>
    <w:p w14:paraId="51A18808">
      <w:pPr>
        <w:pStyle w:val="18"/>
        <w:ind w:firstLine="211"/>
        <w:jc w:val="center"/>
        <w:rPr>
          <w:rFonts w:hint="eastAsia" w:asciiTheme="minorEastAsia" w:hAnsiTheme="minorEastAsia" w:eastAsiaTheme="minorEastAsia" w:cstheme="minorEastAsia"/>
          <w:b/>
          <w:bCs/>
          <w:color w:val="auto"/>
          <w:sz w:val="30"/>
          <w:szCs w:val="30"/>
          <w:highlight w:val="none"/>
        </w:rPr>
      </w:pPr>
    </w:p>
    <w:p w14:paraId="044A46CF">
      <w:pPr>
        <w:pStyle w:val="19"/>
        <w:ind w:left="440" w:firstLine="602"/>
        <w:rPr>
          <w:rFonts w:hint="eastAsia" w:asciiTheme="minorEastAsia" w:hAnsiTheme="minorEastAsia" w:eastAsiaTheme="minorEastAsia" w:cstheme="minorEastAsia"/>
          <w:b/>
          <w:bCs/>
          <w:color w:val="auto"/>
          <w:sz w:val="30"/>
          <w:szCs w:val="30"/>
          <w:highlight w:val="none"/>
        </w:rPr>
      </w:pPr>
    </w:p>
    <w:p w14:paraId="61C31241">
      <w:pPr>
        <w:rPr>
          <w:rFonts w:hint="eastAsia" w:asciiTheme="minorEastAsia" w:hAnsiTheme="minorEastAsia" w:eastAsiaTheme="minorEastAsia" w:cstheme="minorEastAsia"/>
          <w:b/>
          <w:bCs/>
          <w:color w:val="auto"/>
          <w:sz w:val="30"/>
          <w:szCs w:val="30"/>
          <w:highlight w:val="none"/>
        </w:rPr>
      </w:pPr>
    </w:p>
    <w:p w14:paraId="1B206BC5">
      <w:pPr>
        <w:pStyle w:val="24"/>
        <w:rPr>
          <w:rFonts w:hint="eastAsia" w:asciiTheme="minorEastAsia" w:hAnsiTheme="minorEastAsia" w:eastAsiaTheme="minorEastAsia" w:cstheme="minorEastAsia"/>
          <w:b/>
          <w:bCs/>
          <w:color w:val="auto"/>
          <w:sz w:val="30"/>
          <w:szCs w:val="30"/>
          <w:highlight w:val="none"/>
        </w:rPr>
      </w:pPr>
    </w:p>
    <w:p w14:paraId="25C1935A">
      <w:pPr>
        <w:ind w:firstLine="1606" w:firstLineChars="500"/>
        <w:outlineLvl w:val="0"/>
        <w:rPr>
          <w:rFonts w:hint="eastAsia" w:asciiTheme="minorEastAsia" w:hAnsiTheme="minorEastAsia" w:eastAsiaTheme="minorEastAsia" w:cstheme="minorEastAsia"/>
          <w:b/>
          <w:bCs/>
          <w:color w:val="auto"/>
          <w:sz w:val="32"/>
          <w:highlight w:val="none"/>
        </w:rPr>
      </w:pPr>
      <w:bookmarkStart w:id="4" w:name="_Toc120614210"/>
      <w:bookmarkEnd w:id="4"/>
      <w:bookmarkStart w:id="5" w:name="_Toc446062580"/>
      <w:bookmarkEnd w:id="5"/>
      <w:bookmarkStart w:id="6" w:name="_Toc523127445"/>
      <w:bookmarkEnd w:id="6"/>
      <w:bookmarkStart w:id="7" w:name="_Toc479757206"/>
      <w:bookmarkEnd w:id="7"/>
      <w:bookmarkStart w:id="8" w:name="_Toc447717724"/>
      <w:bookmarkEnd w:id="8"/>
      <w:bookmarkStart w:id="9" w:name="_Toc403986986"/>
      <w:bookmarkEnd w:id="9"/>
      <w:bookmarkStart w:id="10" w:name="_Toc444525600"/>
      <w:bookmarkEnd w:id="10"/>
      <w:bookmarkStart w:id="11" w:name="_Toc403987193"/>
      <w:bookmarkEnd w:id="11"/>
      <w:bookmarkStart w:id="12" w:name="_Toc20823272"/>
      <w:bookmarkEnd w:id="12"/>
      <w:bookmarkStart w:id="13" w:name="_Toc446062516"/>
      <w:bookmarkEnd w:id="13"/>
      <w:bookmarkStart w:id="14" w:name="_Toc16938516"/>
      <w:bookmarkEnd w:id="14"/>
      <w:bookmarkStart w:id="15" w:name="_Toc517178990"/>
      <w:bookmarkEnd w:id="15"/>
      <w:bookmarkStart w:id="16" w:name="_Toc29698"/>
      <w:bookmarkStart w:id="17" w:name="_Toc22566"/>
      <w:bookmarkStart w:id="18" w:name="_Toc16770539"/>
    </w:p>
    <w:p w14:paraId="2FBF36C9">
      <w:pPr>
        <w:ind w:firstLine="1606" w:firstLineChars="500"/>
        <w:outlineLvl w:val="0"/>
        <w:rPr>
          <w:rFonts w:hint="eastAsia" w:asciiTheme="minorEastAsia" w:hAnsiTheme="minorEastAsia" w:eastAsiaTheme="minorEastAsia" w:cstheme="minorEastAsia"/>
          <w:b/>
          <w:bCs/>
          <w:color w:val="auto"/>
          <w:sz w:val="32"/>
          <w:highlight w:val="none"/>
        </w:rPr>
      </w:pPr>
    </w:p>
    <w:p w14:paraId="3E9F087B">
      <w:pPr>
        <w:ind w:firstLine="1606" w:firstLineChars="500"/>
        <w:outlineLvl w:val="0"/>
        <w:rPr>
          <w:rFonts w:hint="eastAsia" w:asciiTheme="minorEastAsia" w:hAnsiTheme="minorEastAsia" w:eastAsiaTheme="minorEastAsia" w:cstheme="minorEastAsia"/>
          <w:b/>
          <w:bCs/>
          <w:color w:val="auto"/>
          <w:sz w:val="32"/>
          <w:highlight w:val="none"/>
        </w:rPr>
      </w:pPr>
    </w:p>
    <w:p w14:paraId="509E8B4C">
      <w:pPr>
        <w:ind w:firstLine="1606" w:firstLineChars="500"/>
        <w:outlineLvl w:val="0"/>
        <w:rPr>
          <w:rFonts w:hint="eastAsia" w:asciiTheme="minorEastAsia" w:hAnsiTheme="minorEastAsia" w:eastAsiaTheme="minorEastAsia" w:cstheme="minorEastAsia"/>
          <w:b/>
          <w:bCs/>
          <w:color w:val="auto"/>
          <w:sz w:val="32"/>
          <w:highlight w:val="none"/>
          <w:lang w:val="zh-CN"/>
        </w:rPr>
      </w:pPr>
      <w:bookmarkStart w:id="19" w:name="_Toc32267"/>
      <w:r>
        <w:rPr>
          <w:rFonts w:hint="eastAsia" w:asciiTheme="minorEastAsia" w:hAnsiTheme="minorEastAsia" w:eastAsiaTheme="minorEastAsia" w:cstheme="minorEastAsia"/>
          <w:b/>
          <w:bCs/>
          <w:color w:val="auto"/>
          <w:sz w:val="32"/>
          <w:highlight w:val="none"/>
          <w:lang w:val="en-US" w:eastAsia="zh-CN"/>
        </w:rPr>
        <w:t>采 购</w:t>
      </w:r>
      <w:r>
        <w:rPr>
          <w:rFonts w:hint="eastAsia" w:asciiTheme="minorEastAsia" w:hAnsiTheme="minorEastAsia" w:eastAsiaTheme="minorEastAsia" w:cstheme="minorEastAsia"/>
          <w:b/>
          <w:bCs/>
          <w:color w:val="auto"/>
          <w:sz w:val="32"/>
          <w:highlight w:val="none"/>
        </w:rPr>
        <w:t xml:space="preserve"> </w:t>
      </w:r>
      <w:r>
        <w:rPr>
          <w:rFonts w:hint="eastAsia" w:asciiTheme="minorEastAsia" w:hAnsiTheme="minorEastAsia" w:eastAsiaTheme="minorEastAsia" w:cstheme="minorEastAsia"/>
          <w:b/>
          <w:bCs/>
          <w:color w:val="auto"/>
          <w:sz w:val="32"/>
          <w:highlight w:val="none"/>
          <w:lang w:val="zh-CN"/>
        </w:rPr>
        <w:t>人</w:t>
      </w:r>
      <w:bookmarkEnd w:id="16"/>
      <w:bookmarkEnd w:id="17"/>
      <w:r>
        <w:rPr>
          <w:rFonts w:hint="eastAsia" w:asciiTheme="minorEastAsia" w:hAnsiTheme="minorEastAsia" w:eastAsiaTheme="minorEastAsia" w:cstheme="minorEastAsia"/>
          <w:b/>
          <w:bCs/>
          <w:color w:val="auto"/>
          <w:sz w:val="32"/>
          <w:highlight w:val="none"/>
        </w:rPr>
        <w:t>：</w:t>
      </w:r>
      <w:r>
        <w:rPr>
          <w:rFonts w:hint="eastAsia" w:asciiTheme="minorEastAsia" w:hAnsiTheme="minorEastAsia" w:eastAsiaTheme="minorEastAsia" w:cstheme="minorEastAsia"/>
          <w:b/>
          <w:bCs/>
          <w:color w:val="auto"/>
          <w:sz w:val="32"/>
          <w:highlight w:val="none"/>
          <w:lang w:val="zh-CN"/>
        </w:rPr>
        <w:t>灵宝市窄口库区事务中心</w:t>
      </w:r>
      <w:bookmarkEnd w:id="19"/>
    </w:p>
    <w:p w14:paraId="37ED1533">
      <w:pPr>
        <w:ind w:firstLine="1285" w:firstLineChars="400"/>
        <w:rPr>
          <w:rFonts w:hint="eastAsia" w:asciiTheme="minorEastAsia" w:hAnsiTheme="minorEastAsia" w:eastAsiaTheme="minorEastAsia" w:cstheme="minorEastAsia"/>
          <w:b/>
          <w:bCs/>
          <w:color w:val="auto"/>
          <w:sz w:val="32"/>
          <w:highlight w:val="none"/>
          <w:lang w:val="zh-CN"/>
        </w:rPr>
      </w:pPr>
      <w:r>
        <w:rPr>
          <w:rFonts w:hint="eastAsia" w:asciiTheme="minorEastAsia" w:hAnsiTheme="minorEastAsia" w:eastAsiaTheme="minorEastAsia" w:cstheme="minorEastAsia"/>
          <w:b/>
          <w:bCs/>
          <w:color w:val="auto"/>
          <w:sz w:val="32"/>
          <w:highlight w:val="none"/>
          <w:lang w:val="zh-CN"/>
        </w:rPr>
        <w:t xml:space="preserve"> </w:t>
      </w:r>
      <w:r>
        <w:rPr>
          <w:rFonts w:hint="eastAsia" w:asciiTheme="minorEastAsia" w:hAnsiTheme="minorEastAsia" w:eastAsiaTheme="minorEastAsia" w:cstheme="minorEastAsia"/>
          <w:b/>
          <w:bCs/>
          <w:color w:val="auto"/>
          <w:sz w:val="32"/>
          <w:highlight w:val="none"/>
        </w:rPr>
        <w:t xml:space="preserve"> 代理机构：</w:t>
      </w:r>
      <w:r>
        <w:rPr>
          <w:rFonts w:hint="eastAsia" w:asciiTheme="minorEastAsia" w:hAnsiTheme="minorEastAsia" w:eastAsiaTheme="minorEastAsia" w:cstheme="minorEastAsia"/>
          <w:b/>
          <w:bCs/>
          <w:color w:val="auto"/>
          <w:sz w:val="32"/>
          <w:highlight w:val="none"/>
          <w:lang w:val="zh-CN"/>
        </w:rPr>
        <w:t>河南精开咨询有限公司</w:t>
      </w:r>
    </w:p>
    <w:p w14:paraId="357837C6">
      <w:pPr>
        <w:ind w:firstLine="1285" w:firstLineChars="400"/>
        <w:outlineLvl w:val="0"/>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b/>
          <w:bCs/>
          <w:color w:val="auto"/>
          <w:sz w:val="32"/>
          <w:highlight w:val="none"/>
        </w:rPr>
        <w:t xml:space="preserve">  </w:t>
      </w:r>
      <w:bookmarkStart w:id="20" w:name="_Toc20524"/>
      <w:bookmarkStart w:id="21" w:name="_Toc15430"/>
      <w:bookmarkStart w:id="22" w:name="_Toc5954"/>
      <w:r>
        <w:rPr>
          <w:rFonts w:hint="eastAsia" w:asciiTheme="minorEastAsia" w:hAnsiTheme="minorEastAsia" w:eastAsiaTheme="minorEastAsia" w:cstheme="minorEastAsia"/>
          <w:b/>
          <w:bCs/>
          <w:color w:val="auto"/>
          <w:sz w:val="32"/>
          <w:highlight w:val="none"/>
        </w:rPr>
        <w:t>日    期：二〇二</w:t>
      </w:r>
      <w:r>
        <w:rPr>
          <w:rFonts w:hint="eastAsia" w:asciiTheme="minorEastAsia" w:hAnsiTheme="minorEastAsia" w:eastAsiaTheme="minorEastAsia" w:cstheme="minorEastAsia"/>
          <w:b/>
          <w:bCs/>
          <w:color w:val="auto"/>
          <w:sz w:val="32"/>
          <w:highlight w:val="none"/>
          <w:lang w:val="en-US" w:eastAsia="zh-CN"/>
        </w:rPr>
        <w:t>五</w:t>
      </w:r>
      <w:r>
        <w:rPr>
          <w:rFonts w:hint="eastAsia" w:asciiTheme="minorEastAsia" w:hAnsiTheme="minorEastAsia" w:eastAsiaTheme="minorEastAsia" w:cstheme="minorEastAsia"/>
          <w:b/>
          <w:bCs/>
          <w:color w:val="auto"/>
          <w:sz w:val="32"/>
          <w:highlight w:val="none"/>
        </w:rPr>
        <w:t>年</w:t>
      </w:r>
      <w:r>
        <w:rPr>
          <w:rFonts w:hint="eastAsia" w:asciiTheme="minorEastAsia" w:hAnsiTheme="minorEastAsia" w:eastAsiaTheme="minorEastAsia" w:cstheme="minorEastAsia"/>
          <w:b/>
          <w:bCs/>
          <w:color w:val="auto"/>
          <w:sz w:val="32"/>
          <w:highlight w:val="none"/>
          <w:lang w:val="en-US" w:eastAsia="zh-CN"/>
        </w:rPr>
        <w:t>八</w:t>
      </w:r>
      <w:r>
        <w:rPr>
          <w:rFonts w:hint="eastAsia" w:asciiTheme="minorEastAsia" w:hAnsiTheme="minorEastAsia" w:eastAsiaTheme="minorEastAsia" w:cstheme="minorEastAsia"/>
          <w:b/>
          <w:bCs/>
          <w:color w:val="auto"/>
          <w:sz w:val="32"/>
          <w:highlight w:val="none"/>
        </w:rPr>
        <w:t>月</w:t>
      </w:r>
      <w:bookmarkEnd w:id="18"/>
      <w:bookmarkEnd w:id="20"/>
      <w:bookmarkEnd w:id="21"/>
      <w:bookmarkEnd w:id="22"/>
    </w:p>
    <w:p w14:paraId="3300B375">
      <w:pPr>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b/>
          <w:bCs/>
          <w:color w:val="auto"/>
          <w:sz w:val="32"/>
          <w:highlight w:val="none"/>
        </w:rPr>
        <w:br w:type="page"/>
      </w:r>
    </w:p>
    <w:p w14:paraId="4AC4ABBD">
      <w:pPr>
        <w:pStyle w:val="25"/>
        <w:rPr>
          <w:rFonts w:hint="eastAsia"/>
          <w:color w:val="auto"/>
          <w:highlight w:val="none"/>
          <w:lang w:val="en-US" w:eastAsia="zh-CN"/>
        </w:rPr>
      </w:pPr>
    </w:p>
    <w:sdt>
      <w:sdtPr>
        <w:rPr>
          <w:rFonts w:hint="eastAsia" w:asciiTheme="minorEastAsia" w:hAnsiTheme="minorEastAsia" w:eastAsiaTheme="minorEastAsia" w:cstheme="minorEastAsia"/>
          <w:b/>
          <w:bCs/>
          <w:color w:val="auto"/>
          <w:kern w:val="2"/>
          <w:sz w:val="36"/>
          <w:szCs w:val="36"/>
          <w:highlight w:val="none"/>
          <w:lang w:val="en-US" w:eastAsia="zh-CN" w:bidi="ar-SA"/>
        </w:rPr>
        <w:id w:val="147475349"/>
        <w15:color w:val="DBDBDB"/>
        <w:docPartObj>
          <w:docPartGallery w:val="Table of Contents"/>
          <w:docPartUnique/>
        </w:docPartObj>
      </w:sdtPr>
      <w:sdtEndPr>
        <w:rPr>
          <w:rFonts w:hint="eastAsia" w:asciiTheme="minorEastAsia" w:hAnsiTheme="minorEastAsia" w:eastAsiaTheme="minorEastAsia" w:cstheme="minorEastAsia"/>
          <w:b/>
          <w:bCs/>
          <w:color w:val="auto"/>
          <w:kern w:val="0"/>
          <w:sz w:val="20"/>
          <w:szCs w:val="32"/>
          <w:highlight w:val="none"/>
          <w:lang w:val="en-US" w:eastAsia="zh-CN" w:bidi="ar-SA"/>
        </w:rPr>
      </w:sdtEndPr>
      <w:sdtContent>
        <w:p w14:paraId="231B48A2">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目录</w:t>
          </w:r>
        </w:p>
        <w:p w14:paraId="484DBFB0">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p>
        <w:p w14:paraId="012F5EDA">
          <w:pPr>
            <w:pStyle w:val="14"/>
            <w:tabs>
              <w:tab w:val="right" w:leader="hyphen" w:pos="8306"/>
            </w:tabs>
            <w:spacing w:line="360" w:lineRule="auto"/>
            <w:rPr>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_Toc22854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kern w:val="44"/>
              <w:sz w:val="28"/>
              <w:szCs w:val="28"/>
              <w:highlight w:val="none"/>
              <w:lang w:val="en-US" w:eastAsia="zh-CN" w:bidi="ar-SA"/>
            </w:rPr>
            <w:t xml:space="preserve">第一章 </w:t>
          </w:r>
          <w:r>
            <w:rPr>
              <w:rFonts w:hint="eastAsia" w:asciiTheme="minorEastAsia" w:hAnsiTheme="minorEastAsia" w:eastAsiaTheme="minorEastAsia" w:cstheme="minorEastAsia"/>
              <w:color w:val="auto"/>
              <w:sz w:val="28"/>
              <w:szCs w:val="28"/>
              <w:highlight w:val="none"/>
            </w:rPr>
            <w:t>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_Toc22854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rPr>
            <w:fldChar w:fldCharType="end"/>
          </w:r>
        </w:p>
        <w:p w14:paraId="4172C785">
          <w:pPr>
            <w:pStyle w:val="14"/>
            <w:tabs>
              <w:tab w:val="right" w:leader="hyphen" w:pos="8306"/>
            </w:tabs>
            <w:spacing w:line="360" w:lineRule="auto"/>
            <w:rPr>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_Toc17332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第二章 </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须知及前附表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_Toc17332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rPr>
            <w:fldChar w:fldCharType="end"/>
          </w:r>
        </w:p>
        <w:p w14:paraId="1EABDDA7">
          <w:pPr>
            <w:pStyle w:val="14"/>
            <w:tabs>
              <w:tab w:val="right" w:leader="hyphen" w:pos="8306"/>
            </w:tabs>
            <w:spacing w:line="360" w:lineRule="auto"/>
            <w:rPr>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第三章 评标办法</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_Toc9901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rPr>
            <w:fldChar w:fldCharType="end"/>
          </w:r>
        </w:p>
        <w:p w14:paraId="0945E172">
          <w:pPr>
            <w:pStyle w:val="14"/>
            <w:tabs>
              <w:tab w:val="right" w:leader="hyphen" w:pos="8306"/>
            </w:tabs>
            <w:spacing w:line="360" w:lineRule="auto"/>
            <w:rPr>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_Toc15332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_Toc15332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rPr>
            <w:fldChar w:fldCharType="end"/>
          </w:r>
        </w:p>
        <w:p w14:paraId="5DF8BAD4">
          <w:pPr>
            <w:pStyle w:val="14"/>
            <w:tabs>
              <w:tab w:val="right" w:leader="hyphen" w:pos="8306"/>
            </w:tabs>
            <w:spacing w:line="360" w:lineRule="auto"/>
            <w:rPr>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_Toc4872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kern w:val="44"/>
              <w:sz w:val="28"/>
              <w:szCs w:val="28"/>
              <w:highlight w:val="none"/>
              <w:lang w:val="en-US" w:eastAsia="zh-CN" w:bidi="ar-SA"/>
            </w:rPr>
            <w:t>第五章 技术服务清单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_Toc4872 \h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rPr>
            <w:fldChar w:fldCharType="end"/>
          </w:r>
        </w:p>
        <w:p w14:paraId="7DE3A6CE">
          <w:pPr>
            <w:pStyle w:val="14"/>
            <w:tabs>
              <w:tab w:val="right" w:leader="hyphen" w:pos="8306"/>
            </w:tabs>
            <w:spacing w:line="360" w:lineRule="auto"/>
            <w:rPr>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_Toc5556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第六章 技术标准和要求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_Toc5556 \h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rPr>
            <w:fldChar w:fldCharType="end"/>
          </w:r>
        </w:p>
        <w:p w14:paraId="1ABDAFF8">
          <w:pPr>
            <w:pStyle w:val="14"/>
            <w:tabs>
              <w:tab w:val="right" w:leader="hyphen" w:pos="8306"/>
            </w:tabs>
            <w:spacing w:line="360" w:lineRule="auto"/>
            <w:rPr>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_Toc20505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第七章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_Toc20505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rPr>
            <w:fldChar w:fldCharType="end"/>
          </w:r>
        </w:p>
        <w:p w14:paraId="5395EBA6">
          <w:pPr>
            <w:spacing w:line="360" w:lineRule="auto"/>
            <w:jc w:val="center"/>
            <w:rPr>
              <w:rFonts w:hint="eastAsia" w:asciiTheme="minorEastAsia" w:hAnsiTheme="minorEastAsia" w:eastAsiaTheme="minorEastAsia" w:cstheme="minorEastAsia"/>
              <w:bCs/>
              <w:color w:val="auto"/>
              <w:kern w:val="0"/>
              <w:sz w:val="20"/>
              <w:szCs w:val="32"/>
              <w:highlight w:val="none"/>
              <w:lang w:val="en-US" w:eastAsia="zh-CN" w:bidi="ar-SA"/>
            </w:rPr>
          </w:pPr>
          <w:r>
            <w:rPr>
              <w:rFonts w:hint="eastAsia" w:asciiTheme="minorEastAsia" w:hAnsiTheme="minorEastAsia" w:eastAsiaTheme="minorEastAsia" w:cstheme="minorEastAsia"/>
              <w:bCs/>
              <w:color w:val="auto"/>
              <w:sz w:val="28"/>
              <w:szCs w:val="28"/>
              <w:highlight w:val="none"/>
            </w:rPr>
            <w:fldChar w:fldCharType="end"/>
          </w:r>
        </w:p>
      </w:sdtContent>
    </w:sdt>
    <w:p w14:paraId="0CD9F76A">
      <w:pPr>
        <w:pStyle w:val="2"/>
        <w:numPr>
          <w:ilvl w:val="0"/>
          <w:numId w:val="0"/>
        </w:numPr>
        <w:bidi w:val="0"/>
        <w:rPr>
          <w:rFonts w:hint="eastAsia" w:asciiTheme="minorEastAsia" w:hAnsiTheme="minorEastAsia" w:eastAsiaTheme="minorEastAsia" w:cstheme="minorEastAsia"/>
          <w:color w:val="auto"/>
          <w:sz w:val="48"/>
          <w:szCs w:val="48"/>
          <w:highlight w:val="none"/>
        </w:rPr>
        <w:sectPr>
          <w:footerReference r:id="rId4" w:type="default"/>
          <w:pgSz w:w="11906" w:h="16838"/>
          <w:pgMar w:top="1440" w:right="1800" w:bottom="1440" w:left="1800" w:header="851" w:footer="992" w:gutter="0"/>
          <w:pgNumType w:fmt="decimal"/>
          <w:cols w:space="720" w:num="1"/>
          <w:docGrid w:type="lines" w:linePitch="312" w:charSpace="0"/>
        </w:sectPr>
      </w:pPr>
    </w:p>
    <w:p w14:paraId="6D947C40">
      <w:pPr>
        <w:pStyle w:val="2"/>
        <w:numPr>
          <w:ilvl w:val="0"/>
          <w:numId w:val="0"/>
        </w:numPr>
        <w:bidi w:val="0"/>
        <w:spacing w:line="360" w:lineRule="auto"/>
        <w:rPr>
          <w:rFonts w:hint="eastAsia" w:asciiTheme="minorEastAsia" w:hAnsiTheme="minorEastAsia" w:eastAsiaTheme="minorEastAsia" w:cstheme="minorEastAsia"/>
          <w:color w:val="auto"/>
          <w:highlight w:val="none"/>
        </w:rPr>
      </w:pPr>
      <w:bookmarkStart w:id="23" w:name="_Toc3772"/>
      <w:bookmarkStart w:id="24" w:name="_Toc22854"/>
      <w:bookmarkStart w:id="25" w:name="_Toc77586909"/>
      <w:r>
        <w:rPr>
          <w:rFonts w:hint="eastAsia" w:asciiTheme="minorEastAsia" w:hAnsiTheme="minorEastAsia" w:eastAsiaTheme="minorEastAsia" w:cstheme="minorEastAsia"/>
          <w:b/>
          <w:bCs/>
          <w:color w:val="auto"/>
          <w:kern w:val="44"/>
          <w:sz w:val="32"/>
          <w:szCs w:val="44"/>
          <w:highlight w:val="none"/>
          <w:lang w:val="en-US" w:eastAsia="zh-CN" w:bidi="ar-SA"/>
        </w:rPr>
        <w:t>第一章</w:t>
      </w:r>
      <w:r>
        <w:rPr>
          <w:rFonts w:hint="eastAsia" w:asciiTheme="minorEastAsia" w:hAnsiTheme="minorEastAsia" w:eastAsiaTheme="minorEastAsia" w:cstheme="minorEastAsia"/>
          <w:color w:val="auto"/>
          <w:highlight w:val="none"/>
        </w:rPr>
        <w:t>竞争性磋商公告</w:t>
      </w:r>
      <w:bookmarkEnd w:id="23"/>
      <w:bookmarkEnd w:id="24"/>
      <w:bookmarkEnd w:id="25"/>
    </w:p>
    <w:p w14:paraId="4489737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河南精开咨询有限公司</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eastAsia="zh-CN"/>
        </w:rPr>
        <w:t>灵宝市窄口库区事务中心</w:t>
      </w:r>
      <w:r>
        <w:rPr>
          <w:rFonts w:hint="eastAsia" w:asciiTheme="minorEastAsia" w:hAnsiTheme="minorEastAsia" w:eastAsiaTheme="minorEastAsia" w:cstheme="minorEastAsia"/>
          <w:color w:val="auto"/>
          <w:sz w:val="24"/>
          <w:szCs w:val="24"/>
          <w:highlight w:val="none"/>
        </w:rPr>
        <w:t>的委托，就</w:t>
      </w:r>
      <w:r>
        <w:rPr>
          <w:rFonts w:hint="eastAsia" w:asciiTheme="minorEastAsia" w:hAnsiTheme="minorEastAsia" w:eastAsiaTheme="minorEastAsia" w:cstheme="minorEastAsia"/>
          <w:color w:val="auto"/>
          <w:sz w:val="24"/>
          <w:szCs w:val="24"/>
          <w:highlight w:val="none"/>
          <w:lang w:eastAsia="zh-CN"/>
        </w:rPr>
        <w:t>灵宝市窄口库区事务中心窄口试点水库现代化运行管理矩阵建设项目</w:t>
      </w:r>
      <w:r>
        <w:rPr>
          <w:rFonts w:hint="eastAsia" w:asciiTheme="minorEastAsia" w:hAnsiTheme="minorEastAsia" w:eastAsiaTheme="minorEastAsia" w:cstheme="minorEastAsia"/>
          <w:color w:val="auto"/>
          <w:sz w:val="24"/>
          <w:szCs w:val="24"/>
          <w:highlight w:val="none"/>
        </w:rPr>
        <w:t>进行竞争性磋商，项目已具备招标条件，欢迎符合资格条件的供应商参加磋商。</w:t>
      </w:r>
    </w:p>
    <w:p w14:paraId="555391CF">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一、项目基本情况</w:t>
      </w:r>
    </w:p>
    <w:p w14:paraId="59FA1AA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1.项目名称：</w:t>
      </w:r>
      <w:r>
        <w:rPr>
          <w:rFonts w:hint="eastAsia" w:asciiTheme="minorEastAsia" w:hAnsiTheme="minorEastAsia" w:eastAsiaTheme="minorEastAsia" w:cstheme="minorEastAsia"/>
          <w:color w:val="auto"/>
          <w:sz w:val="24"/>
          <w:szCs w:val="24"/>
          <w:highlight w:val="none"/>
          <w:lang w:eastAsia="zh-CN"/>
        </w:rPr>
        <w:t>灵宝市窄口库区事务中心窄口试点水库现代化运行管理矩阵建设项目</w:t>
      </w:r>
    </w:p>
    <w:p w14:paraId="2CBCB9F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2.项目编号</w:t>
      </w:r>
      <w:r>
        <w:rPr>
          <w:rFonts w:hint="eastAsia" w:asciiTheme="minorEastAsia" w:hAnsiTheme="minorEastAsia" w:eastAsiaTheme="minorEastAsia" w:cstheme="minorEastAsia"/>
          <w:color w:val="auto"/>
          <w:sz w:val="24"/>
          <w:szCs w:val="24"/>
          <w:highlight w:val="none"/>
          <w:lang w:eastAsia="zh-CN"/>
        </w:rPr>
        <w:t>：灵宝竞磋采购-2025-119、LBGZ[2025]220-ZC163</w:t>
      </w:r>
    </w:p>
    <w:p w14:paraId="0CCEB91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3.采购方式：竞争性磋商</w:t>
      </w:r>
    </w:p>
    <w:p w14:paraId="0154D4B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4.预算金额：</w:t>
      </w:r>
      <w:r>
        <w:rPr>
          <w:rFonts w:hint="eastAsia" w:asciiTheme="minorEastAsia" w:hAnsiTheme="minorEastAsia" w:eastAsiaTheme="minorEastAsia" w:cstheme="minorEastAsia"/>
          <w:color w:val="auto"/>
          <w:sz w:val="24"/>
          <w:szCs w:val="24"/>
          <w:highlight w:val="none"/>
          <w:lang w:val="en-US" w:eastAsia="zh-CN"/>
        </w:rPr>
        <w:t>187.2</w:t>
      </w:r>
      <w:r>
        <w:rPr>
          <w:rFonts w:hint="eastAsia" w:asciiTheme="minorEastAsia" w:hAnsiTheme="minorEastAsia" w:eastAsiaTheme="minorEastAsia" w:cstheme="minorEastAsia"/>
          <w:color w:val="auto"/>
          <w:sz w:val="24"/>
          <w:szCs w:val="24"/>
          <w:highlight w:val="none"/>
          <w:lang w:eastAsia="zh-CN"/>
        </w:rPr>
        <w:t>万元</w:t>
      </w: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sz w:val="24"/>
          <w:szCs w:val="24"/>
          <w:highlight w:val="none"/>
          <w:lang w:val="en-US" w:eastAsia="zh-CN"/>
        </w:rPr>
        <w:t>187.2</w:t>
      </w:r>
      <w:r>
        <w:rPr>
          <w:rFonts w:hint="eastAsia" w:asciiTheme="minorEastAsia" w:hAnsiTheme="minorEastAsia" w:eastAsiaTheme="minorEastAsia" w:cstheme="minorEastAsia"/>
          <w:color w:val="auto"/>
          <w:sz w:val="24"/>
          <w:szCs w:val="24"/>
          <w:highlight w:val="none"/>
          <w:lang w:eastAsia="zh-CN"/>
        </w:rPr>
        <w:t>万元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789"/>
        <w:gridCol w:w="4053"/>
        <w:gridCol w:w="1406"/>
        <w:gridCol w:w="1514"/>
      </w:tblGrid>
      <w:tr w14:paraId="22A1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41216F8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789" w:type="dxa"/>
            <w:vAlign w:val="center"/>
          </w:tcPr>
          <w:p w14:paraId="2D02855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包号</w:t>
            </w:r>
          </w:p>
        </w:tc>
        <w:tc>
          <w:tcPr>
            <w:tcW w:w="4053" w:type="dxa"/>
            <w:vAlign w:val="center"/>
          </w:tcPr>
          <w:p w14:paraId="4E4F924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包名称</w:t>
            </w:r>
          </w:p>
        </w:tc>
        <w:tc>
          <w:tcPr>
            <w:tcW w:w="1406" w:type="dxa"/>
            <w:vAlign w:val="center"/>
          </w:tcPr>
          <w:p w14:paraId="414552A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包预算</w:t>
            </w:r>
          </w:p>
          <w:p w14:paraId="6E49B288">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（万元</w:t>
            </w:r>
            <w:r>
              <w:rPr>
                <w:rFonts w:hint="eastAsia" w:asciiTheme="minorEastAsia" w:hAnsiTheme="minorEastAsia" w:eastAsiaTheme="minorEastAsia" w:cstheme="minorEastAsia"/>
                <w:color w:val="auto"/>
                <w:sz w:val="24"/>
                <w:szCs w:val="24"/>
                <w:highlight w:val="none"/>
              </w:rPr>
              <w:t>）</w:t>
            </w:r>
          </w:p>
        </w:tc>
        <w:tc>
          <w:tcPr>
            <w:tcW w:w="1514" w:type="dxa"/>
            <w:vAlign w:val="center"/>
          </w:tcPr>
          <w:p w14:paraId="412E9BC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包最高限价</w:t>
            </w:r>
            <w:r>
              <w:rPr>
                <w:rFonts w:hint="eastAsia" w:asciiTheme="minorEastAsia" w:hAnsiTheme="minorEastAsia" w:eastAsiaTheme="minorEastAsia" w:cstheme="minorEastAsia"/>
                <w:color w:val="auto"/>
                <w:sz w:val="24"/>
                <w:szCs w:val="24"/>
                <w:highlight w:val="none"/>
                <w:lang w:eastAsia="zh-CN"/>
              </w:rPr>
              <w:t>（万元</w:t>
            </w:r>
            <w:r>
              <w:rPr>
                <w:rFonts w:hint="eastAsia" w:asciiTheme="minorEastAsia" w:hAnsiTheme="minorEastAsia" w:eastAsiaTheme="minorEastAsia" w:cstheme="minorEastAsia"/>
                <w:color w:val="auto"/>
                <w:sz w:val="24"/>
                <w:szCs w:val="24"/>
                <w:highlight w:val="none"/>
              </w:rPr>
              <w:t>）</w:t>
            </w:r>
          </w:p>
        </w:tc>
      </w:tr>
      <w:tr w14:paraId="527B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A9C23B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789" w:type="dxa"/>
            <w:vAlign w:val="center"/>
          </w:tcPr>
          <w:p w14:paraId="00E746C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01</w:t>
            </w:r>
          </w:p>
        </w:tc>
        <w:tc>
          <w:tcPr>
            <w:tcW w:w="4053" w:type="dxa"/>
            <w:vAlign w:val="center"/>
          </w:tcPr>
          <w:p w14:paraId="798AC9B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灵宝市窄口库区事务中心窄口试点水库现代化运行管理矩阵建设项目</w:t>
            </w:r>
          </w:p>
        </w:tc>
        <w:tc>
          <w:tcPr>
            <w:tcW w:w="1406" w:type="dxa"/>
            <w:vAlign w:val="center"/>
          </w:tcPr>
          <w:p w14:paraId="2B510CF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187.2</w:t>
            </w:r>
          </w:p>
        </w:tc>
        <w:tc>
          <w:tcPr>
            <w:tcW w:w="1514" w:type="dxa"/>
            <w:vAlign w:val="center"/>
          </w:tcPr>
          <w:p w14:paraId="774BB66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187.2</w:t>
            </w:r>
          </w:p>
        </w:tc>
      </w:tr>
    </w:tbl>
    <w:p w14:paraId="32A3170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5.采购需求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包括但不限于标的的名称、数量、简要技术需求或服务要求等）</w:t>
      </w:r>
    </w:p>
    <w:p w14:paraId="537F36F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5.1</w:t>
      </w:r>
      <w:r>
        <w:rPr>
          <w:rFonts w:hint="eastAsia" w:ascii="宋体" w:hAnsi="宋体" w:eastAsia="宋体" w:cs="宋体"/>
          <w:color w:val="auto"/>
          <w:sz w:val="24"/>
          <w:szCs w:val="24"/>
          <w:highlight w:val="none"/>
        </w:rPr>
        <w:t>采购内容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本项目为灵宝市窄口库区事务中心窄口试点水库现代化运行管理矩阵建设项目，主要包含：矩阵平台建设、数据底板及数字孪生效果建设、水利专业模型、现有系统集成与数据接入、硬件设备等；详见技术服务清单。</w:t>
      </w:r>
    </w:p>
    <w:p w14:paraId="5B57CA6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5.2资金来源：财政+自筹资金，已落实。</w:t>
      </w:r>
    </w:p>
    <w:p w14:paraId="6AAA962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5.3服务地点：采购人指定地点。</w:t>
      </w:r>
    </w:p>
    <w:p w14:paraId="71862B3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5.4服务要求：达到国家及相关行业合格标准及采购人要求。</w:t>
      </w:r>
    </w:p>
    <w:p w14:paraId="516E57A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5.5服务期：合同签订后60日历天内提交成果文件（包含部分的设备完成供货并安装、调试完毕至正常运行）；</w:t>
      </w:r>
    </w:p>
    <w:p w14:paraId="5B2B061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5.6系统保障运营期：一年；</w:t>
      </w:r>
    </w:p>
    <w:p w14:paraId="53E7BAC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5.7标段划分：本项目不分标段</w:t>
      </w:r>
    </w:p>
    <w:p w14:paraId="294B4E2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6、合同履行期限：按合同约定执行。</w:t>
      </w:r>
    </w:p>
    <w:p w14:paraId="738607C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7、本项目是否接受联合体投标：是</w:t>
      </w:r>
    </w:p>
    <w:p w14:paraId="02D5A19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8、是否接受进口产品：否</w:t>
      </w:r>
    </w:p>
    <w:p w14:paraId="027A0D5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9、是否专门面向中小企业：否</w:t>
      </w:r>
    </w:p>
    <w:p w14:paraId="032A0A54">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二、供应商资格条件</w:t>
      </w:r>
    </w:p>
    <w:p w14:paraId="23B8F06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1、满足《中华人民共和国政府采购法》第二十二条的规定并同时具备下列条件；</w:t>
      </w:r>
    </w:p>
    <w:p w14:paraId="5021FF5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2、落实政府采购政策满足的资格要求：</w:t>
      </w:r>
    </w:p>
    <w:p w14:paraId="3D06735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本项目非专门面向中小企业、监狱企业及残疾人福利性单位采购项目，执行促进中小型企业发展政策</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残疾人福利性企业、监狱企业视同小微企业）、优先采购节能环保产品等政府采购政策。</w:t>
      </w:r>
    </w:p>
    <w:p w14:paraId="62C8C5A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3.本项目的特定资格要求：</w:t>
      </w:r>
    </w:p>
    <w:p w14:paraId="6CAD58E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3.1供应商须具有独立法人资格，提供有效的营业执照（若为事业单位性质，须提供事业单位法人证书）和相关证明材料；</w:t>
      </w:r>
    </w:p>
    <w:p w14:paraId="046B241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、具有履行合同所必需的设备和专业技术能力</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 xml:space="preserve">自行作出承诺，格式自拟）； </w:t>
      </w:r>
    </w:p>
    <w:p w14:paraId="69ED647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、参加政府采购活动近三年内，在经营活动中没有重大违法记录</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自行作出承诺，格式自拟）</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 xml:space="preserve"> </w:t>
      </w:r>
    </w:p>
    <w:p w14:paraId="05B4C69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3.4、出具本单位无商业贿赂及无不正当竞争行为的承诺书</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自行作出承诺，格式自拟）</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 xml:space="preserve"> </w:t>
      </w:r>
    </w:p>
    <w:p w14:paraId="146A9E2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3.5、供应商出具无行贿犯罪记录在中国裁判文书网自行查询结果或自行承诺（查询/承诺对象：企业、法定代表人）</w:t>
      </w:r>
    </w:p>
    <w:p w14:paraId="1D727E8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3.6、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开标时间前截止，提供网站查询截图；同时，开标后由采购人或代理机构通过以上网站进行查询，信用信息查询记录和证据将同招标文件等资料一同归档保存。相关网站有最新规定的，按最新规定执行）。</w:t>
      </w:r>
    </w:p>
    <w:p w14:paraId="5D120D1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3.7、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起始日期为本项目公告发布之后，查询截止时间为开标时间同一时间）</w:t>
      </w:r>
    </w:p>
    <w:p w14:paraId="2B1A428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3.8、本项目接受联合体响应，但联合体成员不超过2个（如采用联合体响应必须明确联合体成员的职责分工），还应满足下列要求：</w:t>
      </w:r>
    </w:p>
    <w:p w14:paraId="5DFBC2E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（1）联合体各成员均须满足第3.1、3.2、3.3、3.4、3.5、3.6款要求。</w:t>
      </w:r>
    </w:p>
    <w:p w14:paraId="6A66AD9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（2）联合体各方必须签订联合体协议书，明确联合体的牵头人（联合体牵头人必须由承担矩阵平台建设任务的单位担任）；</w:t>
      </w:r>
    </w:p>
    <w:p w14:paraId="41DB260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联合体各成员应当共同与采购人签订合同，联合体牵头人代表联合体各方成员负责投标和合同实施阶段的主办、协调工作，但联合体其他成员在投标、签约与履行合同过程中，仍负有连带的和各自的法律责任；</w:t>
      </w:r>
    </w:p>
    <w:p w14:paraId="5138F50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（4）联合体各方签订联合体协议书后，不得再以自己的名义单独参与该项目投标，也不得组成新的联合体参与该项目的投标；</w:t>
      </w:r>
    </w:p>
    <w:p w14:paraId="4C33D14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（5）投标过程中除联合体协议书由各方签字盖章外，交易系统内等费用缴纳、文件下载、上传、签字、盖章等内容均由牵头人签署、办理。</w:t>
      </w:r>
    </w:p>
    <w:p w14:paraId="2B28A37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3.9、</w:t>
      </w:r>
      <w:r>
        <w:rPr>
          <w:rFonts w:hint="eastAsia" w:asciiTheme="minorEastAsia" w:hAnsiTheme="minorEastAsia" w:eastAsiaTheme="minorEastAsia" w:cstheme="minorEastAsia"/>
          <w:color w:val="auto"/>
          <w:kern w:val="0"/>
          <w:sz w:val="24"/>
          <w:szCs w:val="24"/>
          <w:highlight w:val="none"/>
        </w:rPr>
        <w:t>本次招标实行资格后审，资格审查的具体要求见竞争性磋商文件。</w:t>
      </w:r>
    </w:p>
    <w:p w14:paraId="4D8706D9">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三、竞争性磋商文件的获取方式</w:t>
      </w:r>
    </w:p>
    <w:p w14:paraId="061D478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1、竞争性磋商文件获取方式：本项目没有报名环节，供应商凭CA数字证书通过三门峡市公共资源交易中心网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网址：http://gzjy.smx.gov.cn/），点击交易平台选择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市场主体登录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，在所参与项目右侧点本项目竞争性磋商文件。</w:t>
      </w:r>
    </w:p>
    <w:p w14:paraId="0CAD74B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具体操作请查看以下链接：</w:t>
      </w:r>
    </w:p>
    <w:p w14:paraId="6AFBDAD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三门峡市公共资源交易平台操作手册：http://gzjy.smx.gov.cn/bzzx/008001/20200325/4a2f9fa3-b923-4ddd-bd6f-138a0b63f7d1.html</w:t>
      </w:r>
    </w:p>
    <w:p w14:paraId="030DFB2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办理CA证书：http://gzjy.smx.gov.cn/bzzx/008001/20211105/57b16af9-ab87-4395-a723-7758c628a3f8.html</w:t>
      </w:r>
    </w:p>
    <w:p w14:paraId="6D5F51A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注：根据《关于进一步加强公共资源交易管理持续优化营商环境的通知》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三公管办[2020]2号）文件的规定，本项目采用全电子化招标，不再收取竞争性磋商文件费</w:t>
      </w:r>
    </w:p>
    <w:p w14:paraId="682B37E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2、竞争性磋商文件下载时间：</w:t>
      </w:r>
      <w:r>
        <w:rPr>
          <w:rFonts w:hint="eastAsia" w:asciiTheme="minorEastAsia" w:hAnsiTheme="minorEastAsia" w:eastAsiaTheme="minorEastAsia" w:cstheme="minorEastAsia"/>
          <w:color w:val="auto"/>
          <w:sz w:val="24"/>
          <w:szCs w:val="24"/>
          <w:highlight w:val="none"/>
          <w:lang w:val="en-US" w:eastAsia="zh-CN"/>
        </w:rPr>
        <w:t>2025年8月9日至2025年8月19日08时30分</w:t>
      </w:r>
      <w:r>
        <w:rPr>
          <w:rFonts w:hint="eastAsia" w:asciiTheme="minorEastAsia" w:hAnsiTheme="minorEastAsia" w:eastAsiaTheme="minorEastAsia" w:cstheme="minorEastAsia"/>
          <w:color w:val="auto"/>
          <w:sz w:val="24"/>
          <w:szCs w:val="24"/>
          <w:highlight w:val="none"/>
        </w:rPr>
        <w:t>；</w:t>
      </w:r>
    </w:p>
    <w:p w14:paraId="5ED7E70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网址为http://120.194.249.36:10094/BidOpening/bidopeninghallaction/hall/login）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在线准时参加开标活动并进行响应性文件解密等。每位供应商的解密时间为开标时间起30分钟内完成。因供应商原因未能解密、解密失败或解密超时的将被拒绝。</w:t>
      </w:r>
    </w:p>
    <w:p w14:paraId="672E8A68">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四、磋商保证金</w:t>
      </w:r>
    </w:p>
    <w:p w14:paraId="2953832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根据《河南省财政厅关于优化政府采购营商环境有关问题的通知》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豫财购〔2019〕4号）第6条的规定，磋商保证金不再收取。</w:t>
      </w:r>
    </w:p>
    <w:p w14:paraId="06398268">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五、开标时间和地点</w:t>
      </w:r>
    </w:p>
    <w:p w14:paraId="613381F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1、开标时间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响应性文件递交截至时间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2025年8月19日08时30分</w:t>
      </w:r>
      <w:r>
        <w:rPr>
          <w:rFonts w:hint="eastAsia" w:asciiTheme="minorEastAsia" w:hAnsiTheme="minorEastAsia" w:eastAsiaTheme="minorEastAsia" w:cstheme="minorEastAsia"/>
          <w:color w:val="auto"/>
          <w:sz w:val="24"/>
          <w:szCs w:val="24"/>
          <w:highlight w:val="none"/>
        </w:rPr>
        <w:t>；</w:t>
      </w:r>
    </w:p>
    <w:p w14:paraId="3FADE55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2、开标地点：灵宝市公共资源交易中心</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室、评标</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室（</w:t>
      </w:r>
      <w:r>
        <w:rPr>
          <w:rFonts w:hint="eastAsia" w:asciiTheme="minorEastAsia" w:hAnsiTheme="minorEastAsia" w:eastAsiaTheme="minorEastAsia" w:cstheme="minorEastAsia"/>
          <w:color w:val="auto"/>
          <w:sz w:val="24"/>
          <w:szCs w:val="24"/>
          <w:highlight w:val="none"/>
        </w:rPr>
        <w:t>灵宝市金城大道农村信用联社12楼）。</w:t>
      </w:r>
    </w:p>
    <w:p w14:paraId="14CAE433">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其他事项</w:t>
      </w:r>
    </w:p>
    <w:p w14:paraId="1FA125F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1、本项目实行资格后审，根据优化营商环境的要求，评标时审查内容以投标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响应）文件为准。</w:t>
      </w:r>
    </w:p>
    <w:p w14:paraId="0856827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1）资格评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预）审部分：资格评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预）审以投标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响应）文件为准，其上传资料真实性由供应商自行承担。</w:t>
      </w:r>
    </w:p>
    <w:p w14:paraId="7B5EAC9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2）评标打分部分：评标打分部分仍按照100分制原则进行，涉及到资格审查、企业荣誉、人员业绩、企业业绩等计分部分时，以供应商自行上传到投标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响应）文件中的相应内容为准。</w:t>
      </w:r>
    </w:p>
    <w:p w14:paraId="7246F35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编制部分：在竞争性磋商文件中要求供应商按照投标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响应）文件格式进行</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编制，在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编制时，应明确将投标单位企业基本情况、资质情况、人员情况、财务情况、业绩情况编入</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，便于进行资格审查及评标打分以</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业绩信息为准，可使用电子营业执照。</w:t>
      </w:r>
    </w:p>
    <w:p w14:paraId="5E4EAE1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2、供应商递交的资料和投标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响应）文件不论成交与否均不予退还。</w:t>
      </w:r>
    </w:p>
    <w:p w14:paraId="3A235DE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3、本项目不组织供应商踏勘现场。</w:t>
      </w:r>
    </w:p>
    <w:p w14:paraId="385F589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4、供应商应仔细阅读操作手册，在本公告中要求的截止时间前完成竞争性磋商</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的上传工作。并充分考虑人为操作等因素，因供应商操作不当造成的无法投标等一切后果，由供应商自行承担。</w:t>
      </w:r>
    </w:p>
    <w:p w14:paraId="621688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本项目为电子化、无纸化交易项目，开标时不再接受任何纸质资料，为保证您能投标成功，请需仔细阅读竞争性磋商文件和三门峡市公共资源交易中心官网业务办理指南。</w:t>
      </w:r>
    </w:p>
    <w:p w14:paraId="647B79C1">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七、发布媒体</w:t>
      </w:r>
    </w:p>
    <w:p w14:paraId="1D56844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本次竞争性磋商公告在《</w:t>
      </w:r>
      <w:r>
        <w:rPr>
          <w:rFonts w:hint="eastAsia" w:asciiTheme="minorEastAsia" w:hAnsiTheme="minorEastAsia" w:eastAsiaTheme="minorEastAsia" w:cstheme="minorEastAsia"/>
          <w:color w:val="auto"/>
          <w:sz w:val="24"/>
          <w:szCs w:val="24"/>
          <w:highlight w:val="none"/>
          <w:lang w:val="en-US" w:eastAsia="zh-CN"/>
        </w:rPr>
        <w:t>中国</w:t>
      </w:r>
      <w:r>
        <w:rPr>
          <w:rFonts w:hint="eastAsia" w:asciiTheme="minorEastAsia" w:hAnsiTheme="minorEastAsia" w:eastAsiaTheme="minorEastAsia" w:cstheme="minorEastAsia"/>
          <w:color w:val="auto"/>
          <w:sz w:val="24"/>
          <w:szCs w:val="24"/>
          <w:highlight w:val="none"/>
        </w:rPr>
        <w:t>采购与招标网》、《河南省政府采购网》、《三门峡市公共资源交易中心网》上同时发布。</w:t>
      </w:r>
    </w:p>
    <w:p w14:paraId="6B2815C8">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八、凡对本次招标提出询问，请按照以下方式联系</w:t>
      </w:r>
    </w:p>
    <w:p w14:paraId="7ED1320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监督单位：灵宝市财政局政府采购监督管理科</w:t>
      </w:r>
    </w:p>
    <w:p w14:paraId="236A974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联系电话：0398-8852670</w:t>
      </w:r>
    </w:p>
    <w:p w14:paraId="2D4C093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监督单位：中 共灵宝市窄口库区事务中心党组</w:t>
      </w:r>
    </w:p>
    <w:p w14:paraId="2C70631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联系电话：0398-6936101</w:t>
      </w:r>
    </w:p>
    <w:p w14:paraId="4E975D1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灵宝市窄口库区事务中心</w:t>
      </w:r>
    </w:p>
    <w:p w14:paraId="27D454A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地址：灵宝市五亩乡长桥村南窄口水库</w:t>
      </w:r>
    </w:p>
    <w:p w14:paraId="37D9566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李女士</w:t>
      </w:r>
      <w:r>
        <w:rPr>
          <w:rFonts w:hint="eastAsia" w:asciiTheme="minorEastAsia" w:hAnsiTheme="minorEastAsia" w:eastAsiaTheme="minorEastAsia" w:cstheme="minorEastAsia"/>
          <w:color w:val="auto"/>
          <w:sz w:val="24"/>
          <w:szCs w:val="24"/>
          <w:highlight w:val="none"/>
        </w:rPr>
        <w:t xml:space="preserve"> </w:t>
      </w:r>
    </w:p>
    <w:p w14:paraId="1B121F6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联系</w:t>
      </w: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0398-6936106</w:t>
      </w:r>
    </w:p>
    <w:p w14:paraId="5E532A5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代理机构:河南精开咨询有限公司</w:t>
      </w:r>
    </w:p>
    <w:p w14:paraId="489CC8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地址：三门峡市经济开发区分陕路与北环路交叉口向西200米开发区双创园B栋306</w:t>
      </w:r>
    </w:p>
    <w:p w14:paraId="68CD16C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联系人：张先生</w:t>
      </w:r>
    </w:p>
    <w:p w14:paraId="11AF4D9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联系</w:t>
      </w:r>
      <w:r>
        <w:rPr>
          <w:rFonts w:hint="eastAsia" w:asciiTheme="minorEastAsia" w:hAnsiTheme="minorEastAsia" w:eastAsiaTheme="minorEastAsia" w:cstheme="minorEastAsia"/>
          <w:color w:val="auto"/>
          <w:sz w:val="24"/>
          <w:szCs w:val="24"/>
          <w:highlight w:val="none"/>
        </w:rPr>
        <w:t>电话：13939853038</w:t>
      </w:r>
    </w:p>
    <w:p w14:paraId="7FD4E89E">
      <w:pPr>
        <w:keepNext w:val="0"/>
        <w:keepLines w:val="0"/>
        <w:pageBreakBefore w:val="0"/>
        <w:kinsoku/>
        <w:wordWrap/>
        <w:overflowPunct/>
        <w:topLinePunct w:val="0"/>
        <w:autoSpaceDE/>
        <w:autoSpaceDN/>
        <w:bidi w:val="0"/>
        <w:spacing w:after="0"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br w:type="page"/>
      </w:r>
    </w:p>
    <w:p w14:paraId="22AD3481">
      <w:pPr>
        <w:pStyle w:val="2"/>
        <w:bidi w:val="0"/>
        <w:spacing w:line="240" w:lineRule="auto"/>
        <w:jc w:val="center"/>
        <w:rPr>
          <w:rFonts w:hint="eastAsia" w:asciiTheme="minorEastAsia" w:hAnsiTheme="minorEastAsia" w:eastAsiaTheme="minorEastAsia" w:cstheme="minorEastAsia"/>
          <w:b/>
          <w:bCs/>
          <w:color w:val="auto"/>
          <w:szCs w:val="32"/>
          <w:highlight w:val="none"/>
        </w:rPr>
      </w:pPr>
      <w:bookmarkStart w:id="26" w:name="_Toc77586910"/>
      <w:bookmarkStart w:id="27" w:name="_Toc17890"/>
      <w:bookmarkStart w:id="28" w:name="_Toc17332"/>
      <w:r>
        <w:rPr>
          <w:rFonts w:hint="eastAsia" w:asciiTheme="minorEastAsia" w:hAnsiTheme="minorEastAsia" w:eastAsiaTheme="minorEastAsia" w:cstheme="minorEastAsia"/>
          <w:color w:val="auto"/>
          <w:highlight w:val="none"/>
        </w:rPr>
        <w:t xml:space="preserve">第二章  </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须知及前附表</w:t>
      </w:r>
      <w:bookmarkEnd w:id="26"/>
      <w:bookmarkEnd w:id="27"/>
      <w:bookmarkEnd w:id="28"/>
      <w:bookmarkStart w:id="29" w:name="_Toc240169682"/>
      <w:bookmarkEnd w:id="29"/>
    </w:p>
    <w:p w14:paraId="3315887D">
      <w:pPr>
        <w:spacing w:line="240" w:lineRule="auto"/>
        <w:ind w:firstLine="482" w:firstLineChars="200"/>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须知前附表</w:t>
      </w:r>
    </w:p>
    <w:tbl>
      <w:tblPr>
        <w:tblStyle w:val="20"/>
        <w:tblW w:w="8818" w:type="dxa"/>
        <w:jc w:val="center"/>
        <w:tblLayout w:type="fixed"/>
        <w:tblCellMar>
          <w:top w:w="0" w:type="dxa"/>
          <w:left w:w="108" w:type="dxa"/>
          <w:bottom w:w="0" w:type="dxa"/>
          <w:right w:w="108" w:type="dxa"/>
        </w:tblCellMar>
      </w:tblPr>
      <w:tblGrid>
        <w:gridCol w:w="1008"/>
        <w:gridCol w:w="1920"/>
        <w:gridCol w:w="5890"/>
      </w:tblGrid>
      <w:tr w14:paraId="33D045EA">
        <w:trPr>
          <w:trHeight w:val="43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B81AAE4">
            <w:pPr>
              <w:keepNext w:val="0"/>
              <w:keepLines w:val="0"/>
              <w:pageBreakBefore w:val="0"/>
              <w:widowControl/>
              <w:kinsoku/>
              <w:wordWrap/>
              <w:overflowPunct/>
              <w:topLinePunct w:val="0"/>
              <w:autoSpaceDE w:val="0"/>
              <w:autoSpaceDN w:val="0"/>
              <w:bidi w:val="0"/>
              <w:adjustRightInd w:val="0"/>
              <w:spacing w:after="0"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1920" w:type="dxa"/>
            <w:tcBorders>
              <w:top w:val="single" w:color="auto" w:sz="4" w:space="0"/>
              <w:left w:val="nil"/>
              <w:bottom w:val="single" w:color="auto" w:sz="4" w:space="0"/>
              <w:right w:val="single" w:color="auto" w:sz="4" w:space="0"/>
            </w:tcBorders>
            <w:vAlign w:val="center"/>
          </w:tcPr>
          <w:p w14:paraId="4DAB598C">
            <w:pPr>
              <w:keepNext w:val="0"/>
              <w:keepLines w:val="0"/>
              <w:pageBreakBefore w:val="0"/>
              <w:widowControl/>
              <w:kinsoku/>
              <w:wordWrap/>
              <w:overflowPunct/>
              <w:topLinePunct w:val="0"/>
              <w:autoSpaceDE w:val="0"/>
              <w:autoSpaceDN w:val="0"/>
              <w:bidi w:val="0"/>
              <w:adjustRightInd w:val="0"/>
              <w:spacing w:after="0"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 款 名 称</w:t>
            </w:r>
          </w:p>
        </w:tc>
        <w:tc>
          <w:tcPr>
            <w:tcW w:w="5890" w:type="dxa"/>
            <w:tcBorders>
              <w:top w:val="single" w:color="auto" w:sz="4" w:space="0"/>
              <w:left w:val="nil"/>
              <w:bottom w:val="single" w:color="auto" w:sz="4" w:space="0"/>
              <w:right w:val="single" w:color="auto" w:sz="4" w:space="0"/>
            </w:tcBorders>
            <w:vAlign w:val="center"/>
          </w:tcPr>
          <w:p w14:paraId="4EC226F0">
            <w:pPr>
              <w:keepNext w:val="0"/>
              <w:keepLines w:val="0"/>
              <w:pageBreakBefore w:val="0"/>
              <w:widowControl/>
              <w:kinsoku/>
              <w:wordWrap/>
              <w:overflowPunct/>
              <w:topLinePunct w:val="0"/>
              <w:autoSpaceDE w:val="0"/>
              <w:autoSpaceDN w:val="0"/>
              <w:bidi w:val="0"/>
              <w:adjustRightInd w:val="0"/>
              <w:spacing w:after="0"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  列  内  容</w:t>
            </w:r>
          </w:p>
        </w:tc>
      </w:tr>
      <w:tr w14:paraId="18810EAC">
        <w:tblPrEx>
          <w:tblCellMar>
            <w:top w:w="0" w:type="dxa"/>
            <w:left w:w="108" w:type="dxa"/>
            <w:bottom w:w="0" w:type="dxa"/>
            <w:right w:w="108" w:type="dxa"/>
          </w:tblCellMar>
        </w:tblPrEx>
        <w:trPr>
          <w:trHeight w:val="13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2B5AAD4">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920" w:type="dxa"/>
            <w:tcBorders>
              <w:top w:val="single" w:color="auto" w:sz="4" w:space="0"/>
              <w:left w:val="nil"/>
              <w:bottom w:val="single" w:color="auto" w:sz="4" w:space="0"/>
              <w:right w:val="single" w:color="auto" w:sz="4" w:space="0"/>
            </w:tcBorders>
            <w:vAlign w:val="center"/>
          </w:tcPr>
          <w:p w14:paraId="35C9583F">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采购人</w:t>
            </w:r>
          </w:p>
        </w:tc>
        <w:tc>
          <w:tcPr>
            <w:tcW w:w="5890" w:type="dxa"/>
            <w:tcBorders>
              <w:top w:val="single" w:color="auto" w:sz="4" w:space="0"/>
              <w:left w:val="nil"/>
              <w:bottom w:val="single" w:color="auto" w:sz="4" w:space="0"/>
              <w:right w:val="single" w:color="auto" w:sz="4" w:space="0"/>
            </w:tcBorders>
            <w:vAlign w:val="center"/>
          </w:tcPr>
          <w:p w14:paraId="642AF620">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采购人：灵宝市窄口库区事务中心</w:t>
            </w:r>
          </w:p>
          <w:p w14:paraId="3E08B750">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地址：灵宝市五亩乡长桥村南窄口水库</w:t>
            </w:r>
          </w:p>
          <w:p w14:paraId="47E36351">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联系人：</w:t>
            </w:r>
            <w:r>
              <w:rPr>
                <w:rFonts w:hint="eastAsia" w:asciiTheme="minorEastAsia" w:hAnsiTheme="minorEastAsia" w:eastAsiaTheme="minorEastAsia" w:cstheme="minorEastAsia"/>
                <w:color w:val="auto"/>
                <w:sz w:val="24"/>
                <w:szCs w:val="24"/>
                <w:highlight w:val="none"/>
                <w:lang w:val="en-US" w:eastAsia="zh-CN"/>
              </w:rPr>
              <w:t>李女士</w:t>
            </w:r>
            <w:r>
              <w:rPr>
                <w:rFonts w:hint="eastAsia" w:asciiTheme="minorEastAsia" w:hAnsiTheme="minorEastAsia" w:eastAsiaTheme="minorEastAsia" w:cstheme="minorEastAsia"/>
                <w:color w:val="auto"/>
                <w:sz w:val="24"/>
                <w:szCs w:val="24"/>
                <w:highlight w:val="none"/>
                <w:lang w:eastAsia="zh-CN"/>
              </w:rPr>
              <w:t xml:space="preserve"> </w:t>
            </w:r>
          </w:p>
          <w:p w14:paraId="4EC2351D">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联系</w:t>
            </w:r>
            <w:r>
              <w:rPr>
                <w:rFonts w:hint="eastAsia" w:asciiTheme="minorEastAsia" w:hAnsiTheme="minorEastAsia" w:eastAsiaTheme="minorEastAsia" w:cstheme="minorEastAsia"/>
                <w:color w:val="auto"/>
                <w:sz w:val="24"/>
                <w:szCs w:val="24"/>
                <w:highlight w:val="none"/>
                <w:lang w:eastAsia="zh-CN"/>
              </w:rPr>
              <w:t>电话：0398-6936106</w:t>
            </w:r>
          </w:p>
        </w:tc>
      </w:tr>
      <w:tr w14:paraId="2B26481F">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14:paraId="31610AFC">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920" w:type="dxa"/>
            <w:tcBorders>
              <w:top w:val="single" w:color="auto" w:sz="4" w:space="0"/>
              <w:left w:val="nil"/>
              <w:bottom w:val="single" w:color="auto" w:sz="4" w:space="0"/>
              <w:right w:val="single" w:color="auto" w:sz="4" w:space="0"/>
            </w:tcBorders>
            <w:vAlign w:val="center"/>
          </w:tcPr>
          <w:p w14:paraId="1ECE5CD9">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代理机构</w:t>
            </w:r>
          </w:p>
        </w:tc>
        <w:tc>
          <w:tcPr>
            <w:tcW w:w="5890" w:type="dxa"/>
            <w:tcBorders>
              <w:top w:val="single" w:color="auto" w:sz="4" w:space="0"/>
              <w:left w:val="nil"/>
              <w:bottom w:val="single" w:color="auto" w:sz="4" w:space="0"/>
              <w:right w:val="single" w:color="auto" w:sz="4" w:space="0"/>
            </w:tcBorders>
            <w:vAlign w:val="center"/>
          </w:tcPr>
          <w:p w14:paraId="5EC10353">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代理机构:河南精开咨询有限公司</w:t>
            </w:r>
          </w:p>
          <w:p w14:paraId="0F6A1EAC">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地址：三门峡市经济开发区分陕路与北环路交叉口向西200米开发区双创园B栋306</w:t>
            </w:r>
          </w:p>
          <w:p w14:paraId="28FAA641">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联系人：张先生</w:t>
            </w:r>
          </w:p>
          <w:p w14:paraId="3D870211">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联系</w:t>
            </w:r>
            <w:r>
              <w:rPr>
                <w:rFonts w:hint="eastAsia" w:asciiTheme="minorEastAsia" w:hAnsiTheme="minorEastAsia" w:eastAsiaTheme="minorEastAsia" w:cstheme="minorEastAsia"/>
                <w:color w:val="auto"/>
                <w:sz w:val="24"/>
                <w:szCs w:val="24"/>
                <w:highlight w:val="none"/>
                <w:lang w:eastAsia="zh-CN"/>
              </w:rPr>
              <w:t>电话：13939853038</w:t>
            </w:r>
          </w:p>
        </w:tc>
      </w:tr>
      <w:tr w14:paraId="79DC7E2E">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024A9AB">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920" w:type="dxa"/>
            <w:tcBorders>
              <w:top w:val="single" w:color="auto" w:sz="4" w:space="0"/>
              <w:left w:val="nil"/>
              <w:bottom w:val="single" w:color="auto" w:sz="4" w:space="0"/>
              <w:right w:val="single" w:color="auto" w:sz="4" w:space="0"/>
            </w:tcBorders>
            <w:vAlign w:val="center"/>
          </w:tcPr>
          <w:p w14:paraId="15FBDEE4">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5890" w:type="dxa"/>
            <w:tcBorders>
              <w:top w:val="single" w:color="auto" w:sz="4" w:space="0"/>
              <w:left w:val="nil"/>
              <w:bottom w:val="single" w:color="auto" w:sz="4" w:space="0"/>
              <w:right w:val="single" w:color="auto" w:sz="4" w:space="0"/>
            </w:tcBorders>
            <w:vAlign w:val="center"/>
          </w:tcPr>
          <w:p w14:paraId="75453C31">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灵宝市窄口库区事务中心窄口试点水库现代化运行管理矩阵建设项目</w:t>
            </w:r>
          </w:p>
        </w:tc>
      </w:tr>
      <w:tr w14:paraId="541F2F5C">
        <w:tblPrEx>
          <w:tblCellMar>
            <w:top w:w="0" w:type="dxa"/>
            <w:left w:w="108" w:type="dxa"/>
            <w:bottom w:w="0" w:type="dxa"/>
            <w:right w:w="108" w:type="dxa"/>
          </w:tblCellMar>
        </w:tblPrEx>
        <w:trPr>
          <w:trHeight w:val="5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4496BF2">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920" w:type="dxa"/>
            <w:tcBorders>
              <w:top w:val="single" w:color="auto" w:sz="4" w:space="0"/>
              <w:left w:val="nil"/>
              <w:bottom w:val="single" w:color="auto" w:sz="4" w:space="0"/>
              <w:right w:val="single" w:color="auto" w:sz="4" w:space="0"/>
            </w:tcBorders>
            <w:vAlign w:val="center"/>
          </w:tcPr>
          <w:p w14:paraId="12942388">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tc>
        <w:tc>
          <w:tcPr>
            <w:tcW w:w="5890" w:type="dxa"/>
            <w:tcBorders>
              <w:top w:val="single" w:color="auto" w:sz="4" w:space="0"/>
              <w:left w:val="nil"/>
              <w:bottom w:val="single" w:color="auto" w:sz="4" w:space="0"/>
              <w:right w:val="single" w:color="auto" w:sz="4" w:space="0"/>
            </w:tcBorders>
            <w:vAlign w:val="center"/>
          </w:tcPr>
          <w:p w14:paraId="08A226C4">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cs="Calibri" w:asciiTheme="minorEastAsia" w:hAnsiTheme="minorEastAsia" w:eastAsiaTheme="minorEastAsia"/>
                <w:color w:val="auto"/>
                <w:sz w:val="24"/>
                <w:szCs w:val="24"/>
                <w:highlight w:val="none"/>
                <w:lang w:val="en-US" w:eastAsia="zh-CN"/>
              </w:rPr>
              <w:t>详见第一章“竞争性磋商公告”</w:t>
            </w:r>
          </w:p>
        </w:tc>
      </w:tr>
      <w:tr w14:paraId="68DBCD06">
        <w:tblPrEx>
          <w:tblCellMar>
            <w:top w:w="0" w:type="dxa"/>
            <w:left w:w="108" w:type="dxa"/>
            <w:bottom w:w="0" w:type="dxa"/>
            <w:right w:w="108" w:type="dxa"/>
          </w:tblCellMar>
        </w:tblPrEx>
        <w:trPr>
          <w:trHeight w:val="50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1DE9FDA3">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920" w:type="dxa"/>
            <w:tcBorders>
              <w:top w:val="single" w:color="auto" w:sz="4" w:space="0"/>
              <w:left w:val="nil"/>
              <w:bottom w:val="single" w:color="auto" w:sz="4" w:space="0"/>
              <w:right w:val="single" w:color="auto" w:sz="4" w:space="0"/>
            </w:tcBorders>
            <w:vAlign w:val="center"/>
          </w:tcPr>
          <w:p w14:paraId="780057A5">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资金来源及落实情况</w:t>
            </w:r>
          </w:p>
        </w:tc>
        <w:tc>
          <w:tcPr>
            <w:tcW w:w="5890" w:type="dxa"/>
            <w:tcBorders>
              <w:top w:val="single" w:color="auto" w:sz="4" w:space="0"/>
              <w:left w:val="nil"/>
              <w:bottom w:val="single" w:color="auto" w:sz="4" w:space="0"/>
              <w:right w:val="single" w:color="auto" w:sz="4" w:space="0"/>
            </w:tcBorders>
            <w:vAlign w:val="center"/>
          </w:tcPr>
          <w:p w14:paraId="2AA4A21E">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cs="Calibri" w:asciiTheme="minorEastAsia" w:hAnsiTheme="minorEastAsia" w:eastAsiaTheme="minorEastAsia"/>
                <w:color w:val="auto"/>
                <w:sz w:val="24"/>
                <w:szCs w:val="24"/>
                <w:highlight w:val="none"/>
                <w:lang w:val="en-US" w:eastAsia="zh-CN"/>
              </w:rPr>
              <w:t>详见第一章“竞争性磋商公告”</w:t>
            </w:r>
          </w:p>
        </w:tc>
      </w:tr>
      <w:tr w14:paraId="533F680B">
        <w:tblPrEx>
          <w:tblCellMar>
            <w:top w:w="0" w:type="dxa"/>
            <w:left w:w="108" w:type="dxa"/>
            <w:bottom w:w="0" w:type="dxa"/>
            <w:right w:w="108" w:type="dxa"/>
          </w:tblCellMar>
        </w:tblPrEx>
        <w:trPr>
          <w:trHeight w:val="38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308C650">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920" w:type="dxa"/>
            <w:tcBorders>
              <w:top w:val="single" w:color="auto" w:sz="4" w:space="0"/>
              <w:left w:val="nil"/>
              <w:bottom w:val="single" w:color="auto" w:sz="4" w:space="0"/>
              <w:right w:val="single" w:color="auto" w:sz="4" w:space="0"/>
            </w:tcBorders>
            <w:vAlign w:val="center"/>
          </w:tcPr>
          <w:p w14:paraId="5447A73C">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p>
        </w:tc>
        <w:tc>
          <w:tcPr>
            <w:tcW w:w="5890" w:type="dxa"/>
            <w:tcBorders>
              <w:top w:val="single" w:color="auto" w:sz="4" w:space="0"/>
              <w:left w:val="nil"/>
              <w:bottom w:val="single" w:color="auto" w:sz="4" w:space="0"/>
              <w:right w:val="single" w:color="auto" w:sz="4" w:space="0"/>
            </w:tcBorders>
            <w:vAlign w:val="center"/>
          </w:tcPr>
          <w:p w14:paraId="5D77156B">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cs="Calibri" w:asciiTheme="minorEastAsia" w:hAnsiTheme="minorEastAsia" w:eastAsiaTheme="minorEastAsia"/>
                <w:color w:val="auto"/>
                <w:sz w:val="24"/>
                <w:szCs w:val="24"/>
                <w:highlight w:val="none"/>
                <w:lang w:val="en-US" w:eastAsia="zh-CN"/>
              </w:rPr>
              <w:t>详见第一章“竞争性磋商公告”</w:t>
            </w:r>
          </w:p>
        </w:tc>
      </w:tr>
      <w:tr w14:paraId="6F270ED8">
        <w:tblPrEx>
          <w:tblCellMar>
            <w:top w:w="0" w:type="dxa"/>
            <w:left w:w="108" w:type="dxa"/>
            <w:bottom w:w="0" w:type="dxa"/>
            <w:right w:w="108" w:type="dxa"/>
          </w:tblCellMar>
        </w:tblPrEx>
        <w:trPr>
          <w:trHeight w:val="93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E56E13A">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920" w:type="dxa"/>
            <w:tcBorders>
              <w:top w:val="single" w:color="auto" w:sz="4" w:space="0"/>
              <w:left w:val="nil"/>
              <w:bottom w:val="single" w:color="auto" w:sz="4" w:space="0"/>
              <w:right w:val="single" w:color="auto" w:sz="4" w:space="0"/>
            </w:tcBorders>
            <w:vAlign w:val="center"/>
          </w:tcPr>
          <w:p w14:paraId="2E641FD4">
            <w:pPr>
              <w:keepNext w:val="0"/>
              <w:keepLines w:val="0"/>
              <w:pageBreakBefore w:val="0"/>
              <w:widowControl/>
              <w:kinsoku/>
              <w:wordWrap/>
              <w:overflowPunct/>
              <w:topLinePunct w:val="0"/>
              <w:bidi w:val="0"/>
              <w:snapToGrid/>
              <w:spacing w:after="0"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采购范围</w:t>
            </w:r>
          </w:p>
        </w:tc>
        <w:tc>
          <w:tcPr>
            <w:tcW w:w="5890" w:type="dxa"/>
            <w:tcBorders>
              <w:top w:val="single" w:color="auto" w:sz="4" w:space="0"/>
              <w:left w:val="nil"/>
              <w:bottom w:val="single" w:color="auto" w:sz="4" w:space="0"/>
              <w:right w:val="single" w:color="auto" w:sz="4" w:space="0"/>
            </w:tcBorders>
            <w:vAlign w:val="center"/>
          </w:tcPr>
          <w:p w14:paraId="5FF39E07">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本项目竞争性磋商文件、</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清单等列明的所有内容；</w:t>
            </w:r>
          </w:p>
        </w:tc>
      </w:tr>
      <w:tr w14:paraId="0A2E024A">
        <w:tblPrEx>
          <w:tblCellMar>
            <w:top w:w="0" w:type="dxa"/>
            <w:left w:w="108" w:type="dxa"/>
            <w:bottom w:w="0" w:type="dxa"/>
            <w:right w:w="108" w:type="dxa"/>
          </w:tblCellMar>
        </w:tblPrEx>
        <w:trPr>
          <w:trHeight w:val="54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6FEB77C">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1920" w:type="dxa"/>
            <w:tcBorders>
              <w:top w:val="single" w:color="auto" w:sz="4" w:space="0"/>
              <w:left w:val="nil"/>
              <w:bottom w:val="single" w:color="auto" w:sz="4" w:space="0"/>
              <w:right w:val="single" w:color="auto" w:sz="4" w:space="0"/>
            </w:tcBorders>
            <w:vAlign w:val="center"/>
          </w:tcPr>
          <w:p w14:paraId="2BD6F7B0">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eastAsia="zh-CN"/>
              </w:rPr>
              <w:t>期</w:t>
            </w:r>
          </w:p>
        </w:tc>
        <w:tc>
          <w:tcPr>
            <w:tcW w:w="5890" w:type="dxa"/>
            <w:tcBorders>
              <w:top w:val="single" w:color="auto" w:sz="4" w:space="0"/>
              <w:left w:val="nil"/>
              <w:bottom w:val="single" w:color="auto" w:sz="4" w:space="0"/>
              <w:right w:val="single" w:color="auto" w:sz="4" w:space="0"/>
            </w:tcBorders>
            <w:vAlign w:val="center"/>
          </w:tcPr>
          <w:p w14:paraId="01880C25">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cs="Calibri" w:asciiTheme="minorEastAsia" w:hAnsiTheme="minorEastAsia" w:eastAsiaTheme="minorEastAsia"/>
                <w:color w:val="auto"/>
                <w:sz w:val="24"/>
                <w:szCs w:val="24"/>
                <w:highlight w:val="none"/>
                <w:lang w:val="en-US" w:eastAsia="zh-CN"/>
              </w:rPr>
              <w:t>详见第一章“竞争性磋商公告”</w:t>
            </w:r>
          </w:p>
        </w:tc>
      </w:tr>
      <w:tr w14:paraId="5FD2874B">
        <w:tblPrEx>
          <w:tblCellMar>
            <w:top w:w="0" w:type="dxa"/>
            <w:left w:w="108" w:type="dxa"/>
            <w:bottom w:w="0" w:type="dxa"/>
            <w:right w:w="108" w:type="dxa"/>
          </w:tblCellMar>
        </w:tblPrEx>
        <w:trPr>
          <w:trHeight w:val="5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3A5D23A">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1920" w:type="dxa"/>
            <w:tcBorders>
              <w:top w:val="single" w:color="auto" w:sz="4" w:space="0"/>
              <w:left w:val="nil"/>
              <w:bottom w:val="single" w:color="auto" w:sz="4" w:space="0"/>
              <w:right w:val="single" w:color="auto" w:sz="4" w:space="0"/>
            </w:tcBorders>
            <w:vAlign w:val="center"/>
          </w:tcPr>
          <w:p w14:paraId="30D32542">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要求</w:t>
            </w:r>
          </w:p>
        </w:tc>
        <w:tc>
          <w:tcPr>
            <w:tcW w:w="5890" w:type="dxa"/>
            <w:tcBorders>
              <w:top w:val="single" w:color="auto" w:sz="4" w:space="0"/>
              <w:left w:val="nil"/>
              <w:bottom w:val="single" w:color="auto" w:sz="4" w:space="0"/>
              <w:right w:val="single" w:color="auto" w:sz="4" w:space="0"/>
            </w:tcBorders>
            <w:vAlign w:val="center"/>
          </w:tcPr>
          <w:p w14:paraId="5CC61B0F">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cs="Calibri" w:asciiTheme="minorEastAsia" w:hAnsiTheme="minorEastAsia" w:eastAsiaTheme="minorEastAsia"/>
                <w:color w:val="auto"/>
                <w:sz w:val="24"/>
                <w:szCs w:val="24"/>
                <w:highlight w:val="none"/>
                <w:lang w:val="en-US" w:eastAsia="zh-CN"/>
              </w:rPr>
              <w:t>详见第一章“竞争性磋商公告”</w:t>
            </w:r>
          </w:p>
        </w:tc>
      </w:tr>
      <w:tr w14:paraId="48BEF1D0">
        <w:tblPrEx>
          <w:tblCellMar>
            <w:top w:w="0" w:type="dxa"/>
            <w:left w:w="108" w:type="dxa"/>
            <w:bottom w:w="0" w:type="dxa"/>
            <w:right w:w="108" w:type="dxa"/>
          </w:tblCellMar>
        </w:tblPrEx>
        <w:trPr>
          <w:trHeight w:val="5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BEFD650">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w:t>
            </w:r>
          </w:p>
        </w:tc>
        <w:tc>
          <w:tcPr>
            <w:tcW w:w="1920" w:type="dxa"/>
            <w:tcBorders>
              <w:top w:val="single" w:color="auto" w:sz="4" w:space="0"/>
              <w:left w:val="nil"/>
              <w:bottom w:val="single" w:color="auto" w:sz="4" w:space="0"/>
              <w:right w:val="single" w:color="auto" w:sz="4" w:space="0"/>
            </w:tcBorders>
            <w:vAlign w:val="center"/>
          </w:tcPr>
          <w:p w14:paraId="326AD12A">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安全目标</w:t>
            </w:r>
          </w:p>
        </w:tc>
        <w:tc>
          <w:tcPr>
            <w:tcW w:w="5890" w:type="dxa"/>
            <w:tcBorders>
              <w:top w:val="single" w:color="auto" w:sz="4" w:space="0"/>
              <w:left w:val="nil"/>
              <w:bottom w:val="single" w:color="auto" w:sz="4" w:space="0"/>
              <w:right w:val="single" w:color="auto" w:sz="4" w:space="0"/>
            </w:tcBorders>
            <w:vAlign w:val="center"/>
          </w:tcPr>
          <w:p w14:paraId="6BC1C25D">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确保不发生有人员伤亡的安全责任事故</w:t>
            </w:r>
          </w:p>
        </w:tc>
      </w:tr>
      <w:tr w14:paraId="2D4BD385">
        <w:tblPrEx>
          <w:tblCellMar>
            <w:top w:w="0" w:type="dxa"/>
            <w:left w:w="108" w:type="dxa"/>
            <w:bottom w:w="0" w:type="dxa"/>
            <w:right w:w="108" w:type="dxa"/>
          </w:tblCellMar>
        </w:tblPrEx>
        <w:trPr>
          <w:trHeight w:val="5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31071E8">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1.9.2</w:t>
            </w:r>
          </w:p>
        </w:tc>
        <w:tc>
          <w:tcPr>
            <w:tcW w:w="1920" w:type="dxa"/>
            <w:tcBorders>
              <w:top w:val="single" w:color="auto" w:sz="4" w:space="0"/>
              <w:left w:val="nil"/>
              <w:bottom w:val="single" w:color="auto" w:sz="4" w:space="0"/>
              <w:right w:val="single" w:color="auto" w:sz="4" w:space="0"/>
            </w:tcBorders>
            <w:vAlign w:val="center"/>
          </w:tcPr>
          <w:p w14:paraId="40C70DF4">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偏离</w:t>
            </w:r>
          </w:p>
        </w:tc>
        <w:tc>
          <w:tcPr>
            <w:tcW w:w="5890" w:type="dxa"/>
            <w:tcBorders>
              <w:top w:val="single" w:color="auto" w:sz="4" w:space="0"/>
              <w:left w:val="nil"/>
              <w:bottom w:val="single" w:color="auto" w:sz="4" w:space="0"/>
              <w:right w:val="single" w:color="auto" w:sz="4" w:space="0"/>
            </w:tcBorders>
            <w:vAlign w:val="center"/>
          </w:tcPr>
          <w:p w14:paraId="2EF12A7C">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允许负偏离(重大负偏离除外）</w:t>
            </w:r>
          </w:p>
        </w:tc>
      </w:tr>
      <w:tr w14:paraId="0050BBE5">
        <w:tblPrEx>
          <w:tblCellMar>
            <w:top w:w="0" w:type="dxa"/>
            <w:left w:w="108" w:type="dxa"/>
            <w:bottom w:w="0" w:type="dxa"/>
            <w:right w:w="108" w:type="dxa"/>
          </w:tblCellMar>
        </w:tblPrEx>
        <w:trPr>
          <w:trHeight w:val="57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8C193E4">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1920" w:type="dxa"/>
            <w:tcBorders>
              <w:top w:val="single" w:color="auto" w:sz="4" w:space="0"/>
              <w:left w:val="nil"/>
              <w:bottom w:val="single" w:color="auto" w:sz="4" w:space="0"/>
              <w:right w:val="single" w:color="auto" w:sz="4" w:space="0"/>
            </w:tcBorders>
            <w:vAlign w:val="center"/>
          </w:tcPr>
          <w:p w14:paraId="086B1A6D">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资质条件、能力和信誉</w:t>
            </w:r>
          </w:p>
        </w:tc>
        <w:tc>
          <w:tcPr>
            <w:tcW w:w="5890" w:type="dxa"/>
            <w:tcBorders>
              <w:top w:val="single" w:color="auto" w:sz="4" w:space="0"/>
              <w:left w:val="nil"/>
              <w:bottom w:val="single" w:color="auto" w:sz="4" w:space="0"/>
              <w:right w:val="single" w:color="auto" w:sz="4" w:space="0"/>
            </w:tcBorders>
            <w:vAlign w:val="center"/>
          </w:tcPr>
          <w:p w14:paraId="6E8F0379">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cs="Calibri" w:asciiTheme="minorEastAsia" w:hAnsiTheme="minorEastAsia" w:eastAsiaTheme="minorEastAsia"/>
                <w:color w:val="auto"/>
                <w:sz w:val="24"/>
                <w:szCs w:val="24"/>
                <w:highlight w:val="none"/>
                <w:lang w:val="en-US" w:eastAsia="zh-CN"/>
              </w:rPr>
              <w:t>详见第一章“竞争性磋商公告”</w:t>
            </w:r>
          </w:p>
        </w:tc>
      </w:tr>
      <w:tr w14:paraId="482CCCF8">
        <w:tblPrEx>
          <w:tblCellMar>
            <w:top w:w="0" w:type="dxa"/>
            <w:left w:w="108" w:type="dxa"/>
            <w:bottom w:w="0" w:type="dxa"/>
            <w:right w:w="108" w:type="dxa"/>
          </w:tblCellMar>
        </w:tblPrEx>
        <w:trPr>
          <w:trHeight w:val="47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1B2F863">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920" w:type="dxa"/>
            <w:tcBorders>
              <w:top w:val="single" w:color="auto" w:sz="4" w:space="0"/>
              <w:left w:val="nil"/>
              <w:bottom w:val="single" w:color="auto" w:sz="4" w:space="0"/>
              <w:right w:val="single" w:color="auto" w:sz="4" w:space="0"/>
            </w:tcBorders>
            <w:vAlign w:val="center"/>
          </w:tcPr>
          <w:p w14:paraId="64E8D448">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是否接受联合体</w:t>
            </w:r>
            <w:r>
              <w:rPr>
                <w:rFonts w:hint="eastAsia" w:asciiTheme="minorEastAsia" w:hAnsiTheme="minorEastAsia" w:eastAsiaTheme="minorEastAsia" w:cstheme="minorEastAsia"/>
                <w:color w:val="auto"/>
                <w:sz w:val="24"/>
                <w:szCs w:val="24"/>
                <w:highlight w:val="none"/>
                <w:lang w:val="en-US" w:eastAsia="zh-CN"/>
              </w:rPr>
              <w:t>响应</w:t>
            </w:r>
          </w:p>
        </w:tc>
        <w:tc>
          <w:tcPr>
            <w:tcW w:w="5890" w:type="dxa"/>
            <w:tcBorders>
              <w:top w:val="single" w:color="auto" w:sz="4" w:space="0"/>
              <w:left w:val="nil"/>
              <w:bottom w:val="single" w:color="auto" w:sz="4" w:space="0"/>
              <w:right w:val="single" w:color="auto" w:sz="4" w:space="0"/>
            </w:tcBorders>
            <w:vAlign w:val="center"/>
          </w:tcPr>
          <w:p w14:paraId="7CB965F3">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接受</w:t>
            </w:r>
          </w:p>
        </w:tc>
      </w:tr>
      <w:tr w14:paraId="43E4A64B">
        <w:tblPrEx>
          <w:tblCellMar>
            <w:top w:w="0" w:type="dxa"/>
            <w:left w:w="108" w:type="dxa"/>
            <w:bottom w:w="0" w:type="dxa"/>
            <w:right w:w="108" w:type="dxa"/>
          </w:tblCellMar>
        </w:tblPrEx>
        <w:trPr>
          <w:trHeight w:val="60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6D716B8">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1920" w:type="dxa"/>
            <w:tcBorders>
              <w:top w:val="single" w:color="auto" w:sz="4" w:space="0"/>
              <w:left w:val="nil"/>
              <w:bottom w:val="single" w:color="auto" w:sz="4" w:space="0"/>
              <w:right w:val="single" w:color="auto" w:sz="4" w:space="0"/>
            </w:tcBorders>
            <w:vAlign w:val="center"/>
          </w:tcPr>
          <w:p w14:paraId="26B02456">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踏勘现场</w:t>
            </w:r>
          </w:p>
        </w:tc>
        <w:tc>
          <w:tcPr>
            <w:tcW w:w="5890" w:type="dxa"/>
            <w:tcBorders>
              <w:top w:val="single" w:color="auto" w:sz="4" w:space="0"/>
              <w:left w:val="nil"/>
              <w:bottom w:val="single" w:color="auto" w:sz="4" w:space="0"/>
              <w:right w:val="single" w:color="auto" w:sz="4" w:space="0"/>
            </w:tcBorders>
            <w:vAlign w:val="center"/>
          </w:tcPr>
          <w:p w14:paraId="6862C383">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不组织，</w:t>
            </w:r>
            <w:r>
              <w:rPr>
                <w:rFonts w:hint="eastAsia" w:asciiTheme="minorEastAsia" w:hAnsiTheme="minorEastAsia" w:eastAsiaTheme="minorEastAsia" w:cstheme="minorEastAsia"/>
                <w:b/>
                <w:bCs/>
                <w:color w:val="auto"/>
                <w:sz w:val="24"/>
                <w:szCs w:val="24"/>
                <w:highlight w:val="none"/>
              </w:rPr>
              <w:t>供应商</w:t>
            </w:r>
            <w:r>
              <w:rPr>
                <w:rFonts w:hint="eastAsia" w:asciiTheme="minorEastAsia" w:hAnsiTheme="minorEastAsia" w:eastAsiaTheme="minorEastAsia" w:cstheme="minorEastAsia"/>
                <w:b/>
                <w:bCs/>
                <w:color w:val="auto"/>
                <w:sz w:val="24"/>
                <w:szCs w:val="24"/>
                <w:highlight w:val="none"/>
                <w:lang w:val="en-US" w:eastAsia="zh-CN"/>
              </w:rPr>
              <w:t>自</w:t>
            </w:r>
            <w:r>
              <w:rPr>
                <w:rFonts w:hint="eastAsia" w:asciiTheme="minorEastAsia" w:hAnsiTheme="minorEastAsia" w:eastAsiaTheme="minorEastAsia" w:cstheme="minorEastAsia"/>
                <w:b/>
                <w:bCs/>
                <w:color w:val="auto"/>
                <w:sz w:val="24"/>
                <w:szCs w:val="24"/>
                <w:highlight w:val="none"/>
              </w:rPr>
              <w:t>行</w:t>
            </w:r>
            <w:r>
              <w:rPr>
                <w:rFonts w:hint="eastAsia" w:asciiTheme="minorEastAsia" w:hAnsiTheme="minorEastAsia" w:eastAsiaTheme="minorEastAsia" w:cstheme="minorEastAsia"/>
                <w:b/>
                <w:bCs/>
                <w:color w:val="auto"/>
                <w:sz w:val="24"/>
                <w:szCs w:val="24"/>
                <w:highlight w:val="none"/>
                <w:lang w:val="en-US" w:eastAsia="zh-CN"/>
              </w:rPr>
              <w:t>踏勘</w:t>
            </w:r>
            <w:r>
              <w:rPr>
                <w:rFonts w:hint="eastAsia" w:asciiTheme="minorEastAsia" w:hAnsiTheme="minorEastAsia" w:eastAsiaTheme="minorEastAsia" w:cstheme="minorEastAsia"/>
                <w:b/>
                <w:bCs/>
                <w:color w:val="auto"/>
                <w:sz w:val="24"/>
                <w:szCs w:val="24"/>
                <w:highlight w:val="none"/>
              </w:rPr>
              <w:t>现场</w:t>
            </w:r>
            <w:r>
              <w:rPr>
                <w:rFonts w:hint="eastAsia" w:asciiTheme="minorEastAsia" w:hAnsiTheme="minorEastAsia" w:eastAsiaTheme="minorEastAsia" w:cstheme="minorEastAsia"/>
                <w:b/>
                <w:bCs/>
                <w:color w:val="auto"/>
                <w:sz w:val="24"/>
                <w:szCs w:val="24"/>
                <w:highlight w:val="none"/>
                <w:lang w:val="en-US" w:eastAsia="zh-CN"/>
              </w:rPr>
              <w:t>并负责同行人员安全</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服务时</w:t>
            </w:r>
            <w:r>
              <w:rPr>
                <w:rFonts w:hint="eastAsia" w:asciiTheme="minorEastAsia" w:hAnsiTheme="minorEastAsia" w:eastAsiaTheme="minorEastAsia" w:cstheme="minorEastAsia"/>
                <w:b/>
                <w:bCs/>
                <w:color w:val="auto"/>
                <w:sz w:val="24"/>
                <w:szCs w:val="24"/>
                <w:highlight w:val="none"/>
              </w:rPr>
              <w:t>应满足甲方要求。</w:t>
            </w:r>
          </w:p>
        </w:tc>
      </w:tr>
      <w:tr w14:paraId="1601080B">
        <w:tblPrEx>
          <w:tblCellMar>
            <w:top w:w="0" w:type="dxa"/>
            <w:left w:w="108" w:type="dxa"/>
            <w:bottom w:w="0" w:type="dxa"/>
            <w:right w:w="108" w:type="dxa"/>
          </w:tblCellMar>
        </w:tblPrEx>
        <w:trPr>
          <w:trHeight w:val="60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CDFC0DA">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1920" w:type="dxa"/>
            <w:tcBorders>
              <w:top w:val="single" w:color="auto" w:sz="4" w:space="0"/>
              <w:left w:val="nil"/>
              <w:bottom w:val="single" w:color="auto" w:sz="4" w:space="0"/>
              <w:right w:val="single" w:color="auto" w:sz="4" w:space="0"/>
            </w:tcBorders>
            <w:vAlign w:val="center"/>
          </w:tcPr>
          <w:p w14:paraId="3309E8F2">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磋商预备会</w:t>
            </w:r>
          </w:p>
        </w:tc>
        <w:tc>
          <w:tcPr>
            <w:tcW w:w="5890" w:type="dxa"/>
            <w:tcBorders>
              <w:top w:val="single" w:color="auto" w:sz="4" w:space="0"/>
              <w:left w:val="nil"/>
              <w:bottom w:val="single" w:color="auto" w:sz="4" w:space="0"/>
              <w:right w:val="single" w:color="auto" w:sz="4" w:space="0"/>
            </w:tcBorders>
            <w:vAlign w:val="center"/>
          </w:tcPr>
          <w:p w14:paraId="6CF7339F">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不召开</w:t>
            </w:r>
          </w:p>
        </w:tc>
      </w:tr>
      <w:tr w14:paraId="4C1E973E">
        <w:tblPrEx>
          <w:tblCellMar>
            <w:top w:w="0" w:type="dxa"/>
            <w:left w:w="108" w:type="dxa"/>
            <w:bottom w:w="0" w:type="dxa"/>
            <w:right w:w="108" w:type="dxa"/>
          </w:tblCellMar>
        </w:tblPrEx>
        <w:trPr>
          <w:trHeight w:val="44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C1129E0">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1920" w:type="dxa"/>
            <w:tcBorders>
              <w:top w:val="single" w:color="auto" w:sz="4" w:space="0"/>
              <w:left w:val="nil"/>
              <w:bottom w:val="single" w:color="auto" w:sz="4" w:space="0"/>
              <w:right w:val="single" w:color="auto" w:sz="4" w:space="0"/>
            </w:tcBorders>
            <w:vAlign w:val="center"/>
          </w:tcPr>
          <w:p w14:paraId="274C86A9">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提出问题的截止时间</w:t>
            </w:r>
          </w:p>
        </w:tc>
        <w:tc>
          <w:tcPr>
            <w:tcW w:w="5890" w:type="dxa"/>
            <w:tcBorders>
              <w:top w:val="single" w:color="auto" w:sz="4" w:space="0"/>
              <w:left w:val="nil"/>
              <w:bottom w:val="single" w:color="auto" w:sz="4" w:space="0"/>
              <w:right w:val="single" w:color="auto" w:sz="4" w:space="0"/>
            </w:tcBorders>
            <w:vAlign w:val="center"/>
          </w:tcPr>
          <w:p w14:paraId="5CC452F5">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递交竞争性磋商响应文件截止之日3日前</w:t>
            </w:r>
          </w:p>
        </w:tc>
      </w:tr>
      <w:tr w14:paraId="6675BF99">
        <w:tblPrEx>
          <w:tblCellMar>
            <w:top w:w="0" w:type="dxa"/>
            <w:left w:w="108" w:type="dxa"/>
            <w:bottom w:w="0" w:type="dxa"/>
            <w:right w:w="108" w:type="dxa"/>
          </w:tblCellMar>
        </w:tblPrEx>
        <w:trPr>
          <w:trHeight w:val="89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3AB9FA3">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1920" w:type="dxa"/>
            <w:tcBorders>
              <w:top w:val="single" w:color="auto" w:sz="4" w:space="0"/>
              <w:left w:val="nil"/>
              <w:bottom w:val="single" w:color="auto" w:sz="4" w:space="0"/>
              <w:right w:val="single" w:color="auto" w:sz="4" w:space="0"/>
            </w:tcBorders>
            <w:vAlign w:val="center"/>
          </w:tcPr>
          <w:p w14:paraId="0F57042F">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书面澄清的时间</w:t>
            </w:r>
          </w:p>
        </w:tc>
        <w:tc>
          <w:tcPr>
            <w:tcW w:w="5890" w:type="dxa"/>
            <w:tcBorders>
              <w:top w:val="single" w:color="auto" w:sz="4" w:space="0"/>
              <w:left w:val="nil"/>
              <w:bottom w:val="single" w:color="auto" w:sz="4" w:space="0"/>
              <w:right w:val="single" w:color="auto" w:sz="4" w:space="0"/>
            </w:tcBorders>
            <w:vAlign w:val="center"/>
          </w:tcPr>
          <w:p w14:paraId="0D86809E">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递交竞争性磋商响应文件截止之日5日前</w:t>
            </w:r>
          </w:p>
        </w:tc>
      </w:tr>
      <w:tr w14:paraId="4D857BA1">
        <w:tblPrEx>
          <w:tblCellMar>
            <w:top w:w="0" w:type="dxa"/>
            <w:left w:w="108" w:type="dxa"/>
            <w:bottom w:w="0" w:type="dxa"/>
            <w:right w:w="108" w:type="dxa"/>
          </w:tblCellMar>
        </w:tblPrEx>
        <w:trPr>
          <w:trHeight w:val="2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83B93F9">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1920" w:type="dxa"/>
            <w:tcBorders>
              <w:top w:val="single" w:color="auto" w:sz="4" w:space="0"/>
              <w:left w:val="nil"/>
              <w:bottom w:val="single" w:color="auto" w:sz="4" w:space="0"/>
              <w:right w:val="single" w:color="auto" w:sz="4" w:space="0"/>
            </w:tcBorders>
            <w:vAlign w:val="center"/>
          </w:tcPr>
          <w:p w14:paraId="1FF23CBC">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分包</w:t>
            </w:r>
          </w:p>
        </w:tc>
        <w:tc>
          <w:tcPr>
            <w:tcW w:w="5890" w:type="dxa"/>
            <w:tcBorders>
              <w:top w:val="single" w:color="auto" w:sz="4" w:space="0"/>
              <w:left w:val="nil"/>
              <w:bottom w:val="single" w:color="auto" w:sz="4" w:space="0"/>
              <w:right w:val="single" w:color="auto" w:sz="4" w:space="0"/>
            </w:tcBorders>
            <w:vAlign w:val="center"/>
          </w:tcPr>
          <w:p w14:paraId="09137FEA">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不允许</w:t>
            </w:r>
          </w:p>
        </w:tc>
      </w:tr>
      <w:tr w14:paraId="0D3A28E8">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16594936">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1920" w:type="dxa"/>
            <w:tcBorders>
              <w:top w:val="single" w:color="auto" w:sz="4" w:space="0"/>
              <w:left w:val="nil"/>
              <w:bottom w:val="single" w:color="auto" w:sz="4" w:space="0"/>
              <w:right w:val="single" w:color="auto" w:sz="4" w:space="0"/>
            </w:tcBorders>
            <w:vAlign w:val="center"/>
          </w:tcPr>
          <w:p w14:paraId="56201C38">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构成竞争性磋商文件的其他材料</w:t>
            </w:r>
          </w:p>
        </w:tc>
        <w:tc>
          <w:tcPr>
            <w:tcW w:w="5890" w:type="dxa"/>
            <w:tcBorders>
              <w:top w:val="single" w:color="auto" w:sz="4" w:space="0"/>
              <w:left w:val="nil"/>
              <w:bottom w:val="single" w:color="auto" w:sz="4" w:space="0"/>
              <w:right w:val="single" w:color="auto" w:sz="4" w:space="0"/>
            </w:tcBorders>
            <w:vAlign w:val="center"/>
          </w:tcPr>
          <w:p w14:paraId="7B1CBF01">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答疑纪要、竞争性磋商文件的补充和修改文件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如有）、</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清单等。</w:t>
            </w:r>
          </w:p>
        </w:tc>
      </w:tr>
      <w:tr w14:paraId="1F69A5C2">
        <w:tblPrEx>
          <w:tblCellMar>
            <w:top w:w="0" w:type="dxa"/>
            <w:left w:w="108" w:type="dxa"/>
            <w:bottom w:w="0" w:type="dxa"/>
            <w:right w:w="108" w:type="dxa"/>
          </w:tblCellMar>
        </w:tblPrEx>
        <w:trPr>
          <w:trHeight w:val="72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59801FF">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1920" w:type="dxa"/>
            <w:tcBorders>
              <w:top w:val="single" w:color="auto" w:sz="4" w:space="0"/>
              <w:left w:val="nil"/>
              <w:bottom w:val="single" w:color="auto" w:sz="4" w:space="0"/>
              <w:right w:val="single" w:color="auto" w:sz="4" w:space="0"/>
            </w:tcBorders>
            <w:vAlign w:val="center"/>
          </w:tcPr>
          <w:p w14:paraId="3A241848">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提出问题的截止时间</w:t>
            </w:r>
          </w:p>
        </w:tc>
        <w:tc>
          <w:tcPr>
            <w:tcW w:w="5890" w:type="dxa"/>
            <w:tcBorders>
              <w:top w:val="single" w:color="auto" w:sz="4" w:space="0"/>
              <w:left w:val="nil"/>
              <w:bottom w:val="single" w:color="auto" w:sz="4" w:space="0"/>
              <w:right w:val="single" w:color="auto" w:sz="4" w:space="0"/>
            </w:tcBorders>
            <w:vAlign w:val="center"/>
          </w:tcPr>
          <w:p w14:paraId="512B831B">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递交竞争性磋商响应文件截止之日</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日前</w:t>
            </w:r>
          </w:p>
        </w:tc>
      </w:tr>
      <w:tr w14:paraId="2DB12051">
        <w:tblPrEx>
          <w:tblCellMar>
            <w:top w:w="0" w:type="dxa"/>
            <w:left w:w="108" w:type="dxa"/>
            <w:bottom w:w="0" w:type="dxa"/>
            <w:right w:w="108" w:type="dxa"/>
          </w:tblCellMar>
        </w:tblPrEx>
        <w:trPr>
          <w:trHeight w:val="10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02C569A">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2.8.1</w:t>
            </w:r>
          </w:p>
        </w:tc>
        <w:tc>
          <w:tcPr>
            <w:tcW w:w="1920" w:type="dxa"/>
            <w:tcBorders>
              <w:top w:val="single" w:color="auto" w:sz="4" w:space="0"/>
              <w:left w:val="nil"/>
              <w:bottom w:val="single" w:color="auto" w:sz="4" w:space="0"/>
              <w:right w:val="single" w:color="auto" w:sz="4" w:space="0"/>
            </w:tcBorders>
            <w:vAlign w:val="center"/>
          </w:tcPr>
          <w:p w14:paraId="3A92E9A4">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书面澄清的时间</w:t>
            </w:r>
          </w:p>
        </w:tc>
        <w:tc>
          <w:tcPr>
            <w:tcW w:w="5890" w:type="dxa"/>
            <w:tcBorders>
              <w:top w:val="single" w:color="auto" w:sz="4" w:space="0"/>
              <w:left w:val="nil"/>
              <w:bottom w:val="single" w:color="auto" w:sz="4" w:space="0"/>
              <w:right w:val="single" w:color="auto" w:sz="4" w:space="0"/>
            </w:tcBorders>
            <w:vAlign w:val="center"/>
          </w:tcPr>
          <w:p w14:paraId="29D2BE2B">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递交竞争性磋商响应文件截止之日5日前</w:t>
            </w:r>
          </w:p>
        </w:tc>
      </w:tr>
      <w:tr w14:paraId="48E99B7A">
        <w:tblPrEx>
          <w:tblCellMar>
            <w:top w:w="0" w:type="dxa"/>
            <w:left w:w="108" w:type="dxa"/>
            <w:bottom w:w="0" w:type="dxa"/>
            <w:right w:w="108" w:type="dxa"/>
          </w:tblCellMar>
        </w:tblPrEx>
        <w:trPr>
          <w:trHeight w:val="72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1F93B2B4">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1920" w:type="dxa"/>
            <w:tcBorders>
              <w:top w:val="single" w:color="auto" w:sz="4" w:space="0"/>
              <w:left w:val="nil"/>
              <w:bottom w:val="single" w:color="auto" w:sz="4" w:space="0"/>
              <w:right w:val="single" w:color="auto" w:sz="4" w:space="0"/>
            </w:tcBorders>
            <w:vAlign w:val="center"/>
          </w:tcPr>
          <w:p w14:paraId="79FA83D1">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递交竞争性磋商响应文件截止时间</w:t>
            </w:r>
          </w:p>
        </w:tc>
        <w:tc>
          <w:tcPr>
            <w:tcW w:w="5890" w:type="dxa"/>
            <w:tcBorders>
              <w:top w:val="single" w:color="auto" w:sz="4" w:space="0"/>
              <w:left w:val="nil"/>
              <w:bottom w:val="single" w:color="auto" w:sz="4" w:space="0"/>
              <w:right w:val="single" w:color="auto" w:sz="4" w:space="0"/>
            </w:tcBorders>
            <w:vAlign w:val="center"/>
          </w:tcPr>
          <w:p w14:paraId="2B0C0080">
            <w:pPr>
              <w:keepNext w:val="0"/>
              <w:keepLines w:val="0"/>
              <w:pageBreakBefore w:val="0"/>
              <w:widowControl/>
              <w:kinsoku/>
              <w:wordWrap/>
              <w:overflowPunct/>
              <w:topLinePunct w:val="0"/>
              <w:bidi w:val="0"/>
              <w:snapToGrid/>
              <w:spacing w:after="0"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cs="Calibri" w:asciiTheme="minorEastAsia" w:hAnsiTheme="minorEastAsia" w:eastAsiaTheme="minorEastAsia"/>
                <w:color w:val="auto"/>
                <w:sz w:val="24"/>
                <w:szCs w:val="24"/>
                <w:highlight w:val="none"/>
                <w:lang w:val="en-US" w:eastAsia="zh-CN"/>
              </w:rPr>
              <w:t>详见第一章“竞争性磋商公告”</w:t>
            </w:r>
          </w:p>
        </w:tc>
      </w:tr>
      <w:tr w14:paraId="4F75A29F">
        <w:tblPrEx>
          <w:tblCellMar>
            <w:top w:w="0" w:type="dxa"/>
            <w:left w:w="108" w:type="dxa"/>
            <w:bottom w:w="0" w:type="dxa"/>
            <w:right w:w="108" w:type="dxa"/>
          </w:tblCellMar>
        </w:tblPrEx>
        <w:trPr>
          <w:trHeight w:val="43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D6D9660">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1920" w:type="dxa"/>
            <w:tcBorders>
              <w:top w:val="single" w:color="auto" w:sz="4" w:space="0"/>
              <w:left w:val="nil"/>
              <w:bottom w:val="single" w:color="auto" w:sz="4" w:space="0"/>
              <w:right w:val="single" w:color="auto" w:sz="4" w:space="0"/>
            </w:tcBorders>
            <w:vAlign w:val="center"/>
          </w:tcPr>
          <w:p w14:paraId="0FEB3798">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确认收到竞争性磋商文件澄清的时间</w:t>
            </w:r>
          </w:p>
        </w:tc>
        <w:tc>
          <w:tcPr>
            <w:tcW w:w="5890" w:type="dxa"/>
            <w:tcBorders>
              <w:top w:val="single" w:color="auto" w:sz="4" w:space="0"/>
              <w:left w:val="nil"/>
              <w:bottom w:val="single" w:color="auto" w:sz="4" w:space="0"/>
              <w:right w:val="single" w:color="auto" w:sz="4" w:space="0"/>
            </w:tcBorders>
            <w:vAlign w:val="center"/>
          </w:tcPr>
          <w:p w14:paraId="6CAB374C">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时间：竞争性磋商文件的补充文件发出之日24小时内</w:t>
            </w:r>
          </w:p>
          <w:p w14:paraId="565E3EFE">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形式：在三门峡市公共资源交易电子化交易系统上回复确认</w:t>
            </w:r>
          </w:p>
        </w:tc>
      </w:tr>
      <w:tr w14:paraId="52FA1777">
        <w:tblPrEx>
          <w:tblCellMar>
            <w:top w:w="0" w:type="dxa"/>
            <w:left w:w="108" w:type="dxa"/>
            <w:bottom w:w="0" w:type="dxa"/>
            <w:right w:w="108" w:type="dxa"/>
          </w:tblCellMar>
        </w:tblPrEx>
        <w:trPr>
          <w:trHeight w:val="7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96F12AC">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1920" w:type="dxa"/>
            <w:tcBorders>
              <w:top w:val="single" w:color="auto" w:sz="4" w:space="0"/>
              <w:left w:val="nil"/>
              <w:bottom w:val="single" w:color="auto" w:sz="4" w:space="0"/>
              <w:right w:val="single" w:color="auto" w:sz="4" w:space="0"/>
            </w:tcBorders>
            <w:vAlign w:val="center"/>
          </w:tcPr>
          <w:p w14:paraId="7F352756">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确认收到竞争性磋商文件修改的时间</w:t>
            </w:r>
          </w:p>
        </w:tc>
        <w:tc>
          <w:tcPr>
            <w:tcW w:w="5890" w:type="dxa"/>
            <w:tcBorders>
              <w:top w:val="single" w:color="auto" w:sz="4" w:space="0"/>
              <w:left w:val="nil"/>
              <w:bottom w:val="single" w:color="auto" w:sz="4" w:space="0"/>
              <w:right w:val="single" w:color="auto" w:sz="4" w:space="0"/>
            </w:tcBorders>
            <w:vAlign w:val="center"/>
          </w:tcPr>
          <w:p w14:paraId="3BC39CFD">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竞争性磋商文件的补充文件发出之日24小时内</w:t>
            </w:r>
          </w:p>
        </w:tc>
      </w:tr>
      <w:tr w14:paraId="348CB1BD">
        <w:tblPrEx>
          <w:tblCellMar>
            <w:top w:w="0" w:type="dxa"/>
            <w:left w:w="108" w:type="dxa"/>
            <w:bottom w:w="0" w:type="dxa"/>
            <w:right w:w="108" w:type="dxa"/>
          </w:tblCellMar>
        </w:tblPrEx>
        <w:trPr>
          <w:trHeight w:val="62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FE1F741">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1920" w:type="dxa"/>
            <w:tcBorders>
              <w:top w:val="single" w:color="auto" w:sz="4" w:space="0"/>
              <w:left w:val="nil"/>
              <w:bottom w:val="single" w:color="auto" w:sz="4" w:space="0"/>
              <w:right w:val="single" w:color="auto" w:sz="4" w:space="0"/>
            </w:tcBorders>
            <w:vAlign w:val="center"/>
          </w:tcPr>
          <w:p w14:paraId="1026CBF8">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磋商有效期</w:t>
            </w:r>
          </w:p>
        </w:tc>
        <w:tc>
          <w:tcPr>
            <w:tcW w:w="5890" w:type="dxa"/>
            <w:tcBorders>
              <w:top w:val="single" w:color="auto" w:sz="4" w:space="0"/>
              <w:left w:val="nil"/>
              <w:bottom w:val="single" w:color="auto" w:sz="4" w:space="0"/>
              <w:right w:val="single" w:color="auto" w:sz="4" w:space="0"/>
            </w:tcBorders>
            <w:vAlign w:val="center"/>
          </w:tcPr>
          <w:p w14:paraId="66E1B1BC">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磋商有效期60日历天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从响应文件递交截止时间起）</w:t>
            </w:r>
          </w:p>
        </w:tc>
      </w:tr>
      <w:tr w14:paraId="414A77B2">
        <w:tblPrEx>
          <w:tblCellMar>
            <w:top w:w="0" w:type="dxa"/>
            <w:left w:w="108" w:type="dxa"/>
            <w:bottom w:w="0" w:type="dxa"/>
            <w:right w:w="108" w:type="dxa"/>
          </w:tblCellMar>
        </w:tblPrEx>
        <w:trPr>
          <w:trHeight w:val="65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68EA471">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1920" w:type="dxa"/>
            <w:tcBorders>
              <w:top w:val="single" w:color="auto" w:sz="4" w:space="0"/>
              <w:left w:val="nil"/>
              <w:bottom w:val="single" w:color="auto" w:sz="4" w:space="0"/>
              <w:right w:val="single" w:color="auto" w:sz="4" w:space="0"/>
            </w:tcBorders>
            <w:vAlign w:val="center"/>
          </w:tcPr>
          <w:p w14:paraId="0917A5A3">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44"/>
                <w:sz w:val="24"/>
                <w:szCs w:val="24"/>
                <w:highlight w:val="none"/>
              </w:rPr>
              <w:t>磋商保证金</w:t>
            </w:r>
          </w:p>
        </w:tc>
        <w:tc>
          <w:tcPr>
            <w:tcW w:w="5890" w:type="dxa"/>
            <w:tcBorders>
              <w:top w:val="single" w:color="auto" w:sz="4" w:space="0"/>
              <w:left w:val="nil"/>
              <w:bottom w:val="single" w:color="auto" w:sz="4" w:space="0"/>
              <w:right w:val="single" w:color="auto" w:sz="4" w:space="0"/>
            </w:tcBorders>
            <w:vAlign w:val="center"/>
          </w:tcPr>
          <w:p w14:paraId="23744C4F">
            <w:pPr>
              <w:keepNext w:val="0"/>
              <w:keepLines w:val="0"/>
              <w:pageBreakBefore w:val="0"/>
              <w:widowControl/>
              <w:kinsoku/>
              <w:wordWrap/>
              <w:overflowPunct/>
              <w:topLinePunct w:val="0"/>
              <w:bidi w:val="0"/>
              <w:snapToGrid/>
              <w:spacing w:after="0" w:line="360" w:lineRule="auto"/>
              <w:ind w:firstLine="213" w:firstLineChars="89"/>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按照《河南省财政厅关于优化政府采购营商环境有关问题的通知》</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豫财购〔2020〕4号文）的要求本项目不再收取保证金。</w:t>
            </w:r>
          </w:p>
        </w:tc>
      </w:tr>
      <w:tr w14:paraId="4CB4A62F">
        <w:tblPrEx>
          <w:tblCellMar>
            <w:top w:w="0" w:type="dxa"/>
            <w:left w:w="108" w:type="dxa"/>
            <w:bottom w:w="0" w:type="dxa"/>
            <w:right w:w="108" w:type="dxa"/>
          </w:tblCellMar>
        </w:tblPrEx>
        <w:trPr>
          <w:trHeight w:val="65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DB88DCD">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1920" w:type="dxa"/>
            <w:tcBorders>
              <w:top w:val="single" w:color="auto" w:sz="4" w:space="0"/>
              <w:left w:val="nil"/>
              <w:bottom w:val="single" w:color="auto" w:sz="4" w:space="0"/>
              <w:right w:val="single" w:color="auto" w:sz="4" w:space="0"/>
            </w:tcBorders>
            <w:vAlign w:val="center"/>
          </w:tcPr>
          <w:p w14:paraId="5C937468">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sz w:val="24"/>
                <w:szCs w:val="24"/>
                <w:highlight w:val="none"/>
              </w:rPr>
              <w:t>近年财务状况的年份要求</w:t>
            </w:r>
          </w:p>
        </w:tc>
        <w:tc>
          <w:tcPr>
            <w:tcW w:w="5890" w:type="dxa"/>
            <w:tcBorders>
              <w:top w:val="single" w:color="auto" w:sz="4" w:space="0"/>
              <w:left w:val="nil"/>
              <w:bottom w:val="single" w:color="auto" w:sz="4" w:space="0"/>
              <w:right w:val="single" w:color="auto" w:sz="4" w:space="0"/>
            </w:tcBorders>
            <w:vAlign w:val="center"/>
          </w:tcPr>
          <w:p w14:paraId="212EFCF5">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近</w:t>
            </w:r>
            <w:r>
              <w:rPr>
                <w:rFonts w:hint="eastAsia" w:asciiTheme="minorEastAsia" w:hAnsiTheme="minorEastAsia" w:eastAsiaTheme="minorEastAsia" w:cstheme="minorEastAsia"/>
                <w:color w:val="auto"/>
                <w:sz w:val="24"/>
                <w:szCs w:val="24"/>
                <w:highlight w:val="none"/>
                <w:u w:val="single"/>
                <w:lang w:val="en-US" w:eastAsia="zh-CN"/>
              </w:rPr>
              <w:t>一</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提供经审计的财务报告或财务报表，</w:t>
            </w:r>
            <w:r>
              <w:rPr>
                <w:rFonts w:hint="eastAsia" w:asciiTheme="minorEastAsia" w:hAnsiTheme="minorEastAsia" w:eastAsiaTheme="minorEastAsia" w:cstheme="minorEastAsia"/>
                <w:color w:val="auto"/>
                <w:sz w:val="24"/>
                <w:szCs w:val="24"/>
                <w:highlight w:val="none"/>
              </w:rPr>
              <w:t>公司成立不足</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年的，以公司成立年份计算）。</w:t>
            </w:r>
          </w:p>
        </w:tc>
      </w:tr>
      <w:tr w14:paraId="3EB9C749">
        <w:tblPrEx>
          <w:tblCellMar>
            <w:top w:w="0" w:type="dxa"/>
            <w:left w:w="108" w:type="dxa"/>
            <w:bottom w:w="0" w:type="dxa"/>
            <w:right w:w="108" w:type="dxa"/>
          </w:tblCellMar>
        </w:tblPrEx>
        <w:trPr>
          <w:trHeight w:val="64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8F57AE5">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1920" w:type="dxa"/>
            <w:tcBorders>
              <w:top w:val="single" w:color="auto" w:sz="4" w:space="0"/>
              <w:left w:val="nil"/>
              <w:bottom w:val="single" w:color="auto" w:sz="4" w:space="0"/>
              <w:right w:val="single" w:color="auto" w:sz="4" w:space="0"/>
            </w:tcBorders>
            <w:vAlign w:val="center"/>
          </w:tcPr>
          <w:p w14:paraId="1308286A">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近年完成的类似项目的年份要求</w:t>
            </w:r>
          </w:p>
        </w:tc>
        <w:tc>
          <w:tcPr>
            <w:tcW w:w="5890" w:type="dxa"/>
            <w:tcBorders>
              <w:top w:val="single" w:color="auto" w:sz="4" w:space="0"/>
              <w:left w:val="nil"/>
              <w:bottom w:val="single" w:color="auto" w:sz="4" w:space="0"/>
              <w:right w:val="single" w:color="auto" w:sz="4" w:space="0"/>
            </w:tcBorders>
            <w:vAlign w:val="center"/>
          </w:tcPr>
          <w:p w14:paraId="55B81E5C">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 xml:space="preserve">  202</w:t>
            </w:r>
            <w:r>
              <w:rPr>
                <w:rFonts w:hint="eastAsia" w:asciiTheme="minorEastAsia" w:hAnsiTheme="minorEastAsia" w:eastAsiaTheme="minorEastAsia" w:cstheme="minorEastAsia"/>
                <w:color w:val="auto"/>
                <w:kern w:val="44"/>
                <w:sz w:val="24"/>
                <w:szCs w:val="24"/>
                <w:highlight w:val="none"/>
                <w:lang w:val="en-US" w:eastAsia="zh-CN"/>
              </w:rPr>
              <w:t>2</w:t>
            </w:r>
            <w:r>
              <w:rPr>
                <w:rFonts w:hint="eastAsia" w:asciiTheme="minorEastAsia" w:hAnsiTheme="minorEastAsia" w:eastAsiaTheme="minorEastAsia" w:cstheme="minorEastAsia"/>
                <w:color w:val="auto"/>
                <w:kern w:val="44"/>
                <w:sz w:val="24"/>
                <w:szCs w:val="24"/>
                <w:highlight w:val="none"/>
              </w:rPr>
              <w:t>年01月01日以来</w:t>
            </w:r>
          </w:p>
        </w:tc>
      </w:tr>
      <w:tr w14:paraId="297E9210">
        <w:tblPrEx>
          <w:tblCellMar>
            <w:top w:w="0" w:type="dxa"/>
            <w:left w:w="108" w:type="dxa"/>
            <w:bottom w:w="0" w:type="dxa"/>
            <w:right w:w="108" w:type="dxa"/>
          </w:tblCellMar>
        </w:tblPrEx>
        <w:trPr>
          <w:trHeight w:val="64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11AE3C7">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w:t>
            </w:r>
          </w:p>
        </w:tc>
        <w:tc>
          <w:tcPr>
            <w:tcW w:w="1920" w:type="dxa"/>
            <w:tcBorders>
              <w:top w:val="single" w:color="auto" w:sz="4" w:space="0"/>
              <w:left w:val="nil"/>
              <w:bottom w:val="single" w:color="auto" w:sz="4" w:space="0"/>
              <w:right w:val="single" w:color="auto" w:sz="4" w:space="0"/>
            </w:tcBorders>
            <w:vAlign w:val="center"/>
          </w:tcPr>
          <w:p w14:paraId="158AC898">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近年发生的诉讼及仲裁情况的年份要求</w:t>
            </w:r>
          </w:p>
        </w:tc>
        <w:tc>
          <w:tcPr>
            <w:tcW w:w="5890" w:type="dxa"/>
            <w:tcBorders>
              <w:top w:val="single" w:color="auto" w:sz="4" w:space="0"/>
              <w:left w:val="nil"/>
              <w:bottom w:val="single" w:color="auto" w:sz="4" w:space="0"/>
              <w:right w:val="single" w:color="auto" w:sz="4" w:space="0"/>
            </w:tcBorders>
            <w:vAlign w:val="center"/>
          </w:tcPr>
          <w:p w14:paraId="704CFAF2">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 xml:space="preserve">  202</w:t>
            </w:r>
            <w:r>
              <w:rPr>
                <w:rFonts w:hint="eastAsia" w:asciiTheme="minorEastAsia" w:hAnsiTheme="minorEastAsia" w:eastAsiaTheme="minorEastAsia" w:cstheme="minorEastAsia"/>
                <w:color w:val="auto"/>
                <w:kern w:val="44"/>
                <w:sz w:val="24"/>
                <w:szCs w:val="24"/>
                <w:highlight w:val="none"/>
                <w:lang w:val="en-US" w:eastAsia="zh-CN"/>
              </w:rPr>
              <w:t>2</w:t>
            </w:r>
            <w:r>
              <w:rPr>
                <w:rFonts w:hint="eastAsia" w:asciiTheme="minorEastAsia" w:hAnsiTheme="minorEastAsia" w:eastAsiaTheme="minorEastAsia" w:cstheme="minorEastAsia"/>
                <w:color w:val="auto"/>
                <w:kern w:val="44"/>
                <w:sz w:val="24"/>
                <w:szCs w:val="24"/>
                <w:highlight w:val="none"/>
              </w:rPr>
              <w:t>年01月01日以来</w:t>
            </w:r>
          </w:p>
        </w:tc>
      </w:tr>
      <w:tr w14:paraId="1F695D05">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A734541">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1920" w:type="dxa"/>
            <w:tcBorders>
              <w:top w:val="single" w:color="auto" w:sz="4" w:space="0"/>
              <w:left w:val="nil"/>
              <w:bottom w:val="single" w:color="auto" w:sz="4" w:space="0"/>
              <w:right w:val="single" w:color="auto" w:sz="4" w:space="0"/>
            </w:tcBorders>
            <w:vAlign w:val="center"/>
          </w:tcPr>
          <w:p w14:paraId="63FAF194">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是否允许递交备选投标方案</w:t>
            </w:r>
          </w:p>
        </w:tc>
        <w:tc>
          <w:tcPr>
            <w:tcW w:w="5890" w:type="dxa"/>
            <w:tcBorders>
              <w:top w:val="single" w:color="auto" w:sz="4" w:space="0"/>
              <w:left w:val="nil"/>
              <w:bottom w:val="single" w:color="auto" w:sz="4" w:space="0"/>
              <w:right w:val="single" w:color="auto" w:sz="4" w:space="0"/>
            </w:tcBorders>
            <w:vAlign w:val="center"/>
          </w:tcPr>
          <w:p w14:paraId="424ED405">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 xml:space="preserve">  不允许</w:t>
            </w:r>
          </w:p>
        </w:tc>
      </w:tr>
      <w:tr w14:paraId="55F4A906">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18199E17">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3.7.1</w:t>
            </w:r>
          </w:p>
        </w:tc>
        <w:tc>
          <w:tcPr>
            <w:tcW w:w="1920" w:type="dxa"/>
            <w:tcBorders>
              <w:top w:val="single" w:color="auto" w:sz="4" w:space="0"/>
              <w:left w:val="nil"/>
              <w:bottom w:val="single" w:color="auto" w:sz="4" w:space="0"/>
              <w:right w:val="single" w:color="auto" w:sz="4" w:space="0"/>
            </w:tcBorders>
            <w:vAlign w:val="center"/>
          </w:tcPr>
          <w:p w14:paraId="085B833A">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lang w:eastAsia="zh-CN"/>
              </w:rPr>
              <w:t>响应文件</w:t>
            </w:r>
            <w:r>
              <w:rPr>
                <w:rFonts w:hint="eastAsia" w:asciiTheme="minorEastAsia" w:hAnsiTheme="minorEastAsia" w:eastAsiaTheme="minorEastAsia" w:cstheme="minorEastAsia"/>
                <w:color w:val="auto"/>
                <w:kern w:val="44"/>
                <w:sz w:val="24"/>
                <w:szCs w:val="24"/>
                <w:highlight w:val="none"/>
              </w:rPr>
              <w:t>副本份数及其他要求</w:t>
            </w:r>
          </w:p>
        </w:tc>
        <w:tc>
          <w:tcPr>
            <w:tcW w:w="5890" w:type="dxa"/>
            <w:tcBorders>
              <w:top w:val="single" w:color="auto" w:sz="4" w:space="0"/>
              <w:left w:val="nil"/>
              <w:bottom w:val="single" w:color="auto" w:sz="4" w:space="0"/>
              <w:right w:val="single" w:color="auto" w:sz="4" w:space="0"/>
            </w:tcBorders>
            <w:vAlign w:val="center"/>
          </w:tcPr>
          <w:p w14:paraId="5B00AC79">
            <w:pPr>
              <w:keepNext w:val="0"/>
              <w:keepLines w:val="0"/>
              <w:pageBreakBefore w:val="0"/>
              <w:widowControl/>
              <w:kinsoku/>
              <w:wordWrap/>
              <w:overflowPunct/>
              <w:topLinePunct w:val="0"/>
              <w:autoSpaceDE/>
              <w:autoSpaceDN/>
              <w:bidi w:val="0"/>
              <w:adjustRightInd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1、本项目采用电子招标，根据三门峡市公共资源交易中心系统编制</w:t>
            </w:r>
            <w:r>
              <w:rPr>
                <w:rFonts w:hint="eastAsia" w:asciiTheme="minorEastAsia" w:hAnsiTheme="minorEastAsia" w:eastAsiaTheme="minorEastAsia" w:cstheme="minorEastAsia"/>
                <w:color w:val="auto"/>
                <w:kern w:val="44"/>
                <w:sz w:val="24"/>
                <w:szCs w:val="24"/>
                <w:highlight w:val="none"/>
                <w:lang w:val="en-US" w:eastAsia="zh-CN"/>
              </w:rPr>
              <w:t>响应</w:t>
            </w:r>
            <w:r>
              <w:rPr>
                <w:rFonts w:hint="eastAsia" w:asciiTheme="minorEastAsia" w:hAnsiTheme="minorEastAsia" w:eastAsiaTheme="minorEastAsia" w:cstheme="minorEastAsia"/>
                <w:color w:val="auto"/>
                <w:kern w:val="44"/>
                <w:sz w:val="24"/>
                <w:szCs w:val="24"/>
                <w:highlight w:val="none"/>
              </w:rPr>
              <w:t>文件；</w:t>
            </w:r>
          </w:p>
          <w:p w14:paraId="741D9E17">
            <w:pPr>
              <w:keepNext w:val="0"/>
              <w:keepLines w:val="0"/>
              <w:pageBreakBefore w:val="0"/>
              <w:widowControl/>
              <w:kinsoku/>
              <w:wordWrap/>
              <w:overflowPunct/>
              <w:topLinePunct w:val="0"/>
              <w:autoSpaceDE/>
              <w:autoSpaceDN/>
              <w:bidi w:val="0"/>
              <w:adjustRightInd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2、开标时不再递交纸质</w:t>
            </w:r>
            <w:r>
              <w:rPr>
                <w:rFonts w:hint="eastAsia" w:asciiTheme="minorEastAsia" w:hAnsiTheme="minorEastAsia" w:eastAsiaTheme="minorEastAsia" w:cstheme="minorEastAsia"/>
                <w:color w:val="auto"/>
                <w:kern w:val="44"/>
                <w:sz w:val="24"/>
                <w:szCs w:val="24"/>
                <w:highlight w:val="none"/>
                <w:lang w:val="en-US" w:eastAsia="zh-CN"/>
              </w:rPr>
              <w:t>响应</w:t>
            </w:r>
            <w:r>
              <w:rPr>
                <w:rFonts w:hint="eastAsia" w:asciiTheme="minorEastAsia" w:hAnsiTheme="minorEastAsia" w:eastAsiaTheme="minorEastAsia" w:cstheme="minorEastAsia"/>
                <w:color w:val="auto"/>
                <w:kern w:val="44"/>
                <w:sz w:val="24"/>
                <w:szCs w:val="24"/>
                <w:highlight w:val="none"/>
              </w:rPr>
              <w:t>文件，中标单位领取中标通知书时提交</w:t>
            </w:r>
            <w:r>
              <w:rPr>
                <w:rFonts w:hint="eastAsia" w:asciiTheme="minorEastAsia" w:hAnsiTheme="minorEastAsia" w:eastAsiaTheme="minorEastAsia" w:cstheme="minorEastAsia"/>
                <w:color w:val="auto"/>
                <w:kern w:val="44"/>
                <w:sz w:val="24"/>
                <w:szCs w:val="24"/>
                <w:highlight w:val="none"/>
                <w:lang w:eastAsia="zh-CN"/>
              </w:rPr>
              <w:t>三</w:t>
            </w:r>
            <w:r>
              <w:rPr>
                <w:rFonts w:hint="eastAsia" w:asciiTheme="minorEastAsia" w:hAnsiTheme="minorEastAsia" w:eastAsiaTheme="minorEastAsia" w:cstheme="minorEastAsia"/>
                <w:color w:val="auto"/>
                <w:kern w:val="44"/>
                <w:sz w:val="24"/>
                <w:szCs w:val="24"/>
                <w:highlight w:val="none"/>
              </w:rPr>
              <w:t>份纸质</w:t>
            </w:r>
            <w:r>
              <w:rPr>
                <w:rFonts w:hint="eastAsia" w:asciiTheme="minorEastAsia" w:hAnsiTheme="minorEastAsia" w:eastAsiaTheme="minorEastAsia" w:cstheme="minorEastAsia"/>
                <w:color w:val="auto"/>
                <w:kern w:val="44"/>
                <w:sz w:val="24"/>
                <w:szCs w:val="24"/>
                <w:highlight w:val="none"/>
                <w:lang w:eastAsia="zh-CN"/>
              </w:rPr>
              <w:t>响应文件</w:t>
            </w:r>
            <w:r>
              <w:rPr>
                <w:rFonts w:hint="eastAsia" w:asciiTheme="minorEastAsia" w:hAnsiTheme="minorEastAsia" w:eastAsiaTheme="minorEastAsia" w:cstheme="minorEastAsia"/>
                <w:color w:val="auto"/>
                <w:kern w:val="44"/>
                <w:sz w:val="24"/>
                <w:szCs w:val="24"/>
                <w:highlight w:val="none"/>
              </w:rPr>
              <w:t>，</w:t>
            </w:r>
            <w:r>
              <w:rPr>
                <w:rFonts w:hint="eastAsia" w:asciiTheme="minorEastAsia" w:hAnsiTheme="minorEastAsia" w:eastAsiaTheme="minorEastAsia" w:cstheme="minorEastAsia"/>
                <w:color w:val="auto"/>
                <w:kern w:val="44"/>
                <w:sz w:val="24"/>
                <w:szCs w:val="24"/>
                <w:highlight w:val="none"/>
                <w:lang w:eastAsia="zh-CN"/>
              </w:rPr>
              <w:t>响应文件</w:t>
            </w:r>
            <w:r>
              <w:rPr>
                <w:rFonts w:hint="eastAsia" w:asciiTheme="minorEastAsia" w:hAnsiTheme="minorEastAsia" w:eastAsiaTheme="minorEastAsia" w:cstheme="minorEastAsia"/>
                <w:color w:val="auto"/>
                <w:kern w:val="44"/>
                <w:sz w:val="24"/>
                <w:szCs w:val="24"/>
                <w:highlight w:val="none"/>
              </w:rPr>
              <w:t>应按以下要求装订：胶装</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不得采用活页装订），应有目录，并逐页标注连续页码，需加盖公章。</w:t>
            </w:r>
          </w:p>
        </w:tc>
      </w:tr>
      <w:tr w14:paraId="0D10C438">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18C990DC">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w:t>
            </w:r>
          </w:p>
        </w:tc>
        <w:tc>
          <w:tcPr>
            <w:tcW w:w="1920" w:type="dxa"/>
            <w:tcBorders>
              <w:top w:val="single" w:color="auto" w:sz="4" w:space="0"/>
              <w:left w:val="nil"/>
              <w:bottom w:val="single" w:color="auto" w:sz="4" w:space="0"/>
              <w:right w:val="single" w:color="auto" w:sz="4" w:space="0"/>
            </w:tcBorders>
            <w:vAlign w:val="center"/>
          </w:tcPr>
          <w:p w14:paraId="3FC13548">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电子签章</w:t>
            </w:r>
          </w:p>
          <w:p w14:paraId="6F9F1DA4">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sz w:val="24"/>
                <w:szCs w:val="24"/>
                <w:highlight w:val="none"/>
              </w:rPr>
              <w:t>要求</w:t>
            </w:r>
          </w:p>
        </w:tc>
        <w:tc>
          <w:tcPr>
            <w:tcW w:w="5890" w:type="dxa"/>
            <w:tcBorders>
              <w:top w:val="single" w:color="auto" w:sz="4" w:space="0"/>
              <w:left w:val="nil"/>
              <w:bottom w:val="single" w:color="auto" w:sz="4" w:space="0"/>
              <w:right w:val="single" w:color="auto" w:sz="4" w:space="0"/>
            </w:tcBorders>
            <w:vAlign w:val="center"/>
          </w:tcPr>
          <w:p w14:paraId="015677F5">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在进行电子化磋商响应文件签章时，竞争性磋商文件中要求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盖章的，以签电子签章为准；要求法定代表人签章的，以签盖法定代表人签章为准。</w:t>
            </w:r>
          </w:p>
        </w:tc>
      </w:tr>
      <w:tr w14:paraId="29088EBC">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9B695BC">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w:t>
            </w:r>
          </w:p>
        </w:tc>
        <w:tc>
          <w:tcPr>
            <w:tcW w:w="1920" w:type="dxa"/>
            <w:tcBorders>
              <w:top w:val="single" w:color="auto" w:sz="4" w:space="0"/>
              <w:left w:val="nil"/>
              <w:bottom w:val="single" w:color="auto" w:sz="4" w:space="0"/>
              <w:right w:val="single" w:color="auto" w:sz="4" w:space="0"/>
            </w:tcBorders>
            <w:vAlign w:val="center"/>
          </w:tcPr>
          <w:p w14:paraId="63D4E2B6">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电子化磋商响应文件的格式及上传</w:t>
            </w:r>
          </w:p>
        </w:tc>
        <w:tc>
          <w:tcPr>
            <w:tcW w:w="5890" w:type="dxa"/>
            <w:tcBorders>
              <w:top w:val="single" w:color="auto" w:sz="4" w:space="0"/>
              <w:left w:val="nil"/>
              <w:bottom w:val="single" w:color="auto" w:sz="4" w:space="0"/>
              <w:right w:val="single" w:color="auto" w:sz="4" w:space="0"/>
            </w:tcBorders>
            <w:vAlign w:val="center"/>
          </w:tcPr>
          <w:p w14:paraId="112653F0">
            <w:pPr>
              <w:keepNext w:val="0"/>
              <w:keepLines w:val="0"/>
              <w:pageBreakBefore w:val="0"/>
              <w:widowControl/>
              <w:kinsoku/>
              <w:wordWrap/>
              <w:overflowPunct/>
              <w:topLinePunct w:val="0"/>
              <w:bidi w:val="0"/>
              <w:snapToGrid/>
              <w:spacing w:after="0"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所上传的电子化磋商响应文件，应是通过中心</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制作系统制作的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制作工具下载地址：https://download.bqpoint.com/download/downloaddetail.html?SourceFrom=Ztb&amp;ZtbSoftXiaQuCode=1506&amp;ZtbSoftType=tballinclusive），经过签章和加密后生成的电子版磋商响应文件。其中包含用于磋商响应文件上传的主文件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后缀为.smxtf）和用于应急补救的磋商响应文件备份文件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后缀为.nsmxtf）。</w:t>
            </w:r>
          </w:p>
          <w:p w14:paraId="085636B0">
            <w:pPr>
              <w:keepNext w:val="0"/>
              <w:keepLines w:val="0"/>
              <w:pageBreakBefore w:val="0"/>
              <w:widowControl/>
              <w:kinsoku/>
              <w:wordWrap/>
              <w:overflowPunct/>
              <w:topLinePunct w:val="0"/>
              <w:bidi w:val="0"/>
              <w:snapToGrid/>
              <w:spacing w:after="0"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2.电子化磋商响应文件应在投标截止时间前成功上传至三门峡市公共资源电子化交易系统。至投标截止时间止，仍未上传成功的电子化磋商响应文件将不予接收。</w:t>
            </w:r>
          </w:p>
          <w:p w14:paraId="238C4122">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注：如按照电子化投标操作教材制作完成的电子化磋商响应文件无法上传的，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应在投标截止时间前尽早的联系中心技术人员，以便有充分的时间进行处理。</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应充分考虑到处理技术问题和上传数据等工作所需的时间问题，磋商响应文件未在投标截止时间前成功上传的，其磋商响应文件不予接收。</w:t>
            </w:r>
          </w:p>
        </w:tc>
      </w:tr>
      <w:tr w14:paraId="76954824">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C675D78">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w:t>
            </w:r>
          </w:p>
        </w:tc>
        <w:tc>
          <w:tcPr>
            <w:tcW w:w="1920" w:type="dxa"/>
            <w:tcBorders>
              <w:top w:val="single" w:color="auto" w:sz="4" w:space="0"/>
              <w:left w:val="nil"/>
              <w:bottom w:val="single" w:color="auto" w:sz="4" w:space="0"/>
              <w:right w:val="single" w:color="auto" w:sz="4" w:space="0"/>
            </w:tcBorders>
            <w:vAlign w:val="center"/>
          </w:tcPr>
          <w:p w14:paraId="785BFAF3">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磋商时间和</w:t>
            </w:r>
          </w:p>
          <w:p w14:paraId="20B95323">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地点</w:t>
            </w:r>
          </w:p>
        </w:tc>
        <w:tc>
          <w:tcPr>
            <w:tcW w:w="5890" w:type="dxa"/>
            <w:tcBorders>
              <w:top w:val="single" w:color="auto" w:sz="4" w:space="0"/>
              <w:left w:val="nil"/>
              <w:bottom w:val="single" w:color="auto" w:sz="4" w:space="0"/>
              <w:right w:val="single" w:color="auto" w:sz="4" w:space="0"/>
            </w:tcBorders>
            <w:vAlign w:val="center"/>
          </w:tcPr>
          <w:p w14:paraId="0D72682E">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r>
              <w:rPr>
                <w:rFonts w:hint="eastAsia" w:cs="Calibri" w:asciiTheme="minorEastAsia" w:hAnsiTheme="minorEastAsia" w:eastAsiaTheme="minorEastAsia"/>
                <w:color w:val="auto"/>
                <w:sz w:val="24"/>
                <w:szCs w:val="24"/>
                <w:highlight w:val="none"/>
                <w:lang w:val="en-US" w:eastAsia="zh-CN"/>
              </w:rPr>
              <w:t>详见第一章“竞争性磋商公告”</w:t>
            </w:r>
          </w:p>
        </w:tc>
      </w:tr>
      <w:tr w14:paraId="580037DF">
        <w:tblPrEx>
          <w:tblCellMar>
            <w:top w:w="0" w:type="dxa"/>
            <w:left w:w="108" w:type="dxa"/>
            <w:bottom w:w="0" w:type="dxa"/>
            <w:right w:w="108" w:type="dxa"/>
          </w:tblCellMar>
        </w:tblPrEx>
        <w:trPr>
          <w:trHeight w:val="88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9754E72">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w:t>
            </w:r>
          </w:p>
        </w:tc>
        <w:tc>
          <w:tcPr>
            <w:tcW w:w="1920" w:type="dxa"/>
            <w:tcBorders>
              <w:top w:val="single" w:color="auto" w:sz="4" w:space="0"/>
              <w:left w:val="nil"/>
              <w:bottom w:val="single" w:color="auto" w:sz="4" w:space="0"/>
              <w:right w:val="single" w:color="auto" w:sz="4" w:space="0"/>
            </w:tcBorders>
            <w:vAlign w:val="center"/>
          </w:tcPr>
          <w:p w14:paraId="6306D62C">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磋商程序</w:t>
            </w:r>
          </w:p>
        </w:tc>
        <w:tc>
          <w:tcPr>
            <w:tcW w:w="5890" w:type="dxa"/>
            <w:tcBorders>
              <w:top w:val="single" w:color="auto" w:sz="4" w:space="0"/>
              <w:left w:val="nil"/>
              <w:bottom w:val="single" w:color="auto" w:sz="4" w:space="0"/>
              <w:right w:val="single" w:color="auto" w:sz="4" w:space="0"/>
            </w:tcBorders>
            <w:vAlign w:val="center"/>
          </w:tcPr>
          <w:p w14:paraId="2894A541">
            <w:pPr>
              <w:keepNext w:val="0"/>
              <w:keepLines w:val="0"/>
              <w:pageBreakBefore w:val="0"/>
              <w:widowControl/>
              <w:kinsoku/>
              <w:wordWrap/>
              <w:overflowPunct/>
              <w:topLinePunct w:val="0"/>
              <w:bidi w:val="0"/>
              <w:snapToGrid/>
              <w:spacing w:after="0" w:line="360" w:lineRule="auto"/>
              <w:ind w:firstLine="240" w:firstLineChars="100"/>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按电子化磋商响应文件上传的时间顺序磋商。</w:t>
            </w:r>
          </w:p>
        </w:tc>
      </w:tr>
      <w:tr w14:paraId="5E0CD2CA">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50AF5B2">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w:t>
            </w:r>
          </w:p>
        </w:tc>
        <w:tc>
          <w:tcPr>
            <w:tcW w:w="1920" w:type="dxa"/>
            <w:tcBorders>
              <w:top w:val="single" w:color="auto" w:sz="4" w:space="0"/>
              <w:left w:val="nil"/>
              <w:bottom w:val="single" w:color="auto" w:sz="4" w:space="0"/>
              <w:right w:val="single" w:color="auto" w:sz="4" w:space="0"/>
            </w:tcBorders>
            <w:vAlign w:val="center"/>
          </w:tcPr>
          <w:p w14:paraId="565D2726">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磋商小组的</w:t>
            </w:r>
          </w:p>
          <w:p w14:paraId="77D0F48A">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组建</w:t>
            </w:r>
          </w:p>
        </w:tc>
        <w:tc>
          <w:tcPr>
            <w:tcW w:w="5890" w:type="dxa"/>
            <w:tcBorders>
              <w:top w:val="single" w:color="auto" w:sz="4" w:space="0"/>
              <w:left w:val="nil"/>
              <w:bottom w:val="single" w:color="auto" w:sz="4" w:space="0"/>
              <w:right w:val="single" w:color="auto" w:sz="4" w:space="0"/>
            </w:tcBorders>
            <w:vAlign w:val="center"/>
          </w:tcPr>
          <w:p w14:paraId="38729E9C">
            <w:pPr>
              <w:keepNext w:val="0"/>
              <w:keepLines w:val="0"/>
              <w:pageBreakBefore w:val="0"/>
              <w:widowControl/>
              <w:kinsoku/>
              <w:wordWrap/>
              <w:overflowPunct/>
              <w:topLinePunct w:val="0"/>
              <w:autoSpaceDE/>
              <w:autoSpaceDN/>
              <w:bidi w:val="0"/>
              <w:adjustRightInd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磋商小组构成：由采购人代表及有关经济、技术等方面的专家共3人组成，其中采购人代表1人，经济、技术等有关方面的专家2人。</w:t>
            </w:r>
          </w:p>
          <w:p w14:paraId="6B58BA64">
            <w:pPr>
              <w:keepNext w:val="0"/>
              <w:keepLines w:val="0"/>
              <w:pageBreakBefore w:val="0"/>
              <w:widowControl/>
              <w:kinsoku/>
              <w:wordWrap/>
              <w:overflowPunct/>
              <w:topLinePunct w:val="0"/>
              <w:autoSpaceDE/>
              <w:autoSpaceDN/>
              <w:bidi w:val="0"/>
              <w:adjustRightInd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评标专家确定方式：参加评标的专家由采购人、监督人在灵宝市公共资源交易中心抽取终端随机抽取确定。</w:t>
            </w:r>
          </w:p>
        </w:tc>
      </w:tr>
      <w:tr w14:paraId="196E4F9D">
        <w:tblPrEx>
          <w:tblCellMar>
            <w:top w:w="0" w:type="dxa"/>
            <w:left w:w="108" w:type="dxa"/>
            <w:bottom w:w="0" w:type="dxa"/>
            <w:right w:w="108" w:type="dxa"/>
          </w:tblCellMar>
        </w:tblPrEx>
        <w:trPr>
          <w:trHeight w:val="88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BE9EBF8">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w:t>
            </w:r>
          </w:p>
        </w:tc>
        <w:tc>
          <w:tcPr>
            <w:tcW w:w="1920" w:type="dxa"/>
            <w:tcBorders>
              <w:top w:val="single" w:color="auto" w:sz="4" w:space="0"/>
              <w:left w:val="nil"/>
              <w:bottom w:val="single" w:color="auto" w:sz="4" w:space="0"/>
              <w:right w:val="single" w:color="auto" w:sz="4" w:space="0"/>
            </w:tcBorders>
            <w:vAlign w:val="center"/>
          </w:tcPr>
          <w:p w14:paraId="10E3D7CA">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是否授权磋商</w:t>
            </w:r>
          </w:p>
          <w:p w14:paraId="1AB31B77">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小组确定成交人</w:t>
            </w:r>
          </w:p>
        </w:tc>
        <w:tc>
          <w:tcPr>
            <w:tcW w:w="5890" w:type="dxa"/>
            <w:tcBorders>
              <w:top w:val="single" w:color="auto" w:sz="4" w:space="0"/>
              <w:left w:val="nil"/>
              <w:bottom w:val="single" w:color="auto" w:sz="4" w:space="0"/>
              <w:right w:val="single" w:color="auto" w:sz="4" w:space="0"/>
            </w:tcBorders>
            <w:vAlign w:val="center"/>
          </w:tcPr>
          <w:p w14:paraId="3A52E4E9">
            <w:pPr>
              <w:keepNext w:val="0"/>
              <w:keepLines w:val="0"/>
              <w:pageBreakBefore w:val="0"/>
              <w:widowControl/>
              <w:kinsoku/>
              <w:wordWrap/>
              <w:overflowPunct/>
              <w:topLinePunct w:val="0"/>
              <w:bidi w:val="0"/>
              <w:snapToGrid/>
              <w:spacing w:after="0" w:line="360" w:lineRule="auto"/>
              <w:ind w:firstLine="240"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否，按顺序推荐的</w:t>
            </w:r>
            <w:r>
              <w:rPr>
                <w:rFonts w:hint="eastAsia" w:asciiTheme="minorEastAsia" w:hAnsiTheme="minorEastAsia" w:eastAsiaTheme="minorEastAsia" w:cstheme="minorEastAsia"/>
                <w:color w:val="auto"/>
                <w:kern w:val="44"/>
                <w:sz w:val="24"/>
                <w:szCs w:val="24"/>
                <w:highlight w:val="none"/>
              </w:rPr>
              <w:t>成交</w:t>
            </w:r>
            <w:r>
              <w:rPr>
                <w:rFonts w:hint="eastAsia" w:asciiTheme="minorEastAsia" w:hAnsiTheme="minorEastAsia" w:eastAsiaTheme="minorEastAsia" w:cstheme="minorEastAsia"/>
                <w:color w:val="auto"/>
                <w:sz w:val="24"/>
                <w:szCs w:val="24"/>
                <w:highlight w:val="none"/>
              </w:rPr>
              <w:t>候选人数：3名</w:t>
            </w:r>
          </w:p>
        </w:tc>
      </w:tr>
      <w:tr w14:paraId="2F0D40C9">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F6F2F78">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4.4</w:t>
            </w:r>
          </w:p>
        </w:tc>
        <w:tc>
          <w:tcPr>
            <w:tcW w:w="1920" w:type="dxa"/>
            <w:tcBorders>
              <w:top w:val="single" w:color="auto" w:sz="4" w:space="0"/>
              <w:left w:val="nil"/>
              <w:bottom w:val="single" w:color="auto" w:sz="4" w:space="0"/>
              <w:right w:val="single" w:color="auto" w:sz="4" w:space="0"/>
            </w:tcBorders>
            <w:vAlign w:val="center"/>
          </w:tcPr>
          <w:p w14:paraId="1035CA30">
            <w:pPr>
              <w:keepNext w:val="0"/>
              <w:keepLines w:val="0"/>
              <w:pageBreakBefore w:val="0"/>
              <w:widowControl/>
              <w:kinsoku/>
              <w:wordWrap/>
              <w:overflowPunct/>
              <w:topLinePunct w:val="0"/>
              <w:bidi w:val="0"/>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0"/>
                <w:sz w:val="24"/>
                <w:szCs w:val="24"/>
                <w:highlight w:val="none"/>
              </w:rPr>
              <w:t>履约保证金</w:t>
            </w:r>
          </w:p>
        </w:tc>
        <w:tc>
          <w:tcPr>
            <w:tcW w:w="5890" w:type="dxa"/>
            <w:tcBorders>
              <w:top w:val="single" w:color="auto" w:sz="4" w:space="0"/>
              <w:left w:val="nil"/>
              <w:bottom w:val="single" w:color="auto" w:sz="4" w:space="0"/>
              <w:right w:val="single" w:color="auto" w:sz="4" w:space="0"/>
            </w:tcBorders>
            <w:vAlign w:val="center"/>
          </w:tcPr>
          <w:p w14:paraId="41B56C5A">
            <w:pPr>
              <w:keepNext w:val="0"/>
              <w:keepLines w:val="0"/>
              <w:pageBreakBefore w:val="0"/>
              <w:widowControl/>
              <w:kinsoku/>
              <w:wordWrap/>
              <w:overflowPunct/>
              <w:topLinePunct w:val="0"/>
              <w:bidi w:val="0"/>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sz w:val="24"/>
                <w:szCs w:val="24"/>
                <w:highlight w:val="none"/>
              </w:rPr>
              <w:t>本项目不收取履约保证金。如供应商违反政府采购合同约定给采购人造成损失的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采购人按照</w:t>
            </w:r>
            <w:r>
              <w:rPr>
                <w:rFonts w:hint="eastAsia" w:asciiTheme="minorEastAsia" w:hAnsiTheme="minorEastAsia" w:eastAsiaTheme="minorEastAsia" w:cstheme="minorEastAsia"/>
                <w:b/>
                <w:bCs/>
                <w:color w:val="auto"/>
                <w:sz w:val="24"/>
                <w:szCs w:val="24"/>
                <w:highlight w:val="none"/>
              </w:rPr>
              <w:t>合同约定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要求供应商承担赔偿责任。</w:t>
            </w:r>
          </w:p>
        </w:tc>
      </w:tr>
      <w:tr w14:paraId="56FE52F2">
        <w:tblPrEx>
          <w:tblCellMar>
            <w:top w:w="0" w:type="dxa"/>
            <w:left w:w="108" w:type="dxa"/>
            <w:bottom w:w="0" w:type="dxa"/>
            <w:right w:w="108" w:type="dxa"/>
          </w:tblCellMar>
        </w:tblPrEx>
        <w:trPr>
          <w:trHeight w:val="322" w:hRule="atLeast"/>
          <w:jc w:val="center"/>
        </w:trPr>
        <w:tc>
          <w:tcPr>
            <w:tcW w:w="8818" w:type="dxa"/>
            <w:gridSpan w:val="3"/>
            <w:tcBorders>
              <w:top w:val="single" w:color="auto" w:sz="4" w:space="0"/>
              <w:left w:val="single" w:color="auto" w:sz="4" w:space="0"/>
              <w:bottom w:val="single" w:color="auto" w:sz="4" w:space="0"/>
              <w:right w:val="single" w:color="auto" w:sz="4" w:space="0"/>
            </w:tcBorders>
            <w:vAlign w:val="center"/>
          </w:tcPr>
          <w:p w14:paraId="70980A89">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需要补充的其他内容</w:t>
            </w:r>
          </w:p>
        </w:tc>
      </w:tr>
      <w:tr w14:paraId="67C0484C">
        <w:tblPrEx>
          <w:tblCellMar>
            <w:top w:w="0" w:type="dxa"/>
            <w:left w:w="108" w:type="dxa"/>
            <w:bottom w:w="0" w:type="dxa"/>
            <w:right w:w="108" w:type="dxa"/>
          </w:tblCellMar>
        </w:tblPrEx>
        <w:trPr>
          <w:trHeight w:val="938"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16C85C68">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5</w:t>
            </w:r>
          </w:p>
        </w:tc>
        <w:tc>
          <w:tcPr>
            <w:tcW w:w="1920" w:type="dxa"/>
            <w:tcBorders>
              <w:top w:val="single" w:color="auto" w:sz="4" w:space="0"/>
              <w:left w:val="nil"/>
              <w:bottom w:val="single" w:color="auto" w:sz="4" w:space="0"/>
              <w:right w:val="single" w:color="auto" w:sz="4" w:space="0"/>
            </w:tcBorders>
            <w:vAlign w:val="center"/>
          </w:tcPr>
          <w:p w14:paraId="0886931F">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b/>
                <w:bCs/>
                <w:color w:val="auto"/>
                <w:kern w:val="44"/>
                <w:sz w:val="24"/>
                <w:szCs w:val="24"/>
                <w:highlight w:val="none"/>
                <w:lang w:eastAsia="zh-CN"/>
              </w:rPr>
            </w:pPr>
            <w:r>
              <w:rPr>
                <w:rFonts w:hint="eastAsia" w:asciiTheme="minorEastAsia" w:hAnsiTheme="minorEastAsia" w:eastAsiaTheme="minorEastAsia" w:cstheme="minorEastAsia"/>
                <w:b/>
                <w:bCs/>
                <w:color w:val="auto"/>
                <w:kern w:val="44"/>
                <w:sz w:val="24"/>
                <w:szCs w:val="24"/>
                <w:highlight w:val="none"/>
                <w:lang w:val="en-US" w:eastAsia="zh-CN"/>
              </w:rPr>
              <w:t>采购预算</w:t>
            </w:r>
          </w:p>
        </w:tc>
        <w:tc>
          <w:tcPr>
            <w:tcW w:w="5890" w:type="dxa"/>
            <w:tcBorders>
              <w:top w:val="single" w:color="auto" w:sz="4" w:space="0"/>
              <w:left w:val="nil"/>
              <w:bottom w:val="single" w:color="auto" w:sz="4" w:space="0"/>
              <w:right w:val="single" w:color="auto" w:sz="4" w:space="0"/>
            </w:tcBorders>
            <w:vAlign w:val="center"/>
          </w:tcPr>
          <w:p w14:paraId="37F06FE3">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44"/>
                <w:sz w:val="24"/>
                <w:szCs w:val="24"/>
                <w:highlight w:val="none"/>
              </w:rPr>
              <w:t>本项目的</w:t>
            </w:r>
            <w:r>
              <w:rPr>
                <w:rFonts w:hint="eastAsia" w:asciiTheme="minorEastAsia" w:hAnsiTheme="minorEastAsia" w:eastAsiaTheme="minorEastAsia" w:cstheme="minorEastAsia"/>
                <w:b/>
                <w:bCs/>
                <w:color w:val="auto"/>
                <w:kern w:val="44"/>
                <w:sz w:val="24"/>
                <w:szCs w:val="24"/>
                <w:highlight w:val="none"/>
                <w:lang w:val="en-US" w:eastAsia="zh-CN"/>
              </w:rPr>
              <w:t>最高限价</w:t>
            </w:r>
            <w:r>
              <w:rPr>
                <w:rFonts w:hint="eastAsia" w:asciiTheme="minorEastAsia" w:hAnsiTheme="minorEastAsia" w:eastAsiaTheme="minorEastAsia" w:cstheme="minorEastAsia"/>
                <w:b/>
                <w:bCs/>
                <w:color w:val="auto"/>
                <w:kern w:val="44"/>
                <w:sz w:val="24"/>
                <w:szCs w:val="24"/>
                <w:highlight w:val="none"/>
              </w:rPr>
              <w:t>为</w:t>
            </w:r>
            <w:r>
              <w:rPr>
                <w:rFonts w:hint="eastAsia" w:asciiTheme="minorEastAsia" w:hAnsiTheme="minorEastAsia" w:eastAsiaTheme="minorEastAsia" w:cstheme="minorEastAsia"/>
                <w:b/>
                <w:bCs/>
                <w:color w:val="auto"/>
                <w:kern w:val="44"/>
                <w:sz w:val="24"/>
                <w:szCs w:val="24"/>
                <w:highlight w:val="none"/>
                <w:lang w:eastAsia="zh-CN"/>
              </w:rPr>
              <w:t>（</w:t>
            </w:r>
            <w:r>
              <w:rPr>
                <w:rFonts w:hint="eastAsia" w:asciiTheme="minorEastAsia" w:hAnsiTheme="minorEastAsia" w:eastAsiaTheme="minorEastAsia" w:cstheme="minorEastAsia"/>
                <w:b/>
                <w:bCs/>
                <w:color w:val="auto"/>
                <w:kern w:val="44"/>
                <w:sz w:val="24"/>
                <w:szCs w:val="24"/>
                <w:highlight w:val="none"/>
                <w:lang w:val="en-US" w:eastAsia="zh-CN"/>
              </w:rPr>
              <w:t>187.2</w:t>
            </w:r>
            <w:r>
              <w:rPr>
                <w:rFonts w:hint="eastAsia" w:asciiTheme="minorEastAsia" w:hAnsiTheme="minorEastAsia" w:eastAsiaTheme="minorEastAsia" w:cstheme="minorEastAsia"/>
                <w:b/>
                <w:bCs/>
                <w:color w:val="auto"/>
                <w:kern w:val="44"/>
                <w:sz w:val="24"/>
                <w:szCs w:val="24"/>
                <w:highlight w:val="none"/>
                <w:lang w:eastAsia="zh-CN"/>
              </w:rPr>
              <w:t>万元</w:t>
            </w:r>
            <w:r>
              <w:rPr>
                <w:rFonts w:hint="eastAsia" w:asciiTheme="minorEastAsia" w:hAnsiTheme="minorEastAsia" w:eastAsiaTheme="minorEastAsia" w:cstheme="minorEastAsia"/>
                <w:b/>
                <w:bCs/>
                <w:color w:val="auto"/>
                <w:kern w:val="44"/>
                <w:sz w:val="24"/>
                <w:szCs w:val="24"/>
                <w:highlight w:val="none"/>
              </w:rPr>
              <w:t>），凡</w:t>
            </w:r>
            <w:r>
              <w:rPr>
                <w:rFonts w:hint="eastAsia" w:asciiTheme="minorEastAsia" w:hAnsiTheme="minorEastAsia" w:eastAsiaTheme="minorEastAsia" w:cstheme="minorEastAsia"/>
                <w:b/>
                <w:bCs/>
                <w:color w:val="auto"/>
                <w:kern w:val="44"/>
                <w:sz w:val="24"/>
                <w:szCs w:val="24"/>
                <w:highlight w:val="none"/>
                <w:lang w:eastAsia="zh-CN"/>
              </w:rPr>
              <w:t>供应商</w:t>
            </w:r>
            <w:r>
              <w:rPr>
                <w:rFonts w:hint="eastAsia" w:asciiTheme="minorEastAsia" w:hAnsiTheme="minorEastAsia" w:eastAsiaTheme="minorEastAsia" w:cstheme="minorEastAsia"/>
                <w:b/>
                <w:bCs/>
                <w:color w:val="auto"/>
                <w:kern w:val="44"/>
                <w:sz w:val="24"/>
                <w:szCs w:val="24"/>
                <w:highlight w:val="none"/>
              </w:rPr>
              <w:t>的磋商报价超出</w:t>
            </w:r>
            <w:r>
              <w:rPr>
                <w:rFonts w:hint="eastAsia" w:asciiTheme="minorEastAsia" w:hAnsiTheme="minorEastAsia" w:eastAsiaTheme="minorEastAsia" w:cstheme="minorEastAsia"/>
                <w:b/>
                <w:bCs/>
                <w:color w:val="auto"/>
                <w:kern w:val="44"/>
                <w:sz w:val="24"/>
                <w:szCs w:val="24"/>
                <w:highlight w:val="none"/>
                <w:lang w:eastAsia="zh-CN"/>
              </w:rPr>
              <w:t>“最高限价”（</w:t>
            </w:r>
            <w:r>
              <w:rPr>
                <w:rFonts w:hint="eastAsia" w:asciiTheme="minorEastAsia" w:hAnsiTheme="minorEastAsia" w:eastAsiaTheme="minorEastAsia" w:cstheme="minorEastAsia"/>
                <w:b/>
                <w:bCs/>
                <w:color w:val="auto"/>
                <w:kern w:val="44"/>
                <w:sz w:val="24"/>
                <w:szCs w:val="24"/>
                <w:highlight w:val="none"/>
              </w:rPr>
              <w:t>不含等于</w:t>
            </w:r>
            <w:r>
              <w:rPr>
                <w:rFonts w:hint="eastAsia" w:asciiTheme="minorEastAsia" w:hAnsiTheme="minorEastAsia" w:eastAsiaTheme="minorEastAsia" w:cstheme="minorEastAsia"/>
                <w:b/>
                <w:bCs/>
                <w:color w:val="auto"/>
                <w:kern w:val="44"/>
                <w:sz w:val="24"/>
                <w:szCs w:val="24"/>
                <w:highlight w:val="none"/>
                <w:lang w:eastAsia="zh-CN"/>
              </w:rPr>
              <w:t>“最高限价”</w:t>
            </w:r>
            <w:r>
              <w:rPr>
                <w:rFonts w:hint="eastAsia" w:asciiTheme="minorEastAsia" w:hAnsiTheme="minorEastAsia" w:eastAsiaTheme="minorEastAsia" w:cstheme="minorEastAsia"/>
                <w:b/>
                <w:bCs/>
                <w:color w:val="auto"/>
                <w:kern w:val="44"/>
                <w:sz w:val="24"/>
                <w:szCs w:val="24"/>
                <w:highlight w:val="none"/>
              </w:rPr>
              <w:t>）的，其投标将被否决。</w:t>
            </w:r>
          </w:p>
        </w:tc>
      </w:tr>
      <w:tr w14:paraId="12E94F61">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A698495">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6</w:t>
            </w:r>
          </w:p>
        </w:tc>
        <w:tc>
          <w:tcPr>
            <w:tcW w:w="1920" w:type="dxa"/>
            <w:tcBorders>
              <w:top w:val="single" w:color="auto" w:sz="4" w:space="0"/>
              <w:left w:val="nil"/>
              <w:bottom w:val="single" w:color="auto" w:sz="4" w:space="0"/>
              <w:right w:val="single" w:color="auto" w:sz="4" w:space="0"/>
            </w:tcBorders>
            <w:vAlign w:val="center"/>
          </w:tcPr>
          <w:p w14:paraId="0FC2EBDB">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竞争性磋商文件的解释</w:t>
            </w:r>
          </w:p>
        </w:tc>
        <w:tc>
          <w:tcPr>
            <w:tcW w:w="5890" w:type="dxa"/>
            <w:tcBorders>
              <w:top w:val="single" w:color="auto" w:sz="4" w:space="0"/>
              <w:left w:val="nil"/>
              <w:bottom w:val="single" w:color="auto" w:sz="4" w:space="0"/>
              <w:right w:val="single" w:color="auto" w:sz="4" w:space="0"/>
            </w:tcBorders>
            <w:vAlign w:val="center"/>
          </w:tcPr>
          <w:p w14:paraId="75B3F589">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 xml:space="preserve">  在符合相关法律法规的前提下，竞争性磋商文件的解释权归</w:t>
            </w:r>
            <w:r>
              <w:rPr>
                <w:rFonts w:hint="eastAsia" w:asciiTheme="minorEastAsia" w:hAnsiTheme="minorEastAsia" w:eastAsiaTheme="minorEastAsia" w:cstheme="minorEastAsia"/>
                <w:color w:val="auto"/>
                <w:kern w:val="44"/>
                <w:sz w:val="24"/>
                <w:szCs w:val="24"/>
                <w:highlight w:val="none"/>
                <w:lang w:eastAsia="zh-CN"/>
              </w:rPr>
              <w:t>采购人</w:t>
            </w:r>
            <w:r>
              <w:rPr>
                <w:rFonts w:hint="eastAsia" w:asciiTheme="minorEastAsia" w:hAnsiTheme="minorEastAsia" w:eastAsiaTheme="minorEastAsia" w:cstheme="minorEastAsia"/>
                <w:color w:val="auto"/>
                <w:kern w:val="44"/>
                <w:sz w:val="24"/>
                <w:szCs w:val="24"/>
                <w:highlight w:val="none"/>
              </w:rPr>
              <w:t>所有。</w:t>
            </w:r>
          </w:p>
        </w:tc>
      </w:tr>
      <w:tr w14:paraId="14E66222">
        <w:tblPrEx>
          <w:tblCellMar>
            <w:top w:w="0" w:type="dxa"/>
            <w:left w:w="108" w:type="dxa"/>
            <w:bottom w:w="0" w:type="dxa"/>
            <w:right w:w="108" w:type="dxa"/>
          </w:tblCellMar>
        </w:tblPrEx>
        <w:trPr>
          <w:trHeight w:val="9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34DF458D">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7</w:t>
            </w:r>
          </w:p>
        </w:tc>
        <w:tc>
          <w:tcPr>
            <w:tcW w:w="1920" w:type="dxa"/>
            <w:tcBorders>
              <w:top w:val="single" w:color="auto" w:sz="4" w:space="0"/>
              <w:left w:val="nil"/>
              <w:bottom w:val="single" w:color="auto" w:sz="4" w:space="0"/>
              <w:right w:val="single" w:color="auto" w:sz="4" w:space="0"/>
            </w:tcBorders>
            <w:vAlign w:val="center"/>
          </w:tcPr>
          <w:p w14:paraId="1A184FF1">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相关费用</w:t>
            </w:r>
          </w:p>
        </w:tc>
        <w:tc>
          <w:tcPr>
            <w:tcW w:w="5890" w:type="dxa"/>
            <w:tcBorders>
              <w:top w:val="single" w:color="auto" w:sz="4" w:space="0"/>
              <w:left w:val="nil"/>
              <w:bottom w:val="single" w:color="auto" w:sz="4" w:space="0"/>
              <w:right w:val="single" w:color="auto" w:sz="4" w:space="0"/>
            </w:tcBorders>
            <w:vAlign w:val="center"/>
          </w:tcPr>
          <w:p w14:paraId="3BA98CCA">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竞争性磋商文件费</w:t>
            </w:r>
            <w:r>
              <w:rPr>
                <w:rFonts w:hint="eastAsia" w:asciiTheme="minorEastAsia" w:hAnsiTheme="minorEastAsia" w:eastAsiaTheme="minorEastAsia" w:cstheme="minorEastAsia"/>
                <w:color w:val="auto"/>
                <w:sz w:val="24"/>
                <w:szCs w:val="24"/>
                <w:highlight w:val="none"/>
              </w:rPr>
              <w:t>：本项目为全电子招标，不在收取竞争性磋商文件费；</w:t>
            </w:r>
          </w:p>
        </w:tc>
      </w:tr>
      <w:tr w14:paraId="2EB0C85E">
        <w:tblPrEx>
          <w:tblCellMar>
            <w:top w:w="0" w:type="dxa"/>
            <w:left w:w="108" w:type="dxa"/>
            <w:bottom w:w="0" w:type="dxa"/>
            <w:right w:w="108" w:type="dxa"/>
          </w:tblCellMar>
        </w:tblPrEx>
        <w:trPr>
          <w:trHeight w:val="72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E984121">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8</w:t>
            </w:r>
          </w:p>
        </w:tc>
        <w:tc>
          <w:tcPr>
            <w:tcW w:w="1920" w:type="dxa"/>
            <w:tcBorders>
              <w:top w:val="single" w:color="auto" w:sz="4" w:space="0"/>
              <w:left w:val="nil"/>
              <w:bottom w:val="single" w:color="auto" w:sz="4" w:space="0"/>
              <w:right w:val="single" w:color="auto" w:sz="4" w:space="0"/>
            </w:tcBorders>
            <w:vAlign w:val="center"/>
          </w:tcPr>
          <w:p w14:paraId="7F82DC17">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pacing w:val="6"/>
                <w:sz w:val="24"/>
                <w:szCs w:val="24"/>
                <w:highlight w:val="none"/>
              </w:rPr>
              <w:t>代理服务费</w:t>
            </w:r>
          </w:p>
        </w:tc>
        <w:tc>
          <w:tcPr>
            <w:tcW w:w="5890" w:type="dxa"/>
            <w:tcBorders>
              <w:top w:val="single" w:color="auto" w:sz="4" w:space="0"/>
              <w:left w:val="nil"/>
              <w:bottom w:val="single" w:color="auto" w:sz="4" w:space="0"/>
              <w:right w:val="single" w:color="auto" w:sz="4" w:space="0"/>
            </w:tcBorders>
            <w:vAlign w:val="center"/>
          </w:tcPr>
          <w:p w14:paraId="4F208A66">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代理费用收取方式：转账</w:t>
            </w:r>
          </w:p>
          <w:p w14:paraId="0EF266C6">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用收取标准：本项目招标代理费用按照河南省招标投标协会豫招办〔2023〕002号文《河南省招标投标协会关于印发《河南省招标代理服务收费指导意见》的通知》中关于招标代理服务费收费标准执行，招标代理服务费用由中标人按照以上标准支付。</w:t>
            </w:r>
          </w:p>
          <w:p w14:paraId="0C13A9E1">
            <w:pPr>
              <w:keepNext w:val="0"/>
              <w:keepLines w:val="0"/>
              <w:pageBreakBefore w:val="0"/>
              <w:widowControl/>
              <w:kinsoku/>
              <w:wordWrap/>
              <w:overflowPunct/>
              <w:topLinePunct w:val="0"/>
              <w:bidi w:val="0"/>
              <w:adjustRightInd/>
              <w:snapToGrid/>
              <w:spacing w:after="0" w:line="360" w:lineRule="auto"/>
              <w:jc w:val="left"/>
              <w:textAlignment w:val="auto"/>
              <w:rPr>
                <w:rFonts w:hint="eastAsia"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收款单位：河南精开咨询有限公司灵宝分公司</w:t>
            </w:r>
          </w:p>
          <w:p w14:paraId="50DDFC08">
            <w:pPr>
              <w:keepNext w:val="0"/>
              <w:keepLines w:val="0"/>
              <w:pageBreakBefore w:val="0"/>
              <w:widowControl/>
              <w:kinsoku/>
              <w:wordWrap/>
              <w:overflowPunct/>
              <w:topLinePunct w:val="0"/>
              <w:bidi w:val="0"/>
              <w:adjustRightInd/>
              <w:snapToGrid/>
              <w:spacing w:after="0" w:line="360" w:lineRule="auto"/>
              <w:jc w:val="left"/>
              <w:textAlignment w:val="auto"/>
              <w:rPr>
                <w:rFonts w:hint="eastAsia"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开户行：中国银行股份有限公司灵宝桃林支行</w:t>
            </w:r>
          </w:p>
          <w:p w14:paraId="49063C40">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cs="Times New Roman" w:asciiTheme="minorEastAsia" w:hAnsiTheme="minorEastAsia" w:eastAsiaTheme="minorEastAsia"/>
                <w:color w:val="auto"/>
                <w:kern w:val="2"/>
                <w:sz w:val="24"/>
                <w:szCs w:val="24"/>
                <w:highlight w:val="none"/>
              </w:rPr>
              <w:t>账号：248196255393</w:t>
            </w:r>
          </w:p>
        </w:tc>
      </w:tr>
      <w:tr w14:paraId="242D7BC5">
        <w:tblPrEx>
          <w:tblCellMar>
            <w:top w:w="0" w:type="dxa"/>
            <w:left w:w="108" w:type="dxa"/>
            <w:bottom w:w="0" w:type="dxa"/>
            <w:right w:w="108" w:type="dxa"/>
          </w:tblCellMar>
        </w:tblPrEx>
        <w:trPr>
          <w:trHeight w:val="72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7BB828F">
            <w:pPr>
              <w:keepNext w:val="0"/>
              <w:keepLines w:val="0"/>
              <w:pageBreakBefore w:val="0"/>
              <w:widowControl/>
              <w:kinsoku/>
              <w:wordWrap/>
              <w:overflowPunct/>
              <w:topLinePunct w:val="0"/>
              <w:autoSpaceDE w:val="0"/>
              <w:autoSpaceDN w:val="0"/>
              <w:bidi w:val="0"/>
              <w:adjustRightInd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4.9</w:t>
            </w:r>
          </w:p>
        </w:tc>
        <w:tc>
          <w:tcPr>
            <w:tcW w:w="1920" w:type="dxa"/>
            <w:tcBorders>
              <w:top w:val="single" w:color="auto" w:sz="4" w:space="0"/>
              <w:left w:val="nil"/>
              <w:bottom w:val="single" w:color="auto" w:sz="4" w:space="0"/>
              <w:right w:val="single" w:color="auto" w:sz="4" w:space="0"/>
            </w:tcBorders>
            <w:vAlign w:val="center"/>
          </w:tcPr>
          <w:p w14:paraId="31718A30">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b w:val="0"/>
                <w:bCs w:val="0"/>
                <w:color w:val="auto"/>
                <w:spacing w:val="6"/>
                <w:sz w:val="24"/>
                <w:szCs w:val="24"/>
                <w:highlight w:val="none"/>
                <w:lang w:val="en-US" w:eastAsia="zh-CN"/>
              </w:rPr>
            </w:pPr>
            <w:r>
              <w:rPr>
                <w:rFonts w:hint="eastAsia" w:asciiTheme="minorEastAsia" w:hAnsiTheme="minorEastAsia" w:eastAsiaTheme="minorEastAsia" w:cstheme="minorEastAsia"/>
                <w:b w:val="0"/>
                <w:bCs w:val="0"/>
                <w:color w:val="auto"/>
                <w:spacing w:val="6"/>
                <w:sz w:val="24"/>
                <w:szCs w:val="24"/>
                <w:highlight w:val="none"/>
                <w:lang w:val="en-US" w:eastAsia="zh-CN"/>
              </w:rPr>
              <w:t>合同签订与付款方式</w:t>
            </w:r>
          </w:p>
        </w:tc>
        <w:tc>
          <w:tcPr>
            <w:tcW w:w="5890" w:type="dxa"/>
            <w:tcBorders>
              <w:top w:val="single" w:color="auto" w:sz="4" w:space="0"/>
              <w:left w:val="nil"/>
              <w:bottom w:val="single" w:color="auto" w:sz="4" w:space="0"/>
              <w:right w:val="single" w:color="auto" w:sz="4" w:space="0"/>
            </w:tcBorders>
            <w:vAlign w:val="center"/>
          </w:tcPr>
          <w:p w14:paraId="7E3A1EDA">
            <w:pPr>
              <w:keepNext w:val="0"/>
              <w:keepLines w:val="0"/>
              <w:pageBreakBefore w:val="0"/>
              <w:widowControl/>
              <w:kinsoku/>
              <w:wordWrap/>
              <w:overflowPunct/>
              <w:topLinePunct w:val="0"/>
              <w:bidi w:val="0"/>
              <w:snapToGrid/>
              <w:spacing w:after="0" w:line="360" w:lineRule="auto"/>
              <w:jc w:val="left"/>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成交后双方自行协商</w:t>
            </w:r>
          </w:p>
        </w:tc>
      </w:tr>
      <w:tr w14:paraId="6C106030">
        <w:tblPrEx>
          <w:tblCellMar>
            <w:top w:w="0" w:type="dxa"/>
            <w:left w:w="108" w:type="dxa"/>
            <w:bottom w:w="0" w:type="dxa"/>
            <w:right w:w="108" w:type="dxa"/>
          </w:tblCellMar>
        </w:tblPrEx>
        <w:trPr>
          <w:trHeight w:val="110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E0DD549">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0"/>
                <w:sz w:val="24"/>
                <w:szCs w:val="24"/>
                <w:highlight w:val="none"/>
              </w:rPr>
            </w:pPr>
            <w:bookmarkStart w:id="30" w:name="_Toc179632546"/>
            <w:bookmarkStart w:id="31" w:name="_Toc246996918"/>
            <w:bookmarkStart w:id="32" w:name="_Toc144974497"/>
            <w:bookmarkStart w:id="33" w:name="_Toc296602420"/>
            <w:bookmarkStart w:id="34" w:name="_Toc152045529"/>
            <w:bookmarkStart w:id="35" w:name="_Toc247085689"/>
            <w:bookmarkStart w:id="36" w:name="_Toc246996175"/>
            <w:bookmarkStart w:id="37" w:name="_Toc152042305"/>
            <w:r>
              <w:rPr>
                <w:rFonts w:hint="eastAsia" w:asciiTheme="minorEastAsia" w:hAnsiTheme="minorEastAsia" w:eastAsiaTheme="minorEastAsia" w:cstheme="minorEastAsia"/>
                <w:color w:val="auto"/>
                <w:sz w:val="24"/>
                <w:szCs w:val="24"/>
                <w:highlight w:val="none"/>
              </w:rPr>
              <w:t>5.0</w:t>
            </w:r>
          </w:p>
        </w:tc>
        <w:tc>
          <w:tcPr>
            <w:tcW w:w="1920" w:type="dxa"/>
            <w:tcBorders>
              <w:top w:val="single" w:color="auto" w:sz="4" w:space="0"/>
              <w:left w:val="nil"/>
              <w:bottom w:val="single" w:color="auto" w:sz="4" w:space="0"/>
              <w:right w:val="single" w:color="auto" w:sz="4" w:space="0"/>
            </w:tcBorders>
            <w:vAlign w:val="center"/>
          </w:tcPr>
          <w:p w14:paraId="6C08CBE0">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不良行为记录</w:t>
            </w:r>
          </w:p>
        </w:tc>
        <w:tc>
          <w:tcPr>
            <w:tcW w:w="5890" w:type="dxa"/>
            <w:tcBorders>
              <w:top w:val="single" w:color="auto" w:sz="4" w:space="0"/>
              <w:left w:val="nil"/>
              <w:bottom w:val="single" w:color="auto" w:sz="4" w:space="0"/>
              <w:right w:val="single" w:color="auto" w:sz="4" w:space="0"/>
            </w:tcBorders>
            <w:vAlign w:val="center"/>
          </w:tcPr>
          <w:p w14:paraId="5C8BA971">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 xml:space="preserve">  在以往项目中，因质量、安全、节能及交易活动受通报批评或记入不良行为记录。</w:t>
            </w:r>
          </w:p>
        </w:tc>
      </w:tr>
      <w:tr w14:paraId="3BDF2DD8">
        <w:tblPrEx>
          <w:tblCellMar>
            <w:top w:w="0" w:type="dxa"/>
            <w:left w:w="108" w:type="dxa"/>
            <w:bottom w:w="0" w:type="dxa"/>
            <w:right w:w="108" w:type="dxa"/>
          </w:tblCellMar>
        </w:tblPrEx>
        <w:trPr>
          <w:trHeight w:val="67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A62152C">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w:t>
            </w:r>
          </w:p>
        </w:tc>
        <w:tc>
          <w:tcPr>
            <w:tcW w:w="1920" w:type="dxa"/>
            <w:tcBorders>
              <w:top w:val="single" w:color="auto" w:sz="4" w:space="0"/>
              <w:left w:val="nil"/>
              <w:bottom w:val="single" w:color="auto" w:sz="4" w:space="0"/>
              <w:right w:val="single" w:color="auto" w:sz="4" w:space="0"/>
            </w:tcBorders>
            <w:vAlign w:val="center"/>
          </w:tcPr>
          <w:p w14:paraId="2249FBAB">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b/>
                <w:bCs/>
                <w:color w:val="auto"/>
                <w:sz w:val="24"/>
                <w:szCs w:val="24"/>
                <w:highlight w:val="none"/>
              </w:rPr>
              <w:t>政府采购政策</w:t>
            </w:r>
          </w:p>
        </w:tc>
        <w:tc>
          <w:tcPr>
            <w:tcW w:w="5890" w:type="dxa"/>
            <w:tcBorders>
              <w:top w:val="single" w:color="auto" w:sz="4" w:space="0"/>
              <w:left w:val="nil"/>
              <w:bottom w:val="single" w:color="auto" w:sz="4" w:space="0"/>
              <w:right w:val="single" w:color="auto" w:sz="4" w:space="0"/>
            </w:tcBorders>
            <w:vAlign w:val="center"/>
          </w:tcPr>
          <w:p w14:paraId="27498470">
            <w:pPr>
              <w:keepNext w:val="0"/>
              <w:keepLines w:val="0"/>
              <w:pageBreakBefore w:val="0"/>
              <w:widowControl/>
              <w:kinsoku/>
              <w:wordWrap/>
              <w:overflowPunct/>
              <w:topLinePunct w:val="0"/>
              <w:bidi w:val="0"/>
              <w:snapToGrid/>
              <w:spacing w:after="0" w:line="360" w:lineRule="auto"/>
              <w:ind w:firstLine="240" w:firstLineChars="100"/>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根据《政府采购促进中小企业发展管理办法》</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财库﹝2020﹞46 号）的规定本项目对中小微企业扶持政策按以下规定落实：</w:t>
            </w:r>
          </w:p>
          <w:p w14:paraId="62B968A4">
            <w:pPr>
              <w:keepNext w:val="0"/>
              <w:keepLines w:val="0"/>
              <w:pageBreakBefore w:val="0"/>
              <w:widowControl/>
              <w:kinsoku/>
              <w:wordWrap/>
              <w:overflowPunct/>
              <w:topLinePunct w:val="0"/>
              <w:bidi w:val="0"/>
              <w:snapToGrid/>
              <w:spacing w:after="0" w:line="360" w:lineRule="auto"/>
              <w:ind w:firstLine="240" w:firstLineChars="100"/>
              <w:jc w:val="left"/>
              <w:textAlignment w:val="auto"/>
              <w:rPr>
                <w:rFonts w:hint="eastAsia" w:asciiTheme="minorEastAsia" w:hAnsiTheme="minorEastAsia" w:eastAsiaTheme="minorEastAsia" w:cstheme="minorEastAsia"/>
                <w:color w:val="auto"/>
                <w:kern w:val="44"/>
                <w:sz w:val="24"/>
                <w:szCs w:val="24"/>
                <w:highlight w:val="none"/>
                <w:lang w:val="en-US" w:eastAsia="zh-CN"/>
              </w:rPr>
            </w:pP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1）参与采购的供应商应提供《中小企业声明函》</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lang w:val="en-US" w:eastAsia="zh-CN"/>
              </w:rPr>
              <w:t>并提供证明材料。</w:t>
            </w:r>
          </w:p>
          <w:p w14:paraId="71CB04DD">
            <w:pPr>
              <w:keepNext w:val="0"/>
              <w:keepLines w:val="0"/>
              <w:pageBreakBefore w:val="0"/>
              <w:widowControl/>
              <w:kinsoku/>
              <w:wordWrap/>
              <w:overflowPunct/>
              <w:topLinePunct w:val="0"/>
              <w:bidi w:val="0"/>
              <w:snapToGrid/>
              <w:spacing w:after="0" w:line="360" w:lineRule="auto"/>
              <w:ind w:firstLine="240" w:firstLineChars="100"/>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2）采购标的对应的中小企业划分标准所属行业：根据工信部联企业[2011]300号文的规定，本项目涉及中小企业的行业划型属于</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b/>
                <w:bCs/>
                <w:color w:val="auto"/>
                <w:kern w:val="44"/>
                <w:sz w:val="24"/>
                <w:szCs w:val="24"/>
                <w:highlight w:val="none"/>
              </w:rPr>
              <w:t>软件和信息技术服务业</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　　</w:t>
            </w:r>
          </w:p>
          <w:p w14:paraId="15154DAA">
            <w:pPr>
              <w:keepNext w:val="0"/>
              <w:keepLines w:val="0"/>
              <w:pageBreakBefore w:val="0"/>
              <w:widowControl/>
              <w:kinsoku/>
              <w:wordWrap/>
              <w:overflowPunct/>
              <w:topLinePunct w:val="0"/>
              <w:bidi w:val="0"/>
              <w:snapToGrid/>
              <w:spacing w:after="0" w:line="360" w:lineRule="auto"/>
              <w:ind w:firstLine="240" w:firstLineChars="100"/>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3）其他优惠措施：监狱企业、残疾人福利性单位视同小微企业。</w:t>
            </w:r>
          </w:p>
          <w:p w14:paraId="5A4961EA">
            <w:pPr>
              <w:keepNext w:val="0"/>
              <w:keepLines w:val="0"/>
              <w:pageBreakBefore w:val="0"/>
              <w:widowControl/>
              <w:kinsoku/>
              <w:wordWrap/>
              <w:overflowPunct/>
              <w:topLinePunct w:val="0"/>
              <w:bidi w:val="0"/>
              <w:snapToGrid/>
              <w:spacing w:after="0" w:line="360" w:lineRule="auto"/>
              <w:ind w:firstLine="240" w:firstLineChars="100"/>
              <w:jc w:val="left"/>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相关风险：提供虚假证明材料后果：</w:t>
            </w:r>
            <w:r>
              <w:rPr>
                <w:rFonts w:hint="eastAsia" w:asciiTheme="minorEastAsia" w:hAnsiTheme="minorEastAsia" w:eastAsiaTheme="minorEastAsia" w:cstheme="minorEastAsia"/>
                <w:color w:val="auto"/>
                <w:kern w:val="44"/>
                <w:sz w:val="24"/>
                <w:szCs w:val="24"/>
                <w:highlight w:val="none"/>
                <w:lang w:eastAsia="zh-CN"/>
              </w:rPr>
              <w:t>供应商</w:t>
            </w:r>
            <w:r>
              <w:rPr>
                <w:rFonts w:hint="eastAsia" w:asciiTheme="minorEastAsia" w:hAnsiTheme="minorEastAsia" w:eastAsiaTheme="minorEastAsia" w:cstheme="minorEastAsia"/>
                <w:color w:val="auto"/>
                <w:kern w:val="44"/>
                <w:sz w:val="24"/>
                <w:szCs w:val="24"/>
                <w:highlight w:val="none"/>
              </w:rPr>
              <w:t>为取得上述身份而提供虚假证明材料，在评审过程中发现的，按无效标处理；已取得中标资格的，无论该行为是否影响中标，均取消其中标资格；该</w:t>
            </w:r>
            <w:r>
              <w:rPr>
                <w:rFonts w:hint="eastAsia" w:asciiTheme="minorEastAsia" w:hAnsiTheme="minorEastAsia" w:eastAsiaTheme="minorEastAsia" w:cstheme="minorEastAsia"/>
                <w:color w:val="auto"/>
                <w:kern w:val="44"/>
                <w:sz w:val="24"/>
                <w:szCs w:val="24"/>
                <w:highlight w:val="none"/>
                <w:lang w:eastAsia="zh-CN"/>
              </w:rPr>
              <w:t>供应商</w:t>
            </w:r>
            <w:r>
              <w:rPr>
                <w:rFonts w:hint="eastAsia" w:asciiTheme="minorEastAsia" w:hAnsiTheme="minorEastAsia" w:eastAsiaTheme="minorEastAsia" w:cstheme="minorEastAsia"/>
                <w:color w:val="auto"/>
                <w:kern w:val="44"/>
                <w:sz w:val="24"/>
                <w:szCs w:val="24"/>
                <w:highlight w:val="none"/>
              </w:rPr>
              <w:t>还应承担由此引起的其他经济、法律责任。出现此种情形时，</w:t>
            </w:r>
            <w:r>
              <w:rPr>
                <w:rFonts w:hint="eastAsia" w:asciiTheme="minorEastAsia" w:hAnsiTheme="minorEastAsia" w:eastAsiaTheme="minorEastAsia" w:cstheme="minorEastAsia"/>
                <w:color w:val="auto"/>
                <w:kern w:val="44"/>
                <w:sz w:val="24"/>
                <w:szCs w:val="24"/>
                <w:highlight w:val="none"/>
                <w:lang w:eastAsia="zh-CN"/>
              </w:rPr>
              <w:t>采购人</w:t>
            </w:r>
            <w:r>
              <w:rPr>
                <w:rFonts w:hint="eastAsia" w:asciiTheme="minorEastAsia" w:hAnsiTheme="minorEastAsia" w:eastAsiaTheme="minorEastAsia" w:cstheme="minorEastAsia"/>
                <w:color w:val="auto"/>
                <w:kern w:val="44"/>
                <w:sz w:val="24"/>
                <w:szCs w:val="24"/>
                <w:highlight w:val="none"/>
              </w:rPr>
              <w:t>、</w:t>
            </w:r>
            <w:r>
              <w:rPr>
                <w:rFonts w:hint="eastAsia" w:asciiTheme="minorEastAsia" w:hAnsiTheme="minorEastAsia" w:eastAsiaTheme="minorEastAsia" w:cstheme="minorEastAsia"/>
                <w:color w:val="auto"/>
                <w:kern w:val="44"/>
                <w:sz w:val="24"/>
                <w:szCs w:val="24"/>
                <w:highlight w:val="none"/>
                <w:lang w:eastAsia="zh-CN"/>
              </w:rPr>
              <w:t>采购代理机构</w:t>
            </w:r>
            <w:r>
              <w:rPr>
                <w:rFonts w:hint="eastAsia" w:asciiTheme="minorEastAsia" w:hAnsiTheme="minorEastAsia" w:eastAsiaTheme="minorEastAsia" w:cstheme="minorEastAsia"/>
                <w:color w:val="auto"/>
                <w:kern w:val="44"/>
                <w:sz w:val="24"/>
                <w:szCs w:val="24"/>
                <w:highlight w:val="none"/>
              </w:rPr>
              <w:t>将有关情况上报政府采购监管部门，由监管部门按有关规定对其进行相应处罚。</w:t>
            </w:r>
          </w:p>
        </w:tc>
      </w:tr>
      <w:tr w14:paraId="3546D774">
        <w:tblPrEx>
          <w:tblCellMar>
            <w:top w:w="0" w:type="dxa"/>
            <w:left w:w="108" w:type="dxa"/>
            <w:bottom w:w="0" w:type="dxa"/>
            <w:right w:w="108" w:type="dxa"/>
          </w:tblCellMar>
        </w:tblPrEx>
        <w:trPr>
          <w:trHeight w:val="403" w:hRule="atLeast"/>
          <w:jc w:val="center"/>
        </w:trPr>
        <w:tc>
          <w:tcPr>
            <w:tcW w:w="8818" w:type="dxa"/>
            <w:gridSpan w:val="3"/>
            <w:tcBorders>
              <w:top w:val="single" w:color="auto" w:sz="4" w:space="0"/>
              <w:left w:val="single" w:color="auto" w:sz="4" w:space="0"/>
              <w:bottom w:val="single" w:color="auto" w:sz="4" w:space="0"/>
              <w:right w:val="single" w:color="auto" w:sz="4" w:space="0"/>
            </w:tcBorders>
            <w:vAlign w:val="center"/>
          </w:tcPr>
          <w:p w14:paraId="07BC4BB9">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5.2 成交公示</w:t>
            </w:r>
          </w:p>
        </w:tc>
      </w:tr>
      <w:tr w14:paraId="66647DA0">
        <w:tblPrEx>
          <w:tblCellMar>
            <w:top w:w="0" w:type="dxa"/>
            <w:left w:w="108" w:type="dxa"/>
            <w:bottom w:w="0" w:type="dxa"/>
            <w:right w:w="108" w:type="dxa"/>
          </w:tblCellMar>
        </w:tblPrEx>
        <w:trPr>
          <w:trHeight w:val="72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10606EA">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p>
          <w:p w14:paraId="482AB916">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sz w:val="24"/>
                <w:szCs w:val="24"/>
                <w:highlight w:val="none"/>
              </w:rPr>
            </w:pPr>
          </w:p>
        </w:tc>
        <w:tc>
          <w:tcPr>
            <w:tcW w:w="7810" w:type="dxa"/>
            <w:gridSpan w:val="2"/>
            <w:tcBorders>
              <w:top w:val="single" w:color="auto" w:sz="4" w:space="0"/>
              <w:left w:val="nil"/>
              <w:bottom w:val="single" w:color="auto" w:sz="4" w:space="0"/>
              <w:right w:val="single" w:color="auto" w:sz="4" w:space="0"/>
            </w:tcBorders>
            <w:vAlign w:val="center"/>
          </w:tcPr>
          <w:p w14:paraId="055420F9">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 xml:space="preserve">  在成交通知书发出前，</w:t>
            </w:r>
            <w:r>
              <w:rPr>
                <w:rFonts w:hint="eastAsia" w:asciiTheme="minorEastAsia" w:hAnsiTheme="minorEastAsia" w:eastAsiaTheme="minorEastAsia" w:cstheme="minorEastAsia"/>
                <w:color w:val="auto"/>
                <w:kern w:val="44"/>
                <w:sz w:val="24"/>
                <w:szCs w:val="24"/>
                <w:highlight w:val="none"/>
                <w:lang w:eastAsia="zh-CN"/>
              </w:rPr>
              <w:t>采购人</w:t>
            </w:r>
            <w:r>
              <w:rPr>
                <w:rFonts w:hint="eastAsia" w:asciiTheme="minorEastAsia" w:hAnsiTheme="minorEastAsia" w:eastAsiaTheme="minorEastAsia" w:cstheme="minorEastAsia"/>
                <w:color w:val="auto"/>
                <w:kern w:val="44"/>
                <w:sz w:val="24"/>
                <w:szCs w:val="24"/>
                <w:highlight w:val="none"/>
              </w:rPr>
              <w:t>将成交候选人的情况在本磋商项目竞争性磋商公告发布的同一媒介《</w:t>
            </w:r>
            <w:r>
              <w:rPr>
                <w:rFonts w:hint="eastAsia" w:asciiTheme="minorEastAsia" w:hAnsiTheme="minorEastAsia" w:eastAsiaTheme="minorEastAsia" w:cstheme="minorEastAsia"/>
                <w:color w:val="auto"/>
                <w:kern w:val="44"/>
                <w:sz w:val="24"/>
                <w:szCs w:val="24"/>
                <w:highlight w:val="none"/>
                <w:lang w:val="en-US" w:eastAsia="zh-CN"/>
              </w:rPr>
              <w:t>中国</w:t>
            </w:r>
            <w:r>
              <w:rPr>
                <w:rFonts w:hint="eastAsia" w:asciiTheme="minorEastAsia" w:hAnsiTheme="minorEastAsia" w:eastAsiaTheme="minorEastAsia" w:cstheme="minorEastAsia"/>
                <w:color w:val="auto"/>
                <w:kern w:val="44"/>
                <w:sz w:val="24"/>
                <w:szCs w:val="24"/>
                <w:highlight w:val="none"/>
              </w:rPr>
              <w:t>采购与招标网》、《河南省政府采购网》、《三门峡市公共资源交易中心网》上予以公示。</w:t>
            </w:r>
          </w:p>
        </w:tc>
      </w:tr>
      <w:tr w14:paraId="6EEBD715">
        <w:tblPrEx>
          <w:tblCellMar>
            <w:top w:w="0" w:type="dxa"/>
            <w:left w:w="108" w:type="dxa"/>
            <w:bottom w:w="0" w:type="dxa"/>
            <w:right w:w="108" w:type="dxa"/>
          </w:tblCellMar>
        </w:tblPrEx>
        <w:trPr>
          <w:trHeight w:val="514" w:hRule="atLeast"/>
          <w:jc w:val="center"/>
        </w:trPr>
        <w:tc>
          <w:tcPr>
            <w:tcW w:w="8818" w:type="dxa"/>
            <w:gridSpan w:val="3"/>
            <w:tcBorders>
              <w:top w:val="single" w:color="auto" w:sz="4" w:space="0"/>
              <w:left w:val="single" w:color="auto" w:sz="4" w:space="0"/>
              <w:bottom w:val="single" w:color="auto" w:sz="4" w:space="0"/>
              <w:right w:val="single" w:color="auto" w:sz="4" w:space="0"/>
            </w:tcBorders>
            <w:vAlign w:val="center"/>
          </w:tcPr>
          <w:p w14:paraId="2B09ACF9">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5.3知识产权</w:t>
            </w:r>
          </w:p>
        </w:tc>
      </w:tr>
      <w:tr w14:paraId="50DCDB88">
        <w:tblPrEx>
          <w:tblCellMar>
            <w:top w:w="0" w:type="dxa"/>
            <w:left w:w="108" w:type="dxa"/>
            <w:bottom w:w="0" w:type="dxa"/>
            <w:right w:w="108" w:type="dxa"/>
          </w:tblCellMar>
        </w:tblPrEx>
        <w:trPr>
          <w:trHeight w:val="72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11134678">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7810" w:type="dxa"/>
            <w:gridSpan w:val="2"/>
            <w:tcBorders>
              <w:top w:val="single" w:color="auto" w:sz="4" w:space="0"/>
              <w:left w:val="nil"/>
              <w:bottom w:val="single" w:color="auto" w:sz="4" w:space="0"/>
              <w:right w:val="single" w:color="auto" w:sz="4" w:space="0"/>
            </w:tcBorders>
            <w:vAlign w:val="center"/>
          </w:tcPr>
          <w:p w14:paraId="4562D170">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 xml:space="preserve">  构成本竞争性磋商文件各个组成部分的文件，未经</w:t>
            </w:r>
            <w:r>
              <w:rPr>
                <w:rFonts w:hint="eastAsia" w:asciiTheme="minorEastAsia" w:hAnsiTheme="minorEastAsia" w:eastAsiaTheme="minorEastAsia" w:cstheme="minorEastAsia"/>
                <w:color w:val="auto"/>
                <w:kern w:val="44"/>
                <w:sz w:val="24"/>
                <w:szCs w:val="24"/>
                <w:highlight w:val="none"/>
                <w:lang w:eastAsia="zh-CN"/>
              </w:rPr>
              <w:t>采购人</w:t>
            </w:r>
            <w:r>
              <w:rPr>
                <w:rFonts w:hint="eastAsia" w:asciiTheme="minorEastAsia" w:hAnsiTheme="minorEastAsia" w:eastAsiaTheme="minorEastAsia" w:cstheme="minorEastAsia"/>
                <w:color w:val="auto"/>
                <w:kern w:val="44"/>
                <w:sz w:val="24"/>
                <w:szCs w:val="24"/>
                <w:highlight w:val="none"/>
              </w:rPr>
              <w:t>书面同意，</w:t>
            </w:r>
            <w:r>
              <w:rPr>
                <w:rFonts w:hint="eastAsia" w:asciiTheme="minorEastAsia" w:hAnsiTheme="minorEastAsia" w:eastAsiaTheme="minorEastAsia" w:cstheme="minorEastAsia"/>
                <w:color w:val="auto"/>
                <w:kern w:val="44"/>
                <w:sz w:val="24"/>
                <w:szCs w:val="24"/>
                <w:highlight w:val="none"/>
                <w:lang w:eastAsia="zh-CN"/>
              </w:rPr>
              <w:t>供应商</w:t>
            </w:r>
            <w:r>
              <w:rPr>
                <w:rFonts w:hint="eastAsia" w:asciiTheme="minorEastAsia" w:hAnsiTheme="minorEastAsia" w:eastAsiaTheme="minorEastAsia" w:cstheme="minorEastAsia"/>
                <w:color w:val="auto"/>
                <w:kern w:val="44"/>
                <w:sz w:val="24"/>
                <w:szCs w:val="24"/>
                <w:highlight w:val="none"/>
              </w:rPr>
              <w:t>不得擅自复印和用于非本磋商项目所需的其他目的。</w:t>
            </w:r>
            <w:r>
              <w:rPr>
                <w:rFonts w:hint="eastAsia" w:asciiTheme="minorEastAsia" w:hAnsiTheme="minorEastAsia" w:eastAsiaTheme="minorEastAsia" w:cstheme="minorEastAsia"/>
                <w:color w:val="auto"/>
                <w:kern w:val="44"/>
                <w:sz w:val="24"/>
                <w:szCs w:val="24"/>
                <w:highlight w:val="none"/>
                <w:lang w:eastAsia="zh-CN"/>
              </w:rPr>
              <w:t>采购人</w:t>
            </w:r>
            <w:r>
              <w:rPr>
                <w:rFonts w:hint="eastAsia" w:asciiTheme="minorEastAsia" w:hAnsiTheme="minorEastAsia" w:eastAsiaTheme="minorEastAsia" w:cstheme="minorEastAsia"/>
                <w:color w:val="auto"/>
                <w:kern w:val="44"/>
                <w:sz w:val="24"/>
                <w:szCs w:val="24"/>
                <w:highlight w:val="none"/>
              </w:rPr>
              <w:t>全部或者部分使用未成交人磋商响应文件中的技术成果或技术方案时，需征得其书面同意，并不得擅自复印或提供给第三人。</w:t>
            </w:r>
          </w:p>
        </w:tc>
      </w:tr>
      <w:tr w14:paraId="61AAF8F7">
        <w:tblPrEx>
          <w:tblCellMar>
            <w:top w:w="0" w:type="dxa"/>
            <w:left w:w="108" w:type="dxa"/>
            <w:bottom w:w="0" w:type="dxa"/>
            <w:right w:w="108" w:type="dxa"/>
          </w:tblCellMar>
        </w:tblPrEx>
        <w:trPr>
          <w:trHeight w:val="470" w:hRule="atLeast"/>
          <w:jc w:val="center"/>
        </w:trPr>
        <w:tc>
          <w:tcPr>
            <w:tcW w:w="8818" w:type="dxa"/>
            <w:gridSpan w:val="3"/>
            <w:tcBorders>
              <w:top w:val="single" w:color="auto" w:sz="4" w:space="0"/>
              <w:left w:val="single" w:color="auto" w:sz="4" w:space="0"/>
              <w:bottom w:val="single" w:color="auto" w:sz="4" w:space="0"/>
              <w:right w:val="single" w:color="auto" w:sz="4" w:space="0"/>
            </w:tcBorders>
            <w:vAlign w:val="center"/>
          </w:tcPr>
          <w:p w14:paraId="4631C0DD">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5.4同义词语</w:t>
            </w:r>
          </w:p>
        </w:tc>
      </w:tr>
      <w:tr w14:paraId="21E57177">
        <w:tblPrEx>
          <w:tblCellMar>
            <w:top w:w="0" w:type="dxa"/>
            <w:left w:w="108" w:type="dxa"/>
            <w:bottom w:w="0" w:type="dxa"/>
            <w:right w:w="108" w:type="dxa"/>
          </w:tblCellMar>
        </w:tblPrEx>
        <w:trPr>
          <w:trHeight w:val="72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A18CC25">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p>
          <w:p w14:paraId="526D18C4">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p>
        </w:tc>
        <w:tc>
          <w:tcPr>
            <w:tcW w:w="7810" w:type="dxa"/>
            <w:gridSpan w:val="2"/>
            <w:tcBorders>
              <w:top w:val="single" w:color="auto" w:sz="4" w:space="0"/>
              <w:left w:val="nil"/>
              <w:bottom w:val="single" w:color="auto" w:sz="4" w:space="0"/>
              <w:right w:val="single" w:color="auto" w:sz="4" w:space="0"/>
            </w:tcBorders>
            <w:vAlign w:val="center"/>
          </w:tcPr>
          <w:p w14:paraId="5C0CDD79">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 xml:space="preserve">  构成竞争性磋商文件组成部分的</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通用合同条款</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专用合同条款</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技术标准和要求</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等章节中出现的措辞</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发包人</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和</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承包人</w:t>
            </w:r>
            <w:r>
              <w:rPr>
                <w:rFonts w:hint="eastAsia" w:asciiTheme="minorEastAsia" w:hAnsiTheme="minorEastAsia" w:eastAsiaTheme="minorEastAsia" w:cstheme="minorEastAsia"/>
                <w:color w:val="auto"/>
                <w:kern w:val="44"/>
                <w:sz w:val="24"/>
                <w:szCs w:val="24"/>
                <w:highlight w:val="none"/>
                <w:lang w:eastAsia="zh-CN"/>
              </w:rPr>
              <w:t>”</w:t>
            </w:r>
            <w:r>
              <w:rPr>
                <w:rFonts w:hint="eastAsia" w:asciiTheme="minorEastAsia" w:hAnsiTheme="minorEastAsia" w:eastAsiaTheme="minorEastAsia" w:cstheme="minorEastAsia"/>
                <w:color w:val="auto"/>
                <w:kern w:val="44"/>
                <w:sz w:val="24"/>
                <w:szCs w:val="24"/>
                <w:highlight w:val="none"/>
              </w:rPr>
              <w:t>，在招标投标阶段应当分别按</w:t>
            </w:r>
            <w:r>
              <w:rPr>
                <w:rFonts w:hint="eastAsia" w:asciiTheme="minorEastAsia" w:hAnsiTheme="minorEastAsia" w:eastAsiaTheme="minorEastAsia" w:cstheme="minorEastAsia"/>
                <w:color w:val="auto"/>
                <w:kern w:val="44"/>
                <w:sz w:val="24"/>
                <w:szCs w:val="24"/>
                <w:highlight w:val="none"/>
                <w:lang w:eastAsia="zh-CN"/>
              </w:rPr>
              <w:t>“采购人”</w:t>
            </w:r>
            <w:r>
              <w:rPr>
                <w:rFonts w:hint="eastAsia" w:asciiTheme="minorEastAsia" w:hAnsiTheme="minorEastAsia" w:eastAsiaTheme="minorEastAsia" w:cstheme="minorEastAsia"/>
                <w:color w:val="auto"/>
                <w:kern w:val="44"/>
                <w:sz w:val="24"/>
                <w:szCs w:val="24"/>
                <w:highlight w:val="none"/>
              </w:rPr>
              <w:t>和</w:t>
            </w:r>
            <w:r>
              <w:rPr>
                <w:rFonts w:hint="eastAsia" w:asciiTheme="minorEastAsia" w:hAnsiTheme="minorEastAsia" w:eastAsiaTheme="minorEastAsia" w:cstheme="minorEastAsia"/>
                <w:color w:val="auto"/>
                <w:kern w:val="44"/>
                <w:sz w:val="24"/>
                <w:szCs w:val="24"/>
                <w:highlight w:val="none"/>
                <w:lang w:eastAsia="zh-CN"/>
              </w:rPr>
              <w:t>“供应商”</w:t>
            </w:r>
            <w:r>
              <w:rPr>
                <w:rFonts w:hint="eastAsia" w:asciiTheme="minorEastAsia" w:hAnsiTheme="minorEastAsia" w:eastAsiaTheme="minorEastAsia" w:cstheme="minorEastAsia"/>
                <w:color w:val="auto"/>
                <w:kern w:val="44"/>
                <w:sz w:val="24"/>
                <w:szCs w:val="24"/>
                <w:highlight w:val="none"/>
              </w:rPr>
              <w:t>进行理解。</w:t>
            </w:r>
          </w:p>
        </w:tc>
      </w:tr>
      <w:tr w14:paraId="126259F8">
        <w:tblPrEx>
          <w:tblCellMar>
            <w:top w:w="0" w:type="dxa"/>
            <w:left w:w="108" w:type="dxa"/>
            <w:bottom w:w="0" w:type="dxa"/>
            <w:right w:w="108" w:type="dxa"/>
          </w:tblCellMar>
        </w:tblPrEx>
        <w:trPr>
          <w:trHeight w:val="426" w:hRule="atLeast"/>
          <w:jc w:val="center"/>
        </w:trPr>
        <w:tc>
          <w:tcPr>
            <w:tcW w:w="8818" w:type="dxa"/>
            <w:gridSpan w:val="3"/>
            <w:tcBorders>
              <w:top w:val="single" w:color="auto" w:sz="4" w:space="0"/>
              <w:left w:val="single" w:color="auto" w:sz="4" w:space="0"/>
              <w:bottom w:val="single" w:color="auto" w:sz="4" w:space="0"/>
              <w:right w:val="single" w:color="auto" w:sz="4" w:space="0"/>
            </w:tcBorders>
            <w:vAlign w:val="center"/>
          </w:tcPr>
          <w:p w14:paraId="33ACA018">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5.5监督</w:t>
            </w:r>
          </w:p>
        </w:tc>
      </w:tr>
      <w:tr w14:paraId="27373D2F">
        <w:tblPrEx>
          <w:tblCellMar>
            <w:top w:w="0" w:type="dxa"/>
            <w:left w:w="108" w:type="dxa"/>
            <w:bottom w:w="0" w:type="dxa"/>
            <w:right w:w="108" w:type="dxa"/>
          </w:tblCellMar>
        </w:tblPrEx>
        <w:trPr>
          <w:trHeight w:val="72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F6101B7">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p>
        </w:tc>
        <w:tc>
          <w:tcPr>
            <w:tcW w:w="7810" w:type="dxa"/>
            <w:gridSpan w:val="2"/>
            <w:tcBorders>
              <w:top w:val="single" w:color="auto" w:sz="4" w:space="0"/>
              <w:left w:val="nil"/>
              <w:bottom w:val="single" w:color="auto" w:sz="4" w:space="0"/>
              <w:right w:val="single" w:color="auto" w:sz="4" w:space="0"/>
            </w:tcBorders>
            <w:vAlign w:val="center"/>
          </w:tcPr>
          <w:p w14:paraId="6F010940">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 xml:space="preserve">  本项目的招标投标活动及其相关当事人应当接受有管辖权的行政监督部门依法实施的监督。</w:t>
            </w:r>
          </w:p>
        </w:tc>
      </w:tr>
      <w:tr w14:paraId="4F791889">
        <w:tblPrEx>
          <w:tblCellMar>
            <w:top w:w="0" w:type="dxa"/>
            <w:left w:w="108" w:type="dxa"/>
            <w:bottom w:w="0" w:type="dxa"/>
            <w:right w:w="108" w:type="dxa"/>
          </w:tblCellMar>
        </w:tblPrEx>
        <w:trPr>
          <w:trHeight w:val="727" w:hRule="atLeast"/>
          <w:jc w:val="center"/>
        </w:trPr>
        <w:tc>
          <w:tcPr>
            <w:tcW w:w="8818" w:type="dxa"/>
            <w:gridSpan w:val="3"/>
            <w:tcBorders>
              <w:top w:val="single" w:color="auto" w:sz="4" w:space="0"/>
              <w:left w:val="single" w:color="auto" w:sz="4" w:space="0"/>
              <w:bottom w:val="single" w:color="auto" w:sz="4" w:space="0"/>
              <w:right w:val="single" w:color="auto" w:sz="4" w:space="0"/>
            </w:tcBorders>
            <w:vAlign w:val="center"/>
          </w:tcPr>
          <w:p w14:paraId="6AD66BF2">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 xml:space="preserve"> 5.6解释权</w:t>
            </w:r>
          </w:p>
        </w:tc>
      </w:tr>
      <w:tr w14:paraId="3201F7AA">
        <w:tblPrEx>
          <w:tblCellMar>
            <w:top w:w="0" w:type="dxa"/>
            <w:left w:w="108" w:type="dxa"/>
            <w:bottom w:w="0" w:type="dxa"/>
            <w:right w:w="108" w:type="dxa"/>
          </w:tblCellMar>
        </w:tblPrEx>
        <w:trPr>
          <w:trHeight w:val="72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AAB311B">
            <w:pPr>
              <w:keepNext w:val="0"/>
              <w:keepLines w:val="0"/>
              <w:pageBreakBefore w:val="0"/>
              <w:widowControl/>
              <w:kinsoku/>
              <w:wordWrap/>
              <w:overflowPunct/>
              <w:topLinePunct w:val="0"/>
              <w:bidi w:val="0"/>
              <w:snapToGrid/>
              <w:spacing w:after="0" w:line="360" w:lineRule="auto"/>
              <w:jc w:val="left"/>
              <w:textAlignment w:val="auto"/>
              <w:rPr>
                <w:rFonts w:hint="eastAsia" w:asciiTheme="minorEastAsia" w:hAnsiTheme="minorEastAsia" w:eastAsiaTheme="minorEastAsia" w:cstheme="minorEastAsia"/>
                <w:color w:val="auto"/>
                <w:kern w:val="44"/>
                <w:sz w:val="24"/>
                <w:szCs w:val="24"/>
                <w:highlight w:val="none"/>
              </w:rPr>
            </w:pPr>
          </w:p>
        </w:tc>
        <w:tc>
          <w:tcPr>
            <w:tcW w:w="7810" w:type="dxa"/>
            <w:gridSpan w:val="2"/>
            <w:tcBorders>
              <w:top w:val="single" w:color="auto" w:sz="4" w:space="0"/>
              <w:left w:val="nil"/>
              <w:bottom w:val="single" w:color="auto" w:sz="4" w:space="0"/>
              <w:right w:val="single" w:color="auto" w:sz="4" w:space="0"/>
            </w:tcBorders>
            <w:vAlign w:val="center"/>
          </w:tcPr>
          <w:p w14:paraId="39660258">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44"/>
                <w:sz w:val="24"/>
                <w:szCs w:val="24"/>
                <w:highlight w:val="none"/>
              </w:rPr>
            </w:pPr>
            <w:r>
              <w:rPr>
                <w:rFonts w:hint="eastAsia" w:asciiTheme="minorEastAsia" w:hAnsiTheme="minorEastAsia" w:eastAsiaTheme="minorEastAsia" w:cstheme="minorEastAsia"/>
                <w:color w:val="auto"/>
                <w:kern w:val="44"/>
                <w:sz w:val="24"/>
                <w:szCs w:val="24"/>
                <w:highlight w:val="none"/>
              </w:rPr>
              <w:t xml:space="preserve">  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招标投标阶段的规定，按竞争性磋商公告、</w:t>
            </w:r>
            <w:r>
              <w:rPr>
                <w:rFonts w:hint="eastAsia" w:asciiTheme="minorEastAsia" w:hAnsiTheme="minorEastAsia" w:eastAsiaTheme="minorEastAsia" w:cstheme="minorEastAsia"/>
                <w:color w:val="auto"/>
                <w:kern w:val="44"/>
                <w:sz w:val="24"/>
                <w:szCs w:val="24"/>
                <w:highlight w:val="none"/>
                <w:lang w:eastAsia="zh-CN"/>
              </w:rPr>
              <w:t>供应商</w:t>
            </w:r>
            <w:r>
              <w:rPr>
                <w:rFonts w:hint="eastAsia" w:asciiTheme="minorEastAsia" w:hAnsiTheme="minorEastAsia" w:eastAsiaTheme="minorEastAsia" w:cstheme="minorEastAsia"/>
                <w:color w:val="auto"/>
                <w:kern w:val="44"/>
                <w:sz w:val="24"/>
                <w:szCs w:val="24"/>
                <w:highlight w:val="none"/>
              </w:rPr>
              <w:t>须知、评审方法、磋商响应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heme="minorEastAsia" w:hAnsiTheme="minorEastAsia" w:eastAsiaTheme="minorEastAsia" w:cstheme="minorEastAsia"/>
                <w:color w:val="auto"/>
                <w:kern w:val="44"/>
                <w:sz w:val="24"/>
                <w:szCs w:val="24"/>
                <w:highlight w:val="none"/>
                <w:lang w:eastAsia="zh-CN"/>
              </w:rPr>
              <w:t>采购人</w:t>
            </w:r>
            <w:r>
              <w:rPr>
                <w:rFonts w:hint="eastAsia" w:asciiTheme="minorEastAsia" w:hAnsiTheme="minorEastAsia" w:eastAsiaTheme="minorEastAsia" w:cstheme="minorEastAsia"/>
                <w:color w:val="auto"/>
                <w:kern w:val="44"/>
                <w:sz w:val="24"/>
                <w:szCs w:val="24"/>
                <w:highlight w:val="none"/>
              </w:rPr>
              <w:t>负责解释。</w:t>
            </w:r>
          </w:p>
        </w:tc>
      </w:tr>
      <w:tr w14:paraId="2DE28573">
        <w:tblPrEx>
          <w:tblCellMar>
            <w:top w:w="0" w:type="dxa"/>
            <w:left w:w="108" w:type="dxa"/>
            <w:bottom w:w="0" w:type="dxa"/>
            <w:right w:w="108" w:type="dxa"/>
          </w:tblCellMar>
        </w:tblPrEx>
        <w:trPr>
          <w:trHeight w:val="72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6FAAE4E">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5.7</w:t>
            </w:r>
          </w:p>
          <w:p w14:paraId="551742EC">
            <w:pPr>
              <w:keepNext w:val="0"/>
              <w:keepLines w:val="0"/>
              <w:pageBreakBefore w:val="0"/>
              <w:widowControl/>
              <w:kinsoku/>
              <w:wordWrap/>
              <w:overflowPunct/>
              <w:topLinePunct w:val="0"/>
              <w:bidi w:val="0"/>
              <w:snapToGrid/>
              <w:spacing w:after="0"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电子化交易注意事项</w:t>
            </w:r>
          </w:p>
        </w:tc>
        <w:tc>
          <w:tcPr>
            <w:tcW w:w="7810" w:type="dxa"/>
            <w:gridSpan w:val="2"/>
            <w:tcBorders>
              <w:top w:val="single" w:color="auto" w:sz="4" w:space="0"/>
              <w:left w:val="nil"/>
              <w:bottom w:val="single" w:color="auto" w:sz="4" w:space="0"/>
              <w:right w:val="single" w:color="auto" w:sz="4" w:space="0"/>
            </w:tcBorders>
            <w:vAlign w:val="center"/>
          </w:tcPr>
          <w:p w14:paraId="7D5AE62B">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本项目为电子化、无纸化交易项目，</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是供应商、供应商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）通过中心</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制作系统制作，并经过电子签章和加密后生成的电子版</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。供应商投标时，将不再接受任何纸质文件资料。</w:t>
            </w:r>
          </w:p>
          <w:p w14:paraId="1172873E">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电子化</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具体制作文件请点击</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"http://t.cn/A6ZvtVob"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http://t.cn/A6ZvtVob</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进行下载。</w:t>
            </w:r>
          </w:p>
          <w:p w14:paraId="7948CF37">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温馨提示：本项目为电子化、无纸化交易项目，供应商时不接受任何纸质资料，为保证您能投标成功，请需仔细阅读以下条款。</w:t>
            </w:r>
          </w:p>
          <w:p w14:paraId="67F09296">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具体要求：本项目为电子化、无纸化交易项目，响应文件是</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通过中心磋商响应文件制作系统制作，并经过签章和加密后生成的电子版磋商响应文件。</w:t>
            </w:r>
          </w:p>
          <w:p w14:paraId="53949FB3">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一、电子化投标</w:t>
            </w:r>
          </w:p>
          <w:p w14:paraId="24C1F6F0">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一）网上磋商保证金的缴纳</w:t>
            </w:r>
          </w:p>
          <w:p w14:paraId="709D8B03">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本项目不收取磋商保证金。</w:t>
            </w:r>
          </w:p>
          <w:p w14:paraId="721D4E14">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二）电子化</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的签章</w:t>
            </w:r>
          </w:p>
          <w:p w14:paraId="1532348A">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在生成电子化磋商响应文件后，应对电子化磋商响应文件进行签章，未进行签章的视为无效投标。</w:t>
            </w:r>
          </w:p>
          <w:p w14:paraId="42EC5740">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b/>
                <w:color w:val="auto"/>
                <w:sz w:val="24"/>
                <w:highlight w:val="none"/>
              </w:rPr>
              <w:t>竞争性磋商文件中要求磋商响应</w:t>
            </w:r>
            <w:r>
              <w:rPr>
                <w:rFonts w:hint="eastAsia" w:asciiTheme="minorEastAsia" w:hAnsiTheme="minorEastAsia" w:eastAsiaTheme="minorEastAsia" w:cstheme="minorEastAsia"/>
                <w:b/>
                <w:color w:val="auto"/>
                <w:sz w:val="24"/>
                <w:highlight w:val="none"/>
                <w:lang w:val="en-US" w:eastAsia="zh-CN"/>
              </w:rPr>
              <w:t>供应商</w:t>
            </w:r>
            <w:r>
              <w:rPr>
                <w:rFonts w:hint="eastAsia" w:asciiTheme="minorEastAsia" w:hAnsiTheme="minorEastAsia" w:eastAsiaTheme="minorEastAsia" w:cstheme="minorEastAsia"/>
                <w:b/>
                <w:color w:val="auto"/>
                <w:sz w:val="24"/>
                <w:highlight w:val="none"/>
              </w:rPr>
              <w:t>盖章的，以签盖单位章为准；要求法定代表人或授权代理人签章的，以签盖法定代表人签章为准</w:t>
            </w:r>
            <w:r>
              <w:rPr>
                <w:rFonts w:hint="eastAsia" w:asciiTheme="minorEastAsia" w:hAnsiTheme="minorEastAsia" w:eastAsiaTheme="minorEastAsia" w:cstheme="minorEastAsia"/>
                <w:color w:val="auto"/>
                <w:sz w:val="24"/>
                <w:highlight w:val="none"/>
              </w:rPr>
              <w:t>。</w:t>
            </w:r>
          </w:p>
          <w:p w14:paraId="2D7CC36A">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三）电子化磋商响应文件的格式及上传</w:t>
            </w:r>
          </w:p>
          <w:p w14:paraId="2F1D607A">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所上传的电子化磋商响应文件，应是通过中心</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制作系统制作的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制作工具下载地址：</w:t>
            </w:r>
            <w:r>
              <w:rPr>
                <w:rFonts w:hint="eastAsia" w:asciiTheme="minorEastAsia" w:hAnsiTheme="minorEastAsia" w:eastAsiaTheme="minorEastAsia" w:cstheme="minorEastAsia"/>
                <w:color w:val="auto"/>
                <w:sz w:val="24"/>
                <w:szCs w:val="24"/>
                <w:highlight w:val="none"/>
              </w:rPr>
              <w:t>https://download.bqpoint.com/download/downloaddetail.html?SourceFrom=Ztb&amp;ZtbSoftXiaQuCode=1506&amp;ZtbSoftType=tballinclusive</w:t>
            </w:r>
            <w:r>
              <w:rPr>
                <w:rFonts w:hint="eastAsia" w:asciiTheme="minorEastAsia" w:hAnsiTheme="minorEastAsia" w:eastAsiaTheme="minorEastAsia" w:cstheme="minorEastAsia"/>
                <w:color w:val="auto"/>
                <w:sz w:val="24"/>
                <w:highlight w:val="none"/>
              </w:rPr>
              <w:t>），经过签章和加密后生成的电子版磋商响应文件。其中包含用于磋商响应文件上传的主文件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后缀为.smxtf）和用于应急补救的磋商响应文件备份文件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后缀为.nsmxtf）。备份文件主要用于电子化开标出现技术问题后的补救。</w:t>
            </w:r>
          </w:p>
          <w:p w14:paraId="1BB64B4D">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2、电子化磋商响应文件应在</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时间前成功上传至三门峡市公共资源电子化交易系统。至</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时间止，仍未上传成功的电子化磋商响应文件将不予接收。</w:t>
            </w:r>
          </w:p>
          <w:p w14:paraId="254371E1">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注：</w:t>
            </w:r>
            <w:r>
              <w:rPr>
                <w:rFonts w:hint="eastAsia" w:asciiTheme="minorEastAsia" w:hAnsiTheme="minorEastAsia" w:eastAsiaTheme="minorEastAsia" w:cstheme="minorEastAsia"/>
                <w:color w:val="auto"/>
                <w:sz w:val="24"/>
                <w:highlight w:val="none"/>
              </w:rPr>
              <w:t>如按照电子化投标操作教材制作完成的电子化磋商响应文件无法上传的，</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应在</w:t>
            </w:r>
            <w:r>
              <w:rPr>
                <w:rFonts w:hint="eastAsia" w:asciiTheme="minorEastAsia" w:hAnsiTheme="minorEastAsia" w:eastAsiaTheme="minorEastAsia" w:cstheme="minorEastAsia"/>
                <w:b/>
                <w:color w:val="auto"/>
                <w:sz w:val="24"/>
                <w:highlight w:val="none"/>
                <w:lang w:eastAsia="zh-CN"/>
              </w:rPr>
              <w:t>磋商</w:t>
            </w:r>
            <w:r>
              <w:rPr>
                <w:rFonts w:hint="eastAsia" w:asciiTheme="minorEastAsia" w:hAnsiTheme="minorEastAsia" w:eastAsiaTheme="minorEastAsia" w:cstheme="minorEastAsia"/>
                <w:b/>
                <w:color w:val="auto"/>
                <w:sz w:val="24"/>
                <w:highlight w:val="none"/>
              </w:rPr>
              <w:t>时间前尽早的</w:t>
            </w:r>
            <w:r>
              <w:rPr>
                <w:rFonts w:hint="eastAsia" w:asciiTheme="minorEastAsia" w:hAnsiTheme="minorEastAsia" w:eastAsiaTheme="minorEastAsia" w:cstheme="minorEastAsia"/>
                <w:color w:val="auto"/>
                <w:sz w:val="24"/>
                <w:highlight w:val="none"/>
              </w:rPr>
              <w:t>联系中心技术人员，以便有充分的时间进行处理。</w:t>
            </w:r>
            <w:r>
              <w:rPr>
                <w:rFonts w:hint="eastAsia" w:asciiTheme="minorEastAsia" w:hAnsiTheme="minorEastAsia" w:eastAsiaTheme="minorEastAsia" w:cstheme="minorEastAsia"/>
                <w:b/>
                <w:color w:val="auto"/>
                <w:sz w:val="24"/>
                <w:highlight w:val="none"/>
                <w:lang w:val="en-US" w:eastAsia="zh-CN"/>
              </w:rPr>
              <w:t>供应商</w:t>
            </w:r>
            <w:r>
              <w:rPr>
                <w:rFonts w:hint="eastAsia" w:asciiTheme="minorEastAsia" w:hAnsiTheme="minorEastAsia" w:eastAsiaTheme="minorEastAsia" w:cstheme="minorEastAsia"/>
                <w:b/>
                <w:color w:val="auto"/>
                <w:sz w:val="24"/>
                <w:highlight w:val="none"/>
              </w:rPr>
              <w:t>应充分考虑到处理技术问题和上传数据等工作所需的时间问题，磋商响应文件未在</w:t>
            </w:r>
            <w:r>
              <w:rPr>
                <w:rFonts w:hint="eastAsia" w:asciiTheme="minorEastAsia" w:hAnsiTheme="minorEastAsia" w:eastAsiaTheme="minorEastAsia" w:cstheme="minorEastAsia"/>
                <w:b/>
                <w:color w:val="auto"/>
                <w:sz w:val="24"/>
                <w:highlight w:val="none"/>
                <w:lang w:eastAsia="zh-CN"/>
              </w:rPr>
              <w:t>磋商</w:t>
            </w:r>
            <w:r>
              <w:rPr>
                <w:rFonts w:hint="eastAsia" w:asciiTheme="minorEastAsia" w:hAnsiTheme="minorEastAsia" w:eastAsiaTheme="minorEastAsia" w:cstheme="minorEastAsia"/>
                <w:b/>
                <w:color w:val="auto"/>
                <w:sz w:val="24"/>
                <w:highlight w:val="none"/>
              </w:rPr>
              <w:t>时间前成功上传的，其磋商响应文件不予接收。</w:t>
            </w:r>
          </w:p>
          <w:p w14:paraId="417CF472">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技术联系电话：0398-3117871</w:t>
            </w:r>
          </w:p>
          <w:p w14:paraId="0826EF63">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新点客服电话：4009980000</w:t>
            </w:r>
          </w:p>
          <w:p w14:paraId="56EF1790">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四）电子化项目开标、解密、唱标、</w:t>
            </w:r>
            <w:r>
              <w:rPr>
                <w:rFonts w:hint="eastAsia" w:asciiTheme="minorEastAsia" w:hAnsiTheme="minorEastAsia" w:eastAsiaTheme="minorEastAsia" w:cstheme="minorEastAsia"/>
                <w:color w:val="auto"/>
                <w:sz w:val="24"/>
                <w:highlight w:val="none"/>
                <w:lang w:eastAsia="zh-CN"/>
              </w:rPr>
              <w:t>评审</w:t>
            </w:r>
          </w:p>
          <w:p w14:paraId="0D857B2E">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1、本项目采用</w:t>
            </w:r>
            <w:r>
              <w:rPr>
                <w:rFonts w:hint="eastAsia" w:asciiTheme="minorEastAsia" w:hAnsiTheme="minorEastAsia" w:eastAsiaTheme="minorEastAsia" w:cstheme="minorEastAsia"/>
                <w:b/>
                <w:color w:val="auto"/>
                <w:sz w:val="24"/>
                <w:highlight w:val="none"/>
              </w:rPr>
              <w:t>电子化、无纸化</w:t>
            </w:r>
            <w:r>
              <w:rPr>
                <w:rFonts w:hint="eastAsia" w:asciiTheme="minorEastAsia" w:hAnsiTheme="minorEastAsia" w:eastAsiaTheme="minorEastAsia" w:cstheme="minorEastAsia"/>
                <w:color w:val="auto"/>
                <w:sz w:val="24"/>
                <w:highlight w:val="none"/>
              </w:rPr>
              <w:t>进行</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当日，</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无需到现场参加</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会议，</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应当在</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时间前，登陆不见面开标大厅选择登陆三门峡市公共资源电子招投标系统进行登陆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网址为</w:t>
            </w:r>
            <w:r>
              <w:rPr>
                <w:rFonts w:hint="eastAsia" w:asciiTheme="minorEastAsia" w:hAnsiTheme="minorEastAsia" w:eastAsiaTheme="minorEastAsia" w:cstheme="minorEastAsia"/>
                <w:color w:val="auto"/>
                <w:sz w:val="24"/>
                <w:szCs w:val="24"/>
                <w:highlight w:val="none"/>
              </w:rPr>
              <w:t>http://120.194.249.36:10094/BidOpening/bidopeninghallaction/hall/login</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在线准时参加开标活动并进行磋商响应文件解密等。</w:t>
            </w:r>
          </w:p>
          <w:p w14:paraId="0FBDF9CF">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2、电子化磋商响应文件采用一次加密方式。开标时，由</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使用CA 证书，在规定时间内对其电子化磋商响应文件进行解密。每位</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的解密时间为开标时间起30 分钟内，如在规定时间内未完成解密的，其磋商响应文件不予开标、唱标。</w:t>
            </w:r>
          </w:p>
          <w:p w14:paraId="53B3A845">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3、电子化磋商响应文件解密异常的处理</w:t>
            </w:r>
          </w:p>
          <w:p w14:paraId="2251BC66">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如出现</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的电子磋商响应文件无法解密等异常情况，</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应及时致电中介服务机构说明。磋商响应文件异常，按以下步骤进行处理：</w:t>
            </w:r>
          </w:p>
          <w:p w14:paraId="170A11DD">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1）首先由技术人员进行问题排查。</w:t>
            </w:r>
          </w:p>
          <w:p w14:paraId="4EBA7742">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2）经技术人员排查后，是</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文件自身问题导致磋商响应文件无法解密的，该磋商响应文件将不予接收、解密和唱标。开标会议继续进行。</w:t>
            </w:r>
          </w:p>
          <w:p w14:paraId="31C6FB0A">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2DA4A872">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4、待所有</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磋商响应文件解密完成后，由中介服务机构操作，对所有已解密磋商响应文件进行唱标。</w:t>
            </w:r>
          </w:p>
          <w:p w14:paraId="5B593E8A">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val="en-US" w:eastAsia="zh-CN"/>
              </w:rPr>
              <w:t>供应商</w:t>
            </w:r>
            <w:r>
              <w:rPr>
                <w:rFonts w:hint="eastAsia" w:asciiTheme="minorEastAsia" w:hAnsiTheme="minorEastAsia" w:eastAsiaTheme="minorEastAsia" w:cstheme="minorEastAsia"/>
                <w:b/>
                <w:color w:val="auto"/>
                <w:sz w:val="24"/>
                <w:highlight w:val="none"/>
              </w:rPr>
              <w:t>应保证在</w:t>
            </w:r>
            <w:r>
              <w:rPr>
                <w:rFonts w:hint="eastAsia" w:asciiTheme="minorEastAsia" w:hAnsiTheme="minorEastAsia" w:eastAsiaTheme="minorEastAsia" w:cstheme="minorEastAsia"/>
                <w:b/>
                <w:color w:val="auto"/>
                <w:sz w:val="24"/>
                <w:highlight w:val="none"/>
                <w:lang w:eastAsia="zh-CN"/>
              </w:rPr>
              <w:t>磋商</w:t>
            </w:r>
            <w:r>
              <w:rPr>
                <w:rFonts w:hint="eastAsia" w:asciiTheme="minorEastAsia" w:hAnsiTheme="minorEastAsia" w:eastAsiaTheme="minorEastAsia" w:cstheme="minorEastAsia"/>
                <w:b/>
                <w:color w:val="auto"/>
                <w:sz w:val="24"/>
                <w:highlight w:val="none"/>
              </w:rPr>
              <w:t>期间电话、电脑、网络能够正常工作，</w:t>
            </w:r>
            <w:r>
              <w:rPr>
                <w:rFonts w:hint="eastAsia" w:asciiTheme="minorEastAsia" w:hAnsiTheme="minorEastAsia" w:eastAsiaTheme="minorEastAsia" w:cstheme="minorEastAsia"/>
                <w:b/>
                <w:color w:val="auto"/>
                <w:sz w:val="24"/>
                <w:highlight w:val="none"/>
                <w:lang w:val="en-US" w:eastAsia="zh-CN"/>
              </w:rPr>
              <w:t>供应商</w:t>
            </w:r>
            <w:r>
              <w:rPr>
                <w:rFonts w:hint="eastAsia" w:asciiTheme="minorEastAsia" w:hAnsiTheme="minorEastAsia" w:eastAsiaTheme="minorEastAsia" w:cstheme="minorEastAsia"/>
                <w:b/>
                <w:color w:val="auto"/>
                <w:sz w:val="24"/>
                <w:highlight w:val="none"/>
              </w:rPr>
              <w:t>因停电、电脑病毒、网络堵塞等原因，未在规定的解密时间内对响应文件进行解密的，其响应文件不予接收、唱标。</w:t>
            </w:r>
          </w:p>
          <w:p w14:paraId="65A60729">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可登录到交易系统中在开标解密栏中点击报价一览表查看自己的</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报价。如对自己的唱标内容有异议的，应在</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解密成功后10分钟内向中介服务机构电话质疑。中介服务机构应在监督人员的监督下进行免提通话接受</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的质疑并做好书面记录。</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未在规定时间内提出质疑的，视为认可唱标内容。</w:t>
            </w:r>
          </w:p>
          <w:p w14:paraId="0B74ABCA">
            <w:pPr>
              <w:keepNext w:val="0"/>
              <w:keepLines w:val="0"/>
              <w:pageBreakBefore w:val="0"/>
              <w:widowControl/>
              <w:kinsoku/>
              <w:wordWrap/>
              <w:overflowPunct/>
              <w:topLinePunct w:val="0"/>
              <w:bidi w:val="0"/>
              <w:adjustRightInd w:val="0"/>
              <w:snapToGrid w:val="0"/>
              <w:spacing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评审</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lang w:eastAsia="zh-CN"/>
              </w:rPr>
              <w:t>磋商小组</w:t>
            </w:r>
            <w:r>
              <w:rPr>
                <w:rFonts w:hint="eastAsia" w:asciiTheme="minorEastAsia" w:hAnsiTheme="minorEastAsia" w:eastAsiaTheme="minorEastAsia" w:cstheme="minorEastAsia"/>
                <w:color w:val="auto"/>
                <w:sz w:val="24"/>
                <w:highlight w:val="none"/>
              </w:rPr>
              <w:t>对电子化磋商响应文件有质疑的，将通过电子化交易系统对</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发起质疑，并在监督人员的监督下，用免提模式致电需要答复的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对质疑进行回复。</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的回复文件必须以经过</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和其法定代表人签章的PDF格式文件为准，并通过电子化交易系统提交至</w:t>
            </w:r>
            <w:r>
              <w:rPr>
                <w:rFonts w:hint="eastAsia" w:asciiTheme="minorEastAsia" w:hAnsiTheme="minorEastAsia" w:eastAsiaTheme="minorEastAsia" w:cstheme="minorEastAsia"/>
                <w:color w:val="auto"/>
                <w:sz w:val="24"/>
                <w:highlight w:val="none"/>
                <w:lang w:eastAsia="zh-CN"/>
              </w:rPr>
              <w:t>磋商小组</w:t>
            </w:r>
            <w:r>
              <w:rPr>
                <w:rFonts w:hint="eastAsia" w:asciiTheme="minorEastAsia" w:hAnsiTheme="minorEastAsia" w:eastAsiaTheme="minorEastAsia" w:cstheme="minorEastAsia"/>
                <w:color w:val="auto"/>
                <w:sz w:val="24"/>
                <w:highlight w:val="none"/>
              </w:rPr>
              <w:t>。</w:t>
            </w:r>
          </w:p>
          <w:p w14:paraId="540A1B41">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7、如</w:t>
            </w:r>
            <w:r>
              <w:rPr>
                <w:rFonts w:hint="eastAsia" w:asciiTheme="minorEastAsia" w:hAnsiTheme="minorEastAsia" w:eastAsiaTheme="minorEastAsia" w:cstheme="minorEastAsia"/>
                <w:color w:val="auto"/>
                <w:sz w:val="24"/>
                <w:highlight w:val="none"/>
                <w:lang w:eastAsia="zh-CN"/>
              </w:rPr>
              <w:t>磋商小组</w:t>
            </w:r>
            <w:r>
              <w:rPr>
                <w:rFonts w:hint="eastAsia" w:asciiTheme="minorEastAsia" w:hAnsiTheme="minorEastAsia" w:eastAsiaTheme="minorEastAsia" w:cstheme="minorEastAsia"/>
                <w:color w:val="auto"/>
                <w:sz w:val="24"/>
                <w:highlight w:val="none"/>
              </w:rPr>
              <w:t>对需要回复的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连续三次致电未接通的，视为</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放弃回复，</w:t>
            </w:r>
            <w:r>
              <w:rPr>
                <w:rFonts w:hint="eastAsia" w:asciiTheme="minorEastAsia" w:hAnsiTheme="minorEastAsia" w:eastAsiaTheme="minorEastAsia" w:cstheme="minorEastAsia"/>
                <w:color w:val="auto"/>
                <w:sz w:val="24"/>
                <w:highlight w:val="none"/>
                <w:lang w:eastAsia="zh-CN"/>
              </w:rPr>
              <w:t>磋商小组</w:t>
            </w:r>
            <w:r>
              <w:rPr>
                <w:rFonts w:hint="eastAsia" w:asciiTheme="minorEastAsia" w:hAnsiTheme="minorEastAsia" w:eastAsiaTheme="minorEastAsia" w:cstheme="minorEastAsia"/>
                <w:color w:val="auto"/>
                <w:sz w:val="24"/>
                <w:highlight w:val="none"/>
              </w:rPr>
              <w:t>将自行对需要回复的内容进行认定。</w:t>
            </w:r>
          </w:p>
          <w:p w14:paraId="7B45601E">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二、相关内容</w:t>
            </w:r>
          </w:p>
          <w:p w14:paraId="06C1DBD8">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本项目实行资格后审，竞争性磋商文件中要求响应人提交相关资料原件的，根据优化营商环境的要求，评标时以</w:t>
            </w:r>
            <w:r>
              <w:rPr>
                <w:rFonts w:hint="eastAsia" w:asciiTheme="minorEastAsia" w:hAnsiTheme="minorEastAsia" w:eastAsiaTheme="minorEastAsia" w:cstheme="minorEastAsia"/>
                <w:b w:val="0"/>
                <w:bCs w:val="0"/>
                <w:color w:val="auto"/>
                <w:sz w:val="24"/>
                <w:szCs w:val="24"/>
                <w:highlight w:val="none"/>
                <w:lang w:eastAsia="zh-CN"/>
              </w:rPr>
              <w:t>响应文件</w:t>
            </w:r>
            <w:r>
              <w:rPr>
                <w:rFonts w:hint="eastAsia" w:asciiTheme="minorEastAsia" w:hAnsiTheme="minorEastAsia" w:eastAsiaTheme="minorEastAsia" w:cstheme="minorEastAsia"/>
                <w:b w:val="0"/>
                <w:bCs w:val="0"/>
                <w:color w:val="auto"/>
                <w:sz w:val="24"/>
                <w:szCs w:val="24"/>
                <w:highlight w:val="none"/>
              </w:rPr>
              <w:t>为准：</w:t>
            </w:r>
          </w:p>
          <w:p w14:paraId="2455AA9F">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1、资格评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预）审部分：资格评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预）以</w:t>
            </w:r>
            <w:r>
              <w:rPr>
                <w:rFonts w:hint="eastAsia" w:asciiTheme="minorEastAsia" w:hAnsiTheme="minorEastAsia" w:eastAsiaTheme="minorEastAsia" w:cstheme="minorEastAsia"/>
                <w:b w:val="0"/>
                <w:bCs w:val="0"/>
                <w:color w:val="auto"/>
                <w:sz w:val="24"/>
                <w:szCs w:val="24"/>
                <w:highlight w:val="none"/>
                <w:lang w:eastAsia="zh-CN"/>
              </w:rPr>
              <w:t>响应文件</w:t>
            </w:r>
            <w:r>
              <w:rPr>
                <w:rFonts w:hint="eastAsia" w:asciiTheme="minorEastAsia" w:hAnsiTheme="minorEastAsia" w:eastAsiaTheme="minorEastAsia" w:cstheme="minorEastAsia"/>
                <w:b w:val="0"/>
                <w:bCs w:val="0"/>
                <w:color w:val="auto"/>
                <w:sz w:val="24"/>
                <w:szCs w:val="24"/>
                <w:highlight w:val="none"/>
              </w:rPr>
              <w:t>为准，其上传资料真实性由</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自行承担，同时，</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要完善主体库。</w:t>
            </w:r>
            <w:r>
              <w:rPr>
                <w:rFonts w:hint="eastAsia" w:asciiTheme="minorEastAsia" w:hAnsiTheme="minorEastAsia" w:eastAsiaTheme="minorEastAsia" w:cstheme="minorEastAsia"/>
                <w:b w:val="0"/>
                <w:bCs w:val="0"/>
                <w:color w:val="auto"/>
                <w:sz w:val="24"/>
                <w:szCs w:val="24"/>
                <w:highlight w:val="none"/>
              </w:rPr>
              <w:br w:type="textWrapping"/>
            </w:r>
            <w:r>
              <w:rPr>
                <w:rFonts w:hint="eastAsia" w:asciiTheme="minorEastAsia" w:hAnsiTheme="minorEastAsia" w:eastAsiaTheme="minorEastAsia" w:cstheme="minorEastAsia"/>
                <w:b w:val="0"/>
                <w:bCs w:val="0"/>
                <w:color w:val="auto"/>
                <w:sz w:val="24"/>
                <w:szCs w:val="24"/>
                <w:highlight w:val="none"/>
              </w:rPr>
              <w:t>2、评标打分部分：评标打分部分仍按照100分制原则进行，涉及到资格审查、企业荣誉、人员业绩、企业业绩等计分部分时，以投标单位自行上传到</w:t>
            </w:r>
            <w:r>
              <w:rPr>
                <w:rFonts w:hint="eastAsia" w:asciiTheme="minorEastAsia" w:hAnsiTheme="minorEastAsia" w:eastAsiaTheme="minorEastAsia" w:cstheme="minorEastAsia"/>
                <w:b w:val="0"/>
                <w:bCs w:val="0"/>
                <w:color w:val="auto"/>
                <w:sz w:val="24"/>
                <w:szCs w:val="24"/>
                <w:highlight w:val="none"/>
                <w:lang w:eastAsia="zh-CN"/>
              </w:rPr>
              <w:t>响应文件</w:t>
            </w:r>
            <w:r>
              <w:rPr>
                <w:rFonts w:hint="eastAsia" w:asciiTheme="minorEastAsia" w:hAnsiTheme="minorEastAsia" w:eastAsiaTheme="minorEastAsia" w:cstheme="minorEastAsia"/>
                <w:b w:val="0"/>
                <w:bCs w:val="0"/>
                <w:color w:val="auto"/>
                <w:sz w:val="24"/>
                <w:szCs w:val="24"/>
                <w:highlight w:val="none"/>
              </w:rPr>
              <w:t>中的相应内容为准。</w:t>
            </w:r>
            <w:r>
              <w:rPr>
                <w:rFonts w:hint="eastAsia" w:asciiTheme="minorEastAsia" w:hAnsiTheme="minorEastAsia" w:eastAsiaTheme="minorEastAsia" w:cstheme="minorEastAsia"/>
                <w:b w:val="0"/>
                <w:bCs w:val="0"/>
                <w:color w:val="auto"/>
                <w:sz w:val="24"/>
                <w:szCs w:val="24"/>
                <w:highlight w:val="none"/>
              </w:rPr>
              <w:br w:type="textWrapping"/>
            </w:r>
            <w:r>
              <w:rPr>
                <w:rFonts w:hint="eastAsia" w:asciiTheme="minorEastAsia" w:hAnsiTheme="minorEastAsia" w:eastAsiaTheme="minorEastAsia" w:cstheme="minorEastAsia"/>
                <w:b w:val="0"/>
                <w:bCs w:val="0"/>
                <w:color w:val="auto"/>
                <w:sz w:val="24"/>
                <w:szCs w:val="24"/>
                <w:highlight w:val="none"/>
              </w:rPr>
              <w:t>3、</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rPr>
              <w:t>文件编制部分：在</w:t>
            </w:r>
            <w:r>
              <w:rPr>
                <w:rFonts w:hint="eastAsia" w:asciiTheme="minorEastAsia" w:hAnsiTheme="minorEastAsia" w:eastAsiaTheme="minorEastAsia" w:cstheme="minorEastAsia"/>
                <w:b w:val="0"/>
                <w:bCs w:val="0"/>
                <w:color w:val="auto"/>
                <w:sz w:val="24"/>
                <w:szCs w:val="24"/>
                <w:highlight w:val="none"/>
                <w:lang w:val="en-US" w:eastAsia="zh-CN"/>
              </w:rPr>
              <w:t>磋商</w:t>
            </w:r>
            <w:r>
              <w:rPr>
                <w:rFonts w:hint="eastAsia" w:asciiTheme="minorEastAsia" w:hAnsiTheme="minorEastAsia" w:eastAsiaTheme="minorEastAsia" w:cstheme="minorEastAsia"/>
                <w:b w:val="0"/>
                <w:bCs w:val="0"/>
                <w:color w:val="auto"/>
                <w:sz w:val="24"/>
                <w:szCs w:val="24"/>
                <w:highlight w:val="none"/>
              </w:rPr>
              <w:t>文件中要求</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按照</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rPr>
              <w:t>文件格式进行</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rPr>
              <w:t>文件编制，在</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rPr>
              <w:t>文件编制时，应明确将</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企业基本情况、资质情况、人员情况、财务情况、业绩情况编入</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rPr>
              <w:t>文件，便于进行资格审查及评标打分。</w:t>
            </w:r>
          </w:p>
          <w:p w14:paraId="0A119AE7">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提示：本项目为电子化、无纸化交易项目，为保证您能投标成功，请需仔细阅读以上条款。</w:t>
            </w:r>
          </w:p>
          <w:p w14:paraId="1B161726">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注：以</w:t>
            </w:r>
            <w:r>
              <w:rPr>
                <w:rFonts w:hint="eastAsia"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rPr>
              <w:t>文件业绩信息为准，可使用电子营业执照。</w:t>
            </w:r>
          </w:p>
        </w:tc>
      </w:tr>
      <w:tr w14:paraId="5E0A3959">
        <w:tblPrEx>
          <w:tblCellMar>
            <w:top w:w="0" w:type="dxa"/>
            <w:left w:w="108" w:type="dxa"/>
            <w:bottom w:w="0" w:type="dxa"/>
            <w:right w:w="108" w:type="dxa"/>
          </w:tblCellMar>
        </w:tblPrEx>
        <w:trPr>
          <w:trHeight w:val="72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2EFD8F5B">
            <w:pPr>
              <w:keepNext w:val="0"/>
              <w:keepLines w:val="0"/>
              <w:pageBreakBefore w:val="0"/>
              <w:widowControl/>
              <w:kinsoku/>
              <w:wordWrap/>
              <w:overflowPunct/>
              <w:topLinePunct w:val="0"/>
              <w:bidi w:val="0"/>
              <w:snapToGrid/>
              <w:spacing w:after="0" w:line="36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5.8注意事项</w:t>
            </w:r>
          </w:p>
        </w:tc>
        <w:tc>
          <w:tcPr>
            <w:tcW w:w="7810" w:type="dxa"/>
            <w:gridSpan w:val="2"/>
            <w:tcBorders>
              <w:top w:val="single" w:color="auto" w:sz="4" w:space="0"/>
              <w:left w:val="nil"/>
              <w:bottom w:val="single" w:color="auto" w:sz="4" w:space="0"/>
              <w:right w:val="single" w:color="auto" w:sz="4" w:space="0"/>
            </w:tcBorders>
            <w:vAlign w:val="center"/>
          </w:tcPr>
          <w:p w14:paraId="42773174">
            <w:pPr>
              <w:keepNext w:val="0"/>
              <w:keepLines w:val="0"/>
              <w:pageBreakBefore w:val="0"/>
              <w:widowControl/>
              <w:kinsoku/>
              <w:wordWrap/>
              <w:overflowPunct/>
              <w:topLinePunct w:val="0"/>
              <w:bidi w:val="0"/>
              <w:snapToGrid/>
              <w:spacing w:after="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供应商须独立制作、修改和上传响应文件，若因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响应文件制作机器码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与其他供应商一致，机器码一致的所有响应文件按无效文件处理，所造成的不良后果由供应商自行承担。</w:t>
            </w:r>
          </w:p>
        </w:tc>
      </w:tr>
    </w:tbl>
    <w:p w14:paraId="3CD44CEC">
      <w:pPr>
        <w:keepNext w:val="0"/>
        <w:keepLines w:val="0"/>
        <w:pageBreakBefore w:val="0"/>
        <w:widowControl/>
        <w:kinsoku/>
        <w:wordWrap/>
        <w:overflowPunct/>
        <w:topLinePunct w:val="0"/>
        <w:autoSpaceDE/>
        <w:autoSpaceDN/>
        <w:bidi w:val="0"/>
        <w:adjustRightInd w:val="0"/>
        <w:spacing w:after="0" w:line="360" w:lineRule="auto"/>
        <w:textAlignment w:val="auto"/>
        <w:rPr>
          <w:rFonts w:hint="eastAsia" w:asciiTheme="minorEastAsia" w:hAnsiTheme="minorEastAsia" w:eastAsiaTheme="minorEastAsia" w:cstheme="minorEastAsia"/>
          <w:b/>
          <w:bCs/>
          <w:color w:val="auto"/>
          <w:kern w:val="28"/>
          <w:sz w:val="24"/>
          <w:szCs w:val="24"/>
          <w:highlight w:val="none"/>
        </w:rPr>
      </w:pPr>
      <w:r>
        <w:rPr>
          <w:rFonts w:hint="eastAsia" w:asciiTheme="minorEastAsia" w:hAnsiTheme="minorEastAsia" w:eastAsiaTheme="minorEastAsia" w:cstheme="minorEastAsia"/>
          <w:b/>
          <w:bCs/>
          <w:color w:val="auto"/>
          <w:kern w:val="28"/>
          <w:sz w:val="24"/>
          <w:szCs w:val="24"/>
          <w:highlight w:val="none"/>
        </w:rPr>
        <w:br w:type="page"/>
      </w:r>
      <w:r>
        <w:rPr>
          <w:rFonts w:hint="eastAsia" w:asciiTheme="minorEastAsia" w:hAnsiTheme="minorEastAsia" w:eastAsiaTheme="minorEastAsia" w:cstheme="minorEastAsia"/>
          <w:b/>
          <w:bCs/>
          <w:color w:val="auto"/>
          <w:kern w:val="28"/>
          <w:sz w:val="24"/>
          <w:szCs w:val="24"/>
          <w:highlight w:val="none"/>
        </w:rPr>
        <w:t>1. 总则</w:t>
      </w:r>
      <w:bookmarkEnd w:id="30"/>
      <w:bookmarkEnd w:id="31"/>
      <w:bookmarkEnd w:id="32"/>
      <w:bookmarkEnd w:id="33"/>
      <w:bookmarkEnd w:id="34"/>
      <w:bookmarkEnd w:id="35"/>
      <w:bookmarkEnd w:id="36"/>
      <w:bookmarkEnd w:id="37"/>
    </w:p>
    <w:p w14:paraId="7EEDAA1D">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8" w:name="_Toc144974498"/>
      <w:bookmarkStart w:id="39" w:name="_Toc246996176"/>
      <w:bookmarkStart w:id="40" w:name="_Toc246996919"/>
      <w:bookmarkStart w:id="41" w:name="_Toc77586820"/>
      <w:bookmarkStart w:id="42" w:name="_Toc296602421"/>
      <w:bookmarkStart w:id="43" w:name="_Toc152042306"/>
      <w:bookmarkStart w:id="44" w:name="_Toc247085690"/>
      <w:bookmarkStart w:id="45" w:name="_Toc77586913"/>
      <w:bookmarkStart w:id="46" w:name="_Toc152045530"/>
      <w:bookmarkStart w:id="47" w:name="_Toc179632547"/>
      <w:r>
        <w:rPr>
          <w:rFonts w:hint="eastAsia" w:asciiTheme="minorEastAsia" w:hAnsiTheme="minorEastAsia" w:eastAsiaTheme="minorEastAsia" w:cstheme="minorEastAsia"/>
          <w:color w:val="auto"/>
          <w:sz w:val="24"/>
          <w:szCs w:val="24"/>
          <w:highlight w:val="none"/>
        </w:rPr>
        <w:t>1.1 项目概况</w:t>
      </w:r>
      <w:bookmarkEnd w:id="38"/>
      <w:bookmarkEnd w:id="39"/>
      <w:bookmarkEnd w:id="40"/>
      <w:bookmarkEnd w:id="41"/>
      <w:bookmarkEnd w:id="42"/>
      <w:bookmarkEnd w:id="43"/>
      <w:bookmarkEnd w:id="44"/>
      <w:bookmarkEnd w:id="45"/>
      <w:bookmarkEnd w:id="46"/>
      <w:bookmarkEnd w:id="47"/>
    </w:p>
    <w:p w14:paraId="39334377">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1.1.1根据《政府采购竞争性磋商采购方式管理暂行办法》等有关法律、法规和规章的规定，本磋商项目已具备磋商条件，现对本项目进行竞争性磋商。</w:t>
      </w:r>
    </w:p>
    <w:p w14:paraId="2E914EA8">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 本磋商项目</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p>
    <w:p w14:paraId="0397C296">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 本磋商项目</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p>
    <w:p w14:paraId="5B8E144E">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 本磋商项目名称：见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p>
    <w:p w14:paraId="2BD3C44C">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48" w:name="_Toc246996177"/>
      <w:bookmarkStart w:id="49" w:name="_Toc152045531"/>
      <w:bookmarkStart w:id="50" w:name="_Toc179632548"/>
      <w:bookmarkStart w:id="51" w:name="_Toc247085691"/>
      <w:bookmarkStart w:id="52" w:name="_Toc77586914"/>
      <w:bookmarkStart w:id="53" w:name="_Toc296602422"/>
      <w:bookmarkStart w:id="54" w:name="_Toc77586821"/>
      <w:bookmarkStart w:id="55" w:name="_Toc152042307"/>
      <w:bookmarkStart w:id="56" w:name="_Toc246996920"/>
      <w:bookmarkStart w:id="57" w:name="_Toc144974499"/>
      <w:r>
        <w:rPr>
          <w:rFonts w:hint="eastAsia" w:asciiTheme="minorEastAsia" w:hAnsiTheme="minorEastAsia" w:eastAsiaTheme="minorEastAsia" w:cstheme="minorEastAsia"/>
          <w:color w:val="auto"/>
          <w:sz w:val="24"/>
          <w:szCs w:val="24"/>
          <w:highlight w:val="none"/>
        </w:rPr>
        <w:t>1.2 资金来源和落实情况</w:t>
      </w:r>
      <w:bookmarkEnd w:id="48"/>
      <w:bookmarkEnd w:id="49"/>
      <w:bookmarkEnd w:id="50"/>
      <w:bookmarkEnd w:id="51"/>
      <w:bookmarkEnd w:id="52"/>
      <w:bookmarkEnd w:id="53"/>
      <w:bookmarkEnd w:id="54"/>
      <w:bookmarkEnd w:id="55"/>
      <w:bookmarkEnd w:id="56"/>
      <w:bookmarkEnd w:id="57"/>
    </w:p>
    <w:p w14:paraId="4AAA3CA9">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 本磋商项目的资金来源及出资比例：见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p>
    <w:p w14:paraId="7978DF96">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 本磋商项目的资金落实情况：见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p>
    <w:p w14:paraId="014FC80F">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58" w:name="_Toc246996921"/>
      <w:bookmarkStart w:id="59" w:name="_Toc246996178"/>
      <w:bookmarkStart w:id="60" w:name="_Toc152045532"/>
      <w:bookmarkStart w:id="61" w:name="_Toc179632549"/>
      <w:bookmarkStart w:id="62" w:name="_Toc144974500"/>
      <w:bookmarkStart w:id="63" w:name="_Toc77586822"/>
      <w:bookmarkStart w:id="64" w:name="_Toc247085692"/>
      <w:bookmarkStart w:id="65" w:name="_Toc77586915"/>
      <w:bookmarkStart w:id="66" w:name="_Toc296602423"/>
      <w:bookmarkStart w:id="67" w:name="_Toc152042308"/>
      <w:r>
        <w:rPr>
          <w:rFonts w:hint="eastAsia" w:asciiTheme="minorEastAsia" w:hAnsiTheme="minorEastAsia" w:eastAsiaTheme="minorEastAsia" w:cstheme="minorEastAsia"/>
          <w:color w:val="auto"/>
          <w:sz w:val="24"/>
          <w:szCs w:val="24"/>
          <w:highlight w:val="none"/>
        </w:rPr>
        <w:t>1.3 磋商范围、</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eastAsia="zh-CN"/>
        </w:rPr>
        <w:t>期</w:t>
      </w:r>
      <w:r>
        <w:rPr>
          <w:rFonts w:hint="eastAsia" w:asciiTheme="minorEastAsia" w:hAnsiTheme="minorEastAsia" w:eastAsiaTheme="minorEastAsia" w:cstheme="minorEastAsia"/>
          <w:color w:val="auto"/>
          <w:sz w:val="24"/>
          <w:szCs w:val="24"/>
          <w:highlight w:val="none"/>
        </w:rPr>
        <w:t>、质量要求</w:t>
      </w:r>
      <w:bookmarkEnd w:id="58"/>
      <w:bookmarkEnd w:id="59"/>
      <w:bookmarkEnd w:id="60"/>
      <w:bookmarkEnd w:id="61"/>
      <w:bookmarkEnd w:id="62"/>
      <w:bookmarkEnd w:id="63"/>
      <w:bookmarkEnd w:id="64"/>
      <w:bookmarkEnd w:id="65"/>
      <w:bookmarkEnd w:id="66"/>
      <w:bookmarkEnd w:id="67"/>
    </w:p>
    <w:p w14:paraId="78245ACB">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本次磋商范围：见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p>
    <w:p w14:paraId="26781F04">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 本磋商项目的</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eastAsia="zh-CN"/>
        </w:rPr>
        <w:t>期</w:t>
      </w: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p>
    <w:p w14:paraId="06EA2AE8">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 本磋商项目的</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要求：见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p>
    <w:p w14:paraId="64048E16">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68" w:name="_Toc247085693"/>
      <w:bookmarkStart w:id="69" w:name="_Toc152042310"/>
      <w:bookmarkStart w:id="70" w:name="_Toc152045534"/>
      <w:bookmarkStart w:id="71" w:name="_Toc77586916"/>
      <w:bookmarkStart w:id="72" w:name="_Toc246996922"/>
      <w:bookmarkStart w:id="73" w:name="_Toc77586823"/>
      <w:bookmarkStart w:id="74" w:name="_Toc179632551"/>
      <w:bookmarkStart w:id="75" w:name="_Toc144974502"/>
      <w:bookmarkStart w:id="76" w:name="_Toc246996179"/>
      <w:bookmarkStart w:id="77" w:name="_Toc296602424"/>
      <w:r>
        <w:rPr>
          <w:rFonts w:hint="eastAsia" w:asciiTheme="minorEastAsia" w:hAnsiTheme="minorEastAsia" w:eastAsiaTheme="minorEastAsia" w:cstheme="minorEastAsia"/>
          <w:color w:val="auto"/>
          <w:sz w:val="24"/>
          <w:szCs w:val="24"/>
          <w:highlight w:val="none"/>
        </w:rPr>
        <w:t xml:space="preserve">1.4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资格要求</w:t>
      </w:r>
      <w:bookmarkEnd w:id="68"/>
      <w:bookmarkEnd w:id="69"/>
      <w:bookmarkEnd w:id="70"/>
      <w:bookmarkEnd w:id="71"/>
      <w:bookmarkEnd w:id="72"/>
      <w:bookmarkEnd w:id="73"/>
      <w:bookmarkEnd w:id="74"/>
      <w:bookmarkEnd w:id="75"/>
      <w:bookmarkEnd w:id="76"/>
      <w:bookmarkEnd w:id="77"/>
    </w:p>
    <w:p w14:paraId="207A2973">
      <w:pPr>
        <w:keepNext w:val="0"/>
        <w:keepLines w:val="0"/>
        <w:pageBreakBefore w:val="0"/>
        <w:widowControl/>
        <w:kinsoku/>
        <w:wordWrap/>
        <w:overflowPunct/>
        <w:topLinePunct w:val="0"/>
        <w:autoSpaceDE/>
        <w:autoSpaceDN/>
        <w:bidi w:val="0"/>
        <w:adjustRightInd w:val="0"/>
        <w:snapToGrid/>
        <w:spacing w:after="0" w:line="360" w:lineRule="auto"/>
        <w:ind w:firstLine="520" w:firstLineChars="21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1.4.1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应具备承担本</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的资质条件、能力和信誉见前附表。</w:t>
      </w:r>
    </w:p>
    <w:p w14:paraId="269263D1">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 本磋商项目接受联合体投标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联合体要求详见磋商公告</w:t>
      </w:r>
      <w:r>
        <w:rPr>
          <w:rFonts w:hint="eastAsia" w:asciiTheme="minorEastAsia" w:hAnsiTheme="minorEastAsia" w:eastAsiaTheme="minorEastAsia" w:cstheme="minorEastAsia"/>
          <w:color w:val="auto"/>
          <w:sz w:val="24"/>
          <w:szCs w:val="24"/>
          <w:highlight w:val="none"/>
        </w:rPr>
        <w:t>。</w:t>
      </w:r>
    </w:p>
    <w:p w14:paraId="70D3C74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1.4.3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不得存在下列情形之一：</w:t>
      </w:r>
    </w:p>
    <w:p w14:paraId="432DC4D9">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1）为</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不具有独立法人资格的附属机构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单位）；</w:t>
      </w:r>
    </w:p>
    <w:p w14:paraId="44CD8B2E">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2）为本磋商项目前期准备提供设计或咨询服务的； </w:t>
      </w:r>
    </w:p>
    <w:p w14:paraId="1DC9F538">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3）为本磋商项目的监理人；</w:t>
      </w:r>
    </w:p>
    <w:p w14:paraId="5CAA4F9C">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4）为本磋商项目的代建人； </w:t>
      </w:r>
    </w:p>
    <w:p w14:paraId="423DA250">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5）为本磋商项目提供招标代理服务的； </w:t>
      </w:r>
    </w:p>
    <w:p w14:paraId="2BB5E3AC">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6）与本磋商项目的监理人或代建人或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同为一个法定代表人的；</w:t>
      </w:r>
    </w:p>
    <w:p w14:paraId="75FF1245">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7）与本磋商项目的监理人或代建人或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相互控股或参股的；</w:t>
      </w:r>
    </w:p>
    <w:p w14:paraId="7CDB7602">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8）与本磋商项目的监理人或代建人或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相互任职或工作的；</w:t>
      </w:r>
    </w:p>
    <w:p w14:paraId="020213B1">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9）被责令停业的； </w:t>
      </w:r>
    </w:p>
    <w:p w14:paraId="5568A33B">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10）被暂停或取消投标资格的； </w:t>
      </w:r>
    </w:p>
    <w:p w14:paraId="230D8A53">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11）财产被接管或冻结的；</w:t>
      </w:r>
    </w:p>
    <w:p w14:paraId="6A8781DB">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12）在最近三年内有骗取成交或严重违约或重大质量问题的。</w:t>
      </w:r>
    </w:p>
    <w:p w14:paraId="75FFD682">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78" w:name="_Toc152045535"/>
      <w:bookmarkStart w:id="79" w:name="_Toc144974503"/>
      <w:bookmarkStart w:id="80" w:name="_Toc77586917"/>
      <w:bookmarkStart w:id="81" w:name="_Toc152042311"/>
      <w:bookmarkStart w:id="82" w:name="_Toc179632552"/>
      <w:bookmarkStart w:id="83" w:name="_Toc77586824"/>
      <w:r>
        <w:rPr>
          <w:rFonts w:hint="eastAsia" w:asciiTheme="minorEastAsia" w:hAnsiTheme="minorEastAsia" w:eastAsiaTheme="minorEastAsia" w:cstheme="minorEastAsia"/>
          <w:color w:val="auto"/>
          <w:sz w:val="24"/>
          <w:szCs w:val="24"/>
          <w:highlight w:val="none"/>
        </w:rPr>
        <w:t>1.5 费用承担</w:t>
      </w:r>
      <w:bookmarkEnd w:id="78"/>
      <w:bookmarkEnd w:id="79"/>
      <w:bookmarkEnd w:id="80"/>
      <w:bookmarkEnd w:id="81"/>
      <w:bookmarkEnd w:id="82"/>
      <w:bookmarkEnd w:id="83"/>
    </w:p>
    <w:p w14:paraId="456B1A42">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准备和参加投标活动发生的费用自理。</w:t>
      </w:r>
    </w:p>
    <w:p w14:paraId="363224AE">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84" w:name="_Toc152045536"/>
      <w:bookmarkStart w:id="85" w:name="_Toc152042312"/>
      <w:bookmarkStart w:id="86" w:name="_Toc77586918"/>
      <w:bookmarkStart w:id="87" w:name="_Toc144974504"/>
      <w:bookmarkStart w:id="88" w:name="_Toc296602426"/>
      <w:bookmarkStart w:id="89" w:name="_Toc179632553"/>
      <w:bookmarkStart w:id="90" w:name="_Toc246996181"/>
      <w:bookmarkStart w:id="91" w:name="_Toc77586825"/>
      <w:bookmarkStart w:id="92" w:name="_Toc246996924"/>
      <w:bookmarkStart w:id="93" w:name="_Toc247085695"/>
      <w:r>
        <w:rPr>
          <w:rFonts w:hint="eastAsia" w:asciiTheme="minorEastAsia" w:hAnsiTheme="minorEastAsia" w:eastAsiaTheme="minorEastAsia" w:cstheme="minorEastAsia"/>
          <w:color w:val="auto"/>
          <w:sz w:val="24"/>
          <w:szCs w:val="24"/>
          <w:highlight w:val="none"/>
        </w:rPr>
        <w:t>1.6 保密</w:t>
      </w:r>
      <w:bookmarkEnd w:id="84"/>
      <w:bookmarkEnd w:id="85"/>
      <w:bookmarkEnd w:id="86"/>
      <w:bookmarkEnd w:id="87"/>
      <w:bookmarkEnd w:id="88"/>
      <w:bookmarkEnd w:id="89"/>
      <w:bookmarkEnd w:id="90"/>
      <w:bookmarkEnd w:id="91"/>
      <w:bookmarkEnd w:id="92"/>
      <w:bookmarkEnd w:id="93"/>
    </w:p>
    <w:p w14:paraId="36D8A62B">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参与招标投标活动的各方应对竞争性磋商文件和磋商响应文件中的商业和技术等秘密保密，违者应对由此造成的后果承担法律责任。 </w:t>
      </w:r>
    </w:p>
    <w:p w14:paraId="13DEA8CD">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94" w:name="_Toc144974505"/>
      <w:bookmarkStart w:id="95" w:name="_Toc246996182"/>
      <w:bookmarkStart w:id="96" w:name="_Toc77586826"/>
      <w:bookmarkStart w:id="97" w:name="_Toc152042313"/>
      <w:bookmarkStart w:id="98" w:name="_Toc247085696"/>
      <w:bookmarkStart w:id="99" w:name="_Toc246996925"/>
      <w:bookmarkStart w:id="100" w:name="_Toc179632554"/>
      <w:bookmarkStart w:id="101" w:name="_Toc296602427"/>
      <w:bookmarkStart w:id="102" w:name="_Toc152045537"/>
      <w:bookmarkStart w:id="103" w:name="_Toc77586919"/>
      <w:r>
        <w:rPr>
          <w:rFonts w:hint="eastAsia" w:asciiTheme="minorEastAsia" w:hAnsiTheme="minorEastAsia" w:eastAsiaTheme="minorEastAsia" w:cstheme="minorEastAsia"/>
          <w:color w:val="auto"/>
          <w:sz w:val="24"/>
          <w:szCs w:val="24"/>
          <w:highlight w:val="none"/>
        </w:rPr>
        <w:t>1.7 语言</w:t>
      </w:r>
      <w:bookmarkEnd w:id="94"/>
      <w:r>
        <w:rPr>
          <w:rFonts w:hint="eastAsia" w:asciiTheme="minorEastAsia" w:hAnsiTheme="minorEastAsia" w:eastAsiaTheme="minorEastAsia" w:cstheme="minorEastAsia"/>
          <w:color w:val="auto"/>
          <w:sz w:val="24"/>
          <w:szCs w:val="24"/>
          <w:highlight w:val="none"/>
        </w:rPr>
        <w:t>文字</w:t>
      </w:r>
      <w:bookmarkEnd w:id="95"/>
      <w:bookmarkEnd w:id="96"/>
      <w:bookmarkEnd w:id="97"/>
      <w:bookmarkEnd w:id="98"/>
      <w:bookmarkEnd w:id="99"/>
      <w:bookmarkEnd w:id="100"/>
      <w:bookmarkEnd w:id="101"/>
      <w:bookmarkEnd w:id="102"/>
      <w:bookmarkEnd w:id="103"/>
    </w:p>
    <w:p w14:paraId="6A584A4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104" w:name="_Toc179632555"/>
      <w:bookmarkStart w:id="105" w:name="_Toc152045538"/>
      <w:bookmarkStart w:id="106" w:name="_Toc144974506"/>
      <w:bookmarkStart w:id="107" w:name="_Toc152042314"/>
      <w:bookmarkStart w:id="108" w:name="_Toc246996183"/>
      <w:bookmarkStart w:id="109" w:name="_Toc247085697"/>
      <w:bookmarkStart w:id="110" w:name="_Toc246996926"/>
      <w:r>
        <w:rPr>
          <w:rFonts w:hint="eastAsia" w:asciiTheme="minorEastAsia" w:hAnsiTheme="minorEastAsia" w:eastAsiaTheme="minorEastAsia" w:cstheme="minorEastAsia"/>
          <w:color w:val="auto"/>
          <w:sz w:val="24"/>
          <w:szCs w:val="24"/>
          <w:highlight w:val="none"/>
        </w:rPr>
        <w:t>招标磋商响应文件使用的语言文字为中文。专用术语使用外文的，应附有中文注释。</w:t>
      </w:r>
    </w:p>
    <w:p w14:paraId="2A6433D0">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111" w:name="_Toc77586827"/>
      <w:bookmarkStart w:id="112" w:name="_Toc296602428"/>
      <w:bookmarkStart w:id="113" w:name="_Toc77586920"/>
      <w:r>
        <w:rPr>
          <w:rFonts w:hint="eastAsia" w:asciiTheme="minorEastAsia" w:hAnsiTheme="minorEastAsia" w:eastAsiaTheme="minorEastAsia" w:cstheme="minorEastAsia"/>
          <w:color w:val="auto"/>
          <w:sz w:val="24"/>
          <w:szCs w:val="24"/>
          <w:highlight w:val="none"/>
        </w:rPr>
        <w:t>1.8 计量单位</w:t>
      </w:r>
      <w:bookmarkEnd w:id="104"/>
      <w:bookmarkEnd w:id="105"/>
      <w:bookmarkEnd w:id="106"/>
      <w:bookmarkEnd w:id="107"/>
      <w:bookmarkEnd w:id="108"/>
      <w:bookmarkEnd w:id="109"/>
      <w:bookmarkEnd w:id="110"/>
      <w:bookmarkEnd w:id="111"/>
      <w:bookmarkEnd w:id="112"/>
      <w:bookmarkEnd w:id="113"/>
    </w:p>
    <w:p w14:paraId="4D4D13D6">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所有计量均采用中华人民共和国法定计量单位。</w:t>
      </w:r>
    </w:p>
    <w:p w14:paraId="3798FC29">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114" w:name="_Toc296602429"/>
      <w:bookmarkStart w:id="115" w:name="_Toc152045539"/>
      <w:bookmarkStart w:id="116" w:name="_Toc247527563"/>
      <w:bookmarkStart w:id="117" w:name="_Toc77586828"/>
      <w:bookmarkStart w:id="118" w:name="_Toc77586921"/>
      <w:bookmarkStart w:id="119" w:name="_Toc152042315"/>
      <w:bookmarkStart w:id="120" w:name="_Toc144974507"/>
      <w:bookmarkStart w:id="121" w:name="_Toc247592876"/>
      <w:bookmarkStart w:id="122" w:name="_Toc247513962"/>
      <w:r>
        <w:rPr>
          <w:rFonts w:hint="eastAsia" w:asciiTheme="minorEastAsia" w:hAnsiTheme="minorEastAsia" w:eastAsiaTheme="minorEastAsia" w:cstheme="minorEastAsia"/>
          <w:color w:val="auto"/>
          <w:sz w:val="24"/>
          <w:szCs w:val="24"/>
          <w:highlight w:val="none"/>
        </w:rPr>
        <w:t>1.9 踏勘现场</w:t>
      </w:r>
      <w:bookmarkEnd w:id="114"/>
      <w:bookmarkEnd w:id="115"/>
      <w:bookmarkEnd w:id="116"/>
      <w:bookmarkEnd w:id="117"/>
      <w:bookmarkEnd w:id="118"/>
      <w:bookmarkEnd w:id="119"/>
      <w:bookmarkEnd w:id="120"/>
      <w:bookmarkEnd w:id="121"/>
      <w:bookmarkEnd w:id="122"/>
    </w:p>
    <w:p w14:paraId="28877924">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1.9.1 </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不组织现场踏勘，由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自行踏勘。 </w:t>
      </w:r>
    </w:p>
    <w:p w14:paraId="7552EA7E">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1.9.2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踏勘现场发生的费用自理。</w:t>
      </w:r>
    </w:p>
    <w:p w14:paraId="468C4C00">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1.9.3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自行负责在踏勘现场中所发生的人员伤亡和财产损失。</w:t>
      </w:r>
    </w:p>
    <w:p w14:paraId="1C63B6EE">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1.9.4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在踏勘现场中看到的场地和相关的周边环境情况，供</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在编制磋商响应文件时参考，</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不对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据此作出的判断和决策负责。</w:t>
      </w:r>
    </w:p>
    <w:p w14:paraId="60A07FD1">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123" w:name="_Toc247592877"/>
      <w:bookmarkStart w:id="124" w:name="_Toc152042316"/>
      <w:bookmarkStart w:id="125" w:name="_Toc247513963"/>
      <w:bookmarkStart w:id="126" w:name="_Toc296602430"/>
      <w:bookmarkStart w:id="127" w:name="_Toc77586922"/>
      <w:bookmarkStart w:id="128" w:name="_Toc152045540"/>
      <w:bookmarkStart w:id="129" w:name="_Toc77586829"/>
      <w:bookmarkStart w:id="130" w:name="_Toc247527564"/>
      <w:bookmarkStart w:id="131" w:name="_Toc144974508"/>
      <w:r>
        <w:rPr>
          <w:rFonts w:hint="eastAsia" w:asciiTheme="minorEastAsia" w:hAnsiTheme="minorEastAsia" w:eastAsiaTheme="minorEastAsia" w:cstheme="minorEastAsia"/>
          <w:color w:val="auto"/>
          <w:sz w:val="24"/>
          <w:szCs w:val="24"/>
          <w:highlight w:val="none"/>
        </w:rPr>
        <w:t>1.10 投标预备会</w:t>
      </w:r>
      <w:bookmarkEnd w:id="123"/>
      <w:bookmarkEnd w:id="124"/>
      <w:bookmarkEnd w:id="125"/>
      <w:bookmarkEnd w:id="126"/>
      <w:bookmarkEnd w:id="127"/>
      <w:bookmarkEnd w:id="128"/>
      <w:bookmarkEnd w:id="129"/>
      <w:bookmarkEnd w:id="130"/>
      <w:bookmarkEnd w:id="131"/>
      <w:bookmarkStart w:id="132" w:name="_Toc296602431"/>
    </w:p>
    <w:p w14:paraId="2492E6A0">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不召开</w:t>
      </w:r>
    </w:p>
    <w:p w14:paraId="64FC72A6">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133" w:name="_Toc77586923"/>
      <w:bookmarkStart w:id="134" w:name="_Toc77586830"/>
      <w:r>
        <w:rPr>
          <w:rFonts w:hint="eastAsia" w:asciiTheme="minorEastAsia" w:hAnsiTheme="minorEastAsia" w:eastAsiaTheme="minorEastAsia" w:cstheme="minorEastAsia"/>
          <w:color w:val="auto"/>
          <w:sz w:val="24"/>
          <w:szCs w:val="24"/>
          <w:highlight w:val="none"/>
        </w:rPr>
        <w:t xml:space="preserve">1.11 </w:t>
      </w:r>
      <w:bookmarkEnd w:id="132"/>
      <w:r>
        <w:rPr>
          <w:rFonts w:hint="eastAsia" w:asciiTheme="minorEastAsia" w:hAnsiTheme="minorEastAsia" w:eastAsiaTheme="minorEastAsia" w:cstheme="minorEastAsia"/>
          <w:color w:val="auto"/>
          <w:sz w:val="24"/>
          <w:szCs w:val="24"/>
          <w:highlight w:val="none"/>
        </w:rPr>
        <w:t>分包</w:t>
      </w:r>
      <w:bookmarkEnd w:id="133"/>
      <w:bookmarkEnd w:id="134"/>
    </w:p>
    <w:p w14:paraId="23F4E817">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p w14:paraId="7398BF98">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135" w:name="_Toc179632560"/>
      <w:bookmarkStart w:id="136" w:name="_Toc246996930"/>
      <w:bookmarkStart w:id="137" w:name="_Toc296602432"/>
      <w:bookmarkStart w:id="138" w:name="_Toc77586831"/>
      <w:bookmarkStart w:id="139" w:name="_Toc144974510"/>
      <w:bookmarkStart w:id="140" w:name="_Toc246996187"/>
      <w:bookmarkStart w:id="141" w:name="_Toc77586924"/>
      <w:bookmarkStart w:id="142" w:name="_Toc247085701"/>
      <w:bookmarkStart w:id="143" w:name="_Toc152042318"/>
      <w:bookmarkStart w:id="144" w:name="_Toc152045542"/>
      <w:r>
        <w:rPr>
          <w:rFonts w:hint="eastAsia" w:asciiTheme="minorEastAsia" w:hAnsiTheme="minorEastAsia" w:eastAsiaTheme="minorEastAsia" w:cstheme="minorEastAsia"/>
          <w:color w:val="auto"/>
          <w:sz w:val="24"/>
          <w:szCs w:val="24"/>
          <w:highlight w:val="none"/>
        </w:rPr>
        <w:t>2. 竞争性磋商文件</w:t>
      </w:r>
      <w:bookmarkEnd w:id="135"/>
      <w:bookmarkEnd w:id="136"/>
      <w:bookmarkEnd w:id="137"/>
      <w:bookmarkEnd w:id="138"/>
      <w:bookmarkEnd w:id="139"/>
      <w:bookmarkEnd w:id="140"/>
      <w:bookmarkEnd w:id="141"/>
      <w:bookmarkEnd w:id="142"/>
      <w:bookmarkEnd w:id="143"/>
      <w:bookmarkEnd w:id="144"/>
    </w:p>
    <w:p w14:paraId="53685CD1">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145" w:name="_Toc144974511"/>
      <w:bookmarkStart w:id="146" w:name="_Toc296602433"/>
      <w:bookmarkStart w:id="147" w:name="_Toc246996931"/>
      <w:bookmarkStart w:id="148" w:name="_Toc152045543"/>
      <w:bookmarkStart w:id="149" w:name="_Toc179632561"/>
      <w:bookmarkStart w:id="150" w:name="_Toc77586925"/>
      <w:bookmarkStart w:id="151" w:name="_Toc246996188"/>
      <w:bookmarkStart w:id="152" w:name="_Toc247085702"/>
      <w:bookmarkStart w:id="153" w:name="_Toc77586832"/>
      <w:bookmarkStart w:id="154" w:name="_Toc152042319"/>
      <w:r>
        <w:rPr>
          <w:rFonts w:hint="eastAsia" w:asciiTheme="minorEastAsia" w:hAnsiTheme="minorEastAsia" w:eastAsiaTheme="minorEastAsia" w:cstheme="minorEastAsia"/>
          <w:color w:val="auto"/>
          <w:sz w:val="24"/>
          <w:szCs w:val="24"/>
          <w:highlight w:val="none"/>
        </w:rPr>
        <w:t>2.1 竞争性磋商文件的组成</w:t>
      </w:r>
      <w:bookmarkEnd w:id="145"/>
      <w:bookmarkEnd w:id="146"/>
      <w:bookmarkEnd w:id="147"/>
      <w:bookmarkEnd w:id="148"/>
      <w:bookmarkEnd w:id="149"/>
      <w:bookmarkEnd w:id="150"/>
      <w:bookmarkEnd w:id="151"/>
      <w:bookmarkEnd w:id="152"/>
      <w:bookmarkEnd w:id="153"/>
      <w:bookmarkEnd w:id="154"/>
    </w:p>
    <w:p w14:paraId="423C51C4">
      <w:pPr>
        <w:keepNext w:val="0"/>
        <w:keepLines w:val="0"/>
        <w:pageBreakBefore w:val="0"/>
        <w:widowControl/>
        <w:kinsoku/>
        <w:wordWrap/>
        <w:overflowPunct/>
        <w:topLinePunct w:val="0"/>
        <w:autoSpaceDE/>
        <w:autoSpaceDN/>
        <w:bidi w:val="0"/>
        <w:adjustRightInd w:val="0"/>
        <w:snapToGrid/>
        <w:spacing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2.1.1 本竞争性磋商文件包括：</w:t>
      </w:r>
    </w:p>
    <w:p w14:paraId="0ACD0211">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1）竞争性磋商公告；</w:t>
      </w:r>
    </w:p>
    <w:p w14:paraId="0F6261C8">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w:t>
      </w:r>
    </w:p>
    <w:p w14:paraId="05551081">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3）评标办法；</w:t>
      </w:r>
    </w:p>
    <w:p w14:paraId="15A63226">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4）合同条款及格式；</w:t>
      </w:r>
    </w:p>
    <w:p w14:paraId="3E2CCD74">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b w:val="0"/>
          <w:color w:val="auto"/>
          <w:sz w:val="24"/>
          <w:szCs w:val="24"/>
          <w:highlight w:val="none"/>
          <w:lang w:val="en-US" w:eastAsia="zh-CN"/>
        </w:rPr>
        <w:t>技术服务清单</w:t>
      </w:r>
      <w:r>
        <w:rPr>
          <w:rFonts w:hint="eastAsia" w:asciiTheme="minorEastAsia" w:hAnsiTheme="minorEastAsia" w:eastAsiaTheme="minorEastAsia" w:cstheme="minorEastAsia"/>
          <w:color w:val="auto"/>
          <w:sz w:val="24"/>
          <w:szCs w:val="24"/>
          <w:highlight w:val="none"/>
        </w:rPr>
        <w:t xml:space="preserve">； </w:t>
      </w:r>
    </w:p>
    <w:p w14:paraId="24B14DEB">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6）技术标准和要求；</w:t>
      </w:r>
    </w:p>
    <w:p w14:paraId="2D1BE03A">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7）磋商响应文件格式</w:t>
      </w:r>
      <w:r>
        <w:rPr>
          <w:rFonts w:hint="eastAsia" w:asciiTheme="minorEastAsia" w:hAnsiTheme="minorEastAsia" w:eastAsiaTheme="minorEastAsia" w:cstheme="minorEastAsia"/>
          <w:color w:val="auto"/>
          <w:sz w:val="24"/>
          <w:szCs w:val="24"/>
          <w:highlight w:val="none"/>
          <w:lang w:eastAsia="zh-CN"/>
        </w:rPr>
        <w:t>。</w:t>
      </w:r>
    </w:p>
    <w:p w14:paraId="56021BAC">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2.1.2根据本章第2.2款和第2.3款对竞争性磋商文件所作的澄清、修改，构成竞争性磋商文件的组成部分。</w:t>
      </w:r>
    </w:p>
    <w:p w14:paraId="33E36FB8">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155" w:name="_Toc144974512"/>
      <w:bookmarkStart w:id="156" w:name="_Toc247085703"/>
      <w:bookmarkStart w:id="157" w:name="_Toc246996932"/>
      <w:bookmarkStart w:id="158" w:name="_Toc152045544"/>
      <w:bookmarkStart w:id="159" w:name="_Toc179632562"/>
      <w:bookmarkStart w:id="160" w:name="_Toc246996189"/>
      <w:bookmarkStart w:id="161" w:name="_Toc77586926"/>
      <w:bookmarkStart w:id="162" w:name="_Toc152042320"/>
      <w:bookmarkStart w:id="163" w:name="_Toc77586833"/>
      <w:bookmarkStart w:id="164" w:name="_Toc296602434"/>
      <w:r>
        <w:rPr>
          <w:rFonts w:hint="eastAsia" w:asciiTheme="minorEastAsia" w:hAnsiTheme="minorEastAsia" w:eastAsiaTheme="minorEastAsia" w:cstheme="minorEastAsia"/>
          <w:color w:val="auto"/>
          <w:sz w:val="24"/>
          <w:szCs w:val="24"/>
          <w:highlight w:val="none"/>
        </w:rPr>
        <w:t>2.2 竞争性磋商文件的澄清</w:t>
      </w:r>
      <w:bookmarkEnd w:id="155"/>
      <w:bookmarkEnd w:id="156"/>
      <w:bookmarkEnd w:id="157"/>
      <w:bookmarkEnd w:id="158"/>
      <w:bookmarkEnd w:id="159"/>
      <w:bookmarkEnd w:id="160"/>
      <w:bookmarkEnd w:id="161"/>
      <w:bookmarkEnd w:id="162"/>
      <w:bookmarkEnd w:id="163"/>
      <w:bookmarkEnd w:id="164"/>
    </w:p>
    <w:p w14:paraId="1B0AAF44">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2.2.1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应仔细阅读和检查竞争性磋商文件的全部内容。如发现缺页或附件不全，应及时向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提出，以便补齐。如有疑问，应在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须知前附表规定的时间前以书面的形式，要求</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对竞争性磋商文件予以澄清。</w:t>
      </w:r>
    </w:p>
    <w:p w14:paraId="49DC07A7">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2.2.2竞争性磋商文件的澄清将以公告形式发布到网上，但不指明澄清问题的来源。如果澄清发出的时间距</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须知前附表规定的投标截止时间不足5天，并且澄清内容影响磋商响应文件编制的，将相应延长磋商截止时间。 </w:t>
      </w:r>
    </w:p>
    <w:p w14:paraId="52952972">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165" w:name="_Toc296602435"/>
      <w:bookmarkStart w:id="166" w:name="_Toc77586834"/>
      <w:bookmarkStart w:id="167" w:name="_Toc144974513"/>
      <w:bookmarkStart w:id="168" w:name="_Toc246996933"/>
      <w:bookmarkStart w:id="169" w:name="_Toc152042321"/>
      <w:bookmarkStart w:id="170" w:name="_Toc179632563"/>
      <w:bookmarkStart w:id="171" w:name="_Toc152045545"/>
      <w:bookmarkStart w:id="172" w:name="_Toc247085704"/>
      <w:bookmarkStart w:id="173" w:name="_Toc77586927"/>
      <w:bookmarkStart w:id="174" w:name="_Toc246996190"/>
      <w:r>
        <w:rPr>
          <w:rFonts w:hint="eastAsia" w:asciiTheme="minorEastAsia" w:hAnsiTheme="minorEastAsia" w:eastAsiaTheme="minorEastAsia" w:cstheme="minorEastAsia"/>
          <w:color w:val="auto"/>
          <w:sz w:val="24"/>
          <w:szCs w:val="24"/>
          <w:highlight w:val="none"/>
        </w:rPr>
        <w:t>2.3 竞争性磋商文件的修改</w:t>
      </w:r>
      <w:bookmarkEnd w:id="165"/>
      <w:bookmarkEnd w:id="166"/>
      <w:bookmarkEnd w:id="167"/>
      <w:bookmarkEnd w:id="168"/>
      <w:bookmarkEnd w:id="169"/>
      <w:bookmarkEnd w:id="170"/>
      <w:bookmarkEnd w:id="171"/>
      <w:bookmarkEnd w:id="172"/>
      <w:bookmarkEnd w:id="173"/>
      <w:bookmarkEnd w:id="174"/>
    </w:p>
    <w:p w14:paraId="5C6DAC8F">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可以书面形式修改竞争性磋商文件，但如果修改竞争性磋商文件的时间距投标截止时间不足5天，并且修改内容影响磋商响应文件编制的，将相应延长磋商截止时间。</w:t>
      </w:r>
    </w:p>
    <w:p w14:paraId="515B4D9E">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175" w:name="_Toc77586928"/>
      <w:bookmarkStart w:id="176" w:name="_Toc247085705"/>
      <w:bookmarkStart w:id="177" w:name="_Toc246996934"/>
      <w:bookmarkStart w:id="178" w:name="_Toc246996191"/>
      <w:bookmarkStart w:id="179" w:name="_Toc77586835"/>
      <w:bookmarkStart w:id="180" w:name="_Toc144974514"/>
      <w:bookmarkStart w:id="181" w:name="_Toc152045546"/>
      <w:bookmarkStart w:id="182" w:name="_Toc152042322"/>
      <w:bookmarkStart w:id="183" w:name="_Toc179632564"/>
      <w:bookmarkStart w:id="184" w:name="_Toc296602436"/>
      <w:r>
        <w:rPr>
          <w:rFonts w:hint="eastAsia" w:asciiTheme="minorEastAsia" w:hAnsiTheme="minorEastAsia" w:eastAsiaTheme="minorEastAsia" w:cstheme="minorEastAsia"/>
          <w:color w:val="auto"/>
          <w:sz w:val="24"/>
          <w:szCs w:val="24"/>
          <w:highlight w:val="none"/>
        </w:rPr>
        <w:t>3. 竞争性磋商文件</w:t>
      </w:r>
      <w:bookmarkEnd w:id="175"/>
      <w:bookmarkEnd w:id="176"/>
      <w:bookmarkEnd w:id="177"/>
      <w:bookmarkEnd w:id="178"/>
      <w:bookmarkEnd w:id="179"/>
      <w:bookmarkEnd w:id="180"/>
      <w:bookmarkEnd w:id="181"/>
      <w:bookmarkEnd w:id="182"/>
      <w:bookmarkEnd w:id="183"/>
      <w:bookmarkEnd w:id="184"/>
    </w:p>
    <w:p w14:paraId="73480D6F">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185" w:name="_Toc152045547"/>
      <w:bookmarkStart w:id="186" w:name="_Toc144974515"/>
      <w:bookmarkStart w:id="187" w:name="_Toc296602437"/>
      <w:bookmarkStart w:id="188" w:name="_Toc77586929"/>
      <w:bookmarkStart w:id="189" w:name="_Toc152042323"/>
      <w:bookmarkStart w:id="190" w:name="_Toc77586836"/>
      <w:bookmarkStart w:id="191" w:name="_Toc179632565"/>
      <w:bookmarkStart w:id="192" w:name="_Toc247085706"/>
      <w:bookmarkStart w:id="193" w:name="_Toc246996935"/>
      <w:bookmarkStart w:id="194" w:name="_Toc246996192"/>
      <w:r>
        <w:rPr>
          <w:rFonts w:hint="eastAsia" w:asciiTheme="minorEastAsia" w:hAnsiTheme="minorEastAsia" w:eastAsiaTheme="minorEastAsia" w:cstheme="minorEastAsia"/>
          <w:color w:val="auto"/>
          <w:sz w:val="24"/>
          <w:szCs w:val="24"/>
          <w:highlight w:val="none"/>
        </w:rPr>
        <w:t>3.1 竞争性磋商文件的组成</w:t>
      </w:r>
      <w:bookmarkEnd w:id="185"/>
      <w:bookmarkEnd w:id="186"/>
      <w:bookmarkEnd w:id="187"/>
      <w:bookmarkEnd w:id="188"/>
      <w:bookmarkEnd w:id="189"/>
      <w:bookmarkEnd w:id="190"/>
      <w:bookmarkEnd w:id="191"/>
      <w:bookmarkEnd w:id="192"/>
      <w:bookmarkEnd w:id="193"/>
      <w:bookmarkEnd w:id="194"/>
    </w:p>
    <w:p w14:paraId="22E0941A">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0" w:firstLineChars="100"/>
        <w:jc w:val="left"/>
        <w:textAlignment w:val="auto"/>
        <w:rPr>
          <w:rFonts w:hint="eastAsia" w:asciiTheme="minorEastAsia" w:hAnsiTheme="minorEastAsia" w:eastAsiaTheme="minorEastAsia" w:cstheme="minorEastAsia"/>
          <w:b w:val="0"/>
          <w:color w:val="auto"/>
          <w:sz w:val="24"/>
          <w:szCs w:val="24"/>
          <w:highlight w:val="none"/>
        </w:rPr>
      </w:pPr>
      <w:bookmarkStart w:id="195" w:name="_Toc152045548"/>
      <w:bookmarkStart w:id="196" w:name="_Toc152042324"/>
      <w:bookmarkStart w:id="197" w:name="_Toc247085707"/>
      <w:bookmarkStart w:id="198" w:name="_Toc77586930"/>
      <w:bookmarkStart w:id="199" w:name="_Toc246996936"/>
      <w:bookmarkStart w:id="200" w:name="_Toc246996193"/>
      <w:bookmarkStart w:id="201" w:name="_Toc77586837"/>
      <w:bookmarkStart w:id="202" w:name="_Toc179632566"/>
      <w:bookmarkStart w:id="203" w:name="_Toc144974516"/>
      <w:bookmarkStart w:id="204" w:name="_Toc296602438"/>
      <w:r>
        <w:rPr>
          <w:rFonts w:hint="eastAsia" w:asciiTheme="minorEastAsia" w:hAnsiTheme="minorEastAsia" w:eastAsiaTheme="minorEastAsia" w:cstheme="minorEastAsia"/>
          <w:b w:val="0"/>
          <w:color w:val="auto"/>
          <w:sz w:val="24"/>
          <w:szCs w:val="24"/>
          <w:highlight w:val="none"/>
        </w:rPr>
        <w:t>一、</w:t>
      </w:r>
      <w:r>
        <w:rPr>
          <w:rFonts w:hint="eastAsia" w:asciiTheme="minorEastAsia" w:hAnsiTheme="minorEastAsia" w:eastAsiaTheme="minorEastAsia" w:cstheme="minorEastAsia"/>
          <w:b w:val="0"/>
          <w:color w:val="auto"/>
          <w:sz w:val="24"/>
          <w:szCs w:val="24"/>
          <w:highlight w:val="none"/>
        </w:rPr>
        <w:tab/>
      </w:r>
      <w:r>
        <w:rPr>
          <w:rFonts w:hint="eastAsia" w:asciiTheme="minorEastAsia" w:hAnsiTheme="minorEastAsia" w:eastAsiaTheme="minorEastAsia" w:cstheme="minorEastAsia"/>
          <w:b w:val="0"/>
          <w:color w:val="auto"/>
          <w:sz w:val="24"/>
          <w:szCs w:val="24"/>
          <w:highlight w:val="none"/>
        </w:rPr>
        <w:t>磋商响应函</w:t>
      </w:r>
    </w:p>
    <w:p w14:paraId="434FC0AA">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0" w:firstLineChars="100"/>
        <w:jc w:val="lef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二、</w:t>
      </w:r>
      <w:r>
        <w:rPr>
          <w:rFonts w:hint="eastAsia" w:asciiTheme="minorEastAsia" w:hAnsiTheme="minorEastAsia" w:eastAsiaTheme="minorEastAsia" w:cstheme="minorEastAsia"/>
          <w:b w:val="0"/>
          <w:color w:val="auto"/>
          <w:sz w:val="24"/>
          <w:szCs w:val="24"/>
          <w:highlight w:val="none"/>
        </w:rPr>
        <w:tab/>
      </w:r>
      <w:r>
        <w:rPr>
          <w:rFonts w:hint="eastAsia" w:asciiTheme="minorEastAsia" w:hAnsiTheme="minorEastAsia" w:eastAsiaTheme="minorEastAsia" w:cstheme="minorEastAsia"/>
          <w:b w:val="0"/>
          <w:color w:val="auto"/>
          <w:sz w:val="24"/>
          <w:szCs w:val="24"/>
          <w:highlight w:val="none"/>
        </w:rPr>
        <w:t>磋商报价表</w:t>
      </w:r>
    </w:p>
    <w:p w14:paraId="036551EE">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0" w:firstLineChars="100"/>
        <w:jc w:val="lef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三、</w:t>
      </w:r>
      <w:r>
        <w:rPr>
          <w:rFonts w:hint="eastAsia" w:asciiTheme="minorEastAsia" w:hAnsiTheme="minorEastAsia" w:eastAsiaTheme="minorEastAsia" w:cstheme="minorEastAsia"/>
          <w:b w:val="0"/>
          <w:color w:val="auto"/>
          <w:sz w:val="24"/>
          <w:szCs w:val="24"/>
          <w:highlight w:val="none"/>
        </w:rPr>
        <w:tab/>
      </w:r>
      <w:r>
        <w:rPr>
          <w:rFonts w:hint="eastAsia" w:asciiTheme="minorEastAsia" w:hAnsiTheme="minorEastAsia" w:eastAsiaTheme="minorEastAsia" w:cstheme="minorEastAsia"/>
          <w:b w:val="0"/>
          <w:color w:val="auto"/>
          <w:sz w:val="24"/>
          <w:szCs w:val="24"/>
          <w:highlight w:val="none"/>
        </w:rPr>
        <w:t>法定代表人身份证明</w:t>
      </w:r>
    </w:p>
    <w:p w14:paraId="567EAA8A">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0" w:firstLineChars="100"/>
        <w:jc w:val="lef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四、</w:t>
      </w:r>
      <w:r>
        <w:rPr>
          <w:rFonts w:hint="eastAsia" w:asciiTheme="minorEastAsia" w:hAnsiTheme="minorEastAsia" w:eastAsiaTheme="minorEastAsia" w:cstheme="minorEastAsia"/>
          <w:b w:val="0"/>
          <w:color w:val="auto"/>
          <w:sz w:val="24"/>
          <w:szCs w:val="24"/>
          <w:highlight w:val="none"/>
        </w:rPr>
        <w:tab/>
      </w:r>
      <w:r>
        <w:rPr>
          <w:rFonts w:hint="eastAsia" w:asciiTheme="minorEastAsia" w:hAnsiTheme="minorEastAsia" w:eastAsiaTheme="minorEastAsia" w:cstheme="minorEastAsia"/>
          <w:b w:val="0"/>
          <w:color w:val="auto"/>
          <w:sz w:val="24"/>
          <w:szCs w:val="24"/>
          <w:highlight w:val="none"/>
        </w:rPr>
        <w:t>授权委托书</w:t>
      </w:r>
    </w:p>
    <w:p w14:paraId="475B624D">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0" w:firstLineChars="100"/>
        <w:jc w:val="lef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五、</w:t>
      </w:r>
      <w:r>
        <w:rPr>
          <w:rFonts w:hint="eastAsia" w:asciiTheme="minorEastAsia" w:hAnsiTheme="minorEastAsia" w:eastAsiaTheme="minorEastAsia" w:cstheme="minorEastAsia"/>
          <w:b w:val="0"/>
          <w:color w:val="auto"/>
          <w:sz w:val="24"/>
          <w:szCs w:val="24"/>
          <w:highlight w:val="none"/>
        </w:rPr>
        <w:tab/>
      </w:r>
      <w:r>
        <w:rPr>
          <w:rFonts w:hint="eastAsia" w:asciiTheme="minorEastAsia" w:hAnsiTheme="minorEastAsia" w:eastAsiaTheme="minorEastAsia" w:cstheme="minorEastAsia"/>
          <w:b w:val="0"/>
          <w:color w:val="auto"/>
          <w:sz w:val="24"/>
          <w:szCs w:val="24"/>
          <w:highlight w:val="none"/>
        </w:rPr>
        <w:t>投标承诺函</w:t>
      </w:r>
    </w:p>
    <w:p w14:paraId="2481F20D">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0" w:firstLineChars="100"/>
        <w:jc w:val="left"/>
        <w:textAlignment w:val="auto"/>
        <w:rPr>
          <w:rFonts w:hint="default" w:asciiTheme="minorEastAsia" w:hAnsiTheme="minorEastAsia" w:eastAsiaTheme="minorEastAsia" w:cstheme="minorEastAsia"/>
          <w:b w:val="0"/>
          <w:color w:val="auto"/>
          <w:sz w:val="24"/>
          <w:szCs w:val="24"/>
          <w:highlight w:val="none"/>
          <w:lang w:val="en-US"/>
        </w:rPr>
      </w:pPr>
      <w:r>
        <w:rPr>
          <w:rFonts w:hint="eastAsia" w:asciiTheme="minorEastAsia" w:hAnsiTheme="minorEastAsia" w:eastAsiaTheme="minorEastAsia" w:cstheme="minorEastAsia"/>
          <w:b w:val="0"/>
          <w:color w:val="auto"/>
          <w:sz w:val="24"/>
          <w:szCs w:val="24"/>
          <w:highlight w:val="none"/>
        </w:rPr>
        <w:t>六、</w:t>
      </w:r>
      <w:r>
        <w:rPr>
          <w:rFonts w:hint="eastAsia" w:asciiTheme="minorEastAsia" w:hAnsiTheme="minorEastAsia" w:eastAsiaTheme="minorEastAsia" w:cstheme="minorEastAsia"/>
          <w:b w:val="0"/>
          <w:color w:val="auto"/>
          <w:sz w:val="24"/>
          <w:szCs w:val="24"/>
          <w:highlight w:val="none"/>
        </w:rPr>
        <w:tab/>
      </w:r>
      <w:r>
        <w:rPr>
          <w:rFonts w:hint="eastAsia" w:asciiTheme="minorEastAsia" w:hAnsiTheme="minorEastAsia" w:eastAsiaTheme="minorEastAsia" w:cstheme="minorEastAsia"/>
          <w:b w:val="0"/>
          <w:color w:val="auto"/>
          <w:sz w:val="24"/>
          <w:szCs w:val="24"/>
          <w:highlight w:val="none"/>
          <w:lang w:val="en-US" w:eastAsia="zh-CN"/>
        </w:rPr>
        <w:t>技术服务清单</w:t>
      </w:r>
    </w:p>
    <w:p w14:paraId="28C8EC52">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0" w:firstLineChars="100"/>
        <w:jc w:val="lef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rPr>
        <w:t>七、</w:t>
      </w:r>
      <w:r>
        <w:rPr>
          <w:rFonts w:hint="eastAsia" w:asciiTheme="minorEastAsia" w:hAnsiTheme="minorEastAsia" w:eastAsiaTheme="minorEastAsia" w:cstheme="minorEastAsia"/>
          <w:b w:val="0"/>
          <w:color w:val="auto"/>
          <w:sz w:val="24"/>
          <w:szCs w:val="24"/>
          <w:highlight w:val="none"/>
        </w:rPr>
        <w:tab/>
      </w:r>
      <w:r>
        <w:rPr>
          <w:rFonts w:hint="eastAsia" w:asciiTheme="minorEastAsia" w:hAnsiTheme="minorEastAsia" w:eastAsiaTheme="minorEastAsia" w:cstheme="minorEastAsia"/>
          <w:b w:val="0"/>
          <w:color w:val="auto"/>
          <w:sz w:val="24"/>
          <w:szCs w:val="24"/>
          <w:highlight w:val="none"/>
        </w:rPr>
        <w:t>技术参数偏离表</w:t>
      </w:r>
    </w:p>
    <w:p w14:paraId="77D4E960">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0" w:firstLineChars="100"/>
        <w:jc w:val="lef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rPr>
        <w:t>八、</w:t>
      </w:r>
      <w:r>
        <w:rPr>
          <w:rFonts w:hint="eastAsia" w:asciiTheme="minorEastAsia" w:hAnsiTheme="minorEastAsia" w:eastAsiaTheme="minorEastAsia" w:cstheme="minorEastAsia"/>
          <w:b w:val="0"/>
          <w:color w:val="auto"/>
          <w:sz w:val="24"/>
          <w:szCs w:val="24"/>
          <w:highlight w:val="none"/>
        </w:rPr>
        <w:tab/>
      </w:r>
      <w:r>
        <w:rPr>
          <w:rFonts w:hint="eastAsia" w:asciiTheme="minorEastAsia" w:hAnsiTheme="minorEastAsia" w:eastAsiaTheme="minorEastAsia" w:cstheme="minorEastAsia"/>
          <w:b w:val="0"/>
          <w:color w:val="auto"/>
          <w:sz w:val="24"/>
          <w:szCs w:val="24"/>
          <w:highlight w:val="none"/>
          <w:lang w:val="en-US" w:eastAsia="zh-CN"/>
        </w:rPr>
        <w:t>技术标</w:t>
      </w:r>
    </w:p>
    <w:p w14:paraId="3DFA9589">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0" w:firstLineChars="100"/>
        <w:jc w:val="lef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九、 商务标</w:t>
      </w:r>
    </w:p>
    <w:p w14:paraId="180199A7">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0" w:firstLineChars="100"/>
        <w:jc w:val="lef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val="en-US" w:eastAsia="zh-CN"/>
        </w:rPr>
        <w:t>十</w:t>
      </w:r>
      <w:r>
        <w:rPr>
          <w:rFonts w:hint="eastAsia" w:asciiTheme="minorEastAsia" w:hAnsiTheme="minorEastAsia" w:eastAsiaTheme="minorEastAsia" w:cstheme="minorEastAsia"/>
          <w:b w:val="0"/>
          <w:color w:val="auto"/>
          <w:sz w:val="24"/>
          <w:szCs w:val="24"/>
          <w:highlight w:val="none"/>
        </w:rPr>
        <w:t>、</w:t>
      </w:r>
      <w:r>
        <w:rPr>
          <w:rFonts w:hint="eastAsia" w:asciiTheme="minorEastAsia" w:hAnsiTheme="minorEastAsia" w:eastAsiaTheme="minorEastAsia" w:cstheme="minorEastAsia"/>
          <w:b w:val="0"/>
          <w:color w:val="auto"/>
          <w:sz w:val="24"/>
          <w:szCs w:val="24"/>
          <w:highlight w:val="none"/>
        </w:rPr>
        <w:tab/>
      </w:r>
      <w:r>
        <w:rPr>
          <w:rFonts w:hint="eastAsia" w:asciiTheme="minorEastAsia" w:hAnsiTheme="minorEastAsia" w:eastAsiaTheme="minorEastAsia" w:cstheme="minorEastAsia"/>
          <w:b w:val="0"/>
          <w:color w:val="auto"/>
          <w:sz w:val="24"/>
          <w:szCs w:val="24"/>
          <w:highlight w:val="none"/>
        </w:rPr>
        <w:t>资格审查资料</w:t>
      </w:r>
    </w:p>
    <w:p w14:paraId="17494931">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0" w:firstLineChars="100"/>
        <w:jc w:val="lef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十</w:t>
      </w:r>
      <w:r>
        <w:rPr>
          <w:rFonts w:hint="eastAsia" w:asciiTheme="minorEastAsia" w:hAnsiTheme="minorEastAsia" w:eastAsiaTheme="minorEastAsia" w:cstheme="minorEastAsia"/>
          <w:b w:val="0"/>
          <w:color w:val="auto"/>
          <w:sz w:val="24"/>
          <w:szCs w:val="24"/>
          <w:highlight w:val="none"/>
          <w:lang w:val="en-US" w:eastAsia="zh-CN"/>
        </w:rPr>
        <w:t>一</w:t>
      </w:r>
      <w:r>
        <w:rPr>
          <w:rFonts w:hint="eastAsia" w:asciiTheme="minorEastAsia" w:hAnsiTheme="minorEastAsia" w:eastAsiaTheme="minorEastAsia" w:cstheme="minorEastAsia"/>
          <w:b w:val="0"/>
          <w:color w:val="auto"/>
          <w:sz w:val="24"/>
          <w:szCs w:val="24"/>
          <w:highlight w:val="none"/>
        </w:rPr>
        <w:t>、供应商认为有必要提供的其他资料</w:t>
      </w:r>
    </w:p>
    <w:p w14:paraId="3FECFD13">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磋商报价</w:t>
      </w:r>
      <w:bookmarkEnd w:id="195"/>
      <w:bookmarkEnd w:id="196"/>
      <w:bookmarkEnd w:id="197"/>
      <w:bookmarkEnd w:id="198"/>
      <w:bookmarkEnd w:id="199"/>
      <w:bookmarkEnd w:id="200"/>
      <w:bookmarkEnd w:id="201"/>
      <w:bookmarkEnd w:id="202"/>
      <w:bookmarkEnd w:id="203"/>
      <w:bookmarkEnd w:id="204"/>
    </w:p>
    <w:p w14:paraId="483E437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根据竞争性磋商文件规定的</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应对本次招标的全部工作内容进行报价。磋商报价应是竞争性磋商文件所确定的磋商范围内的全部工作内容的价格体现。 </w:t>
      </w:r>
    </w:p>
    <w:p w14:paraId="4717AB6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3.2.2磋商报价应包括竞争性磋商文件及技术规范等规定的，实施和完成招标直至</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验收合格，及达到</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质量和</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eastAsia="zh-CN"/>
        </w:rPr>
        <w:t>期</w:t>
      </w:r>
      <w:r>
        <w:rPr>
          <w:rFonts w:hint="eastAsia" w:asciiTheme="minorEastAsia" w:hAnsiTheme="minorEastAsia" w:eastAsiaTheme="minorEastAsia" w:cstheme="minorEastAsia"/>
          <w:color w:val="auto"/>
          <w:sz w:val="24"/>
          <w:szCs w:val="24"/>
          <w:highlight w:val="none"/>
        </w:rPr>
        <w:t>目标、安全文明、环境保护等要求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正式交付</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使用前所需的全部费用。</w:t>
      </w:r>
    </w:p>
    <w:p w14:paraId="3C4818F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的磋商报价根据竞争性磋商文件、</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清单、答疑等，充分考虑市场价格、风险因素，在合理范围内自主报价，但不得低于企业实际成本。</w:t>
      </w:r>
    </w:p>
    <w:p w14:paraId="704B81E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应结合自身条件，并充分考虑本</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难度、</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eastAsia="zh-CN"/>
        </w:rPr>
        <w:t>期</w:t>
      </w:r>
      <w:r>
        <w:rPr>
          <w:rFonts w:hint="eastAsia" w:asciiTheme="minorEastAsia" w:hAnsiTheme="minorEastAsia" w:eastAsiaTheme="minorEastAsia" w:cstheme="minorEastAsia"/>
          <w:color w:val="auto"/>
          <w:sz w:val="24"/>
          <w:szCs w:val="24"/>
          <w:highlight w:val="none"/>
        </w:rPr>
        <w:t>的要求、</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质量要求以及市场因素、现场环境因素、社会因素、市场价格调整因素等各方面原因合理报价。磋商报价将被认为已综合考虑了在全过程中可能发生的全部不可预见费用。成交人无权再以任何理由提出延长</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eastAsia="zh-CN"/>
        </w:rPr>
        <w:t>期</w:t>
      </w:r>
      <w:r>
        <w:rPr>
          <w:rFonts w:hint="eastAsia" w:asciiTheme="minorEastAsia" w:hAnsiTheme="minorEastAsia" w:eastAsiaTheme="minorEastAsia" w:cstheme="minorEastAsia"/>
          <w:color w:val="auto"/>
          <w:sz w:val="24"/>
          <w:szCs w:val="24"/>
          <w:highlight w:val="none"/>
        </w:rPr>
        <w:t>、增加价款或索赔等要求。</w:t>
      </w:r>
    </w:p>
    <w:p w14:paraId="105B4B75">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磋商报价要求</w:t>
      </w:r>
    </w:p>
    <w:p w14:paraId="61A385DB">
      <w:pPr>
        <w:keepNext w:val="0"/>
        <w:keepLines w:val="0"/>
        <w:pageBreakBefore w:val="0"/>
        <w:widowControl/>
        <w:numPr>
          <w:ilvl w:val="0"/>
          <w:numId w:val="1"/>
        </w:numPr>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在投标时必须在磋商响应文件中提供一份完整的</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清单；</w:t>
      </w:r>
    </w:p>
    <w:p w14:paraId="62F35E1F">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作为有经验的承包商，应充分考虑该</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实施时的各种风险，并将其考虑在本次投标报价各清单项目的综合单价中，结算时综合单价不做调整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合同另有约定的除外）；</w:t>
      </w:r>
    </w:p>
    <w:p w14:paraId="05E60212">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3）本次磋商的最终投标总报价不得高于磋商控制价，高于磋商控制价的报价将不再评审；</w:t>
      </w:r>
    </w:p>
    <w:p w14:paraId="355F30A5">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4）磋商响应文件报价中的单价和总价全部采用人民币表示。 </w:t>
      </w:r>
    </w:p>
    <w:p w14:paraId="27F6CFF7">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5）本项目为竞争性磋商方式，允许二次报价。</w:t>
      </w:r>
    </w:p>
    <w:p w14:paraId="547308A9">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205" w:name="_Toc247085708"/>
      <w:bookmarkStart w:id="206" w:name="_Toc296602439"/>
      <w:bookmarkStart w:id="207" w:name="_Toc152045549"/>
      <w:bookmarkStart w:id="208" w:name="_Toc144974517"/>
      <w:bookmarkStart w:id="209" w:name="_Toc152042325"/>
      <w:bookmarkStart w:id="210" w:name="_Toc77586931"/>
      <w:bookmarkStart w:id="211" w:name="_Toc246996194"/>
      <w:bookmarkStart w:id="212" w:name="_Toc179632567"/>
      <w:bookmarkStart w:id="213" w:name="_Toc77586838"/>
      <w:bookmarkStart w:id="214" w:name="_Toc246996937"/>
      <w:r>
        <w:rPr>
          <w:rFonts w:hint="eastAsia" w:asciiTheme="minorEastAsia" w:hAnsiTheme="minorEastAsia" w:eastAsiaTheme="minorEastAsia" w:cstheme="minorEastAsia"/>
          <w:color w:val="auto"/>
          <w:sz w:val="24"/>
          <w:szCs w:val="24"/>
          <w:highlight w:val="none"/>
        </w:rPr>
        <w:t>3.3 磋商有效期</w:t>
      </w:r>
      <w:bookmarkEnd w:id="205"/>
      <w:bookmarkEnd w:id="206"/>
      <w:bookmarkEnd w:id="207"/>
      <w:bookmarkEnd w:id="208"/>
      <w:bookmarkEnd w:id="209"/>
      <w:bookmarkEnd w:id="210"/>
      <w:bookmarkEnd w:id="211"/>
      <w:bookmarkEnd w:id="212"/>
      <w:bookmarkEnd w:id="213"/>
      <w:bookmarkEnd w:id="214"/>
    </w:p>
    <w:p w14:paraId="1DC82A92">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磋商有效期为60日历天。</w:t>
      </w:r>
    </w:p>
    <w:p w14:paraId="65CC2830">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3.3.2在磋商有效期内，</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撤销或修改其磋商响应文件的，应承担磋商文件和法律规定的责任。</w:t>
      </w:r>
    </w:p>
    <w:p w14:paraId="62F9DCD8">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3.3.3出现特殊情况需要延长投标有效期的，</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以书面形式通知所有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延长投标有效期。</w:t>
      </w:r>
    </w:p>
    <w:p w14:paraId="1AF03966">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215" w:name="_Toc246996938"/>
      <w:bookmarkStart w:id="216" w:name="_Toc247085709"/>
      <w:bookmarkStart w:id="217" w:name="_Toc152042326"/>
      <w:bookmarkStart w:id="218" w:name="_Toc246996195"/>
      <w:bookmarkStart w:id="219" w:name="_Toc179632568"/>
      <w:bookmarkStart w:id="220" w:name="_Toc144974518"/>
      <w:bookmarkStart w:id="221" w:name="_Toc296602440"/>
      <w:bookmarkStart w:id="222" w:name="_Toc152045550"/>
      <w:bookmarkStart w:id="223" w:name="_Toc77586839"/>
      <w:bookmarkStart w:id="224" w:name="_Toc77586932"/>
      <w:r>
        <w:rPr>
          <w:rFonts w:hint="eastAsia" w:asciiTheme="minorEastAsia" w:hAnsiTheme="minorEastAsia" w:eastAsiaTheme="minorEastAsia" w:cstheme="minorEastAsia"/>
          <w:color w:val="auto"/>
          <w:sz w:val="24"/>
          <w:szCs w:val="24"/>
          <w:highlight w:val="none"/>
        </w:rPr>
        <w:t xml:space="preserve">3.4 </w:t>
      </w:r>
      <w:bookmarkEnd w:id="215"/>
      <w:bookmarkEnd w:id="216"/>
      <w:bookmarkEnd w:id="217"/>
      <w:bookmarkEnd w:id="218"/>
      <w:bookmarkEnd w:id="219"/>
      <w:bookmarkEnd w:id="220"/>
      <w:bookmarkEnd w:id="221"/>
      <w:bookmarkEnd w:id="222"/>
      <w:r>
        <w:rPr>
          <w:rFonts w:hint="eastAsia" w:asciiTheme="minorEastAsia" w:hAnsiTheme="minorEastAsia" w:eastAsiaTheme="minorEastAsia" w:cstheme="minorEastAsia"/>
          <w:color w:val="auto"/>
          <w:sz w:val="24"/>
          <w:szCs w:val="24"/>
          <w:highlight w:val="none"/>
        </w:rPr>
        <w:t>磋商保证金</w:t>
      </w:r>
      <w:bookmarkEnd w:id="223"/>
      <w:bookmarkEnd w:id="224"/>
    </w:p>
    <w:p w14:paraId="131255C3">
      <w:pPr>
        <w:keepNext w:val="0"/>
        <w:keepLines w:val="0"/>
        <w:pageBreakBefore w:val="0"/>
        <w:widowControl/>
        <w:kinsoku/>
        <w:wordWrap/>
        <w:overflowPunct/>
        <w:topLinePunct w:val="0"/>
        <w:autoSpaceDE/>
        <w:autoSpaceDN/>
        <w:bidi w:val="0"/>
        <w:adjustRightInd w:val="0"/>
        <w:snapToGrid/>
        <w:spacing w:after="0"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本项目不收取磋商保证金。</w:t>
      </w:r>
    </w:p>
    <w:p w14:paraId="02DCDDB0">
      <w:pPr>
        <w:keepNext w:val="0"/>
        <w:keepLines w:val="0"/>
        <w:pageBreakBefore w:val="0"/>
        <w:widowControl/>
        <w:kinsoku/>
        <w:wordWrap/>
        <w:overflowPunct/>
        <w:topLinePunct w:val="0"/>
        <w:autoSpaceDE/>
        <w:autoSpaceDN/>
        <w:bidi w:val="0"/>
        <w:adjustRightInd w:val="0"/>
        <w:snapToGrid/>
        <w:spacing w:after="0" w:line="360" w:lineRule="auto"/>
        <w:ind w:firstLine="241"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3.5 </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基本情况表</w:t>
      </w:r>
      <w:bookmarkStart w:id="225" w:name="_Toc296602442"/>
      <w:bookmarkStart w:id="226" w:name="_Toc152042329"/>
      <w:bookmarkStart w:id="227" w:name="_Toc246996940"/>
      <w:bookmarkStart w:id="228" w:name="_Toc152045553"/>
      <w:bookmarkStart w:id="229" w:name="_Toc247085711"/>
      <w:bookmarkStart w:id="230" w:name="_Toc246996197"/>
      <w:bookmarkStart w:id="231" w:name="_Toc179632571"/>
      <w:bookmarkStart w:id="232" w:name="_Toc144974521"/>
    </w:p>
    <w:p w14:paraId="2271C203">
      <w:pPr>
        <w:keepNext w:val="0"/>
        <w:keepLines w:val="0"/>
        <w:pageBreakBefore w:val="0"/>
        <w:widowControl/>
        <w:kinsoku/>
        <w:wordWrap/>
        <w:overflowPunct/>
        <w:topLinePunct w:val="0"/>
        <w:autoSpaceDE/>
        <w:autoSpaceDN/>
        <w:bidi w:val="0"/>
        <w:adjustRightInd w:val="0"/>
        <w:snapToGrid/>
        <w:spacing w:after="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3.5.1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近年财务状况表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可附财务会计报表，具体年份要求见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p>
    <w:p w14:paraId="1EB62FDC">
      <w:pPr>
        <w:keepNext w:val="0"/>
        <w:keepLines w:val="0"/>
        <w:pageBreakBefore w:val="0"/>
        <w:widowControl/>
        <w:kinsoku/>
        <w:wordWrap/>
        <w:overflowPunct/>
        <w:topLinePunct w:val="0"/>
        <w:autoSpaceDE/>
        <w:autoSpaceDN/>
        <w:bidi w:val="0"/>
        <w:adjustRightInd w:val="0"/>
        <w:snapToGrid/>
        <w:spacing w:after="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3.5.2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近年完成的类似项目情况表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可附成交通知书</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合同的扫描件，具体年份要求见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须知前附表。每张表格只填写一个项目，并标明序号。</w:t>
      </w:r>
    </w:p>
    <w:p w14:paraId="3F42FCE5">
      <w:pPr>
        <w:keepNext w:val="0"/>
        <w:keepLines w:val="0"/>
        <w:pageBreakBefore w:val="0"/>
        <w:widowControl/>
        <w:kinsoku/>
        <w:wordWrap/>
        <w:overflowPunct/>
        <w:topLinePunct w:val="0"/>
        <w:autoSpaceDE/>
        <w:autoSpaceDN/>
        <w:bidi w:val="0"/>
        <w:adjustRightInd w:val="0"/>
        <w:snapToGrid/>
        <w:spacing w:after="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3.5.4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正在</w:t>
      </w:r>
      <w:r>
        <w:rPr>
          <w:rFonts w:hint="eastAsia" w:asciiTheme="minorEastAsia" w:hAnsiTheme="minorEastAsia" w:eastAsiaTheme="minorEastAsia" w:cstheme="minorEastAsia"/>
          <w:color w:val="auto"/>
          <w:sz w:val="24"/>
          <w:szCs w:val="24"/>
          <w:highlight w:val="none"/>
          <w:lang w:val="en-US" w:eastAsia="zh-CN"/>
        </w:rPr>
        <w:t>实施</w:t>
      </w:r>
      <w:r>
        <w:rPr>
          <w:rFonts w:hint="eastAsia" w:asciiTheme="minorEastAsia" w:hAnsiTheme="minorEastAsia" w:eastAsiaTheme="minorEastAsia" w:cstheme="minorEastAsia"/>
          <w:color w:val="auto"/>
          <w:sz w:val="24"/>
          <w:szCs w:val="24"/>
          <w:highlight w:val="none"/>
        </w:rPr>
        <w:t>和新承接的项目情况表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可附成成交通知书</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合同扫描件。每张表格只填写一个项目，并标明序号。</w:t>
      </w:r>
    </w:p>
    <w:p w14:paraId="2EFB60C9">
      <w:pPr>
        <w:keepNext w:val="0"/>
        <w:keepLines w:val="0"/>
        <w:pageBreakBefore w:val="0"/>
        <w:widowControl/>
        <w:kinsoku/>
        <w:wordWrap/>
        <w:overflowPunct/>
        <w:topLinePunct w:val="0"/>
        <w:autoSpaceDE/>
        <w:autoSpaceDN/>
        <w:bidi w:val="0"/>
        <w:adjustRightInd w:val="0"/>
        <w:snapToGrid/>
        <w:spacing w:after="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3.5.5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近年发生的诉讼及仲裁情况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应说明相关情况，可附法院或仲裁机构作出的判决、裁决等有关法律文书扫描件，具体年份要求见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p>
    <w:p w14:paraId="3F1B24DA">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233" w:name="_Toc77586933"/>
      <w:bookmarkStart w:id="234" w:name="_Toc77586840"/>
      <w:r>
        <w:rPr>
          <w:rFonts w:hint="eastAsia" w:asciiTheme="minorEastAsia" w:hAnsiTheme="minorEastAsia" w:eastAsiaTheme="minorEastAsia" w:cstheme="minorEastAsia"/>
          <w:color w:val="auto"/>
          <w:sz w:val="24"/>
          <w:szCs w:val="24"/>
          <w:highlight w:val="none"/>
        </w:rPr>
        <w:t>3.6磋商响应文件的</w:t>
      </w:r>
      <w:bookmarkEnd w:id="225"/>
      <w:r>
        <w:rPr>
          <w:rFonts w:hint="eastAsia" w:asciiTheme="minorEastAsia" w:hAnsiTheme="minorEastAsia" w:eastAsiaTheme="minorEastAsia" w:cstheme="minorEastAsia"/>
          <w:color w:val="auto"/>
          <w:sz w:val="24"/>
          <w:szCs w:val="24"/>
          <w:highlight w:val="none"/>
        </w:rPr>
        <w:t>编制</w:t>
      </w:r>
      <w:bookmarkEnd w:id="233"/>
      <w:bookmarkEnd w:id="234"/>
    </w:p>
    <w:bookmarkEnd w:id="226"/>
    <w:bookmarkEnd w:id="227"/>
    <w:bookmarkEnd w:id="228"/>
    <w:bookmarkEnd w:id="229"/>
    <w:bookmarkEnd w:id="230"/>
    <w:bookmarkEnd w:id="231"/>
    <w:bookmarkEnd w:id="232"/>
    <w:p w14:paraId="3B05EB84">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235" w:name="_Toc179632573"/>
      <w:bookmarkStart w:id="236" w:name="_Toc246996942"/>
      <w:bookmarkStart w:id="237" w:name="_Toc152042331"/>
      <w:bookmarkStart w:id="238" w:name="_Toc144974523"/>
      <w:bookmarkStart w:id="239" w:name="_Toc296602443"/>
      <w:bookmarkStart w:id="240" w:name="_Toc246996199"/>
      <w:bookmarkStart w:id="241" w:name="_Toc247085713"/>
      <w:bookmarkStart w:id="242" w:name="_Toc152045555"/>
      <w:r>
        <w:rPr>
          <w:rFonts w:hint="eastAsia" w:asciiTheme="minorEastAsia" w:hAnsiTheme="minorEastAsia" w:eastAsiaTheme="minorEastAsia" w:cstheme="minorEastAsia"/>
          <w:color w:val="auto"/>
          <w:sz w:val="24"/>
          <w:szCs w:val="24"/>
          <w:highlight w:val="none"/>
        </w:rPr>
        <w:t>3.6.1磋商响应文件可按第八章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磋商响应文件格式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进行编写，如有必要，可以增加附页作为磋商响应文件的组成部分。其中，投标函附录在满足竞争性磋商文件实质性要求的基础上，可以提出比竞争性磋商文件要求更有利于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的承诺。</w:t>
      </w:r>
    </w:p>
    <w:p w14:paraId="2CE42869">
      <w:pPr>
        <w:keepNext w:val="0"/>
        <w:keepLines w:val="0"/>
        <w:pageBreakBefore w:val="0"/>
        <w:widowControl/>
        <w:kinsoku/>
        <w:wordWrap w:val="0"/>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3.6.2 磋商响应文件应当对竞争性磋商文件有关项目实施周期、投标有效期、质量要求、招标范围等实质性内容作出响应。</w:t>
      </w:r>
    </w:p>
    <w:p w14:paraId="3B4BA139">
      <w:pPr>
        <w:keepNext w:val="0"/>
        <w:keepLines w:val="0"/>
        <w:pageBreakBefore w:val="0"/>
        <w:widowControl/>
        <w:kinsoku/>
        <w:wordWrap w:val="0"/>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所上传的电子化磋商响应文件，应是通过中心</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制作系统制作的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制作工具下载地址：https://download.bqpoint.com/download/downloaddetail.html?SourceFrom=Ztb&amp;ZtbSoftXiaQuCode=1506&amp;ZtbSoftType=tballinclusive），经过签章和加密后生成的电子版磋商响应文件。其中包含用于磋商响应文件上传的主文件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后缀为.smxtf）和用于应急补救的磋商响应文件备份文件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后缀为.nsmxtf）。</w:t>
      </w:r>
    </w:p>
    <w:p w14:paraId="5FEF1615">
      <w:pPr>
        <w:keepNext w:val="0"/>
        <w:keepLines w:val="0"/>
        <w:pageBreakBefore w:val="0"/>
        <w:widowControl/>
        <w:kinsoku/>
        <w:wordWrap/>
        <w:overflowPunct/>
        <w:topLinePunct w:val="0"/>
        <w:autoSpaceDE/>
        <w:autoSpaceDN/>
        <w:bidi w:val="0"/>
        <w:adjustRightInd w:val="0"/>
        <w:snapToGrid/>
        <w:spacing w:after="0"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电子化</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具体制作教材请</w:t>
      </w:r>
      <w:r>
        <w:rPr>
          <w:rFonts w:hint="eastAsia" w:asciiTheme="minorEastAsia" w:hAnsiTheme="minorEastAsia" w:eastAsiaTheme="minorEastAsia" w:cstheme="minorEastAsia"/>
          <w:b/>
          <w:color w:val="auto"/>
          <w:sz w:val="24"/>
          <w:szCs w:val="24"/>
          <w:highlight w:val="none"/>
          <w:lang w:eastAsia="zh-CN"/>
        </w:rPr>
        <w:t>供应商</w:t>
      </w:r>
      <w:r>
        <w:rPr>
          <w:rFonts w:hint="eastAsia" w:asciiTheme="minorEastAsia" w:hAnsiTheme="minorEastAsia" w:eastAsiaTheme="minorEastAsia" w:cstheme="minorEastAsia"/>
          <w:b/>
          <w:color w:val="auto"/>
          <w:sz w:val="24"/>
          <w:szCs w:val="24"/>
          <w:highlight w:val="none"/>
        </w:rPr>
        <w:t>点击以下链接学习</w:t>
      </w:r>
      <w:r>
        <w:rPr>
          <w:rFonts w:hint="eastAsia" w:asciiTheme="minorEastAsia" w:hAnsiTheme="minorEastAsia" w:eastAsiaTheme="minorEastAsia" w:cstheme="minorEastAsia"/>
          <w:color w:val="auto"/>
          <w:sz w:val="24"/>
          <w:szCs w:val="24"/>
          <w:highlight w:val="none"/>
        </w:rPr>
        <w:t>http://gzjy.smx.gov.cn/bzzx/008001/20200325/4a2f9fa3-b923-4ddd-bd6f-138a0b63f7d1.html</w:t>
      </w:r>
    </w:p>
    <w:p w14:paraId="684447E5">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243" w:name="_Toc77586934"/>
      <w:bookmarkStart w:id="244" w:name="_Toc77586841"/>
      <w:r>
        <w:rPr>
          <w:rFonts w:hint="eastAsia" w:asciiTheme="minorEastAsia" w:hAnsiTheme="minorEastAsia" w:eastAsiaTheme="minorEastAsia" w:cstheme="minorEastAsia"/>
          <w:color w:val="auto"/>
          <w:sz w:val="24"/>
          <w:szCs w:val="24"/>
          <w:highlight w:val="none"/>
        </w:rPr>
        <w:t>3.7备选投标方案</w:t>
      </w:r>
      <w:bookmarkEnd w:id="243"/>
      <w:bookmarkEnd w:id="244"/>
    </w:p>
    <w:p w14:paraId="48FAEB16">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递交备选投标方案。</w:t>
      </w:r>
    </w:p>
    <w:p w14:paraId="22EE411F">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245" w:name="_Toc77586842"/>
      <w:bookmarkStart w:id="246" w:name="_Toc77586935"/>
      <w:r>
        <w:rPr>
          <w:rFonts w:hint="eastAsia" w:asciiTheme="minorEastAsia" w:hAnsiTheme="minorEastAsia" w:eastAsiaTheme="minorEastAsia" w:cstheme="minorEastAsia"/>
          <w:color w:val="auto"/>
          <w:sz w:val="24"/>
          <w:szCs w:val="24"/>
          <w:highlight w:val="none"/>
        </w:rPr>
        <w:t>4. 投标</w:t>
      </w:r>
      <w:bookmarkEnd w:id="235"/>
      <w:bookmarkEnd w:id="236"/>
      <w:bookmarkEnd w:id="237"/>
      <w:bookmarkEnd w:id="238"/>
      <w:bookmarkEnd w:id="239"/>
      <w:bookmarkEnd w:id="240"/>
      <w:bookmarkEnd w:id="241"/>
      <w:bookmarkEnd w:id="242"/>
      <w:bookmarkEnd w:id="245"/>
      <w:bookmarkEnd w:id="246"/>
    </w:p>
    <w:p w14:paraId="60062C49">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247" w:name="_Toc247085714"/>
      <w:bookmarkStart w:id="248" w:name="_Toc152045556"/>
      <w:bookmarkStart w:id="249" w:name="_Toc179632574"/>
      <w:bookmarkStart w:id="250" w:name="_Toc246996943"/>
      <w:bookmarkStart w:id="251" w:name="_Toc144974524"/>
      <w:bookmarkStart w:id="252" w:name="_Toc296602444"/>
      <w:bookmarkStart w:id="253" w:name="_Toc152042332"/>
      <w:bookmarkStart w:id="254" w:name="_Toc246996200"/>
      <w:bookmarkStart w:id="255" w:name="_Toc77586936"/>
      <w:bookmarkStart w:id="256" w:name="_Toc77586843"/>
      <w:r>
        <w:rPr>
          <w:rFonts w:hint="eastAsia" w:asciiTheme="minorEastAsia" w:hAnsiTheme="minorEastAsia" w:eastAsiaTheme="minorEastAsia" w:cstheme="minorEastAsia"/>
          <w:color w:val="auto"/>
          <w:sz w:val="24"/>
          <w:szCs w:val="24"/>
          <w:highlight w:val="none"/>
        </w:rPr>
        <w:t>4.1 磋商响应文件的</w:t>
      </w:r>
      <w:bookmarkEnd w:id="247"/>
      <w:bookmarkEnd w:id="248"/>
      <w:bookmarkEnd w:id="249"/>
      <w:bookmarkEnd w:id="250"/>
      <w:bookmarkEnd w:id="251"/>
      <w:bookmarkEnd w:id="252"/>
      <w:bookmarkEnd w:id="253"/>
      <w:bookmarkEnd w:id="254"/>
      <w:r>
        <w:rPr>
          <w:rFonts w:hint="eastAsia" w:asciiTheme="minorEastAsia" w:hAnsiTheme="minorEastAsia" w:eastAsiaTheme="minorEastAsia" w:cstheme="minorEastAsia"/>
          <w:color w:val="auto"/>
          <w:sz w:val="24"/>
          <w:szCs w:val="24"/>
          <w:highlight w:val="none"/>
        </w:rPr>
        <w:t>签署</w:t>
      </w:r>
      <w:bookmarkEnd w:id="255"/>
      <w:bookmarkEnd w:id="256"/>
    </w:p>
    <w:p w14:paraId="03F05480">
      <w:pPr>
        <w:keepNext w:val="0"/>
        <w:keepLines w:val="0"/>
        <w:pageBreakBefore w:val="0"/>
        <w:widowControl/>
        <w:kinsoku/>
        <w:wordWrap/>
        <w:overflowPunct/>
        <w:topLinePunct w:val="0"/>
        <w:autoSpaceDE/>
        <w:autoSpaceDN/>
        <w:bidi w:val="0"/>
        <w:adjustRightInd w:val="0"/>
        <w:snapToGrid/>
        <w:spacing w:after="0" w:line="360" w:lineRule="auto"/>
        <w:ind w:firstLine="465"/>
        <w:textAlignment w:val="auto"/>
        <w:rPr>
          <w:rFonts w:hint="eastAsia" w:asciiTheme="minorEastAsia" w:hAnsiTheme="minorEastAsia" w:eastAsiaTheme="minorEastAsia" w:cstheme="minorEastAsia"/>
          <w:color w:val="auto"/>
          <w:sz w:val="24"/>
          <w:szCs w:val="24"/>
          <w:highlight w:val="none"/>
        </w:rPr>
      </w:pPr>
      <w:bookmarkStart w:id="257" w:name="_Toc246996944"/>
      <w:bookmarkStart w:id="258" w:name="_Toc152042333"/>
      <w:bookmarkStart w:id="259" w:name="_Toc246996201"/>
      <w:bookmarkStart w:id="260" w:name="_Toc179632575"/>
      <w:bookmarkStart w:id="261" w:name="_Toc152045557"/>
      <w:bookmarkStart w:id="262" w:name="_Toc247085715"/>
      <w:bookmarkStart w:id="263" w:name="_Toc296602445"/>
      <w:bookmarkStart w:id="264" w:name="_Toc144974525"/>
      <w:r>
        <w:rPr>
          <w:rFonts w:hint="eastAsia" w:asciiTheme="minorEastAsia" w:hAnsiTheme="minorEastAsia" w:eastAsiaTheme="minorEastAsia" w:cstheme="minorEastAsia"/>
          <w:bCs/>
          <w:color w:val="auto"/>
          <w:sz w:val="24"/>
          <w:szCs w:val="24"/>
          <w:highlight w:val="none"/>
        </w:rPr>
        <w:t>4.1.1</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在进行电子化磋商响应文件签章时，竞争性磋商文件中要求</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盖章的，以签电子签章为准；要求法定代表人签章的，以签盖法定代表人签章为准</w:t>
      </w:r>
      <w:r>
        <w:rPr>
          <w:rFonts w:hint="eastAsia" w:asciiTheme="minorEastAsia" w:hAnsiTheme="minorEastAsia" w:eastAsiaTheme="minorEastAsia" w:cstheme="minorEastAsia"/>
          <w:color w:val="auto"/>
          <w:sz w:val="24"/>
          <w:szCs w:val="24"/>
          <w:highlight w:val="none"/>
        </w:rPr>
        <w:t>。电子化磋商响应文件具体制作教材请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通过CA证书登录三门峡市公共资源电子化交易系统在右上角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组件下载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中查看。</w:t>
      </w:r>
    </w:p>
    <w:p w14:paraId="29CF5299">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265" w:name="_Toc77586937"/>
      <w:bookmarkStart w:id="266" w:name="_Toc77586844"/>
      <w:r>
        <w:rPr>
          <w:rFonts w:hint="eastAsia" w:asciiTheme="minorEastAsia" w:hAnsiTheme="minorEastAsia" w:eastAsiaTheme="minorEastAsia" w:cstheme="minorEastAsia"/>
          <w:color w:val="auto"/>
          <w:sz w:val="24"/>
          <w:szCs w:val="24"/>
          <w:highlight w:val="none"/>
        </w:rPr>
        <w:t>4.2 磋商响应文件的上传</w:t>
      </w:r>
      <w:bookmarkEnd w:id="265"/>
      <w:bookmarkEnd w:id="266"/>
    </w:p>
    <w:p w14:paraId="6BA4A03B">
      <w:pPr>
        <w:keepNext w:val="0"/>
        <w:keepLines w:val="0"/>
        <w:pageBreakBefore w:val="0"/>
        <w:widowControl/>
        <w:kinsoku/>
        <w:wordWrap/>
        <w:overflowPunct/>
        <w:topLinePunct w:val="0"/>
        <w:autoSpaceDE/>
        <w:autoSpaceDN/>
        <w:bidi w:val="0"/>
        <w:adjustRightInd w:val="0"/>
        <w:snapToGrid/>
        <w:spacing w:after="0"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电子化磋商响应文件应在投标截止时间前成功上传至三门峡市公共资源电子化交易系统。至投标截止时间止，仍未上传成功的电子化磋商响应文件将不予接收。</w:t>
      </w:r>
    </w:p>
    <w:p w14:paraId="3E6AE0AA">
      <w:pPr>
        <w:keepNext w:val="0"/>
        <w:keepLines w:val="0"/>
        <w:pageBreakBefore w:val="0"/>
        <w:widowControl/>
        <w:kinsoku/>
        <w:wordWrap/>
        <w:overflowPunct/>
        <w:topLinePunct w:val="0"/>
        <w:autoSpaceDE/>
        <w:autoSpaceDN/>
        <w:bidi w:val="0"/>
        <w:adjustRightInd w:val="0"/>
        <w:snapToGrid/>
        <w:spacing w:after="0"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注：如按照电子化投标操作教材制作完成的电子化磋商响应文件无法上传的，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b/>
          <w:color w:val="auto"/>
          <w:sz w:val="24"/>
          <w:szCs w:val="24"/>
          <w:highlight w:val="none"/>
        </w:rPr>
        <w:t>投标截止时间前尽早的</w:t>
      </w:r>
      <w:r>
        <w:rPr>
          <w:rFonts w:hint="eastAsia" w:asciiTheme="minorEastAsia" w:hAnsiTheme="minorEastAsia" w:eastAsiaTheme="minorEastAsia" w:cstheme="minorEastAsia"/>
          <w:color w:val="auto"/>
          <w:sz w:val="24"/>
          <w:szCs w:val="24"/>
          <w:highlight w:val="none"/>
        </w:rPr>
        <w:t>联系中心技术人员，以便有充分的时间进行处理。</w:t>
      </w:r>
      <w:r>
        <w:rPr>
          <w:rFonts w:hint="eastAsia" w:asciiTheme="minorEastAsia" w:hAnsiTheme="minorEastAsia" w:eastAsiaTheme="minorEastAsia" w:cstheme="minorEastAsia"/>
          <w:b/>
          <w:color w:val="auto"/>
          <w:sz w:val="24"/>
          <w:szCs w:val="24"/>
          <w:highlight w:val="none"/>
          <w:lang w:eastAsia="zh-CN"/>
        </w:rPr>
        <w:t>供应商</w:t>
      </w:r>
      <w:r>
        <w:rPr>
          <w:rFonts w:hint="eastAsia" w:asciiTheme="minorEastAsia" w:hAnsiTheme="minorEastAsia" w:eastAsiaTheme="minorEastAsia" w:cstheme="minorEastAsia"/>
          <w:b/>
          <w:color w:val="auto"/>
          <w:sz w:val="24"/>
          <w:szCs w:val="24"/>
          <w:highlight w:val="none"/>
        </w:rPr>
        <w:t>应充分考虑到处理技术问题和上传数据等工作所需的时间问题，电子化磋商响应文件未在投标截止时间前成功上传的，其磋商响应文件不予接收。</w:t>
      </w:r>
    </w:p>
    <w:p w14:paraId="7885F167">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267" w:name="_Toc77586845"/>
      <w:bookmarkStart w:id="268" w:name="_Toc77586938"/>
      <w:r>
        <w:rPr>
          <w:rFonts w:hint="eastAsia" w:asciiTheme="minorEastAsia" w:hAnsiTheme="minorEastAsia" w:eastAsiaTheme="minorEastAsia" w:cstheme="minorEastAsia"/>
          <w:color w:val="auto"/>
          <w:sz w:val="24"/>
          <w:szCs w:val="24"/>
          <w:highlight w:val="none"/>
        </w:rPr>
        <w:t>4.3 磋商响应文件的修改与撤回</w:t>
      </w:r>
      <w:bookmarkEnd w:id="267"/>
      <w:bookmarkEnd w:id="268"/>
    </w:p>
    <w:p w14:paraId="508F92CB">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4.3.1在投标截止时间之后，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不得补充、修改电子化磋商响应文件。</w:t>
      </w:r>
    </w:p>
    <w:bookmarkEnd w:id="257"/>
    <w:bookmarkEnd w:id="258"/>
    <w:bookmarkEnd w:id="259"/>
    <w:bookmarkEnd w:id="260"/>
    <w:bookmarkEnd w:id="261"/>
    <w:bookmarkEnd w:id="262"/>
    <w:bookmarkEnd w:id="263"/>
    <w:bookmarkEnd w:id="264"/>
    <w:p w14:paraId="6A758FC4">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269" w:name="_Toc296602447"/>
      <w:bookmarkStart w:id="270" w:name="_Toc246996203"/>
      <w:bookmarkStart w:id="271" w:name="_Toc179632577"/>
      <w:bookmarkStart w:id="272" w:name="_Toc246996946"/>
      <w:bookmarkStart w:id="273" w:name="_Toc152045559"/>
      <w:bookmarkStart w:id="274" w:name="_Toc152042335"/>
      <w:bookmarkStart w:id="275" w:name="_Toc247085717"/>
      <w:bookmarkStart w:id="276" w:name="_Toc144974527"/>
      <w:bookmarkStart w:id="277" w:name="_Toc77586939"/>
      <w:bookmarkStart w:id="278" w:name="_Toc77586846"/>
      <w:r>
        <w:rPr>
          <w:rFonts w:hint="eastAsia" w:asciiTheme="minorEastAsia" w:hAnsiTheme="minorEastAsia" w:eastAsiaTheme="minorEastAsia" w:cstheme="minorEastAsia"/>
          <w:color w:val="auto"/>
          <w:sz w:val="24"/>
          <w:szCs w:val="24"/>
          <w:highlight w:val="none"/>
        </w:rPr>
        <w:t xml:space="preserve">5. </w:t>
      </w:r>
      <w:bookmarkEnd w:id="269"/>
      <w:bookmarkEnd w:id="270"/>
      <w:bookmarkEnd w:id="271"/>
      <w:bookmarkEnd w:id="272"/>
      <w:bookmarkEnd w:id="273"/>
      <w:bookmarkEnd w:id="274"/>
      <w:bookmarkEnd w:id="275"/>
      <w:bookmarkEnd w:id="276"/>
      <w:r>
        <w:rPr>
          <w:rFonts w:hint="eastAsia" w:asciiTheme="minorEastAsia" w:hAnsiTheme="minorEastAsia" w:eastAsiaTheme="minorEastAsia" w:cstheme="minorEastAsia"/>
          <w:color w:val="auto"/>
          <w:sz w:val="24"/>
          <w:szCs w:val="24"/>
          <w:highlight w:val="none"/>
        </w:rPr>
        <w:t>磋商</w:t>
      </w:r>
      <w:bookmarkEnd w:id="277"/>
      <w:bookmarkEnd w:id="278"/>
    </w:p>
    <w:p w14:paraId="1CAC74BF">
      <w:pPr>
        <w:keepNext w:val="0"/>
        <w:keepLines w:val="0"/>
        <w:pageBreakBefore w:val="0"/>
        <w:widowControl/>
        <w:kinsoku/>
        <w:wordWrap/>
        <w:overflowPunct/>
        <w:topLinePunct w:val="0"/>
        <w:autoSpaceDE/>
        <w:autoSpaceDN/>
        <w:bidi w:val="0"/>
        <w:adjustRightInd w:val="0"/>
        <w:snapToGrid/>
        <w:spacing w:after="0" w:line="360" w:lineRule="auto"/>
        <w:ind w:firstLine="422" w:firstLineChars="176"/>
        <w:textAlignment w:val="auto"/>
        <w:rPr>
          <w:rFonts w:hint="eastAsia" w:asciiTheme="minorEastAsia" w:hAnsiTheme="minorEastAsia" w:eastAsiaTheme="minorEastAsia" w:cstheme="minorEastAsia"/>
          <w:color w:val="auto"/>
          <w:sz w:val="24"/>
          <w:szCs w:val="24"/>
          <w:highlight w:val="none"/>
        </w:rPr>
      </w:pPr>
      <w:bookmarkStart w:id="279" w:name="_Toc152045561"/>
      <w:bookmarkStart w:id="280" w:name="_Toc247085720"/>
      <w:bookmarkStart w:id="281" w:name="_Toc246996206"/>
      <w:bookmarkStart w:id="282" w:name="_Toc152042338"/>
      <w:bookmarkStart w:id="283" w:name="_Toc144974530"/>
      <w:bookmarkStart w:id="284" w:name="_Toc152042337"/>
      <w:bookmarkStart w:id="285" w:name="_Toc296602451"/>
      <w:bookmarkStart w:id="286" w:name="_Toc152045562"/>
      <w:bookmarkStart w:id="287" w:name="_Toc144974529"/>
      <w:bookmarkStart w:id="288" w:name="_Toc246996949"/>
      <w:bookmarkStart w:id="289" w:name="_Toc179632580"/>
      <w:bookmarkStart w:id="290" w:name="_Toc179632579"/>
      <w:r>
        <w:rPr>
          <w:rFonts w:hint="eastAsia" w:asciiTheme="minorEastAsia" w:hAnsiTheme="minorEastAsia" w:eastAsiaTheme="minorEastAsia" w:cstheme="minorEastAsia"/>
          <w:color w:val="auto"/>
          <w:sz w:val="24"/>
          <w:szCs w:val="24"/>
          <w:highlight w:val="none"/>
        </w:rPr>
        <w:t>5.1本项目采用电子化、无纸化进行招标，开标当日，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无需到开标现场参加开标会议，</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应当在投标截止时间前，登陆不见面开标大厅选择登陆三门峡市公共资源电子招投标系统进行登陆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网址为http://120.194.249.36:10094/BidOpening/bidopeninghallaction/hall/login）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在线准时参加开标活动并进行磋商响应文件解密等。</w:t>
      </w:r>
    </w:p>
    <w:p w14:paraId="73AE4633">
      <w:pPr>
        <w:keepNext w:val="0"/>
        <w:keepLines w:val="0"/>
        <w:pageBreakBefore w:val="0"/>
        <w:widowControl/>
        <w:kinsoku/>
        <w:wordWrap/>
        <w:overflowPunct/>
        <w:topLinePunct w:val="0"/>
        <w:autoSpaceDE/>
        <w:autoSpaceDN/>
        <w:bidi w:val="0"/>
        <w:adjustRightInd w:val="0"/>
        <w:snapToGrid/>
        <w:spacing w:after="0" w:line="360" w:lineRule="auto"/>
        <w:ind w:firstLine="422" w:firstLineChars="17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电子化磋商响应文件采用一次加密方式。开标时，由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使用CA 证书，在规定时间内对其电子化磋商响应文件进行解密。每位</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的解密时间为开标时间起30 分钟内，如在规定时间内未完成解密的，其磋商响应文件不予开标、唱标。每位</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的解密时间为开标时间起30分钟内完成。</w:t>
      </w:r>
    </w:p>
    <w:p w14:paraId="2A83D0F3">
      <w:pPr>
        <w:keepNext w:val="0"/>
        <w:keepLines w:val="0"/>
        <w:pageBreakBefore w:val="0"/>
        <w:widowControl/>
        <w:kinsoku/>
        <w:wordWrap/>
        <w:overflowPunct/>
        <w:topLinePunct w:val="0"/>
        <w:autoSpaceDE/>
        <w:autoSpaceDN/>
        <w:bidi w:val="0"/>
        <w:adjustRightInd w:val="0"/>
        <w:snapToGrid/>
        <w:spacing w:after="0" w:line="360" w:lineRule="auto"/>
        <w:ind w:firstLine="241" w:firstLineChars="1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5.3 电子化磋商响应文件解密异常的处理</w:t>
      </w:r>
    </w:p>
    <w:p w14:paraId="11DCE477">
      <w:pPr>
        <w:keepNext w:val="0"/>
        <w:keepLines w:val="0"/>
        <w:pageBreakBefore w:val="0"/>
        <w:widowControl/>
        <w:kinsoku/>
        <w:wordWrap/>
        <w:overflowPunct/>
        <w:topLinePunct w:val="0"/>
        <w:autoSpaceDE/>
        <w:autoSpaceDN/>
        <w:bidi w:val="0"/>
        <w:adjustRightInd w:val="0"/>
        <w:snapToGrid/>
        <w:spacing w:after="0" w:line="360" w:lineRule="auto"/>
        <w:ind w:firstLine="422" w:firstLineChars="17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如出现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的电子磋商响应文件无法解密等异常情况，</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应及时致电中介服务机构说明。磋商响应文件异常，按以下步骤进行处理：</w:t>
      </w:r>
    </w:p>
    <w:p w14:paraId="79F2732D">
      <w:pPr>
        <w:keepNext w:val="0"/>
        <w:keepLines w:val="0"/>
        <w:pageBreakBefore w:val="0"/>
        <w:widowControl/>
        <w:kinsoku/>
        <w:wordWrap/>
        <w:overflowPunct/>
        <w:topLinePunct w:val="0"/>
        <w:autoSpaceDE/>
        <w:autoSpaceDN/>
        <w:bidi w:val="0"/>
        <w:adjustRightInd w:val="0"/>
        <w:snapToGrid/>
        <w:spacing w:after="0" w:line="360" w:lineRule="auto"/>
        <w:ind w:firstLine="422" w:firstLineChars="17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1）首先由技术人员进行问题排查。</w:t>
      </w:r>
    </w:p>
    <w:p w14:paraId="7FB176EE">
      <w:pPr>
        <w:keepNext w:val="0"/>
        <w:keepLines w:val="0"/>
        <w:pageBreakBefore w:val="0"/>
        <w:widowControl/>
        <w:kinsoku/>
        <w:wordWrap/>
        <w:overflowPunct/>
        <w:topLinePunct w:val="0"/>
        <w:autoSpaceDE/>
        <w:autoSpaceDN/>
        <w:bidi w:val="0"/>
        <w:adjustRightInd w:val="0"/>
        <w:snapToGrid/>
        <w:spacing w:after="0" w:line="360" w:lineRule="auto"/>
        <w:ind w:firstLine="422" w:firstLineChars="17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2）经技术人员排查后，是</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文件自身问题导致磋商响应文件无法解密的，该磋商响应文件将不予接收、解密和唱标。开标会议继续进行。</w:t>
      </w:r>
    </w:p>
    <w:p w14:paraId="2770F6BF">
      <w:pPr>
        <w:keepNext w:val="0"/>
        <w:keepLines w:val="0"/>
        <w:pageBreakBefore w:val="0"/>
        <w:widowControl/>
        <w:kinsoku/>
        <w:wordWrap/>
        <w:overflowPunct/>
        <w:topLinePunct w:val="0"/>
        <w:autoSpaceDE/>
        <w:autoSpaceDN/>
        <w:bidi w:val="0"/>
        <w:adjustRightInd w:val="0"/>
        <w:snapToGrid/>
        <w:spacing w:after="0" w:line="360" w:lineRule="auto"/>
        <w:ind w:firstLine="422" w:firstLineChars="17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79"/>
    <w:bookmarkEnd w:id="280"/>
    <w:bookmarkEnd w:id="281"/>
    <w:bookmarkEnd w:id="282"/>
    <w:bookmarkEnd w:id="283"/>
    <w:bookmarkEnd w:id="284"/>
    <w:bookmarkEnd w:id="285"/>
    <w:bookmarkEnd w:id="286"/>
    <w:bookmarkEnd w:id="287"/>
    <w:bookmarkEnd w:id="288"/>
    <w:bookmarkEnd w:id="289"/>
    <w:bookmarkEnd w:id="290"/>
    <w:p w14:paraId="75630A79">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291" w:name="_Toc144974531"/>
      <w:bookmarkStart w:id="292" w:name="_Toc296602452"/>
      <w:bookmarkStart w:id="293" w:name="_Toc179632581"/>
      <w:bookmarkStart w:id="294" w:name="_Toc246996950"/>
      <w:bookmarkStart w:id="295" w:name="_Toc247085721"/>
      <w:bookmarkStart w:id="296" w:name="_Toc152045563"/>
      <w:bookmarkStart w:id="297" w:name="_Toc246996207"/>
      <w:bookmarkStart w:id="298" w:name="_Toc77586847"/>
      <w:bookmarkStart w:id="299" w:name="_Toc152042339"/>
      <w:bookmarkStart w:id="300" w:name="_Toc77586940"/>
      <w:r>
        <w:rPr>
          <w:rFonts w:hint="eastAsia" w:asciiTheme="minorEastAsia" w:hAnsiTheme="minorEastAsia" w:eastAsiaTheme="minorEastAsia" w:cstheme="minorEastAsia"/>
          <w:color w:val="auto"/>
          <w:sz w:val="24"/>
          <w:szCs w:val="24"/>
          <w:highlight w:val="none"/>
        </w:rPr>
        <w:t>5.4 磋商小组</w:t>
      </w:r>
      <w:bookmarkEnd w:id="291"/>
      <w:bookmarkEnd w:id="292"/>
      <w:bookmarkEnd w:id="293"/>
      <w:bookmarkEnd w:id="294"/>
      <w:bookmarkEnd w:id="295"/>
      <w:bookmarkEnd w:id="296"/>
      <w:bookmarkEnd w:id="297"/>
      <w:bookmarkEnd w:id="298"/>
      <w:bookmarkEnd w:id="299"/>
      <w:bookmarkEnd w:id="300"/>
    </w:p>
    <w:p w14:paraId="2452E9B2">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5.4.1磋商小组构成：由采购人代表及有关经济、技术等方面的专家共3人组成，其中采购人代表1人，经济、技术等有关方面的专家2人。</w:t>
      </w:r>
    </w:p>
    <w:p w14:paraId="28D765DC">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评标专家确定方式：参加评标的专家由采购人、监督人在灵宝市公共资源交易中心抽取终端随机抽取确定。</w:t>
      </w:r>
      <w:r>
        <w:rPr>
          <w:rFonts w:hint="eastAsia" w:asciiTheme="minorEastAsia" w:hAnsiTheme="minorEastAsia" w:eastAsiaTheme="minorEastAsia" w:cstheme="minorEastAsia"/>
          <w:b/>
          <w:bCs/>
          <w:color w:val="auto"/>
          <w:sz w:val="24"/>
          <w:szCs w:val="24"/>
          <w:highlight w:val="none"/>
          <w:lang w:eastAsia="zh-CN"/>
        </w:rPr>
        <w:t>采购人</w:t>
      </w:r>
      <w:r>
        <w:rPr>
          <w:rFonts w:hint="eastAsia" w:asciiTheme="minorEastAsia" w:hAnsiTheme="minorEastAsia" w:eastAsiaTheme="minorEastAsia" w:cstheme="minorEastAsia"/>
          <w:b/>
          <w:bCs/>
          <w:color w:val="auto"/>
          <w:sz w:val="24"/>
          <w:szCs w:val="24"/>
          <w:highlight w:val="none"/>
        </w:rPr>
        <w:t>代表不得担任磋商小组组长。</w:t>
      </w:r>
    </w:p>
    <w:p w14:paraId="564377E9">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5.4.2磋商小组对所有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的磋商响应文件进行评审，按评审后得分由高到低顺序排列，递交给</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w:t>
      </w:r>
    </w:p>
    <w:p w14:paraId="5DFE970B">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3CD1859">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5.4.3磋商小组成员和评审工作有关人员不得干预或者影响正常评审工作，不得明示或者暗示其倾向性、引导性意见，不得修改磋商文件确定的评审程序、评审方法，不得征询</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3AC46EB7">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5.4.4磋商小组成员有下列情形之一的，应当回避：</w:t>
      </w:r>
    </w:p>
    <w:p w14:paraId="4839E069">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主要负责人的近亲属；</w:t>
      </w:r>
    </w:p>
    <w:p w14:paraId="2AB96BD7">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2）项目主管部门或者行政监督部门的人员；</w:t>
      </w:r>
    </w:p>
    <w:p w14:paraId="78CDE7BA">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有经济利益关系；</w:t>
      </w:r>
    </w:p>
    <w:p w14:paraId="2D67A531">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4）曾因在招标、评标以及其他与招标投标有关活动中从事违法行为而受过行政处罚或刑事处罚的；</w:t>
      </w:r>
    </w:p>
    <w:p w14:paraId="72FCC3F5">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5）与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有其他利害关系。</w:t>
      </w:r>
    </w:p>
    <w:p w14:paraId="504D5153">
      <w:pPr>
        <w:keepNext w:val="0"/>
        <w:keepLines w:val="0"/>
        <w:pageBreakBefore w:val="0"/>
        <w:widowControl/>
        <w:kinsoku/>
        <w:wordWrap/>
        <w:overflowPunct/>
        <w:topLinePunct w:val="0"/>
        <w:autoSpaceDE/>
        <w:autoSpaceDN/>
        <w:bidi w:val="0"/>
        <w:adjustRightInd w:val="0"/>
        <w:snapToGrid/>
        <w:spacing w:after="0" w:line="360" w:lineRule="auto"/>
        <w:ind w:firstLine="241" w:firstLineChars="100"/>
        <w:textAlignment w:val="auto"/>
        <w:rPr>
          <w:rFonts w:hint="eastAsia" w:asciiTheme="minorEastAsia" w:hAnsiTheme="minorEastAsia" w:eastAsiaTheme="minorEastAsia" w:cstheme="minorEastAsia"/>
          <w:b/>
          <w:bCs/>
          <w:color w:val="auto"/>
          <w:sz w:val="24"/>
          <w:szCs w:val="24"/>
          <w:highlight w:val="none"/>
        </w:rPr>
      </w:pPr>
      <w:bookmarkStart w:id="301" w:name="_Toc152045564"/>
      <w:bookmarkStart w:id="302" w:name="_Toc246996208"/>
      <w:bookmarkStart w:id="303" w:name="_Toc179632582"/>
      <w:bookmarkStart w:id="304" w:name="_Toc144974532"/>
      <w:bookmarkStart w:id="305" w:name="_Toc152042340"/>
      <w:bookmarkStart w:id="306" w:name="_Toc247085722"/>
      <w:bookmarkStart w:id="307" w:name="_Toc296602453"/>
      <w:bookmarkStart w:id="308" w:name="_Toc246996951"/>
      <w:r>
        <w:rPr>
          <w:rFonts w:hint="eastAsia" w:asciiTheme="minorEastAsia" w:hAnsiTheme="minorEastAsia" w:eastAsiaTheme="minorEastAsia" w:cstheme="minorEastAsia"/>
          <w:b/>
          <w:bCs/>
          <w:color w:val="auto"/>
          <w:sz w:val="24"/>
          <w:szCs w:val="24"/>
          <w:highlight w:val="none"/>
        </w:rPr>
        <w:t>5.5磋商原则和方法</w:t>
      </w:r>
    </w:p>
    <w:p w14:paraId="5C17A012">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5.5.1坚持公开、公平、公正的原则。</w:t>
      </w:r>
    </w:p>
    <w:p w14:paraId="43304AEE">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5.5.2磋商在磋商小组应当集中与单一</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分别进行磋商，磋商小组将遵照磋商原则，公正、平等地对待所有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14:paraId="766A2093">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5.5.3评审方法</w:t>
      </w:r>
    </w:p>
    <w:p w14:paraId="08A2CA47">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1）初步评审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是否响应竞争性磋商文件的要求），确定合格的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14:paraId="30E75D0A">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依据各自情况进行最后报价。</w:t>
      </w:r>
    </w:p>
    <w:p w14:paraId="102481FC">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b/>
          <w:bCs/>
          <w:color w:val="auto"/>
          <w:kern w:val="28"/>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3）磋商小组采用综合评分法对提交最后报价的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的响应文件和最后报价进行综合评分。</w:t>
      </w:r>
    </w:p>
    <w:p w14:paraId="192AC118">
      <w:pPr>
        <w:keepNext w:val="0"/>
        <w:keepLines w:val="0"/>
        <w:pageBreakBefore w:val="0"/>
        <w:widowControl/>
        <w:kinsoku/>
        <w:wordWrap/>
        <w:overflowPunct/>
        <w:topLinePunct w:val="0"/>
        <w:autoSpaceDE/>
        <w:autoSpaceDN/>
        <w:bidi w:val="0"/>
        <w:adjustRightInd w:val="0"/>
        <w:snapToGrid/>
        <w:spacing w:after="0" w:line="360" w:lineRule="auto"/>
        <w:ind w:firstLine="241" w:firstLineChars="100"/>
        <w:textAlignment w:val="auto"/>
        <w:rPr>
          <w:rFonts w:hint="eastAsia" w:asciiTheme="minorEastAsia" w:hAnsiTheme="minorEastAsia" w:eastAsiaTheme="minorEastAsia" w:cstheme="minorEastAsia"/>
          <w:b/>
          <w:bCs/>
          <w:color w:val="auto"/>
          <w:kern w:val="28"/>
          <w:sz w:val="24"/>
          <w:szCs w:val="24"/>
          <w:highlight w:val="none"/>
        </w:rPr>
      </w:pPr>
      <w:r>
        <w:rPr>
          <w:rFonts w:hint="eastAsia" w:asciiTheme="minorEastAsia" w:hAnsiTheme="minorEastAsia" w:eastAsiaTheme="minorEastAsia" w:cstheme="minorEastAsia"/>
          <w:b/>
          <w:bCs/>
          <w:color w:val="auto"/>
          <w:kern w:val="28"/>
          <w:sz w:val="24"/>
          <w:szCs w:val="24"/>
          <w:highlight w:val="none"/>
        </w:rPr>
        <w:t>5.6对</w:t>
      </w:r>
      <w:r>
        <w:rPr>
          <w:rFonts w:hint="eastAsia" w:asciiTheme="minorEastAsia" w:hAnsiTheme="minorEastAsia" w:eastAsiaTheme="minorEastAsia" w:cstheme="minorEastAsia"/>
          <w:b/>
          <w:bCs/>
          <w:color w:val="auto"/>
          <w:kern w:val="28"/>
          <w:sz w:val="24"/>
          <w:szCs w:val="24"/>
          <w:highlight w:val="none"/>
          <w:lang w:eastAsia="zh-CN"/>
        </w:rPr>
        <w:t>供应商</w:t>
      </w:r>
      <w:r>
        <w:rPr>
          <w:rFonts w:hint="eastAsia" w:asciiTheme="minorEastAsia" w:hAnsiTheme="minorEastAsia" w:eastAsiaTheme="minorEastAsia" w:cstheme="minorEastAsia"/>
          <w:b/>
          <w:bCs/>
          <w:color w:val="auto"/>
          <w:kern w:val="28"/>
          <w:sz w:val="24"/>
          <w:szCs w:val="24"/>
          <w:highlight w:val="none"/>
        </w:rPr>
        <w:t>的评价</w:t>
      </w:r>
    </w:p>
    <w:p w14:paraId="3ABC9506">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5.6.1磋商小组只对已判定为实质性响应且通过初步审查的磋商响应文件进行详细评价和比较。</w:t>
      </w:r>
    </w:p>
    <w:p w14:paraId="125A2E4E">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5.6.2磋商小组所有成员应当集中与单一</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分别进行磋商，并给予所有参加磋商的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平等的磋商机会。磋商完成后，要求其在规定时间内提交最后报价，提交最后报价的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可以为两家。</w:t>
      </w:r>
    </w:p>
    <w:p w14:paraId="2A5A550F">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5.6.3经磋商确定最终</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需求和提交最后报价的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后，磋商小组采用综合评分法对提交最后报价的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的磋商响应文件和最后报价进行综合评分。</w:t>
      </w:r>
    </w:p>
    <w:p w14:paraId="61885BB7">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C52B792">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5.6.5如果第一名</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放弃成交资格或因不可抗力提出不能履行合同、竞争性磋商文件规定应当提交履约担保而在规定的期限内未能提交的，</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可以按照评审报告推荐的成交候选人名单，确定下一成交候选人为成交人，也可以重新开展采购活动。</w:t>
      </w:r>
    </w:p>
    <w:bookmarkEnd w:id="301"/>
    <w:bookmarkEnd w:id="302"/>
    <w:bookmarkEnd w:id="303"/>
    <w:bookmarkEnd w:id="304"/>
    <w:bookmarkEnd w:id="305"/>
    <w:bookmarkEnd w:id="306"/>
    <w:bookmarkEnd w:id="307"/>
    <w:bookmarkEnd w:id="308"/>
    <w:p w14:paraId="7F954AD1">
      <w:pPr>
        <w:keepNext w:val="0"/>
        <w:keepLines w:val="0"/>
        <w:pageBreakBefore w:val="0"/>
        <w:widowControl/>
        <w:kinsoku/>
        <w:wordWrap/>
        <w:overflowPunct/>
        <w:topLinePunct w:val="0"/>
        <w:autoSpaceDE/>
        <w:autoSpaceDN/>
        <w:bidi w:val="0"/>
        <w:adjustRightInd w:val="0"/>
        <w:snapToGrid/>
        <w:spacing w:after="0" w:line="360" w:lineRule="auto"/>
        <w:ind w:firstLine="241" w:firstLineChars="100"/>
        <w:textAlignment w:val="auto"/>
        <w:rPr>
          <w:rFonts w:hint="eastAsia" w:asciiTheme="minorEastAsia" w:hAnsiTheme="minorEastAsia" w:eastAsiaTheme="minorEastAsia" w:cstheme="minorEastAsia"/>
          <w:b/>
          <w:bCs/>
          <w:color w:val="auto"/>
          <w:sz w:val="24"/>
          <w:szCs w:val="24"/>
          <w:highlight w:val="none"/>
        </w:rPr>
      </w:pPr>
      <w:bookmarkStart w:id="309" w:name="_Toc152045566"/>
      <w:bookmarkStart w:id="310" w:name="_Toc179632584"/>
      <w:bookmarkStart w:id="311" w:name="_Toc246996210"/>
      <w:bookmarkStart w:id="312" w:name="_Toc144974534"/>
      <w:bookmarkStart w:id="313" w:name="_Toc246996953"/>
      <w:bookmarkStart w:id="314" w:name="_Toc247085724"/>
      <w:bookmarkStart w:id="315" w:name="_Toc152042342"/>
      <w:bookmarkStart w:id="316" w:name="_Toc296602455"/>
      <w:r>
        <w:rPr>
          <w:rFonts w:hint="eastAsia" w:asciiTheme="minorEastAsia" w:hAnsiTheme="minorEastAsia" w:eastAsiaTheme="minorEastAsia" w:cstheme="minorEastAsia"/>
          <w:b/>
          <w:bCs/>
          <w:color w:val="auto"/>
          <w:sz w:val="24"/>
          <w:szCs w:val="24"/>
          <w:highlight w:val="none"/>
        </w:rPr>
        <w:t>5.7确定成交人</w:t>
      </w:r>
    </w:p>
    <w:p w14:paraId="55A0A076">
      <w:pPr>
        <w:keepNext w:val="0"/>
        <w:keepLines w:val="0"/>
        <w:pageBreakBefore w:val="0"/>
        <w:widowControl/>
        <w:kinsoku/>
        <w:wordWrap/>
        <w:overflowPunct/>
        <w:topLinePunct w:val="0"/>
        <w:autoSpaceDE/>
        <w:autoSpaceDN/>
        <w:bidi w:val="0"/>
        <w:adjustRightInd w:val="0"/>
        <w:snapToGrid/>
        <w:spacing w:after="0" w:line="360" w:lineRule="auto"/>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磋商小组应当根据综合评分情况，按照评审</w:t>
      </w:r>
      <w:r>
        <w:rPr>
          <w:rFonts w:hint="eastAsia" w:asciiTheme="minorEastAsia" w:hAnsiTheme="minorEastAsia" w:eastAsiaTheme="minorEastAsia" w:cstheme="minorEastAsia"/>
          <w:color w:val="auto"/>
          <w:sz w:val="24"/>
          <w:szCs w:val="24"/>
          <w:highlight w:val="none"/>
          <w:lang w:val="en-US" w:eastAsia="zh-CN"/>
        </w:rPr>
        <w:t>由</w:t>
      </w:r>
      <w:r>
        <w:rPr>
          <w:rFonts w:hint="eastAsia" w:asciiTheme="minorEastAsia" w:hAnsiTheme="minorEastAsia" w:eastAsiaTheme="minorEastAsia" w:cstheme="minorEastAsia"/>
          <w:color w:val="auto"/>
          <w:sz w:val="24"/>
          <w:szCs w:val="24"/>
          <w:highlight w:val="none"/>
        </w:rPr>
        <w:t>高到低的顺序推荐成交候选人，并编写评标报告。</w:t>
      </w:r>
    </w:p>
    <w:p w14:paraId="4A7B62D0">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17" w:name="_Toc77586941"/>
      <w:bookmarkStart w:id="318" w:name="_Toc77586848"/>
      <w:r>
        <w:rPr>
          <w:rFonts w:hint="eastAsia" w:asciiTheme="minorEastAsia" w:hAnsiTheme="minorEastAsia" w:eastAsiaTheme="minorEastAsia" w:cstheme="minorEastAsia"/>
          <w:color w:val="auto"/>
          <w:sz w:val="24"/>
          <w:szCs w:val="24"/>
          <w:highlight w:val="none"/>
        </w:rPr>
        <w:t>6. 合同授予</w:t>
      </w:r>
      <w:bookmarkEnd w:id="309"/>
      <w:bookmarkEnd w:id="310"/>
      <w:bookmarkEnd w:id="311"/>
      <w:bookmarkEnd w:id="312"/>
      <w:bookmarkEnd w:id="313"/>
      <w:bookmarkEnd w:id="314"/>
      <w:bookmarkEnd w:id="315"/>
      <w:bookmarkEnd w:id="316"/>
      <w:bookmarkEnd w:id="317"/>
      <w:bookmarkEnd w:id="318"/>
    </w:p>
    <w:p w14:paraId="5E5B44D0">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19" w:name="_Toc246996954"/>
      <w:bookmarkStart w:id="320" w:name="_Toc152042343"/>
      <w:bookmarkStart w:id="321" w:name="_Toc144974535"/>
      <w:bookmarkStart w:id="322" w:name="_Toc179632585"/>
      <w:bookmarkStart w:id="323" w:name="_Toc77586942"/>
      <w:bookmarkStart w:id="324" w:name="_Toc152045567"/>
      <w:bookmarkStart w:id="325" w:name="_Toc77586849"/>
      <w:bookmarkStart w:id="326" w:name="_Toc247085725"/>
      <w:bookmarkStart w:id="327" w:name="_Toc296602456"/>
      <w:bookmarkStart w:id="328" w:name="_Toc246996211"/>
      <w:r>
        <w:rPr>
          <w:rFonts w:hint="eastAsia" w:asciiTheme="minorEastAsia" w:hAnsiTheme="minorEastAsia" w:eastAsiaTheme="minorEastAsia" w:cstheme="minorEastAsia"/>
          <w:color w:val="auto"/>
          <w:sz w:val="24"/>
          <w:szCs w:val="24"/>
          <w:highlight w:val="none"/>
        </w:rPr>
        <w:t>6.1 定标方式</w:t>
      </w:r>
      <w:bookmarkEnd w:id="319"/>
      <w:bookmarkEnd w:id="320"/>
      <w:bookmarkEnd w:id="321"/>
      <w:bookmarkEnd w:id="322"/>
      <w:bookmarkEnd w:id="323"/>
      <w:bookmarkEnd w:id="324"/>
      <w:bookmarkEnd w:id="325"/>
      <w:bookmarkEnd w:id="326"/>
      <w:bookmarkEnd w:id="327"/>
      <w:bookmarkEnd w:id="328"/>
    </w:p>
    <w:p w14:paraId="5A07864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依据磋商小组推荐的成交候选人确定成交人。</w:t>
      </w:r>
    </w:p>
    <w:p w14:paraId="2F474C2D">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29" w:name="_Toc296602457"/>
      <w:bookmarkStart w:id="330" w:name="_Toc77586943"/>
      <w:bookmarkStart w:id="331" w:name="_Toc77586850"/>
      <w:r>
        <w:rPr>
          <w:rFonts w:hint="eastAsia" w:asciiTheme="minorEastAsia" w:hAnsiTheme="minorEastAsia" w:eastAsiaTheme="minorEastAsia" w:cstheme="minorEastAsia"/>
          <w:color w:val="auto"/>
          <w:sz w:val="24"/>
          <w:szCs w:val="24"/>
          <w:highlight w:val="none"/>
        </w:rPr>
        <w:t>6.2 成交候选人公示</w:t>
      </w:r>
      <w:bookmarkEnd w:id="329"/>
      <w:bookmarkEnd w:id="330"/>
      <w:bookmarkEnd w:id="331"/>
    </w:p>
    <w:p w14:paraId="5B9F6026">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须知前附表规定的媒介公示成交候选人。</w:t>
      </w:r>
    </w:p>
    <w:p w14:paraId="7F6FC8A7">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32" w:name="_Toc179632586"/>
      <w:bookmarkStart w:id="333" w:name="_Toc246996955"/>
      <w:bookmarkStart w:id="334" w:name="_Toc77586944"/>
      <w:bookmarkStart w:id="335" w:name="_Toc296602458"/>
      <w:bookmarkStart w:id="336" w:name="_Toc246996212"/>
      <w:bookmarkStart w:id="337" w:name="_Toc144974536"/>
      <w:bookmarkStart w:id="338" w:name="_Toc247085726"/>
      <w:bookmarkStart w:id="339" w:name="_Toc152045568"/>
      <w:bookmarkStart w:id="340" w:name="_Toc77586851"/>
      <w:bookmarkStart w:id="341" w:name="_Toc152042344"/>
      <w:r>
        <w:rPr>
          <w:rFonts w:hint="eastAsia" w:asciiTheme="minorEastAsia" w:hAnsiTheme="minorEastAsia" w:eastAsiaTheme="minorEastAsia" w:cstheme="minorEastAsia"/>
          <w:color w:val="auto"/>
          <w:sz w:val="24"/>
          <w:szCs w:val="24"/>
          <w:highlight w:val="none"/>
        </w:rPr>
        <w:t>6.3 成交通知</w:t>
      </w:r>
      <w:bookmarkEnd w:id="332"/>
      <w:bookmarkEnd w:id="333"/>
      <w:bookmarkEnd w:id="334"/>
      <w:bookmarkEnd w:id="335"/>
      <w:bookmarkEnd w:id="336"/>
      <w:bookmarkEnd w:id="337"/>
      <w:bookmarkEnd w:id="338"/>
      <w:bookmarkEnd w:id="339"/>
      <w:bookmarkEnd w:id="340"/>
      <w:bookmarkEnd w:id="341"/>
    </w:p>
    <w:p w14:paraId="3A78EB6D">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在本章第3.3款规定的投标有效期内，</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以书面形式向成交人发出成交通知书，同时将成交结果通知未成交的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14:paraId="7D408113">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42" w:name="_Toc247085727"/>
      <w:bookmarkStart w:id="343" w:name="_Toc77586945"/>
      <w:bookmarkStart w:id="344" w:name="_Toc246996213"/>
      <w:bookmarkStart w:id="345" w:name="_Toc246996956"/>
      <w:bookmarkStart w:id="346" w:name="_Toc144974537"/>
      <w:bookmarkStart w:id="347" w:name="_Toc296602459"/>
      <w:bookmarkStart w:id="348" w:name="_Toc152045569"/>
      <w:bookmarkStart w:id="349" w:name="_Toc179632587"/>
      <w:bookmarkStart w:id="350" w:name="_Toc77586852"/>
      <w:bookmarkStart w:id="351" w:name="_Toc152042345"/>
      <w:r>
        <w:rPr>
          <w:rFonts w:hint="eastAsia" w:asciiTheme="minorEastAsia" w:hAnsiTheme="minorEastAsia" w:eastAsiaTheme="minorEastAsia" w:cstheme="minorEastAsia"/>
          <w:color w:val="auto"/>
          <w:sz w:val="24"/>
          <w:szCs w:val="24"/>
          <w:highlight w:val="none"/>
        </w:rPr>
        <w:t>6.4 履约、支付担保</w:t>
      </w:r>
      <w:bookmarkEnd w:id="342"/>
      <w:bookmarkEnd w:id="343"/>
      <w:bookmarkEnd w:id="344"/>
      <w:bookmarkEnd w:id="345"/>
      <w:bookmarkEnd w:id="346"/>
      <w:bookmarkEnd w:id="347"/>
      <w:bookmarkEnd w:id="348"/>
      <w:bookmarkEnd w:id="349"/>
      <w:bookmarkEnd w:id="350"/>
      <w:bookmarkEnd w:id="351"/>
    </w:p>
    <w:p w14:paraId="21046701">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6.4.1履约担保金额：见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须知前附表，与前附表一致。</w:t>
      </w:r>
    </w:p>
    <w:p w14:paraId="1BE28412">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支付担保的提交与释放程序：见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须知前附表，与前附表一致。</w:t>
      </w:r>
    </w:p>
    <w:p w14:paraId="72A521C0">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6.4.3 成交人不能按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须知前附表第6.4.1项要求提交履约担保的，视为放弃成交，给</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造成的损失应当予以赔偿。</w:t>
      </w:r>
    </w:p>
    <w:p w14:paraId="52030699">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52" w:name="_Toc246996957"/>
      <w:bookmarkStart w:id="353" w:name="_Toc152042346"/>
      <w:bookmarkStart w:id="354" w:name="_Toc152045570"/>
      <w:bookmarkStart w:id="355" w:name="_Toc77586946"/>
      <w:bookmarkStart w:id="356" w:name="_Toc144974538"/>
      <w:bookmarkStart w:id="357" w:name="_Toc77586853"/>
      <w:bookmarkStart w:id="358" w:name="_Toc296602460"/>
      <w:bookmarkStart w:id="359" w:name="_Toc179632588"/>
      <w:bookmarkStart w:id="360" w:name="_Toc247085728"/>
      <w:bookmarkStart w:id="361" w:name="_Toc246996214"/>
      <w:r>
        <w:rPr>
          <w:rFonts w:hint="eastAsia" w:asciiTheme="minorEastAsia" w:hAnsiTheme="minorEastAsia" w:eastAsiaTheme="minorEastAsia" w:cstheme="minorEastAsia"/>
          <w:color w:val="auto"/>
          <w:sz w:val="24"/>
          <w:szCs w:val="24"/>
          <w:highlight w:val="none"/>
        </w:rPr>
        <w:t>6.5 签订合同</w:t>
      </w:r>
      <w:bookmarkEnd w:id="352"/>
      <w:bookmarkEnd w:id="353"/>
      <w:bookmarkEnd w:id="354"/>
      <w:bookmarkEnd w:id="355"/>
      <w:bookmarkEnd w:id="356"/>
      <w:bookmarkEnd w:id="357"/>
      <w:bookmarkEnd w:id="358"/>
      <w:bookmarkEnd w:id="359"/>
      <w:bookmarkEnd w:id="360"/>
      <w:bookmarkEnd w:id="361"/>
    </w:p>
    <w:p w14:paraId="45E9B8D8">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和成交人应当自成交通知书发出之日起30天内，根据竞争性磋商文件和成交人的磋商响应文件订立书面合同。成交人无正当理由拒签合同的，</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取消其成交资格，给</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造成的损失应当予以赔偿。</w:t>
      </w:r>
    </w:p>
    <w:p w14:paraId="672381AB">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62" w:name="_Toc296602461"/>
      <w:bookmarkStart w:id="363" w:name="_Toc77586854"/>
      <w:bookmarkStart w:id="364" w:name="_Toc77586947"/>
      <w:r>
        <w:rPr>
          <w:rFonts w:hint="eastAsia" w:asciiTheme="minorEastAsia" w:hAnsiTheme="minorEastAsia" w:eastAsiaTheme="minorEastAsia" w:cstheme="minorEastAsia"/>
          <w:color w:val="auto"/>
          <w:sz w:val="24"/>
          <w:szCs w:val="24"/>
          <w:highlight w:val="none"/>
        </w:rPr>
        <w:t>7. 纪律和监督</w:t>
      </w:r>
      <w:bookmarkEnd w:id="362"/>
      <w:bookmarkEnd w:id="363"/>
      <w:bookmarkEnd w:id="364"/>
    </w:p>
    <w:p w14:paraId="4C2E7D4F">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65" w:name="_Toc77586948"/>
      <w:bookmarkStart w:id="366" w:name="_Toc247085733"/>
      <w:bookmarkStart w:id="367" w:name="_Toc152042351"/>
      <w:bookmarkStart w:id="368" w:name="_Toc152045575"/>
      <w:bookmarkStart w:id="369" w:name="_Toc179632593"/>
      <w:bookmarkStart w:id="370" w:name="_Toc296602462"/>
      <w:bookmarkStart w:id="371" w:name="_Toc246996219"/>
      <w:bookmarkStart w:id="372" w:name="_Toc77586855"/>
      <w:bookmarkStart w:id="373" w:name="_Toc144974543"/>
      <w:bookmarkStart w:id="374" w:name="_Toc296590983"/>
      <w:bookmarkStart w:id="375" w:name="_Toc246996962"/>
      <w:r>
        <w:rPr>
          <w:rFonts w:hint="eastAsia" w:asciiTheme="minorEastAsia" w:hAnsiTheme="minorEastAsia" w:eastAsiaTheme="minorEastAsia" w:cstheme="minorEastAsia"/>
          <w:color w:val="auto"/>
          <w:sz w:val="24"/>
          <w:szCs w:val="24"/>
          <w:highlight w:val="none"/>
        </w:rPr>
        <w:t>7.1 对</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的纪律要求</w:t>
      </w:r>
      <w:bookmarkEnd w:id="365"/>
      <w:bookmarkEnd w:id="366"/>
      <w:bookmarkEnd w:id="367"/>
      <w:bookmarkEnd w:id="368"/>
      <w:bookmarkEnd w:id="369"/>
      <w:bookmarkEnd w:id="370"/>
      <w:bookmarkEnd w:id="371"/>
      <w:bookmarkEnd w:id="372"/>
      <w:bookmarkEnd w:id="373"/>
      <w:bookmarkEnd w:id="374"/>
      <w:bookmarkEnd w:id="375"/>
    </w:p>
    <w:p w14:paraId="5DB815B5">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不得泄漏招标投标活动中应当保密的情况和资料，不得与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串通损害国家利益、社会公共利益或者他人合法权益。</w:t>
      </w:r>
    </w:p>
    <w:p w14:paraId="2E536516">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76" w:name="_Toc179632594"/>
      <w:bookmarkStart w:id="377" w:name="_Toc77586856"/>
      <w:bookmarkStart w:id="378" w:name="_Toc152042352"/>
      <w:bookmarkStart w:id="379" w:name="_Toc144974544"/>
      <w:bookmarkStart w:id="380" w:name="_Toc246996220"/>
      <w:bookmarkStart w:id="381" w:name="_Toc246996963"/>
      <w:bookmarkStart w:id="382" w:name="_Toc77586949"/>
      <w:bookmarkStart w:id="383" w:name="_Toc296602463"/>
      <w:bookmarkStart w:id="384" w:name="_Toc152045576"/>
      <w:bookmarkStart w:id="385" w:name="_Toc247085734"/>
      <w:r>
        <w:rPr>
          <w:rFonts w:hint="eastAsia" w:asciiTheme="minorEastAsia" w:hAnsiTheme="minorEastAsia" w:eastAsiaTheme="minorEastAsia" w:cstheme="minorEastAsia"/>
          <w:color w:val="auto"/>
          <w:sz w:val="24"/>
          <w:szCs w:val="24"/>
          <w:highlight w:val="none"/>
        </w:rPr>
        <w:t>7.2 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的纪律要求</w:t>
      </w:r>
      <w:bookmarkEnd w:id="376"/>
      <w:bookmarkEnd w:id="377"/>
      <w:bookmarkEnd w:id="378"/>
      <w:bookmarkEnd w:id="379"/>
      <w:bookmarkEnd w:id="380"/>
      <w:bookmarkEnd w:id="381"/>
      <w:bookmarkEnd w:id="382"/>
      <w:bookmarkEnd w:id="383"/>
      <w:bookmarkEnd w:id="384"/>
      <w:bookmarkEnd w:id="385"/>
    </w:p>
    <w:p w14:paraId="11F4D825">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不得相互串通投标或者与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串通投标，不得向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或者磋商小组成员行贿谋取成交，不得以他人名义投标或者以其他方式弄虚作假骗取成交；</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不得以任何方式干扰、影响评标工作。</w:t>
      </w:r>
    </w:p>
    <w:p w14:paraId="56036583">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86" w:name="_Toc296602464"/>
      <w:bookmarkStart w:id="387" w:name="_Toc144974545"/>
      <w:bookmarkStart w:id="388" w:name="_Toc77586950"/>
      <w:bookmarkStart w:id="389" w:name="_Toc152042353"/>
      <w:bookmarkStart w:id="390" w:name="_Toc247085735"/>
      <w:bookmarkStart w:id="391" w:name="_Toc179632595"/>
      <w:bookmarkStart w:id="392" w:name="_Toc246996221"/>
      <w:bookmarkStart w:id="393" w:name="_Toc152045577"/>
      <w:bookmarkStart w:id="394" w:name="_Toc246996964"/>
      <w:bookmarkStart w:id="395" w:name="_Toc77586857"/>
      <w:r>
        <w:rPr>
          <w:rFonts w:hint="eastAsia" w:asciiTheme="minorEastAsia" w:hAnsiTheme="minorEastAsia" w:eastAsiaTheme="minorEastAsia" w:cstheme="minorEastAsia"/>
          <w:color w:val="auto"/>
          <w:sz w:val="24"/>
          <w:szCs w:val="24"/>
          <w:highlight w:val="none"/>
        </w:rPr>
        <w:t>7.3 对磋商小组成员的纪律要求</w:t>
      </w:r>
      <w:bookmarkEnd w:id="386"/>
      <w:bookmarkEnd w:id="387"/>
      <w:bookmarkEnd w:id="388"/>
      <w:bookmarkEnd w:id="389"/>
      <w:bookmarkEnd w:id="390"/>
      <w:bookmarkEnd w:id="391"/>
      <w:bookmarkEnd w:id="392"/>
      <w:bookmarkEnd w:id="393"/>
      <w:bookmarkEnd w:id="394"/>
      <w:bookmarkEnd w:id="395"/>
    </w:p>
    <w:p w14:paraId="49F0B356">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评标办法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没有规定的评审因素和标准进行评标。</w:t>
      </w:r>
    </w:p>
    <w:p w14:paraId="4D44F576">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396" w:name="_Toc77586858"/>
      <w:bookmarkStart w:id="397" w:name="_Toc152045578"/>
      <w:bookmarkStart w:id="398" w:name="_Toc246996222"/>
      <w:bookmarkStart w:id="399" w:name="_Toc179632596"/>
      <w:bookmarkStart w:id="400" w:name="_Toc246996965"/>
      <w:bookmarkStart w:id="401" w:name="_Toc77586951"/>
      <w:bookmarkStart w:id="402" w:name="_Toc152042354"/>
      <w:bookmarkStart w:id="403" w:name="_Toc296602465"/>
      <w:bookmarkStart w:id="404" w:name="_Toc247085736"/>
      <w:bookmarkStart w:id="405" w:name="_Toc144974546"/>
      <w:r>
        <w:rPr>
          <w:rFonts w:hint="eastAsia" w:asciiTheme="minorEastAsia" w:hAnsiTheme="minorEastAsia" w:eastAsiaTheme="minorEastAsia" w:cstheme="minorEastAsia"/>
          <w:color w:val="auto"/>
          <w:sz w:val="24"/>
          <w:szCs w:val="24"/>
          <w:highlight w:val="none"/>
        </w:rPr>
        <w:t>7.4 对与评标活动有关的工作人员的纪律要求</w:t>
      </w:r>
      <w:bookmarkEnd w:id="396"/>
      <w:bookmarkEnd w:id="397"/>
      <w:bookmarkEnd w:id="398"/>
      <w:bookmarkEnd w:id="399"/>
      <w:bookmarkEnd w:id="400"/>
      <w:bookmarkEnd w:id="401"/>
      <w:bookmarkEnd w:id="402"/>
      <w:bookmarkEnd w:id="403"/>
      <w:bookmarkEnd w:id="404"/>
    </w:p>
    <w:p w14:paraId="27DAC05E">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406" w:name="_Toc152042355"/>
      <w:r>
        <w:rPr>
          <w:rFonts w:hint="eastAsia" w:asciiTheme="minorEastAsia" w:hAnsiTheme="minorEastAsia" w:eastAsiaTheme="minorEastAsia" w:cstheme="minorEastAsia"/>
          <w:color w:val="auto"/>
          <w:sz w:val="24"/>
          <w:szCs w:val="24"/>
          <w:highlight w:val="none"/>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06"/>
    </w:p>
    <w:p w14:paraId="292F5666">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407" w:name="_Toc296602466"/>
      <w:bookmarkStart w:id="408" w:name="_Toc179632597"/>
      <w:bookmarkStart w:id="409" w:name="_Toc77586952"/>
      <w:bookmarkStart w:id="410" w:name="_Toc246996966"/>
      <w:bookmarkStart w:id="411" w:name="_Toc152042356"/>
      <w:bookmarkStart w:id="412" w:name="_Toc246996223"/>
      <w:bookmarkStart w:id="413" w:name="_Toc152045579"/>
      <w:bookmarkStart w:id="414" w:name="_Toc247085737"/>
      <w:bookmarkStart w:id="415" w:name="_Toc77586859"/>
      <w:r>
        <w:rPr>
          <w:rFonts w:hint="eastAsia" w:asciiTheme="minorEastAsia" w:hAnsiTheme="minorEastAsia" w:eastAsiaTheme="minorEastAsia" w:cstheme="minorEastAsia"/>
          <w:color w:val="auto"/>
          <w:sz w:val="24"/>
          <w:szCs w:val="24"/>
          <w:highlight w:val="none"/>
        </w:rPr>
        <w:t>7.5 投诉</w:t>
      </w:r>
      <w:bookmarkEnd w:id="405"/>
      <w:bookmarkEnd w:id="407"/>
      <w:bookmarkEnd w:id="408"/>
      <w:bookmarkEnd w:id="409"/>
      <w:bookmarkEnd w:id="410"/>
      <w:bookmarkEnd w:id="411"/>
      <w:bookmarkEnd w:id="412"/>
      <w:bookmarkEnd w:id="413"/>
      <w:bookmarkEnd w:id="414"/>
      <w:bookmarkEnd w:id="415"/>
    </w:p>
    <w:p w14:paraId="440332E6">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和其他利害关系人认为本次招标活动违反法律、法规和规章规定的，有权向有关行政监督部门投诉。</w:t>
      </w:r>
    </w:p>
    <w:p w14:paraId="4A01370D">
      <w:pPr>
        <w:pStyle w:val="3"/>
        <w:keepNext w:val="0"/>
        <w:keepLines w:val="0"/>
        <w:pageBreakBefore w:val="0"/>
        <w:widowControl/>
        <w:kinsoku/>
        <w:wordWrap/>
        <w:overflowPunct/>
        <w:topLinePunct w:val="0"/>
        <w:autoSpaceDE/>
        <w:autoSpaceDN/>
        <w:bidi w:val="0"/>
        <w:adjustRightInd w:val="0"/>
        <w:snapToGrid/>
        <w:spacing w:before="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416" w:name="_Toc77586953"/>
      <w:bookmarkStart w:id="417" w:name="_Toc144974547"/>
      <w:bookmarkStart w:id="418" w:name="_Toc152045580"/>
      <w:bookmarkStart w:id="419" w:name="_Toc246996224"/>
      <w:bookmarkStart w:id="420" w:name="_Toc247085738"/>
      <w:bookmarkStart w:id="421" w:name="_Toc246996967"/>
      <w:bookmarkStart w:id="422" w:name="_Toc296602467"/>
      <w:bookmarkStart w:id="423" w:name="_Toc77586860"/>
      <w:bookmarkStart w:id="424" w:name="_Toc179632598"/>
      <w:bookmarkStart w:id="425" w:name="_Toc152042357"/>
      <w:r>
        <w:rPr>
          <w:rFonts w:hint="eastAsia" w:asciiTheme="minorEastAsia" w:hAnsiTheme="minorEastAsia" w:eastAsiaTheme="minorEastAsia" w:cstheme="minorEastAsia"/>
          <w:color w:val="auto"/>
          <w:sz w:val="24"/>
          <w:szCs w:val="24"/>
          <w:highlight w:val="none"/>
        </w:rPr>
        <w:t>8.需要补充的其他内容</w:t>
      </w:r>
      <w:bookmarkEnd w:id="416"/>
      <w:bookmarkEnd w:id="417"/>
      <w:bookmarkEnd w:id="418"/>
      <w:bookmarkEnd w:id="419"/>
      <w:bookmarkEnd w:id="420"/>
      <w:bookmarkEnd w:id="421"/>
      <w:bookmarkEnd w:id="422"/>
      <w:bookmarkEnd w:id="423"/>
      <w:bookmarkEnd w:id="424"/>
      <w:bookmarkEnd w:id="425"/>
    </w:p>
    <w:p w14:paraId="1104FD0A">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p>
    <w:p w14:paraId="533F4599">
      <w:pPr>
        <w:pStyle w:val="2"/>
        <w:bidi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36"/>
          <w:highlight w:val="none"/>
        </w:rPr>
        <w:br w:type="page"/>
      </w:r>
      <w:bookmarkStart w:id="426" w:name="_Toc28833"/>
      <w:bookmarkStart w:id="427" w:name="_Toc77586954"/>
      <w:bookmarkStart w:id="428" w:name="_Toc9901"/>
      <w:r>
        <w:rPr>
          <w:rFonts w:hint="eastAsia" w:asciiTheme="minorEastAsia" w:hAnsiTheme="minorEastAsia" w:eastAsiaTheme="minorEastAsia" w:cstheme="minorEastAsia"/>
          <w:color w:val="auto"/>
          <w:highlight w:val="none"/>
        </w:rPr>
        <w:t>第三章  评标办法</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综合评分法）</w:t>
      </w:r>
      <w:bookmarkEnd w:id="426"/>
      <w:bookmarkEnd w:id="427"/>
      <w:bookmarkEnd w:id="428"/>
    </w:p>
    <w:p w14:paraId="3C316673">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评标办法前附表</w:t>
      </w:r>
    </w:p>
    <w:tbl>
      <w:tblPr>
        <w:tblStyle w:val="20"/>
        <w:tblW w:w="94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3"/>
        <w:gridCol w:w="1218"/>
        <w:gridCol w:w="2692"/>
        <w:gridCol w:w="5104"/>
      </w:tblGrid>
      <w:tr w14:paraId="1A919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701" w:type="dxa"/>
            <w:gridSpan w:val="2"/>
            <w:vAlign w:val="center"/>
          </w:tcPr>
          <w:p w14:paraId="2543B605">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b/>
                <w:color w:val="auto"/>
                <w:spacing w:val="-9"/>
                <w:sz w:val="24"/>
                <w:szCs w:val="24"/>
                <w:highlight w:val="none"/>
              </w:rPr>
            </w:pPr>
            <w:r>
              <w:rPr>
                <w:rFonts w:hint="eastAsia" w:asciiTheme="minorEastAsia" w:hAnsiTheme="minorEastAsia" w:eastAsiaTheme="minorEastAsia" w:cstheme="minorEastAsia"/>
                <w:b/>
                <w:color w:val="auto"/>
                <w:spacing w:val="-9"/>
                <w:sz w:val="24"/>
                <w:szCs w:val="24"/>
                <w:highlight w:val="none"/>
              </w:rPr>
              <w:t>条款号</w:t>
            </w:r>
          </w:p>
        </w:tc>
        <w:tc>
          <w:tcPr>
            <w:tcW w:w="2692" w:type="dxa"/>
            <w:vAlign w:val="center"/>
          </w:tcPr>
          <w:p w14:paraId="4A9E373C">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b/>
                <w:color w:val="auto"/>
                <w:spacing w:val="-9"/>
                <w:sz w:val="24"/>
                <w:szCs w:val="24"/>
                <w:highlight w:val="none"/>
              </w:rPr>
            </w:pPr>
            <w:r>
              <w:rPr>
                <w:rFonts w:hint="eastAsia" w:asciiTheme="minorEastAsia" w:hAnsiTheme="minorEastAsia" w:eastAsiaTheme="minorEastAsia" w:cstheme="minorEastAsia"/>
                <w:b/>
                <w:color w:val="auto"/>
                <w:spacing w:val="-9"/>
                <w:sz w:val="24"/>
                <w:szCs w:val="24"/>
                <w:highlight w:val="none"/>
              </w:rPr>
              <w:t>评审因素</w:t>
            </w:r>
          </w:p>
        </w:tc>
        <w:tc>
          <w:tcPr>
            <w:tcW w:w="5104" w:type="dxa"/>
            <w:vAlign w:val="center"/>
          </w:tcPr>
          <w:p w14:paraId="16A5A635">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b/>
                <w:color w:val="auto"/>
                <w:spacing w:val="-9"/>
                <w:sz w:val="24"/>
                <w:szCs w:val="24"/>
                <w:highlight w:val="none"/>
              </w:rPr>
            </w:pPr>
            <w:r>
              <w:rPr>
                <w:rFonts w:hint="eastAsia" w:asciiTheme="minorEastAsia" w:hAnsiTheme="minorEastAsia" w:eastAsiaTheme="minorEastAsia" w:cstheme="minorEastAsia"/>
                <w:b/>
                <w:color w:val="auto"/>
                <w:spacing w:val="-9"/>
                <w:sz w:val="24"/>
                <w:szCs w:val="24"/>
                <w:highlight w:val="none"/>
              </w:rPr>
              <w:t>评审标准</w:t>
            </w:r>
          </w:p>
        </w:tc>
      </w:tr>
      <w:tr w14:paraId="3C76E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3" w:type="dxa"/>
            <w:vMerge w:val="restart"/>
            <w:vAlign w:val="center"/>
          </w:tcPr>
          <w:p w14:paraId="68BE10CB">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1</w:t>
            </w:r>
          </w:p>
        </w:tc>
        <w:tc>
          <w:tcPr>
            <w:tcW w:w="1218" w:type="dxa"/>
            <w:vMerge w:val="restart"/>
            <w:vAlign w:val="center"/>
          </w:tcPr>
          <w:p w14:paraId="33F54F36">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符合性</w:t>
            </w:r>
          </w:p>
          <w:p w14:paraId="525EFCF0">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评审标准</w:t>
            </w:r>
          </w:p>
        </w:tc>
        <w:tc>
          <w:tcPr>
            <w:tcW w:w="2692" w:type="dxa"/>
            <w:vAlign w:val="center"/>
          </w:tcPr>
          <w:p w14:paraId="22AA5C69">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lang w:eastAsia="zh-CN"/>
              </w:rPr>
              <w:t>供应商</w:t>
            </w:r>
            <w:r>
              <w:rPr>
                <w:rFonts w:hint="eastAsia" w:asciiTheme="minorEastAsia" w:hAnsiTheme="minorEastAsia" w:eastAsiaTheme="minorEastAsia" w:cstheme="minorEastAsia"/>
                <w:color w:val="auto"/>
                <w:spacing w:val="-9"/>
                <w:sz w:val="24"/>
                <w:szCs w:val="24"/>
                <w:highlight w:val="none"/>
              </w:rPr>
              <w:t>名称</w:t>
            </w:r>
          </w:p>
        </w:tc>
        <w:tc>
          <w:tcPr>
            <w:tcW w:w="5104" w:type="dxa"/>
            <w:vAlign w:val="center"/>
          </w:tcPr>
          <w:p w14:paraId="5996E53E">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与营业执照一致</w:t>
            </w:r>
          </w:p>
        </w:tc>
      </w:tr>
      <w:tr w14:paraId="75E9CD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3" w:type="dxa"/>
            <w:vMerge w:val="continue"/>
            <w:vAlign w:val="center"/>
          </w:tcPr>
          <w:p w14:paraId="3631A2BE">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492AC062">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spacing w:val="-9"/>
                <w:sz w:val="24"/>
                <w:szCs w:val="24"/>
                <w:highlight w:val="none"/>
              </w:rPr>
            </w:pPr>
          </w:p>
        </w:tc>
        <w:tc>
          <w:tcPr>
            <w:tcW w:w="2692" w:type="dxa"/>
            <w:vAlign w:val="center"/>
          </w:tcPr>
          <w:p w14:paraId="15F970E5">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投标函签字盖章</w:t>
            </w:r>
          </w:p>
        </w:tc>
        <w:tc>
          <w:tcPr>
            <w:tcW w:w="5104" w:type="dxa"/>
            <w:vAlign w:val="center"/>
          </w:tcPr>
          <w:p w14:paraId="517E363E">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规定</w:t>
            </w:r>
          </w:p>
        </w:tc>
      </w:tr>
      <w:tr w14:paraId="410BB7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3" w:type="dxa"/>
            <w:vMerge w:val="continue"/>
            <w:vAlign w:val="center"/>
          </w:tcPr>
          <w:p w14:paraId="68AE4A09">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4EAA2698">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spacing w:val="-9"/>
                <w:sz w:val="24"/>
                <w:szCs w:val="24"/>
                <w:highlight w:val="none"/>
              </w:rPr>
            </w:pPr>
          </w:p>
        </w:tc>
        <w:tc>
          <w:tcPr>
            <w:tcW w:w="2692" w:type="dxa"/>
            <w:vAlign w:val="center"/>
          </w:tcPr>
          <w:p w14:paraId="5D3DDCFA">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响应文件格式</w:t>
            </w:r>
          </w:p>
        </w:tc>
        <w:tc>
          <w:tcPr>
            <w:tcW w:w="5104" w:type="dxa"/>
            <w:vAlign w:val="center"/>
          </w:tcPr>
          <w:p w14:paraId="2C2B983C">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符合第七章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响应文件格式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的要求</w:t>
            </w:r>
          </w:p>
        </w:tc>
      </w:tr>
      <w:tr w14:paraId="7DC4E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3" w:type="dxa"/>
            <w:vMerge w:val="continue"/>
            <w:vAlign w:val="center"/>
          </w:tcPr>
          <w:p w14:paraId="4E6949A7">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0DFACE61">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spacing w:val="-9"/>
                <w:sz w:val="24"/>
                <w:szCs w:val="24"/>
                <w:highlight w:val="none"/>
              </w:rPr>
            </w:pPr>
          </w:p>
        </w:tc>
        <w:tc>
          <w:tcPr>
            <w:tcW w:w="2692" w:type="dxa"/>
            <w:vAlign w:val="center"/>
          </w:tcPr>
          <w:p w14:paraId="2653DDA3">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5104" w:type="dxa"/>
            <w:vAlign w:val="center"/>
          </w:tcPr>
          <w:p w14:paraId="721545EC">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w:t>
            </w:r>
          </w:p>
        </w:tc>
      </w:tr>
      <w:tr w14:paraId="1BB10F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3" w:type="dxa"/>
            <w:vMerge w:val="restart"/>
            <w:vAlign w:val="center"/>
          </w:tcPr>
          <w:p w14:paraId="6FD477D1">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2</w:t>
            </w:r>
          </w:p>
        </w:tc>
        <w:tc>
          <w:tcPr>
            <w:tcW w:w="1218" w:type="dxa"/>
            <w:vMerge w:val="restart"/>
            <w:vAlign w:val="center"/>
          </w:tcPr>
          <w:p w14:paraId="546A9911">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资格评审</w:t>
            </w:r>
          </w:p>
          <w:p w14:paraId="46AEE4C9">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2692" w:type="dxa"/>
            <w:vAlign w:val="center"/>
          </w:tcPr>
          <w:p w14:paraId="7C39FCBD">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营业执照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事业单位法人证书</w:t>
            </w:r>
            <w:r>
              <w:rPr>
                <w:rFonts w:hint="eastAsia" w:asciiTheme="minorEastAsia" w:hAnsiTheme="minorEastAsia" w:eastAsiaTheme="minorEastAsia" w:cstheme="minorEastAsia"/>
                <w:color w:val="auto"/>
                <w:sz w:val="24"/>
                <w:szCs w:val="24"/>
                <w:highlight w:val="none"/>
                <w:lang w:eastAsia="zh-CN"/>
              </w:rPr>
              <w:t>）</w:t>
            </w:r>
          </w:p>
        </w:tc>
        <w:tc>
          <w:tcPr>
            <w:tcW w:w="5104" w:type="dxa"/>
            <w:vAlign w:val="center"/>
          </w:tcPr>
          <w:p w14:paraId="7CFF8AB4">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lang w:val="en-US" w:eastAsia="zh-CN" w:bidi="ar-SA"/>
              </w:rPr>
              <w:t>符合第一章“磋商公告”要求</w:t>
            </w:r>
          </w:p>
        </w:tc>
      </w:tr>
      <w:tr w14:paraId="7A1EC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3" w:type="dxa"/>
            <w:vMerge w:val="continue"/>
            <w:vAlign w:val="center"/>
          </w:tcPr>
          <w:p w14:paraId="073475D5">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6FFA0AD1">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2692" w:type="dxa"/>
            <w:vAlign w:val="center"/>
          </w:tcPr>
          <w:p w14:paraId="5A20118D">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具有履行合同所必需的设备和专业技术能力</w:t>
            </w:r>
          </w:p>
        </w:tc>
        <w:tc>
          <w:tcPr>
            <w:tcW w:w="5104" w:type="dxa"/>
            <w:vAlign w:val="center"/>
          </w:tcPr>
          <w:p w14:paraId="05B0E078">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bidi="ar-SA"/>
              </w:rPr>
              <w:t>符合第一章“磋商公告”要求</w:t>
            </w:r>
          </w:p>
        </w:tc>
      </w:tr>
      <w:tr w14:paraId="7EBD83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3" w:type="dxa"/>
            <w:vMerge w:val="continue"/>
            <w:vAlign w:val="center"/>
          </w:tcPr>
          <w:p w14:paraId="661F3C19">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1D07F306">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2692" w:type="dxa"/>
            <w:vAlign w:val="center"/>
          </w:tcPr>
          <w:p w14:paraId="5A163E65">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参加政府采购活动近三年内，在经营活动中没有重大违法记录</w:t>
            </w:r>
          </w:p>
        </w:tc>
        <w:tc>
          <w:tcPr>
            <w:tcW w:w="5104" w:type="dxa"/>
            <w:vAlign w:val="center"/>
          </w:tcPr>
          <w:p w14:paraId="48C2B713">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bidi="ar-SA"/>
              </w:rPr>
              <w:t>符合第一章“磋商公告”要求</w:t>
            </w:r>
          </w:p>
        </w:tc>
      </w:tr>
      <w:tr w14:paraId="77ACB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3" w:type="dxa"/>
            <w:vMerge w:val="continue"/>
            <w:vAlign w:val="center"/>
          </w:tcPr>
          <w:p w14:paraId="6B95F261">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7B4F370B">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2692" w:type="dxa"/>
            <w:vAlign w:val="center"/>
          </w:tcPr>
          <w:p w14:paraId="014BBF64">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无商业贿赂及无不正当竞争行为</w:t>
            </w:r>
          </w:p>
        </w:tc>
        <w:tc>
          <w:tcPr>
            <w:tcW w:w="5104" w:type="dxa"/>
            <w:vAlign w:val="center"/>
          </w:tcPr>
          <w:p w14:paraId="46F51EA3">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bidi="ar-SA"/>
              </w:rPr>
              <w:t>符合第一章“磋商公告”要求</w:t>
            </w:r>
          </w:p>
        </w:tc>
      </w:tr>
      <w:tr w14:paraId="432B8C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3" w:type="dxa"/>
            <w:vMerge w:val="continue"/>
            <w:vAlign w:val="center"/>
          </w:tcPr>
          <w:p w14:paraId="253665A0">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3734D31E">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2692" w:type="dxa"/>
            <w:vAlign w:val="center"/>
          </w:tcPr>
          <w:p w14:paraId="2A703E8A">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无行贿犯罪记录</w:t>
            </w:r>
          </w:p>
        </w:tc>
        <w:tc>
          <w:tcPr>
            <w:tcW w:w="5104" w:type="dxa"/>
            <w:vAlign w:val="center"/>
          </w:tcPr>
          <w:p w14:paraId="1CE0B26B">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bidi="ar-SA"/>
              </w:rPr>
              <w:t>符合第一章“磋商公告”要求</w:t>
            </w:r>
          </w:p>
        </w:tc>
      </w:tr>
      <w:tr w14:paraId="3BBE88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3" w:type="dxa"/>
            <w:vMerge w:val="continue"/>
            <w:vAlign w:val="center"/>
          </w:tcPr>
          <w:p w14:paraId="43082614">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1C3B403F">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2692" w:type="dxa"/>
            <w:vAlign w:val="center"/>
          </w:tcPr>
          <w:p w14:paraId="715FE792">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信用要求</w:t>
            </w:r>
          </w:p>
        </w:tc>
        <w:tc>
          <w:tcPr>
            <w:tcW w:w="5104" w:type="dxa"/>
            <w:vAlign w:val="center"/>
          </w:tcPr>
          <w:p w14:paraId="0D86D81A">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bidi="ar-SA"/>
              </w:rPr>
              <w:t>符合第一章“磋商公告”要求</w:t>
            </w:r>
          </w:p>
        </w:tc>
      </w:tr>
      <w:tr w14:paraId="4181A7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83" w:type="dxa"/>
            <w:vMerge w:val="continue"/>
            <w:vAlign w:val="center"/>
          </w:tcPr>
          <w:p w14:paraId="256F4D6D">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0BD15BA5">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2692" w:type="dxa"/>
            <w:vAlign w:val="center"/>
          </w:tcPr>
          <w:p w14:paraId="754F2D09">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国家企业信用</w:t>
            </w:r>
          </w:p>
        </w:tc>
        <w:tc>
          <w:tcPr>
            <w:tcW w:w="5104" w:type="dxa"/>
            <w:vAlign w:val="center"/>
          </w:tcPr>
          <w:p w14:paraId="298DA42D">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bidi="ar-SA"/>
              </w:rPr>
              <w:t>符合第一章“磋商公告”要求</w:t>
            </w:r>
          </w:p>
        </w:tc>
      </w:tr>
      <w:tr w14:paraId="61BEFC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90" w:hRule="atLeast"/>
          <w:jc w:val="center"/>
        </w:trPr>
        <w:tc>
          <w:tcPr>
            <w:tcW w:w="483" w:type="dxa"/>
            <w:vMerge w:val="continue"/>
            <w:vAlign w:val="center"/>
          </w:tcPr>
          <w:p w14:paraId="67387810">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3E7718F7">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2692" w:type="dxa"/>
            <w:vAlign w:val="center"/>
          </w:tcPr>
          <w:p w14:paraId="72D8A92A">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联合体</w:t>
            </w:r>
          </w:p>
        </w:tc>
        <w:tc>
          <w:tcPr>
            <w:tcW w:w="5104" w:type="dxa"/>
            <w:vAlign w:val="center"/>
          </w:tcPr>
          <w:p w14:paraId="572B2A39">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本项目</w:t>
            </w:r>
            <w:r>
              <w:rPr>
                <w:rFonts w:hint="eastAsia" w:asciiTheme="minorEastAsia" w:hAnsiTheme="minorEastAsia" w:eastAsiaTheme="minorEastAsia" w:cstheme="minorEastAsia"/>
                <w:color w:val="auto"/>
                <w:sz w:val="24"/>
                <w:szCs w:val="24"/>
                <w:highlight w:val="none"/>
              </w:rPr>
              <w:t>接受联合体投标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联合体要求详见磋商公告</w:t>
            </w:r>
          </w:p>
        </w:tc>
      </w:tr>
      <w:tr w14:paraId="461CBB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483" w:type="dxa"/>
            <w:vMerge w:val="restart"/>
            <w:vAlign w:val="center"/>
          </w:tcPr>
          <w:p w14:paraId="3113A0D8">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3</w:t>
            </w:r>
          </w:p>
        </w:tc>
        <w:tc>
          <w:tcPr>
            <w:tcW w:w="1218" w:type="dxa"/>
            <w:vMerge w:val="restart"/>
            <w:vAlign w:val="center"/>
          </w:tcPr>
          <w:p w14:paraId="7B0769EF">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响应性</w:t>
            </w:r>
          </w:p>
          <w:p w14:paraId="11886FDD">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kern w:val="1"/>
                <w:sz w:val="24"/>
                <w:szCs w:val="24"/>
                <w:highlight w:val="none"/>
              </w:rPr>
              <w:t>评审标准</w:t>
            </w:r>
          </w:p>
        </w:tc>
        <w:tc>
          <w:tcPr>
            <w:tcW w:w="2692" w:type="dxa"/>
            <w:vAlign w:val="center"/>
          </w:tcPr>
          <w:p w14:paraId="2BFDCB96">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z w:val="24"/>
                <w:szCs w:val="24"/>
                <w:highlight w:val="none"/>
              </w:rPr>
              <w:t>服务期</w:t>
            </w:r>
          </w:p>
        </w:tc>
        <w:tc>
          <w:tcPr>
            <w:tcW w:w="5104" w:type="dxa"/>
            <w:vAlign w:val="center"/>
          </w:tcPr>
          <w:p w14:paraId="6502EA83">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z w:val="24"/>
                <w:szCs w:val="24"/>
                <w:highlight w:val="none"/>
              </w:rPr>
              <w:t>符合或优于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文件要求</w:t>
            </w:r>
          </w:p>
        </w:tc>
      </w:tr>
      <w:tr w14:paraId="3F7B8A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483" w:type="dxa"/>
            <w:vMerge w:val="continue"/>
            <w:vAlign w:val="center"/>
          </w:tcPr>
          <w:p w14:paraId="6C513FE1">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7A96A65F">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2692" w:type="dxa"/>
            <w:vAlign w:val="center"/>
          </w:tcPr>
          <w:p w14:paraId="0CA2E0EB">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spacing w:val="-9"/>
                <w:sz w:val="24"/>
                <w:szCs w:val="24"/>
                <w:highlight w:val="none"/>
                <w:lang w:eastAsia="zh-CN"/>
              </w:rPr>
            </w:pPr>
            <w:r>
              <w:rPr>
                <w:rFonts w:hint="eastAsia" w:asciiTheme="minorEastAsia" w:hAnsiTheme="minorEastAsia" w:eastAsiaTheme="minorEastAsia" w:cstheme="minorEastAsia"/>
                <w:color w:val="auto"/>
                <w:spacing w:val="-9"/>
                <w:sz w:val="24"/>
                <w:szCs w:val="24"/>
                <w:highlight w:val="none"/>
                <w:lang w:eastAsia="zh-CN"/>
              </w:rPr>
              <w:t>系统保障运营期</w:t>
            </w:r>
          </w:p>
        </w:tc>
        <w:tc>
          <w:tcPr>
            <w:tcW w:w="5104" w:type="dxa"/>
            <w:vAlign w:val="center"/>
          </w:tcPr>
          <w:p w14:paraId="4CCD139B">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z w:val="24"/>
                <w:szCs w:val="24"/>
                <w:highlight w:val="none"/>
              </w:rPr>
              <w:t>符合或优于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文件要求</w:t>
            </w:r>
          </w:p>
        </w:tc>
      </w:tr>
      <w:tr w14:paraId="3F19BA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483" w:type="dxa"/>
            <w:vMerge w:val="continue"/>
            <w:vAlign w:val="center"/>
          </w:tcPr>
          <w:p w14:paraId="43B97DB6">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51654FEE">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2692" w:type="dxa"/>
            <w:vAlign w:val="center"/>
          </w:tcPr>
          <w:p w14:paraId="23A28F6D">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z w:val="24"/>
                <w:szCs w:val="24"/>
                <w:highlight w:val="none"/>
              </w:rPr>
              <w:t>服务要求</w:t>
            </w:r>
          </w:p>
        </w:tc>
        <w:tc>
          <w:tcPr>
            <w:tcW w:w="5104" w:type="dxa"/>
            <w:vAlign w:val="center"/>
          </w:tcPr>
          <w:p w14:paraId="0DDA68A1">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z w:val="24"/>
                <w:szCs w:val="24"/>
                <w:highlight w:val="none"/>
              </w:rPr>
              <w:t>符合或优于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文件要求</w:t>
            </w:r>
          </w:p>
        </w:tc>
      </w:tr>
      <w:tr w14:paraId="66C7B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483" w:type="dxa"/>
            <w:vMerge w:val="continue"/>
            <w:vAlign w:val="center"/>
          </w:tcPr>
          <w:p w14:paraId="0104B5F0">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0E4882F1">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2692" w:type="dxa"/>
            <w:vAlign w:val="center"/>
          </w:tcPr>
          <w:p w14:paraId="6F9F1B44">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5104" w:type="dxa"/>
            <w:vAlign w:val="center"/>
          </w:tcPr>
          <w:p w14:paraId="0867C474">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60日历天</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rPr>
              <w:t>从响应文件递交截止时间起）</w:t>
            </w:r>
          </w:p>
        </w:tc>
      </w:tr>
      <w:tr w14:paraId="1DF5AE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483" w:type="dxa"/>
            <w:vMerge w:val="continue"/>
            <w:vAlign w:val="center"/>
          </w:tcPr>
          <w:p w14:paraId="16A08B79">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1218" w:type="dxa"/>
            <w:vMerge w:val="continue"/>
            <w:vAlign w:val="center"/>
          </w:tcPr>
          <w:p w14:paraId="6871E1B7">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p>
        </w:tc>
        <w:tc>
          <w:tcPr>
            <w:tcW w:w="2692" w:type="dxa"/>
            <w:vAlign w:val="center"/>
          </w:tcPr>
          <w:p w14:paraId="1E92F727">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磋商报价</w:t>
            </w:r>
          </w:p>
        </w:tc>
        <w:tc>
          <w:tcPr>
            <w:tcW w:w="5104" w:type="dxa"/>
            <w:vAlign w:val="center"/>
          </w:tcPr>
          <w:p w14:paraId="58439B9B">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低于第二章</w:t>
            </w:r>
            <w:r>
              <w:rPr>
                <w:rFonts w:hint="eastAsia" w:asciiTheme="minorEastAsia" w:hAnsiTheme="minorEastAsia" w:eastAsiaTheme="minorEastAsia" w:cstheme="minorEastAsia"/>
                <w:color w:val="auto"/>
                <w:spacing w:val="-9"/>
                <w:sz w:val="24"/>
                <w:szCs w:val="24"/>
                <w:highlight w:val="none"/>
                <w:lang w:eastAsia="zh-CN"/>
              </w:rPr>
              <w:t>“供应商</w:t>
            </w:r>
            <w:r>
              <w:rPr>
                <w:rFonts w:hint="eastAsia" w:asciiTheme="minorEastAsia" w:hAnsiTheme="minorEastAsia" w:eastAsiaTheme="minorEastAsia" w:cstheme="minorEastAsia"/>
                <w:color w:val="auto"/>
                <w:spacing w:val="-9"/>
                <w:sz w:val="24"/>
                <w:szCs w:val="24"/>
                <w:highlight w:val="none"/>
              </w:rPr>
              <w:t>须知前附表</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rPr>
              <w:t>载明的预算金额</w:t>
            </w:r>
          </w:p>
        </w:tc>
      </w:tr>
    </w:tbl>
    <w:p w14:paraId="4ECE30CD">
      <w:pPr>
        <w:pStyle w:val="18"/>
        <w:pageBreakBefore w:val="0"/>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p>
    <w:p w14:paraId="3375FCCF">
      <w:pPr>
        <w:pStyle w:val="19"/>
        <w:pageBreakBefore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color w:val="auto"/>
          <w:sz w:val="24"/>
          <w:szCs w:val="24"/>
          <w:highlight w:val="none"/>
        </w:rPr>
      </w:pPr>
    </w:p>
    <w:tbl>
      <w:tblPr>
        <w:tblStyle w:val="20"/>
        <w:tblW w:w="9840" w:type="dxa"/>
        <w:jc w:val="center"/>
        <w:tblLayout w:type="fixed"/>
        <w:tblCellMar>
          <w:top w:w="0" w:type="dxa"/>
          <w:left w:w="108" w:type="dxa"/>
          <w:bottom w:w="0" w:type="dxa"/>
          <w:right w:w="108" w:type="dxa"/>
        </w:tblCellMar>
      </w:tblPr>
      <w:tblGrid>
        <w:gridCol w:w="1257"/>
        <w:gridCol w:w="1527"/>
        <w:gridCol w:w="7056"/>
      </w:tblGrid>
      <w:tr w14:paraId="4C790552">
        <w:tblPrEx>
          <w:tblCellMar>
            <w:top w:w="0" w:type="dxa"/>
            <w:left w:w="108" w:type="dxa"/>
            <w:bottom w:w="0" w:type="dxa"/>
            <w:right w:w="108" w:type="dxa"/>
          </w:tblCellMar>
        </w:tblPrEx>
        <w:trPr>
          <w:trHeight w:val="518" w:hRule="atLeast"/>
          <w:jc w:val="center"/>
        </w:trPr>
        <w:tc>
          <w:tcPr>
            <w:tcW w:w="9840" w:type="dxa"/>
            <w:gridSpan w:val="3"/>
            <w:tcBorders>
              <w:top w:val="single" w:color="000000" w:sz="6" w:space="0"/>
              <w:left w:val="single" w:color="000000" w:sz="12" w:space="0"/>
              <w:bottom w:val="single" w:color="000000" w:sz="6" w:space="0"/>
              <w:right w:val="single" w:color="000000" w:sz="12" w:space="0"/>
            </w:tcBorders>
            <w:vAlign w:val="center"/>
          </w:tcPr>
          <w:p w14:paraId="772FE69F">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b/>
                <w:color w:val="auto"/>
                <w:kern w:val="1"/>
                <w:sz w:val="24"/>
                <w:szCs w:val="24"/>
                <w:highlight w:val="none"/>
              </w:rPr>
              <w:t>综合评分部分</w:t>
            </w:r>
            <w:r>
              <w:rPr>
                <w:rFonts w:hint="eastAsia" w:asciiTheme="minorEastAsia" w:hAnsiTheme="minorEastAsia" w:eastAsiaTheme="minorEastAsia" w:cstheme="minorEastAsia"/>
                <w:b/>
                <w:color w:val="auto"/>
                <w:kern w:val="1"/>
                <w:sz w:val="24"/>
                <w:szCs w:val="24"/>
                <w:highlight w:val="none"/>
                <w:lang w:eastAsia="zh-CN"/>
              </w:rPr>
              <w:t>（</w:t>
            </w:r>
            <w:r>
              <w:rPr>
                <w:rFonts w:hint="eastAsia" w:asciiTheme="minorEastAsia" w:hAnsiTheme="minorEastAsia" w:eastAsiaTheme="minorEastAsia" w:cstheme="minorEastAsia"/>
                <w:b/>
                <w:color w:val="auto"/>
                <w:kern w:val="1"/>
                <w:sz w:val="24"/>
                <w:szCs w:val="24"/>
                <w:highlight w:val="none"/>
              </w:rPr>
              <w:t>满分100分）</w:t>
            </w:r>
          </w:p>
        </w:tc>
      </w:tr>
      <w:tr w14:paraId="3E2FD29C">
        <w:tblPrEx>
          <w:tblCellMar>
            <w:top w:w="0" w:type="dxa"/>
            <w:left w:w="108" w:type="dxa"/>
            <w:bottom w:w="0" w:type="dxa"/>
            <w:right w:w="108" w:type="dxa"/>
          </w:tblCellMar>
        </w:tblPrEx>
        <w:trPr>
          <w:trHeight w:val="691" w:hRule="atLeast"/>
          <w:jc w:val="center"/>
        </w:trPr>
        <w:tc>
          <w:tcPr>
            <w:tcW w:w="2784" w:type="dxa"/>
            <w:gridSpan w:val="2"/>
            <w:tcBorders>
              <w:top w:val="single" w:color="000000" w:sz="6" w:space="0"/>
              <w:left w:val="single" w:color="000000" w:sz="6" w:space="0"/>
              <w:bottom w:val="single" w:color="000000" w:sz="6" w:space="0"/>
              <w:right w:val="single" w:color="000000" w:sz="6" w:space="0"/>
            </w:tcBorders>
            <w:vAlign w:val="center"/>
          </w:tcPr>
          <w:p w14:paraId="2F822614">
            <w:pPr>
              <w:pageBreakBefore w:val="0"/>
              <w:kinsoku/>
              <w:wordWrap/>
              <w:overflowPunct/>
              <w:topLinePunct w:val="0"/>
              <w:autoSpaceDE/>
              <w:autoSpaceDN/>
              <w:bidi w:val="0"/>
              <w:adjustRightInd w:val="0"/>
              <w:snapToGrid w:val="0"/>
              <w:spacing w:beforeAutospacing="0" w:after="0" w:line="360" w:lineRule="auto"/>
              <w:ind w:hanging="210"/>
              <w:jc w:val="center"/>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分值构成</w:t>
            </w:r>
          </w:p>
          <w:p w14:paraId="6849A4A9">
            <w:pPr>
              <w:pageBreakBefore w:val="0"/>
              <w:kinsoku/>
              <w:wordWrap/>
              <w:overflowPunct/>
              <w:topLinePunct w:val="0"/>
              <w:autoSpaceDE/>
              <w:autoSpaceDN/>
              <w:bidi w:val="0"/>
              <w:adjustRightInd w:val="0"/>
              <w:snapToGrid w:val="0"/>
              <w:spacing w:beforeAutospacing="0" w:after="0" w:line="360" w:lineRule="auto"/>
              <w:ind w:hanging="210"/>
              <w:jc w:val="center"/>
              <w:textAlignment w:val="auto"/>
              <w:rPr>
                <w:rFonts w:hint="eastAsia" w:asciiTheme="minorEastAsia" w:hAnsiTheme="minorEastAsia" w:eastAsiaTheme="minorEastAsia" w:cstheme="minorEastAsia"/>
                <w:color w:val="auto"/>
                <w:kern w:val="1"/>
                <w:sz w:val="24"/>
                <w:szCs w:val="24"/>
                <w:highlight w:val="none"/>
                <w:lang w:eastAsia="zh-CN"/>
              </w:rPr>
            </w:pPr>
            <w:r>
              <w:rPr>
                <w:rFonts w:hint="eastAsia" w:asciiTheme="minorEastAsia" w:hAnsiTheme="minorEastAsia" w:eastAsiaTheme="minorEastAsia" w:cstheme="minorEastAsia"/>
                <w:color w:val="auto"/>
                <w:kern w:val="1"/>
                <w:sz w:val="24"/>
                <w:szCs w:val="24"/>
                <w:highlight w:val="none"/>
              </w:rPr>
              <w:t>(总分100分</w:t>
            </w:r>
            <w:r>
              <w:rPr>
                <w:rFonts w:hint="eastAsia" w:asciiTheme="minorEastAsia" w:hAnsiTheme="minorEastAsia" w:eastAsiaTheme="minorEastAsia" w:cstheme="minorEastAsia"/>
                <w:color w:val="auto"/>
                <w:kern w:val="1"/>
                <w:sz w:val="24"/>
                <w:szCs w:val="24"/>
                <w:highlight w:val="none"/>
                <w:lang w:eastAsia="zh-CN"/>
              </w:rPr>
              <w:t>）</w:t>
            </w:r>
          </w:p>
        </w:tc>
        <w:tc>
          <w:tcPr>
            <w:tcW w:w="7056" w:type="dxa"/>
            <w:tcBorders>
              <w:top w:val="single" w:color="000000" w:sz="6" w:space="0"/>
              <w:left w:val="single" w:color="000000" w:sz="6" w:space="0"/>
              <w:bottom w:val="single" w:color="000000" w:sz="6" w:space="0"/>
              <w:right w:val="single" w:color="000000" w:sz="12" w:space="0"/>
            </w:tcBorders>
            <w:vAlign w:val="center"/>
          </w:tcPr>
          <w:p w14:paraId="611A9961">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商务标：</w:t>
            </w:r>
            <w:r>
              <w:rPr>
                <w:rFonts w:hint="eastAsia" w:asciiTheme="minorEastAsia" w:hAnsiTheme="minorEastAsia" w:eastAsiaTheme="minorEastAsia" w:cstheme="minorEastAsia"/>
                <w:color w:val="auto"/>
                <w:kern w:val="1"/>
                <w:sz w:val="24"/>
                <w:szCs w:val="24"/>
                <w:highlight w:val="none"/>
                <w:u w:val="single"/>
                <w:lang w:val="en-US" w:eastAsia="zh-CN"/>
              </w:rPr>
              <w:t>20</w:t>
            </w:r>
            <w:r>
              <w:rPr>
                <w:rFonts w:hint="eastAsia" w:asciiTheme="minorEastAsia" w:hAnsiTheme="minorEastAsia" w:eastAsiaTheme="minorEastAsia" w:cstheme="minorEastAsia"/>
                <w:color w:val="auto"/>
                <w:kern w:val="1"/>
                <w:sz w:val="24"/>
                <w:szCs w:val="24"/>
                <w:highlight w:val="none"/>
              </w:rPr>
              <w:t>分</w:t>
            </w:r>
          </w:p>
          <w:p w14:paraId="31913864">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技术标：</w:t>
            </w:r>
            <w:r>
              <w:rPr>
                <w:rFonts w:hint="eastAsia" w:asciiTheme="minorEastAsia" w:hAnsiTheme="minorEastAsia" w:eastAsiaTheme="minorEastAsia" w:cstheme="minorEastAsia"/>
                <w:color w:val="auto"/>
                <w:kern w:val="1"/>
                <w:sz w:val="24"/>
                <w:szCs w:val="24"/>
                <w:highlight w:val="none"/>
                <w:u w:val="single"/>
                <w:lang w:val="en-US" w:eastAsia="zh-CN"/>
              </w:rPr>
              <w:t>50</w:t>
            </w:r>
            <w:r>
              <w:rPr>
                <w:rFonts w:hint="eastAsia" w:asciiTheme="minorEastAsia" w:hAnsiTheme="minorEastAsia" w:eastAsiaTheme="minorEastAsia" w:cstheme="minorEastAsia"/>
                <w:color w:val="auto"/>
                <w:kern w:val="1"/>
                <w:sz w:val="24"/>
                <w:szCs w:val="24"/>
                <w:highlight w:val="none"/>
              </w:rPr>
              <w:t>分</w:t>
            </w:r>
          </w:p>
          <w:p w14:paraId="49A3E8A3">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综合标：</w:t>
            </w:r>
            <w:r>
              <w:rPr>
                <w:rFonts w:hint="eastAsia" w:asciiTheme="minorEastAsia" w:hAnsiTheme="minorEastAsia" w:eastAsiaTheme="minorEastAsia" w:cstheme="minorEastAsia"/>
                <w:color w:val="auto"/>
                <w:kern w:val="1"/>
                <w:sz w:val="24"/>
                <w:szCs w:val="24"/>
                <w:highlight w:val="none"/>
                <w:u w:val="single"/>
                <w:lang w:val="en-US" w:eastAsia="zh-CN"/>
              </w:rPr>
              <w:t>30</w:t>
            </w:r>
            <w:r>
              <w:rPr>
                <w:rFonts w:hint="eastAsia" w:asciiTheme="minorEastAsia" w:hAnsiTheme="minorEastAsia" w:eastAsiaTheme="minorEastAsia" w:cstheme="minorEastAsia"/>
                <w:color w:val="auto"/>
                <w:kern w:val="1"/>
                <w:sz w:val="24"/>
                <w:szCs w:val="24"/>
                <w:highlight w:val="none"/>
              </w:rPr>
              <w:t>分</w:t>
            </w:r>
          </w:p>
        </w:tc>
      </w:tr>
      <w:tr w14:paraId="05176901">
        <w:tblPrEx>
          <w:tblCellMar>
            <w:top w:w="0" w:type="dxa"/>
            <w:left w:w="108" w:type="dxa"/>
            <w:bottom w:w="0" w:type="dxa"/>
            <w:right w:w="108" w:type="dxa"/>
          </w:tblCellMar>
        </w:tblPrEx>
        <w:trPr>
          <w:trHeight w:val="207" w:hRule="atLeast"/>
          <w:jc w:val="center"/>
        </w:trPr>
        <w:tc>
          <w:tcPr>
            <w:tcW w:w="2784" w:type="dxa"/>
            <w:gridSpan w:val="2"/>
            <w:tcBorders>
              <w:top w:val="single" w:color="000000" w:sz="6" w:space="0"/>
              <w:left w:val="single" w:color="000000" w:sz="6" w:space="0"/>
              <w:bottom w:val="single" w:color="000000" w:sz="6" w:space="0"/>
              <w:right w:val="single" w:color="000000" w:sz="6" w:space="0"/>
            </w:tcBorders>
            <w:vAlign w:val="center"/>
          </w:tcPr>
          <w:p w14:paraId="56BCC0F7">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b/>
                <w:color w:val="auto"/>
                <w:kern w:val="1"/>
                <w:sz w:val="24"/>
                <w:szCs w:val="24"/>
                <w:highlight w:val="none"/>
              </w:rPr>
            </w:pPr>
            <w:r>
              <w:rPr>
                <w:rFonts w:hint="eastAsia" w:asciiTheme="minorEastAsia" w:hAnsiTheme="minorEastAsia" w:eastAsiaTheme="minorEastAsia" w:cstheme="minorEastAsia"/>
                <w:b/>
                <w:color w:val="auto"/>
                <w:kern w:val="1"/>
                <w:sz w:val="24"/>
                <w:szCs w:val="24"/>
                <w:highlight w:val="none"/>
              </w:rPr>
              <w:t>评分因素</w:t>
            </w:r>
          </w:p>
        </w:tc>
        <w:tc>
          <w:tcPr>
            <w:tcW w:w="7056" w:type="dxa"/>
            <w:tcBorders>
              <w:top w:val="single" w:color="000000" w:sz="6" w:space="0"/>
              <w:left w:val="single" w:color="000000" w:sz="6" w:space="0"/>
              <w:bottom w:val="single" w:color="000000" w:sz="6" w:space="0"/>
              <w:right w:val="single" w:color="000000" w:sz="12" w:space="0"/>
            </w:tcBorders>
            <w:vAlign w:val="center"/>
          </w:tcPr>
          <w:p w14:paraId="22962BDE">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b/>
                <w:color w:val="auto"/>
                <w:kern w:val="1"/>
                <w:sz w:val="24"/>
                <w:szCs w:val="24"/>
                <w:highlight w:val="none"/>
              </w:rPr>
            </w:pPr>
            <w:r>
              <w:rPr>
                <w:rFonts w:hint="eastAsia" w:asciiTheme="minorEastAsia" w:hAnsiTheme="minorEastAsia" w:eastAsiaTheme="minorEastAsia" w:cstheme="minorEastAsia"/>
                <w:b/>
                <w:color w:val="auto"/>
                <w:kern w:val="1"/>
                <w:sz w:val="24"/>
                <w:szCs w:val="24"/>
                <w:highlight w:val="none"/>
              </w:rPr>
              <w:t>评分标准</w:t>
            </w:r>
          </w:p>
        </w:tc>
      </w:tr>
      <w:tr w14:paraId="2AB86E2F">
        <w:tblPrEx>
          <w:tblCellMar>
            <w:top w:w="0" w:type="dxa"/>
            <w:left w:w="108" w:type="dxa"/>
            <w:bottom w:w="0" w:type="dxa"/>
            <w:right w:w="108" w:type="dxa"/>
          </w:tblCellMar>
        </w:tblPrEx>
        <w:trPr>
          <w:trHeight w:val="1971" w:hRule="atLeast"/>
          <w:jc w:val="center"/>
        </w:trPr>
        <w:tc>
          <w:tcPr>
            <w:tcW w:w="1257" w:type="dxa"/>
            <w:tcBorders>
              <w:top w:val="single" w:color="000000" w:sz="6" w:space="0"/>
              <w:left w:val="single" w:color="000000" w:sz="4" w:space="0"/>
              <w:bottom w:val="single" w:color="000000" w:sz="6" w:space="0"/>
              <w:right w:val="single" w:color="000000" w:sz="6" w:space="0"/>
            </w:tcBorders>
            <w:vAlign w:val="center"/>
          </w:tcPr>
          <w:p w14:paraId="109B5A7F">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商务标评分标准</w:t>
            </w:r>
            <w:r>
              <w:rPr>
                <w:rFonts w:hint="eastAsia" w:asciiTheme="minorEastAsia" w:hAnsiTheme="minorEastAsia" w:eastAsiaTheme="minorEastAsia" w:cstheme="minorEastAsia"/>
                <w:color w:val="auto"/>
                <w:kern w:val="1"/>
                <w:sz w:val="24"/>
                <w:szCs w:val="24"/>
                <w:highlight w:val="none"/>
                <w:lang w:eastAsia="zh-CN"/>
              </w:rPr>
              <w:t>（</w:t>
            </w:r>
            <w:r>
              <w:rPr>
                <w:rFonts w:hint="eastAsia" w:asciiTheme="minorEastAsia" w:hAnsiTheme="minorEastAsia" w:eastAsiaTheme="minorEastAsia" w:cstheme="minorEastAsia"/>
                <w:color w:val="auto"/>
                <w:kern w:val="1"/>
                <w:sz w:val="24"/>
                <w:szCs w:val="24"/>
                <w:highlight w:val="none"/>
                <w:lang w:val="en-US" w:eastAsia="zh-CN"/>
              </w:rPr>
              <w:t>20</w:t>
            </w:r>
            <w:r>
              <w:rPr>
                <w:rFonts w:hint="eastAsia" w:asciiTheme="minorEastAsia" w:hAnsiTheme="minorEastAsia" w:eastAsiaTheme="minorEastAsia" w:cstheme="minorEastAsia"/>
                <w:color w:val="auto"/>
                <w:kern w:val="1"/>
                <w:sz w:val="24"/>
                <w:szCs w:val="24"/>
                <w:highlight w:val="none"/>
              </w:rPr>
              <w:t>分）</w:t>
            </w:r>
          </w:p>
        </w:tc>
        <w:tc>
          <w:tcPr>
            <w:tcW w:w="1527" w:type="dxa"/>
            <w:tcBorders>
              <w:top w:val="single" w:color="000000" w:sz="6" w:space="0"/>
              <w:left w:val="single" w:color="000000" w:sz="4" w:space="0"/>
              <w:bottom w:val="single" w:color="000000" w:sz="6" w:space="0"/>
              <w:right w:val="single" w:color="000000" w:sz="6" w:space="0"/>
            </w:tcBorders>
            <w:vAlign w:val="center"/>
          </w:tcPr>
          <w:p w14:paraId="520CFFAD">
            <w:pPr>
              <w:pageBreakBefore w:val="0"/>
              <w:kinsoku/>
              <w:wordWrap/>
              <w:overflowPunct/>
              <w:topLinePunct w:val="0"/>
              <w:autoSpaceDE/>
              <w:autoSpaceDN/>
              <w:bidi w:val="0"/>
              <w:adjustRightInd w:val="0"/>
              <w:snapToGrid w:val="0"/>
              <w:spacing w:beforeAutospacing="0" w:after="0" w:line="360" w:lineRule="auto"/>
              <w:jc w:val="center"/>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0"/>
                <w:sz w:val="24"/>
                <w:szCs w:val="24"/>
                <w:highlight w:val="none"/>
              </w:rPr>
              <w:t>磋商报价</w:t>
            </w:r>
          </w:p>
        </w:tc>
        <w:tc>
          <w:tcPr>
            <w:tcW w:w="7056" w:type="dxa"/>
            <w:tcBorders>
              <w:top w:val="single" w:color="000000" w:sz="6" w:space="0"/>
              <w:left w:val="single" w:color="000000" w:sz="6" w:space="0"/>
              <w:bottom w:val="single" w:color="000000" w:sz="6" w:space="0"/>
              <w:right w:val="single" w:color="000000" w:sz="12" w:space="0"/>
            </w:tcBorders>
            <w:vAlign w:val="center"/>
          </w:tcPr>
          <w:p w14:paraId="6046E552">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1、价格分采用低价优先法计算，即满足磋商文件通过资格性和形式性审查且投标价格最低的投标报价为评标基准价，其价格得分为满分20分。</w:t>
            </w:r>
          </w:p>
          <w:p w14:paraId="2C718F3D">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2、其他供应商的价格分统一按照下列公式计算：</w:t>
            </w:r>
          </w:p>
          <w:p w14:paraId="5295061D">
            <w:pPr>
              <w:pageBreakBefore w:val="0"/>
              <w:kinsoku/>
              <w:wordWrap/>
              <w:overflowPunct/>
              <w:topLinePunct w:val="0"/>
              <w:autoSpaceDE/>
              <w:autoSpaceDN/>
              <w:bidi w:val="0"/>
              <w:adjustRightInd w:val="0"/>
              <w:snapToGrid w:val="0"/>
              <w:spacing w:beforeAutospacing="0" w:after="0" w:line="360" w:lineRule="auto"/>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投标报价得分=(评标基准价／投标报价）×20</w:t>
            </w:r>
          </w:p>
          <w:p w14:paraId="6FA0932A">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3、价格扣除：</w:t>
            </w:r>
            <w:r>
              <w:rPr>
                <w:rFonts w:hint="eastAsia" w:asciiTheme="minorEastAsia" w:hAnsiTheme="minorEastAsia" w:eastAsiaTheme="minorEastAsia" w:cstheme="minorEastAsia"/>
                <w:color w:val="auto"/>
                <w:kern w:val="0"/>
                <w:sz w:val="24"/>
                <w:szCs w:val="24"/>
                <w:highlight w:val="none"/>
              </w:rPr>
              <w:t>1.根据《政府采购促进中小企业发展管理办法》</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财库﹝2020﹞46 号）及《三门峡市财政局关于进一步优化提升政府采购营商环境有关事项通知》</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三财购</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2021）14号）及《三门峡市财政局关于进一步加大政府采购支持中小企业发展有关事项的通知》</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三财购</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2022）9号）的规定，对小型、微型企业产品的价格给予10%～20%的扣除，本项目小型、微型企业</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提供证明材料</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按</w:t>
            </w:r>
            <w:r>
              <w:rPr>
                <w:rFonts w:hint="eastAsia" w:asciiTheme="minorEastAsia" w:hAnsiTheme="minorEastAsia" w:eastAsiaTheme="minorEastAsia" w:cstheme="minorEastAsia"/>
                <w:b/>
                <w:bCs/>
                <w:color w:val="auto"/>
                <w:kern w:val="0"/>
                <w:sz w:val="24"/>
                <w:szCs w:val="24"/>
                <w:highlight w:val="none"/>
                <w:lang w:val="en-US" w:eastAsia="zh-CN"/>
              </w:rPr>
              <w:t>20</w:t>
            </w:r>
            <w:r>
              <w:rPr>
                <w:rFonts w:hint="eastAsia"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扣除，使用扣除后的价格参与评审。对于中型企业产品的价格不予扣除。</w:t>
            </w:r>
            <w:r>
              <w:rPr>
                <w:rFonts w:hint="eastAsia" w:asciiTheme="minorEastAsia" w:hAnsiTheme="minorEastAsia" w:eastAsiaTheme="minorEastAsia" w:cstheme="minorEastAsia"/>
                <w:color w:val="auto"/>
                <w:kern w:val="0"/>
                <w:sz w:val="24"/>
                <w:szCs w:val="24"/>
                <w:highlight w:val="none"/>
                <w:lang w:val="en-US" w:eastAsia="zh-CN"/>
              </w:rPr>
              <w:t>小微企业需完整填写小微企业声明函并提供证明资料。</w:t>
            </w:r>
          </w:p>
          <w:p w14:paraId="4EC8C107">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所投小微企业产品报价=所投小微企业产品报价×</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w:t>
            </w:r>
          </w:p>
          <w:p w14:paraId="46DC7D72">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16D0C3BD">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根据财政部民政部中国残疾人联合会《关于促进残疾人就业政府采购政策的通知》</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财库〔2017〕141号）规定，对于残疾人福利性单位视同为小型、微型企业，价格给予</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%的扣除</w:t>
            </w:r>
            <w:r>
              <w:rPr>
                <w:rFonts w:hint="eastAsia" w:asciiTheme="minorEastAsia" w:hAnsiTheme="minorEastAsia" w:eastAsiaTheme="minorEastAsia" w:cstheme="minorEastAsia"/>
                <w:color w:val="auto"/>
                <w:kern w:val="0"/>
                <w:sz w:val="24"/>
                <w:szCs w:val="24"/>
                <w:highlight w:val="none"/>
                <w:lang w:val="en-US" w:eastAsia="zh-CN"/>
              </w:rPr>
              <w:t>。</w:t>
            </w:r>
          </w:p>
          <w:p w14:paraId="57DC60BE">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6、同一供应商，中小微企业产品和监狱企业产品价格扣除优惠只享受一次，不得重复享受。</w:t>
            </w:r>
          </w:p>
          <w:p w14:paraId="025CE619">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注：价格分计算保留小数点后二位。</w:t>
            </w:r>
          </w:p>
          <w:p w14:paraId="381D55BA">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在评标过程中，磋商小组发现供应商的报价明显低于成本价时或明显低于其他通过初步审查供应商的报价，有可能影响产品质量或者不能诚信履约的，磋商小组可向该供应商提出询问， 要求该供应商作出书面说明并提供相关证明材料。供应商不能合理说明及不能提供相关证明材料的，磋商小组认定该供应商以低于成本价恶意竞标，其投标作废标处理。</w:t>
            </w:r>
          </w:p>
        </w:tc>
      </w:tr>
      <w:tr w14:paraId="2B2320E9">
        <w:tblPrEx>
          <w:tblCellMar>
            <w:top w:w="0" w:type="dxa"/>
            <w:left w:w="108" w:type="dxa"/>
            <w:bottom w:w="0" w:type="dxa"/>
            <w:right w:w="108" w:type="dxa"/>
          </w:tblCellMar>
        </w:tblPrEx>
        <w:trPr>
          <w:trHeight w:val="1690" w:hRule="atLeast"/>
          <w:jc w:val="center"/>
        </w:trPr>
        <w:tc>
          <w:tcPr>
            <w:tcW w:w="1257" w:type="dxa"/>
            <w:vMerge w:val="restart"/>
            <w:tcBorders>
              <w:left w:val="single" w:color="000000" w:sz="4" w:space="0"/>
              <w:right w:val="single" w:color="000000" w:sz="6" w:space="0"/>
            </w:tcBorders>
            <w:vAlign w:val="center"/>
          </w:tcPr>
          <w:p w14:paraId="52451D76">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kern w:val="1"/>
                <w:sz w:val="24"/>
                <w:szCs w:val="24"/>
                <w:highlight w:val="none"/>
                <w:lang w:val="en-US" w:eastAsia="zh-CN"/>
              </w:rPr>
            </w:pPr>
            <w:r>
              <w:rPr>
                <w:rFonts w:hint="eastAsia" w:asciiTheme="minorEastAsia" w:hAnsiTheme="minorEastAsia" w:eastAsiaTheme="minorEastAsia" w:cstheme="minorEastAsia"/>
                <w:color w:val="auto"/>
                <w:kern w:val="1"/>
                <w:sz w:val="24"/>
                <w:szCs w:val="24"/>
                <w:highlight w:val="none"/>
              </w:rPr>
              <w:t>技术</w:t>
            </w:r>
            <w:r>
              <w:rPr>
                <w:rFonts w:hint="eastAsia" w:asciiTheme="minorEastAsia" w:hAnsiTheme="minorEastAsia" w:eastAsiaTheme="minorEastAsia" w:cstheme="minorEastAsia"/>
                <w:color w:val="auto"/>
                <w:kern w:val="1"/>
                <w:sz w:val="24"/>
                <w:szCs w:val="24"/>
                <w:highlight w:val="none"/>
                <w:lang w:val="en-US" w:eastAsia="zh-CN"/>
              </w:rPr>
              <w:t>部分（50分）</w:t>
            </w:r>
          </w:p>
        </w:tc>
        <w:tc>
          <w:tcPr>
            <w:tcW w:w="1527" w:type="dxa"/>
            <w:tcBorders>
              <w:top w:val="single" w:color="000000" w:sz="6" w:space="0"/>
              <w:left w:val="single" w:color="000000" w:sz="4" w:space="0"/>
              <w:bottom w:val="single" w:color="000000" w:sz="6" w:space="0"/>
              <w:right w:val="single" w:color="000000" w:sz="6" w:space="0"/>
            </w:tcBorders>
            <w:vAlign w:val="center"/>
          </w:tcPr>
          <w:p w14:paraId="62FB9246">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技术服务方案（30分）</w:t>
            </w:r>
          </w:p>
        </w:tc>
        <w:tc>
          <w:tcPr>
            <w:tcW w:w="7056" w:type="dxa"/>
            <w:tcBorders>
              <w:top w:val="single" w:color="000000" w:sz="6" w:space="0"/>
              <w:left w:val="single" w:color="000000" w:sz="6" w:space="0"/>
              <w:bottom w:val="single" w:color="000000" w:sz="6" w:space="0"/>
              <w:right w:val="single" w:color="000000" w:sz="12" w:space="0"/>
            </w:tcBorders>
            <w:vAlign w:val="center"/>
          </w:tcPr>
          <w:p w14:paraId="54B107F7">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根据供应商提供的技术服务方案等，是否科学、合理、可行。</w:t>
            </w:r>
          </w:p>
          <w:p w14:paraId="788657B2">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项目技术服务方案、实施技术力量和实施计划</w:t>
            </w:r>
            <w:r>
              <w:rPr>
                <w:rFonts w:hint="default" w:asciiTheme="minorEastAsia" w:hAnsiTheme="minorEastAsia" w:eastAsiaTheme="minorEastAsia" w:cstheme="minorEastAsia"/>
                <w:color w:val="auto"/>
                <w:kern w:val="0"/>
                <w:sz w:val="24"/>
                <w:szCs w:val="24"/>
                <w:highlight w:val="none"/>
                <w:lang w:val="en-US" w:eastAsia="zh-CN"/>
              </w:rPr>
              <w:t>极致完善，逻辑闭环，与项目需求高度适配，得30分</w:t>
            </w:r>
            <w:r>
              <w:rPr>
                <w:rFonts w:hint="eastAsia" w:asciiTheme="minorEastAsia" w:hAnsiTheme="minorEastAsia" w:eastAsiaTheme="minorEastAsia" w:cstheme="minorEastAsia"/>
                <w:color w:val="auto"/>
                <w:kern w:val="0"/>
                <w:sz w:val="24"/>
                <w:szCs w:val="24"/>
                <w:highlight w:val="none"/>
                <w:lang w:val="en-US" w:eastAsia="zh-CN"/>
              </w:rPr>
              <w:t>；</w:t>
            </w:r>
          </w:p>
          <w:p w14:paraId="0E77AC2D">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项目技术服务方案、技术力量和实施计划</w:t>
            </w:r>
            <w:r>
              <w:rPr>
                <w:rFonts w:hint="default" w:asciiTheme="minorEastAsia" w:hAnsiTheme="minorEastAsia" w:eastAsiaTheme="minorEastAsia" w:cstheme="minorEastAsia"/>
                <w:color w:val="auto"/>
                <w:kern w:val="0"/>
                <w:sz w:val="24"/>
                <w:szCs w:val="24"/>
                <w:highlight w:val="none"/>
                <w:lang w:val="en-US" w:eastAsia="zh-CN"/>
              </w:rPr>
              <w:t>全面细致，逻辑严谨，完全贴合项目实际需求，得25分</w:t>
            </w:r>
            <w:r>
              <w:rPr>
                <w:rFonts w:hint="eastAsia" w:asciiTheme="minorEastAsia" w:hAnsiTheme="minorEastAsia" w:eastAsiaTheme="minorEastAsia" w:cstheme="minorEastAsia"/>
                <w:color w:val="auto"/>
                <w:kern w:val="0"/>
                <w:sz w:val="24"/>
                <w:szCs w:val="24"/>
                <w:highlight w:val="none"/>
                <w:lang w:val="en-US" w:eastAsia="zh-CN"/>
              </w:rPr>
              <w:t>；</w:t>
            </w:r>
          </w:p>
          <w:p w14:paraId="1C5973A8">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项目技术服务方案、技术力量和实施计划</w:t>
            </w:r>
            <w:r>
              <w:rPr>
                <w:rFonts w:hint="default" w:asciiTheme="minorEastAsia" w:hAnsiTheme="minorEastAsia" w:eastAsiaTheme="minorEastAsia" w:cstheme="minorEastAsia"/>
                <w:color w:val="auto"/>
                <w:kern w:val="0"/>
                <w:sz w:val="24"/>
                <w:szCs w:val="24"/>
                <w:highlight w:val="none"/>
                <w:lang w:val="en-US" w:eastAsia="zh-CN"/>
              </w:rPr>
              <w:t>详细完整，合理可行，基本符合项目需求，得20分</w:t>
            </w:r>
            <w:r>
              <w:rPr>
                <w:rFonts w:hint="eastAsia" w:asciiTheme="minorEastAsia" w:hAnsiTheme="minorEastAsia" w:eastAsiaTheme="minorEastAsia" w:cstheme="minorEastAsia"/>
                <w:color w:val="auto"/>
                <w:kern w:val="0"/>
                <w:sz w:val="24"/>
                <w:szCs w:val="24"/>
                <w:highlight w:val="none"/>
                <w:lang w:val="en-US" w:eastAsia="zh-CN"/>
              </w:rPr>
              <w:t>；</w:t>
            </w:r>
          </w:p>
          <w:p w14:paraId="19FF50C1">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项目技术服务方案、技术力量和实施计划</w:t>
            </w:r>
            <w:r>
              <w:rPr>
                <w:rFonts w:hint="default" w:asciiTheme="minorEastAsia" w:hAnsiTheme="minorEastAsia" w:eastAsiaTheme="minorEastAsia" w:cstheme="minorEastAsia"/>
                <w:color w:val="auto"/>
                <w:kern w:val="0"/>
                <w:sz w:val="24"/>
                <w:szCs w:val="24"/>
                <w:highlight w:val="none"/>
                <w:lang w:val="en-US" w:eastAsia="zh-CN"/>
              </w:rPr>
              <w:t>基本合理，具备可行性，能满足项目常规执行要求，得15分</w:t>
            </w:r>
            <w:r>
              <w:rPr>
                <w:rFonts w:hint="eastAsia" w:asciiTheme="minorEastAsia" w:hAnsiTheme="minorEastAsia" w:eastAsiaTheme="minorEastAsia" w:cstheme="minorEastAsia"/>
                <w:color w:val="auto"/>
                <w:kern w:val="0"/>
                <w:sz w:val="24"/>
                <w:szCs w:val="24"/>
                <w:highlight w:val="none"/>
                <w:lang w:val="en-US" w:eastAsia="zh-CN"/>
              </w:rPr>
              <w:t>；</w:t>
            </w:r>
          </w:p>
          <w:p w14:paraId="438C7474">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项目技术服务方案、技术力量或实施计划</w:t>
            </w:r>
            <w:r>
              <w:rPr>
                <w:rFonts w:hint="default" w:asciiTheme="minorEastAsia" w:hAnsiTheme="minorEastAsia" w:eastAsiaTheme="minorEastAsia" w:cstheme="minorEastAsia"/>
                <w:color w:val="auto"/>
                <w:kern w:val="0"/>
                <w:sz w:val="24"/>
                <w:szCs w:val="24"/>
                <w:highlight w:val="none"/>
                <w:lang w:val="en-US" w:eastAsia="zh-CN"/>
              </w:rPr>
              <w:t>存在明显瑕疵，合理性和可行性一般，得10分；​</w:t>
            </w:r>
          </w:p>
          <w:p w14:paraId="2965220D">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default" w:asciiTheme="minorEastAsia" w:hAnsiTheme="minorEastAsia" w:eastAsiaTheme="minorEastAsia" w:cstheme="minorEastAsia"/>
                <w:color w:val="auto"/>
                <w:kern w:val="0"/>
                <w:sz w:val="24"/>
                <w:szCs w:val="24"/>
                <w:highlight w:val="none"/>
                <w:lang w:val="en-US" w:eastAsia="zh-CN"/>
              </w:rPr>
              <w:t>项目技术服务方案、实施技术力量或实施计划存在重大缺陷，整体不合理或不可行，得5分。</w:t>
            </w:r>
          </w:p>
          <w:p w14:paraId="6FBD209F">
            <w:pPr>
              <w:pageBreakBefore w:val="0"/>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未提供的不得分。</w:t>
            </w:r>
          </w:p>
          <w:p w14:paraId="2F9A2BE7">
            <w:pPr>
              <w:pageBreakBefore w:val="0"/>
              <w:kinsoku/>
              <w:wordWrap/>
              <w:overflowPunct/>
              <w:topLinePunct w:val="0"/>
              <w:autoSpaceDE/>
              <w:autoSpaceDN/>
              <w:bidi w:val="0"/>
              <w:adjustRightInd w:val="0"/>
              <w:snapToGrid w:val="0"/>
              <w:spacing w:beforeAutospacing="0" w:after="0" w:line="360" w:lineRule="auto"/>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同时“技术标准和要求”中，软件服务、硬件部分出现“负偏离”，每有一处扣1分，扣完为止。</w:t>
            </w:r>
          </w:p>
        </w:tc>
      </w:tr>
      <w:tr w14:paraId="28A438BA">
        <w:tblPrEx>
          <w:tblCellMar>
            <w:top w:w="0" w:type="dxa"/>
            <w:left w:w="108" w:type="dxa"/>
            <w:bottom w:w="0" w:type="dxa"/>
            <w:right w:w="108" w:type="dxa"/>
          </w:tblCellMar>
        </w:tblPrEx>
        <w:trPr>
          <w:trHeight w:val="90" w:hRule="atLeast"/>
          <w:jc w:val="center"/>
        </w:trPr>
        <w:tc>
          <w:tcPr>
            <w:tcW w:w="1257" w:type="dxa"/>
            <w:vMerge w:val="continue"/>
            <w:tcBorders>
              <w:left w:val="single" w:color="000000" w:sz="4" w:space="0"/>
              <w:right w:val="single" w:color="000000" w:sz="6" w:space="0"/>
            </w:tcBorders>
            <w:vAlign w:val="center"/>
          </w:tcPr>
          <w:p w14:paraId="31BE72FE">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kern w:val="1"/>
                <w:sz w:val="24"/>
                <w:szCs w:val="24"/>
                <w:highlight w:val="none"/>
              </w:rPr>
            </w:pPr>
          </w:p>
        </w:tc>
        <w:tc>
          <w:tcPr>
            <w:tcW w:w="1527" w:type="dxa"/>
            <w:tcBorders>
              <w:top w:val="single" w:color="000000" w:sz="6" w:space="0"/>
              <w:left w:val="single" w:color="000000" w:sz="4" w:space="0"/>
              <w:bottom w:val="single" w:color="000000" w:sz="6" w:space="0"/>
              <w:right w:val="single" w:color="000000" w:sz="6" w:space="0"/>
            </w:tcBorders>
            <w:vAlign w:val="center"/>
          </w:tcPr>
          <w:p w14:paraId="07550DDA">
            <w:pPr>
              <w:pageBreakBefore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center"/>
              <w:textAlignment w:val="auto"/>
              <w:rPr>
                <w:rFonts w:hint="eastAsia" w:cs="宋体" w:asciiTheme="minorEastAsia" w:hAnsiTheme="minorEastAsia"/>
                <w:color w:val="auto"/>
                <w:kern w:val="0"/>
                <w:sz w:val="24"/>
                <w:highlight w:val="none"/>
                <w:lang w:bidi="ar"/>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工作进度的安排（5分）</w:t>
            </w:r>
          </w:p>
        </w:tc>
        <w:tc>
          <w:tcPr>
            <w:tcW w:w="7056" w:type="dxa"/>
            <w:tcBorders>
              <w:top w:val="single" w:color="000000" w:sz="6" w:space="0"/>
              <w:left w:val="single" w:color="000000" w:sz="6" w:space="0"/>
              <w:bottom w:val="single" w:color="000000" w:sz="6" w:space="0"/>
              <w:right w:val="single" w:color="000000" w:sz="12" w:space="0"/>
            </w:tcBorders>
            <w:vAlign w:val="center"/>
          </w:tcPr>
          <w:p w14:paraId="4E29EBFC">
            <w:pPr>
              <w:pageBreakBefore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根据工作进度安排的具体性、合理性、可行性进行比较打分。</w:t>
            </w:r>
          </w:p>
          <w:p w14:paraId="704F0A9A">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提供的</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工作进度的安排</w:t>
            </w:r>
            <w:r>
              <w:rPr>
                <w:rFonts w:hint="eastAsia" w:asciiTheme="minorEastAsia" w:hAnsiTheme="minorEastAsia" w:eastAsiaTheme="minorEastAsia" w:cstheme="minorEastAsia"/>
                <w:color w:val="auto"/>
                <w:sz w:val="24"/>
                <w:szCs w:val="24"/>
                <w:highlight w:val="none"/>
              </w:rPr>
              <w:t>便于实施、具有针对性、完善程度高得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1BAC73C8">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提供的</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工作进度的安排</w:t>
            </w:r>
            <w:r>
              <w:rPr>
                <w:rFonts w:hint="eastAsia" w:asciiTheme="minorEastAsia" w:hAnsiTheme="minorEastAsia" w:eastAsiaTheme="minorEastAsia" w:cstheme="minorEastAsia"/>
                <w:color w:val="auto"/>
                <w:sz w:val="24"/>
                <w:szCs w:val="24"/>
                <w:highlight w:val="none"/>
              </w:rPr>
              <w:t>合理便于实施、但完善程度一般不够详尽的得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分；</w:t>
            </w:r>
          </w:p>
          <w:p w14:paraId="554DB455">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提供的</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工作进度的安排</w:t>
            </w:r>
            <w:r>
              <w:rPr>
                <w:rFonts w:hint="eastAsia" w:asciiTheme="minorEastAsia" w:hAnsiTheme="minorEastAsia" w:eastAsiaTheme="minorEastAsia" w:cstheme="minorEastAsia"/>
                <w:color w:val="auto"/>
                <w:sz w:val="24"/>
                <w:szCs w:val="24"/>
                <w:highlight w:val="none"/>
              </w:rPr>
              <w:t>合理性一般，不便于实施，完善程度一般不够详尽的得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079F3F36">
            <w:pPr>
              <w:pStyle w:val="18"/>
              <w:pageBreakBefore w:val="0"/>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没有提供上述内容，或提供的不完整有缺项的得0 分</w:t>
            </w:r>
            <w:r>
              <w:rPr>
                <w:rFonts w:hint="eastAsia" w:asciiTheme="minorEastAsia" w:hAnsiTheme="minorEastAsia" w:eastAsiaTheme="minorEastAsia" w:cstheme="minorEastAsia"/>
                <w:color w:val="auto"/>
                <w:sz w:val="24"/>
                <w:szCs w:val="24"/>
                <w:highlight w:val="none"/>
                <w:lang w:eastAsia="zh-CN"/>
              </w:rPr>
              <w:t>。</w:t>
            </w:r>
          </w:p>
        </w:tc>
      </w:tr>
      <w:tr w14:paraId="05691EB7">
        <w:tblPrEx>
          <w:tblCellMar>
            <w:top w:w="0" w:type="dxa"/>
            <w:left w:w="108" w:type="dxa"/>
            <w:bottom w:w="0" w:type="dxa"/>
            <w:right w:w="108" w:type="dxa"/>
          </w:tblCellMar>
        </w:tblPrEx>
        <w:trPr>
          <w:trHeight w:val="1690" w:hRule="atLeast"/>
          <w:jc w:val="center"/>
        </w:trPr>
        <w:tc>
          <w:tcPr>
            <w:tcW w:w="1257" w:type="dxa"/>
            <w:vMerge w:val="continue"/>
            <w:tcBorders>
              <w:left w:val="single" w:color="000000" w:sz="4" w:space="0"/>
              <w:right w:val="single" w:color="000000" w:sz="6" w:space="0"/>
            </w:tcBorders>
            <w:vAlign w:val="center"/>
          </w:tcPr>
          <w:p w14:paraId="143448B8">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kern w:val="1"/>
                <w:sz w:val="24"/>
                <w:szCs w:val="24"/>
                <w:highlight w:val="none"/>
              </w:rPr>
            </w:pPr>
          </w:p>
        </w:tc>
        <w:tc>
          <w:tcPr>
            <w:tcW w:w="1527" w:type="dxa"/>
            <w:tcBorders>
              <w:top w:val="single" w:color="000000" w:sz="6" w:space="0"/>
              <w:left w:val="single" w:color="000000" w:sz="4" w:space="0"/>
              <w:bottom w:val="single" w:color="000000" w:sz="6" w:space="0"/>
              <w:right w:val="single" w:color="000000" w:sz="6" w:space="0"/>
            </w:tcBorders>
            <w:vAlign w:val="center"/>
          </w:tcPr>
          <w:p w14:paraId="448E0925">
            <w:pPr>
              <w:pageBreakBefore w:val="0"/>
              <w:kinsoku/>
              <w:wordWrap/>
              <w:overflowPunct/>
              <w:topLinePunct w:val="0"/>
              <w:autoSpaceDE/>
              <w:autoSpaceDN/>
              <w:bidi w:val="0"/>
              <w:adjustRightInd w:val="0"/>
              <w:snapToGrid w:val="0"/>
              <w:spacing w:after="0" w:line="360" w:lineRule="auto"/>
              <w:jc w:val="center"/>
              <w:textAlignment w:val="auto"/>
              <w:rPr>
                <w:rFonts w:hint="eastAsia" w:cs="宋体" w:asciiTheme="minorEastAsia" w:hAnsiTheme="minorEastAsia"/>
                <w:color w:val="auto"/>
                <w:kern w:val="0"/>
                <w:sz w:val="24"/>
                <w:highlight w:val="none"/>
                <w:lang w:bidi="ar"/>
              </w:rPr>
            </w:pPr>
            <w:r>
              <w:rPr>
                <w:rFonts w:hint="eastAsia" w:asciiTheme="minorEastAsia" w:hAnsiTheme="minorEastAsia" w:eastAsiaTheme="minorEastAsia" w:cstheme="minorEastAsia"/>
                <w:color w:val="auto"/>
                <w:sz w:val="24"/>
                <w:szCs w:val="24"/>
                <w:highlight w:val="none"/>
              </w:rPr>
              <w:t>质量保障措施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7056" w:type="dxa"/>
            <w:tcBorders>
              <w:top w:val="single" w:color="000000" w:sz="6" w:space="0"/>
              <w:left w:val="single" w:color="000000" w:sz="6" w:space="0"/>
              <w:bottom w:val="single" w:color="000000" w:sz="6" w:space="0"/>
              <w:right w:val="single" w:color="000000" w:sz="12" w:space="0"/>
            </w:tcBorders>
            <w:vAlign w:val="center"/>
          </w:tcPr>
          <w:p w14:paraId="63553638">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根据供应商提供的质量保障措施是否科学、合理、可行。</w:t>
            </w:r>
          </w:p>
          <w:p w14:paraId="4CA51765">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提供的质量保证措施便于实施、具有针对性、完善程度高得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13F43E73">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提供的质量保证措施合理便于实施、但完善程度一般不够详尽的得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580BEFA8">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提供的质量保证措施合理性一般，不便于实施，完善程度一般不够详尽的得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5C2F7289">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没有提供上述内容，或提供的不完整有缺项的得0 分</w:t>
            </w:r>
            <w:r>
              <w:rPr>
                <w:rFonts w:hint="eastAsia" w:asciiTheme="minorEastAsia" w:hAnsiTheme="minorEastAsia" w:eastAsiaTheme="minorEastAsia" w:cstheme="minorEastAsia"/>
                <w:color w:val="auto"/>
                <w:sz w:val="24"/>
                <w:szCs w:val="24"/>
                <w:highlight w:val="none"/>
                <w:lang w:eastAsia="zh-CN"/>
              </w:rPr>
              <w:t>。</w:t>
            </w:r>
          </w:p>
        </w:tc>
      </w:tr>
      <w:tr w14:paraId="52DD2829">
        <w:tblPrEx>
          <w:tblCellMar>
            <w:top w:w="0" w:type="dxa"/>
            <w:left w:w="108" w:type="dxa"/>
            <w:bottom w:w="0" w:type="dxa"/>
            <w:right w:w="108" w:type="dxa"/>
          </w:tblCellMar>
        </w:tblPrEx>
        <w:trPr>
          <w:trHeight w:val="1690" w:hRule="atLeast"/>
          <w:jc w:val="center"/>
        </w:trPr>
        <w:tc>
          <w:tcPr>
            <w:tcW w:w="1257" w:type="dxa"/>
            <w:vMerge w:val="continue"/>
            <w:tcBorders>
              <w:left w:val="single" w:color="000000" w:sz="4" w:space="0"/>
              <w:right w:val="single" w:color="000000" w:sz="6" w:space="0"/>
            </w:tcBorders>
            <w:vAlign w:val="center"/>
          </w:tcPr>
          <w:p w14:paraId="52ED3FE3">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kern w:val="1"/>
                <w:sz w:val="24"/>
                <w:szCs w:val="24"/>
                <w:highlight w:val="none"/>
              </w:rPr>
            </w:pPr>
          </w:p>
        </w:tc>
        <w:tc>
          <w:tcPr>
            <w:tcW w:w="1527" w:type="dxa"/>
            <w:tcBorders>
              <w:top w:val="single" w:color="000000" w:sz="6" w:space="0"/>
              <w:left w:val="single" w:color="000000" w:sz="4" w:space="0"/>
              <w:bottom w:val="single" w:color="000000" w:sz="6" w:space="0"/>
              <w:right w:val="single" w:color="000000" w:sz="6" w:space="0"/>
            </w:tcBorders>
            <w:vAlign w:val="center"/>
          </w:tcPr>
          <w:p w14:paraId="6DCE9A39">
            <w:pPr>
              <w:pageBreakBefore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center"/>
              <w:textAlignment w:val="auto"/>
              <w:rPr>
                <w:rFonts w:hint="eastAsia" w:cs="宋体" w:asciiTheme="minorEastAsia" w:hAnsiTheme="minorEastAsia"/>
                <w:color w:val="auto"/>
                <w:kern w:val="0"/>
                <w:sz w:val="24"/>
                <w:highlight w:val="none"/>
                <w:lang w:bidi="ar"/>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人员及培训方案（5分）</w:t>
            </w:r>
          </w:p>
        </w:tc>
        <w:tc>
          <w:tcPr>
            <w:tcW w:w="7056" w:type="dxa"/>
            <w:tcBorders>
              <w:top w:val="single" w:color="000000" w:sz="6" w:space="0"/>
              <w:left w:val="single" w:color="000000" w:sz="6" w:space="0"/>
              <w:bottom w:val="single" w:color="000000" w:sz="6" w:space="0"/>
              <w:right w:val="single" w:color="000000" w:sz="12" w:space="0"/>
            </w:tcBorders>
            <w:vAlign w:val="center"/>
          </w:tcPr>
          <w:p w14:paraId="2719BAD7">
            <w:pPr>
              <w:pageBreakBefore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能够提供详细、科学的培训方案，人员安排合理，管理机构健全，培训方案得当。</w:t>
            </w:r>
          </w:p>
          <w:p w14:paraId="454ABA38">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提供的</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人员及培训方案</w:t>
            </w:r>
            <w:r>
              <w:rPr>
                <w:rFonts w:hint="eastAsia" w:asciiTheme="minorEastAsia" w:hAnsiTheme="minorEastAsia" w:eastAsiaTheme="minorEastAsia" w:cstheme="minorEastAsia"/>
                <w:color w:val="auto"/>
                <w:sz w:val="24"/>
                <w:szCs w:val="24"/>
                <w:highlight w:val="none"/>
              </w:rPr>
              <w:t>便于实施、具有针对性、完善程度高得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2484D380">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提供的</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人员及培训方案</w:t>
            </w:r>
            <w:r>
              <w:rPr>
                <w:rFonts w:hint="eastAsia" w:asciiTheme="minorEastAsia" w:hAnsiTheme="minorEastAsia" w:eastAsiaTheme="minorEastAsia" w:cstheme="minorEastAsia"/>
                <w:color w:val="auto"/>
                <w:sz w:val="24"/>
                <w:szCs w:val="24"/>
                <w:highlight w:val="none"/>
              </w:rPr>
              <w:t>合理便于实施、但完善程度一般不够详尽的得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分；</w:t>
            </w:r>
          </w:p>
          <w:p w14:paraId="73959C91">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提供的</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人员及培训方案</w:t>
            </w:r>
            <w:r>
              <w:rPr>
                <w:rFonts w:hint="eastAsia" w:asciiTheme="minorEastAsia" w:hAnsiTheme="minorEastAsia" w:eastAsiaTheme="minorEastAsia" w:cstheme="minorEastAsia"/>
                <w:color w:val="auto"/>
                <w:sz w:val="24"/>
                <w:szCs w:val="24"/>
                <w:highlight w:val="none"/>
              </w:rPr>
              <w:t>合理性一般，不便于实施，完善程度一般不够详尽的得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526B269E">
            <w:pPr>
              <w:pStyle w:val="18"/>
              <w:pageBreakBefore w:val="0"/>
              <w:kinsoku/>
              <w:wordWrap/>
              <w:overflowPunct/>
              <w:topLinePunct w:val="0"/>
              <w:autoSpaceDE/>
              <w:autoSpaceDN/>
              <w:bidi w:val="0"/>
              <w:adjustRightInd w:val="0"/>
              <w:snapToGrid w:val="0"/>
              <w:spacing w:after="0" w:line="360" w:lineRule="auto"/>
              <w:ind w:left="0" w:leftChars="0" w:firstLine="0" w:firstLineChars="0"/>
              <w:textAlignment w:val="auto"/>
              <w:rPr>
                <w:rFonts w:hint="eastAsia" w:cs="宋体" w:asciiTheme="minorEastAsia" w:hAnsiTheme="minorEastAsia"/>
                <w:color w:val="auto"/>
                <w:kern w:val="0"/>
                <w:sz w:val="24"/>
                <w:highlight w:val="none"/>
                <w:lang w:bidi="ar"/>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没有提供上述内容，或提供的不完整有缺项的得0 分</w:t>
            </w:r>
            <w:r>
              <w:rPr>
                <w:rFonts w:hint="eastAsia" w:asciiTheme="minorEastAsia" w:hAnsiTheme="minorEastAsia" w:eastAsiaTheme="minorEastAsia" w:cstheme="minorEastAsia"/>
                <w:color w:val="auto"/>
                <w:sz w:val="24"/>
                <w:szCs w:val="24"/>
                <w:highlight w:val="none"/>
                <w:lang w:eastAsia="zh-CN"/>
              </w:rPr>
              <w:t>。</w:t>
            </w:r>
          </w:p>
        </w:tc>
      </w:tr>
      <w:tr w14:paraId="0A96936F">
        <w:tblPrEx>
          <w:tblCellMar>
            <w:top w:w="0" w:type="dxa"/>
            <w:left w:w="108" w:type="dxa"/>
            <w:bottom w:w="0" w:type="dxa"/>
            <w:right w:w="108" w:type="dxa"/>
          </w:tblCellMar>
        </w:tblPrEx>
        <w:trPr>
          <w:trHeight w:val="269" w:hRule="atLeast"/>
          <w:jc w:val="center"/>
        </w:trPr>
        <w:tc>
          <w:tcPr>
            <w:tcW w:w="1257" w:type="dxa"/>
            <w:vMerge w:val="continue"/>
            <w:tcBorders>
              <w:left w:val="single" w:color="000000" w:sz="4" w:space="0"/>
              <w:right w:val="single" w:color="000000" w:sz="6" w:space="0"/>
            </w:tcBorders>
            <w:vAlign w:val="center"/>
          </w:tcPr>
          <w:p w14:paraId="4D6DAACF">
            <w:pPr>
              <w:pageBreakBefore w:val="0"/>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kern w:val="1"/>
                <w:sz w:val="24"/>
                <w:szCs w:val="24"/>
                <w:highlight w:val="none"/>
              </w:rPr>
            </w:pPr>
          </w:p>
        </w:tc>
        <w:tc>
          <w:tcPr>
            <w:tcW w:w="1527" w:type="dxa"/>
            <w:tcBorders>
              <w:top w:val="single" w:color="000000" w:sz="6" w:space="0"/>
              <w:left w:val="single" w:color="000000" w:sz="4" w:space="0"/>
              <w:bottom w:val="single" w:color="000000" w:sz="6" w:space="0"/>
              <w:right w:val="single" w:color="000000" w:sz="6" w:space="0"/>
            </w:tcBorders>
            <w:vAlign w:val="center"/>
          </w:tcPr>
          <w:p w14:paraId="2EE0D754">
            <w:pPr>
              <w:pageBreakBefore w:val="0"/>
              <w:kinsoku/>
              <w:wordWrap/>
              <w:overflowPunct/>
              <w:topLinePunct w:val="0"/>
              <w:autoSpaceDE/>
              <w:autoSpaceDN/>
              <w:bidi w:val="0"/>
              <w:adjustRightInd w:val="0"/>
              <w:snapToGrid w:val="0"/>
              <w:spacing w:after="0" w:line="360" w:lineRule="auto"/>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应急处置方案（5分）</w:t>
            </w:r>
          </w:p>
        </w:tc>
        <w:tc>
          <w:tcPr>
            <w:tcW w:w="7056" w:type="dxa"/>
            <w:tcBorders>
              <w:top w:val="single" w:color="000000" w:sz="6" w:space="0"/>
              <w:left w:val="single" w:color="000000" w:sz="6" w:space="0"/>
              <w:bottom w:val="single" w:color="000000" w:sz="6" w:space="0"/>
              <w:right w:val="single" w:color="000000" w:sz="12" w:space="0"/>
            </w:tcBorders>
            <w:vAlign w:val="center"/>
          </w:tcPr>
          <w:p w14:paraId="1DE2657B">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供应商能够提供应急处置方案是否</w:t>
            </w:r>
            <w:r>
              <w:rPr>
                <w:rFonts w:hint="eastAsia" w:asciiTheme="minorEastAsia" w:hAnsiTheme="minorEastAsia" w:eastAsiaTheme="minorEastAsia" w:cstheme="minorEastAsia"/>
                <w:color w:val="auto"/>
                <w:sz w:val="24"/>
                <w:szCs w:val="24"/>
                <w:highlight w:val="none"/>
              </w:rPr>
              <w:t>响应迅速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处置科学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防控有效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备援到位。</w:t>
            </w:r>
          </w:p>
          <w:p w14:paraId="29D9D59D">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应急处置方案</w:t>
            </w:r>
            <w:r>
              <w:rPr>
                <w:rFonts w:hint="default" w:asciiTheme="minorEastAsia" w:hAnsiTheme="minorEastAsia" w:eastAsiaTheme="minorEastAsia" w:cstheme="minorEastAsia"/>
                <w:color w:val="auto"/>
                <w:sz w:val="24"/>
                <w:szCs w:val="24"/>
                <w:highlight w:val="none"/>
              </w:rPr>
              <w:t>响应极速，处置科学精准，防控全面有效，备援充足到位，得</w:t>
            </w:r>
            <w:r>
              <w:rPr>
                <w:rFonts w:hint="eastAsia" w:asciiTheme="minorEastAsia" w:hAnsiTheme="minorEastAsia" w:eastAsiaTheme="minorEastAsia" w:cstheme="minorEastAsia"/>
                <w:color w:val="auto"/>
                <w:sz w:val="24"/>
                <w:szCs w:val="24"/>
                <w:highlight w:val="none"/>
                <w:lang w:val="en-US" w:eastAsia="zh-CN"/>
              </w:rPr>
              <w:t>5</w:t>
            </w:r>
            <w:r>
              <w:rPr>
                <w:rFonts w:hint="default" w:asciiTheme="minorEastAsia" w:hAnsiTheme="minorEastAsia" w:eastAsiaTheme="minorEastAsia" w:cstheme="minorEastAsia"/>
                <w:color w:val="auto"/>
                <w:sz w:val="24"/>
                <w:szCs w:val="24"/>
                <w:highlight w:val="none"/>
              </w:rPr>
              <w:t>分；​</w:t>
            </w:r>
          </w:p>
          <w:p w14:paraId="1EE48E04">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default" w:asciiTheme="minorEastAsia" w:hAnsiTheme="minorEastAsia" w:eastAsiaTheme="minorEastAsia" w:cstheme="minorEastAsia"/>
                <w:color w:val="auto"/>
                <w:sz w:val="24"/>
                <w:szCs w:val="24"/>
                <w:highlight w:val="none"/>
              </w:rPr>
              <w:t>应急处置方案响应及时，处置科学合理，防控效果良好，备援基本到位，得</w:t>
            </w:r>
            <w:r>
              <w:rPr>
                <w:rFonts w:hint="eastAsia" w:asciiTheme="minorEastAsia" w:hAnsiTheme="minorEastAsia" w:eastAsiaTheme="minorEastAsia" w:cstheme="minorEastAsia"/>
                <w:color w:val="auto"/>
                <w:sz w:val="24"/>
                <w:szCs w:val="24"/>
                <w:highlight w:val="none"/>
                <w:lang w:val="en-US" w:eastAsia="zh-CN"/>
              </w:rPr>
              <w:t>3</w:t>
            </w:r>
            <w:r>
              <w:rPr>
                <w:rFonts w:hint="default" w:asciiTheme="minorEastAsia" w:hAnsiTheme="minorEastAsia" w:eastAsiaTheme="minorEastAsia" w:cstheme="minorEastAsia"/>
                <w:color w:val="auto"/>
                <w:sz w:val="24"/>
                <w:szCs w:val="24"/>
                <w:highlight w:val="none"/>
              </w:rPr>
              <w:t>分；​</w:t>
            </w:r>
          </w:p>
          <w:p w14:paraId="3730064D">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default" w:asciiTheme="minorEastAsia" w:hAnsiTheme="minorEastAsia" w:eastAsiaTheme="minorEastAsia" w:cstheme="minorEastAsia"/>
                <w:color w:val="auto"/>
                <w:sz w:val="24"/>
                <w:szCs w:val="24"/>
                <w:highlight w:val="none"/>
              </w:rPr>
              <w:t>应急处置方案响应滞后，处置存在疏漏，防控效果一般，备援不够充分，得</w:t>
            </w:r>
            <w:r>
              <w:rPr>
                <w:rFonts w:hint="eastAsia" w:asciiTheme="minorEastAsia" w:hAnsiTheme="minorEastAsia" w:eastAsiaTheme="minorEastAsia" w:cstheme="minorEastAsia"/>
                <w:color w:val="auto"/>
                <w:sz w:val="24"/>
                <w:szCs w:val="24"/>
                <w:highlight w:val="none"/>
                <w:lang w:val="en-US" w:eastAsia="zh-CN"/>
              </w:rPr>
              <w:t>1</w:t>
            </w:r>
            <w:r>
              <w:rPr>
                <w:rFonts w:hint="default" w:asciiTheme="minorEastAsia" w:hAnsiTheme="minorEastAsia" w:eastAsiaTheme="minorEastAsia" w:cstheme="minorEastAsia"/>
                <w:color w:val="auto"/>
                <w:sz w:val="24"/>
                <w:szCs w:val="24"/>
                <w:highlight w:val="none"/>
              </w:rPr>
              <w:t>分。</w:t>
            </w:r>
          </w:p>
          <w:p w14:paraId="121B413C">
            <w:pPr>
              <w:pageBreakBefore w:val="0"/>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未提供的不得分。</w:t>
            </w:r>
          </w:p>
        </w:tc>
      </w:tr>
      <w:tr w14:paraId="68A7EFE0">
        <w:tblPrEx>
          <w:tblCellMar>
            <w:top w:w="0" w:type="dxa"/>
            <w:left w:w="108" w:type="dxa"/>
            <w:bottom w:w="0" w:type="dxa"/>
            <w:right w:w="108" w:type="dxa"/>
          </w:tblCellMar>
        </w:tblPrEx>
        <w:trPr>
          <w:trHeight w:val="90" w:hRule="atLeast"/>
          <w:jc w:val="center"/>
        </w:trPr>
        <w:tc>
          <w:tcPr>
            <w:tcW w:w="1257" w:type="dxa"/>
            <w:vMerge w:val="restart"/>
            <w:tcBorders>
              <w:top w:val="single" w:color="000000" w:sz="6" w:space="0"/>
              <w:left w:val="single" w:color="000000" w:sz="4" w:space="0"/>
              <w:right w:val="single" w:color="000000" w:sz="6" w:space="0"/>
            </w:tcBorders>
            <w:vAlign w:val="center"/>
          </w:tcPr>
          <w:p w14:paraId="482FE7DA">
            <w:pPr>
              <w:pageBreakBefore w:val="0"/>
              <w:numPr>
                <w:ilvl w:val="0"/>
                <w:numId w:val="0"/>
              </w:numPr>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综合部分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w:t>
            </w:r>
          </w:p>
        </w:tc>
        <w:tc>
          <w:tcPr>
            <w:tcW w:w="1527" w:type="dxa"/>
            <w:tcBorders>
              <w:top w:val="single" w:color="000000" w:sz="6" w:space="0"/>
              <w:left w:val="single" w:color="000000" w:sz="4" w:space="0"/>
              <w:bottom w:val="single" w:color="000000" w:sz="6" w:space="0"/>
              <w:right w:val="single" w:color="000000" w:sz="6" w:space="0"/>
            </w:tcBorders>
            <w:vAlign w:val="center"/>
          </w:tcPr>
          <w:p w14:paraId="2AF06A5E">
            <w:pPr>
              <w:pageBreakBefore w:val="0"/>
              <w:kinsoku/>
              <w:wordWrap/>
              <w:overflowPunct/>
              <w:topLinePunct w:val="0"/>
              <w:autoSpaceDE/>
              <w:autoSpaceDN/>
              <w:bidi w:val="0"/>
              <w:adjustRightInd w:val="0"/>
              <w:snapToGrid w:val="0"/>
              <w:spacing w:beforeAutospacing="0" w:after="0" w:afterAutospacing="0" w:line="360" w:lineRule="auto"/>
              <w:ind w:left="2" w:leftChars="0" w:right="0" w:hanging="2" w:hangingChars="1"/>
              <w:jc w:val="center"/>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同类项目业绩(5分）</w:t>
            </w:r>
          </w:p>
        </w:tc>
        <w:tc>
          <w:tcPr>
            <w:tcW w:w="7056" w:type="dxa"/>
            <w:tcBorders>
              <w:top w:val="single" w:color="000000" w:sz="6" w:space="0"/>
              <w:left w:val="single" w:color="000000" w:sz="6" w:space="0"/>
              <w:bottom w:val="single" w:color="000000" w:sz="6" w:space="0"/>
              <w:right w:val="single" w:color="000000" w:sz="12" w:space="0"/>
            </w:tcBorders>
            <w:vAlign w:val="center"/>
          </w:tcPr>
          <w:p w14:paraId="169FAF91">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供应商自2022年1月1日以来（以合同签订时间为准）承担过水利矩阵建设项目，得1分，最多的5分。注：附中标（成交）通知书和合同协议书的原件扫描件。</w:t>
            </w:r>
          </w:p>
        </w:tc>
      </w:tr>
      <w:tr w14:paraId="2822D2C0">
        <w:tblPrEx>
          <w:tblCellMar>
            <w:top w:w="0" w:type="dxa"/>
            <w:left w:w="108" w:type="dxa"/>
            <w:bottom w:w="0" w:type="dxa"/>
            <w:right w:w="108" w:type="dxa"/>
          </w:tblCellMar>
        </w:tblPrEx>
        <w:trPr>
          <w:trHeight w:val="90" w:hRule="atLeast"/>
          <w:jc w:val="center"/>
        </w:trPr>
        <w:tc>
          <w:tcPr>
            <w:tcW w:w="1257" w:type="dxa"/>
            <w:vMerge w:val="continue"/>
            <w:tcBorders>
              <w:left w:val="single" w:color="000000" w:sz="4" w:space="0"/>
              <w:right w:val="single" w:color="000000" w:sz="6" w:space="0"/>
            </w:tcBorders>
            <w:vAlign w:val="center"/>
          </w:tcPr>
          <w:p w14:paraId="48B29F8D">
            <w:pPr>
              <w:pageBreakBefore w:val="0"/>
              <w:numPr>
                <w:ilvl w:val="0"/>
                <w:numId w:val="0"/>
              </w:numPr>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527" w:type="dxa"/>
            <w:tcBorders>
              <w:top w:val="single" w:color="000000" w:sz="6" w:space="0"/>
              <w:left w:val="single" w:color="000000" w:sz="4" w:space="0"/>
              <w:bottom w:val="single" w:color="000000" w:sz="6" w:space="0"/>
              <w:right w:val="single" w:color="000000" w:sz="6" w:space="0"/>
            </w:tcBorders>
            <w:vAlign w:val="center"/>
          </w:tcPr>
          <w:p w14:paraId="7F5F1898">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center"/>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企业实力(5分）</w:t>
            </w:r>
          </w:p>
        </w:tc>
        <w:tc>
          <w:tcPr>
            <w:tcW w:w="7056" w:type="dxa"/>
            <w:tcBorders>
              <w:top w:val="single" w:color="000000" w:sz="6" w:space="0"/>
              <w:left w:val="single" w:color="000000" w:sz="6" w:space="0"/>
              <w:bottom w:val="single" w:color="000000" w:sz="6" w:space="0"/>
              <w:right w:val="single" w:color="000000" w:sz="12" w:space="0"/>
            </w:tcBorders>
            <w:vAlign w:val="center"/>
          </w:tcPr>
          <w:p w14:paraId="4AB91B7C">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1、供应商具有省部级及以上奖项得2分，市厅级得1分，满分2分，不提供不得分。</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br w:type="textWrapping"/>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注：以响应文件中提供的相关有效证书为准，否则不得分。</w:t>
            </w:r>
          </w:p>
          <w:p w14:paraId="21030005">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2、供应商具有“矩阵”相关的软件著作权证书扫描件，每提供一个得1分，满分3分，不提供不得分。</w:t>
            </w:r>
          </w:p>
          <w:p w14:paraId="5F6D1546">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注：以响应文件中提供的相关有效证书为准，否则不得分。</w:t>
            </w:r>
          </w:p>
        </w:tc>
      </w:tr>
      <w:tr w14:paraId="4A1C24F2">
        <w:tblPrEx>
          <w:tblCellMar>
            <w:top w:w="0" w:type="dxa"/>
            <w:left w:w="108" w:type="dxa"/>
            <w:bottom w:w="0" w:type="dxa"/>
            <w:right w:w="108" w:type="dxa"/>
          </w:tblCellMar>
        </w:tblPrEx>
        <w:trPr>
          <w:trHeight w:val="90" w:hRule="atLeast"/>
          <w:jc w:val="center"/>
        </w:trPr>
        <w:tc>
          <w:tcPr>
            <w:tcW w:w="1257" w:type="dxa"/>
            <w:vMerge w:val="continue"/>
            <w:tcBorders>
              <w:left w:val="single" w:color="000000" w:sz="4" w:space="0"/>
              <w:right w:val="single" w:color="000000" w:sz="6" w:space="0"/>
            </w:tcBorders>
            <w:vAlign w:val="center"/>
          </w:tcPr>
          <w:p w14:paraId="1491D8BB">
            <w:pPr>
              <w:pageBreakBefore w:val="0"/>
              <w:numPr>
                <w:ilvl w:val="0"/>
                <w:numId w:val="0"/>
              </w:numPr>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527" w:type="dxa"/>
            <w:tcBorders>
              <w:top w:val="single" w:color="000000" w:sz="6" w:space="0"/>
              <w:left w:val="single" w:color="000000" w:sz="4" w:space="0"/>
              <w:bottom w:val="single" w:color="000000" w:sz="6" w:space="0"/>
              <w:right w:val="single" w:color="000000" w:sz="6" w:space="0"/>
            </w:tcBorders>
            <w:vAlign w:val="center"/>
          </w:tcPr>
          <w:p w14:paraId="5A2339CC">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default"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项目管理机构设置(6分）</w:t>
            </w:r>
          </w:p>
        </w:tc>
        <w:tc>
          <w:tcPr>
            <w:tcW w:w="7056" w:type="dxa"/>
            <w:tcBorders>
              <w:top w:val="single" w:color="000000" w:sz="6" w:space="0"/>
              <w:left w:val="single" w:color="000000" w:sz="6" w:space="0"/>
              <w:bottom w:val="single" w:color="000000" w:sz="6" w:space="0"/>
              <w:right w:val="single" w:color="000000" w:sz="12" w:space="0"/>
            </w:tcBorders>
            <w:vAlign w:val="center"/>
          </w:tcPr>
          <w:p w14:paraId="35A53392">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项目团队成员（除项目负责人、技术负责人外）具有水利类专业或电子信息工程专业高级技术职称的，每提供1个得1分，本项最多得6分。（需提供资格证书或职称证书等相关证明材料及响应人与其劳动关系证明材料。）</w:t>
            </w:r>
          </w:p>
        </w:tc>
      </w:tr>
      <w:tr w14:paraId="193A2DB3">
        <w:tblPrEx>
          <w:tblCellMar>
            <w:top w:w="0" w:type="dxa"/>
            <w:left w:w="108" w:type="dxa"/>
            <w:bottom w:w="0" w:type="dxa"/>
            <w:right w:w="108" w:type="dxa"/>
          </w:tblCellMar>
        </w:tblPrEx>
        <w:trPr>
          <w:trHeight w:val="90" w:hRule="atLeast"/>
          <w:jc w:val="center"/>
        </w:trPr>
        <w:tc>
          <w:tcPr>
            <w:tcW w:w="1257" w:type="dxa"/>
            <w:vMerge w:val="continue"/>
            <w:tcBorders>
              <w:left w:val="single" w:color="000000" w:sz="4" w:space="0"/>
              <w:right w:val="single" w:color="000000" w:sz="6" w:space="0"/>
            </w:tcBorders>
            <w:vAlign w:val="center"/>
          </w:tcPr>
          <w:p w14:paraId="6505BE6C">
            <w:pPr>
              <w:pageBreakBefore w:val="0"/>
              <w:numPr>
                <w:ilvl w:val="0"/>
                <w:numId w:val="0"/>
              </w:numPr>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527" w:type="dxa"/>
            <w:tcBorders>
              <w:top w:val="single" w:color="000000" w:sz="6" w:space="0"/>
              <w:left w:val="single" w:color="000000" w:sz="4" w:space="0"/>
              <w:bottom w:val="single" w:color="000000" w:sz="6" w:space="0"/>
              <w:right w:val="single" w:color="000000" w:sz="6" w:space="0"/>
            </w:tcBorders>
            <w:vAlign w:val="center"/>
          </w:tcPr>
          <w:p w14:paraId="6BB1ED9A">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center"/>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项目负责人和技术负责人资历（4分）</w:t>
            </w:r>
          </w:p>
        </w:tc>
        <w:tc>
          <w:tcPr>
            <w:tcW w:w="7056" w:type="dxa"/>
            <w:tcBorders>
              <w:top w:val="single" w:color="000000" w:sz="6" w:space="0"/>
              <w:left w:val="single" w:color="000000" w:sz="6" w:space="0"/>
              <w:bottom w:val="single" w:color="000000" w:sz="6" w:space="0"/>
              <w:right w:val="single" w:color="000000" w:sz="12" w:space="0"/>
            </w:tcBorders>
            <w:vAlign w:val="center"/>
          </w:tcPr>
          <w:p w14:paraId="3701F36A">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项目负责人：具有水利类专业或电子信息工程专业副高级及以上高级工程师职称的得2分，否则不得分。</w:t>
            </w:r>
          </w:p>
          <w:p w14:paraId="61D3E122">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技术负责人：具有水利类专业或电子信息工程专业副高级及以上高级工程师职称的得2分，否则不得分。</w:t>
            </w:r>
          </w:p>
        </w:tc>
      </w:tr>
      <w:tr w14:paraId="6E432483">
        <w:tblPrEx>
          <w:tblCellMar>
            <w:top w:w="0" w:type="dxa"/>
            <w:left w:w="108" w:type="dxa"/>
            <w:bottom w:w="0" w:type="dxa"/>
            <w:right w:w="108" w:type="dxa"/>
          </w:tblCellMar>
        </w:tblPrEx>
        <w:trPr>
          <w:trHeight w:val="90" w:hRule="atLeast"/>
          <w:jc w:val="center"/>
        </w:trPr>
        <w:tc>
          <w:tcPr>
            <w:tcW w:w="1257" w:type="dxa"/>
            <w:vMerge w:val="continue"/>
            <w:tcBorders>
              <w:left w:val="single" w:color="000000" w:sz="4" w:space="0"/>
              <w:right w:val="single" w:color="000000" w:sz="6" w:space="0"/>
            </w:tcBorders>
            <w:vAlign w:val="center"/>
          </w:tcPr>
          <w:p w14:paraId="4AC803B2">
            <w:pPr>
              <w:pageBreakBefore w:val="0"/>
              <w:numPr>
                <w:ilvl w:val="0"/>
                <w:numId w:val="0"/>
              </w:numPr>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527" w:type="dxa"/>
            <w:tcBorders>
              <w:top w:val="single" w:color="000000" w:sz="6" w:space="0"/>
              <w:left w:val="single" w:color="000000" w:sz="4" w:space="0"/>
              <w:bottom w:val="single" w:color="000000" w:sz="6" w:space="0"/>
              <w:right w:val="single" w:color="000000" w:sz="6" w:space="0"/>
            </w:tcBorders>
            <w:vAlign w:val="center"/>
          </w:tcPr>
          <w:p w14:paraId="05503985">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center"/>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售后服务</w:t>
            </w:r>
          </w:p>
          <w:p w14:paraId="5B52291F">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center"/>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（10分）</w:t>
            </w:r>
          </w:p>
        </w:tc>
        <w:tc>
          <w:tcPr>
            <w:tcW w:w="7056" w:type="dxa"/>
            <w:tcBorders>
              <w:top w:val="single" w:color="000000" w:sz="6" w:space="0"/>
              <w:left w:val="single" w:color="000000" w:sz="6" w:space="0"/>
              <w:bottom w:val="single" w:color="000000" w:sz="6" w:space="0"/>
              <w:right w:val="single" w:color="000000" w:sz="12" w:space="0"/>
            </w:tcBorders>
            <w:vAlign w:val="center"/>
          </w:tcPr>
          <w:p w14:paraId="712310BC">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售后服务方案及承诺：从</w:t>
            </w:r>
            <w:r>
              <w:rPr>
                <w:rFonts w:hint="default" w:asciiTheme="minorEastAsia" w:hAnsiTheme="minorEastAsia" w:eastAsiaTheme="minorEastAsia" w:cstheme="minorEastAsia"/>
                <w:b w:val="0"/>
                <w:bCs w:val="0"/>
                <w:snapToGrid w:val="0"/>
                <w:color w:val="auto"/>
                <w:kern w:val="2"/>
                <w:sz w:val="24"/>
                <w:szCs w:val="24"/>
                <w:highlight w:val="none"/>
                <w:lang w:val="en-US" w:eastAsia="zh-CN"/>
              </w:rPr>
              <w:t>从响应时效、服务范围、保障措施、承诺明确性、解决能力</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及其它个性化方案、承诺等；</w:t>
            </w:r>
          </w:p>
          <w:p w14:paraId="5652BA46">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售后服务方案</w:t>
            </w:r>
            <w:r>
              <w:rPr>
                <w:rFonts w:hint="default" w:asciiTheme="minorEastAsia" w:hAnsiTheme="minorEastAsia" w:eastAsiaTheme="minorEastAsia" w:cstheme="minorEastAsia"/>
                <w:b w:val="0"/>
                <w:bCs w:val="0"/>
                <w:snapToGrid w:val="0"/>
                <w:color w:val="auto"/>
                <w:kern w:val="2"/>
                <w:sz w:val="24"/>
                <w:szCs w:val="24"/>
                <w:highlight w:val="none"/>
                <w:lang w:val="en-US" w:eastAsia="zh-CN"/>
              </w:rPr>
              <w:t>详尽周全，承诺清晰明确，响应即时高效，保障全面可靠，得</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10</w:t>
            </w:r>
            <w:r>
              <w:rPr>
                <w:rFonts w:hint="default" w:asciiTheme="minorEastAsia" w:hAnsiTheme="minorEastAsia" w:eastAsiaTheme="minorEastAsia" w:cstheme="minorEastAsia"/>
                <w:b w:val="0"/>
                <w:bCs w:val="0"/>
                <w:snapToGrid w:val="0"/>
                <w:color w:val="auto"/>
                <w:kern w:val="2"/>
                <w:sz w:val="24"/>
                <w:szCs w:val="24"/>
                <w:highlight w:val="none"/>
                <w:lang w:val="en-US" w:eastAsia="zh-CN"/>
              </w:rPr>
              <w:t>分；​</w:t>
            </w:r>
          </w:p>
          <w:p w14:paraId="29DC197B">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default" w:asciiTheme="minorEastAsia" w:hAnsiTheme="minorEastAsia" w:eastAsiaTheme="minorEastAsia" w:cstheme="minorEastAsia"/>
                <w:b w:val="0"/>
                <w:bCs w:val="0"/>
                <w:snapToGrid w:val="0"/>
                <w:color w:val="auto"/>
                <w:kern w:val="2"/>
                <w:sz w:val="24"/>
                <w:szCs w:val="24"/>
                <w:highlight w:val="none"/>
                <w:lang w:val="en-US" w:eastAsia="zh-CN"/>
              </w:rPr>
              <w:t>售后服务方案完整合理，承诺具体可行，响应及时迅速，保障基本到位，得</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7</w:t>
            </w:r>
            <w:r>
              <w:rPr>
                <w:rFonts w:hint="default" w:asciiTheme="minorEastAsia" w:hAnsiTheme="minorEastAsia" w:eastAsiaTheme="minorEastAsia" w:cstheme="minorEastAsia"/>
                <w:b w:val="0"/>
                <w:bCs w:val="0"/>
                <w:snapToGrid w:val="0"/>
                <w:color w:val="auto"/>
                <w:kern w:val="2"/>
                <w:sz w:val="24"/>
                <w:szCs w:val="24"/>
                <w:highlight w:val="none"/>
                <w:lang w:val="en-US" w:eastAsia="zh-CN"/>
              </w:rPr>
              <w:t>分；​</w:t>
            </w:r>
          </w:p>
          <w:p w14:paraId="111C82EF">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default" w:asciiTheme="minorEastAsia" w:hAnsiTheme="minorEastAsia" w:eastAsiaTheme="minorEastAsia" w:cstheme="minorEastAsia"/>
                <w:b w:val="0"/>
                <w:bCs w:val="0"/>
                <w:snapToGrid w:val="0"/>
                <w:color w:val="auto"/>
                <w:kern w:val="2"/>
                <w:sz w:val="24"/>
                <w:szCs w:val="24"/>
                <w:highlight w:val="none"/>
                <w:lang w:val="en-US" w:eastAsia="zh-CN"/>
              </w:rPr>
              <w:t>售后服务方案基本完善，承诺无明显漏洞，响应符合标准，保障能满足需求，得</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4</w:t>
            </w:r>
            <w:r>
              <w:rPr>
                <w:rFonts w:hint="default" w:asciiTheme="minorEastAsia" w:hAnsiTheme="minorEastAsia" w:eastAsiaTheme="minorEastAsia" w:cstheme="minorEastAsia"/>
                <w:b w:val="0"/>
                <w:bCs w:val="0"/>
                <w:snapToGrid w:val="0"/>
                <w:color w:val="auto"/>
                <w:kern w:val="2"/>
                <w:sz w:val="24"/>
                <w:szCs w:val="24"/>
                <w:highlight w:val="none"/>
                <w:lang w:val="en-US" w:eastAsia="zh-CN"/>
              </w:rPr>
              <w:t>分；​</w:t>
            </w:r>
          </w:p>
          <w:p w14:paraId="2D6EDA76">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default" w:asciiTheme="minorEastAsia" w:hAnsiTheme="minorEastAsia" w:eastAsiaTheme="minorEastAsia" w:cstheme="minorEastAsia"/>
                <w:b w:val="0"/>
                <w:bCs w:val="0"/>
                <w:snapToGrid w:val="0"/>
                <w:color w:val="auto"/>
                <w:kern w:val="2"/>
                <w:sz w:val="24"/>
                <w:szCs w:val="24"/>
                <w:highlight w:val="none"/>
                <w:lang w:val="en-US" w:eastAsia="zh-CN"/>
              </w:rPr>
              <w:t>售后服务方案存在疏漏，承诺不够明确，响应时效一般，保障存在不足，得</w:t>
            </w:r>
            <w:r>
              <w:rPr>
                <w:rFonts w:hint="eastAsia" w:asciiTheme="minorEastAsia" w:hAnsiTheme="minorEastAsia" w:eastAsiaTheme="minorEastAsia" w:cstheme="minorEastAsia"/>
                <w:b w:val="0"/>
                <w:bCs w:val="0"/>
                <w:snapToGrid w:val="0"/>
                <w:color w:val="auto"/>
                <w:kern w:val="2"/>
                <w:sz w:val="24"/>
                <w:szCs w:val="24"/>
                <w:highlight w:val="none"/>
                <w:lang w:val="en-US" w:eastAsia="zh-CN"/>
              </w:rPr>
              <w:t>1</w:t>
            </w:r>
            <w:r>
              <w:rPr>
                <w:rFonts w:hint="default" w:asciiTheme="minorEastAsia" w:hAnsiTheme="minorEastAsia" w:eastAsiaTheme="minorEastAsia" w:cstheme="minorEastAsia"/>
                <w:b w:val="0"/>
                <w:bCs w:val="0"/>
                <w:snapToGrid w:val="0"/>
                <w:color w:val="auto"/>
                <w:kern w:val="2"/>
                <w:sz w:val="24"/>
                <w:szCs w:val="24"/>
                <w:highlight w:val="none"/>
                <w:lang w:val="en-US" w:eastAsia="zh-CN"/>
              </w:rPr>
              <w:t>分。​</w:t>
            </w:r>
          </w:p>
          <w:p w14:paraId="162B56EB">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2" w:leftChars="0" w:right="0" w:rightChars="0" w:hanging="2" w:hangingChars="1"/>
              <w:jc w:val="both"/>
              <w:textAlignment w:val="auto"/>
              <w:rPr>
                <w:rFonts w:hint="eastAsia" w:asciiTheme="minorEastAsia" w:hAnsiTheme="minorEastAsia" w:eastAsiaTheme="minorEastAsia" w:cstheme="minorEastAsia"/>
                <w:b w:val="0"/>
                <w:bCs w:val="0"/>
                <w:snapToGrid w:val="0"/>
                <w:color w:val="auto"/>
                <w:kern w:val="2"/>
                <w:sz w:val="24"/>
                <w:szCs w:val="24"/>
                <w:highlight w:val="none"/>
                <w:lang w:val="en-US"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rPr>
              <w:t>售后承诺不完整或未提供不得分。</w:t>
            </w:r>
          </w:p>
        </w:tc>
      </w:tr>
      <w:tr w14:paraId="4C86977D">
        <w:tblPrEx>
          <w:tblCellMar>
            <w:top w:w="0" w:type="dxa"/>
            <w:left w:w="108" w:type="dxa"/>
            <w:bottom w:w="0" w:type="dxa"/>
            <w:right w:w="108" w:type="dxa"/>
          </w:tblCellMar>
        </w:tblPrEx>
        <w:trPr>
          <w:trHeight w:val="1774" w:hRule="atLeast"/>
          <w:jc w:val="center"/>
        </w:trPr>
        <w:tc>
          <w:tcPr>
            <w:tcW w:w="9840" w:type="dxa"/>
            <w:gridSpan w:val="3"/>
            <w:tcBorders>
              <w:top w:val="single" w:color="000000" w:sz="4" w:space="0"/>
              <w:left w:val="single" w:color="000000" w:sz="12" w:space="0"/>
              <w:bottom w:val="single" w:color="000000" w:sz="12" w:space="0"/>
              <w:right w:val="single" w:color="000000" w:sz="6" w:space="0"/>
            </w:tcBorders>
            <w:vAlign w:val="center"/>
          </w:tcPr>
          <w:p w14:paraId="7C9E3907">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供应商</w:t>
            </w:r>
            <w:r>
              <w:rPr>
                <w:rFonts w:hint="eastAsia" w:asciiTheme="minorEastAsia" w:hAnsiTheme="minorEastAsia" w:eastAsiaTheme="minorEastAsia" w:cstheme="minorEastAsia"/>
                <w:b/>
                <w:color w:val="auto"/>
                <w:sz w:val="24"/>
                <w:szCs w:val="24"/>
                <w:highlight w:val="none"/>
              </w:rPr>
              <w:t>综合得分=技术标得分+商务标得分+综合标得分</w:t>
            </w:r>
          </w:p>
          <w:p w14:paraId="112EC3E3">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供应商</w:t>
            </w:r>
            <w:r>
              <w:rPr>
                <w:rFonts w:hint="eastAsia" w:asciiTheme="minorEastAsia" w:hAnsiTheme="minorEastAsia" w:eastAsiaTheme="minorEastAsia" w:cstheme="minorEastAsia"/>
                <w:b/>
                <w:color w:val="auto"/>
                <w:sz w:val="24"/>
                <w:szCs w:val="24"/>
                <w:highlight w:val="none"/>
              </w:rPr>
              <w:t>的报价应包含</w:t>
            </w:r>
            <w:r>
              <w:rPr>
                <w:rFonts w:hint="eastAsia" w:asciiTheme="minorEastAsia" w:hAnsiTheme="minorEastAsia" w:eastAsiaTheme="minorEastAsia" w:cstheme="minorEastAsia"/>
                <w:b/>
                <w:color w:val="auto"/>
                <w:sz w:val="24"/>
                <w:szCs w:val="24"/>
                <w:highlight w:val="none"/>
                <w:lang w:eastAsia="zh-CN"/>
              </w:rPr>
              <w:t>供应商</w:t>
            </w:r>
            <w:r>
              <w:rPr>
                <w:rFonts w:hint="eastAsia" w:asciiTheme="minorEastAsia" w:hAnsiTheme="minorEastAsia" w:eastAsiaTheme="minorEastAsia" w:cstheme="minorEastAsia"/>
                <w:b/>
                <w:color w:val="auto"/>
                <w:sz w:val="24"/>
                <w:szCs w:val="24"/>
                <w:highlight w:val="none"/>
              </w:rPr>
              <w:t>所承诺的应达到的质量标准及其他承诺应达到的标准所包含的所有费用。</w:t>
            </w:r>
          </w:p>
          <w:p w14:paraId="5436B502">
            <w:pPr>
              <w:pageBreakBefore w:val="0"/>
              <w:kinsoku/>
              <w:wordWrap/>
              <w:overflowPunct/>
              <w:topLinePunct w:val="0"/>
              <w:autoSpaceDE/>
              <w:autoSpaceDN/>
              <w:bidi w:val="0"/>
              <w:adjustRightInd w:val="0"/>
              <w:snapToGrid w:val="0"/>
              <w:spacing w:beforeAutospacing="0" w:after="0"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磋商小组对</w:t>
            </w:r>
            <w:r>
              <w:rPr>
                <w:rFonts w:hint="eastAsia" w:asciiTheme="minorEastAsia" w:hAnsiTheme="minorEastAsia" w:eastAsiaTheme="minorEastAsia" w:cstheme="minorEastAsia"/>
                <w:b/>
                <w:color w:val="auto"/>
                <w:sz w:val="24"/>
                <w:szCs w:val="24"/>
                <w:highlight w:val="none"/>
                <w:lang w:val="en-US" w:eastAsia="zh-CN"/>
              </w:rPr>
              <w:t>实施方案</w:t>
            </w:r>
            <w:r>
              <w:rPr>
                <w:rFonts w:hint="eastAsia" w:asciiTheme="minorEastAsia" w:hAnsiTheme="minorEastAsia" w:eastAsiaTheme="minorEastAsia" w:cstheme="minorEastAsia"/>
                <w:b/>
                <w:color w:val="auto"/>
                <w:sz w:val="24"/>
                <w:szCs w:val="24"/>
                <w:highlight w:val="none"/>
              </w:rPr>
              <w:t>、企业实力、磋商报价、其他因素得分进行汇总，计算过程和最终结果按四舍五入保留两位小数。以各磋商小组打分的算术平均值作为该</w:t>
            </w:r>
            <w:r>
              <w:rPr>
                <w:rFonts w:hint="eastAsia" w:asciiTheme="minorEastAsia" w:hAnsiTheme="minorEastAsia" w:eastAsiaTheme="minorEastAsia" w:cstheme="minorEastAsia"/>
                <w:b/>
                <w:color w:val="auto"/>
                <w:sz w:val="24"/>
                <w:szCs w:val="24"/>
                <w:highlight w:val="none"/>
                <w:lang w:eastAsia="zh-CN"/>
              </w:rPr>
              <w:t>供应商</w:t>
            </w:r>
            <w:r>
              <w:rPr>
                <w:rFonts w:hint="eastAsia" w:asciiTheme="minorEastAsia" w:hAnsiTheme="minorEastAsia" w:eastAsiaTheme="minorEastAsia" w:cstheme="minorEastAsia"/>
                <w:b/>
                <w:color w:val="auto"/>
                <w:sz w:val="24"/>
                <w:szCs w:val="24"/>
                <w:highlight w:val="none"/>
              </w:rPr>
              <w:t>的最终得分。</w:t>
            </w:r>
          </w:p>
        </w:tc>
      </w:tr>
    </w:tbl>
    <w:p w14:paraId="2713A6D2">
      <w:pPr>
        <w:pageBreakBefore w:val="0"/>
        <w:widowControl/>
        <w:kinsoku/>
        <w:wordWrap/>
        <w:overflowPunct/>
        <w:topLinePunct w:val="0"/>
        <w:autoSpaceDE/>
        <w:autoSpaceDN/>
        <w:bidi w:val="0"/>
        <w:adjustRightInd w:val="0"/>
        <w:snapToGrid w:val="0"/>
        <w:spacing w:beforeAutospacing="0" w:after="0" w:line="360" w:lineRule="auto"/>
        <w:ind w:firstLine="241" w:firstLineChars="1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 评标方法</w:t>
      </w:r>
    </w:p>
    <w:p w14:paraId="467FFFF7">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采用综合评分法。磋商小组对满足磋商文件实质性要求的磋商响应文件，按照本章第2.2款规定的评分标准进行打分，并按得分由高到低顺序推荐成交候选人，并经磋商小组推荐排名第一的成交候选人为成交人，但磋商报价低于其成本的除外。评审得分相同的，按照最后报价由低到高的顺序确定，评审得分且最后报价相同的，按照技术指标优劣顺序确定成交候选人。</w:t>
      </w:r>
    </w:p>
    <w:p w14:paraId="4A35DA92">
      <w:pPr>
        <w:pStyle w:val="3"/>
        <w:pageBreakBefore w:val="0"/>
        <w:widowControl/>
        <w:kinsoku/>
        <w:wordWrap/>
        <w:overflowPunct/>
        <w:topLinePunct w:val="0"/>
        <w:autoSpaceDE/>
        <w:autoSpaceDN/>
        <w:bidi w:val="0"/>
        <w:adjustRightInd w:val="0"/>
        <w:snapToGrid w:val="0"/>
        <w:spacing w:before="0" w:beforeAutospacing="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429" w:name="_Toc247085759"/>
      <w:bookmarkStart w:id="430" w:name="_Toc179632619"/>
      <w:bookmarkStart w:id="431" w:name="_Toc144974568"/>
      <w:bookmarkStart w:id="432" w:name="_Toc246996987"/>
      <w:bookmarkStart w:id="433" w:name="_Toc152045601"/>
      <w:bookmarkStart w:id="434" w:name="_Toc77586955"/>
      <w:bookmarkStart w:id="435" w:name="_Toc152042378"/>
      <w:bookmarkStart w:id="436" w:name="_Toc246996244"/>
      <w:bookmarkStart w:id="437" w:name="_Toc77586861"/>
      <w:bookmarkStart w:id="438" w:name="_Toc296602489"/>
      <w:r>
        <w:rPr>
          <w:rFonts w:hint="eastAsia" w:asciiTheme="minorEastAsia" w:hAnsiTheme="minorEastAsia" w:eastAsiaTheme="minorEastAsia" w:cstheme="minorEastAsia"/>
          <w:color w:val="auto"/>
          <w:sz w:val="24"/>
          <w:szCs w:val="24"/>
          <w:highlight w:val="none"/>
        </w:rPr>
        <w:t>2. 评审标准</w:t>
      </w:r>
      <w:bookmarkEnd w:id="429"/>
      <w:bookmarkEnd w:id="430"/>
      <w:bookmarkEnd w:id="431"/>
      <w:bookmarkEnd w:id="432"/>
      <w:bookmarkEnd w:id="433"/>
      <w:bookmarkEnd w:id="434"/>
      <w:bookmarkEnd w:id="435"/>
      <w:bookmarkEnd w:id="436"/>
      <w:bookmarkEnd w:id="437"/>
      <w:bookmarkEnd w:id="438"/>
      <w:bookmarkStart w:id="439" w:name="_Toc296602490"/>
      <w:bookmarkStart w:id="440" w:name="_Toc144974569"/>
      <w:bookmarkStart w:id="441" w:name="_Toc247085760"/>
      <w:bookmarkStart w:id="442" w:name="_Toc246996988"/>
      <w:bookmarkStart w:id="443" w:name="_Toc179632620"/>
      <w:bookmarkStart w:id="444" w:name="_Toc152042379"/>
      <w:bookmarkStart w:id="445" w:name="_Toc152045602"/>
      <w:bookmarkStart w:id="446" w:name="_Toc246996245"/>
    </w:p>
    <w:p w14:paraId="0E75726A">
      <w:pPr>
        <w:pStyle w:val="3"/>
        <w:pageBreakBefore w:val="0"/>
        <w:widowControl/>
        <w:kinsoku/>
        <w:wordWrap/>
        <w:overflowPunct/>
        <w:topLinePunct w:val="0"/>
        <w:autoSpaceDE/>
        <w:autoSpaceDN/>
        <w:bidi w:val="0"/>
        <w:adjustRightInd w:val="0"/>
        <w:snapToGrid w:val="0"/>
        <w:spacing w:before="0" w:beforeAutospacing="0" w:after="0" w:afterAutospacing="0" w:line="360" w:lineRule="auto"/>
        <w:ind w:firstLine="241" w:firstLineChars="100"/>
        <w:jc w:val="left"/>
        <w:textAlignment w:val="auto"/>
        <w:rPr>
          <w:rFonts w:hint="eastAsia" w:asciiTheme="minorEastAsia" w:hAnsiTheme="minorEastAsia" w:eastAsiaTheme="minorEastAsia" w:cstheme="minorEastAsia"/>
          <w:color w:val="auto"/>
          <w:sz w:val="24"/>
          <w:szCs w:val="24"/>
          <w:highlight w:val="none"/>
        </w:rPr>
      </w:pPr>
      <w:bookmarkStart w:id="447" w:name="_Toc77586956"/>
      <w:bookmarkStart w:id="448" w:name="_Toc77586862"/>
      <w:r>
        <w:rPr>
          <w:rFonts w:hint="eastAsia" w:asciiTheme="minorEastAsia" w:hAnsiTheme="minorEastAsia" w:eastAsiaTheme="minorEastAsia" w:cstheme="minorEastAsia"/>
          <w:color w:val="auto"/>
          <w:sz w:val="24"/>
          <w:szCs w:val="24"/>
          <w:highlight w:val="none"/>
        </w:rPr>
        <w:t>2.1 初步评审标准</w:t>
      </w:r>
      <w:bookmarkEnd w:id="439"/>
      <w:bookmarkEnd w:id="440"/>
      <w:bookmarkEnd w:id="441"/>
      <w:bookmarkEnd w:id="442"/>
      <w:bookmarkEnd w:id="443"/>
      <w:bookmarkEnd w:id="444"/>
      <w:bookmarkEnd w:id="445"/>
      <w:bookmarkEnd w:id="446"/>
      <w:bookmarkEnd w:id="447"/>
      <w:bookmarkEnd w:id="448"/>
    </w:p>
    <w:p w14:paraId="2CB5A513">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 形式评审标准：见评标办法前附表。</w:t>
      </w:r>
    </w:p>
    <w:p w14:paraId="4530AF72">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 资格评审标准：见评标办法前附表。</w:t>
      </w:r>
    </w:p>
    <w:p w14:paraId="2B3F372F">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 响应性评审标准：见评标办法前附表。</w:t>
      </w:r>
    </w:p>
    <w:p w14:paraId="13F9F489">
      <w:pPr>
        <w:pStyle w:val="4"/>
        <w:pageBreakBefore w:val="0"/>
        <w:widowControl/>
        <w:kinsoku/>
        <w:wordWrap/>
        <w:overflowPunct/>
        <w:topLinePunct w:val="0"/>
        <w:autoSpaceDE/>
        <w:autoSpaceDN/>
        <w:bidi w:val="0"/>
        <w:adjustRightInd w:val="0"/>
        <w:snapToGrid w:val="0"/>
        <w:spacing w:before="0" w:beforeAutospacing="0" w:after="0" w:line="360" w:lineRule="auto"/>
        <w:ind w:firstLine="241" w:firstLineChars="100"/>
        <w:textAlignment w:val="auto"/>
        <w:rPr>
          <w:rFonts w:hint="eastAsia" w:asciiTheme="minorEastAsia" w:hAnsiTheme="minorEastAsia" w:eastAsiaTheme="minorEastAsia" w:cstheme="minorEastAsia"/>
          <w:color w:val="auto"/>
          <w:sz w:val="24"/>
          <w:szCs w:val="24"/>
          <w:highlight w:val="none"/>
        </w:rPr>
      </w:pPr>
      <w:bookmarkStart w:id="449" w:name="_Toc246996246"/>
      <w:bookmarkStart w:id="450" w:name="_Toc246996989"/>
      <w:bookmarkStart w:id="451" w:name="_Toc144974570"/>
      <w:bookmarkStart w:id="452" w:name="_Toc77586863"/>
      <w:bookmarkStart w:id="453" w:name="_Toc296602491"/>
      <w:bookmarkStart w:id="454" w:name="_Toc77586957"/>
      <w:bookmarkStart w:id="455" w:name="_Toc152045603"/>
      <w:bookmarkStart w:id="456" w:name="_Toc247085761"/>
      <w:bookmarkStart w:id="457" w:name="_Toc179632621"/>
      <w:bookmarkStart w:id="458" w:name="_Toc152042380"/>
      <w:r>
        <w:rPr>
          <w:rFonts w:hint="eastAsia" w:asciiTheme="minorEastAsia" w:hAnsiTheme="minorEastAsia" w:eastAsiaTheme="minorEastAsia" w:cstheme="minorEastAsia"/>
          <w:color w:val="auto"/>
          <w:sz w:val="24"/>
          <w:szCs w:val="24"/>
          <w:highlight w:val="none"/>
        </w:rPr>
        <w:t>2.2 分值构成与评分标准</w:t>
      </w:r>
      <w:bookmarkEnd w:id="449"/>
      <w:bookmarkEnd w:id="450"/>
      <w:bookmarkEnd w:id="451"/>
      <w:bookmarkEnd w:id="452"/>
      <w:bookmarkEnd w:id="453"/>
      <w:bookmarkEnd w:id="454"/>
      <w:bookmarkEnd w:id="455"/>
      <w:bookmarkEnd w:id="456"/>
      <w:bookmarkEnd w:id="457"/>
      <w:bookmarkEnd w:id="458"/>
    </w:p>
    <w:p w14:paraId="734E0981">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 分值构成</w:t>
      </w:r>
    </w:p>
    <w:p w14:paraId="5D57F21F">
      <w:pPr>
        <w:pageBreakBefore w:val="0"/>
        <w:widowControl/>
        <w:kinsoku/>
        <w:wordWrap/>
        <w:overflowPunct/>
        <w:topLinePunct w:val="0"/>
        <w:autoSpaceDE/>
        <w:autoSpaceDN/>
        <w:bidi w:val="0"/>
        <w:adjustRightInd w:val="0"/>
        <w:snapToGrid w:val="0"/>
        <w:spacing w:beforeAutospacing="0" w:after="0" w:line="360" w:lineRule="auto"/>
        <w:ind w:firstLine="820" w:firstLineChars="34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1）技术标：见评标办法前附表；</w:t>
      </w:r>
    </w:p>
    <w:p w14:paraId="4B976794">
      <w:pPr>
        <w:pageBreakBefore w:val="0"/>
        <w:widowControl/>
        <w:kinsoku/>
        <w:wordWrap/>
        <w:overflowPunct/>
        <w:topLinePunct w:val="0"/>
        <w:autoSpaceDE/>
        <w:autoSpaceDN/>
        <w:bidi w:val="0"/>
        <w:adjustRightInd w:val="0"/>
        <w:snapToGrid w:val="0"/>
        <w:spacing w:beforeAutospacing="0" w:after="0" w:line="360" w:lineRule="auto"/>
        <w:ind w:firstLine="820" w:firstLineChars="34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2）商务标：见评标办法前附表；</w:t>
      </w:r>
    </w:p>
    <w:p w14:paraId="6850AF1C">
      <w:pPr>
        <w:pageBreakBefore w:val="0"/>
        <w:widowControl/>
        <w:kinsoku/>
        <w:wordWrap/>
        <w:overflowPunct/>
        <w:topLinePunct w:val="0"/>
        <w:autoSpaceDE/>
        <w:autoSpaceDN/>
        <w:bidi w:val="0"/>
        <w:adjustRightInd w:val="0"/>
        <w:snapToGrid w:val="0"/>
        <w:spacing w:beforeAutospacing="0" w:after="0" w:line="360" w:lineRule="auto"/>
        <w:ind w:firstLine="820" w:firstLineChars="34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3）综合标：见评标办法前附表。</w:t>
      </w:r>
    </w:p>
    <w:p w14:paraId="0F75C740">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 评分标准</w:t>
      </w:r>
    </w:p>
    <w:p w14:paraId="76378E8E">
      <w:pPr>
        <w:pageBreakBefore w:val="0"/>
        <w:widowControl/>
        <w:kinsoku/>
        <w:wordWrap/>
        <w:overflowPunct/>
        <w:topLinePunct w:val="0"/>
        <w:autoSpaceDE/>
        <w:autoSpaceDN/>
        <w:bidi w:val="0"/>
        <w:adjustRightInd w:val="0"/>
        <w:snapToGrid w:val="0"/>
        <w:spacing w:beforeAutospacing="0" w:after="0" w:line="360" w:lineRule="auto"/>
        <w:ind w:firstLine="820" w:firstLineChars="34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1）技术标评分标准：见评标办法前附表；</w:t>
      </w:r>
    </w:p>
    <w:p w14:paraId="577499A2">
      <w:pPr>
        <w:pageBreakBefore w:val="0"/>
        <w:widowControl/>
        <w:kinsoku/>
        <w:wordWrap/>
        <w:overflowPunct/>
        <w:topLinePunct w:val="0"/>
        <w:autoSpaceDE/>
        <w:autoSpaceDN/>
        <w:bidi w:val="0"/>
        <w:adjustRightInd w:val="0"/>
        <w:snapToGrid w:val="0"/>
        <w:spacing w:beforeAutospacing="0" w:after="0" w:line="360" w:lineRule="auto"/>
        <w:ind w:firstLine="820" w:firstLineChars="34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2）商务标评分标准：见评标办法前附表；</w:t>
      </w:r>
    </w:p>
    <w:p w14:paraId="447620D8">
      <w:pPr>
        <w:pageBreakBefore w:val="0"/>
        <w:widowControl/>
        <w:kinsoku/>
        <w:wordWrap/>
        <w:overflowPunct/>
        <w:topLinePunct w:val="0"/>
        <w:autoSpaceDE/>
        <w:autoSpaceDN/>
        <w:bidi w:val="0"/>
        <w:adjustRightInd w:val="0"/>
        <w:snapToGrid w:val="0"/>
        <w:spacing w:beforeAutospacing="0" w:after="0" w:line="360" w:lineRule="auto"/>
        <w:ind w:firstLine="820" w:firstLineChars="34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3）综合标评分标准：见评标办法前附表。</w:t>
      </w:r>
      <w:bookmarkStart w:id="459" w:name="_Toc179632622"/>
      <w:bookmarkStart w:id="460" w:name="_Toc246996247"/>
      <w:bookmarkStart w:id="461" w:name="_Toc152042381"/>
      <w:bookmarkStart w:id="462" w:name="_Toc144974571"/>
      <w:bookmarkStart w:id="463" w:name="_Toc246996990"/>
      <w:bookmarkStart w:id="464" w:name="_Toc152045604"/>
      <w:bookmarkStart w:id="465" w:name="_Toc296602492"/>
      <w:bookmarkStart w:id="466" w:name="_Toc247085762"/>
    </w:p>
    <w:p w14:paraId="548A78AF">
      <w:pPr>
        <w:pageBreakBefore w:val="0"/>
        <w:widowControl/>
        <w:kinsoku/>
        <w:wordWrap/>
        <w:overflowPunct/>
        <w:topLinePunct w:val="0"/>
        <w:autoSpaceDE/>
        <w:autoSpaceDN/>
        <w:bidi w:val="0"/>
        <w:adjustRightInd w:val="0"/>
        <w:snapToGrid w:val="0"/>
        <w:spacing w:beforeAutospacing="0" w:after="0" w:line="360" w:lineRule="auto"/>
        <w:ind w:firstLine="241" w:firstLineChars="1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 评标程序</w:t>
      </w:r>
      <w:bookmarkEnd w:id="459"/>
      <w:bookmarkEnd w:id="460"/>
      <w:bookmarkEnd w:id="461"/>
      <w:bookmarkEnd w:id="462"/>
      <w:bookmarkEnd w:id="463"/>
      <w:bookmarkEnd w:id="464"/>
      <w:bookmarkEnd w:id="465"/>
      <w:bookmarkEnd w:id="466"/>
    </w:p>
    <w:p w14:paraId="5858E95B">
      <w:pPr>
        <w:pStyle w:val="4"/>
        <w:pageBreakBefore w:val="0"/>
        <w:widowControl/>
        <w:kinsoku/>
        <w:wordWrap/>
        <w:overflowPunct/>
        <w:topLinePunct w:val="0"/>
        <w:autoSpaceDE/>
        <w:autoSpaceDN/>
        <w:bidi w:val="0"/>
        <w:adjustRightInd w:val="0"/>
        <w:snapToGrid w:val="0"/>
        <w:spacing w:before="0" w:beforeAutospacing="0" w:after="0" w:line="360" w:lineRule="auto"/>
        <w:ind w:firstLine="241" w:firstLineChars="100"/>
        <w:textAlignment w:val="auto"/>
        <w:rPr>
          <w:rFonts w:hint="eastAsia" w:asciiTheme="minorEastAsia" w:hAnsiTheme="minorEastAsia" w:eastAsiaTheme="minorEastAsia" w:cstheme="minorEastAsia"/>
          <w:color w:val="auto"/>
          <w:sz w:val="24"/>
          <w:szCs w:val="24"/>
          <w:highlight w:val="none"/>
        </w:rPr>
      </w:pPr>
      <w:bookmarkStart w:id="467" w:name="_Toc246996991"/>
      <w:bookmarkStart w:id="468" w:name="_Toc152042382"/>
      <w:bookmarkStart w:id="469" w:name="_Toc152045605"/>
      <w:bookmarkStart w:id="470" w:name="_Toc144974572"/>
      <w:bookmarkStart w:id="471" w:name="_Toc246996248"/>
      <w:bookmarkStart w:id="472" w:name="_Toc179632623"/>
      <w:bookmarkStart w:id="473" w:name="_Toc247085763"/>
      <w:bookmarkStart w:id="474" w:name="_Toc77586864"/>
      <w:bookmarkStart w:id="475" w:name="_Toc77586958"/>
      <w:bookmarkStart w:id="476" w:name="_Toc296602493"/>
      <w:r>
        <w:rPr>
          <w:rFonts w:hint="eastAsia" w:asciiTheme="minorEastAsia" w:hAnsiTheme="minorEastAsia" w:eastAsiaTheme="minorEastAsia" w:cstheme="minorEastAsia"/>
          <w:color w:val="auto"/>
          <w:sz w:val="24"/>
          <w:szCs w:val="24"/>
          <w:highlight w:val="none"/>
        </w:rPr>
        <w:t>3.1 初步评审</w:t>
      </w:r>
      <w:bookmarkEnd w:id="467"/>
      <w:bookmarkEnd w:id="468"/>
      <w:bookmarkEnd w:id="469"/>
      <w:bookmarkEnd w:id="470"/>
      <w:bookmarkEnd w:id="471"/>
      <w:bookmarkEnd w:id="472"/>
      <w:bookmarkEnd w:id="473"/>
      <w:bookmarkEnd w:id="474"/>
      <w:bookmarkEnd w:id="475"/>
      <w:bookmarkEnd w:id="476"/>
    </w:p>
    <w:p w14:paraId="0D786B23">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3.1.1磋商小组依据本章第2.1款规定的标准对磋商响应文件进行初步评审。有一项不符合评审标准的，磋商小组应当否决其投标。</w:t>
      </w:r>
    </w:p>
    <w:p w14:paraId="093768DC">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3.1.2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有以下情形之一的，磋商小组应当否决其投标：</w:t>
      </w:r>
    </w:p>
    <w:p w14:paraId="64A45540">
      <w:pPr>
        <w:pageBreakBefore w:val="0"/>
        <w:widowControl/>
        <w:kinsoku/>
        <w:wordWrap/>
        <w:overflowPunct/>
        <w:topLinePunct w:val="0"/>
        <w:autoSpaceDE/>
        <w:autoSpaceDN/>
        <w:bidi w:val="0"/>
        <w:adjustRightInd w:val="0"/>
        <w:snapToGrid w:val="0"/>
        <w:spacing w:beforeAutospacing="0" w:after="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1）第二章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第1.4.2项、第1.4.3项规定的任何一种情形的；</w:t>
      </w:r>
    </w:p>
    <w:p w14:paraId="3D4E1E4C">
      <w:pPr>
        <w:pageBreakBefore w:val="0"/>
        <w:widowControl/>
        <w:kinsoku/>
        <w:wordWrap/>
        <w:overflowPunct/>
        <w:topLinePunct w:val="0"/>
        <w:autoSpaceDE/>
        <w:autoSpaceDN/>
        <w:bidi w:val="0"/>
        <w:adjustRightInd w:val="0"/>
        <w:snapToGrid w:val="0"/>
        <w:spacing w:beforeAutospacing="0" w:after="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2）串通投标或弄虚作假或有其他违法行为的；</w:t>
      </w:r>
    </w:p>
    <w:p w14:paraId="7AA54571">
      <w:pPr>
        <w:pageBreakBefore w:val="0"/>
        <w:widowControl/>
        <w:kinsoku/>
        <w:wordWrap/>
        <w:overflowPunct/>
        <w:topLinePunct w:val="0"/>
        <w:autoSpaceDE/>
        <w:autoSpaceDN/>
        <w:bidi w:val="0"/>
        <w:adjustRightInd w:val="0"/>
        <w:snapToGrid w:val="0"/>
        <w:spacing w:beforeAutospacing="0" w:after="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3）不按磋商小组要求澄清、说明或补正的。</w:t>
      </w:r>
    </w:p>
    <w:p w14:paraId="2951D134">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3.1.3投标报价有算术错误的，磋商小组按以下原则对投标报价进行修正，修正的价格经</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书面确认后具有约束力。</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不接受修正价格的，磋商小组应当否决其投标。</w:t>
      </w:r>
    </w:p>
    <w:p w14:paraId="09069A15">
      <w:pPr>
        <w:pageBreakBefore w:val="0"/>
        <w:widowControl/>
        <w:kinsoku/>
        <w:wordWrap/>
        <w:overflowPunct/>
        <w:topLinePunct w:val="0"/>
        <w:autoSpaceDE/>
        <w:autoSpaceDN/>
        <w:bidi w:val="0"/>
        <w:adjustRightInd w:val="0"/>
        <w:snapToGrid w:val="0"/>
        <w:spacing w:beforeAutospacing="0" w:after="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1）磋商响应文件中的大写金额与小写金额不一致的，以大写金额为准；</w:t>
      </w:r>
    </w:p>
    <w:p w14:paraId="12B2B918">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2）总价金额与依据单价计算出的结果不一致的，以单价金额为准修正总价，但单价金额小数点有明显错误的除外。</w:t>
      </w:r>
    </w:p>
    <w:p w14:paraId="1F608CA9">
      <w:pPr>
        <w:pStyle w:val="4"/>
        <w:pageBreakBefore w:val="0"/>
        <w:widowControl/>
        <w:kinsoku/>
        <w:wordWrap/>
        <w:overflowPunct/>
        <w:topLinePunct w:val="0"/>
        <w:autoSpaceDE/>
        <w:autoSpaceDN/>
        <w:bidi w:val="0"/>
        <w:adjustRightInd w:val="0"/>
        <w:snapToGrid w:val="0"/>
        <w:spacing w:before="0" w:beforeAutospacing="0" w:after="0" w:line="360" w:lineRule="auto"/>
        <w:textAlignment w:val="auto"/>
        <w:rPr>
          <w:rFonts w:hint="eastAsia" w:asciiTheme="minorEastAsia" w:hAnsiTheme="minorEastAsia" w:eastAsiaTheme="minorEastAsia" w:cstheme="minorEastAsia"/>
          <w:color w:val="auto"/>
          <w:sz w:val="24"/>
          <w:szCs w:val="24"/>
          <w:highlight w:val="none"/>
        </w:rPr>
      </w:pPr>
      <w:bookmarkStart w:id="477" w:name="_Toc246996992"/>
      <w:bookmarkStart w:id="478" w:name="_Toc152042384"/>
      <w:bookmarkStart w:id="479" w:name="_Toc152045606"/>
      <w:bookmarkStart w:id="480" w:name="_Toc246996249"/>
      <w:bookmarkStart w:id="481" w:name="_Toc144974573"/>
      <w:bookmarkStart w:id="482" w:name="_Toc77586865"/>
      <w:bookmarkStart w:id="483" w:name="_Toc77586959"/>
      <w:bookmarkStart w:id="484" w:name="_Toc296602494"/>
      <w:bookmarkStart w:id="485" w:name="_Toc247085764"/>
      <w:bookmarkStart w:id="486" w:name="_Toc179632624"/>
      <w:r>
        <w:rPr>
          <w:rFonts w:hint="eastAsia" w:asciiTheme="minorEastAsia" w:hAnsiTheme="minorEastAsia" w:eastAsiaTheme="minorEastAsia" w:cstheme="minorEastAsia"/>
          <w:color w:val="auto"/>
          <w:sz w:val="24"/>
          <w:szCs w:val="24"/>
          <w:highlight w:val="none"/>
        </w:rPr>
        <w:t>3.2 详细评审</w:t>
      </w:r>
      <w:bookmarkEnd w:id="477"/>
      <w:bookmarkEnd w:id="478"/>
      <w:bookmarkEnd w:id="479"/>
      <w:bookmarkEnd w:id="480"/>
      <w:bookmarkEnd w:id="481"/>
      <w:bookmarkEnd w:id="482"/>
      <w:bookmarkEnd w:id="483"/>
      <w:bookmarkEnd w:id="484"/>
      <w:bookmarkEnd w:id="485"/>
      <w:bookmarkEnd w:id="486"/>
    </w:p>
    <w:p w14:paraId="0F1DAD38">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磋商小组按本章第2.2款规定的量化因素和分值进行打分，并计算出综合评估得分。</w:t>
      </w:r>
    </w:p>
    <w:p w14:paraId="6B4C8E9F">
      <w:pPr>
        <w:pageBreakBefore w:val="0"/>
        <w:widowControl/>
        <w:kinsoku/>
        <w:wordWrap/>
        <w:overflowPunct/>
        <w:topLinePunct w:val="0"/>
        <w:autoSpaceDE/>
        <w:autoSpaceDN/>
        <w:bidi w:val="0"/>
        <w:adjustRightInd w:val="0"/>
        <w:snapToGrid w:val="0"/>
        <w:spacing w:beforeAutospacing="0" w:after="0"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1）按本章第2.2.2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1）目规定的评审因素和分值对技术标计算出得分；</w:t>
      </w:r>
    </w:p>
    <w:p w14:paraId="434B7417">
      <w:pPr>
        <w:pageBreakBefore w:val="0"/>
        <w:widowControl/>
        <w:kinsoku/>
        <w:wordWrap/>
        <w:overflowPunct/>
        <w:topLinePunct w:val="0"/>
        <w:autoSpaceDE/>
        <w:autoSpaceDN/>
        <w:bidi w:val="0"/>
        <w:adjustRightInd w:val="0"/>
        <w:snapToGrid w:val="0"/>
        <w:spacing w:beforeAutospacing="0" w:after="0"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2）按本章第2.2.2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2）目规定的评审因素和分值对商务标计算出得分；</w:t>
      </w:r>
    </w:p>
    <w:p w14:paraId="00CF1C88">
      <w:pPr>
        <w:pageBreakBefore w:val="0"/>
        <w:widowControl/>
        <w:kinsoku/>
        <w:wordWrap/>
        <w:overflowPunct/>
        <w:topLinePunct w:val="0"/>
        <w:autoSpaceDE/>
        <w:autoSpaceDN/>
        <w:bidi w:val="0"/>
        <w:adjustRightInd w:val="0"/>
        <w:snapToGrid w:val="0"/>
        <w:spacing w:beforeAutospacing="0" w:after="0"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3）按本章第2.2.2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3）目规定的评审因素和分值对综合标计算出得分；</w:t>
      </w:r>
    </w:p>
    <w:p w14:paraId="777EC890">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评分分值计算过程中保留小数点后三位，最后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得分汇总时保留小数点后两位，小数点后第三位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四舍五入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67B81A7A">
      <w:pPr>
        <w:pageBreakBefore w:val="0"/>
        <w:widowControl/>
        <w:tabs>
          <w:tab w:val="center" w:pos="4677"/>
        </w:tabs>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3.2.3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得分=技术标+商务标+综合标。</w:t>
      </w:r>
    </w:p>
    <w:p w14:paraId="38768B7A">
      <w:pPr>
        <w:pageBreakBefore w:val="0"/>
        <w:widowControl/>
        <w:kinsoku/>
        <w:wordWrap/>
        <w:overflowPunct/>
        <w:topLinePunct w:val="0"/>
        <w:autoSpaceDE/>
        <w:autoSpaceDN/>
        <w:bidi w:val="0"/>
        <w:adjustRightInd w:val="0"/>
        <w:snapToGrid w:val="0"/>
        <w:spacing w:beforeAutospacing="0" w:after="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3.2.4在磋商小组完成对技术标、商务标和综合标的汇总后取平均值，作为该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的最终得分。</w:t>
      </w:r>
    </w:p>
    <w:p w14:paraId="177B38E2">
      <w:pPr>
        <w:pageBreakBefore w:val="0"/>
        <w:widowControl/>
        <w:tabs>
          <w:tab w:val="center" w:pos="4677"/>
        </w:tabs>
        <w:kinsoku/>
        <w:wordWrap w:val="0"/>
        <w:overflowPunct/>
        <w:topLinePunct/>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3.2.5磋商小组发现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的报价明显低于其他投标报价，使得其投标报价可能低于其个别成本的，应当要求该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做出书面说明并提供相应的证明材料。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不能合理说明或者不能提供相应证明材料的，磋商小组应当认定该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以低于成本报价竞标，否决其投标。</w:t>
      </w:r>
    </w:p>
    <w:p w14:paraId="56DD6D58">
      <w:pPr>
        <w:pStyle w:val="4"/>
        <w:pageBreakBefore w:val="0"/>
        <w:widowControl/>
        <w:kinsoku/>
        <w:wordWrap w:val="0"/>
        <w:overflowPunct/>
        <w:topLinePunct/>
        <w:autoSpaceDE/>
        <w:autoSpaceDN/>
        <w:bidi w:val="0"/>
        <w:adjustRightInd w:val="0"/>
        <w:snapToGrid w:val="0"/>
        <w:spacing w:before="0" w:beforeAutospacing="0" w:after="0" w:line="360" w:lineRule="auto"/>
        <w:ind w:firstLine="241" w:firstLineChars="100"/>
        <w:textAlignment w:val="auto"/>
        <w:rPr>
          <w:rFonts w:hint="eastAsia" w:asciiTheme="minorEastAsia" w:hAnsiTheme="minorEastAsia" w:eastAsiaTheme="minorEastAsia" w:cstheme="minorEastAsia"/>
          <w:color w:val="auto"/>
          <w:sz w:val="24"/>
          <w:szCs w:val="24"/>
          <w:highlight w:val="none"/>
        </w:rPr>
      </w:pPr>
      <w:bookmarkStart w:id="487" w:name="_Toc144974575"/>
      <w:bookmarkStart w:id="488" w:name="_Toc247085765"/>
      <w:bookmarkStart w:id="489" w:name="_Toc246996993"/>
      <w:bookmarkStart w:id="490" w:name="_Toc296602495"/>
      <w:bookmarkStart w:id="491" w:name="_Toc246996250"/>
      <w:bookmarkStart w:id="492" w:name="_Toc77586866"/>
      <w:bookmarkStart w:id="493" w:name="_Toc77586960"/>
      <w:bookmarkStart w:id="494" w:name="_Toc152042385"/>
      <w:bookmarkStart w:id="495" w:name="_Toc152045607"/>
      <w:bookmarkStart w:id="496" w:name="_Toc179632625"/>
      <w:r>
        <w:rPr>
          <w:rFonts w:hint="eastAsia" w:asciiTheme="minorEastAsia" w:hAnsiTheme="minorEastAsia" w:eastAsiaTheme="minorEastAsia" w:cstheme="minorEastAsia"/>
          <w:color w:val="auto"/>
          <w:sz w:val="24"/>
          <w:szCs w:val="24"/>
          <w:highlight w:val="none"/>
        </w:rPr>
        <w:t>3.3 磋商响应文件的澄清</w:t>
      </w:r>
      <w:bookmarkEnd w:id="487"/>
      <w:r>
        <w:rPr>
          <w:rFonts w:hint="eastAsia" w:asciiTheme="minorEastAsia" w:hAnsiTheme="minorEastAsia" w:eastAsiaTheme="minorEastAsia" w:cstheme="minorEastAsia"/>
          <w:color w:val="auto"/>
          <w:sz w:val="24"/>
          <w:szCs w:val="24"/>
          <w:highlight w:val="none"/>
        </w:rPr>
        <w:t>和补正</w:t>
      </w:r>
      <w:bookmarkEnd w:id="488"/>
      <w:bookmarkEnd w:id="489"/>
      <w:bookmarkEnd w:id="490"/>
      <w:bookmarkEnd w:id="491"/>
      <w:bookmarkEnd w:id="492"/>
      <w:bookmarkEnd w:id="493"/>
      <w:bookmarkEnd w:id="494"/>
      <w:bookmarkEnd w:id="495"/>
      <w:bookmarkEnd w:id="496"/>
    </w:p>
    <w:p w14:paraId="6773A0DC">
      <w:pPr>
        <w:pageBreakBefore w:val="0"/>
        <w:widowControl/>
        <w:kinsoku/>
        <w:wordWrap w:val="0"/>
        <w:overflowPunct/>
        <w:topLinePunct/>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3.3.1在评标过程中，磋商小组可以书面形式要求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对所提交磋商响应文件中不明确的内容进行书面澄清或说明，或者对细微偏差进行补正。磋商小组不接受</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主动提出的澄清、说明或补正。</w:t>
      </w:r>
    </w:p>
    <w:p w14:paraId="75F413CA">
      <w:pPr>
        <w:pageBreakBefore w:val="0"/>
        <w:widowControl/>
        <w:kinsoku/>
        <w:wordWrap w:val="0"/>
        <w:overflowPunct/>
        <w:topLinePunct/>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 澄清、说明和补正不得改变磋商响应文件的实质性内容。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的书面澄清、说明和补正属于磋商响应文件的组成部分。</w:t>
      </w:r>
    </w:p>
    <w:p w14:paraId="4C19A378">
      <w:pPr>
        <w:pageBreakBefore w:val="0"/>
        <w:widowControl/>
        <w:kinsoku/>
        <w:wordWrap w:val="0"/>
        <w:overflowPunct/>
        <w:topLinePunct/>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磋商小组对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提交的澄清、说明或补正有疑问的，可以要求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进一步澄清、说明或补正，直至满足磋商小组的要求。</w:t>
      </w:r>
    </w:p>
    <w:p w14:paraId="5452688A">
      <w:pPr>
        <w:pStyle w:val="4"/>
        <w:pageBreakBefore w:val="0"/>
        <w:widowControl/>
        <w:kinsoku/>
        <w:wordWrap/>
        <w:overflowPunct/>
        <w:topLinePunct w:val="0"/>
        <w:autoSpaceDE/>
        <w:autoSpaceDN/>
        <w:bidi w:val="0"/>
        <w:adjustRightInd w:val="0"/>
        <w:snapToGrid w:val="0"/>
        <w:spacing w:before="0" w:beforeAutospacing="0" w:after="0" w:line="360" w:lineRule="auto"/>
        <w:textAlignment w:val="auto"/>
        <w:rPr>
          <w:rFonts w:hint="eastAsia" w:asciiTheme="minorEastAsia" w:hAnsiTheme="minorEastAsia" w:eastAsiaTheme="minorEastAsia" w:cstheme="minorEastAsia"/>
          <w:color w:val="auto"/>
          <w:sz w:val="24"/>
          <w:szCs w:val="24"/>
          <w:highlight w:val="none"/>
        </w:rPr>
      </w:pPr>
      <w:bookmarkStart w:id="497" w:name="_Toc77586867"/>
      <w:bookmarkStart w:id="498" w:name="_Toc246996994"/>
      <w:bookmarkStart w:id="499" w:name="_Toc152045608"/>
      <w:bookmarkStart w:id="500" w:name="_Toc179632626"/>
      <w:bookmarkStart w:id="501" w:name="_Toc296602496"/>
      <w:bookmarkStart w:id="502" w:name="_Toc144974576"/>
      <w:bookmarkStart w:id="503" w:name="_Toc247085766"/>
      <w:bookmarkStart w:id="504" w:name="_Toc246996251"/>
      <w:bookmarkStart w:id="505" w:name="_Toc152042386"/>
      <w:bookmarkStart w:id="506" w:name="_Toc77586961"/>
      <w:r>
        <w:rPr>
          <w:rFonts w:hint="eastAsia" w:asciiTheme="minorEastAsia" w:hAnsiTheme="minorEastAsia" w:eastAsiaTheme="minorEastAsia" w:cstheme="minorEastAsia"/>
          <w:color w:val="auto"/>
          <w:sz w:val="24"/>
          <w:szCs w:val="24"/>
          <w:highlight w:val="none"/>
        </w:rPr>
        <w:t>3.4 评标结果</w:t>
      </w:r>
      <w:bookmarkEnd w:id="497"/>
      <w:bookmarkEnd w:id="498"/>
      <w:bookmarkEnd w:id="499"/>
      <w:bookmarkEnd w:id="500"/>
      <w:bookmarkEnd w:id="501"/>
      <w:bookmarkEnd w:id="502"/>
      <w:bookmarkEnd w:id="503"/>
      <w:bookmarkEnd w:id="504"/>
      <w:bookmarkEnd w:id="505"/>
      <w:bookmarkEnd w:id="506"/>
    </w:p>
    <w:p w14:paraId="45B661C8">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3.4.1磋商小组按照得分由高到低的顺序推荐成交候选人。</w:t>
      </w:r>
    </w:p>
    <w:p w14:paraId="64DB52A5">
      <w:pPr>
        <w:pageBreakBefore w:val="0"/>
        <w:widowControl/>
        <w:kinsoku/>
        <w:wordWrap/>
        <w:overflowPunct/>
        <w:topLinePunct w:val="0"/>
        <w:autoSpaceDE/>
        <w:autoSpaceDN/>
        <w:bidi w:val="0"/>
        <w:adjustRightInd w:val="0"/>
        <w:snapToGrid w:val="0"/>
        <w:spacing w:beforeAutospacing="0" w:after="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 磋商小组完成评标后，应当向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提交书面评标报告。</w:t>
      </w:r>
    </w:p>
    <w:p w14:paraId="463DFEC7">
      <w:pPr>
        <w:pStyle w:val="2"/>
        <w:bidi w:val="0"/>
        <w:jc w:val="center"/>
        <w:rPr>
          <w:rFonts w:hint="eastAsia" w:asciiTheme="minorEastAsia" w:hAnsiTheme="minorEastAsia" w:eastAsiaTheme="minorEastAsia" w:cstheme="minorEastAsia"/>
          <w:b/>
          <w:bCs/>
          <w:color w:val="auto"/>
          <w:szCs w:val="32"/>
          <w:highlight w:val="none"/>
        </w:rPr>
      </w:pPr>
      <w:r>
        <w:rPr>
          <w:rFonts w:hint="eastAsia" w:asciiTheme="minorEastAsia" w:hAnsiTheme="minorEastAsia" w:eastAsiaTheme="minorEastAsia" w:cstheme="minorEastAsia"/>
          <w:b/>
          <w:color w:val="auto"/>
          <w:szCs w:val="40"/>
          <w:highlight w:val="none"/>
        </w:rPr>
        <w:br w:type="page"/>
      </w:r>
      <w:bookmarkStart w:id="507" w:name="_Toc1020"/>
      <w:bookmarkStart w:id="508" w:name="_Toc77586962"/>
      <w:r>
        <w:rPr>
          <w:rFonts w:hint="eastAsia" w:asciiTheme="minorEastAsia" w:hAnsiTheme="minorEastAsia" w:eastAsiaTheme="minorEastAsia" w:cstheme="minorEastAsia"/>
          <w:b/>
          <w:color w:val="auto"/>
          <w:szCs w:val="40"/>
          <w:highlight w:val="none"/>
          <w:lang w:val="en-US" w:eastAsia="zh-CN"/>
        </w:rPr>
        <w:t xml:space="preserve"> </w:t>
      </w:r>
      <w:bookmarkStart w:id="509" w:name="_Toc15332"/>
      <w:r>
        <w:rPr>
          <w:rFonts w:hint="eastAsia" w:asciiTheme="minorEastAsia" w:hAnsiTheme="minorEastAsia" w:eastAsiaTheme="minorEastAsia" w:cstheme="minorEastAsia"/>
          <w:color w:val="auto"/>
          <w:highlight w:val="none"/>
        </w:rPr>
        <w:t>第四章  合同条款及格式</w:t>
      </w:r>
      <w:bookmarkEnd w:id="507"/>
      <w:bookmarkEnd w:id="508"/>
      <w:bookmarkEnd w:id="509"/>
    </w:p>
    <w:p w14:paraId="20AB7CEE">
      <w:pPr>
        <w:spacing w:line="440" w:lineRule="exact"/>
        <w:jc w:val="center"/>
        <w:rPr>
          <w:rFonts w:hint="eastAsia" w:asciiTheme="minorEastAsia" w:hAnsiTheme="minorEastAsia" w:eastAsiaTheme="minorEastAsia" w:cstheme="minorEastAsia"/>
          <w:color w:val="auto"/>
          <w:sz w:val="24"/>
          <w:szCs w:val="24"/>
          <w:highlight w:val="none"/>
          <w:lang w:eastAsia="zh-CN"/>
        </w:rPr>
      </w:pPr>
      <w:bookmarkStart w:id="510" w:name="_Toc77586963"/>
      <w:bookmarkStart w:id="511" w:name="_Toc152045782"/>
      <w:bookmarkStart w:id="512" w:name="_Toc247085866"/>
      <w:bookmarkStart w:id="513" w:name="_Toc152042571"/>
      <w:bookmarkStart w:id="514" w:name="_Toc144974851"/>
      <w:bookmarkStart w:id="515" w:name="_Toc247096438"/>
      <w:bookmarkStart w:id="516" w:name="_Toc246997093"/>
      <w:bookmarkStart w:id="517" w:name="_Toc246996350"/>
      <w:bookmarkStart w:id="518" w:name="_Toc296602596"/>
      <w:bookmarkStart w:id="519" w:name="_Toc179632800"/>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成交后双方自行协商</w:t>
      </w:r>
      <w:r>
        <w:rPr>
          <w:rFonts w:hint="eastAsia" w:asciiTheme="minorEastAsia" w:hAnsiTheme="minorEastAsia" w:eastAsiaTheme="minorEastAsia" w:cstheme="minorEastAsia"/>
          <w:color w:val="auto"/>
          <w:sz w:val="24"/>
          <w:szCs w:val="24"/>
          <w:highlight w:val="none"/>
          <w:lang w:eastAsia="zh-CN"/>
        </w:rPr>
        <w:t>）</w:t>
      </w:r>
    </w:p>
    <w:p w14:paraId="3CD8FA0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bookmarkEnd w:id="510"/>
    <w:p w14:paraId="109FEA80">
      <w:pPr>
        <w:pStyle w:val="2"/>
        <w:keepNext/>
        <w:keepLines/>
        <w:pageBreakBefore w:val="0"/>
        <w:widowControl w:val="0"/>
        <w:numPr>
          <w:ilvl w:val="0"/>
          <w:numId w:val="0"/>
        </w:numPr>
        <w:kinsoku/>
        <w:wordWrap/>
        <w:overflowPunct/>
        <w:topLinePunct w:val="0"/>
        <w:autoSpaceDE/>
        <w:autoSpaceDN/>
        <w:bidi w:val="0"/>
        <w:adjustRightInd/>
        <w:snapToGrid/>
        <w:spacing w:before="0" w:after="0" w:line="540" w:lineRule="exact"/>
        <w:jc w:val="center"/>
        <w:textAlignment w:val="auto"/>
        <w:rPr>
          <w:rFonts w:hint="eastAsia" w:asciiTheme="minorEastAsia" w:hAnsiTheme="minorEastAsia" w:eastAsiaTheme="minorEastAsia" w:cstheme="minorEastAsia"/>
          <w:b/>
          <w:bCs/>
          <w:color w:val="auto"/>
          <w:kern w:val="44"/>
          <w:sz w:val="32"/>
          <w:szCs w:val="32"/>
          <w:highlight w:val="none"/>
          <w:lang w:val="en-US" w:eastAsia="zh-CN" w:bidi="ar-SA"/>
        </w:rPr>
      </w:pPr>
      <w:bookmarkStart w:id="520" w:name="_Toc4872"/>
      <w:r>
        <w:rPr>
          <w:rFonts w:hint="eastAsia" w:asciiTheme="minorEastAsia" w:hAnsiTheme="minorEastAsia" w:eastAsiaTheme="minorEastAsia" w:cstheme="minorEastAsia"/>
          <w:b/>
          <w:bCs/>
          <w:color w:val="auto"/>
          <w:kern w:val="44"/>
          <w:sz w:val="32"/>
          <w:szCs w:val="32"/>
          <w:highlight w:val="none"/>
          <w:lang w:val="en-US" w:eastAsia="zh-CN" w:bidi="ar-SA"/>
        </w:rPr>
        <w:t>第五章 技术服务清单</w:t>
      </w:r>
      <w:bookmarkEnd w:id="520"/>
    </w:p>
    <w:p w14:paraId="4484618A">
      <w:pPr>
        <w:numPr>
          <w:ilvl w:val="0"/>
          <w:numId w:val="0"/>
        </w:num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服务清单</w:t>
      </w:r>
    </w:p>
    <w:tbl>
      <w:tblPr>
        <w:tblStyle w:val="20"/>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3654"/>
        <w:gridCol w:w="562"/>
        <w:gridCol w:w="562"/>
        <w:gridCol w:w="1183"/>
        <w:gridCol w:w="1106"/>
        <w:gridCol w:w="692"/>
      </w:tblGrid>
      <w:tr w14:paraId="55E1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698" w:type="dxa"/>
            <w:gridSpan w:val="7"/>
            <w:tcBorders>
              <w:top w:val="nil"/>
              <w:left w:val="nil"/>
              <w:bottom w:val="nil"/>
              <w:right w:val="nil"/>
            </w:tcBorders>
            <w:shd w:val="clear" w:color="auto" w:fill="auto"/>
            <w:vAlign w:val="center"/>
          </w:tcPr>
          <w:p w14:paraId="7C5D7B42">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灵宝市窄口库区事务中心窄口试点水库现代化运行管理矩阵建设项目</w:t>
            </w:r>
          </w:p>
        </w:tc>
      </w:tr>
      <w:tr w14:paraId="4B33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872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B46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5D4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C32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95F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8C1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合价</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（万元）</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EA6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60B2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C97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F7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矩阵平台建设</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1610">
            <w:pPr>
              <w:jc w:val="center"/>
              <w:rPr>
                <w:rFonts w:hint="eastAsia" w:ascii="宋体" w:hAnsi="宋体" w:eastAsia="宋体" w:cs="宋体"/>
                <w:b/>
                <w:bCs/>
                <w:i w:val="0"/>
                <w:iCs w:val="0"/>
                <w:color w:val="auto"/>
                <w:sz w:val="24"/>
                <w:szCs w:val="24"/>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CB48">
            <w:pPr>
              <w:jc w:val="center"/>
              <w:rPr>
                <w:rFonts w:hint="eastAsia" w:ascii="宋体" w:hAnsi="宋体" w:eastAsia="宋体" w:cs="宋体"/>
                <w:b/>
                <w:bCs/>
                <w:i w:val="0"/>
                <w:iCs w:val="0"/>
                <w:color w:val="auto"/>
                <w:sz w:val="24"/>
                <w:szCs w:val="24"/>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9066">
            <w:pPr>
              <w:jc w:val="center"/>
              <w:rPr>
                <w:rFonts w:hint="eastAsia" w:ascii="宋体" w:hAnsi="宋体" w:eastAsia="宋体" w:cs="宋体"/>
                <w:b/>
                <w:bCs/>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7B2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F32A4">
            <w:pPr>
              <w:jc w:val="center"/>
              <w:rPr>
                <w:rFonts w:hint="eastAsia" w:ascii="宋体" w:hAnsi="宋体" w:eastAsia="宋体" w:cs="宋体"/>
                <w:i w:val="0"/>
                <w:iCs w:val="0"/>
                <w:color w:val="auto"/>
                <w:sz w:val="24"/>
                <w:szCs w:val="24"/>
                <w:highlight w:val="none"/>
                <w:u w:val="none"/>
              </w:rPr>
            </w:pPr>
          </w:p>
        </w:tc>
      </w:tr>
      <w:tr w14:paraId="3355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EB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87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窄口水库矩阵管理展示模块</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C9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5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17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45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F7DD8">
            <w:pPr>
              <w:jc w:val="center"/>
              <w:rPr>
                <w:rFonts w:hint="eastAsia" w:ascii="宋体" w:hAnsi="宋体" w:eastAsia="宋体" w:cs="宋体"/>
                <w:i w:val="0"/>
                <w:iCs w:val="0"/>
                <w:color w:val="auto"/>
                <w:sz w:val="24"/>
                <w:szCs w:val="24"/>
                <w:highlight w:val="none"/>
                <w:u w:val="none"/>
              </w:rPr>
            </w:pPr>
          </w:p>
        </w:tc>
      </w:tr>
      <w:tr w14:paraId="00AD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07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F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窄口水库后台业务管理模块</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CF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94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5D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7D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20E95">
            <w:pPr>
              <w:jc w:val="center"/>
              <w:rPr>
                <w:rFonts w:hint="eastAsia" w:ascii="宋体" w:hAnsi="宋体" w:eastAsia="宋体" w:cs="宋体"/>
                <w:i w:val="0"/>
                <w:iCs w:val="0"/>
                <w:color w:val="auto"/>
                <w:sz w:val="24"/>
                <w:szCs w:val="24"/>
                <w:highlight w:val="none"/>
                <w:u w:val="none"/>
              </w:rPr>
            </w:pPr>
          </w:p>
        </w:tc>
      </w:tr>
      <w:tr w14:paraId="0EC2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0D0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34A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数据底板及数字孪生效果建设</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CE81">
            <w:pPr>
              <w:jc w:val="center"/>
              <w:rPr>
                <w:rFonts w:hint="eastAsia" w:ascii="宋体" w:hAnsi="宋体" w:eastAsia="宋体" w:cs="宋体"/>
                <w:b/>
                <w:bCs/>
                <w:i w:val="0"/>
                <w:iCs w:val="0"/>
                <w:color w:val="auto"/>
                <w:sz w:val="24"/>
                <w:szCs w:val="24"/>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0C44">
            <w:pPr>
              <w:jc w:val="center"/>
              <w:rPr>
                <w:rFonts w:hint="eastAsia" w:ascii="宋体" w:hAnsi="宋体" w:eastAsia="宋体" w:cs="宋体"/>
                <w:b/>
                <w:bCs/>
                <w:i w:val="0"/>
                <w:iCs w:val="0"/>
                <w:color w:val="auto"/>
                <w:sz w:val="24"/>
                <w:szCs w:val="24"/>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893F">
            <w:pPr>
              <w:jc w:val="center"/>
              <w:rPr>
                <w:rFonts w:hint="eastAsia" w:ascii="宋体" w:hAnsi="宋体" w:eastAsia="宋体" w:cs="宋体"/>
                <w:b/>
                <w:bCs/>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AC4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8195A">
            <w:pPr>
              <w:jc w:val="center"/>
              <w:rPr>
                <w:rFonts w:hint="eastAsia" w:ascii="宋体" w:hAnsi="宋体" w:eastAsia="宋体" w:cs="宋体"/>
                <w:i w:val="0"/>
                <w:iCs w:val="0"/>
                <w:color w:val="auto"/>
                <w:sz w:val="24"/>
                <w:szCs w:val="24"/>
                <w:highlight w:val="none"/>
                <w:u w:val="none"/>
              </w:rPr>
            </w:pPr>
          </w:p>
        </w:tc>
      </w:tr>
      <w:tr w14:paraId="5086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36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15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地理空间数据采集</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93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A5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EC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E5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8D77D">
            <w:pPr>
              <w:jc w:val="center"/>
              <w:rPr>
                <w:rFonts w:hint="eastAsia" w:ascii="宋体" w:hAnsi="宋体" w:eastAsia="宋体" w:cs="宋体"/>
                <w:i w:val="0"/>
                <w:iCs w:val="0"/>
                <w:color w:val="auto"/>
                <w:sz w:val="24"/>
                <w:szCs w:val="24"/>
                <w:highlight w:val="none"/>
                <w:u w:val="none"/>
              </w:rPr>
            </w:pPr>
          </w:p>
        </w:tc>
      </w:tr>
      <w:tr w14:paraId="69D3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A9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67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数据底板及BIM模型建设</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8A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FB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3A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78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FACD0">
            <w:pPr>
              <w:jc w:val="center"/>
              <w:rPr>
                <w:rFonts w:hint="eastAsia" w:ascii="宋体" w:hAnsi="宋体" w:eastAsia="宋体" w:cs="宋体"/>
                <w:i w:val="0"/>
                <w:iCs w:val="0"/>
                <w:color w:val="auto"/>
                <w:sz w:val="24"/>
                <w:szCs w:val="24"/>
                <w:highlight w:val="none"/>
                <w:u w:val="none"/>
              </w:rPr>
            </w:pPr>
          </w:p>
        </w:tc>
      </w:tr>
      <w:tr w14:paraId="32EF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48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F7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数字孪生效果建设</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22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3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E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F1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524C4">
            <w:pPr>
              <w:jc w:val="center"/>
              <w:rPr>
                <w:rFonts w:hint="eastAsia" w:ascii="宋体" w:hAnsi="宋体" w:eastAsia="宋体" w:cs="宋体"/>
                <w:i w:val="0"/>
                <w:iCs w:val="0"/>
                <w:color w:val="auto"/>
                <w:sz w:val="24"/>
                <w:szCs w:val="24"/>
                <w:highlight w:val="none"/>
                <w:u w:val="none"/>
              </w:rPr>
            </w:pPr>
          </w:p>
        </w:tc>
      </w:tr>
      <w:tr w14:paraId="1029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EC3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33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水利专业模型</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AF3C">
            <w:pPr>
              <w:jc w:val="center"/>
              <w:rPr>
                <w:rFonts w:hint="eastAsia" w:ascii="宋体" w:hAnsi="宋体" w:eastAsia="宋体" w:cs="宋体"/>
                <w:b/>
                <w:bCs/>
                <w:i w:val="0"/>
                <w:iCs w:val="0"/>
                <w:color w:val="auto"/>
                <w:sz w:val="24"/>
                <w:szCs w:val="24"/>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1D44">
            <w:pPr>
              <w:jc w:val="center"/>
              <w:rPr>
                <w:rFonts w:hint="eastAsia" w:ascii="宋体" w:hAnsi="宋体" w:eastAsia="宋体" w:cs="宋体"/>
                <w:b/>
                <w:bCs/>
                <w:i w:val="0"/>
                <w:iCs w:val="0"/>
                <w:color w:val="auto"/>
                <w:sz w:val="24"/>
                <w:szCs w:val="24"/>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D7D9">
            <w:pPr>
              <w:jc w:val="center"/>
              <w:rPr>
                <w:rFonts w:hint="eastAsia" w:ascii="宋体" w:hAnsi="宋体" w:eastAsia="宋体" w:cs="宋体"/>
                <w:b/>
                <w:bCs/>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33A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BBB41">
            <w:pPr>
              <w:jc w:val="center"/>
              <w:rPr>
                <w:rFonts w:hint="eastAsia" w:ascii="宋体" w:hAnsi="宋体" w:eastAsia="宋体" w:cs="宋体"/>
                <w:i w:val="0"/>
                <w:iCs w:val="0"/>
                <w:color w:val="auto"/>
                <w:sz w:val="24"/>
                <w:szCs w:val="24"/>
                <w:highlight w:val="none"/>
                <w:u w:val="none"/>
              </w:rPr>
            </w:pPr>
          </w:p>
        </w:tc>
      </w:tr>
      <w:tr w14:paraId="467C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A2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E6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水文预报模型</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C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24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A9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44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7E20">
            <w:pPr>
              <w:jc w:val="center"/>
              <w:rPr>
                <w:rFonts w:hint="eastAsia" w:ascii="宋体" w:hAnsi="宋体" w:eastAsia="宋体" w:cs="宋体"/>
                <w:i w:val="0"/>
                <w:iCs w:val="0"/>
                <w:color w:val="auto"/>
                <w:sz w:val="24"/>
                <w:szCs w:val="24"/>
                <w:highlight w:val="none"/>
                <w:u w:val="none"/>
              </w:rPr>
            </w:pPr>
          </w:p>
        </w:tc>
      </w:tr>
      <w:tr w14:paraId="38AF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9D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AA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调度模型</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D4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D8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A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06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A2D50">
            <w:pPr>
              <w:jc w:val="center"/>
              <w:rPr>
                <w:rFonts w:hint="eastAsia" w:ascii="宋体" w:hAnsi="宋体" w:eastAsia="宋体" w:cs="宋体"/>
                <w:i w:val="0"/>
                <w:iCs w:val="0"/>
                <w:color w:val="auto"/>
                <w:sz w:val="24"/>
                <w:szCs w:val="24"/>
                <w:highlight w:val="none"/>
                <w:u w:val="none"/>
              </w:rPr>
            </w:pPr>
          </w:p>
        </w:tc>
      </w:tr>
      <w:tr w14:paraId="1D6A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5E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8E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水动力模型</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57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16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C7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A5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560DF">
            <w:pPr>
              <w:jc w:val="center"/>
              <w:rPr>
                <w:rFonts w:hint="eastAsia" w:ascii="宋体" w:hAnsi="宋体" w:eastAsia="宋体" w:cs="宋体"/>
                <w:i w:val="0"/>
                <w:iCs w:val="0"/>
                <w:color w:val="auto"/>
                <w:sz w:val="24"/>
                <w:szCs w:val="24"/>
                <w:highlight w:val="none"/>
                <w:u w:val="none"/>
              </w:rPr>
            </w:pPr>
          </w:p>
        </w:tc>
      </w:tr>
      <w:tr w14:paraId="5FA2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D16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BDE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现有系统集成与数据接入</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9942">
            <w:pPr>
              <w:jc w:val="center"/>
              <w:rPr>
                <w:rFonts w:hint="eastAsia" w:ascii="宋体" w:hAnsi="宋体" w:eastAsia="宋体" w:cs="宋体"/>
                <w:b/>
                <w:bCs/>
                <w:i w:val="0"/>
                <w:iCs w:val="0"/>
                <w:color w:val="auto"/>
                <w:sz w:val="24"/>
                <w:szCs w:val="24"/>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8E0F">
            <w:pPr>
              <w:jc w:val="center"/>
              <w:rPr>
                <w:rFonts w:hint="eastAsia" w:ascii="宋体" w:hAnsi="宋体" w:eastAsia="宋体" w:cs="宋体"/>
                <w:b/>
                <w:bCs/>
                <w:i w:val="0"/>
                <w:iCs w:val="0"/>
                <w:color w:val="auto"/>
                <w:sz w:val="24"/>
                <w:szCs w:val="24"/>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1FB8">
            <w:pPr>
              <w:jc w:val="center"/>
              <w:rPr>
                <w:rFonts w:hint="eastAsia" w:ascii="宋体" w:hAnsi="宋体" w:eastAsia="宋体" w:cs="宋体"/>
                <w:b/>
                <w:bCs/>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040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71AD">
            <w:pPr>
              <w:jc w:val="center"/>
              <w:rPr>
                <w:rFonts w:hint="eastAsia" w:ascii="宋体" w:hAnsi="宋体" w:eastAsia="宋体" w:cs="宋体"/>
                <w:i w:val="0"/>
                <w:iCs w:val="0"/>
                <w:color w:val="auto"/>
                <w:sz w:val="24"/>
                <w:szCs w:val="24"/>
                <w:highlight w:val="none"/>
                <w:u w:val="none"/>
              </w:rPr>
            </w:pPr>
          </w:p>
        </w:tc>
      </w:tr>
      <w:tr w14:paraId="46E2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5A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34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雨水工情数据接入</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4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E2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65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51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52E0">
            <w:pPr>
              <w:jc w:val="center"/>
              <w:rPr>
                <w:rFonts w:hint="eastAsia" w:ascii="宋体" w:hAnsi="宋体" w:eastAsia="宋体" w:cs="宋体"/>
                <w:i w:val="0"/>
                <w:iCs w:val="0"/>
                <w:color w:val="auto"/>
                <w:sz w:val="24"/>
                <w:szCs w:val="24"/>
                <w:highlight w:val="none"/>
                <w:u w:val="none"/>
              </w:rPr>
            </w:pPr>
          </w:p>
        </w:tc>
      </w:tr>
      <w:tr w14:paraId="4559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9E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B6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安全监测数据接入</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52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8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FC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76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9F89F">
            <w:pPr>
              <w:jc w:val="center"/>
              <w:rPr>
                <w:rFonts w:hint="eastAsia" w:ascii="宋体" w:hAnsi="宋体" w:eastAsia="宋体" w:cs="宋体"/>
                <w:i w:val="0"/>
                <w:iCs w:val="0"/>
                <w:color w:val="auto"/>
                <w:sz w:val="24"/>
                <w:szCs w:val="24"/>
                <w:highlight w:val="none"/>
                <w:u w:val="none"/>
              </w:rPr>
            </w:pPr>
          </w:p>
        </w:tc>
      </w:tr>
      <w:tr w14:paraId="33BB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63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07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视频监控数据接入</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43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15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DA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FE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B126">
            <w:pPr>
              <w:jc w:val="center"/>
              <w:rPr>
                <w:rFonts w:hint="eastAsia" w:ascii="宋体" w:hAnsi="宋体" w:eastAsia="宋体" w:cs="宋体"/>
                <w:i w:val="0"/>
                <w:iCs w:val="0"/>
                <w:color w:val="auto"/>
                <w:sz w:val="24"/>
                <w:szCs w:val="24"/>
                <w:highlight w:val="none"/>
                <w:u w:val="none"/>
              </w:rPr>
            </w:pPr>
          </w:p>
        </w:tc>
      </w:tr>
      <w:tr w14:paraId="2F4B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BD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04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省厅及地市水文数据协调与接入</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37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50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5C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49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63265">
            <w:pPr>
              <w:jc w:val="center"/>
              <w:rPr>
                <w:rFonts w:hint="eastAsia" w:ascii="宋体" w:hAnsi="宋体" w:eastAsia="宋体" w:cs="宋体"/>
                <w:i w:val="0"/>
                <w:iCs w:val="0"/>
                <w:color w:val="auto"/>
                <w:sz w:val="24"/>
                <w:szCs w:val="24"/>
                <w:highlight w:val="none"/>
                <w:u w:val="none"/>
              </w:rPr>
            </w:pPr>
          </w:p>
        </w:tc>
      </w:tr>
      <w:tr w14:paraId="2374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23A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016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硬件设备</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8449">
            <w:pPr>
              <w:jc w:val="center"/>
              <w:rPr>
                <w:rFonts w:hint="eastAsia" w:ascii="宋体" w:hAnsi="宋体" w:eastAsia="宋体" w:cs="宋体"/>
                <w:b/>
                <w:bCs/>
                <w:i w:val="0"/>
                <w:iCs w:val="0"/>
                <w:color w:val="auto"/>
                <w:sz w:val="24"/>
                <w:szCs w:val="24"/>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223F">
            <w:pPr>
              <w:jc w:val="center"/>
              <w:rPr>
                <w:rFonts w:hint="eastAsia" w:ascii="宋体" w:hAnsi="宋体" w:eastAsia="宋体" w:cs="宋体"/>
                <w:b/>
                <w:bCs/>
                <w:i w:val="0"/>
                <w:iCs w:val="0"/>
                <w:color w:val="auto"/>
                <w:sz w:val="24"/>
                <w:szCs w:val="24"/>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745B">
            <w:pPr>
              <w:jc w:val="center"/>
              <w:rPr>
                <w:rFonts w:hint="eastAsia" w:ascii="宋体" w:hAnsi="宋体" w:eastAsia="宋体" w:cs="宋体"/>
                <w:b/>
                <w:bCs/>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46A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93D6E">
            <w:pPr>
              <w:jc w:val="center"/>
              <w:rPr>
                <w:rFonts w:hint="eastAsia" w:ascii="宋体" w:hAnsi="宋体" w:eastAsia="宋体" w:cs="宋体"/>
                <w:i w:val="0"/>
                <w:iCs w:val="0"/>
                <w:color w:val="auto"/>
                <w:sz w:val="24"/>
                <w:szCs w:val="24"/>
                <w:highlight w:val="none"/>
                <w:u w:val="none"/>
              </w:rPr>
            </w:pPr>
          </w:p>
        </w:tc>
      </w:tr>
      <w:tr w14:paraId="535C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39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C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渲染服务器</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46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2C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F9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F4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22270">
            <w:pPr>
              <w:jc w:val="center"/>
              <w:rPr>
                <w:rFonts w:hint="eastAsia" w:ascii="宋体" w:hAnsi="宋体" w:eastAsia="宋体" w:cs="宋体"/>
                <w:i w:val="0"/>
                <w:iCs w:val="0"/>
                <w:color w:val="auto"/>
                <w:sz w:val="24"/>
                <w:szCs w:val="24"/>
                <w:highlight w:val="none"/>
                <w:u w:val="none"/>
              </w:rPr>
            </w:pPr>
          </w:p>
        </w:tc>
      </w:tr>
      <w:tr w14:paraId="0B88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2B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E0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大屏改造</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C0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2E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16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DB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C73EE">
            <w:pPr>
              <w:jc w:val="center"/>
              <w:rPr>
                <w:rFonts w:hint="eastAsia" w:ascii="宋体" w:hAnsi="宋体" w:eastAsia="宋体" w:cs="宋体"/>
                <w:i w:val="0"/>
                <w:iCs w:val="0"/>
                <w:color w:val="auto"/>
                <w:sz w:val="24"/>
                <w:szCs w:val="24"/>
                <w:highlight w:val="none"/>
                <w:u w:val="none"/>
              </w:rPr>
            </w:pPr>
          </w:p>
        </w:tc>
      </w:tr>
      <w:tr w14:paraId="20BE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5148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0DB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F0868">
            <w:pPr>
              <w:jc w:val="center"/>
              <w:rPr>
                <w:rFonts w:hint="eastAsia" w:ascii="宋体" w:hAnsi="宋体" w:eastAsia="宋体" w:cs="宋体"/>
                <w:i w:val="0"/>
                <w:iCs w:val="0"/>
                <w:color w:val="auto"/>
                <w:sz w:val="24"/>
                <w:szCs w:val="24"/>
                <w:highlight w:val="none"/>
                <w:u w:val="none"/>
              </w:rPr>
            </w:pPr>
          </w:p>
        </w:tc>
      </w:tr>
    </w:tbl>
    <w:p w14:paraId="1DF3C646">
      <w:pPr>
        <w:numPr>
          <w:ilvl w:val="0"/>
          <w:numId w:val="0"/>
        </w:numPr>
        <w:rPr>
          <w:rFonts w:hint="eastAsia" w:asciiTheme="minorEastAsia" w:hAnsiTheme="minorEastAsia" w:eastAsiaTheme="minorEastAsia" w:cstheme="minorEastAsia"/>
          <w:color w:val="auto"/>
          <w:highlight w:val="none"/>
          <w:lang w:val="en-US" w:eastAsia="zh-CN"/>
        </w:rPr>
      </w:pPr>
    </w:p>
    <w:p w14:paraId="44A5717E">
      <w:pPr>
        <w:pageBreakBefore w:val="0"/>
        <w:numPr>
          <w:ilvl w:val="0"/>
          <w:numId w:val="0"/>
        </w:numPr>
        <w:kinsoku/>
        <w:wordWrap/>
        <w:overflowPunct/>
        <w:topLinePunct w:val="0"/>
        <w:autoSpaceDE/>
        <w:autoSpaceDN/>
        <w:bidi w:val="0"/>
        <w:spacing w:after="0"/>
        <w:textAlignment w:val="auto"/>
        <w:rPr>
          <w:rFonts w:hint="eastAsia" w:asciiTheme="minorEastAsia" w:hAnsiTheme="minorEastAsia" w:eastAsiaTheme="minorEastAsia" w:cstheme="minorEastAsia"/>
          <w:b/>
          <w:bCs/>
          <w:color w:val="auto"/>
          <w:sz w:val="28"/>
          <w:szCs w:val="28"/>
          <w:highlight w:val="none"/>
          <w:lang w:val="en-US" w:eastAsia="zh-CN"/>
        </w:rPr>
      </w:pPr>
    </w:p>
    <w:p w14:paraId="2802224A">
      <w:pPr>
        <w:pStyle w:val="2"/>
        <w:bidi w:val="0"/>
        <w:spacing w:line="360" w:lineRule="auto"/>
        <w:jc w:val="center"/>
        <w:rPr>
          <w:rFonts w:hint="eastAsia" w:asciiTheme="minorEastAsia" w:hAnsiTheme="minorEastAsia" w:eastAsiaTheme="minorEastAsia" w:cstheme="minorEastAsia"/>
          <w:color w:val="auto"/>
          <w:highlight w:val="none"/>
        </w:rPr>
      </w:pPr>
      <w:bookmarkStart w:id="521" w:name="_Toc5556"/>
      <w:r>
        <w:rPr>
          <w:rFonts w:hint="eastAsia" w:asciiTheme="minorEastAsia" w:hAnsiTheme="minorEastAsia" w:eastAsiaTheme="minorEastAsia" w:cstheme="minorEastAsia"/>
          <w:color w:val="auto"/>
          <w:highlight w:val="none"/>
        </w:rPr>
        <w:t xml:space="preserve">第六章 </w:t>
      </w:r>
      <w:bookmarkStart w:id="522" w:name="_Toc77586966"/>
      <w:r>
        <w:rPr>
          <w:rFonts w:hint="eastAsia" w:asciiTheme="minorEastAsia" w:hAnsiTheme="minorEastAsia" w:eastAsiaTheme="minorEastAsia" w:cstheme="minorEastAsia"/>
          <w:color w:val="auto"/>
          <w:highlight w:val="none"/>
        </w:rPr>
        <w:t>技术标准和要求</w:t>
      </w:r>
      <w:bookmarkEnd w:id="521"/>
      <w:bookmarkEnd w:id="522"/>
    </w:p>
    <w:p w14:paraId="5074116B">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依据技术服务清单</w:t>
      </w:r>
      <w:r>
        <w:rPr>
          <w:rFonts w:hint="eastAsia" w:asciiTheme="minorEastAsia" w:hAnsiTheme="minorEastAsia" w:eastAsiaTheme="minorEastAsia" w:cstheme="minorEastAsia"/>
          <w:color w:val="auto"/>
          <w:sz w:val="24"/>
          <w:szCs w:val="24"/>
          <w:highlight w:val="none"/>
          <w:lang w:val="en-US" w:eastAsia="zh-CN"/>
        </w:rPr>
        <w:t>内容</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val="en-US" w:eastAsia="zh-CN"/>
        </w:rPr>
        <w:t>本项目</w:t>
      </w:r>
      <w:r>
        <w:rPr>
          <w:rFonts w:hint="eastAsia" w:asciiTheme="minorEastAsia" w:hAnsiTheme="minorEastAsia" w:eastAsiaTheme="minorEastAsia" w:cstheme="minorEastAsia"/>
          <w:color w:val="auto"/>
          <w:sz w:val="24"/>
          <w:szCs w:val="24"/>
          <w:highlight w:val="none"/>
        </w:rPr>
        <w:t>技术文件要求，本项目的</w:t>
      </w:r>
      <w:r>
        <w:rPr>
          <w:rFonts w:hint="eastAsia" w:asciiTheme="minorEastAsia" w:hAnsiTheme="minorEastAsia" w:eastAsiaTheme="minorEastAsia" w:cstheme="minorEastAsia"/>
          <w:color w:val="auto"/>
          <w:sz w:val="24"/>
          <w:szCs w:val="24"/>
          <w:highlight w:val="none"/>
          <w:lang w:val="en-US" w:eastAsia="zh-CN"/>
        </w:rPr>
        <w:t>服务内容、标准、所用</w:t>
      </w:r>
      <w:r>
        <w:rPr>
          <w:rFonts w:hint="eastAsia" w:asciiTheme="minorEastAsia" w:hAnsiTheme="minorEastAsia" w:eastAsiaTheme="minorEastAsia" w:cstheme="minorEastAsia"/>
          <w:color w:val="auto"/>
          <w:sz w:val="24"/>
          <w:szCs w:val="24"/>
          <w:highlight w:val="none"/>
        </w:rPr>
        <w:t>材料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设备必须达到现行中华人民共和国及省市行业的一切有关法规、规范的要求。</w:t>
      </w:r>
    </w:p>
    <w:p w14:paraId="1C44D6B8">
      <w:pPr>
        <w:pageBreakBefore w:val="0"/>
        <w:numPr>
          <w:ilvl w:val="0"/>
          <w:numId w:val="0"/>
        </w:numPr>
        <w:kinsoku/>
        <w:wordWrap/>
        <w:overflowPunct/>
        <w:topLinePunct w:val="0"/>
        <w:autoSpaceDE/>
        <w:autoSpaceDN/>
        <w:bidi w:val="0"/>
        <w:spacing w:after="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一、硬件部分技术要求</w:t>
      </w:r>
    </w:p>
    <w:tbl>
      <w:tblPr>
        <w:tblStyle w:val="20"/>
        <w:tblW w:w="85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536"/>
        <w:gridCol w:w="536"/>
        <w:gridCol w:w="6868"/>
      </w:tblGrid>
      <w:tr w14:paraId="4CDC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25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63C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类别</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D9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具体功能</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F4BF">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sz w:val="24"/>
                <w:szCs w:val="24"/>
                <w:highlight w:val="none"/>
                <w:u w:val="none"/>
                <w:lang w:val="en-US"/>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功能描述 </w:t>
            </w:r>
          </w:p>
        </w:tc>
      </w:tr>
      <w:tr w14:paraId="5CBE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B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7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服务器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F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渲染服务器</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06D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处理器 (CPU）：AMD EPYC 9334 (6338N） 处理器（或优于），≥2颗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内存 (RAM）：≥256GB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系统存储 (SSD）：≥960GB 企业级 NVMe SSD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数据存储 (HDD）：1块×≥12TB企业级硬盘</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RAID 控制器：≥LSI/Broadcom MegaRAID 9361-8i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图形处理器 (GPU）：≥2块 NVIDIA GeForce RTX 4090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电源 (PSU）：≥4个热插拔冗余电源模块，每个额定功率≥ 2200W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机柜安装：需满足标准19英寸机柜安装导轨套件。</w:t>
            </w:r>
          </w:p>
        </w:tc>
      </w:tr>
      <w:tr w14:paraId="36E8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E3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5C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大屏</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C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拼接屏</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664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显示尺寸： 55 inch</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背光源类型：D-LED（或优于）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亮度：≤500 ± 10% cd/m²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对比度：≤1200:1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音视频输入接口：需满足（或优于）一路HDMI，一路DVI， 一路USB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控制接口：需满足（或优于）一路RS-232IN， 一路RS-232 OUT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电源：≤100~240 VAC， 50/60 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功耗：≤245 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待机功耗：≤0.5W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产品尺寸：≤1213.50 (W） mm × 684.50 (H） mm × 48.49 (D） mm</w:t>
            </w:r>
          </w:p>
        </w:tc>
      </w:tr>
      <w:tr w14:paraId="4A5B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BF5A6">
            <w:pPr>
              <w:jc w:val="center"/>
              <w:rPr>
                <w:rFonts w:hint="eastAsia" w:asciiTheme="minorEastAsia" w:hAnsiTheme="minorEastAsia" w:eastAsiaTheme="minorEastAsia" w:cstheme="minorEastAsia"/>
                <w:i w:val="0"/>
                <w:iCs w:val="0"/>
                <w:color w:val="auto"/>
                <w:sz w:val="24"/>
                <w:szCs w:val="24"/>
                <w:highlight w:val="none"/>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E71B">
            <w:pPr>
              <w:jc w:val="center"/>
              <w:rPr>
                <w:rFonts w:hint="eastAsia" w:asciiTheme="minorEastAsia" w:hAnsiTheme="minorEastAsia" w:eastAsiaTheme="minorEastAsia" w:cstheme="minorEastAsia"/>
                <w:i w:val="0"/>
                <w:iCs w:val="0"/>
                <w:color w:val="auto"/>
                <w:sz w:val="24"/>
                <w:szCs w:val="24"/>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D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支架</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41D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材质：优质冷轧钢板(SPCC）（或优于）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净重：≤13kg/个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表面处理：静电喷塑，涂层厚度&gt;60微米</w:t>
            </w:r>
          </w:p>
        </w:tc>
      </w:tr>
      <w:tr w14:paraId="5C3D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42030">
            <w:pPr>
              <w:jc w:val="center"/>
              <w:rPr>
                <w:rFonts w:hint="eastAsia" w:asciiTheme="minorEastAsia" w:hAnsiTheme="minorEastAsia" w:eastAsiaTheme="minorEastAsia" w:cstheme="minorEastAsia"/>
                <w:i w:val="0"/>
                <w:iCs w:val="0"/>
                <w:color w:val="auto"/>
                <w:sz w:val="24"/>
                <w:szCs w:val="24"/>
                <w:highlight w:val="none"/>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6E6A3">
            <w:pPr>
              <w:jc w:val="center"/>
              <w:rPr>
                <w:rFonts w:hint="eastAsia" w:asciiTheme="minorEastAsia" w:hAnsiTheme="minorEastAsia" w:eastAsiaTheme="minorEastAsia" w:cstheme="minorEastAsia"/>
                <w:i w:val="0"/>
                <w:iCs w:val="0"/>
                <w:color w:val="auto"/>
                <w:sz w:val="24"/>
                <w:szCs w:val="24"/>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0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超高清解码器</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B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视频输入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需满足（或优于）支持网络IPC、NVR等设备类型作为网络信号源输入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视频输出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需满足（或优于）支持HDMI 1.4视频信号输出，支持4K分辨率（3840 × 2160@30 Hz）超高清输出；需满足（或优于）对接LED显示系统，视频输出LED带载能力单口≥260W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需满足（或优于）两种音频输出方式：HDMI内嵌音频和外置音频输出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视频编解码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需满足（或优于）H.264/H.265编码标准，需满足（或优于）子码流及主码流编码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需满足（或优于）视频解码格式：H.264，H.265，Smart264，Smart265，MJPEG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解码分辨率：≥3200W像素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视频解码通道：160（或优于）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净重：≤ 6.40 Kg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功耗：≤110 W </w:t>
            </w:r>
          </w:p>
        </w:tc>
      </w:tr>
      <w:tr w14:paraId="0CBA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FC971">
            <w:pPr>
              <w:jc w:val="center"/>
              <w:rPr>
                <w:rFonts w:hint="eastAsia" w:asciiTheme="minorEastAsia" w:hAnsiTheme="minorEastAsia" w:eastAsiaTheme="minorEastAsia" w:cstheme="minorEastAsia"/>
                <w:i w:val="0"/>
                <w:iCs w:val="0"/>
                <w:color w:val="auto"/>
                <w:sz w:val="24"/>
                <w:szCs w:val="24"/>
                <w:highlight w:val="none"/>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CE1C9">
            <w:pPr>
              <w:jc w:val="center"/>
              <w:rPr>
                <w:rFonts w:hint="eastAsia" w:asciiTheme="minorEastAsia" w:hAnsiTheme="minorEastAsia" w:eastAsiaTheme="minorEastAsia" w:cstheme="minorEastAsia"/>
                <w:i w:val="0"/>
                <w:iCs w:val="0"/>
                <w:color w:val="auto"/>
                <w:sz w:val="24"/>
                <w:szCs w:val="24"/>
                <w:highlight w:val="none"/>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F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辅材</w:t>
            </w:r>
          </w:p>
        </w:tc>
        <w:tc>
          <w:tcPr>
            <w:tcW w:w="6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C71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高清线，电源线，插排等辅材</w:t>
            </w:r>
          </w:p>
        </w:tc>
      </w:tr>
    </w:tbl>
    <w:p w14:paraId="6A0388ED">
      <w:pPr>
        <w:rPr>
          <w:rFonts w:hint="eastAsia" w:asciiTheme="minorEastAsia" w:hAnsiTheme="minorEastAsia" w:eastAsiaTheme="minorEastAsia" w:cstheme="minorEastAsia"/>
          <w:b/>
          <w:bCs/>
          <w:color w:val="auto"/>
          <w:sz w:val="28"/>
          <w:szCs w:val="28"/>
          <w:highlight w:val="none"/>
          <w:lang w:val="en-US" w:eastAsia="zh-CN"/>
        </w:rPr>
      </w:pPr>
    </w:p>
    <w:p w14:paraId="1AB1F1FF">
      <w:p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br w:type="page"/>
      </w:r>
    </w:p>
    <w:p w14:paraId="2CD9FF34">
      <w:pPr>
        <w:pageBreakBefore w:val="0"/>
        <w:numPr>
          <w:ilvl w:val="0"/>
          <w:numId w:val="0"/>
        </w:numPr>
        <w:kinsoku/>
        <w:wordWrap/>
        <w:overflowPunct/>
        <w:topLinePunct w:val="0"/>
        <w:autoSpaceDE/>
        <w:autoSpaceDN/>
        <w:bidi w:val="0"/>
        <w:spacing w:after="0"/>
        <w:textAlignment w:val="auto"/>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二、服务（软件部分）</w:t>
      </w:r>
    </w:p>
    <w:bookmarkEnd w:id="511"/>
    <w:bookmarkEnd w:id="512"/>
    <w:bookmarkEnd w:id="513"/>
    <w:bookmarkEnd w:id="514"/>
    <w:bookmarkEnd w:id="515"/>
    <w:bookmarkEnd w:id="516"/>
    <w:bookmarkEnd w:id="517"/>
    <w:bookmarkEnd w:id="518"/>
    <w:bookmarkEnd w:id="519"/>
    <w:p w14:paraId="05F4A1D3">
      <w:pPr>
        <w:keepNext w:val="0"/>
        <w:keepLines w:val="0"/>
        <w:pageBreakBefore w:val="0"/>
        <w:widowControl/>
        <w:kinsoku/>
        <w:wordWrap/>
        <w:overflowPunct/>
        <w:topLinePunct w:val="0"/>
        <w:autoSpaceDE/>
        <w:autoSpaceDN/>
        <w:bidi w:val="0"/>
        <w:adjustRightInd w:val="0"/>
        <w:snapToGrid w:val="0"/>
        <w:spacing w:after="0" w:line="360" w:lineRule="auto"/>
        <w:ind w:left="0" w:right="0" w:firstLine="500" w:firstLineChars="200"/>
        <w:textAlignment w:val="auto"/>
        <w:rPr>
          <w:rFonts w:hint="default" w:ascii="Times New Roman" w:hAnsi="Times New Roman" w:eastAsia="宋体" w:cs="Times New Roman"/>
          <w:color w:val="auto"/>
          <w:spacing w:val="5"/>
          <w:sz w:val="24"/>
          <w:szCs w:val="24"/>
          <w:highlight w:val="none"/>
          <w:lang w:val="en-US" w:eastAsia="zh-CN"/>
        </w:rPr>
      </w:pPr>
      <w:bookmarkStart w:id="523" w:name="_Toc247085870"/>
      <w:bookmarkStart w:id="524" w:name="_Toc77586965"/>
      <w:bookmarkStart w:id="525" w:name="_Toc246996353"/>
      <w:bookmarkStart w:id="526" w:name="_Toc152042574"/>
      <w:bookmarkStart w:id="527" w:name="_Toc144974854"/>
      <w:bookmarkStart w:id="528" w:name="_Toc152045785"/>
      <w:bookmarkStart w:id="529" w:name="_Toc179632804"/>
      <w:bookmarkStart w:id="530" w:name="_Toc246997096"/>
      <w:bookmarkStart w:id="531" w:name="_Toc296602599"/>
      <w:r>
        <w:rPr>
          <w:rFonts w:hint="default" w:ascii="Times New Roman" w:hAnsi="Times New Roman" w:eastAsia="宋体" w:cs="Times New Roman"/>
          <w:color w:val="auto"/>
          <w:spacing w:val="5"/>
          <w:sz w:val="24"/>
          <w:szCs w:val="24"/>
          <w:highlight w:val="none"/>
          <w:lang w:val="en-US" w:eastAsia="zh-CN"/>
        </w:rPr>
        <w:t>矩阵建设内容主要包含业务应用系统、信息资源建设和基础能力建设三方面，</w:t>
      </w:r>
      <w:r>
        <w:rPr>
          <w:rFonts w:hint="eastAsia" w:ascii="Times New Roman" w:hAnsi="Times New Roman" w:eastAsia="宋体" w:cs="Times New Roman"/>
          <w:b w:val="0"/>
          <w:bCs w:val="0"/>
          <w:color w:val="auto"/>
          <w:kern w:val="2"/>
          <w:sz w:val="24"/>
          <w:szCs w:val="24"/>
          <w:highlight w:val="none"/>
          <w:lang w:val="en-US" w:eastAsia="zh-CN" w:bidi="ar-SA"/>
        </w:rPr>
        <w:t>需</w:t>
      </w:r>
      <w:r>
        <w:rPr>
          <w:rFonts w:hint="default" w:ascii="Times New Roman" w:hAnsi="Times New Roman" w:eastAsia="宋体" w:cs="Times New Roman"/>
          <w:color w:val="auto"/>
          <w:spacing w:val="5"/>
          <w:sz w:val="24"/>
          <w:szCs w:val="24"/>
          <w:highlight w:val="none"/>
          <w:lang w:val="en-US" w:eastAsia="zh-CN"/>
        </w:rPr>
        <w:t>将系统建设中的信息化基础设施、业务支撑平台和业务应用平台囊括其中。</w:t>
      </w:r>
    </w:p>
    <w:p w14:paraId="5335D69D">
      <w:pPr>
        <w:keepNext w:val="0"/>
        <w:keepLines w:val="0"/>
        <w:pageBreakBefore w:val="0"/>
        <w:widowControl/>
        <w:kinsoku/>
        <w:wordWrap/>
        <w:overflowPunct/>
        <w:topLinePunct w:val="0"/>
        <w:autoSpaceDE/>
        <w:autoSpaceDN/>
        <w:bidi w:val="0"/>
        <w:adjustRightInd w:val="0"/>
        <w:snapToGrid w:val="0"/>
        <w:spacing w:after="0" w:line="360" w:lineRule="auto"/>
        <w:ind w:left="0" w:right="0" w:firstLine="506" w:firstLineChars="200"/>
        <w:textAlignment w:val="auto"/>
        <w:outlineLvl w:val="1"/>
        <w:rPr>
          <w:rFonts w:hint="default" w:ascii="Times New Roman" w:hAnsi="Times New Roman" w:eastAsia="宋体" w:cs="Times New Roman"/>
          <w:b/>
          <w:bCs/>
          <w:strike w:val="0"/>
          <w:dstrike w:val="0"/>
          <w:color w:val="auto"/>
          <w:spacing w:val="6"/>
          <w:sz w:val="24"/>
          <w:szCs w:val="24"/>
          <w:highlight w:val="none"/>
        </w:rPr>
      </w:pPr>
      <w:bookmarkStart w:id="532" w:name="_Toc14340"/>
      <w:bookmarkStart w:id="533" w:name="_Toc11506"/>
      <w:bookmarkStart w:id="534" w:name="_Toc28709"/>
      <w:r>
        <w:rPr>
          <w:rFonts w:hint="default" w:ascii="Times New Roman" w:hAnsi="Times New Roman" w:eastAsia="宋体" w:cs="Times New Roman"/>
          <w:b/>
          <w:bCs/>
          <w:strike w:val="0"/>
          <w:dstrike w:val="0"/>
          <w:color w:val="auto"/>
          <w:spacing w:val="6"/>
          <w:sz w:val="24"/>
          <w:szCs w:val="24"/>
          <w:highlight w:val="none"/>
        </w:rPr>
        <w:t>业务应用系统建设</w:t>
      </w:r>
      <w:bookmarkEnd w:id="532"/>
      <w:bookmarkEnd w:id="533"/>
      <w:bookmarkEnd w:id="534"/>
    </w:p>
    <w:p w14:paraId="4272D0BB">
      <w:pPr>
        <w:keepNext w:val="0"/>
        <w:keepLines w:val="0"/>
        <w:pageBreakBefore w:val="0"/>
        <w:widowControl/>
        <w:kinsoku/>
        <w:wordWrap/>
        <w:overflowPunct/>
        <w:topLinePunct w:val="0"/>
        <w:autoSpaceDE/>
        <w:autoSpaceDN/>
        <w:bidi w:val="0"/>
        <w:adjustRightInd w:val="0"/>
        <w:snapToGrid w:val="0"/>
        <w:spacing w:after="0" w:line="360" w:lineRule="auto"/>
        <w:ind w:left="0" w:right="0" w:firstLine="504" w:firstLineChars="200"/>
        <w:textAlignment w:val="auto"/>
        <w:rPr>
          <w:rFonts w:hint="default" w:ascii="Times New Roman" w:hAnsi="Times New Roman" w:eastAsia="宋体" w:cs="Times New Roman"/>
          <w:strike w:val="0"/>
          <w:dstrike w:val="0"/>
          <w:color w:val="auto"/>
          <w:spacing w:val="6"/>
          <w:sz w:val="24"/>
          <w:szCs w:val="24"/>
          <w:highlight w:val="none"/>
          <w:lang w:val="en-US" w:eastAsia="zh-CN"/>
        </w:rPr>
      </w:pPr>
      <w:r>
        <w:rPr>
          <w:rFonts w:hint="default" w:ascii="Times New Roman" w:hAnsi="Times New Roman" w:eastAsia="宋体" w:cs="Times New Roman"/>
          <w:strike w:val="0"/>
          <w:dstrike w:val="0"/>
          <w:color w:val="auto"/>
          <w:spacing w:val="6"/>
          <w:sz w:val="24"/>
          <w:szCs w:val="24"/>
          <w:highlight w:val="none"/>
          <w:lang w:val="en-US" w:eastAsia="zh-CN"/>
        </w:rPr>
        <w:t>业务应用系统主要包含综合监视舱、业务管理系统两部分，是本次矩阵建设提升的核心部分和具体应用部分，综合监视舱主要是呈现现有的数据信息，</w:t>
      </w:r>
      <w:r>
        <w:rPr>
          <w:rFonts w:hint="eastAsia" w:ascii="Times New Roman" w:hAnsi="Times New Roman" w:eastAsia="宋体" w:cs="Times New Roman"/>
          <w:b w:val="0"/>
          <w:bCs w:val="0"/>
          <w:color w:val="auto"/>
          <w:kern w:val="2"/>
          <w:sz w:val="24"/>
          <w:szCs w:val="24"/>
          <w:highlight w:val="none"/>
          <w:lang w:val="en-US" w:eastAsia="zh-CN" w:bidi="ar-SA"/>
        </w:rPr>
        <w:t>需</w:t>
      </w:r>
      <w:r>
        <w:rPr>
          <w:rFonts w:hint="default" w:ascii="Times New Roman" w:hAnsi="Times New Roman" w:eastAsia="宋体" w:cs="Times New Roman"/>
          <w:strike w:val="0"/>
          <w:dstrike w:val="0"/>
          <w:color w:val="auto"/>
          <w:spacing w:val="6"/>
          <w:sz w:val="24"/>
          <w:szCs w:val="24"/>
          <w:highlight w:val="none"/>
          <w:lang w:val="en-US" w:eastAsia="zh-CN"/>
        </w:rPr>
        <w:t>结合数字孪生效果，引入水利专业模型，全面提升防汛预警水平；业务管理系统主要是下沉到业务层面，针对调度运行、运行管护和管理保障等部分，聚焦实际业务。</w:t>
      </w:r>
    </w:p>
    <w:p w14:paraId="36B4C6E9">
      <w:pPr>
        <w:pageBreakBefore w:val="0"/>
        <w:kinsoku/>
        <w:wordWrap/>
        <w:overflowPunct/>
        <w:topLinePunct w:val="0"/>
        <w:autoSpaceDE/>
        <w:autoSpaceDN/>
        <w:bidi w:val="0"/>
        <w:spacing w:after="0" w:line="360" w:lineRule="auto"/>
        <w:ind w:left="0" w:right="0" w:firstLine="470" w:firstLineChars="200"/>
        <w:textAlignment w:val="auto"/>
        <w:outlineLvl w:val="2"/>
        <w:rPr>
          <w:rFonts w:hint="default" w:ascii="Times New Roman" w:hAnsi="Times New Roman" w:eastAsia="宋体" w:cs="Times New Roman"/>
          <w:b/>
          <w:bCs/>
          <w:strike w:val="0"/>
          <w:dstrike w:val="0"/>
          <w:color w:val="auto"/>
          <w:spacing w:val="-3"/>
          <w:sz w:val="24"/>
          <w:szCs w:val="24"/>
          <w:highlight w:val="none"/>
        </w:rPr>
      </w:pPr>
      <w:bookmarkStart w:id="535" w:name="_Toc6401"/>
      <w:bookmarkStart w:id="536" w:name="_Toc23892"/>
      <w:bookmarkStart w:id="537" w:name="_Toc2117"/>
      <w:r>
        <w:rPr>
          <w:rFonts w:hint="default" w:ascii="Times New Roman" w:hAnsi="Times New Roman" w:eastAsia="宋体" w:cs="Times New Roman"/>
          <w:b/>
          <w:bCs/>
          <w:strike w:val="0"/>
          <w:dstrike w:val="0"/>
          <w:color w:val="auto"/>
          <w:spacing w:val="-3"/>
          <w:sz w:val="24"/>
          <w:szCs w:val="24"/>
          <w:highlight w:val="none"/>
        </w:rPr>
        <w:t>模型平台</w:t>
      </w:r>
      <w:bookmarkEnd w:id="535"/>
      <w:bookmarkEnd w:id="536"/>
      <w:bookmarkEnd w:id="537"/>
    </w:p>
    <w:p w14:paraId="391BA9F2">
      <w:pPr>
        <w:pageBreakBefore w:val="0"/>
        <w:kinsoku/>
        <w:wordWrap/>
        <w:overflowPunct/>
        <w:topLinePunct w:val="0"/>
        <w:autoSpaceDE/>
        <w:autoSpaceDN/>
        <w:bidi w:val="0"/>
        <w:spacing w:after="0" w:line="360" w:lineRule="auto"/>
        <w:ind w:left="0" w:right="0" w:firstLine="504" w:firstLineChars="200"/>
        <w:textAlignment w:val="auto"/>
        <w:rPr>
          <w:rFonts w:hint="default" w:ascii="Times New Roman" w:hAnsi="Times New Roman" w:eastAsia="宋体" w:cs="Times New Roman"/>
          <w:strike w:val="0"/>
          <w:dstrike w:val="0"/>
          <w:color w:val="auto"/>
          <w:spacing w:val="6"/>
          <w:sz w:val="24"/>
          <w:szCs w:val="24"/>
          <w:highlight w:val="none"/>
          <w:lang w:val="en-US" w:eastAsia="zh-CN"/>
        </w:rPr>
      </w:pPr>
      <w:r>
        <w:rPr>
          <w:rFonts w:hint="default" w:ascii="Times New Roman" w:hAnsi="Times New Roman" w:eastAsia="宋体" w:cs="Times New Roman"/>
          <w:strike w:val="0"/>
          <w:dstrike w:val="0"/>
          <w:color w:val="auto"/>
          <w:spacing w:val="6"/>
          <w:sz w:val="24"/>
          <w:szCs w:val="24"/>
          <w:highlight w:val="none"/>
          <w:lang w:val="en-US" w:eastAsia="zh-CN"/>
        </w:rPr>
        <w:t>模型平台主要包含水利专业模型、可视化模型。</w:t>
      </w:r>
    </w:p>
    <w:p w14:paraId="7DDE58D8">
      <w:pPr>
        <w:keepNext/>
        <w:keepLines/>
        <w:pageBreakBefore w:val="0"/>
        <w:widowControl w:val="0"/>
        <w:numPr>
          <w:ilvl w:val="3"/>
          <w:numId w:val="0"/>
        </w:numPr>
        <w:kinsoku/>
        <w:wordWrap/>
        <w:overflowPunct/>
        <w:topLinePunct w:val="0"/>
        <w:autoSpaceDE/>
        <w:autoSpaceDN/>
        <w:bidi w:val="0"/>
        <w:spacing w:after="0" w:line="360" w:lineRule="auto"/>
        <w:ind w:left="0" w:leftChars="0" w:right="0" w:firstLine="482" w:firstLineChars="200"/>
        <w:jc w:val="both"/>
        <w:textAlignment w:val="auto"/>
        <w:outlineLvl w:val="3"/>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水利专业模型</w:t>
      </w:r>
    </w:p>
    <w:p w14:paraId="46DAE178">
      <w:pPr>
        <w:pageBreakBefore w:val="0"/>
        <w:numPr>
          <w:ilvl w:val="0"/>
          <w:numId w:val="0"/>
        </w:numPr>
        <w:kinsoku/>
        <w:wordWrap/>
        <w:overflowPunct/>
        <w:topLinePunct w:val="0"/>
        <w:autoSpaceDE/>
        <w:autoSpaceDN/>
        <w:bidi w:val="0"/>
        <w:spacing w:after="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rPr>
      </w:pPr>
      <w:bookmarkStart w:id="538" w:name="OLE_LINK23"/>
      <w:bookmarkStart w:id="539" w:name="OLE_LINK6"/>
      <w:bookmarkStart w:id="540" w:name="OLE_LINK1"/>
      <w:r>
        <w:rPr>
          <w:rFonts w:hint="eastAsia" w:ascii="Times New Roman" w:hAnsi="Times New Roman"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SA"/>
        </w:rPr>
        <w:t>一）</w:t>
      </w:r>
      <w:r>
        <w:rPr>
          <w:rFonts w:hint="default" w:ascii="Times New Roman" w:hAnsi="Times New Roman" w:eastAsia="宋体" w:cs="Times New Roman"/>
          <w:b/>
          <w:bCs/>
          <w:color w:val="auto"/>
          <w:sz w:val="24"/>
          <w:szCs w:val="24"/>
          <w:highlight w:val="none"/>
        </w:rPr>
        <w:t>水文预报模型</w:t>
      </w:r>
    </w:p>
    <w:bookmarkEnd w:id="538"/>
    <w:bookmarkEnd w:id="539"/>
    <w:p w14:paraId="617DB4D6">
      <w:pPr>
        <w:pageBreakBefore w:val="0"/>
        <w:numPr>
          <w:ilvl w:val="0"/>
          <w:numId w:val="0"/>
        </w:numPr>
        <w:kinsoku/>
        <w:wordWrap/>
        <w:overflowPunct/>
        <w:topLinePunct w:val="0"/>
        <w:autoSpaceDE/>
        <w:autoSpaceDN/>
        <w:bidi w:val="0"/>
        <w:spacing w:after="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bookmarkStart w:id="541" w:name="OLE_LINK30"/>
      <w:bookmarkStart w:id="542" w:name="OLE_LINK16"/>
      <w:r>
        <w:rPr>
          <w:rFonts w:hint="default" w:ascii="Times New Roman" w:hAnsi="Times New Roman" w:eastAsia="宋体" w:cs="Times New Roman"/>
          <w:b w:val="0"/>
          <w:bCs w:val="0"/>
          <w:color w:val="auto"/>
          <w:kern w:val="2"/>
          <w:sz w:val="24"/>
          <w:szCs w:val="24"/>
          <w:highlight w:val="none"/>
          <w:lang w:val="en-US" w:eastAsia="zh-CN" w:bidi="ar-SA"/>
        </w:rPr>
        <w:t>1．</w:t>
      </w:r>
      <w:r>
        <w:rPr>
          <w:rFonts w:hint="default" w:ascii="Times New Roman" w:hAnsi="Times New Roman" w:eastAsia="宋体" w:cs="Times New Roman"/>
          <w:b w:val="0"/>
          <w:bCs w:val="0"/>
          <w:color w:val="auto"/>
          <w:sz w:val="24"/>
          <w:szCs w:val="24"/>
          <w:highlight w:val="none"/>
        </w:rPr>
        <w:t>构建预报拓扑</w:t>
      </w:r>
    </w:p>
    <w:bookmarkEnd w:id="541"/>
    <w:p w14:paraId="65356C4D">
      <w:pPr>
        <w:pageBreakBefore w:val="0"/>
        <w:widowControl/>
        <w:kinsoku/>
        <w:wordWrap/>
        <w:overflowPunct/>
        <w:topLinePunct w:val="0"/>
        <w:autoSpaceDE/>
        <w:autoSpaceDN/>
        <w:bidi w:val="0"/>
        <w:spacing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bookmarkStart w:id="543" w:name="OLE_LINK33"/>
      <w:r>
        <w:rPr>
          <w:rFonts w:hint="default" w:ascii="Times New Roman" w:hAnsi="Times New Roman" w:eastAsia="宋体" w:cs="Times New Roman"/>
          <w:b w:val="0"/>
          <w:bCs w:val="0"/>
          <w:color w:val="auto"/>
          <w:kern w:val="2"/>
          <w:sz w:val="24"/>
          <w:szCs w:val="24"/>
          <w:highlight w:val="none"/>
          <w:lang w:val="en-US" w:eastAsia="zh-CN" w:bidi="ar-SA"/>
        </w:rPr>
        <w:t>根据预报任务，以流域为单元，以水文测站、水利工程、影响区域等为节点构建预报拓扑关系。</w:t>
      </w:r>
      <w:r>
        <w:rPr>
          <w:rFonts w:hint="eastAsia" w:ascii="Times New Roman" w:hAnsi="Times New Roman" w:eastAsia="宋体" w:cs="Times New Roman"/>
          <w:b w:val="0"/>
          <w:bCs w:val="0"/>
          <w:color w:val="auto"/>
          <w:kern w:val="2"/>
          <w:sz w:val="24"/>
          <w:szCs w:val="24"/>
          <w:highlight w:val="none"/>
          <w:lang w:val="en-US" w:eastAsia="zh-CN" w:bidi="ar-SA"/>
        </w:rPr>
        <w:t>需</w:t>
      </w:r>
      <w:r>
        <w:rPr>
          <w:rFonts w:hint="default" w:ascii="Times New Roman" w:hAnsi="Times New Roman" w:eastAsia="宋体" w:cs="Times New Roman"/>
          <w:b w:val="0"/>
          <w:bCs w:val="0"/>
          <w:color w:val="auto"/>
          <w:kern w:val="2"/>
          <w:sz w:val="24"/>
          <w:szCs w:val="24"/>
          <w:highlight w:val="none"/>
          <w:lang w:val="en-US" w:eastAsia="zh-CN" w:bidi="ar-SA"/>
        </w:rPr>
        <w:t>明确各节点的水力联系。主要包括数据收集与处理、流域概化、建立拓扑关系、验证优化、</w:t>
      </w:r>
      <w:bookmarkStart w:id="544" w:name="OLE_LINK38"/>
      <w:r>
        <w:rPr>
          <w:rFonts w:hint="default" w:ascii="Times New Roman" w:hAnsi="Times New Roman" w:eastAsia="宋体" w:cs="Times New Roman"/>
          <w:b w:val="0"/>
          <w:bCs w:val="0"/>
          <w:color w:val="auto"/>
          <w:kern w:val="2"/>
          <w:sz w:val="24"/>
          <w:szCs w:val="24"/>
          <w:highlight w:val="none"/>
          <w:lang w:val="en-US" w:eastAsia="zh-CN" w:bidi="ar-SA"/>
        </w:rPr>
        <w:t>动态调整</w:t>
      </w:r>
      <w:bookmarkEnd w:id="544"/>
      <w:r>
        <w:rPr>
          <w:rFonts w:hint="default" w:ascii="Times New Roman" w:hAnsi="Times New Roman" w:eastAsia="宋体" w:cs="Times New Roman"/>
          <w:b w:val="0"/>
          <w:bCs w:val="0"/>
          <w:color w:val="auto"/>
          <w:kern w:val="2"/>
          <w:sz w:val="24"/>
          <w:szCs w:val="24"/>
          <w:highlight w:val="none"/>
          <w:lang w:val="en-US" w:eastAsia="zh-CN" w:bidi="ar-SA"/>
        </w:rPr>
        <w:t>等步骤。</w:t>
      </w:r>
    </w:p>
    <w:bookmarkEnd w:id="543"/>
    <w:p w14:paraId="5739676E">
      <w:pPr>
        <w:pageBreakBefore w:val="0"/>
        <w:numPr>
          <w:ilvl w:val="0"/>
          <w:numId w:val="0"/>
        </w:numPr>
        <w:kinsoku/>
        <w:wordWrap/>
        <w:overflowPunct/>
        <w:topLinePunct w:val="0"/>
        <w:autoSpaceDE/>
        <w:autoSpaceDN/>
        <w:bidi w:val="0"/>
        <w:spacing w:after="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bookmarkStart w:id="545" w:name="OLE_LINK43"/>
      <w:bookmarkStart w:id="546" w:name="OLE_LINK27"/>
      <w:bookmarkStart w:id="547" w:name="OLE_LINK39"/>
      <w:r>
        <w:rPr>
          <w:rFonts w:hint="default" w:ascii="Times New Roman" w:hAnsi="Times New Roman" w:eastAsia="宋体" w:cs="Times New Roman"/>
          <w:b w:val="0"/>
          <w:bCs w:val="0"/>
          <w:color w:val="auto"/>
          <w:kern w:val="2"/>
          <w:sz w:val="24"/>
          <w:szCs w:val="24"/>
          <w:highlight w:val="none"/>
          <w:lang w:val="en-US" w:eastAsia="zh-CN" w:bidi="ar-SA"/>
        </w:rPr>
        <w:t>2．</w:t>
      </w:r>
      <w:r>
        <w:rPr>
          <w:rFonts w:hint="default" w:ascii="Times New Roman" w:hAnsi="Times New Roman" w:eastAsia="宋体" w:cs="Times New Roman"/>
          <w:b w:val="0"/>
          <w:bCs w:val="0"/>
          <w:color w:val="auto"/>
          <w:sz w:val="24"/>
          <w:szCs w:val="24"/>
          <w:highlight w:val="none"/>
        </w:rPr>
        <w:t>选择模型</w:t>
      </w:r>
    </w:p>
    <w:bookmarkEnd w:id="545"/>
    <w:p w14:paraId="1506E69B">
      <w:pPr>
        <w:pageBreakBefore w:val="0"/>
        <w:widowControl/>
        <w:kinsoku/>
        <w:wordWrap/>
        <w:overflowPunct/>
        <w:topLinePunct w:val="0"/>
        <w:autoSpaceDE/>
        <w:autoSpaceDN/>
        <w:bidi w:val="0"/>
        <w:spacing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bookmarkStart w:id="548" w:name="OLE_LINK2"/>
      <w:bookmarkStart w:id="549" w:name="OLE_LINK47"/>
      <w:r>
        <w:rPr>
          <w:rFonts w:hint="default" w:ascii="Times New Roman" w:hAnsi="Times New Roman" w:eastAsia="宋体" w:cs="Times New Roman"/>
          <w:b w:val="0"/>
          <w:bCs w:val="0"/>
          <w:color w:val="auto"/>
          <w:kern w:val="2"/>
          <w:sz w:val="24"/>
          <w:szCs w:val="24"/>
          <w:highlight w:val="none"/>
          <w:lang w:val="en-US" w:eastAsia="zh-CN" w:bidi="ar-SA"/>
        </w:rPr>
        <w:t>结合窄口水库实际需求、流域特性、现有资料、模型精度等原因，</w:t>
      </w:r>
      <w:bookmarkStart w:id="550" w:name="OLE_LINK41"/>
      <w:r>
        <w:rPr>
          <w:rFonts w:hint="default" w:ascii="Times New Roman" w:hAnsi="Times New Roman" w:eastAsia="宋体" w:cs="Times New Roman"/>
          <w:b w:val="0"/>
          <w:bCs w:val="0"/>
          <w:color w:val="auto"/>
          <w:kern w:val="2"/>
          <w:sz w:val="24"/>
          <w:szCs w:val="24"/>
          <w:highlight w:val="none"/>
          <w:lang w:val="en-US" w:eastAsia="zh-CN" w:bidi="ar-SA"/>
        </w:rPr>
        <w:t>选取适当模型</w:t>
      </w:r>
      <w:bookmarkEnd w:id="550"/>
      <w:r>
        <w:rPr>
          <w:rFonts w:hint="default" w:ascii="Times New Roman" w:hAnsi="Times New Roman" w:eastAsia="宋体" w:cs="Times New Roman"/>
          <w:b w:val="0"/>
          <w:bCs w:val="0"/>
          <w:color w:val="auto"/>
          <w:kern w:val="2"/>
          <w:sz w:val="24"/>
          <w:szCs w:val="24"/>
          <w:highlight w:val="none"/>
          <w:lang w:val="en-US" w:eastAsia="zh-CN" w:bidi="ar-SA"/>
        </w:rPr>
        <w:t>进行水文预报</w:t>
      </w:r>
      <w:bookmarkEnd w:id="548"/>
      <w:bookmarkStart w:id="551" w:name="OLE_LINK56"/>
      <w:r>
        <w:rPr>
          <w:rFonts w:hint="default" w:ascii="Times New Roman" w:hAnsi="Times New Roman" w:eastAsia="宋体" w:cs="Times New Roman"/>
          <w:b w:val="0"/>
          <w:bCs w:val="0"/>
          <w:color w:val="auto"/>
          <w:kern w:val="2"/>
          <w:sz w:val="24"/>
          <w:szCs w:val="24"/>
          <w:highlight w:val="none"/>
          <w:lang w:val="en-US" w:eastAsia="zh-CN" w:bidi="ar-SA"/>
        </w:rPr>
        <w:t>。</w:t>
      </w:r>
      <w:bookmarkEnd w:id="551"/>
    </w:p>
    <w:bookmarkEnd w:id="540"/>
    <w:bookmarkEnd w:id="542"/>
    <w:bookmarkEnd w:id="546"/>
    <w:bookmarkEnd w:id="547"/>
    <w:bookmarkEnd w:id="549"/>
    <w:p w14:paraId="14C676FC">
      <w:pPr>
        <w:pageBreakBefore w:val="0"/>
        <w:numPr>
          <w:ilvl w:val="0"/>
          <w:numId w:val="0"/>
        </w:numPr>
        <w:kinsoku/>
        <w:wordWrap/>
        <w:overflowPunct/>
        <w:topLinePunct w:val="0"/>
        <w:autoSpaceDE/>
        <w:autoSpaceDN/>
        <w:bidi w:val="0"/>
        <w:spacing w:after="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rPr>
      </w:pPr>
      <w:bookmarkStart w:id="552" w:name="OLE_LINK217"/>
      <w:bookmarkStart w:id="553" w:name="OLE_LINK174"/>
      <w:r>
        <w:rPr>
          <w:rFonts w:hint="eastAsia" w:ascii="Times New Roman" w:hAnsi="Times New Roman"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SA"/>
        </w:rPr>
        <w:t>二）</w:t>
      </w:r>
      <w:r>
        <w:rPr>
          <w:rFonts w:hint="default" w:ascii="Times New Roman" w:hAnsi="Times New Roman" w:eastAsia="宋体" w:cs="Times New Roman"/>
          <w:b/>
          <w:bCs/>
          <w:color w:val="auto"/>
          <w:sz w:val="24"/>
          <w:szCs w:val="24"/>
          <w:highlight w:val="none"/>
        </w:rPr>
        <w:t>洪水调度模型</w:t>
      </w:r>
    </w:p>
    <w:bookmarkEnd w:id="552"/>
    <w:p w14:paraId="1A93D5DC">
      <w:pPr>
        <w:pageBreakBefore w:val="0"/>
        <w:widowControl/>
        <w:kinsoku/>
        <w:wordWrap/>
        <w:overflowPunct/>
        <w:topLinePunct w:val="0"/>
        <w:autoSpaceDE/>
        <w:autoSpaceDN/>
        <w:bidi w:val="0"/>
        <w:spacing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从水库防洪角度考虑，建立水库的防洪调度模型，开发水库常用调度方案，将水库调度方案程序化，形成常规水库调度方法库。</w:t>
      </w:r>
    </w:p>
    <w:p w14:paraId="4E499F37">
      <w:pPr>
        <w:pageBreakBefore w:val="0"/>
        <w:widowControl/>
        <w:kinsoku/>
        <w:wordWrap/>
        <w:overflowPunct/>
        <w:topLinePunct w:val="0"/>
        <w:autoSpaceDE/>
        <w:autoSpaceDN/>
        <w:bidi w:val="0"/>
        <w:spacing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水库预报调度系统应使用以下几种调度方式进行调度，根据未来水库来水情况包括规程控制调度、预泄控制调度、出库控制调度、综合控制调度、期末水位控制调度。其中有闸门水库采用规程控制调度、预泄控制调度、出库控制调度、综合控制调度、期末水位控制调度等调度方式进行调度。</w:t>
      </w:r>
    </w:p>
    <w:p w14:paraId="0B7FB748">
      <w:pPr>
        <w:pageBreakBefore w:val="0"/>
        <w:numPr>
          <w:ilvl w:val="0"/>
          <w:numId w:val="0"/>
        </w:numPr>
        <w:kinsoku/>
        <w:wordWrap/>
        <w:overflowPunct/>
        <w:topLinePunct w:val="0"/>
        <w:autoSpaceDE/>
        <w:autoSpaceDN/>
        <w:bidi w:val="0"/>
        <w:spacing w:after="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SA"/>
        </w:rPr>
        <w:t>三）</w:t>
      </w:r>
      <w:r>
        <w:rPr>
          <w:rFonts w:hint="default" w:ascii="Times New Roman" w:hAnsi="Times New Roman" w:eastAsia="宋体" w:cs="Times New Roman"/>
          <w:b/>
          <w:bCs/>
          <w:color w:val="auto"/>
          <w:sz w:val="24"/>
          <w:szCs w:val="24"/>
          <w:highlight w:val="none"/>
        </w:rPr>
        <w:t>洪水演进模型</w:t>
      </w:r>
    </w:p>
    <w:bookmarkEnd w:id="553"/>
    <w:p w14:paraId="6C939547">
      <w:pPr>
        <w:pageBreakBefore w:val="0"/>
        <w:widowControl/>
        <w:kinsoku/>
        <w:wordWrap/>
        <w:overflowPunct/>
        <w:topLinePunct w:val="0"/>
        <w:autoSpaceDE/>
        <w:autoSpaceDN/>
        <w:bidi w:val="0"/>
        <w:spacing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构建洪水影响范围内的演进方案。</w:t>
      </w:r>
      <w:r>
        <w:rPr>
          <w:rFonts w:hint="eastAsia" w:ascii="Times New Roman" w:hAnsi="Times New Roman" w:eastAsia="宋体" w:cs="Times New Roman"/>
          <w:b w:val="0"/>
          <w:bCs w:val="0"/>
          <w:color w:val="auto"/>
          <w:kern w:val="2"/>
          <w:sz w:val="24"/>
          <w:szCs w:val="24"/>
          <w:highlight w:val="none"/>
          <w:lang w:val="en-US" w:eastAsia="zh-CN" w:bidi="ar-SA"/>
        </w:rPr>
        <w:t>需</w:t>
      </w:r>
      <w:r>
        <w:rPr>
          <w:rFonts w:hint="eastAsia" w:ascii="Times New Roman" w:hAnsi="Times New Roman" w:eastAsia="宋体" w:cs="Times New Roman"/>
          <w:color w:val="auto"/>
          <w:kern w:val="2"/>
          <w:sz w:val="24"/>
          <w:szCs w:val="24"/>
          <w:highlight w:val="none"/>
          <w:lang w:val="en-US" w:eastAsia="zh-CN" w:bidi="ar-SA"/>
        </w:rPr>
        <w:t>满足</w:t>
      </w:r>
      <w:r>
        <w:rPr>
          <w:rFonts w:hint="default" w:ascii="Times New Roman" w:hAnsi="Times New Roman" w:eastAsia="宋体" w:cs="Times New Roman"/>
          <w:color w:val="auto"/>
          <w:kern w:val="2"/>
          <w:sz w:val="24"/>
          <w:szCs w:val="24"/>
          <w:highlight w:val="none"/>
          <w:lang w:val="en-US" w:eastAsia="zh-CN" w:bidi="ar-SA"/>
        </w:rPr>
        <w:t>进行实时洪水计算、历史洪水复演、设计洪水仿真，满足洪水预演需求。</w:t>
      </w:r>
    </w:p>
    <w:p w14:paraId="6352ADC3">
      <w:pPr>
        <w:pageBreakBefore w:val="0"/>
        <w:numPr>
          <w:ilvl w:val="0"/>
          <w:numId w:val="0"/>
        </w:numPr>
        <w:kinsoku/>
        <w:wordWrap/>
        <w:overflowPunct/>
        <w:topLinePunct w:val="0"/>
        <w:autoSpaceDE/>
        <w:autoSpaceDN/>
        <w:bidi w:val="0"/>
        <w:spacing w:after="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2"/>
          <w:sz w:val="24"/>
          <w:szCs w:val="24"/>
          <w:highlight w:val="none"/>
          <w:lang w:val="en-US" w:eastAsia="zh-CN" w:bidi="ar-SA"/>
        </w:rPr>
        <w:t>1．</w:t>
      </w:r>
      <w:r>
        <w:rPr>
          <w:rFonts w:hint="default" w:ascii="Times New Roman" w:hAnsi="Times New Roman" w:eastAsia="宋体" w:cs="Times New Roman"/>
          <w:b w:val="0"/>
          <w:bCs w:val="0"/>
          <w:color w:val="auto"/>
          <w:sz w:val="24"/>
          <w:szCs w:val="24"/>
          <w:highlight w:val="none"/>
        </w:rPr>
        <w:t>一维水动力模型构建</w:t>
      </w:r>
    </w:p>
    <w:p w14:paraId="1FE46D39">
      <w:pPr>
        <w:pageBreakBefore w:val="0"/>
        <w:widowControl/>
        <w:kinsoku/>
        <w:wordWrap/>
        <w:overflowPunct/>
        <w:topLinePunct w:val="0"/>
        <w:autoSpaceDE/>
        <w:autoSpaceDN/>
        <w:bidi w:val="0"/>
        <w:spacing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bookmarkStart w:id="554" w:name="OLE_LINK181"/>
      <w:r>
        <w:rPr>
          <w:rFonts w:hint="default" w:ascii="Times New Roman" w:hAnsi="Times New Roman" w:eastAsia="宋体" w:cs="Times New Roman"/>
          <w:b w:val="0"/>
          <w:bCs w:val="0"/>
          <w:color w:val="auto"/>
          <w:kern w:val="2"/>
          <w:sz w:val="24"/>
          <w:szCs w:val="24"/>
          <w:highlight w:val="none"/>
          <w:lang w:val="en-US" w:eastAsia="zh-CN" w:bidi="ar-SA"/>
        </w:rPr>
        <w:t>一维水动力模型构建主要</w:t>
      </w:r>
      <w:r>
        <w:rPr>
          <w:rFonts w:hint="eastAsia" w:ascii="Times New Roman" w:hAnsi="Times New Roman" w:eastAsia="宋体" w:cs="Times New Roman"/>
          <w:b w:val="0"/>
          <w:bCs w:val="0"/>
          <w:color w:val="auto"/>
          <w:kern w:val="2"/>
          <w:sz w:val="24"/>
          <w:szCs w:val="24"/>
          <w:highlight w:val="none"/>
          <w:lang w:val="en-US" w:eastAsia="zh-CN" w:bidi="ar-SA"/>
        </w:rPr>
        <w:t>需要</w:t>
      </w:r>
      <w:r>
        <w:rPr>
          <w:rFonts w:hint="default" w:ascii="Times New Roman" w:hAnsi="Times New Roman" w:eastAsia="宋体" w:cs="Times New Roman"/>
          <w:b w:val="0"/>
          <w:bCs w:val="0"/>
          <w:color w:val="auto"/>
          <w:kern w:val="2"/>
          <w:sz w:val="24"/>
          <w:szCs w:val="24"/>
          <w:highlight w:val="none"/>
          <w:lang w:val="en-US" w:eastAsia="zh-CN" w:bidi="ar-SA"/>
        </w:rPr>
        <w:t>包括窄口流域水系概化、干支流河道断面数据处理与输入、水利工程概化、调度规则设置等工作。</w:t>
      </w:r>
    </w:p>
    <w:bookmarkEnd w:id="554"/>
    <w:p w14:paraId="0C878B08">
      <w:pPr>
        <w:pageBreakBefore w:val="0"/>
        <w:numPr>
          <w:ilvl w:val="0"/>
          <w:numId w:val="0"/>
        </w:numPr>
        <w:kinsoku/>
        <w:wordWrap/>
        <w:overflowPunct/>
        <w:topLinePunct w:val="0"/>
        <w:autoSpaceDE/>
        <w:autoSpaceDN/>
        <w:bidi w:val="0"/>
        <w:spacing w:after="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bookmarkStart w:id="555" w:name="OLE_LINK192"/>
      <w:r>
        <w:rPr>
          <w:rFonts w:hint="default" w:ascii="Times New Roman" w:hAnsi="Times New Roman" w:eastAsia="宋体" w:cs="Times New Roman"/>
          <w:b w:val="0"/>
          <w:bCs w:val="0"/>
          <w:color w:val="auto"/>
          <w:kern w:val="2"/>
          <w:sz w:val="24"/>
          <w:szCs w:val="24"/>
          <w:highlight w:val="none"/>
          <w:lang w:val="en-US" w:eastAsia="zh-CN" w:bidi="ar-SA"/>
        </w:rPr>
        <w:t>2．</w:t>
      </w:r>
      <w:r>
        <w:rPr>
          <w:rFonts w:hint="default" w:ascii="Times New Roman" w:hAnsi="Times New Roman" w:eastAsia="宋体" w:cs="Times New Roman"/>
          <w:b w:val="0"/>
          <w:bCs w:val="0"/>
          <w:color w:val="auto"/>
          <w:sz w:val="24"/>
          <w:szCs w:val="24"/>
          <w:highlight w:val="none"/>
        </w:rPr>
        <w:t>二维水动力模型构建</w:t>
      </w:r>
    </w:p>
    <w:bookmarkEnd w:id="555"/>
    <w:p w14:paraId="6326DBF6">
      <w:pPr>
        <w:pageBreakBefore w:val="0"/>
        <w:widowControl/>
        <w:kinsoku/>
        <w:wordWrap/>
        <w:overflowPunct/>
        <w:topLinePunct w:val="0"/>
        <w:autoSpaceDE/>
        <w:autoSpaceDN/>
        <w:bidi w:val="0"/>
        <w:spacing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bookmarkStart w:id="556" w:name="OLE_LINK193"/>
      <w:r>
        <w:rPr>
          <w:rFonts w:hint="default" w:ascii="Times New Roman" w:hAnsi="Times New Roman" w:eastAsia="宋体" w:cs="Times New Roman"/>
          <w:b w:val="0"/>
          <w:bCs w:val="0"/>
          <w:color w:val="auto"/>
          <w:kern w:val="2"/>
          <w:sz w:val="24"/>
          <w:szCs w:val="24"/>
          <w:highlight w:val="none"/>
          <w:lang w:val="en-US" w:eastAsia="zh-CN" w:bidi="ar-SA"/>
        </w:rPr>
        <w:t>二维水动力模型构建考虑应整个流域范围，主要包含以下工作:</w:t>
      </w:r>
    </w:p>
    <w:p w14:paraId="49CAEBDE">
      <w:pPr>
        <w:pageBreakBefore w:val="0"/>
        <w:widowControl/>
        <w:kinsoku/>
        <w:wordWrap/>
        <w:overflowPunct/>
        <w:topLinePunct w:val="0"/>
        <w:autoSpaceDE/>
        <w:autoSpaceDN/>
        <w:bidi w:val="0"/>
        <w:spacing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(1</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网格划分，</w:t>
      </w:r>
      <w:r>
        <w:rPr>
          <w:rFonts w:hint="eastAsia" w:ascii="Times New Roman" w:hAnsi="Times New Roman" w:eastAsia="宋体" w:cs="Times New Roman"/>
          <w:b w:val="0"/>
          <w:bCs w:val="0"/>
          <w:color w:val="auto"/>
          <w:kern w:val="2"/>
          <w:sz w:val="24"/>
          <w:szCs w:val="24"/>
          <w:highlight w:val="none"/>
          <w:lang w:val="en-US" w:eastAsia="zh-CN" w:bidi="ar-SA"/>
        </w:rPr>
        <w:t>需</w:t>
      </w:r>
      <w:r>
        <w:rPr>
          <w:rFonts w:hint="default" w:ascii="Times New Roman" w:hAnsi="Times New Roman" w:eastAsia="宋体" w:cs="Times New Roman"/>
          <w:b w:val="0"/>
          <w:bCs w:val="0"/>
          <w:color w:val="auto"/>
          <w:kern w:val="2"/>
          <w:sz w:val="24"/>
          <w:szCs w:val="24"/>
          <w:highlight w:val="none"/>
          <w:lang w:val="en-US" w:eastAsia="zh-CN" w:bidi="ar-SA"/>
        </w:rPr>
        <w:t>综合考虑二维建模范围边界</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外边界）、内部线型阻水建筑物</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高速公路、铁路）、河道堤防等，</w:t>
      </w:r>
      <w:r>
        <w:rPr>
          <w:rFonts w:hint="eastAsia" w:ascii="Times New Roman" w:hAnsi="Times New Roman" w:eastAsia="宋体" w:cs="Times New Roman"/>
          <w:b w:val="0"/>
          <w:bCs w:val="0"/>
          <w:color w:val="auto"/>
          <w:kern w:val="2"/>
          <w:sz w:val="24"/>
          <w:szCs w:val="24"/>
          <w:highlight w:val="none"/>
          <w:lang w:val="en-US" w:eastAsia="zh-CN" w:bidi="ar-SA"/>
        </w:rPr>
        <w:t>并</w:t>
      </w:r>
      <w:r>
        <w:rPr>
          <w:rFonts w:hint="default" w:ascii="Times New Roman" w:hAnsi="Times New Roman" w:eastAsia="宋体" w:cs="Times New Roman"/>
          <w:b w:val="0"/>
          <w:bCs w:val="0"/>
          <w:color w:val="auto"/>
          <w:kern w:val="2"/>
          <w:sz w:val="24"/>
          <w:szCs w:val="24"/>
          <w:highlight w:val="none"/>
          <w:lang w:val="en-US" w:eastAsia="zh-CN" w:bidi="ar-SA"/>
        </w:rPr>
        <w:t>划分二维网格。</w:t>
      </w:r>
    </w:p>
    <w:p w14:paraId="4B37FB1A">
      <w:pPr>
        <w:pageBreakBefore w:val="0"/>
        <w:widowControl/>
        <w:kinsoku/>
        <w:wordWrap/>
        <w:overflowPunct/>
        <w:topLinePunct w:val="0"/>
        <w:autoSpaceDE/>
        <w:autoSpaceDN/>
        <w:bidi w:val="0"/>
        <w:spacing w:after="0" w:line="360" w:lineRule="auto"/>
        <w:ind w:left="0" w:right="0"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2"/>
          <w:sz w:val="24"/>
          <w:szCs w:val="24"/>
          <w:highlight w:val="none"/>
          <w:lang w:val="en-US" w:eastAsia="zh-CN" w:bidi="ar-SA"/>
        </w:rPr>
        <w:t>(2</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参数设置，二维模型参数设置</w:t>
      </w:r>
      <w:r>
        <w:rPr>
          <w:rFonts w:hint="eastAsia" w:ascii="Times New Roman" w:hAnsi="Times New Roman" w:eastAsia="宋体" w:cs="Times New Roman"/>
          <w:b w:val="0"/>
          <w:bCs w:val="0"/>
          <w:color w:val="auto"/>
          <w:kern w:val="2"/>
          <w:sz w:val="24"/>
          <w:szCs w:val="24"/>
          <w:highlight w:val="none"/>
          <w:lang w:val="en-US" w:eastAsia="zh-CN" w:bidi="ar-SA"/>
        </w:rPr>
        <w:t>需</w:t>
      </w:r>
      <w:r>
        <w:rPr>
          <w:rFonts w:hint="default" w:ascii="Times New Roman" w:hAnsi="Times New Roman" w:eastAsia="宋体" w:cs="Times New Roman"/>
          <w:b w:val="0"/>
          <w:bCs w:val="0"/>
          <w:color w:val="auto"/>
          <w:kern w:val="2"/>
          <w:sz w:val="24"/>
          <w:szCs w:val="24"/>
          <w:highlight w:val="none"/>
          <w:lang w:val="en-US" w:eastAsia="zh-CN" w:bidi="ar-SA"/>
        </w:rPr>
        <w:t>主要包括地表糙率，将根据下垫面类型</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草地、林地、裸土等）进行</w:t>
      </w:r>
      <w:r>
        <w:rPr>
          <w:rFonts w:hint="default" w:ascii="Times New Roman" w:hAnsi="Times New Roman" w:eastAsia="宋体" w:cs="Times New Roman"/>
          <w:b w:val="0"/>
          <w:bCs w:val="0"/>
          <w:color w:val="auto"/>
          <w:sz w:val="24"/>
          <w:szCs w:val="24"/>
          <w:highlight w:val="none"/>
        </w:rPr>
        <w:t>分类设置。</w:t>
      </w:r>
      <w:bookmarkEnd w:id="556"/>
    </w:p>
    <w:p w14:paraId="29AAA773">
      <w:pPr>
        <w:keepNext/>
        <w:keepLines/>
        <w:pageBreakBefore w:val="0"/>
        <w:widowControl w:val="0"/>
        <w:numPr>
          <w:ilvl w:val="3"/>
          <w:numId w:val="0"/>
        </w:numPr>
        <w:kinsoku/>
        <w:wordWrap/>
        <w:overflowPunct/>
        <w:topLinePunct w:val="0"/>
        <w:autoSpaceDE/>
        <w:autoSpaceDN/>
        <w:bidi w:val="0"/>
        <w:spacing w:after="0" w:line="360" w:lineRule="auto"/>
        <w:ind w:left="0" w:leftChars="0" w:right="0" w:firstLine="482" w:firstLineChars="200"/>
        <w:jc w:val="both"/>
        <w:textAlignment w:val="auto"/>
        <w:outlineLvl w:val="3"/>
        <w:rPr>
          <w:rFonts w:hint="default" w:ascii="Times New Roman" w:hAnsi="Times New Roman" w:eastAsia="宋体" w:cs="Times New Roman"/>
          <w:b/>
          <w:bCs w:val="0"/>
          <w:color w:val="auto"/>
          <w:kern w:val="2"/>
          <w:sz w:val="24"/>
          <w:szCs w:val="24"/>
          <w:highlight w:val="none"/>
          <w:lang w:val="en-US" w:eastAsia="zh-CN" w:bidi="ar-SA"/>
        </w:rPr>
      </w:pPr>
    </w:p>
    <w:p w14:paraId="3004B485">
      <w:pPr>
        <w:keepNext/>
        <w:keepLines/>
        <w:pageBreakBefore w:val="0"/>
        <w:widowControl w:val="0"/>
        <w:numPr>
          <w:ilvl w:val="3"/>
          <w:numId w:val="0"/>
        </w:numPr>
        <w:kinsoku/>
        <w:wordWrap/>
        <w:overflowPunct/>
        <w:topLinePunct w:val="0"/>
        <w:autoSpaceDE/>
        <w:autoSpaceDN/>
        <w:bidi w:val="0"/>
        <w:spacing w:after="0" w:line="360" w:lineRule="auto"/>
        <w:ind w:left="0" w:leftChars="0" w:right="0" w:firstLine="482" w:firstLineChars="200"/>
        <w:jc w:val="both"/>
        <w:textAlignment w:val="auto"/>
        <w:outlineLvl w:val="3"/>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可视化模型</w:t>
      </w:r>
    </w:p>
    <w:p w14:paraId="2EBBC019">
      <w:pPr>
        <w:pageBreakBefore w:val="0"/>
        <w:numPr>
          <w:ilvl w:val="0"/>
          <w:numId w:val="0"/>
        </w:numPr>
        <w:kinsoku/>
        <w:wordWrap/>
        <w:overflowPunct/>
        <w:topLinePunct w:val="0"/>
        <w:autoSpaceDE/>
        <w:autoSpaceDN/>
        <w:bidi w:val="0"/>
        <w:spacing w:after="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sz w:val="24"/>
          <w:szCs w:val="24"/>
          <w:highlight w:val="none"/>
        </w:rPr>
        <w:t>三维可视化模型</w:t>
      </w:r>
    </w:p>
    <w:p w14:paraId="170BDD46">
      <w:pPr>
        <w:pageBreakBefore w:val="0"/>
        <w:numPr>
          <w:ilvl w:val="0"/>
          <w:numId w:val="0"/>
        </w:numPr>
        <w:kinsoku/>
        <w:wordWrap/>
        <w:overflowPunct/>
        <w:topLinePunct w:val="0"/>
        <w:autoSpaceDE/>
        <w:autoSpaceDN/>
        <w:bidi w:val="0"/>
        <w:spacing w:after="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rPr>
        <w:t>全场景中精度可视化模型</w:t>
      </w:r>
    </w:p>
    <w:p w14:paraId="7B756E6E">
      <w:pPr>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选取库区及</w:t>
      </w:r>
      <w:r>
        <w:rPr>
          <w:rFonts w:hint="default" w:ascii="Times New Roman" w:hAnsi="Times New Roman" w:eastAsia="宋体" w:cs="Times New Roman"/>
          <w:color w:val="auto"/>
          <w:sz w:val="24"/>
          <w:szCs w:val="24"/>
          <w:highlight w:val="none"/>
          <w:lang w:val="en-US" w:eastAsia="zh-CN"/>
        </w:rPr>
        <w:t>下游</w:t>
      </w:r>
      <w:r>
        <w:rPr>
          <w:rFonts w:hint="default" w:ascii="Times New Roman" w:hAnsi="Times New Roman" w:eastAsia="宋体" w:cs="Times New Roman"/>
          <w:color w:val="auto"/>
          <w:sz w:val="24"/>
          <w:szCs w:val="24"/>
          <w:highlight w:val="none"/>
        </w:rPr>
        <w:t>范围共计</w:t>
      </w:r>
      <w:r>
        <w:rPr>
          <w:rFonts w:hint="default" w:ascii="Times New Roman" w:hAnsi="Times New Roman" w:eastAsia="宋体" w:cs="Times New Roman"/>
          <w:color w:val="auto"/>
          <w:sz w:val="24"/>
          <w:szCs w:val="24"/>
          <w:highlight w:val="none"/>
          <w:lang w:val="en-US" w:eastAsia="zh-CN"/>
        </w:rPr>
        <w:t>150</w:t>
      </w:r>
      <w:r>
        <w:rPr>
          <w:rFonts w:hint="default" w:ascii="Times New Roman" w:hAnsi="Times New Roman" w:eastAsia="宋体" w:cs="Times New Roman"/>
          <w:color w:val="auto"/>
          <w:sz w:val="24"/>
          <w:szCs w:val="24"/>
          <w:highlight w:val="none"/>
        </w:rPr>
        <w:t>km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进行全场景的中精度建模，精度</w:t>
      </w:r>
      <w:r>
        <w:rPr>
          <w:rFonts w:hint="default"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达到L2.0级别。</w:t>
      </w:r>
    </w:p>
    <w:p w14:paraId="6F3AF69D">
      <w:pPr>
        <w:pageBreakBefore w:val="0"/>
        <w:numPr>
          <w:ilvl w:val="0"/>
          <w:numId w:val="0"/>
        </w:numPr>
        <w:kinsoku/>
        <w:wordWrap/>
        <w:overflowPunct/>
        <w:topLinePunct w:val="0"/>
        <w:autoSpaceDE/>
        <w:autoSpaceDN/>
        <w:bidi w:val="0"/>
        <w:spacing w:after="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）重点场景高精度可视化建模</w:t>
      </w:r>
    </w:p>
    <w:p w14:paraId="587B3167">
      <w:pPr>
        <w:pStyle w:val="29"/>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对</w:t>
      </w:r>
      <w:r>
        <w:rPr>
          <w:rFonts w:hint="default" w:ascii="Times New Roman" w:hAnsi="Times New Roman" w:eastAsia="宋体" w:cs="Times New Roman"/>
          <w:color w:val="auto"/>
          <w:sz w:val="24"/>
          <w:szCs w:val="24"/>
          <w:highlight w:val="none"/>
          <w:lang w:val="en-US" w:eastAsia="zh-CN"/>
        </w:rPr>
        <w:t>窄口水库</w:t>
      </w:r>
      <w:r>
        <w:rPr>
          <w:rFonts w:hint="default" w:ascii="Times New Roman" w:hAnsi="Times New Roman" w:eastAsia="宋体" w:cs="Times New Roman"/>
          <w:color w:val="auto"/>
          <w:sz w:val="24"/>
          <w:szCs w:val="24"/>
          <w:highlight w:val="none"/>
        </w:rPr>
        <w:t>库区及大坝</w:t>
      </w:r>
      <w:r>
        <w:rPr>
          <w:rFonts w:hint="eastAsia" w:ascii="Times New Roman" w:hAnsi="Times New Roman" w:eastAsia="宋体" w:cs="Times New Roman"/>
          <w:color w:val="auto"/>
          <w:sz w:val="24"/>
          <w:szCs w:val="24"/>
          <w:highlight w:val="none"/>
          <w:lang w:val="en-US" w:eastAsia="zh-CN"/>
        </w:rPr>
        <w:t>约2</w:t>
      </w:r>
      <w:r>
        <w:rPr>
          <w:rFonts w:hint="default" w:ascii="Times New Roman" w:hAnsi="Times New Roman" w:eastAsia="宋体" w:cs="Times New Roman"/>
          <w:color w:val="auto"/>
          <w:sz w:val="24"/>
          <w:szCs w:val="24"/>
          <w:highlight w:val="none"/>
        </w:rPr>
        <w:t>km</w:t>
      </w:r>
      <w:r>
        <w:rPr>
          <w:rFonts w:hint="default" w:ascii="Times New Roman" w:hAnsi="Times New Roman" w:eastAsia="宋体" w:cs="Times New Roman"/>
          <w:color w:val="auto"/>
          <w:sz w:val="24"/>
          <w:szCs w:val="24"/>
          <w:highlight w:val="none"/>
          <w:vertAlign w:val="superscript"/>
        </w:rPr>
        <w:t>2</w:t>
      </w:r>
      <w:r>
        <w:rPr>
          <w:rFonts w:hint="eastAsia" w:ascii="Times New Roman" w:hAnsi="Times New Roman" w:eastAsia="宋体" w:cs="Times New Roman"/>
          <w:color w:val="auto"/>
          <w:sz w:val="24"/>
          <w:szCs w:val="24"/>
          <w:highlight w:val="none"/>
          <w:vertAlign w:val="baseline"/>
          <w:lang w:val="en-US" w:eastAsia="zh-CN"/>
        </w:rPr>
        <w:t>范围</w:t>
      </w:r>
      <w:r>
        <w:rPr>
          <w:rFonts w:hint="default" w:ascii="Times New Roman" w:hAnsi="Times New Roman" w:eastAsia="宋体" w:cs="Times New Roman"/>
          <w:color w:val="auto"/>
          <w:sz w:val="24"/>
          <w:szCs w:val="24"/>
          <w:highlight w:val="none"/>
        </w:rPr>
        <w:t>进行倾斜摄影数据生产及场景融合处理，精度需保持与原始数据一致</w:t>
      </w:r>
      <w:r>
        <w:rPr>
          <w:rFonts w:hint="eastAsia" w:ascii="Times New Roman" w:hAnsi="Times New Roman" w:eastAsia="宋体" w:cs="Times New Roman"/>
          <w:color w:val="auto"/>
          <w:sz w:val="24"/>
          <w:szCs w:val="24"/>
          <w:highlight w:val="none"/>
          <w:lang w:eastAsia="zh-CN"/>
        </w:rPr>
        <w:t>。</w:t>
      </w:r>
    </w:p>
    <w:p w14:paraId="1F8E881C">
      <w:pPr>
        <w:pageBreakBefore w:val="0"/>
        <w:numPr>
          <w:ilvl w:val="0"/>
          <w:numId w:val="0"/>
        </w:numPr>
        <w:kinsoku/>
        <w:wordWrap/>
        <w:overflowPunct/>
        <w:topLinePunct w:val="0"/>
        <w:autoSpaceDE/>
        <w:autoSpaceDN/>
        <w:bidi w:val="0"/>
        <w:spacing w:after="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rPr>
        <w:t>淹没热力图/淹没真实水体图</w:t>
      </w:r>
    </w:p>
    <w:p w14:paraId="21D1A6B9">
      <w:pPr>
        <w:pageBreakBefore w:val="0"/>
        <w:numPr>
          <w:ilvl w:val="0"/>
          <w:numId w:val="0"/>
        </w:numPr>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随时间播放淹没水深变化情况，以热力图/真实水体的形式进行展示</w:t>
      </w:r>
      <w:r>
        <w:rPr>
          <w:rFonts w:hint="default" w:ascii="Times New Roman" w:hAnsi="Times New Roman" w:eastAsia="宋体" w:cs="Times New Roman"/>
          <w:color w:val="auto"/>
          <w:sz w:val="24"/>
          <w:szCs w:val="24"/>
          <w:highlight w:val="none"/>
          <w:lang w:eastAsia="zh-CN"/>
        </w:rPr>
        <w:t>。</w:t>
      </w:r>
    </w:p>
    <w:p w14:paraId="1B346C47">
      <w:pPr>
        <w:pageBreakBefore w:val="0"/>
        <w:kinsoku/>
        <w:wordWrap/>
        <w:overflowPunct/>
        <w:topLinePunct w:val="0"/>
        <w:autoSpaceDE/>
        <w:autoSpaceDN/>
        <w:bidi w:val="0"/>
        <w:spacing w:after="0" w:line="360" w:lineRule="auto"/>
        <w:ind w:left="0" w:right="0" w:firstLine="470" w:firstLineChars="200"/>
        <w:textAlignment w:val="auto"/>
        <w:outlineLvl w:val="9"/>
        <w:rPr>
          <w:rFonts w:hint="default" w:ascii="Times New Roman" w:hAnsi="Times New Roman" w:eastAsia="宋体" w:cs="Times New Roman"/>
          <w:b/>
          <w:bCs/>
          <w:strike w:val="0"/>
          <w:dstrike w:val="0"/>
          <w:color w:val="auto"/>
          <w:spacing w:val="-3"/>
          <w:sz w:val="24"/>
          <w:szCs w:val="24"/>
          <w:highlight w:val="none"/>
          <w:lang w:val="en-US" w:eastAsia="zh-CN"/>
        </w:rPr>
      </w:pPr>
      <w:bookmarkStart w:id="557" w:name="_Toc24178"/>
      <w:bookmarkStart w:id="558" w:name="_Toc16087"/>
    </w:p>
    <w:p w14:paraId="7411EB61">
      <w:pPr>
        <w:pageBreakBefore w:val="0"/>
        <w:kinsoku/>
        <w:wordWrap/>
        <w:overflowPunct/>
        <w:topLinePunct w:val="0"/>
        <w:autoSpaceDE/>
        <w:autoSpaceDN/>
        <w:bidi w:val="0"/>
        <w:spacing w:after="0" w:line="360" w:lineRule="auto"/>
        <w:ind w:left="0" w:right="0" w:firstLine="470" w:firstLineChars="200"/>
        <w:textAlignment w:val="auto"/>
        <w:outlineLvl w:val="9"/>
        <w:rPr>
          <w:rFonts w:hint="default" w:ascii="Times New Roman" w:hAnsi="Times New Roman" w:eastAsia="宋体" w:cs="Times New Roman"/>
          <w:b/>
          <w:bCs/>
          <w:strike w:val="0"/>
          <w:dstrike w:val="0"/>
          <w:color w:val="auto"/>
          <w:spacing w:val="-3"/>
          <w:sz w:val="24"/>
          <w:szCs w:val="24"/>
          <w:highlight w:val="none"/>
          <w:lang w:val="en-US" w:eastAsia="zh-CN"/>
        </w:rPr>
      </w:pPr>
      <w:r>
        <w:rPr>
          <w:rFonts w:hint="default" w:ascii="Times New Roman" w:hAnsi="Times New Roman" w:eastAsia="宋体" w:cs="Times New Roman"/>
          <w:b/>
          <w:bCs/>
          <w:strike w:val="0"/>
          <w:dstrike w:val="0"/>
          <w:color w:val="auto"/>
          <w:spacing w:val="-3"/>
          <w:sz w:val="24"/>
          <w:szCs w:val="24"/>
          <w:highlight w:val="none"/>
          <w:lang w:val="en-US" w:eastAsia="zh-CN"/>
        </w:rPr>
        <w:t>综合监视舱</w:t>
      </w:r>
      <w:bookmarkEnd w:id="557"/>
      <w:bookmarkEnd w:id="558"/>
    </w:p>
    <w:p w14:paraId="5DFCE488">
      <w:pPr>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综合监视舱模块，</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实现基础地理信息数据、业务数据、专题数据等多源异构数据融合，对管理</w:t>
      </w:r>
      <w:r>
        <w:rPr>
          <w:rFonts w:hint="default" w:ascii="Times New Roman" w:hAnsi="Times New Roman" w:eastAsia="宋体" w:cs="Times New Roman"/>
          <w:color w:val="auto"/>
          <w:sz w:val="24"/>
          <w:szCs w:val="24"/>
          <w:highlight w:val="none"/>
          <w:lang w:val="en-US" w:eastAsia="zh-CN"/>
        </w:rPr>
        <w:t>矩阵建设</w:t>
      </w:r>
      <w:r>
        <w:rPr>
          <w:rFonts w:hint="default" w:ascii="Times New Roman" w:hAnsi="Times New Roman" w:eastAsia="宋体" w:cs="Times New Roman"/>
          <w:color w:val="auto"/>
          <w:sz w:val="24"/>
          <w:szCs w:val="24"/>
          <w:highlight w:val="none"/>
        </w:rPr>
        <w:t>各业务版块的核心数据、关键指标进行一屏统揽。</w:t>
      </w:r>
    </w:p>
    <w:p w14:paraId="50307AAA">
      <w:pPr>
        <w:pageBreakBefore w:val="0"/>
        <w:numPr>
          <w:ilvl w:val="0"/>
          <w:numId w:val="0"/>
        </w:numPr>
        <w:kinsoku/>
        <w:wordWrap/>
        <w:overflowPunct/>
        <w:topLinePunct w:val="0"/>
        <w:autoSpaceDE/>
        <w:autoSpaceDN/>
        <w:bidi w:val="0"/>
        <w:spacing w:after="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sz w:val="24"/>
          <w:szCs w:val="24"/>
          <w:highlight w:val="none"/>
        </w:rPr>
        <w:t>防汛信息一览</w:t>
      </w:r>
    </w:p>
    <w:p w14:paraId="690E227E">
      <w:pPr>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全面呈现</w:t>
      </w:r>
      <w:r>
        <w:rPr>
          <w:rFonts w:hint="default" w:ascii="Times New Roman" w:hAnsi="Times New Roman" w:eastAsia="宋体" w:cs="Times New Roman"/>
          <w:color w:val="auto"/>
          <w:sz w:val="24"/>
          <w:szCs w:val="24"/>
          <w:highlight w:val="none"/>
          <w:lang w:val="en-US" w:eastAsia="zh-CN"/>
        </w:rPr>
        <w:t>矩阵建设</w:t>
      </w:r>
      <w:r>
        <w:rPr>
          <w:rFonts w:hint="default" w:ascii="Times New Roman" w:hAnsi="Times New Roman" w:eastAsia="宋体" w:cs="Times New Roman"/>
          <w:color w:val="auto"/>
          <w:sz w:val="24"/>
          <w:szCs w:val="24"/>
          <w:highlight w:val="none"/>
        </w:rPr>
        <w:t>的建设成果，</w:t>
      </w:r>
      <w:r>
        <w:rPr>
          <w:rFonts w:hint="default" w:ascii="Times New Roman" w:hAnsi="Times New Roman" w:eastAsia="宋体" w:cs="Times New Roman"/>
          <w:color w:val="auto"/>
          <w:sz w:val="24"/>
          <w:szCs w:val="24"/>
          <w:highlight w:val="none"/>
          <w:lang w:val="en-US" w:eastAsia="zh-CN"/>
        </w:rPr>
        <w:t>将</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四全</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管理、</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四制</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治</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体系、</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四预</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措施、</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四管</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等工作成果</w:t>
      </w:r>
      <w:r>
        <w:rPr>
          <w:rFonts w:hint="default" w:ascii="Times New Roman" w:hAnsi="Times New Roman" w:eastAsia="宋体" w:cs="Times New Roman"/>
          <w:color w:val="auto"/>
          <w:sz w:val="24"/>
          <w:szCs w:val="24"/>
          <w:highlight w:val="none"/>
        </w:rPr>
        <w:t>呈现在</w:t>
      </w:r>
      <w:r>
        <w:rPr>
          <w:rFonts w:hint="default" w:ascii="Times New Roman" w:hAnsi="Times New Roman" w:eastAsia="宋体" w:cs="Times New Roman"/>
          <w:color w:val="auto"/>
          <w:sz w:val="24"/>
          <w:szCs w:val="24"/>
          <w:highlight w:val="none"/>
          <w:lang w:val="en-US" w:eastAsia="zh-CN"/>
        </w:rPr>
        <w:t>矩阵首页大屏中</w:t>
      </w:r>
      <w:r>
        <w:rPr>
          <w:rFonts w:hint="default" w:ascii="Times New Roman" w:hAnsi="Times New Roman" w:eastAsia="宋体" w:cs="Times New Roman"/>
          <w:color w:val="auto"/>
          <w:sz w:val="24"/>
          <w:szCs w:val="24"/>
          <w:highlight w:val="none"/>
        </w:rPr>
        <w:t>。</w:t>
      </w:r>
    </w:p>
    <w:p w14:paraId="230B586D">
      <w:pPr>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将</w:t>
      </w:r>
      <w:r>
        <w:rPr>
          <w:rFonts w:hint="default" w:ascii="Times New Roman" w:hAnsi="Times New Roman" w:eastAsia="宋体" w:cs="Times New Roman"/>
          <w:color w:val="auto"/>
          <w:sz w:val="24"/>
          <w:szCs w:val="24"/>
          <w:highlight w:val="none"/>
          <w:lang w:val="en-US" w:eastAsia="zh-CN"/>
        </w:rPr>
        <w:t>窄口</w:t>
      </w:r>
      <w:r>
        <w:rPr>
          <w:rFonts w:hint="default" w:ascii="Times New Roman" w:hAnsi="Times New Roman" w:eastAsia="宋体" w:cs="Times New Roman"/>
          <w:color w:val="auto"/>
          <w:sz w:val="24"/>
          <w:szCs w:val="24"/>
          <w:highlight w:val="none"/>
        </w:rPr>
        <w:t>水库相关的各类数据整合到三维场景中，建立基于高精度模型</w:t>
      </w:r>
      <w:r>
        <w:rPr>
          <w:rFonts w:hint="eastAsia" w:ascii="Times New Roman" w:hAnsi="Times New Roman" w:eastAsia="宋体" w:cs="Times New Roman"/>
          <w:color w:val="auto"/>
          <w:sz w:val="24"/>
          <w:szCs w:val="24"/>
          <w:highlight w:val="none"/>
          <w:lang w:val="en-US" w:eastAsia="zh-CN"/>
        </w:rPr>
        <w:t>满足</w:t>
      </w:r>
      <w:r>
        <w:rPr>
          <w:rFonts w:hint="default" w:ascii="Times New Roman" w:hAnsi="Times New Roman" w:eastAsia="宋体" w:cs="Times New Roman"/>
          <w:color w:val="auto"/>
          <w:sz w:val="24"/>
          <w:szCs w:val="24"/>
          <w:highlight w:val="none"/>
        </w:rPr>
        <w:t>B/S</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浏览器/服务器）运行模式的智慧化仿真功能，通过合理的功能模块化设计，将流域管理工作中复杂的管理要素进行整合，化繁为简，提升</w:t>
      </w:r>
      <w:r>
        <w:rPr>
          <w:rFonts w:hint="eastAsia" w:ascii="Times New Roman" w:hAnsi="Times New Roman" w:eastAsia="宋体" w:cs="Times New Roman"/>
          <w:color w:val="auto"/>
          <w:sz w:val="24"/>
          <w:szCs w:val="24"/>
          <w:highlight w:val="none"/>
          <w:lang w:eastAsia="zh-CN"/>
        </w:rPr>
        <w:t>我</w:t>
      </w:r>
      <w:r>
        <w:rPr>
          <w:rFonts w:hint="eastAsia" w:ascii="Times New Roman" w:hAnsi="Times New Roman" w:eastAsia="宋体" w:cs="Times New Roman"/>
          <w:color w:val="auto"/>
          <w:sz w:val="24"/>
          <w:szCs w:val="24"/>
          <w:highlight w:val="none"/>
          <w:lang w:val="en-US" w:eastAsia="zh-CN"/>
        </w:rPr>
        <w:t>库区</w:t>
      </w:r>
      <w:r>
        <w:rPr>
          <w:rFonts w:hint="default" w:ascii="Times New Roman" w:hAnsi="Times New Roman" w:eastAsia="宋体" w:cs="Times New Roman"/>
          <w:color w:val="auto"/>
          <w:sz w:val="24"/>
          <w:szCs w:val="24"/>
          <w:highlight w:val="none"/>
        </w:rPr>
        <w:t>管理人员的管理效率。</w:t>
      </w:r>
    </w:p>
    <w:p w14:paraId="5AEE32AB">
      <w:pPr>
        <w:pageBreakBefore w:val="0"/>
        <w:numPr>
          <w:ilvl w:val="0"/>
          <w:numId w:val="0"/>
        </w:numPr>
        <w:kinsoku/>
        <w:wordWrap/>
        <w:overflowPunct/>
        <w:topLinePunct w:val="0"/>
        <w:autoSpaceDE/>
        <w:autoSpaceDN/>
        <w:bidi w:val="0"/>
        <w:spacing w:after="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2"/>
          <w:sz w:val="24"/>
          <w:szCs w:val="24"/>
          <w:highlight w:val="none"/>
          <w:lang w:val="en-US" w:eastAsia="zh-CN" w:bidi="ar-SA"/>
        </w:rPr>
        <w:t>2．</w:t>
      </w:r>
      <w:r>
        <w:rPr>
          <w:rFonts w:hint="default" w:ascii="Times New Roman" w:hAnsi="Times New Roman" w:eastAsia="宋体" w:cs="Times New Roman"/>
          <w:b/>
          <w:bCs/>
          <w:color w:val="auto"/>
          <w:sz w:val="24"/>
          <w:szCs w:val="24"/>
          <w:highlight w:val="none"/>
        </w:rPr>
        <w:t>四全模块</w:t>
      </w:r>
    </w:p>
    <w:p w14:paraId="44D04885">
      <w:pPr>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四全综合监视舱</w:t>
      </w:r>
      <w:r>
        <w:rPr>
          <w:rFonts w:hint="eastAsia" w:ascii="Times New Roman" w:hAnsi="Times New Roman" w:eastAsia="宋体" w:cs="Times New Roman"/>
          <w:color w:val="auto"/>
          <w:sz w:val="24"/>
          <w:szCs w:val="24"/>
          <w:highlight w:val="none"/>
          <w:lang w:val="en-US" w:eastAsia="zh-CN"/>
        </w:rPr>
        <w:t>可以</w:t>
      </w:r>
      <w:r>
        <w:rPr>
          <w:rFonts w:hint="default" w:ascii="Times New Roman" w:hAnsi="Times New Roman" w:eastAsia="宋体" w:cs="Times New Roman"/>
          <w:color w:val="auto"/>
          <w:sz w:val="24"/>
          <w:szCs w:val="24"/>
          <w:highlight w:val="none"/>
        </w:rPr>
        <w:t>以数字渲染场景为底图，把库区、上下游、左右岸要素与数字渲染场景相融合，在场景中接入大量的监测信息、例如视频、大坝安全等。大屏两侧主要呈现水雨工情、水质、大坝安全、安防等关键实时数据，</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以图表等呈现形式直观展现。</w:t>
      </w:r>
    </w:p>
    <w:p w14:paraId="3575A941">
      <w:pPr>
        <w:pageBreakBefore w:val="0"/>
        <w:numPr>
          <w:ilvl w:val="0"/>
          <w:numId w:val="0"/>
        </w:numPr>
        <w:kinsoku/>
        <w:wordWrap/>
        <w:overflowPunct/>
        <w:topLinePunct w:val="0"/>
        <w:autoSpaceDE/>
        <w:autoSpaceDN/>
        <w:bidi w:val="0"/>
        <w:spacing w:after="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2"/>
          <w:sz w:val="24"/>
          <w:szCs w:val="24"/>
          <w:highlight w:val="none"/>
          <w:lang w:val="en-US" w:eastAsia="zh-CN" w:bidi="ar-SA"/>
        </w:rPr>
        <w:t>3．</w:t>
      </w:r>
      <w:r>
        <w:rPr>
          <w:rFonts w:hint="default" w:ascii="Times New Roman" w:hAnsi="Times New Roman" w:eastAsia="宋体" w:cs="Times New Roman"/>
          <w:b/>
          <w:bCs/>
          <w:color w:val="auto"/>
          <w:sz w:val="24"/>
          <w:szCs w:val="24"/>
          <w:highlight w:val="none"/>
        </w:rPr>
        <w:t>四制</w:t>
      </w:r>
      <w:r>
        <w:rPr>
          <w:rFonts w:hint="eastAsia"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治</w:t>
      </w:r>
      <w:r>
        <w:rPr>
          <w:rFonts w:hint="eastAsia"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模块</w:t>
      </w:r>
    </w:p>
    <w:p w14:paraId="5D10EFF2">
      <w:pPr>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四制</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治）综合监视舱</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将水库现有的法律法规</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组织人事、</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三个责任人</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、制度管理、组织培训等重点内容进行数字化存档和呈现。</w:t>
      </w:r>
    </w:p>
    <w:p w14:paraId="69B9725E">
      <w:pPr>
        <w:pageBreakBefore w:val="0"/>
        <w:numPr>
          <w:ilvl w:val="0"/>
          <w:numId w:val="0"/>
        </w:numPr>
        <w:kinsoku/>
        <w:wordWrap/>
        <w:overflowPunct/>
        <w:topLinePunct w:val="0"/>
        <w:autoSpaceDE/>
        <w:autoSpaceDN/>
        <w:bidi w:val="0"/>
        <w:spacing w:after="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2"/>
          <w:sz w:val="24"/>
          <w:szCs w:val="24"/>
          <w:highlight w:val="none"/>
          <w:lang w:val="en-US" w:eastAsia="zh-CN" w:bidi="ar-SA"/>
        </w:rPr>
        <w:t>4．</w:t>
      </w:r>
      <w:r>
        <w:rPr>
          <w:rFonts w:hint="default" w:ascii="Times New Roman" w:hAnsi="Times New Roman" w:eastAsia="宋体" w:cs="Times New Roman"/>
          <w:b/>
          <w:bCs/>
          <w:color w:val="auto"/>
          <w:sz w:val="24"/>
          <w:szCs w:val="24"/>
          <w:highlight w:val="none"/>
        </w:rPr>
        <w:t>四预模块</w:t>
      </w:r>
    </w:p>
    <w:p w14:paraId="2C437142">
      <w:pPr>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四预综合监视舱</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融合气象、水文等多源数据，</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动态生成水库水位、入库流量等精准预报</w:t>
      </w:r>
      <w:r>
        <w:rPr>
          <w:rFonts w:hint="default" w:ascii="Times New Roman" w:hAnsi="Times New Roman" w:eastAsia="宋体" w:cs="Times New Roman"/>
          <w:color w:val="auto"/>
          <w:sz w:val="24"/>
          <w:szCs w:val="24"/>
          <w:highlight w:val="none"/>
          <w:lang w:val="en-US" w:eastAsia="zh-CN"/>
        </w:rPr>
        <w:t>数据</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实时监测库区风险阈值</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如超汛限水位），</w:t>
      </w:r>
      <w:r>
        <w:rPr>
          <w:rFonts w:hint="eastAsia" w:ascii="Times New Roman" w:hAnsi="Times New Roman" w:eastAsia="宋体" w:cs="Times New Roman"/>
          <w:color w:val="auto"/>
          <w:sz w:val="24"/>
          <w:szCs w:val="24"/>
          <w:highlight w:val="none"/>
          <w:lang w:val="en-US" w:eastAsia="zh-CN"/>
        </w:rPr>
        <w:t>满足</w:t>
      </w:r>
      <w:r>
        <w:rPr>
          <w:rFonts w:hint="default" w:ascii="Times New Roman" w:hAnsi="Times New Roman" w:eastAsia="宋体" w:cs="Times New Roman"/>
          <w:color w:val="auto"/>
          <w:sz w:val="24"/>
          <w:szCs w:val="24"/>
          <w:highlight w:val="none"/>
        </w:rPr>
        <w:t>自动触发分级预警并向管理端推送；</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支持</w:t>
      </w:r>
      <w:r>
        <w:rPr>
          <w:rFonts w:hint="default" w:ascii="Times New Roman" w:hAnsi="Times New Roman" w:eastAsia="宋体" w:cs="Times New Roman"/>
          <w:color w:val="auto"/>
          <w:sz w:val="24"/>
          <w:szCs w:val="24"/>
          <w:highlight w:val="none"/>
          <w:lang w:val="en-US" w:eastAsia="zh-CN"/>
        </w:rPr>
        <w:t>洪水</w:t>
      </w:r>
      <w:r>
        <w:rPr>
          <w:rFonts w:hint="default" w:ascii="Times New Roman" w:hAnsi="Times New Roman" w:eastAsia="宋体" w:cs="Times New Roman"/>
          <w:color w:val="auto"/>
          <w:sz w:val="24"/>
          <w:szCs w:val="24"/>
          <w:highlight w:val="none"/>
        </w:rPr>
        <w:t>调度等三维仿真推演，模拟不同应急方案下的</w:t>
      </w:r>
      <w:r>
        <w:rPr>
          <w:rFonts w:hint="default" w:ascii="Times New Roman" w:hAnsi="Times New Roman" w:eastAsia="宋体" w:cs="Times New Roman"/>
          <w:color w:val="auto"/>
          <w:sz w:val="24"/>
          <w:szCs w:val="24"/>
          <w:highlight w:val="none"/>
          <w:lang w:val="en-US" w:eastAsia="zh-CN"/>
        </w:rPr>
        <w:t>洪水演进情况</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关联防汛预案库，一键启动泄洪调度、人员转移等应急指令，联动闸门、物资等资源协同响应。</w:t>
      </w:r>
    </w:p>
    <w:p w14:paraId="355B1BA6">
      <w:pPr>
        <w:pageBreakBefore w:val="0"/>
        <w:numPr>
          <w:ilvl w:val="0"/>
          <w:numId w:val="0"/>
        </w:numPr>
        <w:kinsoku/>
        <w:wordWrap/>
        <w:overflowPunct/>
        <w:topLinePunct w:val="0"/>
        <w:autoSpaceDE/>
        <w:autoSpaceDN/>
        <w:bidi w:val="0"/>
        <w:spacing w:after="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2"/>
          <w:sz w:val="24"/>
          <w:szCs w:val="24"/>
          <w:highlight w:val="none"/>
          <w:lang w:val="en-US" w:eastAsia="zh-CN" w:bidi="ar-SA"/>
        </w:rPr>
        <w:t>5．</w:t>
      </w:r>
      <w:r>
        <w:rPr>
          <w:rFonts w:hint="default" w:ascii="Times New Roman" w:hAnsi="Times New Roman" w:eastAsia="宋体" w:cs="Times New Roman"/>
          <w:b/>
          <w:bCs/>
          <w:color w:val="auto"/>
          <w:sz w:val="24"/>
          <w:szCs w:val="24"/>
          <w:highlight w:val="none"/>
        </w:rPr>
        <w:t>四管模块</w:t>
      </w:r>
    </w:p>
    <w:p w14:paraId="5ED57ACE">
      <w:pPr>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四管综合监视舱</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呈现水库在安全鉴定、保护管理、工程巡查、安全管理、应急保障、维修养护等各项重点工作的成果</w:t>
      </w:r>
      <w:r>
        <w:rPr>
          <w:rFonts w:hint="default" w:ascii="Times New Roman" w:hAnsi="Times New Roman" w:eastAsia="宋体" w:cs="Times New Roman"/>
          <w:color w:val="auto"/>
          <w:sz w:val="24"/>
          <w:szCs w:val="24"/>
          <w:highlight w:val="none"/>
          <w:lang w:eastAsia="zh-CN"/>
        </w:rPr>
        <w:t>。</w:t>
      </w:r>
    </w:p>
    <w:p w14:paraId="682E2AC9">
      <w:pPr>
        <w:pageBreakBefore w:val="0"/>
        <w:kinsoku/>
        <w:wordWrap/>
        <w:overflowPunct/>
        <w:topLinePunct w:val="0"/>
        <w:autoSpaceDE/>
        <w:autoSpaceDN/>
        <w:bidi w:val="0"/>
        <w:spacing w:after="0" w:line="360" w:lineRule="auto"/>
        <w:ind w:left="0" w:right="0" w:firstLine="470" w:firstLineChars="200"/>
        <w:textAlignment w:val="auto"/>
        <w:outlineLvl w:val="2"/>
        <w:rPr>
          <w:rFonts w:hint="default" w:ascii="Times New Roman" w:hAnsi="Times New Roman" w:eastAsia="宋体" w:cs="Times New Roman"/>
          <w:b/>
          <w:bCs/>
          <w:strike w:val="0"/>
          <w:dstrike w:val="0"/>
          <w:color w:val="auto"/>
          <w:spacing w:val="-3"/>
          <w:sz w:val="24"/>
          <w:szCs w:val="24"/>
          <w:highlight w:val="none"/>
          <w:lang w:val="en-US" w:eastAsia="zh-CN"/>
        </w:rPr>
      </w:pPr>
      <w:bookmarkStart w:id="559" w:name="_Toc17675"/>
      <w:bookmarkStart w:id="560" w:name="_Toc32266"/>
      <w:bookmarkStart w:id="561" w:name="_Toc29620"/>
    </w:p>
    <w:p w14:paraId="0C9A8D15">
      <w:pPr>
        <w:pageBreakBefore w:val="0"/>
        <w:kinsoku/>
        <w:wordWrap/>
        <w:overflowPunct/>
        <w:topLinePunct w:val="0"/>
        <w:autoSpaceDE/>
        <w:autoSpaceDN/>
        <w:bidi w:val="0"/>
        <w:spacing w:after="0" w:line="360" w:lineRule="auto"/>
        <w:ind w:left="0" w:right="0" w:firstLine="470" w:firstLineChars="200"/>
        <w:textAlignment w:val="auto"/>
        <w:outlineLvl w:val="2"/>
        <w:rPr>
          <w:rFonts w:hint="default" w:ascii="Times New Roman" w:hAnsi="Times New Roman" w:eastAsia="宋体" w:cs="Times New Roman"/>
          <w:b/>
          <w:bCs/>
          <w:strike w:val="0"/>
          <w:dstrike w:val="0"/>
          <w:color w:val="auto"/>
          <w:spacing w:val="-3"/>
          <w:sz w:val="24"/>
          <w:szCs w:val="24"/>
          <w:highlight w:val="none"/>
          <w:lang w:val="en-US" w:eastAsia="zh-CN"/>
        </w:rPr>
      </w:pPr>
      <w:r>
        <w:rPr>
          <w:rFonts w:hint="default" w:ascii="Times New Roman" w:hAnsi="Times New Roman" w:eastAsia="宋体" w:cs="Times New Roman"/>
          <w:b/>
          <w:bCs/>
          <w:strike w:val="0"/>
          <w:dstrike w:val="0"/>
          <w:color w:val="auto"/>
          <w:spacing w:val="-3"/>
          <w:sz w:val="24"/>
          <w:szCs w:val="24"/>
          <w:highlight w:val="none"/>
          <w:lang w:val="en-US" w:eastAsia="zh-CN"/>
        </w:rPr>
        <w:t>业务管理平台</w:t>
      </w:r>
      <w:bookmarkEnd w:id="559"/>
      <w:bookmarkEnd w:id="560"/>
      <w:bookmarkEnd w:id="561"/>
    </w:p>
    <w:p w14:paraId="23D70B13">
      <w:pPr>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业务管理平台</w:t>
      </w:r>
      <w:r>
        <w:rPr>
          <w:rFonts w:hint="eastAsia" w:ascii="Times New Roman" w:hAnsi="Times New Roman" w:eastAsia="宋体" w:cs="Times New Roman"/>
          <w:color w:val="auto"/>
          <w:sz w:val="24"/>
          <w:szCs w:val="24"/>
          <w:highlight w:val="none"/>
          <w:lang w:eastAsia="zh-CN"/>
        </w:rPr>
        <w:t>是</w:t>
      </w:r>
      <w:r>
        <w:rPr>
          <w:rFonts w:hint="default" w:ascii="Times New Roman" w:hAnsi="Times New Roman" w:eastAsia="宋体" w:cs="Times New Roman"/>
          <w:color w:val="auto"/>
          <w:sz w:val="24"/>
          <w:szCs w:val="24"/>
          <w:highlight w:val="none"/>
        </w:rPr>
        <w:t>主要围绕</w:t>
      </w:r>
      <w:r>
        <w:rPr>
          <w:rFonts w:hint="default" w:ascii="Times New Roman" w:hAnsi="Times New Roman" w:eastAsia="宋体" w:cs="Times New Roman"/>
          <w:color w:val="auto"/>
          <w:sz w:val="24"/>
          <w:szCs w:val="24"/>
          <w:highlight w:val="none"/>
          <w:lang w:eastAsia="zh-CN"/>
        </w:rPr>
        <w:t>窄口</w:t>
      </w:r>
      <w:r>
        <w:rPr>
          <w:rFonts w:hint="default" w:ascii="Times New Roman" w:hAnsi="Times New Roman" w:eastAsia="宋体" w:cs="Times New Roman"/>
          <w:color w:val="auto"/>
          <w:sz w:val="24"/>
          <w:szCs w:val="24"/>
          <w:highlight w:val="none"/>
        </w:rPr>
        <w:t>水库</w:t>
      </w:r>
      <w:r>
        <w:rPr>
          <w:rFonts w:hint="default" w:ascii="Times New Roman" w:hAnsi="Times New Roman" w:eastAsia="宋体" w:cs="Times New Roman"/>
          <w:color w:val="auto"/>
          <w:sz w:val="24"/>
          <w:szCs w:val="24"/>
          <w:highlight w:val="none"/>
          <w:lang w:val="en-US" w:eastAsia="zh-CN"/>
        </w:rPr>
        <w:t>矩阵建设</w:t>
      </w:r>
      <w:r>
        <w:rPr>
          <w:rFonts w:hint="default" w:ascii="Times New Roman" w:hAnsi="Times New Roman" w:eastAsia="宋体" w:cs="Times New Roman"/>
          <w:color w:val="auto"/>
          <w:sz w:val="24"/>
          <w:szCs w:val="24"/>
          <w:highlight w:val="none"/>
        </w:rPr>
        <w:t>为核心，</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以</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四全</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为基础、以</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四制</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为前提、以</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四预</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为决策支撑和以</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四管</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为保障等四个方面，</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从前端感知设备的覆盖、到制度落实的保障、预报</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预警-预演-预案的体系支撑、再到标准化运行管理的现状支撑，全面提升</w:t>
      </w:r>
      <w:r>
        <w:rPr>
          <w:rFonts w:hint="default" w:ascii="Times New Roman" w:hAnsi="Times New Roman" w:eastAsia="宋体" w:cs="Times New Roman"/>
          <w:color w:val="auto"/>
          <w:sz w:val="24"/>
          <w:szCs w:val="24"/>
          <w:highlight w:val="none"/>
          <w:lang w:val="en-US" w:eastAsia="zh-CN"/>
        </w:rPr>
        <w:t>窄口</w:t>
      </w:r>
      <w:r>
        <w:rPr>
          <w:rFonts w:hint="default" w:ascii="Times New Roman" w:hAnsi="Times New Roman" w:eastAsia="宋体" w:cs="Times New Roman"/>
          <w:color w:val="auto"/>
          <w:sz w:val="24"/>
          <w:szCs w:val="24"/>
          <w:highlight w:val="none"/>
        </w:rPr>
        <w:t>水库运行管理精准化、信息化、现代化</w:t>
      </w:r>
      <w:r>
        <w:rPr>
          <w:rFonts w:hint="default" w:ascii="Times New Roman" w:hAnsi="Times New Roman" w:eastAsia="宋体" w:cs="Times New Roman"/>
          <w:color w:val="auto"/>
          <w:sz w:val="24"/>
          <w:szCs w:val="24"/>
          <w:highlight w:val="none"/>
          <w:lang w:val="en-US" w:eastAsia="zh-CN"/>
        </w:rPr>
        <w:t>水平</w:t>
      </w:r>
      <w:r>
        <w:rPr>
          <w:rFonts w:hint="default" w:ascii="Times New Roman" w:hAnsi="Times New Roman" w:eastAsia="宋体" w:cs="Times New Roman"/>
          <w:color w:val="auto"/>
          <w:sz w:val="24"/>
          <w:szCs w:val="24"/>
          <w:highlight w:val="none"/>
        </w:rPr>
        <w:t>。</w:t>
      </w:r>
    </w:p>
    <w:p w14:paraId="7BDBDDF6">
      <w:pPr>
        <w:rPr>
          <w:rFonts w:hint="default" w:ascii="Times New Roman" w:hAnsi="Times New Roman" w:eastAsia="宋体" w:cs="Times New Roman"/>
          <w:b/>
          <w:bCs/>
          <w:strike w:val="0"/>
          <w:dstrike w:val="0"/>
          <w:color w:val="auto"/>
          <w:spacing w:val="6"/>
          <w:sz w:val="24"/>
          <w:szCs w:val="24"/>
          <w:highlight w:val="none"/>
          <w:lang w:val="en-US" w:eastAsia="zh-CN"/>
        </w:rPr>
      </w:pPr>
      <w:bookmarkStart w:id="562" w:name="_Toc12371"/>
      <w:bookmarkStart w:id="563" w:name="_Toc10040"/>
      <w:bookmarkStart w:id="564" w:name="_Toc24971"/>
      <w:bookmarkStart w:id="565" w:name="_Toc14821"/>
      <w:r>
        <w:rPr>
          <w:rFonts w:hint="default" w:ascii="Times New Roman" w:hAnsi="Times New Roman" w:eastAsia="宋体" w:cs="Times New Roman"/>
          <w:b/>
          <w:bCs/>
          <w:strike w:val="0"/>
          <w:dstrike w:val="0"/>
          <w:color w:val="auto"/>
          <w:spacing w:val="6"/>
          <w:sz w:val="24"/>
          <w:szCs w:val="24"/>
          <w:highlight w:val="none"/>
          <w:lang w:val="en-US" w:eastAsia="zh-CN"/>
        </w:rPr>
        <w:br w:type="page"/>
      </w:r>
    </w:p>
    <w:p w14:paraId="43B2D564">
      <w:pPr>
        <w:keepNext w:val="0"/>
        <w:keepLines w:val="0"/>
        <w:pageBreakBefore w:val="0"/>
        <w:kinsoku/>
        <w:wordWrap/>
        <w:overflowPunct/>
        <w:topLinePunct w:val="0"/>
        <w:autoSpaceDE/>
        <w:autoSpaceDN/>
        <w:bidi w:val="0"/>
        <w:spacing w:after="0" w:line="360" w:lineRule="auto"/>
        <w:ind w:left="0" w:right="0" w:firstLine="506" w:firstLineChars="200"/>
        <w:textAlignment w:val="auto"/>
        <w:outlineLvl w:val="1"/>
        <w:rPr>
          <w:rFonts w:hint="default" w:ascii="Times New Roman" w:hAnsi="Times New Roman" w:eastAsia="宋体" w:cs="Times New Roman"/>
          <w:b/>
          <w:bCs/>
          <w:strike w:val="0"/>
          <w:dstrike w:val="0"/>
          <w:color w:val="auto"/>
          <w:spacing w:val="6"/>
          <w:sz w:val="24"/>
          <w:szCs w:val="24"/>
          <w:highlight w:val="none"/>
          <w:lang w:val="en-US" w:eastAsia="zh-CN"/>
        </w:rPr>
      </w:pPr>
      <w:r>
        <w:rPr>
          <w:rFonts w:hint="default" w:ascii="Times New Roman" w:hAnsi="Times New Roman" w:eastAsia="宋体" w:cs="Times New Roman"/>
          <w:b/>
          <w:bCs/>
          <w:strike w:val="0"/>
          <w:dstrike w:val="0"/>
          <w:color w:val="auto"/>
          <w:spacing w:val="6"/>
          <w:sz w:val="24"/>
          <w:szCs w:val="24"/>
          <w:highlight w:val="none"/>
          <w:lang w:val="en-US" w:eastAsia="zh-CN"/>
        </w:rPr>
        <w:t>信息资源建设</w:t>
      </w:r>
      <w:bookmarkEnd w:id="562"/>
      <w:bookmarkEnd w:id="563"/>
      <w:bookmarkEnd w:id="564"/>
      <w:bookmarkEnd w:id="565"/>
    </w:p>
    <w:p w14:paraId="2C1C4155">
      <w:pPr>
        <w:pStyle w:val="5"/>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信息化资源建设主要包含数据底板收集、系统集成、信息资源共享等部分。</w:t>
      </w:r>
    </w:p>
    <w:p w14:paraId="266C18D6">
      <w:pPr>
        <w:keepNext w:val="0"/>
        <w:keepLines w:val="0"/>
        <w:pageBreakBefore w:val="0"/>
        <w:kinsoku/>
        <w:wordWrap/>
        <w:overflowPunct/>
        <w:topLinePunct w:val="0"/>
        <w:autoSpaceDE/>
        <w:autoSpaceDN/>
        <w:bidi w:val="0"/>
        <w:spacing w:after="0" w:line="360" w:lineRule="auto"/>
        <w:ind w:left="0" w:right="0" w:firstLine="470" w:firstLineChars="200"/>
        <w:textAlignment w:val="auto"/>
        <w:outlineLvl w:val="2"/>
        <w:rPr>
          <w:rFonts w:hint="default" w:ascii="Times New Roman" w:hAnsi="Times New Roman" w:eastAsia="宋体" w:cs="Times New Roman"/>
          <w:b/>
          <w:bCs/>
          <w:strike w:val="0"/>
          <w:dstrike w:val="0"/>
          <w:color w:val="auto"/>
          <w:spacing w:val="-3"/>
          <w:sz w:val="24"/>
          <w:szCs w:val="24"/>
          <w:highlight w:val="none"/>
          <w:lang w:val="en-US" w:eastAsia="zh-CN"/>
        </w:rPr>
      </w:pPr>
      <w:bookmarkStart w:id="566" w:name="_Toc18720"/>
      <w:bookmarkStart w:id="567" w:name="_Toc2671"/>
      <w:bookmarkStart w:id="568" w:name="_Toc29746"/>
      <w:r>
        <w:rPr>
          <w:rFonts w:hint="default" w:ascii="Times New Roman" w:hAnsi="Times New Roman" w:eastAsia="宋体" w:cs="Times New Roman"/>
          <w:b/>
          <w:bCs/>
          <w:strike w:val="0"/>
          <w:dstrike w:val="0"/>
          <w:color w:val="auto"/>
          <w:spacing w:val="-3"/>
          <w:sz w:val="24"/>
          <w:szCs w:val="24"/>
          <w:highlight w:val="none"/>
          <w:lang w:val="en-US" w:eastAsia="zh-CN"/>
        </w:rPr>
        <w:t>数据底板</w:t>
      </w:r>
      <w:bookmarkEnd w:id="566"/>
      <w:bookmarkEnd w:id="567"/>
      <w:bookmarkEnd w:id="568"/>
    </w:p>
    <w:p w14:paraId="7A2489D9">
      <w:pPr>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数据底板</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包括地理空间数据采集、基础数据、业务管理数据与外部共享数据；</w:t>
      </w:r>
    </w:p>
    <w:p w14:paraId="1D21E383">
      <w:pPr>
        <w:keepNext w:val="0"/>
        <w:keepLines w:val="0"/>
        <w:pageBreakBefore w:val="0"/>
        <w:numPr>
          <w:ilvl w:val="0"/>
          <w:numId w:val="0"/>
        </w:numPr>
        <w:kinsoku/>
        <w:wordWrap/>
        <w:overflowPunct/>
        <w:topLinePunct w:val="0"/>
        <w:autoSpaceDE/>
        <w:autoSpaceDN/>
        <w:bidi w:val="0"/>
        <w:spacing w:after="0" w:line="360" w:lineRule="auto"/>
        <w:ind w:left="0" w:right="0" w:firstLine="482" w:firstLineChars="20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SA"/>
        </w:rPr>
        <w:t>一）</w:t>
      </w:r>
      <w:r>
        <w:rPr>
          <w:rFonts w:hint="default" w:ascii="Times New Roman" w:hAnsi="Times New Roman" w:eastAsia="宋体" w:cs="Times New Roman"/>
          <w:b/>
          <w:bCs/>
          <w:color w:val="auto"/>
          <w:sz w:val="24"/>
          <w:szCs w:val="24"/>
          <w:highlight w:val="none"/>
        </w:rPr>
        <w:t>地理空间数据采集</w:t>
      </w:r>
    </w:p>
    <w:p w14:paraId="365C8843">
      <w:pPr>
        <w:keepNext w:val="0"/>
        <w:keepLines w:val="0"/>
        <w:pageBreakBefore w:val="0"/>
        <w:numPr>
          <w:ilvl w:val="0"/>
          <w:numId w:val="0"/>
        </w:numPr>
        <w:kinsoku/>
        <w:wordWrap/>
        <w:overflowPunct/>
        <w:topLinePunct w:val="0"/>
        <w:autoSpaceDE/>
        <w:autoSpaceDN/>
        <w:bidi w:val="0"/>
        <w:spacing w:after="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bookmarkStart w:id="569" w:name="_Hlk164750486"/>
      <w:r>
        <w:rPr>
          <w:rFonts w:hint="default" w:ascii="Times New Roman" w:hAnsi="Times New Roman" w:eastAsia="宋体" w:cs="Times New Roman"/>
          <w:b w:val="0"/>
          <w:bCs w:val="0"/>
          <w:color w:val="auto"/>
          <w:kern w:val="2"/>
          <w:sz w:val="24"/>
          <w:szCs w:val="24"/>
          <w:highlight w:val="none"/>
          <w:lang w:val="en-US" w:eastAsia="zh-CN" w:bidi="ar-SA"/>
        </w:rPr>
        <w:t>1．</w:t>
      </w:r>
      <w:r>
        <w:rPr>
          <w:rFonts w:hint="default" w:ascii="Times New Roman" w:hAnsi="Times New Roman" w:eastAsia="宋体" w:cs="Times New Roman"/>
          <w:b w:val="0"/>
          <w:bCs w:val="0"/>
          <w:color w:val="auto"/>
          <w:sz w:val="24"/>
          <w:szCs w:val="24"/>
          <w:highlight w:val="none"/>
        </w:rPr>
        <w:t>工作内容</w:t>
      </w:r>
    </w:p>
    <w:p w14:paraId="35FE35ED">
      <w:pPr>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本次数据底板建设主要分为两个部分：</w:t>
      </w:r>
      <w:r>
        <w:rPr>
          <w:rFonts w:hint="default" w:ascii="Times New Roman" w:hAnsi="Times New Roman" w:eastAsia="宋体" w:cs="Times New Roman"/>
          <w:b w:val="0"/>
          <w:bCs w:val="0"/>
          <w:color w:val="auto"/>
          <w:sz w:val="24"/>
          <w:szCs w:val="24"/>
          <w:highlight w:val="none"/>
          <w:lang w:val="en-US" w:eastAsia="zh-CN"/>
        </w:rPr>
        <w:t>地理空间数据采集以及数据底板建设。</w:t>
      </w:r>
    </w:p>
    <w:p w14:paraId="0513E1B0">
      <w:pPr>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地理空间数据采集</w:t>
      </w:r>
      <w:r>
        <w:rPr>
          <w:rFonts w:hint="eastAsia" w:ascii="Times New Roman" w:hAnsi="Times New Roman" w:eastAsia="宋体" w:cs="Times New Roman"/>
          <w:b w:val="0"/>
          <w:bCs w:val="0"/>
          <w:color w:val="auto"/>
          <w:sz w:val="24"/>
          <w:szCs w:val="24"/>
          <w:highlight w:val="none"/>
          <w:lang w:val="en-US" w:eastAsia="zh-CN"/>
        </w:rPr>
        <w:t>是</w:t>
      </w:r>
      <w:r>
        <w:rPr>
          <w:rFonts w:hint="default" w:ascii="Times New Roman" w:hAnsi="Times New Roman" w:eastAsia="宋体" w:cs="Times New Roman"/>
          <w:b w:val="0"/>
          <w:bCs w:val="0"/>
          <w:color w:val="auto"/>
          <w:sz w:val="24"/>
          <w:szCs w:val="24"/>
          <w:highlight w:val="none"/>
          <w:lang w:val="en-US" w:eastAsia="zh-CN"/>
        </w:rPr>
        <w:t>主要对窄口水库下游约36km²的DEM数据进行采集；并对大坝周边约2km²的倾斜摄影数据进行采集。</w:t>
      </w:r>
    </w:p>
    <w:p w14:paraId="01B43102">
      <w:pPr>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数据底板建设</w:t>
      </w:r>
      <w:r>
        <w:rPr>
          <w:rFonts w:hint="eastAsia" w:ascii="Times New Roman" w:hAnsi="Times New Roman" w:eastAsia="宋体" w:cs="Times New Roman"/>
          <w:b w:val="0"/>
          <w:bCs w:val="0"/>
          <w:color w:val="auto"/>
          <w:sz w:val="24"/>
          <w:szCs w:val="24"/>
          <w:highlight w:val="none"/>
          <w:lang w:val="en-US" w:eastAsia="zh-CN"/>
        </w:rPr>
        <w:t>是</w:t>
      </w:r>
      <w:r>
        <w:rPr>
          <w:rFonts w:hint="default" w:ascii="Times New Roman" w:hAnsi="Times New Roman" w:eastAsia="宋体" w:cs="Times New Roman"/>
          <w:b w:val="0"/>
          <w:bCs w:val="0"/>
          <w:color w:val="auto"/>
          <w:sz w:val="24"/>
          <w:szCs w:val="24"/>
          <w:highlight w:val="none"/>
          <w:lang w:val="en-US" w:eastAsia="zh-CN"/>
        </w:rPr>
        <w:t>主要包括对窄口水库库区及下游约1000km²的范围构建L1级别数据底板，并对窄口水库重点区域约150km²的范围构建L2级别数据底板，对库区及大坝进行倾斜摄影数据生产及场景融合处理，精度</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b w:val="0"/>
          <w:bCs w:val="0"/>
          <w:color w:val="auto"/>
          <w:sz w:val="24"/>
          <w:szCs w:val="24"/>
          <w:highlight w:val="none"/>
          <w:lang w:val="en-US" w:eastAsia="zh-CN"/>
        </w:rPr>
        <w:t>保持与原始数据一致。</w:t>
      </w:r>
    </w:p>
    <w:p w14:paraId="671A39DA">
      <w:pPr>
        <w:keepNext w:val="0"/>
        <w:keepLines w:val="0"/>
        <w:pageBreakBefore w:val="0"/>
        <w:numPr>
          <w:ilvl w:val="0"/>
          <w:numId w:val="0"/>
        </w:numPr>
        <w:kinsoku/>
        <w:wordWrap/>
        <w:overflowPunct/>
        <w:topLinePunct w:val="0"/>
        <w:autoSpaceDE/>
        <w:autoSpaceDN/>
        <w:bidi w:val="0"/>
        <w:spacing w:after="0" w:line="360" w:lineRule="auto"/>
        <w:ind w:left="0" w:right="0" w:firstLine="482" w:firstLineChars="20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SA"/>
        </w:rPr>
        <w:t>二）</w:t>
      </w:r>
      <w:r>
        <w:rPr>
          <w:rFonts w:hint="default" w:ascii="Times New Roman" w:hAnsi="Times New Roman" w:eastAsia="宋体" w:cs="Times New Roman"/>
          <w:b/>
          <w:bCs/>
          <w:color w:val="auto"/>
          <w:sz w:val="24"/>
          <w:szCs w:val="24"/>
          <w:highlight w:val="none"/>
        </w:rPr>
        <w:t>其余数据</w:t>
      </w:r>
    </w:p>
    <w:p w14:paraId="48975A21">
      <w:pPr>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color w:val="auto"/>
          <w:sz w:val="24"/>
          <w:szCs w:val="24"/>
          <w:highlight w:val="none"/>
        </w:rPr>
        <w:t>其余数据包括业务管理数据、监测数据和对外共享数据，</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从现有建设系</w:t>
      </w:r>
      <w:r>
        <w:rPr>
          <w:rFonts w:hint="default" w:ascii="Times New Roman" w:hAnsi="Times New Roman" w:eastAsia="宋体" w:cs="Times New Roman"/>
          <w:b w:val="0"/>
          <w:bCs w:val="0"/>
          <w:color w:val="auto"/>
          <w:sz w:val="24"/>
          <w:szCs w:val="24"/>
          <w:highlight w:val="none"/>
        </w:rPr>
        <w:t>统、纸质材料和相关系统完善数据。</w:t>
      </w:r>
    </w:p>
    <w:bookmarkEnd w:id="569"/>
    <w:p w14:paraId="3CBBB838">
      <w:pPr>
        <w:keepNext w:val="0"/>
        <w:keepLines w:val="0"/>
        <w:pageBreakBefore w:val="0"/>
        <w:kinsoku/>
        <w:wordWrap/>
        <w:overflowPunct/>
        <w:topLinePunct w:val="0"/>
        <w:autoSpaceDE/>
        <w:autoSpaceDN/>
        <w:bidi w:val="0"/>
        <w:spacing w:after="0" w:line="360" w:lineRule="auto"/>
        <w:ind w:left="0" w:right="0" w:firstLine="470" w:firstLineChars="200"/>
        <w:textAlignment w:val="auto"/>
        <w:outlineLvl w:val="2"/>
        <w:rPr>
          <w:rFonts w:hint="default" w:ascii="Times New Roman" w:hAnsi="Times New Roman" w:eastAsia="宋体" w:cs="Times New Roman"/>
          <w:b/>
          <w:bCs/>
          <w:strike w:val="0"/>
          <w:dstrike w:val="0"/>
          <w:color w:val="auto"/>
          <w:spacing w:val="-3"/>
          <w:sz w:val="24"/>
          <w:szCs w:val="24"/>
          <w:highlight w:val="none"/>
          <w:lang w:val="en-US" w:eastAsia="zh-CN"/>
        </w:rPr>
      </w:pPr>
      <w:bookmarkStart w:id="570" w:name="_Toc8862"/>
      <w:bookmarkStart w:id="571" w:name="_Toc28783"/>
      <w:bookmarkStart w:id="572" w:name="_Toc30358"/>
      <w:bookmarkStart w:id="573" w:name="_Toc27473"/>
      <w:bookmarkStart w:id="574" w:name="_Toc26192"/>
      <w:bookmarkStart w:id="575" w:name="_Toc2703"/>
      <w:r>
        <w:rPr>
          <w:rFonts w:hint="default" w:ascii="Times New Roman" w:hAnsi="Times New Roman" w:eastAsia="宋体" w:cs="Times New Roman"/>
          <w:b/>
          <w:bCs/>
          <w:strike w:val="0"/>
          <w:dstrike w:val="0"/>
          <w:color w:val="auto"/>
          <w:spacing w:val="-3"/>
          <w:sz w:val="24"/>
          <w:szCs w:val="24"/>
          <w:highlight w:val="none"/>
          <w:lang w:val="en-US" w:eastAsia="zh-CN"/>
        </w:rPr>
        <w:t>系统集成</w:t>
      </w:r>
      <w:bookmarkEnd w:id="570"/>
      <w:bookmarkEnd w:id="571"/>
      <w:bookmarkEnd w:id="572"/>
    </w:p>
    <w:p w14:paraId="5E51E4D3">
      <w:pPr>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bookmarkStart w:id="576" w:name="bookmark309"/>
      <w:bookmarkEnd w:id="576"/>
      <w:bookmarkStart w:id="577" w:name="bookmark310"/>
      <w:bookmarkEnd w:id="577"/>
      <w:r>
        <w:rPr>
          <w:rFonts w:hint="default" w:ascii="Times New Roman" w:hAnsi="Times New Roman" w:eastAsia="宋体" w:cs="Times New Roman"/>
          <w:color w:val="auto"/>
          <w:sz w:val="24"/>
          <w:szCs w:val="24"/>
          <w:highlight w:val="none"/>
          <w:lang w:eastAsia="zh-CN"/>
        </w:rPr>
        <w:t>窄口</w:t>
      </w:r>
      <w:r>
        <w:rPr>
          <w:rFonts w:hint="default" w:ascii="Times New Roman" w:hAnsi="Times New Roman" w:eastAsia="宋体" w:cs="Times New Roman"/>
          <w:color w:val="auto"/>
          <w:sz w:val="24"/>
          <w:szCs w:val="24"/>
          <w:highlight w:val="none"/>
        </w:rPr>
        <w:t>水库</w:t>
      </w:r>
      <w:r>
        <w:rPr>
          <w:rFonts w:hint="default" w:ascii="Times New Roman" w:hAnsi="Times New Roman" w:eastAsia="宋体" w:cs="Times New Roman"/>
          <w:color w:val="auto"/>
          <w:sz w:val="24"/>
          <w:szCs w:val="24"/>
          <w:highlight w:val="none"/>
          <w:lang w:val="en-US" w:eastAsia="zh-CN"/>
        </w:rPr>
        <w:t>现代化水库运行管理矩阵建设</w:t>
      </w:r>
      <w:r>
        <w:rPr>
          <w:rFonts w:hint="default" w:ascii="Times New Roman" w:hAnsi="Times New Roman" w:eastAsia="宋体" w:cs="Times New Roman"/>
          <w:color w:val="auto"/>
          <w:sz w:val="24"/>
          <w:szCs w:val="24"/>
          <w:highlight w:val="none"/>
        </w:rPr>
        <w:t>项目建设集成范围包括系统内部的集成以及与外部系统的集成。系统内部集成主要是对本次建设的数据底板、模型平台、知识库等部分进行集成；外部集成主要包括与外部相关系统的集成。</w:t>
      </w:r>
    </w:p>
    <w:p w14:paraId="0FDCFE02">
      <w:pPr>
        <w:keepNext w:val="0"/>
        <w:keepLines w:val="0"/>
        <w:pageBreakBefore w:val="0"/>
        <w:kinsoku/>
        <w:wordWrap/>
        <w:overflowPunct/>
        <w:topLinePunct w:val="0"/>
        <w:autoSpaceDE/>
        <w:autoSpaceDN/>
        <w:bidi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软件部分</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采用集成方式，</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将现有系统平台进行接入整合，同时将雨水工情数据进行收集接入</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已建的视频监控点建有视频监控平台的，</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通过对接入到视频监控平台的视频监控设备，</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采用标准的平台域互联或者SDK集成方式实现现场视频监控信息的同步采集。</w:t>
      </w:r>
    </w:p>
    <w:p w14:paraId="0B8E6865">
      <w:pPr>
        <w:keepNext w:val="0"/>
        <w:keepLines w:val="0"/>
        <w:pageBreakBefore w:val="0"/>
        <w:widowControl/>
        <w:kinsoku/>
        <w:wordWrap/>
        <w:overflowPunct/>
        <w:topLinePunct w:val="0"/>
        <w:autoSpaceDE/>
        <w:autoSpaceDN/>
        <w:bidi w:val="0"/>
        <w:adjustRightInd w:val="0"/>
        <w:snapToGrid w:val="0"/>
        <w:spacing w:after="0" w:line="360" w:lineRule="auto"/>
        <w:ind w:left="0" w:right="0" w:firstLine="470" w:firstLineChars="200"/>
        <w:textAlignment w:val="auto"/>
        <w:outlineLvl w:val="2"/>
        <w:rPr>
          <w:rFonts w:hint="default" w:ascii="Times New Roman" w:hAnsi="Times New Roman" w:eastAsia="宋体" w:cs="Times New Roman"/>
          <w:b/>
          <w:bCs/>
          <w:strike w:val="0"/>
          <w:dstrike w:val="0"/>
          <w:color w:val="auto"/>
          <w:spacing w:val="-3"/>
          <w:sz w:val="24"/>
          <w:szCs w:val="24"/>
          <w:highlight w:val="none"/>
          <w:lang w:val="en-US" w:eastAsia="zh-CN"/>
        </w:rPr>
      </w:pPr>
      <w:bookmarkStart w:id="578" w:name="_Toc7493"/>
      <w:bookmarkStart w:id="579" w:name="_Toc22144"/>
      <w:bookmarkStart w:id="580" w:name="_Toc12957"/>
    </w:p>
    <w:p w14:paraId="35580BB1">
      <w:pPr>
        <w:keepNext w:val="0"/>
        <w:keepLines w:val="0"/>
        <w:pageBreakBefore w:val="0"/>
        <w:widowControl/>
        <w:kinsoku/>
        <w:wordWrap/>
        <w:overflowPunct/>
        <w:topLinePunct w:val="0"/>
        <w:autoSpaceDE/>
        <w:autoSpaceDN/>
        <w:bidi w:val="0"/>
        <w:adjustRightInd w:val="0"/>
        <w:snapToGrid w:val="0"/>
        <w:spacing w:after="0" w:line="360" w:lineRule="auto"/>
        <w:ind w:left="0" w:right="0" w:firstLine="470" w:firstLineChars="200"/>
        <w:textAlignment w:val="auto"/>
        <w:outlineLvl w:val="2"/>
        <w:rPr>
          <w:rFonts w:hint="default" w:ascii="Times New Roman" w:hAnsi="Times New Roman" w:eastAsia="宋体" w:cs="Times New Roman"/>
          <w:b/>
          <w:bCs/>
          <w:strike w:val="0"/>
          <w:dstrike w:val="0"/>
          <w:color w:val="auto"/>
          <w:spacing w:val="-3"/>
          <w:sz w:val="24"/>
          <w:szCs w:val="24"/>
          <w:highlight w:val="none"/>
          <w:lang w:val="en-US" w:eastAsia="zh-CN"/>
        </w:rPr>
      </w:pPr>
      <w:r>
        <w:rPr>
          <w:rFonts w:hint="default" w:ascii="Times New Roman" w:hAnsi="Times New Roman" w:eastAsia="宋体" w:cs="Times New Roman"/>
          <w:b/>
          <w:bCs/>
          <w:strike w:val="0"/>
          <w:dstrike w:val="0"/>
          <w:color w:val="auto"/>
          <w:spacing w:val="-3"/>
          <w:sz w:val="24"/>
          <w:szCs w:val="24"/>
          <w:highlight w:val="none"/>
          <w:lang w:val="en-US" w:eastAsia="zh-CN"/>
        </w:rPr>
        <w:t>信息资源共享</w:t>
      </w:r>
      <w:bookmarkEnd w:id="578"/>
      <w:bookmarkEnd w:id="579"/>
      <w:bookmarkEnd w:id="580"/>
    </w:p>
    <w:p w14:paraId="048AEE3D">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4" w:firstLineChars="200"/>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1"/>
          <w:sz w:val="24"/>
          <w:szCs w:val="24"/>
          <w:highlight w:val="none"/>
          <w:lang w:eastAsia="zh-CN"/>
        </w:rPr>
        <w:t>窄口</w:t>
      </w:r>
      <w:r>
        <w:rPr>
          <w:rFonts w:hint="default" w:ascii="Times New Roman" w:hAnsi="Times New Roman" w:eastAsia="宋体" w:cs="Times New Roman"/>
          <w:color w:val="auto"/>
          <w:spacing w:val="1"/>
          <w:sz w:val="24"/>
          <w:szCs w:val="24"/>
          <w:highlight w:val="none"/>
        </w:rPr>
        <w:t>水库</w:t>
      </w:r>
      <w:r>
        <w:rPr>
          <w:rFonts w:hint="default" w:ascii="Times New Roman" w:hAnsi="Times New Roman" w:eastAsia="宋体" w:cs="Times New Roman"/>
          <w:color w:val="auto"/>
          <w:spacing w:val="1"/>
          <w:sz w:val="24"/>
          <w:szCs w:val="24"/>
          <w:highlight w:val="none"/>
          <w:lang w:val="en-US" w:eastAsia="zh-CN"/>
        </w:rPr>
        <w:t>现代化运行管理矩阵建设</w:t>
      </w:r>
      <w:r>
        <w:rPr>
          <w:rFonts w:hint="default" w:ascii="Times New Roman" w:hAnsi="Times New Roman" w:eastAsia="宋体" w:cs="Times New Roman"/>
          <w:color w:val="auto"/>
          <w:spacing w:val="1"/>
          <w:sz w:val="24"/>
          <w:szCs w:val="24"/>
          <w:highlight w:val="none"/>
        </w:rPr>
        <w:t>项目系统建成后，将主要形成数据</w:t>
      </w:r>
      <w:r>
        <w:rPr>
          <w:rFonts w:hint="default" w:ascii="Times New Roman" w:hAnsi="Times New Roman" w:eastAsia="宋体" w:cs="Times New Roman"/>
          <w:color w:val="auto"/>
          <w:sz w:val="24"/>
          <w:szCs w:val="24"/>
          <w:highlight w:val="none"/>
        </w:rPr>
        <w:t>底板、模型平台、</w:t>
      </w:r>
      <w:r>
        <w:rPr>
          <w:rFonts w:hint="default" w:ascii="Times New Roman" w:hAnsi="Times New Roman" w:eastAsia="宋体" w:cs="Times New Roman"/>
          <w:color w:val="auto"/>
          <w:spacing w:val="-2"/>
          <w:sz w:val="24"/>
          <w:szCs w:val="24"/>
          <w:highlight w:val="none"/>
        </w:rPr>
        <w:t>业务应用系统，在符合数据保密安全管理要求的前提下，遵循水利部、流域机构和省级</w:t>
      </w:r>
      <w:r>
        <w:rPr>
          <w:rFonts w:hint="default" w:ascii="Times New Roman" w:hAnsi="Times New Roman" w:eastAsia="宋体" w:cs="Times New Roman"/>
          <w:color w:val="auto"/>
          <w:spacing w:val="-6"/>
          <w:sz w:val="24"/>
          <w:szCs w:val="24"/>
          <w:highlight w:val="none"/>
        </w:rPr>
        <w:t>统一规定的接口规范，</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pacing w:val="-6"/>
          <w:sz w:val="24"/>
          <w:szCs w:val="24"/>
          <w:highlight w:val="none"/>
        </w:rPr>
        <w:t>通过数据交换接口、服务调用的方式，实现</w:t>
      </w:r>
      <w:r>
        <w:rPr>
          <w:rFonts w:hint="default" w:ascii="Times New Roman" w:hAnsi="Times New Roman" w:eastAsia="宋体" w:cs="Times New Roman"/>
          <w:color w:val="auto"/>
          <w:spacing w:val="-6"/>
          <w:sz w:val="24"/>
          <w:szCs w:val="24"/>
          <w:highlight w:val="none"/>
          <w:lang w:eastAsia="zh-CN"/>
        </w:rPr>
        <w:t>窄口</w:t>
      </w:r>
      <w:r>
        <w:rPr>
          <w:rFonts w:hint="default" w:ascii="Times New Roman" w:hAnsi="Times New Roman" w:eastAsia="宋体" w:cs="Times New Roman"/>
          <w:color w:val="auto"/>
          <w:spacing w:val="-6"/>
          <w:sz w:val="24"/>
          <w:szCs w:val="24"/>
          <w:highlight w:val="none"/>
        </w:rPr>
        <w:t>水库</w:t>
      </w:r>
      <w:r>
        <w:rPr>
          <w:rFonts w:hint="default" w:ascii="Times New Roman" w:hAnsi="Times New Roman" w:eastAsia="宋体" w:cs="Times New Roman"/>
          <w:color w:val="auto"/>
          <w:spacing w:val="-6"/>
          <w:sz w:val="24"/>
          <w:szCs w:val="24"/>
          <w:highlight w:val="none"/>
          <w:lang w:val="en-US" w:eastAsia="zh-CN"/>
        </w:rPr>
        <w:t>矩阵建设</w:t>
      </w:r>
      <w:r>
        <w:rPr>
          <w:rFonts w:hint="default" w:ascii="Times New Roman" w:hAnsi="Times New Roman" w:eastAsia="宋体" w:cs="Times New Roman"/>
          <w:color w:val="auto"/>
          <w:spacing w:val="-5"/>
          <w:sz w:val="24"/>
          <w:szCs w:val="24"/>
          <w:highlight w:val="none"/>
        </w:rPr>
        <w:t>项目系统与省水利厅、流域机构等相关数字孪生</w:t>
      </w:r>
      <w:r>
        <w:rPr>
          <w:rFonts w:hint="default" w:ascii="Times New Roman" w:hAnsi="Times New Roman" w:eastAsia="宋体" w:cs="Times New Roman"/>
          <w:color w:val="auto"/>
          <w:spacing w:val="-6"/>
          <w:sz w:val="24"/>
          <w:szCs w:val="24"/>
          <w:highlight w:val="none"/>
        </w:rPr>
        <w:t>系统的数据和应用互联互通、数据共享。</w:t>
      </w:r>
      <w:bookmarkEnd w:id="573"/>
      <w:bookmarkEnd w:id="574"/>
      <w:bookmarkEnd w:id="575"/>
      <w:bookmarkStart w:id="581" w:name="bookmark277"/>
      <w:bookmarkEnd w:id="581"/>
      <w:bookmarkStart w:id="582" w:name="bookmark278"/>
      <w:bookmarkEnd w:id="582"/>
    </w:p>
    <w:p w14:paraId="62E48298">
      <w:pPr>
        <w:keepNext w:val="0"/>
        <w:keepLines w:val="0"/>
        <w:pageBreakBefore w:val="0"/>
        <w:widowControl/>
        <w:kinsoku/>
        <w:wordWrap/>
        <w:overflowPunct/>
        <w:topLinePunct w:val="0"/>
        <w:autoSpaceDE/>
        <w:autoSpaceDN/>
        <w:bidi w:val="0"/>
        <w:adjustRightInd w:val="0"/>
        <w:snapToGrid w:val="0"/>
        <w:spacing w:after="0" w:line="360" w:lineRule="auto"/>
        <w:ind w:left="0" w:right="0" w:firstLine="506" w:firstLineChars="200"/>
        <w:textAlignment w:val="auto"/>
        <w:rPr>
          <w:rFonts w:hint="default" w:ascii="Times New Roman" w:hAnsi="Times New Roman" w:eastAsia="宋体" w:cs="Times New Roman"/>
          <w:b/>
          <w:bCs/>
          <w:strike w:val="0"/>
          <w:dstrike w:val="0"/>
          <w:color w:val="auto"/>
          <w:spacing w:val="6"/>
          <w:sz w:val="24"/>
          <w:szCs w:val="24"/>
          <w:highlight w:val="none"/>
          <w:lang w:val="en-US" w:eastAsia="zh-CN"/>
        </w:rPr>
      </w:pPr>
      <w:r>
        <w:rPr>
          <w:rFonts w:hint="default" w:ascii="Times New Roman" w:hAnsi="Times New Roman" w:eastAsia="宋体" w:cs="Times New Roman"/>
          <w:b/>
          <w:bCs/>
          <w:strike w:val="0"/>
          <w:dstrike w:val="0"/>
          <w:color w:val="auto"/>
          <w:spacing w:val="6"/>
          <w:sz w:val="24"/>
          <w:szCs w:val="24"/>
          <w:highlight w:val="none"/>
          <w:lang w:val="en-US" w:eastAsia="zh-CN"/>
        </w:rPr>
        <w:t>基础支撑能力建设</w:t>
      </w:r>
    </w:p>
    <w:p w14:paraId="242694E0">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基础支撑力量主要由网络环境、系统支撑环境</w:t>
      </w:r>
      <w:r>
        <w:rPr>
          <w:rFonts w:hint="default" w:ascii="Times New Roman" w:hAnsi="Times New Roman" w:eastAsia="宋体" w:cs="Times New Roman"/>
          <w:color w:val="auto"/>
          <w:sz w:val="24"/>
          <w:szCs w:val="24"/>
          <w:highlight w:val="none"/>
          <w:lang w:val="en-US" w:eastAsia="zh-CN"/>
        </w:rPr>
        <w:t>和</w:t>
      </w:r>
      <w:r>
        <w:rPr>
          <w:rFonts w:hint="default" w:ascii="Times New Roman" w:hAnsi="Times New Roman" w:eastAsia="宋体" w:cs="Times New Roman"/>
          <w:color w:val="auto"/>
          <w:sz w:val="24"/>
          <w:szCs w:val="24"/>
          <w:highlight w:val="none"/>
        </w:rPr>
        <w:t>系统运行维护等部分构成。</w:t>
      </w:r>
    </w:p>
    <w:p w14:paraId="377A7E52">
      <w:pPr>
        <w:keepNext w:val="0"/>
        <w:keepLines w:val="0"/>
        <w:pageBreakBefore w:val="0"/>
        <w:widowControl/>
        <w:kinsoku/>
        <w:wordWrap/>
        <w:overflowPunct/>
        <w:topLinePunct w:val="0"/>
        <w:autoSpaceDE/>
        <w:autoSpaceDN/>
        <w:bidi w:val="0"/>
        <w:adjustRightInd w:val="0"/>
        <w:snapToGrid w:val="0"/>
        <w:spacing w:after="0" w:line="360" w:lineRule="auto"/>
        <w:ind w:left="0" w:right="0" w:firstLine="470" w:firstLineChars="200"/>
        <w:textAlignment w:val="auto"/>
        <w:outlineLvl w:val="2"/>
        <w:rPr>
          <w:rFonts w:hint="default" w:ascii="Times New Roman" w:hAnsi="Times New Roman" w:eastAsia="宋体" w:cs="Times New Roman"/>
          <w:b/>
          <w:bCs/>
          <w:strike w:val="0"/>
          <w:dstrike w:val="0"/>
          <w:color w:val="auto"/>
          <w:spacing w:val="-3"/>
          <w:sz w:val="24"/>
          <w:szCs w:val="24"/>
          <w:highlight w:val="none"/>
          <w:lang w:val="zh-CN" w:eastAsia="zh-CN"/>
        </w:rPr>
      </w:pPr>
      <w:bookmarkStart w:id="583" w:name="_Toc25813"/>
      <w:bookmarkStart w:id="584" w:name="_Toc22795"/>
      <w:bookmarkStart w:id="585" w:name="_Toc20270"/>
      <w:r>
        <w:rPr>
          <w:rFonts w:hint="default" w:ascii="Times New Roman" w:hAnsi="Times New Roman" w:eastAsia="宋体" w:cs="Times New Roman"/>
          <w:b/>
          <w:bCs/>
          <w:strike w:val="0"/>
          <w:dstrike w:val="0"/>
          <w:color w:val="auto"/>
          <w:spacing w:val="-3"/>
          <w:sz w:val="24"/>
          <w:szCs w:val="24"/>
          <w:highlight w:val="none"/>
          <w:lang w:val="en-US" w:eastAsia="zh-CN"/>
        </w:rPr>
        <w:t>网络环境</w:t>
      </w:r>
      <w:bookmarkEnd w:id="583"/>
      <w:bookmarkEnd w:id="584"/>
      <w:bookmarkEnd w:id="585"/>
    </w:p>
    <w:p w14:paraId="254980A8">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窄口</w:t>
      </w:r>
      <w:r>
        <w:rPr>
          <w:rFonts w:hint="default" w:ascii="Times New Roman" w:hAnsi="Times New Roman" w:eastAsia="宋体" w:cs="Times New Roman"/>
          <w:color w:val="auto"/>
          <w:sz w:val="24"/>
          <w:szCs w:val="24"/>
          <w:highlight w:val="none"/>
        </w:rPr>
        <w:t>水库</w:t>
      </w:r>
      <w:r>
        <w:rPr>
          <w:rFonts w:hint="default" w:ascii="Times New Roman" w:hAnsi="Times New Roman" w:eastAsia="宋体" w:cs="Times New Roman"/>
          <w:color w:val="auto"/>
          <w:sz w:val="24"/>
          <w:szCs w:val="24"/>
          <w:highlight w:val="none"/>
          <w:lang w:val="en-US" w:eastAsia="zh-CN"/>
        </w:rPr>
        <w:t>现代化水库运行管理矩阵建设</w:t>
      </w:r>
      <w:r>
        <w:rPr>
          <w:rFonts w:hint="default"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部署在</w:t>
      </w:r>
      <w:r>
        <w:rPr>
          <w:rFonts w:hint="default" w:ascii="Times New Roman" w:hAnsi="Times New Roman" w:eastAsia="宋体" w:cs="Times New Roman"/>
          <w:color w:val="auto"/>
          <w:sz w:val="24"/>
          <w:szCs w:val="24"/>
          <w:highlight w:val="none"/>
          <w:lang w:val="en-US" w:eastAsia="zh-CN"/>
        </w:rPr>
        <w:t>本地</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采用</w:t>
      </w:r>
      <w:r>
        <w:rPr>
          <w:rFonts w:hint="default" w:ascii="Times New Roman" w:hAnsi="Times New Roman" w:eastAsia="宋体" w:cs="Times New Roman"/>
          <w:color w:val="auto"/>
          <w:sz w:val="24"/>
          <w:szCs w:val="24"/>
          <w:highlight w:val="none"/>
          <w:lang w:val="en-US" w:eastAsia="zh-CN"/>
        </w:rPr>
        <w:t>水利专网形式，</w:t>
      </w:r>
      <w:r>
        <w:rPr>
          <w:rFonts w:hint="default" w:ascii="Times New Roman" w:hAnsi="Times New Roman" w:eastAsia="宋体" w:cs="Times New Roman"/>
          <w:color w:val="auto"/>
          <w:sz w:val="24"/>
          <w:szCs w:val="24"/>
          <w:highlight w:val="none"/>
        </w:rPr>
        <w:t>通过水利信息网，使用浏览器进行</w:t>
      </w:r>
      <w:r>
        <w:rPr>
          <w:rFonts w:hint="default" w:ascii="Times New Roman" w:hAnsi="Times New Roman" w:eastAsia="宋体" w:cs="Times New Roman"/>
          <w:color w:val="auto"/>
          <w:sz w:val="24"/>
          <w:szCs w:val="24"/>
          <w:highlight w:val="none"/>
          <w:lang w:val="en-US" w:eastAsia="zh-CN"/>
        </w:rPr>
        <w:t>访问</w:t>
      </w:r>
      <w:r>
        <w:rPr>
          <w:rFonts w:hint="default" w:ascii="Times New Roman" w:hAnsi="Times New Roman" w:eastAsia="宋体" w:cs="Times New Roman"/>
          <w:color w:val="auto"/>
          <w:sz w:val="24"/>
          <w:szCs w:val="24"/>
          <w:highlight w:val="none"/>
        </w:rPr>
        <w:t>现有建成系统</w:t>
      </w:r>
      <w:r>
        <w:rPr>
          <w:rFonts w:hint="default" w:ascii="Times New Roman" w:hAnsi="Times New Roman" w:eastAsia="宋体" w:cs="Times New Roman"/>
          <w:color w:val="auto"/>
          <w:sz w:val="24"/>
          <w:szCs w:val="24"/>
          <w:highlight w:val="none"/>
          <w:lang w:eastAsia="zh-CN"/>
        </w:rPr>
        <w:t>。</w:t>
      </w:r>
    </w:p>
    <w:p w14:paraId="7281BC6C">
      <w:pPr>
        <w:keepNext w:val="0"/>
        <w:keepLines w:val="0"/>
        <w:pageBreakBefore w:val="0"/>
        <w:widowControl/>
        <w:kinsoku/>
        <w:wordWrap/>
        <w:overflowPunct/>
        <w:topLinePunct w:val="0"/>
        <w:autoSpaceDE/>
        <w:autoSpaceDN/>
        <w:bidi w:val="0"/>
        <w:adjustRightInd w:val="0"/>
        <w:snapToGrid w:val="0"/>
        <w:spacing w:after="0" w:line="360" w:lineRule="auto"/>
        <w:ind w:left="0" w:right="0" w:firstLine="470" w:firstLineChars="200"/>
        <w:textAlignment w:val="auto"/>
        <w:outlineLvl w:val="2"/>
        <w:rPr>
          <w:rFonts w:hint="default" w:ascii="Times New Roman" w:hAnsi="Times New Roman" w:eastAsia="宋体" w:cs="Times New Roman"/>
          <w:b/>
          <w:bCs/>
          <w:strike w:val="0"/>
          <w:dstrike w:val="0"/>
          <w:color w:val="auto"/>
          <w:spacing w:val="-3"/>
          <w:sz w:val="24"/>
          <w:szCs w:val="24"/>
          <w:highlight w:val="none"/>
          <w:lang w:val="zh-CN" w:eastAsia="zh-CN"/>
        </w:rPr>
      </w:pPr>
      <w:bookmarkStart w:id="586" w:name="_Toc20557"/>
      <w:bookmarkStart w:id="587" w:name="_Toc17078"/>
      <w:bookmarkStart w:id="588" w:name="_Toc16211"/>
      <w:r>
        <w:rPr>
          <w:rFonts w:hint="default" w:ascii="Times New Roman" w:hAnsi="Times New Roman" w:eastAsia="宋体" w:cs="Times New Roman"/>
          <w:b/>
          <w:bCs/>
          <w:strike w:val="0"/>
          <w:dstrike w:val="0"/>
          <w:color w:val="auto"/>
          <w:spacing w:val="-3"/>
          <w:sz w:val="24"/>
          <w:szCs w:val="24"/>
          <w:highlight w:val="none"/>
          <w:lang w:val="en-US" w:eastAsia="zh-CN"/>
        </w:rPr>
        <w:t>系统支撑环境</w:t>
      </w:r>
      <w:bookmarkEnd w:id="586"/>
      <w:bookmarkEnd w:id="587"/>
      <w:bookmarkEnd w:id="588"/>
    </w:p>
    <w:p w14:paraId="10CEEFAA">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增设</w:t>
      </w:r>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台渲染服务器填充GPU资源的不足</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用于加载三维可视化场景，并进行前后端渲染。</w:t>
      </w:r>
    </w:p>
    <w:p w14:paraId="6DBC86F3">
      <w:pPr>
        <w:keepNext w:val="0"/>
        <w:keepLines w:val="0"/>
        <w:pageBreakBefore w:val="0"/>
        <w:widowControl/>
        <w:kinsoku/>
        <w:wordWrap/>
        <w:overflowPunct/>
        <w:topLinePunct w:val="0"/>
        <w:autoSpaceDE/>
        <w:autoSpaceDN/>
        <w:bidi w:val="0"/>
        <w:adjustRightInd w:val="0"/>
        <w:snapToGrid w:val="0"/>
        <w:spacing w:after="0" w:line="360" w:lineRule="auto"/>
        <w:ind w:left="0" w:right="0" w:firstLine="470" w:firstLineChars="200"/>
        <w:textAlignment w:val="auto"/>
        <w:outlineLvl w:val="2"/>
        <w:rPr>
          <w:rFonts w:hint="default" w:ascii="Times New Roman" w:hAnsi="Times New Roman" w:eastAsia="宋体" w:cs="Times New Roman"/>
          <w:b/>
          <w:bCs/>
          <w:strike w:val="0"/>
          <w:dstrike w:val="0"/>
          <w:color w:val="auto"/>
          <w:spacing w:val="-3"/>
          <w:sz w:val="24"/>
          <w:szCs w:val="24"/>
          <w:highlight w:val="none"/>
          <w:lang w:val="en-US" w:eastAsia="zh-CN"/>
        </w:rPr>
      </w:pPr>
      <w:bookmarkStart w:id="589" w:name="_Toc28629"/>
      <w:bookmarkStart w:id="590" w:name="_Toc23271"/>
      <w:bookmarkStart w:id="591" w:name="_Toc20859"/>
      <w:r>
        <w:rPr>
          <w:rFonts w:hint="default" w:ascii="Times New Roman" w:hAnsi="Times New Roman" w:eastAsia="宋体" w:cs="Times New Roman"/>
          <w:b/>
          <w:bCs/>
          <w:strike w:val="0"/>
          <w:dstrike w:val="0"/>
          <w:color w:val="auto"/>
          <w:spacing w:val="-3"/>
          <w:sz w:val="24"/>
          <w:szCs w:val="24"/>
          <w:highlight w:val="none"/>
          <w:lang w:val="en-US" w:eastAsia="zh-CN"/>
        </w:rPr>
        <w:t>系统运行维护</w:t>
      </w:r>
      <w:bookmarkEnd w:id="589"/>
      <w:bookmarkEnd w:id="590"/>
      <w:bookmarkEnd w:id="591"/>
    </w:p>
    <w:p w14:paraId="428A9DD7">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default" w:ascii="Times New Roman" w:hAnsi="Times New Roman" w:eastAsia="宋体" w:cs="Times New Roman"/>
          <w:color w:val="auto"/>
          <w:sz w:val="24"/>
          <w:szCs w:val="24"/>
          <w:highlight w:val="none"/>
        </w:rPr>
        <w:t>本项目的平台整体交付后</w:t>
      </w:r>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年内由</w:t>
      </w:r>
      <w:r>
        <w:rPr>
          <w:rFonts w:hint="eastAsia" w:ascii="Times New Roman" w:hAnsi="Times New Roman" w:eastAsia="宋体" w:cs="Times New Roman"/>
          <w:color w:val="auto"/>
          <w:sz w:val="24"/>
          <w:szCs w:val="24"/>
          <w:highlight w:val="none"/>
          <w:lang w:val="en-US" w:eastAsia="zh-CN"/>
        </w:rPr>
        <w:t>成交人</w:t>
      </w:r>
      <w:r>
        <w:rPr>
          <w:rFonts w:hint="default" w:ascii="Times New Roman" w:hAnsi="Times New Roman" w:eastAsia="宋体" w:cs="Times New Roman"/>
          <w:color w:val="auto"/>
          <w:sz w:val="24"/>
          <w:szCs w:val="24"/>
          <w:highlight w:val="none"/>
        </w:rPr>
        <w:t>负责运行维护管理工作，运行维护内容包括整个项目涉及的软件升级、技术培训、运行维护方案的制定等，并配备专人进行具体工作的实施。</w:t>
      </w:r>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年维护期结束后</w:t>
      </w:r>
      <w:r>
        <w:rPr>
          <w:rFonts w:hint="eastAsia" w:ascii="Times New Roman" w:hAnsi="Times New Roman" w:eastAsia="宋体" w:cs="Times New Roman"/>
          <w:color w:val="auto"/>
          <w:sz w:val="24"/>
          <w:szCs w:val="24"/>
          <w:highlight w:val="none"/>
          <w:lang w:val="en-US" w:eastAsia="zh-CN"/>
        </w:rPr>
        <w:t>移交至</w:t>
      </w:r>
      <w:r>
        <w:rPr>
          <w:rFonts w:hint="default" w:ascii="Times New Roman" w:hAnsi="Times New Roman" w:eastAsia="宋体" w:cs="Times New Roman"/>
          <w:color w:val="auto"/>
          <w:sz w:val="24"/>
          <w:szCs w:val="24"/>
          <w:highlight w:val="none"/>
          <w:lang w:eastAsia="zh-CN"/>
        </w:rPr>
        <w:t>窄口</w:t>
      </w:r>
      <w:r>
        <w:rPr>
          <w:rFonts w:hint="default" w:ascii="Times New Roman" w:hAnsi="Times New Roman" w:eastAsia="宋体" w:cs="Times New Roman"/>
          <w:color w:val="auto"/>
          <w:sz w:val="24"/>
          <w:szCs w:val="24"/>
          <w:highlight w:val="none"/>
        </w:rPr>
        <w:t>水库</w:t>
      </w:r>
      <w:r>
        <w:rPr>
          <w:rFonts w:hint="default" w:ascii="Times New Roman" w:hAnsi="Times New Roman" w:eastAsia="宋体" w:cs="Times New Roman"/>
          <w:color w:val="auto"/>
          <w:sz w:val="24"/>
          <w:szCs w:val="24"/>
          <w:highlight w:val="none"/>
          <w:lang w:val="en-US" w:eastAsia="zh-CN"/>
        </w:rPr>
        <w:t>事务</w:t>
      </w:r>
      <w:r>
        <w:rPr>
          <w:rFonts w:hint="default" w:ascii="Times New Roman" w:hAnsi="Times New Roman" w:eastAsia="宋体" w:cs="Times New Roman"/>
          <w:color w:val="auto"/>
          <w:sz w:val="24"/>
          <w:szCs w:val="24"/>
          <w:highlight w:val="none"/>
        </w:rPr>
        <w:t>中心。</w:t>
      </w:r>
    </w:p>
    <w:bookmarkEnd w:id="523"/>
    <w:bookmarkEnd w:id="524"/>
    <w:bookmarkEnd w:id="525"/>
    <w:bookmarkEnd w:id="526"/>
    <w:bookmarkEnd w:id="527"/>
    <w:bookmarkEnd w:id="528"/>
    <w:bookmarkEnd w:id="529"/>
    <w:bookmarkEnd w:id="530"/>
    <w:bookmarkEnd w:id="531"/>
    <w:p w14:paraId="0C0F73B8">
      <w:pPr>
        <w:pStyle w:val="2"/>
        <w:bidi w:val="0"/>
        <w:jc w:val="both"/>
        <w:rPr>
          <w:rFonts w:hint="eastAsia" w:asciiTheme="minorEastAsia" w:hAnsiTheme="minorEastAsia" w:eastAsiaTheme="minorEastAsia" w:cstheme="minorEastAsia"/>
          <w:color w:val="auto"/>
          <w:highlight w:val="none"/>
        </w:rPr>
        <w:sectPr>
          <w:headerReference r:id="rId5" w:type="default"/>
          <w:footerReference r:id="rId6" w:type="default"/>
          <w:pgSz w:w="11905" w:h="16838"/>
          <w:pgMar w:top="1361" w:right="1474" w:bottom="1361" w:left="1474" w:header="720" w:footer="720" w:gutter="0"/>
          <w:pgBorders>
            <w:top w:val="none" w:sz="0" w:space="0"/>
            <w:left w:val="none" w:sz="0" w:space="0"/>
            <w:bottom w:val="none" w:sz="0" w:space="0"/>
            <w:right w:val="none" w:sz="0" w:space="0"/>
          </w:pgBorders>
          <w:pgNumType w:fmt="decimal"/>
          <w:cols w:space="0" w:num="1"/>
          <w:rtlGutter w:val="0"/>
          <w:docGrid w:linePitch="0" w:charSpace="0"/>
        </w:sectPr>
      </w:pPr>
      <w:bookmarkStart w:id="592" w:name="bookmark41"/>
      <w:bookmarkEnd w:id="592"/>
      <w:bookmarkStart w:id="593" w:name="bookmark42"/>
      <w:bookmarkEnd w:id="593"/>
      <w:bookmarkStart w:id="594" w:name="_Toc20505"/>
      <w:bookmarkStart w:id="595" w:name="_Toc77586967"/>
      <w:bookmarkStart w:id="596" w:name="_Toc152045786"/>
      <w:bookmarkStart w:id="597" w:name="_Toc179632806"/>
      <w:bookmarkStart w:id="598" w:name="_Toc296602600"/>
      <w:bookmarkStart w:id="599" w:name="_Toc247085872"/>
      <w:bookmarkStart w:id="600" w:name="_Toc144974855"/>
      <w:bookmarkStart w:id="601" w:name="_Toc246996354"/>
      <w:bookmarkStart w:id="602" w:name="_Toc77586869"/>
      <w:bookmarkStart w:id="603" w:name="_Toc152042575"/>
      <w:bookmarkStart w:id="604" w:name="_Toc24304"/>
      <w:bookmarkStart w:id="605" w:name="_Toc246997097"/>
    </w:p>
    <w:p w14:paraId="20D6A40B">
      <w:pPr>
        <w:pStyle w:val="2"/>
        <w:bidi w:val="0"/>
        <w:jc w:val="center"/>
        <w:rPr>
          <w:rFonts w:hint="eastAsia" w:asciiTheme="minorEastAsia" w:hAnsiTheme="minorEastAsia" w:eastAsiaTheme="minorEastAsia" w:cstheme="minorEastAsia"/>
          <w:color w:val="auto"/>
          <w:szCs w:val="36"/>
          <w:highlight w:val="none"/>
        </w:rPr>
      </w:pPr>
      <w:r>
        <w:rPr>
          <w:rFonts w:hint="eastAsia" w:asciiTheme="minorEastAsia" w:hAnsiTheme="minorEastAsia" w:eastAsiaTheme="minorEastAsia" w:cstheme="minorEastAsia"/>
          <w:color w:val="auto"/>
          <w:highlight w:val="none"/>
        </w:rPr>
        <w:t>第七章  响应文件格式</w:t>
      </w:r>
      <w:bookmarkEnd w:id="594"/>
      <w:bookmarkEnd w:id="595"/>
      <w:bookmarkEnd w:id="596"/>
      <w:bookmarkEnd w:id="597"/>
      <w:bookmarkEnd w:id="598"/>
      <w:bookmarkEnd w:id="599"/>
      <w:bookmarkEnd w:id="600"/>
      <w:bookmarkEnd w:id="601"/>
      <w:bookmarkEnd w:id="602"/>
      <w:bookmarkEnd w:id="603"/>
      <w:bookmarkEnd w:id="604"/>
      <w:bookmarkEnd w:id="605"/>
    </w:p>
    <w:p w14:paraId="43B55EEC">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此格式仅供参考）</w:t>
      </w:r>
    </w:p>
    <w:p w14:paraId="1A3C3B21">
      <w:pPr>
        <w:spacing w:line="400" w:lineRule="exact"/>
        <w:rPr>
          <w:rFonts w:hint="eastAsia" w:asciiTheme="minorEastAsia" w:hAnsiTheme="minorEastAsia" w:eastAsiaTheme="minorEastAsia" w:cstheme="minorEastAsia"/>
          <w:color w:val="auto"/>
          <w:highlight w:val="none"/>
        </w:rPr>
      </w:pPr>
    </w:p>
    <w:p w14:paraId="09EFABE4">
      <w:pPr>
        <w:spacing w:line="360" w:lineRule="auto"/>
        <w:ind w:firstLine="200"/>
        <w:jc w:val="center"/>
        <w:rPr>
          <w:rFonts w:hint="eastAsia" w:asciiTheme="minorEastAsia" w:hAnsiTheme="minorEastAsia" w:eastAsiaTheme="minorEastAsia" w:cstheme="minorEastAsia"/>
          <w:b/>
          <w:color w:val="auto"/>
          <w:sz w:val="30"/>
          <w:szCs w:val="30"/>
          <w:highlight w:val="none"/>
          <w:u w:val="single"/>
        </w:rPr>
      </w:pPr>
      <w:bookmarkStart w:id="606" w:name="_Toc247085873"/>
      <w:bookmarkStart w:id="607" w:name="_Toc246996355"/>
      <w:bookmarkStart w:id="608" w:name="_Toc144974856"/>
      <w:bookmarkStart w:id="609" w:name="_Toc152045787"/>
      <w:bookmarkStart w:id="610" w:name="_Toc152042576"/>
      <w:bookmarkStart w:id="611" w:name="_Toc296602601"/>
      <w:bookmarkStart w:id="612" w:name="_Toc246997098"/>
      <w:bookmarkStart w:id="613" w:name="_Toc179632807"/>
      <w:r>
        <w:rPr>
          <w:rFonts w:hint="eastAsia" w:asciiTheme="minorEastAsia" w:hAnsiTheme="minorEastAsia" w:eastAsiaTheme="minorEastAsia" w:cstheme="minorEastAsia"/>
          <w:b/>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rPr>
        <w:t>项目名称）</w:t>
      </w:r>
    </w:p>
    <w:p w14:paraId="0024651E">
      <w:pPr>
        <w:jc w:val="center"/>
        <w:rPr>
          <w:rFonts w:hint="eastAsia" w:asciiTheme="minorEastAsia" w:hAnsiTheme="minorEastAsia" w:eastAsiaTheme="minorEastAsia" w:cstheme="minorEastAsia"/>
          <w:b/>
          <w:bCs/>
          <w:color w:val="auto"/>
          <w:sz w:val="56"/>
          <w:szCs w:val="56"/>
          <w:highlight w:val="none"/>
        </w:rPr>
      </w:pPr>
    </w:p>
    <w:p w14:paraId="38BFC3B8">
      <w:pPr>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56"/>
          <w:szCs w:val="56"/>
          <w:highlight w:val="none"/>
        </w:rPr>
        <w:t>竞争性磋商响应文件</w:t>
      </w:r>
    </w:p>
    <w:p w14:paraId="13FB07F5">
      <w:pPr>
        <w:spacing w:line="70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项目编号： </w:t>
      </w:r>
    </w:p>
    <w:p w14:paraId="3B71A48F">
      <w:pPr>
        <w:spacing w:line="700" w:lineRule="exact"/>
        <w:ind w:left="3534" w:hanging="3534" w:hangingChars="1100"/>
        <w:jc w:val="center"/>
        <w:rPr>
          <w:rFonts w:hint="eastAsia" w:asciiTheme="minorEastAsia" w:hAnsiTheme="minorEastAsia" w:eastAsiaTheme="minorEastAsia" w:cstheme="minorEastAsia"/>
          <w:b/>
          <w:color w:val="auto"/>
          <w:sz w:val="32"/>
          <w:szCs w:val="32"/>
          <w:highlight w:val="none"/>
        </w:rPr>
      </w:pPr>
    </w:p>
    <w:p w14:paraId="38D7AF17">
      <w:pPr>
        <w:spacing w:line="700" w:lineRule="exact"/>
        <w:rPr>
          <w:rFonts w:hint="eastAsia" w:asciiTheme="minorEastAsia" w:hAnsiTheme="minorEastAsia" w:eastAsiaTheme="minorEastAsia" w:cstheme="minorEastAsia"/>
          <w:b/>
          <w:color w:val="auto"/>
          <w:sz w:val="32"/>
          <w:szCs w:val="32"/>
          <w:highlight w:val="none"/>
        </w:rPr>
      </w:pPr>
    </w:p>
    <w:p w14:paraId="5D9FBE1C">
      <w:pPr>
        <w:spacing w:line="700" w:lineRule="exact"/>
        <w:rPr>
          <w:rFonts w:hint="eastAsia" w:asciiTheme="minorEastAsia" w:hAnsiTheme="minorEastAsia" w:eastAsiaTheme="minorEastAsia" w:cstheme="minorEastAsia"/>
          <w:b/>
          <w:bCs/>
          <w:color w:val="auto"/>
          <w:sz w:val="32"/>
          <w:szCs w:val="32"/>
          <w:highlight w:val="none"/>
        </w:rPr>
      </w:pPr>
    </w:p>
    <w:p w14:paraId="64164189">
      <w:pPr>
        <w:pStyle w:val="18"/>
        <w:ind w:firstLine="0"/>
        <w:rPr>
          <w:rFonts w:hint="eastAsia" w:asciiTheme="minorEastAsia" w:hAnsiTheme="minorEastAsia" w:eastAsiaTheme="minorEastAsia" w:cstheme="minorEastAsia"/>
          <w:color w:val="auto"/>
          <w:highlight w:val="none"/>
        </w:rPr>
      </w:pPr>
    </w:p>
    <w:p w14:paraId="2205AA02">
      <w:pPr>
        <w:rPr>
          <w:rFonts w:hint="eastAsia" w:asciiTheme="minorEastAsia" w:hAnsiTheme="minorEastAsia" w:eastAsiaTheme="minorEastAsia" w:cstheme="minorEastAsia"/>
          <w:color w:val="auto"/>
          <w:sz w:val="28"/>
          <w:szCs w:val="28"/>
          <w:highlight w:val="none"/>
        </w:rPr>
      </w:pPr>
    </w:p>
    <w:p w14:paraId="3803F5FA">
      <w:pPr>
        <w:ind w:firstLine="1280" w:firstLineChars="400"/>
        <w:rPr>
          <w:rFonts w:hint="eastAsia" w:asciiTheme="minorEastAsia" w:hAnsiTheme="minorEastAsia" w:eastAsiaTheme="minorEastAsia" w:cstheme="minorEastAsia"/>
          <w:color w:val="auto"/>
          <w:sz w:val="32"/>
          <w:szCs w:val="32"/>
          <w:highlight w:val="none"/>
        </w:rPr>
      </w:pPr>
    </w:p>
    <w:p w14:paraId="7FAA7EE1">
      <w:pPr>
        <w:ind w:firstLine="1280" w:firstLineChars="400"/>
        <w:rPr>
          <w:rFonts w:hint="eastAsia" w:asciiTheme="minorEastAsia" w:hAnsiTheme="minorEastAsia" w:eastAsiaTheme="minorEastAsia" w:cstheme="minorEastAsia"/>
          <w:color w:val="auto"/>
          <w:sz w:val="32"/>
          <w:szCs w:val="32"/>
          <w:highlight w:val="none"/>
        </w:rPr>
      </w:pPr>
    </w:p>
    <w:p w14:paraId="2F9F01D5">
      <w:pPr>
        <w:jc w:val="cente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lang w:val="en-US" w:eastAsia="zh-CN"/>
        </w:rPr>
        <w:t>供  应  商</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电子签章）</w:t>
      </w:r>
    </w:p>
    <w:p w14:paraId="116A8487">
      <w:pPr>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法定代表人或其委托代理人：</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电子签章）</w:t>
      </w:r>
    </w:p>
    <w:p w14:paraId="124C29F6">
      <w:pPr>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日      期：</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rPr>
        <w:t>日</w:t>
      </w:r>
    </w:p>
    <w:p w14:paraId="78F383B3">
      <w:pPr>
        <w:jc w:val="center"/>
        <w:rPr>
          <w:rFonts w:hint="eastAsia" w:asciiTheme="minorEastAsia" w:hAnsiTheme="minorEastAsia" w:eastAsiaTheme="minorEastAsia" w:cstheme="minorEastAsia"/>
          <w:color w:val="auto"/>
          <w:sz w:val="44"/>
          <w:szCs w:val="44"/>
          <w:highlight w:val="none"/>
        </w:rPr>
      </w:pPr>
    </w:p>
    <w:p w14:paraId="60BFC90A">
      <w:pPr>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color w:val="auto"/>
          <w:sz w:val="30"/>
          <w:szCs w:val="30"/>
          <w:highlight w:val="none"/>
        </w:rPr>
        <w:t>目   录</w:t>
      </w:r>
      <w:bookmarkEnd w:id="606"/>
      <w:bookmarkEnd w:id="607"/>
      <w:bookmarkEnd w:id="608"/>
      <w:bookmarkEnd w:id="609"/>
      <w:bookmarkEnd w:id="610"/>
      <w:bookmarkEnd w:id="611"/>
      <w:bookmarkEnd w:id="612"/>
      <w:bookmarkEnd w:id="613"/>
    </w:p>
    <w:p w14:paraId="39C4F10C">
      <w:pPr>
        <w:spacing w:line="5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自拟）</w:t>
      </w:r>
    </w:p>
    <w:p w14:paraId="4A7711F2">
      <w:pPr>
        <w:spacing w:line="540" w:lineRule="exact"/>
        <w:rPr>
          <w:rFonts w:hint="eastAsia" w:asciiTheme="minorEastAsia" w:hAnsiTheme="minorEastAsia" w:eastAsiaTheme="minorEastAsia" w:cstheme="minorEastAsia"/>
          <w:color w:val="auto"/>
          <w:sz w:val="20"/>
          <w:szCs w:val="20"/>
          <w:highlight w:val="none"/>
        </w:rPr>
      </w:pPr>
    </w:p>
    <w:p w14:paraId="314E2997">
      <w:pPr>
        <w:spacing w:line="540" w:lineRule="exact"/>
        <w:rPr>
          <w:rFonts w:hint="eastAsia" w:asciiTheme="minorEastAsia" w:hAnsiTheme="minorEastAsia" w:eastAsiaTheme="minorEastAsia" w:cstheme="minorEastAsia"/>
          <w:color w:val="auto"/>
          <w:sz w:val="20"/>
          <w:szCs w:val="20"/>
          <w:highlight w:val="none"/>
        </w:rPr>
      </w:pPr>
    </w:p>
    <w:p w14:paraId="0BC0474C">
      <w:pPr>
        <w:spacing w:line="540" w:lineRule="exact"/>
        <w:rPr>
          <w:rFonts w:hint="eastAsia" w:asciiTheme="minorEastAsia" w:hAnsiTheme="minorEastAsia" w:eastAsiaTheme="minorEastAsia" w:cstheme="minorEastAsia"/>
          <w:color w:val="auto"/>
          <w:sz w:val="20"/>
          <w:szCs w:val="20"/>
          <w:highlight w:val="none"/>
        </w:rPr>
      </w:pPr>
    </w:p>
    <w:p w14:paraId="686987FE">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auto"/>
          <w:highlight w:val="none"/>
        </w:rPr>
      </w:pPr>
      <w:bookmarkStart w:id="614" w:name="_Toc179632809"/>
      <w:bookmarkStart w:id="615" w:name="_Toc77586870"/>
      <w:bookmarkStart w:id="616" w:name="_Toc152042578"/>
      <w:bookmarkStart w:id="617" w:name="_Toc296602603"/>
      <w:bookmarkStart w:id="618" w:name="_Toc246996357"/>
      <w:bookmarkStart w:id="619" w:name="_Toc246997100"/>
      <w:bookmarkStart w:id="620" w:name="_Toc152045789"/>
      <w:bookmarkStart w:id="621" w:name="_Toc247085875"/>
      <w:bookmarkStart w:id="622" w:name="_Toc77586968"/>
      <w:bookmarkStart w:id="623" w:name="_Toc144974858"/>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一、磋商响应函</w:t>
      </w:r>
      <w:bookmarkEnd w:id="614"/>
      <w:bookmarkEnd w:id="615"/>
      <w:bookmarkEnd w:id="616"/>
      <w:bookmarkEnd w:id="617"/>
      <w:bookmarkEnd w:id="618"/>
      <w:bookmarkEnd w:id="619"/>
      <w:bookmarkEnd w:id="620"/>
      <w:bookmarkEnd w:id="621"/>
      <w:bookmarkEnd w:id="622"/>
      <w:bookmarkEnd w:id="623"/>
    </w:p>
    <w:p w14:paraId="55438BDB">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eastAsia="zh-CN"/>
        </w:rPr>
        <w:t>（采购人</w:t>
      </w:r>
      <w:r>
        <w:rPr>
          <w:rFonts w:hint="eastAsia" w:asciiTheme="minorEastAsia" w:hAnsiTheme="minorEastAsia" w:eastAsiaTheme="minorEastAsia" w:cstheme="minorEastAsia"/>
          <w:color w:val="auto"/>
          <w:kern w:val="0"/>
          <w:sz w:val="24"/>
          <w:szCs w:val="24"/>
          <w:highlight w:val="none"/>
          <w:u w:val="single"/>
        </w:rPr>
        <w:t xml:space="preserve">名称）      </w:t>
      </w:r>
    </w:p>
    <w:p w14:paraId="5922127D">
      <w:pPr>
        <w:keepNext w:val="0"/>
        <w:keepLines w:val="0"/>
        <w:pageBreakBefore w:val="0"/>
        <w:widowControl/>
        <w:kinsoku/>
        <w:wordWrap/>
        <w:overflowPunct/>
        <w:topLinePunct w:val="0"/>
        <w:autoSpaceDE/>
        <w:autoSpaceDN/>
        <w:bidi w:val="0"/>
        <w:adjustRightInd w:val="0"/>
        <w:snapToGrid w:val="0"/>
        <w:spacing w:after="0" w:line="360" w:lineRule="auto"/>
        <w:ind w:firstLine="628" w:firstLineChars="262"/>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根据你方招标项目编号为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rPr>
        <w:t xml:space="preserve">项目编号） </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rPr>
        <w:t xml:space="preserve">项目名称）        </w:t>
      </w:r>
      <w:r>
        <w:rPr>
          <w:rFonts w:hint="eastAsia" w:asciiTheme="minorEastAsia" w:hAnsiTheme="minorEastAsia" w:eastAsiaTheme="minorEastAsia" w:cstheme="minorEastAsia"/>
          <w:color w:val="auto"/>
          <w:kern w:val="0"/>
          <w:sz w:val="24"/>
          <w:szCs w:val="24"/>
          <w:highlight w:val="none"/>
        </w:rPr>
        <w:t>的竞争性磋商文件，遵照《中华人民共和国政府采购法》《政府采购竞争性磋商采购方式暂行办法》等有关规定，经研究上述竞争性磋商文件的投标须知、合同条款及其他有关文件后，我方愿以磋商总报价人民币</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小写）：</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元(大写</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 xml:space="preserve"> 的磋商报价，</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lang w:eastAsia="zh-CN"/>
        </w:rPr>
        <w:t>期</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日历天，系统保障运营期</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承包上述项目的</w:t>
      </w:r>
      <w:r>
        <w:rPr>
          <w:rFonts w:hint="eastAsia" w:asciiTheme="minorEastAsia" w:hAnsiTheme="minorEastAsia" w:eastAsiaTheme="minorEastAsia" w:cstheme="minorEastAsia"/>
          <w:color w:val="auto"/>
          <w:kern w:val="0"/>
          <w:sz w:val="24"/>
          <w:szCs w:val="24"/>
          <w:highlight w:val="none"/>
          <w:lang w:val="en-US" w:eastAsia="zh-CN"/>
        </w:rPr>
        <w:t>服务内容、服务质量、软硬件</w:t>
      </w:r>
      <w:r>
        <w:rPr>
          <w:rFonts w:hint="eastAsia" w:asciiTheme="minorEastAsia" w:hAnsiTheme="minorEastAsia" w:eastAsiaTheme="minorEastAsia" w:cstheme="minorEastAsia"/>
          <w:color w:val="auto"/>
          <w:kern w:val="0"/>
          <w:sz w:val="24"/>
          <w:szCs w:val="24"/>
          <w:highlight w:val="none"/>
        </w:rPr>
        <w:t>安装、调试、验收、培训、质保期服务、与货物有关的运输和保险及其他伴随服务。</w:t>
      </w:r>
    </w:p>
    <w:p w14:paraId="09DB6E06">
      <w:pPr>
        <w:keepNext w:val="0"/>
        <w:keepLines w:val="0"/>
        <w:pageBreakBefore w:val="0"/>
        <w:widowControl/>
        <w:kinsoku/>
        <w:wordWrap/>
        <w:overflowPunct/>
        <w:topLinePunct w:val="0"/>
        <w:autoSpaceDE/>
        <w:autoSpaceDN/>
        <w:bidi w:val="0"/>
        <w:adjustRightInd w:val="0"/>
        <w:snapToGrid w:val="0"/>
        <w:spacing w:after="0" w:line="360" w:lineRule="auto"/>
        <w:ind w:firstLine="628" w:firstLineChars="262"/>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1、我方已详细审核全部招标文件，包括修改文件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737E8A0E">
      <w:pPr>
        <w:keepNext w:val="0"/>
        <w:keepLines w:val="0"/>
        <w:pageBreakBefore w:val="0"/>
        <w:widowControl/>
        <w:kinsoku/>
        <w:wordWrap/>
        <w:overflowPunct/>
        <w:topLinePunct w:val="0"/>
        <w:autoSpaceDE/>
        <w:autoSpaceDN/>
        <w:bidi w:val="0"/>
        <w:adjustRightInd w:val="0"/>
        <w:snapToGrid w:val="0"/>
        <w:spacing w:after="0" w:line="360" w:lineRule="auto"/>
        <w:ind w:firstLine="628" w:firstLineChars="262"/>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2、我方承认投标函附表是我方投标函的组成部分。</w:t>
      </w:r>
    </w:p>
    <w:p w14:paraId="2576B53E">
      <w:pPr>
        <w:keepNext w:val="0"/>
        <w:keepLines w:val="0"/>
        <w:pageBreakBefore w:val="0"/>
        <w:widowControl/>
        <w:kinsoku/>
        <w:wordWrap/>
        <w:overflowPunct/>
        <w:topLinePunct w:val="0"/>
        <w:autoSpaceDE/>
        <w:autoSpaceDN/>
        <w:bidi w:val="0"/>
        <w:adjustRightInd w:val="0"/>
        <w:snapToGrid w:val="0"/>
        <w:spacing w:after="0" w:line="360" w:lineRule="auto"/>
        <w:ind w:firstLine="628" w:firstLineChars="262"/>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3、如我方中标，我方承诺在收到中标通知书后，在中标通知书规定的期限内，根据招标文件、我方的</w:t>
      </w:r>
      <w:r>
        <w:rPr>
          <w:rFonts w:hint="eastAsia" w:asciiTheme="minorEastAsia" w:hAnsiTheme="minorEastAsia" w:eastAsiaTheme="minorEastAsia" w:cstheme="minorEastAsia"/>
          <w:color w:val="auto"/>
          <w:kern w:val="0"/>
          <w:sz w:val="24"/>
          <w:szCs w:val="24"/>
          <w:highlight w:val="none"/>
          <w:lang w:eastAsia="zh-CN"/>
        </w:rPr>
        <w:t>响应文件</w:t>
      </w:r>
      <w:r>
        <w:rPr>
          <w:rFonts w:hint="eastAsia" w:asciiTheme="minorEastAsia" w:hAnsiTheme="minorEastAsia" w:eastAsiaTheme="minorEastAsia" w:cstheme="minorEastAsia"/>
          <w:color w:val="auto"/>
          <w:kern w:val="0"/>
          <w:sz w:val="24"/>
          <w:szCs w:val="24"/>
          <w:highlight w:val="none"/>
        </w:rPr>
        <w:t>及有关澄清承诺书的要求，与采购人订立书面合同，并按照合同约定承担完成合同的责任和义务。</w:t>
      </w:r>
    </w:p>
    <w:p w14:paraId="4A12CA44">
      <w:pPr>
        <w:keepNext w:val="0"/>
        <w:keepLines w:val="0"/>
        <w:pageBreakBefore w:val="0"/>
        <w:widowControl/>
        <w:kinsoku/>
        <w:wordWrap/>
        <w:overflowPunct/>
        <w:topLinePunct w:val="0"/>
        <w:autoSpaceDE/>
        <w:autoSpaceDN/>
        <w:bidi w:val="0"/>
        <w:adjustRightInd w:val="0"/>
        <w:snapToGrid w:val="0"/>
        <w:spacing w:after="0" w:line="360" w:lineRule="auto"/>
        <w:ind w:firstLine="628" w:firstLineChars="262"/>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4、我方同意自本项目招标文件中规定的投标有效期内有效，并承诺在投标有效期内不修改、撤销</w:t>
      </w:r>
      <w:r>
        <w:rPr>
          <w:rFonts w:hint="eastAsia" w:asciiTheme="minorEastAsia" w:hAnsiTheme="minorEastAsia" w:eastAsiaTheme="minorEastAsia" w:cstheme="minorEastAsia"/>
          <w:color w:val="auto"/>
          <w:kern w:val="0"/>
          <w:sz w:val="24"/>
          <w:szCs w:val="24"/>
          <w:highlight w:val="none"/>
          <w:lang w:eastAsia="zh-CN"/>
        </w:rPr>
        <w:t>响应文件</w:t>
      </w:r>
      <w:r>
        <w:rPr>
          <w:rFonts w:hint="eastAsia" w:asciiTheme="minorEastAsia" w:hAnsiTheme="minorEastAsia" w:eastAsiaTheme="minorEastAsia" w:cstheme="minorEastAsia"/>
          <w:color w:val="auto"/>
          <w:kern w:val="0"/>
          <w:sz w:val="24"/>
          <w:szCs w:val="24"/>
          <w:highlight w:val="none"/>
        </w:rPr>
        <w:t>。</w:t>
      </w:r>
    </w:p>
    <w:p w14:paraId="625BACA1">
      <w:pPr>
        <w:keepNext w:val="0"/>
        <w:keepLines w:val="0"/>
        <w:pageBreakBefore w:val="0"/>
        <w:widowControl/>
        <w:kinsoku/>
        <w:wordWrap/>
        <w:overflowPunct/>
        <w:topLinePunct w:val="0"/>
        <w:autoSpaceDE/>
        <w:autoSpaceDN/>
        <w:bidi w:val="0"/>
        <w:adjustRightInd w:val="0"/>
        <w:snapToGrid w:val="0"/>
        <w:spacing w:after="0" w:line="360" w:lineRule="auto"/>
        <w:ind w:firstLine="628" w:firstLineChars="262"/>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5、我方完全理解贵方不一定接受投标报价最低的供应商为中标供应商的行为。</w:t>
      </w:r>
    </w:p>
    <w:p w14:paraId="0FD04E4A">
      <w:pPr>
        <w:keepNext w:val="0"/>
        <w:keepLines w:val="0"/>
        <w:pageBreakBefore w:val="0"/>
        <w:widowControl/>
        <w:kinsoku/>
        <w:wordWrap/>
        <w:overflowPunct/>
        <w:topLinePunct w:val="0"/>
        <w:autoSpaceDE/>
        <w:autoSpaceDN/>
        <w:bidi w:val="0"/>
        <w:adjustRightInd w:val="0"/>
        <w:snapToGrid w:val="0"/>
        <w:spacing w:after="0" w:line="360" w:lineRule="auto"/>
        <w:ind w:firstLine="628" w:firstLineChars="262"/>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6、我方在此声明，所递交的</w:t>
      </w:r>
      <w:r>
        <w:rPr>
          <w:rFonts w:hint="eastAsia" w:asciiTheme="minorEastAsia" w:hAnsiTheme="minorEastAsia" w:eastAsiaTheme="minorEastAsia" w:cstheme="minorEastAsia"/>
          <w:color w:val="auto"/>
          <w:kern w:val="0"/>
          <w:sz w:val="24"/>
          <w:szCs w:val="24"/>
          <w:highlight w:val="none"/>
          <w:lang w:eastAsia="zh-CN"/>
        </w:rPr>
        <w:t>响应文件</w:t>
      </w:r>
      <w:r>
        <w:rPr>
          <w:rFonts w:hint="eastAsia" w:asciiTheme="minorEastAsia" w:hAnsiTheme="minorEastAsia" w:eastAsiaTheme="minorEastAsia" w:cstheme="minorEastAsia"/>
          <w:color w:val="auto"/>
          <w:kern w:val="0"/>
          <w:sz w:val="24"/>
          <w:szCs w:val="24"/>
          <w:highlight w:val="none"/>
        </w:rPr>
        <w:t>及有关资料内容完整、真实和准确。</w:t>
      </w:r>
    </w:p>
    <w:p w14:paraId="373105E1">
      <w:pPr>
        <w:keepNext w:val="0"/>
        <w:keepLines w:val="0"/>
        <w:pageBreakBefore w:val="0"/>
        <w:widowControl/>
        <w:kinsoku/>
        <w:wordWrap/>
        <w:overflowPunct/>
        <w:topLinePunct w:val="0"/>
        <w:autoSpaceDE/>
        <w:autoSpaceDN/>
        <w:bidi w:val="0"/>
        <w:adjustRightInd w:val="0"/>
        <w:snapToGrid w:val="0"/>
        <w:spacing w:after="0" w:line="360" w:lineRule="auto"/>
        <w:ind w:firstLine="628" w:firstLineChars="262"/>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本项目的联系人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31C1CB1">
      <w:pPr>
        <w:keepNext w:val="0"/>
        <w:keepLines w:val="0"/>
        <w:pageBreakBefore w:val="0"/>
        <w:widowControl/>
        <w:kinsoku/>
        <w:wordWrap/>
        <w:overflowPunct/>
        <w:topLinePunct w:val="0"/>
        <w:autoSpaceDE/>
        <w:autoSpaceDN/>
        <w:bidi w:val="0"/>
        <w:adjustRightInd w:val="0"/>
        <w:snapToGrid w:val="0"/>
        <w:spacing w:after="0" w:line="360" w:lineRule="auto"/>
        <w:ind w:firstLine="628" w:firstLineChars="262"/>
        <w:jc w:val="left"/>
        <w:textAlignment w:val="auto"/>
        <w:rPr>
          <w:rFonts w:hint="eastAsia" w:asciiTheme="minorEastAsia" w:hAnsiTheme="minorEastAsia" w:eastAsiaTheme="minorEastAsia" w:cstheme="minorEastAsia"/>
          <w:color w:val="auto"/>
          <w:kern w:val="0"/>
          <w:sz w:val="24"/>
          <w:szCs w:val="24"/>
          <w:highlight w:val="none"/>
        </w:rPr>
      </w:pPr>
    </w:p>
    <w:p w14:paraId="564AFCD5">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72FCF1A2">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rPr>
        <w:t>地址：</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p>
    <w:p w14:paraId="018C138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法定代表人或其委托代理人：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69BBB64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rPr>
        <w:t>电话：</w:t>
      </w:r>
      <w:r>
        <w:rPr>
          <w:rFonts w:hint="eastAsia" w:asciiTheme="minorEastAsia" w:hAnsiTheme="minorEastAsia" w:eastAsiaTheme="minorEastAsia" w:cstheme="minorEastAsia"/>
          <w:color w:val="auto"/>
          <w:kern w:val="0"/>
          <w:sz w:val="24"/>
          <w:szCs w:val="24"/>
          <w:highlight w:val="none"/>
          <w:u w:val="single"/>
          <w:lang w:val="en-US" w:eastAsia="zh-CN"/>
        </w:rPr>
        <w:t xml:space="preserve">           （填写能联系到的电话号码，方便通知二次报价）</w:t>
      </w:r>
    </w:p>
    <w:p w14:paraId="3F884D64">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 xml:space="preserve"> 年</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日</w:t>
      </w:r>
    </w:p>
    <w:p w14:paraId="210F8BC9">
      <w:pPr>
        <w:pStyle w:val="4"/>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2"/>
          <w:szCs w:val="22"/>
          <w:highlight w:val="none"/>
        </w:rPr>
        <w:br w:type="page"/>
      </w:r>
      <w:bookmarkStart w:id="624" w:name="_Toc77586871"/>
      <w:bookmarkStart w:id="625" w:name="_Toc77586969"/>
      <w:r>
        <w:rPr>
          <w:rFonts w:hint="eastAsia" w:asciiTheme="minorEastAsia" w:hAnsiTheme="minorEastAsia" w:eastAsiaTheme="minorEastAsia" w:cstheme="minorEastAsia"/>
          <w:color w:val="auto"/>
          <w:highlight w:val="none"/>
        </w:rPr>
        <w:t>二、</w:t>
      </w:r>
      <w:bookmarkEnd w:id="624"/>
      <w:bookmarkEnd w:id="625"/>
      <w:r>
        <w:rPr>
          <w:rFonts w:hint="eastAsia" w:asciiTheme="minorEastAsia" w:hAnsiTheme="minorEastAsia" w:eastAsiaTheme="minorEastAsia" w:cstheme="minorEastAsia"/>
          <w:color w:val="auto"/>
          <w:highlight w:val="none"/>
        </w:rPr>
        <w:t>磋商报价表</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第一轮）</w:t>
      </w:r>
    </w:p>
    <w:tbl>
      <w:tblPr>
        <w:tblStyle w:val="20"/>
        <w:tblpPr w:leftFromText="181" w:rightFromText="181" w:vertAnchor="text" w:horzAnchor="margin" w:tblpXSpec="center" w:tblpY="128"/>
        <w:tblOverlap w:val="never"/>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6998"/>
      </w:tblGrid>
      <w:tr w14:paraId="7819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641" w:type="dxa"/>
            <w:vAlign w:val="center"/>
          </w:tcPr>
          <w:p w14:paraId="213BCA21">
            <w:pPr>
              <w:spacing w:line="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名称</w:t>
            </w:r>
          </w:p>
        </w:tc>
        <w:tc>
          <w:tcPr>
            <w:tcW w:w="6998" w:type="dxa"/>
            <w:vAlign w:val="center"/>
          </w:tcPr>
          <w:p w14:paraId="30A1710E">
            <w:pPr>
              <w:spacing w:line="0" w:lineRule="atLeast"/>
              <w:jc w:val="center"/>
              <w:rPr>
                <w:rFonts w:hint="eastAsia" w:asciiTheme="minorEastAsia" w:hAnsiTheme="minorEastAsia" w:eastAsiaTheme="minorEastAsia" w:cstheme="minorEastAsia"/>
                <w:color w:val="auto"/>
                <w:sz w:val="24"/>
                <w:szCs w:val="24"/>
                <w:highlight w:val="none"/>
              </w:rPr>
            </w:pPr>
          </w:p>
        </w:tc>
      </w:tr>
      <w:tr w14:paraId="0010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jc w:val="center"/>
        </w:trPr>
        <w:tc>
          <w:tcPr>
            <w:tcW w:w="1641" w:type="dxa"/>
            <w:vAlign w:val="center"/>
          </w:tcPr>
          <w:p w14:paraId="0A01F39B">
            <w:pPr>
              <w:spacing w:line="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w:t>
            </w:r>
          </w:p>
        </w:tc>
        <w:tc>
          <w:tcPr>
            <w:tcW w:w="6998" w:type="dxa"/>
            <w:vAlign w:val="center"/>
          </w:tcPr>
          <w:p w14:paraId="3C2B57F6">
            <w:pPr>
              <w:spacing w:line="0" w:lineRule="atLeast"/>
              <w:jc w:val="center"/>
              <w:rPr>
                <w:rFonts w:hint="eastAsia" w:asciiTheme="minorEastAsia" w:hAnsiTheme="minorEastAsia" w:eastAsiaTheme="minorEastAsia" w:cstheme="minorEastAsia"/>
                <w:color w:val="auto"/>
                <w:sz w:val="24"/>
                <w:szCs w:val="24"/>
                <w:highlight w:val="none"/>
              </w:rPr>
            </w:pPr>
          </w:p>
        </w:tc>
      </w:tr>
      <w:tr w14:paraId="3C37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exact"/>
          <w:jc w:val="center"/>
        </w:trPr>
        <w:tc>
          <w:tcPr>
            <w:tcW w:w="1641" w:type="dxa"/>
            <w:vAlign w:val="center"/>
          </w:tcPr>
          <w:p w14:paraId="56249EC7">
            <w:pPr>
              <w:spacing w:line="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范围</w:t>
            </w:r>
          </w:p>
        </w:tc>
        <w:tc>
          <w:tcPr>
            <w:tcW w:w="6998" w:type="dxa"/>
            <w:vAlign w:val="center"/>
          </w:tcPr>
          <w:p w14:paraId="7ACCDB4A">
            <w:pPr>
              <w:spacing w:line="0" w:lineRule="atLeast"/>
              <w:jc w:val="center"/>
              <w:rPr>
                <w:rFonts w:hint="eastAsia" w:asciiTheme="minorEastAsia" w:hAnsiTheme="minorEastAsia" w:eastAsiaTheme="minorEastAsia" w:cstheme="minorEastAsia"/>
                <w:color w:val="auto"/>
                <w:sz w:val="24"/>
                <w:szCs w:val="24"/>
                <w:highlight w:val="none"/>
              </w:rPr>
            </w:pPr>
          </w:p>
        </w:tc>
      </w:tr>
      <w:tr w14:paraId="4B15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exact"/>
          <w:jc w:val="center"/>
        </w:trPr>
        <w:tc>
          <w:tcPr>
            <w:tcW w:w="1641" w:type="dxa"/>
            <w:vAlign w:val="center"/>
          </w:tcPr>
          <w:p w14:paraId="24987EFE">
            <w:pPr>
              <w:spacing w:line="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磋商总报价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元）</w:t>
            </w:r>
          </w:p>
        </w:tc>
        <w:tc>
          <w:tcPr>
            <w:tcW w:w="6998" w:type="dxa"/>
            <w:vAlign w:val="center"/>
          </w:tcPr>
          <w:p w14:paraId="51EB0BC5">
            <w:pPr>
              <w:spacing w:line="0" w:lineRule="atLeas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 xml:space="preserve">大写）                    </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 xml:space="preserve">小写）                    </w:t>
            </w:r>
          </w:p>
        </w:tc>
      </w:tr>
      <w:tr w14:paraId="29AF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641" w:type="dxa"/>
            <w:vAlign w:val="center"/>
          </w:tcPr>
          <w:p w14:paraId="6403F21D">
            <w:pPr>
              <w:spacing w:line="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 xml:space="preserve">要求  </w:t>
            </w:r>
          </w:p>
        </w:tc>
        <w:tc>
          <w:tcPr>
            <w:tcW w:w="6998" w:type="dxa"/>
            <w:vAlign w:val="center"/>
          </w:tcPr>
          <w:p w14:paraId="32AA23C2">
            <w:pPr>
              <w:spacing w:line="0" w:lineRule="atLeast"/>
              <w:jc w:val="center"/>
              <w:rPr>
                <w:rFonts w:hint="eastAsia" w:asciiTheme="minorEastAsia" w:hAnsiTheme="minorEastAsia" w:eastAsiaTheme="minorEastAsia" w:cstheme="minorEastAsia"/>
                <w:color w:val="auto"/>
                <w:sz w:val="24"/>
                <w:szCs w:val="24"/>
                <w:highlight w:val="none"/>
              </w:rPr>
            </w:pPr>
          </w:p>
        </w:tc>
      </w:tr>
      <w:tr w14:paraId="03A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641" w:type="dxa"/>
            <w:vAlign w:val="center"/>
          </w:tcPr>
          <w:p w14:paraId="080BFBA3">
            <w:pPr>
              <w:spacing w:line="0" w:lineRule="atLeas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服务期</w:t>
            </w:r>
          </w:p>
        </w:tc>
        <w:tc>
          <w:tcPr>
            <w:tcW w:w="6998" w:type="dxa"/>
            <w:vAlign w:val="center"/>
          </w:tcPr>
          <w:p w14:paraId="5DCD4B1E">
            <w:pPr>
              <w:spacing w:line="0" w:lineRule="atLeast"/>
              <w:jc w:val="center"/>
              <w:rPr>
                <w:rFonts w:hint="eastAsia" w:asciiTheme="minorEastAsia" w:hAnsiTheme="minorEastAsia" w:eastAsiaTheme="minorEastAsia" w:cstheme="minorEastAsia"/>
                <w:color w:val="auto"/>
                <w:sz w:val="24"/>
                <w:szCs w:val="24"/>
                <w:highlight w:val="none"/>
              </w:rPr>
            </w:pPr>
          </w:p>
        </w:tc>
      </w:tr>
      <w:tr w14:paraId="701F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641" w:type="dxa"/>
            <w:vAlign w:val="center"/>
          </w:tcPr>
          <w:p w14:paraId="1521A87E">
            <w:pPr>
              <w:spacing w:line="0" w:lineRule="atLeas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系统保障运营期</w:t>
            </w:r>
          </w:p>
        </w:tc>
        <w:tc>
          <w:tcPr>
            <w:tcW w:w="6998" w:type="dxa"/>
            <w:vAlign w:val="center"/>
          </w:tcPr>
          <w:p w14:paraId="31DE7123">
            <w:pPr>
              <w:spacing w:line="0" w:lineRule="atLeast"/>
              <w:jc w:val="center"/>
              <w:rPr>
                <w:rFonts w:hint="eastAsia" w:asciiTheme="minorEastAsia" w:hAnsiTheme="minorEastAsia" w:eastAsiaTheme="minorEastAsia" w:cstheme="minorEastAsia"/>
                <w:color w:val="auto"/>
                <w:sz w:val="24"/>
                <w:szCs w:val="24"/>
                <w:highlight w:val="none"/>
              </w:rPr>
            </w:pPr>
          </w:p>
        </w:tc>
      </w:tr>
      <w:tr w14:paraId="6B1B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641" w:type="dxa"/>
            <w:vAlign w:val="center"/>
          </w:tcPr>
          <w:p w14:paraId="1CBE2D57">
            <w:pPr>
              <w:spacing w:line="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磋商有效期</w:t>
            </w:r>
          </w:p>
        </w:tc>
        <w:tc>
          <w:tcPr>
            <w:tcW w:w="6998" w:type="dxa"/>
            <w:vAlign w:val="center"/>
          </w:tcPr>
          <w:p w14:paraId="00F6F0FF">
            <w:pPr>
              <w:spacing w:line="0" w:lineRule="atLeast"/>
              <w:jc w:val="center"/>
              <w:rPr>
                <w:rFonts w:hint="eastAsia" w:asciiTheme="minorEastAsia" w:hAnsiTheme="minorEastAsia" w:eastAsiaTheme="minorEastAsia" w:cstheme="minorEastAsia"/>
                <w:color w:val="auto"/>
                <w:sz w:val="24"/>
                <w:szCs w:val="24"/>
                <w:highlight w:val="none"/>
              </w:rPr>
            </w:pPr>
          </w:p>
        </w:tc>
      </w:tr>
      <w:tr w14:paraId="5FB6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641" w:type="dxa"/>
            <w:vAlign w:val="center"/>
          </w:tcPr>
          <w:p w14:paraId="651CA576">
            <w:pPr>
              <w:spacing w:line="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6998" w:type="dxa"/>
            <w:vAlign w:val="center"/>
          </w:tcPr>
          <w:p w14:paraId="0E2500E8">
            <w:pPr>
              <w:spacing w:line="0" w:lineRule="atLeast"/>
              <w:rPr>
                <w:rFonts w:hint="eastAsia" w:asciiTheme="minorEastAsia" w:hAnsiTheme="minorEastAsia" w:eastAsiaTheme="minorEastAsia" w:cstheme="minorEastAsia"/>
                <w:color w:val="auto"/>
                <w:sz w:val="24"/>
                <w:szCs w:val="24"/>
                <w:highlight w:val="none"/>
              </w:rPr>
            </w:pPr>
          </w:p>
        </w:tc>
      </w:tr>
    </w:tbl>
    <w:p w14:paraId="3E6B2034">
      <w:pPr>
        <w:widowControl/>
        <w:adjustRightInd w:val="0"/>
        <w:spacing w:line="165" w:lineRule="atLeast"/>
        <w:jc w:val="left"/>
        <w:rPr>
          <w:rFonts w:hint="eastAsia" w:asciiTheme="minorEastAsia" w:hAnsiTheme="minorEastAsia" w:eastAsiaTheme="minorEastAsia" w:cstheme="minorEastAsia"/>
          <w:color w:val="auto"/>
          <w:kern w:val="0"/>
          <w:sz w:val="24"/>
          <w:szCs w:val="24"/>
          <w:highlight w:val="none"/>
        </w:rPr>
      </w:pPr>
    </w:p>
    <w:p w14:paraId="0DE7ED9D">
      <w:pPr>
        <w:widowControl/>
        <w:adjustRightInd w:val="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24BAAD30">
      <w:pPr>
        <w:pStyle w:val="18"/>
        <w:spacing w:line="240" w:lineRule="auto"/>
        <w:rPr>
          <w:rFonts w:hint="eastAsia" w:asciiTheme="minorEastAsia" w:hAnsiTheme="minorEastAsia" w:eastAsiaTheme="minorEastAsia" w:cstheme="minorEastAsia"/>
          <w:color w:val="auto"/>
          <w:sz w:val="24"/>
          <w:szCs w:val="24"/>
          <w:highlight w:val="none"/>
        </w:rPr>
      </w:pPr>
    </w:p>
    <w:p w14:paraId="4B00EA06">
      <w:pPr>
        <w:widowControl/>
        <w:adjustRightInd w:val="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法定代表人或其委托代理人：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5CE95F57">
      <w:pPr>
        <w:pStyle w:val="18"/>
        <w:spacing w:line="240" w:lineRule="auto"/>
        <w:rPr>
          <w:rFonts w:hint="eastAsia" w:asciiTheme="minorEastAsia" w:hAnsiTheme="minorEastAsia" w:eastAsiaTheme="minorEastAsia" w:cstheme="minorEastAsia"/>
          <w:color w:val="auto"/>
          <w:sz w:val="24"/>
          <w:szCs w:val="24"/>
          <w:highlight w:val="none"/>
        </w:rPr>
      </w:pPr>
    </w:p>
    <w:p w14:paraId="36CE2A5E">
      <w:pPr>
        <w:widowControl/>
        <w:adjustRightInd w:val="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日</w:t>
      </w:r>
      <w:bookmarkStart w:id="626" w:name="_Toc179632811"/>
      <w:bookmarkStart w:id="627" w:name="_Toc246997102"/>
      <w:bookmarkStart w:id="628" w:name="_Toc296602605"/>
      <w:bookmarkStart w:id="629" w:name="_Toc247085877"/>
      <w:bookmarkStart w:id="630" w:name="_Toc144974860"/>
      <w:bookmarkStart w:id="631" w:name="_Toc152042580"/>
      <w:bookmarkStart w:id="632" w:name="_Toc246996359"/>
      <w:bookmarkStart w:id="633" w:name="_Toc152045791"/>
    </w:p>
    <w:p w14:paraId="59252ACC">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634" w:name="_Toc77586970"/>
      <w:bookmarkStart w:id="635" w:name="_Toc77586872"/>
      <w:r>
        <w:rPr>
          <w:rFonts w:hint="eastAsia" w:asciiTheme="minorEastAsia" w:hAnsiTheme="minorEastAsia" w:eastAsiaTheme="minorEastAsia" w:cstheme="minorEastAsia"/>
          <w:color w:val="auto"/>
          <w:highlight w:val="none"/>
        </w:rPr>
        <w:t>三、法定代表人身份证明</w:t>
      </w:r>
      <w:bookmarkEnd w:id="626"/>
      <w:bookmarkEnd w:id="627"/>
      <w:bookmarkEnd w:id="628"/>
      <w:bookmarkEnd w:id="629"/>
      <w:bookmarkEnd w:id="630"/>
      <w:bookmarkEnd w:id="631"/>
      <w:bookmarkEnd w:id="632"/>
      <w:bookmarkEnd w:id="633"/>
      <w:bookmarkEnd w:id="634"/>
      <w:bookmarkEnd w:id="635"/>
    </w:p>
    <w:p w14:paraId="4F273C7C">
      <w:pPr>
        <w:spacing w:line="440" w:lineRule="exact"/>
        <w:rPr>
          <w:rFonts w:hint="eastAsia" w:asciiTheme="minorEastAsia" w:hAnsiTheme="minorEastAsia" w:eastAsiaTheme="minorEastAsia" w:cstheme="minorEastAsia"/>
          <w:color w:val="auto"/>
          <w:highlight w:val="none"/>
        </w:rPr>
      </w:pPr>
    </w:p>
    <w:p w14:paraId="503A9AEC">
      <w:pPr>
        <w:spacing w:line="540" w:lineRule="exact"/>
        <w:ind w:left="444" w:leftChars="202"/>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1573050">
      <w:pPr>
        <w:spacing w:line="540" w:lineRule="exact"/>
        <w:ind w:left="444" w:leftChars="202"/>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单位性质：</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BC59E25">
      <w:pPr>
        <w:spacing w:line="540" w:lineRule="exact"/>
        <w:ind w:left="444" w:leftChars="202"/>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D869553">
      <w:pPr>
        <w:spacing w:line="540" w:lineRule="exact"/>
        <w:ind w:left="444" w:leftChars="20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成立时间：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023BD594">
      <w:pPr>
        <w:spacing w:line="540" w:lineRule="exact"/>
        <w:ind w:left="444" w:leftChars="202"/>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经营期限：</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F04DC91">
      <w:pPr>
        <w:spacing w:line="540" w:lineRule="exact"/>
        <w:ind w:left="444" w:leftChars="202"/>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 性别：</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DBE73A9">
      <w:pPr>
        <w:spacing w:line="540" w:lineRule="exact"/>
        <w:ind w:left="444" w:leftChars="20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系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的法定代表人。</w:t>
      </w:r>
    </w:p>
    <w:p w14:paraId="3CE98008">
      <w:pPr>
        <w:spacing w:line="540" w:lineRule="exact"/>
        <w:ind w:left="444" w:leftChars="20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1B959915">
      <w:pPr>
        <w:spacing w:line="440" w:lineRule="exact"/>
        <w:rPr>
          <w:rFonts w:hint="eastAsia" w:asciiTheme="minorEastAsia" w:hAnsiTheme="minorEastAsia" w:eastAsiaTheme="minorEastAsia" w:cstheme="minorEastAsia"/>
          <w:color w:val="auto"/>
          <w:sz w:val="24"/>
          <w:szCs w:val="24"/>
          <w:highlight w:val="none"/>
        </w:rPr>
      </w:pPr>
    </w:p>
    <w:p w14:paraId="322F4B6D">
      <w:pPr>
        <w:pStyle w:val="18"/>
        <w:rPr>
          <w:rFonts w:hint="eastAsia" w:asciiTheme="minorEastAsia" w:hAnsiTheme="minorEastAsia" w:eastAsiaTheme="minorEastAsia" w:cstheme="minorEastAsia"/>
          <w:color w:val="auto"/>
          <w:highlight w:val="none"/>
        </w:rPr>
      </w:pPr>
    </w:p>
    <w:p w14:paraId="18CCBBDD">
      <w:pPr>
        <w:snapToGrid w:val="0"/>
        <w:rPr>
          <w:rFonts w:hint="eastAsia" w:asciiTheme="minorEastAsia" w:hAnsiTheme="minorEastAsia" w:eastAsiaTheme="minorEastAsia" w:cstheme="minorEastAsia"/>
          <w:b/>
          <w:color w:val="auto"/>
          <w:kern w:val="10"/>
          <w:sz w:val="28"/>
          <w:szCs w:val="28"/>
          <w:highlight w:val="none"/>
        </w:rPr>
      </w:pPr>
      <w:r>
        <w:rPr>
          <w:rFonts w:hint="eastAsia" w:asciiTheme="minorEastAsia" w:hAnsiTheme="minorEastAsia" w:eastAsiaTheme="minorEastAsia" w:cstheme="minorEastAsia"/>
          <w:b/>
          <w:color w:val="auto"/>
          <w:kern w:val="10"/>
          <w:sz w:val="28"/>
          <w:szCs w:val="28"/>
          <w:highlight w:val="none"/>
        </w:rPr>
        <w:t>附：</w:t>
      </w:r>
      <w:r>
        <w:rPr>
          <w:rFonts w:hint="eastAsia" w:asciiTheme="minorEastAsia" w:hAnsiTheme="minorEastAsia" w:eastAsiaTheme="minorEastAsia" w:cstheme="minorEastAsia"/>
          <w:b/>
          <w:color w:val="auto"/>
          <w:kern w:val="10"/>
          <w:sz w:val="28"/>
          <w:szCs w:val="28"/>
          <w:highlight w:val="none"/>
          <w:lang w:eastAsia="zh-CN"/>
        </w:rPr>
        <w:t>（</w:t>
      </w:r>
      <w:r>
        <w:rPr>
          <w:rFonts w:hint="eastAsia" w:asciiTheme="minorEastAsia" w:hAnsiTheme="minorEastAsia" w:eastAsiaTheme="minorEastAsia" w:cstheme="minorEastAsia"/>
          <w:b/>
          <w:color w:val="auto"/>
          <w:kern w:val="10"/>
          <w:sz w:val="28"/>
          <w:szCs w:val="28"/>
          <w:highlight w:val="none"/>
        </w:rPr>
        <w:t>法定代表人身份证正反面原件扫描件）</w:t>
      </w:r>
    </w:p>
    <w:p w14:paraId="443BD492">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若为联合体，联合体牵头人提供）</w:t>
      </w:r>
    </w:p>
    <w:p w14:paraId="74CE687E">
      <w:pPr>
        <w:spacing w:line="440" w:lineRule="exact"/>
        <w:rPr>
          <w:rFonts w:hint="eastAsia" w:asciiTheme="minorEastAsia" w:hAnsiTheme="minorEastAsia" w:eastAsiaTheme="minorEastAsia" w:cstheme="minorEastAsia"/>
          <w:color w:val="auto"/>
          <w:sz w:val="24"/>
          <w:szCs w:val="24"/>
          <w:highlight w:val="none"/>
        </w:rPr>
      </w:pPr>
    </w:p>
    <w:p w14:paraId="47AD88D1">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电子签章）</w:t>
      </w:r>
    </w:p>
    <w:p w14:paraId="274E5807">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2"/>
          <w:szCs w:val="22"/>
          <w:highlight w:val="none"/>
          <w:u w:val="single"/>
          <w:lang w:val="en-US" w:eastAsia="zh-CN"/>
        </w:rPr>
        <w:t xml:space="preserve">      </w:t>
      </w:r>
      <w:r>
        <w:rPr>
          <w:rFonts w:hint="eastAsia" w:asciiTheme="minorEastAsia" w:hAnsiTheme="minorEastAsia" w:eastAsiaTheme="minorEastAsia" w:cstheme="minorEastAsia"/>
          <w:color w:val="auto"/>
          <w:kern w:val="0"/>
          <w:sz w:val="22"/>
          <w:szCs w:val="22"/>
          <w:highlight w:val="none"/>
        </w:rPr>
        <w:t>年</w:t>
      </w:r>
      <w:r>
        <w:rPr>
          <w:rFonts w:hint="eastAsia" w:asciiTheme="minorEastAsia" w:hAnsiTheme="minorEastAsia" w:eastAsiaTheme="minorEastAsia" w:cstheme="minorEastAsia"/>
          <w:color w:val="auto"/>
          <w:kern w:val="0"/>
          <w:sz w:val="22"/>
          <w:szCs w:val="22"/>
          <w:highlight w:val="none"/>
          <w:u w:val="single"/>
          <w:lang w:val="en-US" w:eastAsia="zh-CN"/>
        </w:rPr>
        <w:t xml:space="preserve">        </w:t>
      </w:r>
      <w:r>
        <w:rPr>
          <w:rFonts w:hint="eastAsia" w:asciiTheme="minorEastAsia" w:hAnsiTheme="minorEastAsia" w:eastAsiaTheme="minorEastAsia" w:cstheme="minorEastAsia"/>
          <w:color w:val="auto"/>
          <w:kern w:val="0"/>
          <w:sz w:val="22"/>
          <w:szCs w:val="22"/>
          <w:highlight w:val="none"/>
        </w:rPr>
        <w:t>月</w:t>
      </w:r>
      <w:r>
        <w:rPr>
          <w:rFonts w:hint="eastAsia" w:asciiTheme="minorEastAsia" w:hAnsiTheme="minorEastAsia" w:eastAsiaTheme="minorEastAsia" w:cstheme="minorEastAsia"/>
          <w:color w:val="auto"/>
          <w:kern w:val="0"/>
          <w:sz w:val="22"/>
          <w:szCs w:val="22"/>
          <w:highlight w:val="none"/>
          <w:lang w:val="en-US" w:eastAsia="zh-CN"/>
        </w:rPr>
        <w:t xml:space="preserve"> </w:t>
      </w:r>
      <w:r>
        <w:rPr>
          <w:rFonts w:hint="eastAsia" w:asciiTheme="minorEastAsia" w:hAnsiTheme="minorEastAsia" w:eastAsiaTheme="minorEastAsia" w:cstheme="minorEastAsia"/>
          <w:color w:val="auto"/>
          <w:kern w:val="0"/>
          <w:sz w:val="22"/>
          <w:szCs w:val="22"/>
          <w:highlight w:val="none"/>
          <w:u w:val="single"/>
          <w:lang w:val="en-US" w:eastAsia="zh-CN"/>
        </w:rPr>
        <w:t xml:space="preserve">        </w:t>
      </w:r>
      <w:r>
        <w:rPr>
          <w:rFonts w:hint="eastAsia" w:asciiTheme="minorEastAsia" w:hAnsiTheme="minorEastAsia" w:eastAsiaTheme="minorEastAsia" w:cstheme="minorEastAsia"/>
          <w:color w:val="auto"/>
          <w:kern w:val="0"/>
          <w:sz w:val="22"/>
          <w:szCs w:val="22"/>
          <w:highlight w:val="none"/>
        </w:rPr>
        <w:t>日</w:t>
      </w:r>
      <w:r>
        <w:rPr>
          <w:rFonts w:hint="eastAsia" w:asciiTheme="minorEastAsia" w:hAnsiTheme="minorEastAsia" w:eastAsiaTheme="minorEastAsia" w:cstheme="minorEastAsia"/>
          <w:color w:val="auto"/>
          <w:sz w:val="24"/>
          <w:szCs w:val="24"/>
          <w:highlight w:val="none"/>
        </w:rPr>
        <w:t xml:space="preserve">  </w:t>
      </w:r>
    </w:p>
    <w:p w14:paraId="508BA155">
      <w:pPr>
        <w:spacing w:line="440" w:lineRule="exact"/>
        <w:jc w:val="center"/>
        <w:rPr>
          <w:rFonts w:hint="eastAsia" w:asciiTheme="minorEastAsia" w:hAnsiTheme="minorEastAsia" w:eastAsiaTheme="minorEastAsia" w:cstheme="minorEastAsia"/>
          <w:color w:val="auto"/>
          <w:sz w:val="24"/>
          <w:szCs w:val="24"/>
          <w:highlight w:val="none"/>
        </w:rPr>
      </w:pPr>
    </w:p>
    <w:p w14:paraId="196195BF">
      <w:pPr>
        <w:spacing w:line="440" w:lineRule="exact"/>
        <w:jc w:val="center"/>
        <w:rPr>
          <w:rFonts w:hint="eastAsia" w:asciiTheme="minorEastAsia" w:hAnsiTheme="minorEastAsia" w:eastAsiaTheme="minorEastAsia" w:cstheme="minorEastAsia"/>
          <w:color w:val="auto"/>
          <w:sz w:val="24"/>
          <w:szCs w:val="24"/>
          <w:highlight w:val="none"/>
        </w:rPr>
      </w:pPr>
    </w:p>
    <w:p w14:paraId="3F5B60A8">
      <w:pPr>
        <w:pStyle w:val="2"/>
        <w:jc w:val="center"/>
        <w:rPr>
          <w:rFonts w:hint="eastAsia" w:asciiTheme="minorEastAsia" w:hAnsiTheme="minorEastAsia" w:eastAsiaTheme="minorEastAsia" w:cstheme="minorEastAsia"/>
          <w:color w:val="auto"/>
          <w:highlight w:val="none"/>
        </w:rPr>
      </w:pPr>
      <w:bookmarkStart w:id="636" w:name="_Toc247085880"/>
      <w:bookmarkStart w:id="637" w:name="_Toc179632814"/>
      <w:bookmarkStart w:id="638" w:name="_Toc296602607"/>
      <w:bookmarkStart w:id="639" w:name="_Toc246996362"/>
      <w:bookmarkStart w:id="640" w:name="_Toc152042583"/>
      <w:bookmarkStart w:id="641" w:name="_Toc144974862"/>
      <w:bookmarkStart w:id="642" w:name="_Toc152045794"/>
      <w:bookmarkStart w:id="643" w:name="_Toc246997105"/>
      <w:r>
        <w:rPr>
          <w:rFonts w:hint="eastAsia" w:asciiTheme="minorEastAsia" w:hAnsiTheme="minorEastAsia" w:eastAsiaTheme="minorEastAsia" w:cstheme="minorEastAsia"/>
          <w:b w:val="0"/>
          <w:color w:val="auto"/>
          <w:sz w:val="32"/>
          <w:highlight w:val="none"/>
        </w:rPr>
        <w:br w:type="page"/>
      </w:r>
      <w:bookmarkStart w:id="644" w:name="_Toc2457"/>
      <w:bookmarkStart w:id="645" w:name="_Toc2206"/>
      <w:bookmarkStart w:id="646" w:name="_Toc7418"/>
      <w:r>
        <w:rPr>
          <w:rFonts w:hint="eastAsia" w:asciiTheme="minorEastAsia" w:hAnsiTheme="minorEastAsia" w:eastAsiaTheme="minorEastAsia" w:cstheme="minorEastAsia"/>
          <w:color w:val="auto"/>
          <w:kern w:val="28"/>
          <w:sz w:val="30"/>
          <w:szCs w:val="30"/>
          <w:highlight w:val="none"/>
        </w:rPr>
        <w:t>四、授权委托书</w:t>
      </w:r>
      <w:bookmarkEnd w:id="644"/>
      <w:bookmarkEnd w:id="645"/>
      <w:bookmarkEnd w:id="646"/>
    </w:p>
    <w:p w14:paraId="0FB1C43E">
      <w:pPr>
        <w:spacing w:line="5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的法定代表人，现委托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为我方代理人。代理人根据授权，以我方名义签署、澄清、说明、补正、递交、撤回、修改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、签订合同和处理有关事宜，其法律后果由我方承担。</w:t>
      </w:r>
    </w:p>
    <w:p w14:paraId="095BDEB0">
      <w:pPr>
        <w:pStyle w:val="18"/>
        <w:spacing w:line="540" w:lineRule="exact"/>
        <w:rPr>
          <w:rFonts w:hint="eastAsia" w:asciiTheme="minorEastAsia" w:hAnsiTheme="minorEastAsia" w:eastAsiaTheme="minorEastAsia" w:cstheme="minorEastAsia"/>
          <w:color w:val="auto"/>
          <w:sz w:val="24"/>
          <w:szCs w:val="24"/>
          <w:highlight w:val="none"/>
        </w:rPr>
      </w:pPr>
    </w:p>
    <w:p w14:paraId="75A46C06">
      <w:pPr>
        <w:pStyle w:val="18"/>
        <w:spacing w:line="5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w:t>
      </w:r>
      <w:r>
        <w:rPr>
          <w:rFonts w:hint="eastAsia" w:asciiTheme="minorEastAsia" w:hAnsiTheme="minorEastAsia" w:eastAsiaTheme="minorEastAsia" w:cstheme="minorEastAsia"/>
          <w:color w:val="auto"/>
          <w:sz w:val="24"/>
          <w:szCs w:val="24"/>
          <w:highlight w:val="none"/>
          <w:u w:val="single"/>
        </w:rPr>
        <w:t xml:space="preserve">                       。</w:t>
      </w:r>
    </w:p>
    <w:p w14:paraId="3E6ECC95">
      <w:pPr>
        <w:spacing w:beforeLines="100" w:afterLines="100" w:line="5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代理人无转委托权。</w:t>
      </w:r>
    </w:p>
    <w:p w14:paraId="770BBE78">
      <w:pPr>
        <w:spacing w:afterLines="100" w:line="5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附：法定代表人身份证及授权委托代理人身份证正反面原件扫描件</w:t>
      </w:r>
    </w:p>
    <w:p w14:paraId="5C0C9813">
      <w:pPr>
        <w:spacing w:line="5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若为联合体，联合体牵头人提供）</w:t>
      </w:r>
    </w:p>
    <w:p w14:paraId="32FD7883">
      <w:pPr>
        <w:spacing w:line="540" w:lineRule="exact"/>
        <w:ind w:firstLine="2700" w:firstLineChars="11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电子签章）</w:t>
      </w:r>
    </w:p>
    <w:p w14:paraId="3A9B98A3">
      <w:pPr>
        <w:spacing w:line="540" w:lineRule="exact"/>
        <w:ind w:firstLine="2700" w:firstLineChars="11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r>
        <w:rPr>
          <w:rFonts w:hint="eastAsia" w:asciiTheme="minorEastAsia" w:hAnsiTheme="minorEastAsia" w:eastAsiaTheme="minorEastAsia" w:cstheme="minorEastAsia"/>
          <w:color w:val="auto"/>
          <w:sz w:val="24"/>
          <w:szCs w:val="24"/>
          <w:highlight w:val="none"/>
        </w:rPr>
        <w:t>）</w:t>
      </w:r>
    </w:p>
    <w:p w14:paraId="2B057EF3">
      <w:pPr>
        <w:spacing w:line="540" w:lineRule="exact"/>
        <w:ind w:firstLine="2700" w:firstLineChars="112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25CF6933">
      <w:pPr>
        <w:spacing w:line="540" w:lineRule="exact"/>
        <w:ind w:firstLine="2700" w:firstLineChars="11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电子签章）</w:t>
      </w:r>
    </w:p>
    <w:p w14:paraId="05FBEACC">
      <w:pPr>
        <w:spacing w:line="540" w:lineRule="exact"/>
        <w:ind w:firstLine="2700" w:firstLineChars="1125"/>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5219830">
      <w:pPr>
        <w:spacing w:line="540" w:lineRule="exact"/>
        <w:ind w:firstLine="2700" w:firstLineChars="1125"/>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B52371D">
      <w:pPr>
        <w:spacing w:line="540" w:lineRule="exact"/>
        <w:ind w:firstLine="2640" w:firstLineChars="1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58B8251E">
      <w:pPr>
        <w:spacing w:line="540" w:lineRule="exact"/>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bCs/>
          <w:color w:val="auto"/>
          <w:sz w:val="24"/>
          <w:szCs w:val="24"/>
          <w:highlight w:val="none"/>
        </w:rPr>
        <w:t>注：因</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中授权委托书授权代理人无法手写签字及盖章，可以以印刷体代替</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印刷体为电脑打出的字体）。</w:t>
      </w:r>
      <w:r>
        <w:rPr>
          <w:rFonts w:hint="eastAsia" w:asciiTheme="minorEastAsia" w:hAnsiTheme="minorEastAsia" w:eastAsiaTheme="minorEastAsia" w:cstheme="minorEastAsia"/>
          <w:b/>
          <w:color w:val="auto"/>
          <w:sz w:val="32"/>
          <w:highlight w:val="none"/>
        </w:rPr>
        <w:br w:type="page"/>
      </w:r>
    </w:p>
    <w:p w14:paraId="3A18199F">
      <w:pPr>
        <w:spacing w:line="360" w:lineRule="auto"/>
        <w:jc w:val="center"/>
        <w:rPr>
          <w:rFonts w:hint="eastAsia" w:asciiTheme="minorEastAsia" w:hAnsiTheme="minorEastAsia" w:eastAsiaTheme="minorEastAsia" w:cstheme="minorEastAsia"/>
          <w:b/>
          <w:bCs/>
          <w:color w:val="auto"/>
          <w:kern w:val="28"/>
          <w:sz w:val="30"/>
          <w:szCs w:val="30"/>
          <w:highlight w:val="none"/>
          <w:lang w:val="en-US" w:eastAsia="zh-CN" w:bidi="ar-SA"/>
        </w:rPr>
      </w:pPr>
      <w:r>
        <w:rPr>
          <w:rFonts w:hint="eastAsia" w:asciiTheme="minorEastAsia" w:hAnsiTheme="minorEastAsia" w:eastAsiaTheme="minorEastAsia" w:cstheme="minorEastAsia"/>
          <w:b/>
          <w:bCs/>
          <w:color w:val="auto"/>
          <w:kern w:val="28"/>
          <w:sz w:val="30"/>
          <w:szCs w:val="30"/>
          <w:highlight w:val="none"/>
          <w:lang w:val="en-US" w:eastAsia="zh-CN" w:bidi="ar-SA"/>
        </w:rPr>
        <w:t>五、联合体协议书</w:t>
      </w:r>
    </w:p>
    <w:p w14:paraId="11F8AF69">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牵头人名称：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98D68A3">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0C7686F">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成员名称：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7A60868">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F71DB64">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鉴于上述各成员单位经过友好协商，自愿组成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联合体名称）联合体，共同参加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人名称）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以下简称本</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）的投标。现就联合体投标事宜订立如下协议：</w:t>
      </w:r>
    </w:p>
    <w:p w14:paraId="00592AF0">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某成员单位名称）为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联合体名称）牵头人。</w:t>
      </w:r>
    </w:p>
    <w:p w14:paraId="14F6E142">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2．在本</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投标阶段，联合体牵头人合法代表联合体各成员负责本</w:t>
      </w:r>
      <w:r>
        <w:rPr>
          <w:rFonts w:hint="eastAsia" w:asciiTheme="minorEastAsia" w:hAnsiTheme="minorEastAsia" w:eastAsiaTheme="minorEastAsia" w:cstheme="minorEastAsia"/>
          <w:color w:val="auto"/>
          <w:sz w:val="24"/>
          <w:szCs w:val="24"/>
          <w:highlight w:val="none"/>
          <w:lang w:val="en-US" w:eastAsia="zh-CN"/>
        </w:rPr>
        <w:t>项目响应</w:t>
      </w:r>
      <w:r>
        <w:rPr>
          <w:rFonts w:hint="eastAsia" w:asciiTheme="minorEastAsia" w:hAnsiTheme="minorEastAsia" w:eastAsiaTheme="minorEastAsia" w:cstheme="minorEastAsia"/>
          <w:color w:val="auto"/>
          <w:sz w:val="24"/>
          <w:szCs w:val="24"/>
          <w:highlight w:val="none"/>
        </w:rPr>
        <w:t>文件编制活动，代表联合体提交和接收相关的资料、信息及指示，并处理与投标和中标有关的一切事务；联合体中标后，联合体牵头人负责合同订立和合同实施阶段的主办、组织和协调工作。</w:t>
      </w:r>
    </w:p>
    <w:p w14:paraId="34E70A1D">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3．联合体将严格按照</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文件的各项要求，递交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文件，履行投标义务和中标后的合同，共同承担合同规定的一切义务和责任，联合体各成员单位按照内部职责的划分，承担各自所负的责任和风险，并向</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人承担连带责任。</w:t>
      </w:r>
    </w:p>
    <w:p w14:paraId="06027187">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4.联合体各成员单位内部的职责分工如下：</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573885FA">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按照本条上述分工。</w:t>
      </w:r>
    </w:p>
    <w:p w14:paraId="22E087A9">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．联合体中标后，本联合体协议是合同的附件，对联合体各成员单位有合同约束力。</w:t>
      </w:r>
    </w:p>
    <w:p w14:paraId="7412F28D">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．本协议书自签署之日起生效，联合体未中标或者中标时合同履行完毕后自动失效。</w:t>
      </w:r>
    </w:p>
    <w:p w14:paraId="723353F8">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．本协议书一式</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份，联合体成员和招标人各执一份。</w:t>
      </w:r>
    </w:p>
    <w:p w14:paraId="6303A0EC">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牵头人名称：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盖单位公章）</w:t>
      </w:r>
    </w:p>
    <w:p w14:paraId="373BCB7C">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法定代表人签字或盖章）</w:t>
      </w:r>
    </w:p>
    <w:p w14:paraId="3BCD61AC">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成员名称：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盖单位公章）</w:t>
      </w:r>
    </w:p>
    <w:p w14:paraId="7FE1CFE7">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法定代表人签字或盖章）</w:t>
      </w:r>
    </w:p>
    <w:p w14:paraId="3E83F912">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4C362E6C">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4826AFE5">
      <w:pPr>
        <w:keepNext w:val="0"/>
        <w:keepLines w:val="0"/>
        <w:pageBreakBefore w:val="0"/>
        <w:widowControl/>
        <w:kinsoku/>
        <w:wordWrap/>
        <w:overflowPunct/>
        <w:topLinePunct w:val="0"/>
        <w:autoSpaceDE/>
        <w:autoSpaceDN/>
        <w:bidi w:val="0"/>
        <w:adjustRightInd w:val="0"/>
        <w:snapToGrid w:val="0"/>
        <w:spacing w:after="0" w:line="48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注：1.联合投标时需签本协议，联合体各方成员应在本协议上共同盖章确认。</w:t>
      </w:r>
    </w:p>
    <w:p w14:paraId="25618860">
      <w:pPr>
        <w:keepNext w:val="0"/>
        <w:keepLines w:val="0"/>
        <w:pageBreakBefore w:val="0"/>
        <w:widowControl/>
        <w:kinsoku/>
        <w:wordWrap/>
        <w:overflowPunct/>
        <w:topLinePunct w:val="0"/>
        <w:autoSpaceDE/>
        <w:autoSpaceDN/>
        <w:bidi w:val="0"/>
        <w:adjustRightInd w:val="0"/>
        <w:snapToGrid w:val="0"/>
        <w:spacing w:after="0" w:line="48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sectPr>
          <w:headerReference r:id="rId7" w:type="default"/>
          <w:pgSz w:w="11905" w:h="16838"/>
          <w:pgMar w:top="1361" w:right="1474" w:bottom="1361" w:left="1474" w:header="720" w:footer="72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Theme="minorEastAsia" w:hAnsiTheme="minorEastAsia" w:eastAsiaTheme="minorEastAsia" w:cstheme="minorEastAsia"/>
          <w:b/>
          <w:bCs/>
          <w:color w:val="auto"/>
          <w:sz w:val="24"/>
          <w:szCs w:val="24"/>
          <w:highlight w:val="none"/>
        </w:rPr>
        <w:t>2.本协议书格式仅供参考，具体内容或格式以联合体成员签订的协议书为准</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需附原件扫描件</w:t>
      </w:r>
      <w:r>
        <w:rPr>
          <w:rFonts w:hint="eastAsia" w:asciiTheme="minorEastAsia" w:hAnsiTheme="minorEastAsia" w:eastAsiaTheme="minorEastAsia" w:cstheme="minorEastAsia"/>
          <w:b/>
          <w:bCs/>
          <w:color w:val="auto"/>
          <w:sz w:val="24"/>
          <w:szCs w:val="24"/>
          <w:highlight w:val="none"/>
          <w:lang w:eastAsia="zh-CN"/>
        </w:rPr>
        <w:t>）。</w:t>
      </w:r>
    </w:p>
    <w:p w14:paraId="30E82CD7">
      <w:pPr>
        <w:spacing w:line="540" w:lineRule="exact"/>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0"/>
          <w:highlight w:val="none"/>
          <w:lang w:val="en-US" w:eastAsia="zh-CN"/>
        </w:rPr>
        <w:t>六</w:t>
      </w:r>
      <w:r>
        <w:rPr>
          <w:rFonts w:hint="eastAsia" w:asciiTheme="minorEastAsia" w:hAnsiTheme="minorEastAsia" w:eastAsiaTheme="minorEastAsia" w:cstheme="minorEastAsia"/>
          <w:b/>
          <w:bCs/>
          <w:color w:val="auto"/>
          <w:kern w:val="28"/>
          <w:sz w:val="30"/>
          <w:szCs w:val="30"/>
          <w:highlight w:val="none"/>
        </w:rPr>
        <w:t>、</w:t>
      </w:r>
      <w:bookmarkEnd w:id="636"/>
      <w:bookmarkEnd w:id="637"/>
      <w:bookmarkEnd w:id="638"/>
      <w:bookmarkEnd w:id="639"/>
      <w:bookmarkEnd w:id="640"/>
      <w:bookmarkEnd w:id="641"/>
      <w:bookmarkEnd w:id="642"/>
      <w:bookmarkEnd w:id="643"/>
      <w:r>
        <w:rPr>
          <w:rFonts w:hint="eastAsia" w:asciiTheme="minorEastAsia" w:hAnsiTheme="minorEastAsia" w:eastAsiaTheme="minorEastAsia" w:cstheme="minorEastAsia"/>
          <w:b/>
          <w:bCs/>
          <w:color w:val="auto"/>
          <w:kern w:val="28"/>
          <w:sz w:val="30"/>
          <w:szCs w:val="30"/>
          <w:highlight w:val="none"/>
        </w:rPr>
        <w:t>投标承诺函</w:t>
      </w:r>
    </w:p>
    <w:p w14:paraId="63699700">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采购人及采购代理机构）： </w:t>
      </w:r>
    </w:p>
    <w:p w14:paraId="0924D8E9">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我公司作为本次采购项目的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，根据招标文件要求，现郑重承诺如下：</w:t>
      </w:r>
    </w:p>
    <w:p w14:paraId="3F3495EF">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1.我方完全接受和满足本项目招标文件中规定的实质性要求，不存在对招标文件有异议的同时参加本次采购活动。</w:t>
      </w:r>
    </w:p>
    <w:p w14:paraId="548138D8">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2.参加本次采购活动，不存在与单位负责人为同一人或者存在直接控股、管理关系的其他供应商参与同一合同项下的政府采购活动的行为。</w:t>
      </w:r>
    </w:p>
    <w:p w14:paraId="12001552">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3.我方参加政府采购活动无商业贿赂和不正当竞争行为。</w:t>
      </w:r>
    </w:p>
    <w:p w14:paraId="0AF61647">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4.存在以下行为之一的愿意接受相关部门的处理：</w:t>
      </w:r>
    </w:p>
    <w:p w14:paraId="6C7CE688">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1）投标有效期内撤回</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w:t>
      </w:r>
    </w:p>
    <w:p w14:paraId="1FBAC097">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2）在采购人确定中标供应商以前放弃中标候选资格的；</w:t>
      </w:r>
    </w:p>
    <w:p w14:paraId="799FF938">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3）除不可抗力的因素外，由于中标供应商的原因未能按照招标文件的规定与采购人签订合同；</w:t>
      </w:r>
    </w:p>
    <w:p w14:paraId="26E98D3A">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4）在招标文件中提供虚假材料谋取中标；</w:t>
      </w:r>
    </w:p>
    <w:p w14:paraId="63A50E5A">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5）与采购人、其他供应商或者采购代理机构恶意串通的；</w:t>
      </w:r>
    </w:p>
    <w:p w14:paraId="3E461D65">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6）投标有效期内，</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在政府采购活动中有违法、违规、违纪行为。</w:t>
      </w:r>
    </w:p>
    <w:p w14:paraId="4703C265">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由此产生的一切法律后果和责任由我公司承担。我公司声明放弃对此提出任何异议和追索的权利。</w:t>
      </w:r>
    </w:p>
    <w:p w14:paraId="038F292E">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本公司对上述承诺的内容事项真实性负责。如经查实上述承诺的内容事项存在虚假，我公司愿意接受以提供虚假材料谋取中标追究法律责任。</w:t>
      </w:r>
    </w:p>
    <w:p w14:paraId="195EA3CF">
      <w:pPr>
        <w:keepNext w:val="0"/>
        <w:keepLines w:val="0"/>
        <w:pageBreakBefore w:val="0"/>
        <w:widowControl/>
        <w:kinsoku/>
        <w:wordWrap/>
        <w:overflowPunct/>
        <w:topLinePunct w:val="0"/>
        <w:autoSpaceDE/>
        <w:autoSpaceDN/>
        <w:bidi w:val="0"/>
        <w:adjustRightInd w:val="0"/>
        <w:snapToGrid w:val="0"/>
        <w:spacing w:after="0" w:line="540" w:lineRule="exact"/>
        <w:ind w:firstLine="480"/>
        <w:textAlignment w:val="auto"/>
        <w:rPr>
          <w:rFonts w:hint="eastAsia" w:asciiTheme="minorEastAsia" w:hAnsiTheme="minorEastAsia" w:eastAsiaTheme="minorEastAsia" w:cstheme="minorEastAsia"/>
          <w:color w:val="auto"/>
          <w:sz w:val="24"/>
          <w:szCs w:val="24"/>
          <w:highlight w:val="none"/>
        </w:rPr>
      </w:pPr>
    </w:p>
    <w:p w14:paraId="5CB7C9E1">
      <w:pPr>
        <w:keepNext w:val="0"/>
        <w:keepLines w:val="0"/>
        <w:pageBreakBefore w:val="0"/>
        <w:widowControl/>
        <w:kinsoku/>
        <w:wordWrap/>
        <w:overflowPunct/>
        <w:topLinePunct w:val="0"/>
        <w:autoSpaceDE/>
        <w:autoSpaceDN/>
        <w:bidi w:val="0"/>
        <w:adjustRightInd w:val="0"/>
        <w:snapToGrid w:val="0"/>
        <w:spacing w:after="0" w:line="54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02B31A34">
      <w:pPr>
        <w:keepNext w:val="0"/>
        <w:keepLines w:val="0"/>
        <w:pageBreakBefore w:val="0"/>
        <w:widowControl/>
        <w:kinsoku/>
        <w:wordWrap/>
        <w:overflowPunct/>
        <w:topLinePunct w:val="0"/>
        <w:autoSpaceDE/>
        <w:autoSpaceDN/>
        <w:bidi w:val="0"/>
        <w:adjustRightInd w:val="0"/>
        <w:snapToGrid w:val="0"/>
        <w:spacing w:after="0" w:line="540" w:lineRule="exact"/>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法定代表人或其委托代理人：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5A438E2C">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bookmarkStart w:id="647" w:name="_Toc179632816"/>
      <w:bookmarkStart w:id="648" w:name="_Toc296602609"/>
      <w:bookmarkStart w:id="649" w:name="_Toc246997107"/>
      <w:bookmarkStart w:id="650" w:name="_Toc152045796"/>
      <w:bookmarkStart w:id="651" w:name="_Toc144974864"/>
      <w:bookmarkStart w:id="652" w:name="_Toc152042585"/>
      <w:bookmarkStart w:id="653" w:name="_Toc246996364"/>
      <w:bookmarkStart w:id="654" w:name="_Toc247085882"/>
    </w:p>
    <w:p w14:paraId="057D679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50D13877">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Theme="minorEastAsia" w:hAnsiTheme="minorEastAsia" w:eastAsiaTheme="minorEastAsia" w:cstheme="minorEastAsia"/>
          <w:b/>
          <w:bCs/>
          <w:color w:val="auto"/>
          <w:sz w:val="32"/>
          <w:szCs w:val="30"/>
          <w:highlight w:val="none"/>
        </w:rPr>
      </w:pPr>
      <w:r>
        <w:rPr>
          <w:rFonts w:hint="eastAsia" w:asciiTheme="minorEastAsia" w:hAnsiTheme="minorEastAsia" w:eastAsiaTheme="minorEastAsia" w:cstheme="minorEastAsia"/>
          <w:b/>
          <w:color w:val="auto"/>
          <w:sz w:val="32"/>
          <w:szCs w:val="32"/>
          <w:highlight w:val="none"/>
        </w:rPr>
        <w:t>七</w:t>
      </w:r>
      <w:r>
        <w:rPr>
          <w:rFonts w:hint="eastAsia" w:asciiTheme="minorEastAsia" w:hAnsiTheme="minorEastAsia" w:eastAsiaTheme="minorEastAsia" w:cstheme="minorEastAsia"/>
          <w:b/>
          <w:bCs/>
          <w:color w:val="auto"/>
          <w:sz w:val="32"/>
          <w:szCs w:val="30"/>
          <w:highlight w:val="none"/>
          <w:lang w:val="en-US" w:eastAsia="zh-CN"/>
        </w:rPr>
        <w:t>、技术服务清单</w:t>
      </w:r>
      <w:r>
        <w:rPr>
          <w:rFonts w:hint="eastAsia" w:asciiTheme="minorEastAsia" w:hAnsiTheme="minorEastAsia" w:eastAsiaTheme="minorEastAsia" w:cstheme="minorEastAsia"/>
          <w:b/>
          <w:bCs/>
          <w:color w:val="auto"/>
          <w:sz w:val="32"/>
          <w:szCs w:val="30"/>
          <w:highlight w:val="none"/>
        </w:rPr>
        <w:t>报价表</w:t>
      </w:r>
    </w:p>
    <w:p w14:paraId="19ED3094">
      <w:pPr>
        <w:keepNext w:val="0"/>
        <w:keepLines w:val="0"/>
        <w:widowControl w:val="0"/>
        <w:suppressLineNumbers w:val="0"/>
        <w:autoSpaceDE w:val="0"/>
        <w:autoSpaceDN w:val="0"/>
        <w:spacing w:before="0" w:beforeAutospacing="0" w:after="0" w:afterAutospacing="0"/>
        <w:ind w:left="0" w:right="0"/>
        <w:jc w:val="left"/>
        <w:rPr>
          <w:color w:val="auto"/>
          <w:highlight w:val="none"/>
          <w:lang w:val="en-US" w:eastAsia="zh-CN"/>
        </w:rPr>
      </w:pPr>
    </w:p>
    <w:p w14:paraId="0EEC0805">
      <w:pPr>
        <w:keepNext w:val="0"/>
        <w:keepLines w:val="0"/>
        <w:widowControl w:val="0"/>
        <w:suppressLineNumbers w:val="0"/>
        <w:autoSpaceDE w:val="0"/>
        <w:autoSpaceDN w:val="0"/>
        <w:spacing w:before="0" w:beforeAutospacing="0" w:after="240" w:afterLines="100" w:afterAutospacing="0"/>
        <w:ind w:left="0" w:right="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项目名称：</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单位：人民币</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92"/>
        <w:gridCol w:w="1721"/>
        <w:gridCol w:w="1665"/>
        <w:gridCol w:w="1779"/>
        <w:gridCol w:w="1665"/>
      </w:tblGrid>
      <w:tr w14:paraId="3513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top"/>
          </w:tcPr>
          <w:p w14:paraId="30887CA1">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序号</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top"/>
          </w:tcPr>
          <w:p w14:paraId="68F9FE12">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费用分项名称</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71908174">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计算依据</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top"/>
          </w:tcPr>
          <w:p w14:paraId="06FCB582">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金额（元）</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5E2EE605">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备注</w:t>
            </w:r>
          </w:p>
        </w:tc>
      </w:tr>
      <w:tr w14:paraId="1454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top"/>
          </w:tcPr>
          <w:p w14:paraId="2AC5A182">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top"/>
          </w:tcPr>
          <w:p w14:paraId="72DC7D77">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3C49E6F8">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top"/>
          </w:tcPr>
          <w:p w14:paraId="42BEAE72">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673CDA7D">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r>
      <w:tr w14:paraId="2CBF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top"/>
          </w:tcPr>
          <w:p w14:paraId="37B4A979">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top"/>
          </w:tcPr>
          <w:p w14:paraId="21956EB4">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718E163D">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top"/>
          </w:tcPr>
          <w:p w14:paraId="793AB1F5">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0F9E233B">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r>
      <w:tr w14:paraId="72FC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top"/>
          </w:tcPr>
          <w:p w14:paraId="30305361">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top"/>
          </w:tcPr>
          <w:p w14:paraId="6E3AD947">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0B086DB5">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top"/>
          </w:tcPr>
          <w:p w14:paraId="461C2826">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3FA22162">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r>
      <w:tr w14:paraId="03A2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top"/>
          </w:tcPr>
          <w:p w14:paraId="14FD4742">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top"/>
          </w:tcPr>
          <w:p w14:paraId="190C9BA6">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580A6373">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top"/>
          </w:tcPr>
          <w:p w14:paraId="37ACE288">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039B5B56">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r>
      <w:tr w14:paraId="737B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top"/>
          </w:tcPr>
          <w:p w14:paraId="2975F972">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p>
        </w:tc>
        <w:tc>
          <w:tcPr>
            <w:tcW w:w="1853" w:type="dxa"/>
            <w:tcBorders>
              <w:top w:val="single" w:color="auto" w:sz="4" w:space="0"/>
              <w:left w:val="single" w:color="auto" w:sz="4" w:space="0"/>
              <w:bottom w:val="single" w:color="auto" w:sz="4" w:space="0"/>
              <w:right w:val="single" w:color="auto" w:sz="4" w:space="0"/>
            </w:tcBorders>
            <w:shd w:val="clear" w:color="auto" w:fill="auto"/>
            <w:vAlign w:val="top"/>
          </w:tcPr>
          <w:p w14:paraId="41CFE3DF">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16B1935B">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top"/>
          </w:tcPr>
          <w:p w14:paraId="434A4A1A">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1AD08A7A">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r>
      <w:tr w14:paraId="1B98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top"/>
          </w:tcPr>
          <w:p w14:paraId="5B116ECA">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top"/>
          </w:tcPr>
          <w:p w14:paraId="0710E0E7">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7D888670">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top"/>
          </w:tcPr>
          <w:p w14:paraId="6BC0E918">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7A7133BA">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r>
      <w:tr w14:paraId="2FCA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9" w:hRule="atLeast"/>
        </w:trPr>
        <w:tc>
          <w:tcPr>
            <w:tcW w:w="5509"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6439DCE6">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合计（元）</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top"/>
          </w:tcPr>
          <w:p w14:paraId="68325092">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14:paraId="0E02677F">
            <w:pPr>
              <w:keepNext w:val="0"/>
              <w:keepLines w:val="0"/>
              <w:widowControl w:val="0"/>
              <w:suppressLineNumbers w:val="0"/>
              <w:autoSpaceDE w:val="0"/>
              <w:autoSpaceDN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rPr>
            </w:pPr>
          </w:p>
        </w:tc>
      </w:tr>
    </w:tbl>
    <w:p w14:paraId="7F9ECF83">
      <w:pPr>
        <w:keepNext w:val="0"/>
        <w:keepLines w:val="0"/>
        <w:widowControl w:val="0"/>
        <w:suppressLineNumbers w:val="0"/>
        <w:tabs>
          <w:tab w:val="left" w:pos="2293"/>
          <w:tab w:val="right" w:pos="10190"/>
        </w:tabs>
        <w:wordWrap w:val="0"/>
        <w:autoSpaceDE w:val="0"/>
        <w:autoSpaceDN w:val="0"/>
        <w:spacing w:before="720" w:beforeLines="300" w:beforeAutospacing="0" w:after="0" w:afterAutospacing="0" w:line="44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注：单价包含材料、人工费（基本工资+加班+补贴+社保等）、机械费、耗材费、管理费、税金、社保、风险费、利润等费用</w:t>
      </w:r>
      <w:r>
        <w:rPr>
          <w:rFonts w:hint="eastAsia" w:ascii="宋体" w:hAnsi="宋体" w:eastAsia="宋体" w:cs="宋体"/>
          <w:color w:val="auto"/>
          <w:kern w:val="0"/>
          <w:sz w:val="24"/>
          <w:szCs w:val="24"/>
          <w:highlight w:val="none"/>
          <w:lang w:val="en-US" w:eastAsia="zh-CN" w:bidi="ar"/>
        </w:rPr>
        <w:tab/>
      </w:r>
    </w:p>
    <w:p w14:paraId="558626C2">
      <w:pPr>
        <w:spacing w:line="480" w:lineRule="exact"/>
        <w:ind w:firstLine="120" w:firstLineChars="50"/>
        <w:rPr>
          <w:rFonts w:hint="eastAsia" w:ascii="宋体" w:hAnsi="宋体" w:eastAsia="宋体" w:cs="宋体"/>
          <w:color w:val="auto"/>
          <w:sz w:val="24"/>
          <w:szCs w:val="24"/>
          <w:highlight w:val="none"/>
        </w:rPr>
      </w:pPr>
    </w:p>
    <w:p w14:paraId="4204CFA4">
      <w:pPr>
        <w:spacing w:line="480" w:lineRule="exact"/>
        <w:ind w:firstLine="120" w:firstLineChars="50"/>
        <w:rPr>
          <w:rFonts w:hint="eastAsia" w:ascii="宋体" w:hAnsi="宋体" w:eastAsia="宋体" w:cs="宋体"/>
          <w:color w:val="auto"/>
          <w:sz w:val="24"/>
          <w:szCs w:val="24"/>
          <w:highlight w:val="none"/>
        </w:rPr>
      </w:pPr>
    </w:p>
    <w:p w14:paraId="1B569975">
      <w:pPr>
        <w:spacing w:line="480" w:lineRule="exact"/>
        <w:ind w:firstLine="120" w:firstLineChars="50"/>
        <w:rPr>
          <w:rFonts w:hint="eastAsia" w:ascii="宋体" w:hAnsi="宋体" w:eastAsia="宋体" w:cs="宋体"/>
          <w:color w:val="auto"/>
          <w:sz w:val="24"/>
          <w:szCs w:val="24"/>
          <w:highlight w:val="none"/>
        </w:rPr>
      </w:pPr>
    </w:p>
    <w:p w14:paraId="3C35B9EA">
      <w:pPr>
        <w:keepNext w:val="0"/>
        <w:keepLines w:val="0"/>
        <w:pageBreakBefore w:val="0"/>
        <w:widowControl/>
        <w:kinsoku/>
        <w:wordWrap/>
        <w:overflowPunct/>
        <w:topLinePunct w:val="0"/>
        <w:autoSpaceDE/>
        <w:autoSpaceDN/>
        <w:bidi w:val="0"/>
        <w:adjustRightInd w:val="0"/>
        <w:snapToGrid w:val="0"/>
        <w:spacing w:after="0" w:line="480" w:lineRule="auto"/>
        <w:jc w:val="righ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5ADD8D1C">
      <w:pPr>
        <w:keepNext w:val="0"/>
        <w:keepLines w:val="0"/>
        <w:pageBreakBefore w:val="0"/>
        <w:widowControl/>
        <w:kinsoku/>
        <w:wordWrap/>
        <w:overflowPunct/>
        <w:topLinePunct w:val="0"/>
        <w:autoSpaceDE/>
        <w:autoSpaceDN/>
        <w:bidi w:val="0"/>
        <w:adjustRightInd w:val="0"/>
        <w:snapToGrid w:val="0"/>
        <w:spacing w:after="0" w:line="480" w:lineRule="auto"/>
        <w:jc w:val="righ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法定代表人或其委托代理人：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3CD79239">
      <w:pPr>
        <w:keepNext w:val="0"/>
        <w:keepLines w:val="0"/>
        <w:pageBreakBefore w:val="0"/>
        <w:widowControl/>
        <w:kinsoku/>
        <w:wordWrap/>
        <w:overflowPunct/>
        <w:topLinePunct w:val="0"/>
        <w:autoSpaceDE/>
        <w:autoSpaceDN/>
        <w:bidi w:val="0"/>
        <w:adjustRightInd w:val="0"/>
        <w:snapToGrid w:val="0"/>
        <w:spacing w:after="0" w:line="480" w:lineRule="auto"/>
        <w:jc w:val="right"/>
        <w:textAlignment w:val="auto"/>
        <w:rPr>
          <w:rFonts w:hint="eastAsia" w:asciiTheme="minorEastAsia" w:hAnsiTheme="minorEastAsia" w:eastAsiaTheme="minorEastAsia" w:cstheme="minorEastAsia"/>
          <w:color w:val="auto"/>
          <w:sz w:val="24"/>
          <w:szCs w:val="24"/>
          <w:highlight w:val="none"/>
        </w:rPr>
        <w:sectPr>
          <w:headerReference r:id="rId8" w:type="default"/>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05D5F3B8">
      <w:pPr>
        <w:keepNext w:val="0"/>
        <w:keepLines w:val="0"/>
        <w:pageBreakBefore w:val="0"/>
        <w:widowControl w:val="0"/>
        <w:kinsoku/>
        <w:wordWrap/>
        <w:overflowPunct/>
        <w:topLinePunct w:val="0"/>
        <w:autoSpaceDE/>
        <w:autoSpaceDN/>
        <w:bidi w:val="0"/>
        <w:adjustRightInd/>
        <w:snapToGrid/>
        <w:spacing w:before="120" w:beforeLines="50" w:line="480" w:lineRule="exact"/>
        <w:jc w:val="center"/>
        <w:textAlignment w:val="auto"/>
        <w:rPr>
          <w:rFonts w:hint="eastAsia" w:asciiTheme="minorEastAsia" w:hAnsiTheme="minorEastAsia" w:eastAsiaTheme="minorEastAsia" w:cstheme="minorEastAsia"/>
          <w:b/>
          <w:bCs/>
          <w:color w:val="auto"/>
          <w:sz w:val="24"/>
          <w:szCs w:val="24"/>
          <w:highlight w:val="none"/>
        </w:rPr>
      </w:pPr>
      <w:bookmarkStart w:id="655" w:name="_Toc246996363"/>
      <w:bookmarkStart w:id="656" w:name="_Toc152042584"/>
      <w:bookmarkStart w:id="657" w:name="_Toc296602608"/>
      <w:bookmarkStart w:id="658" w:name="_Toc247085881"/>
      <w:bookmarkStart w:id="659" w:name="_Toc144974863"/>
      <w:bookmarkStart w:id="660" w:name="_Toc246997106"/>
      <w:bookmarkStart w:id="661" w:name="_Toc152045795"/>
      <w:bookmarkStart w:id="662" w:name="_Toc179632815"/>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sz w:val="32"/>
          <w:szCs w:val="32"/>
          <w:highlight w:val="none"/>
        </w:rPr>
        <w:t>、</w:t>
      </w:r>
      <w:bookmarkStart w:id="663" w:name="_Toc77586971"/>
      <w:bookmarkStart w:id="664" w:name="_Toc77586873"/>
      <w:r>
        <w:rPr>
          <w:rFonts w:hint="eastAsia" w:asciiTheme="minorEastAsia" w:hAnsiTheme="minorEastAsia" w:eastAsiaTheme="minorEastAsia" w:cstheme="minorEastAsia"/>
          <w:b/>
          <w:color w:val="auto"/>
          <w:sz w:val="32"/>
          <w:szCs w:val="32"/>
          <w:highlight w:val="none"/>
        </w:rPr>
        <w:t>技术参数偏离表</w:t>
      </w:r>
    </w:p>
    <w:tbl>
      <w:tblPr>
        <w:tblStyle w:val="20"/>
        <w:tblW w:w="9281" w:type="dxa"/>
        <w:jc w:val="center"/>
        <w:tblLayout w:type="fixed"/>
        <w:tblCellMar>
          <w:top w:w="0" w:type="dxa"/>
          <w:left w:w="108" w:type="dxa"/>
          <w:bottom w:w="0" w:type="dxa"/>
          <w:right w:w="108" w:type="dxa"/>
        </w:tblCellMar>
      </w:tblPr>
      <w:tblGrid>
        <w:gridCol w:w="810"/>
        <w:gridCol w:w="1281"/>
        <w:gridCol w:w="2077"/>
        <w:gridCol w:w="1774"/>
        <w:gridCol w:w="2088"/>
        <w:gridCol w:w="1251"/>
      </w:tblGrid>
      <w:tr w14:paraId="5FF28EDE">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14:paraId="4B0C6C4B">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281" w:type="dxa"/>
            <w:tcBorders>
              <w:top w:val="single" w:color="auto" w:sz="4" w:space="0"/>
              <w:left w:val="nil"/>
              <w:bottom w:val="single" w:color="auto" w:sz="4" w:space="0"/>
              <w:right w:val="single" w:color="auto" w:sz="4" w:space="0"/>
            </w:tcBorders>
            <w:noWrap w:val="0"/>
            <w:vAlign w:val="top"/>
          </w:tcPr>
          <w:p w14:paraId="39447795">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产品名称</w:t>
            </w:r>
          </w:p>
        </w:tc>
        <w:tc>
          <w:tcPr>
            <w:tcW w:w="2077" w:type="dxa"/>
            <w:tcBorders>
              <w:top w:val="single" w:color="auto" w:sz="4" w:space="0"/>
              <w:left w:val="nil"/>
              <w:bottom w:val="single" w:color="auto" w:sz="4" w:space="0"/>
              <w:right w:val="single" w:color="auto" w:sz="4" w:space="0"/>
            </w:tcBorders>
            <w:noWrap w:val="0"/>
            <w:vAlign w:val="top"/>
          </w:tcPr>
          <w:p w14:paraId="076BDE0C">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招标技术参数要求</w:t>
            </w:r>
          </w:p>
        </w:tc>
        <w:tc>
          <w:tcPr>
            <w:tcW w:w="1774" w:type="dxa"/>
            <w:tcBorders>
              <w:top w:val="single" w:color="auto" w:sz="4" w:space="0"/>
              <w:left w:val="nil"/>
              <w:bottom w:val="single" w:color="auto" w:sz="4" w:space="0"/>
              <w:right w:val="single" w:color="auto" w:sz="4" w:space="0"/>
            </w:tcBorders>
            <w:noWrap w:val="0"/>
            <w:vAlign w:val="top"/>
          </w:tcPr>
          <w:p w14:paraId="24C0FAB9">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投标品牌和型号</w:t>
            </w:r>
          </w:p>
        </w:tc>
        <w:tc>
          <w:tcPr>
            <w:tcW w:w="2088" w:type="dxa"/>
            <w:tcBorders>
              <w:top w:val="single" w:color="auto" w:sz="4" w:space="0"/>
              <w:left w:val="nil"/>
              <w:bottom w:val="single" w:color="auto" w:sz="4" w:space="0"/>
              <w:right w:val="single" w:color="auto" w:sz="4" w:space="0"/>
            </w:tcBorders>
            <w:noWrap w:val="0"/>
            <w:vAlign w:val="top"/>
          </w:tcPr>
          <w:p w14:paraId="02F3AD45">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投标产品技术参数</w:t>
            </w:r>
          </w:p>
        </w:tc>
        <w:tc>
          <w:tcPr>
            <w:tcW w:w="1251" w:type="dxa"/>
            <w:tcBorders>
              <w:top w:val="single" w:color="auto" w:sz="4" w:space="0"/>
              <w:left w:val="nil"/>
              <w:bottom w:val="single" w:color="auto" w:sz="4" w:space="0"/>
              <w:right w:val="single" w:color="auto" w:sz="4" w:space="0"/>
            </w:tcBorders>
            <w:noWrap w:val="0"/>
            <w:vAlign w:val="top"/>
          </w:tcPr>
          <w:p w14:paraId="5249B103">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偏离说明</w:t>
            </w:r>
          </w:p>
        </w:tc>
      </w:tr>
      <w:tr w14:paraId="32C966F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14:paraId="318049E3">
            <w:pPr>
              <w:spacing w:line="480" w:lineRule="exact"/>
              <w:rPr>
                <w:rFonts w:hint="eastAsia" w:asciiTheme="minorEastAsia" w:hAnsiTheme="minorEastAsia" w:eastAsiaTheme="minorEastAsia" w:cstheme="minorEastAsia"/>
                <w:color w:val="auto"/>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14:paraId="2ED4277B">
            <w:pPr>
              <w:spacing w:line="480" w:lineRule="exact"/>
              <w:rPr>
                <w:rFonts w:hint="eastAsia" w:asciiTheme="minorEastAsia" w:hAnsiTheme="minorEastAsia" w:eastAsiaTheme="minorEastAsia" w:cstheme="minorEastAsia"/>
                <w:color w:val="auto"/>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14:paraId="36C4E802">
            <w:pPr>
              <w:spacing w:line="480" w:lineRule="exact"/>
              <w:rPr>
                <w:rFonts w:hint="eastAsia" w:asciiTheme="minorEastAsia" w:hAnsiTheme="minorEastAsia" w:eastAsiaTheme="minorEastAsia" w:cstheme="minorEastAsia"/>
                <w:color w:val="auto"/>
                <w:sz w:val="24"/>
                <w:szCs w:val="24"/>
                <w:highlight w:val="none"/>
              </w:rPr>
            </w:pPr>
          </w:p>
        </w:tc>
        <w:tc>
          <w:tcPr>
            <w:tcW w:w="1774" w:type="dxa"/>
            <w:tcBorders>
              <w:top w:val="single" w:color="auto" w:sz="4" w:space="0"/>
              <w:left w:val="nil"/>
              <w:bottom w:val="single" w:color="auto" w:sz="4" w:space="0"/>
              <w:right w:val="single" w:color="auto" w:sz="4" w:space="0"/>
            </w:tcBorders>
            <w:noWrap w:val="0"/>
            <w:vAlign w:val="top"/>
          </w:tcPr>
          <w:p w14:paraId="60A31DB4">
            <w:pPr>
              <w:spacing w:line="480" w:lineRule="exact"/>
              <w:rPr>
                <w:rFonts w:hint="eastAsia" w:asciiTheme="minorEastAsia" w:hAnsiTheme="minorEastAsia" w:eastAsiaTheme="minorEastAsia" w:cstheme="minorEastAsia"/>
                <w:color w:val="auto"/>
                <w:sz w:val="24"/>
                <w:szCs w:val="24"/>
                <w:highlight w:val="none"/>
              </w:rPr>
            </w:pPr>
          </w:p>
        </w:tc>
        <w:tc>
          <w:tcPr>
            <w:tcW w:w="2088" w:type="dxa"/>
            <w:tcBorders>
              <w:top w:val="single" w:color="auto" w:sz="4" w:space="0"/>
              <w:left w:val="nil"/>
              <w:bottom w:val="single" w:color="auto" w:sz="4" w:space="0"/>
              <w:right w:val="single" w:color="auto" w:sz="4" w:space="0"/>
            </w:tcBorders>
            <w:noWrap w:val="0"/>
            <w:vAlign w:val="top"/>
          </w:tcPr>
          <w:p w14:paraId="47A4F8E8">
            <w:pPr>
              <w:spacing w:line="480" w:lineRule="exact"/>
              <w:rPr>
                <w:rFonts w:hint="eastAsia" w:asciiTheme="minorEastAsia" w:hAnsiTheme="minorEastAsia" w:eastAsiaTheme="minorEastAsia" w:cstheme="minorEastAsia"/>
                <w:color w:val="auto"/>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14:paraId="03076FFB">
            <w:pPr>
              <w:spacing w:line="480" w:lineRule="exact"/>
              <w:rPr>
                <w:rFonts w:hint="eastAsia" w:asciiTheme="minorEastAsia" w:hAnsiTheme="minorEastAsia" w:eastAsiaTheme="minorEastAsia" w:cstheme="minorEastAsia"/>
                <w:color w:val="auto"/>
                <w:sz w:val="24"/>
                <w:szCs w:val="24"/>
                <w:highlight w:val="none"/>
              </w:rPr>
            </w:pPr>
          </w:p>
        </w:tc>
      </w:tr>
      <w:tr w14:paraId="1E11F72E">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14:paraId="17612CE0">
            <w:pPr>
              <w:spacing w:line="480" w:lineRule="exact"/>
              <w:rPr>
                <w:rFonts w:hint="eastAsia" w:asciiTheme="minorEastAsia" w:hAnsiTheme="minorEastAsia" w:eastAsiaTheme="minorEastAsia" w:cstheme="minorEastAsia"/>
                <w:color w:val="auto"/>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14:paraId="6F397107">
            <w:pPr>
              <w:spacing w:line="480" w:lineRule="exact"/>
              <w:rPr>
                <w:rFonts w:hint="eastAsia" w:asciiTheme="minorEastAsia" w:hAnsiTheme="minorEastAsia" w:eastAsiaTheme="minorEastAsia" w:cstheme="minorEastAsia"/>
                <w:color w:val="auto"/>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14:paraId="32AA2B05">
            <w:pPr>
              <w:spacing w:line="480" w:lineRule="exact"/>
              <w:rPr>
                <w:rFonts w:hint="eastAsia" w:asciiTheme="minorEastAsia" w:hAnsiTheme="minorEastAsia" w:eastAsiaTheme="minorEastAsia" w:cstheme="minorEastAsia"/>
                <w:color w:val="auto"/>
                <w:sz w:val="24"/>
                <w:szCs w:val="24"/>
                <w:highlight w:val="none"/>
              </w:rPr>
            </w:pPr>
          </w:p>
        </w:tc>
        <w:tc>
          <w:tcPr>
            <w:tcW w:w="1774" w:type="dxa"/>
            <w:tcBorders>
              <w:top w:val="single" w:color="auto" w:sz="4" w:space="0"/>
              <w:left w:val="nil"/>
              <w:bottom w:val="single" w:color="auto" w:sz="4" w:space="0"/>
              <w:right w:val="single" w:color="auto" w:sz="4" w:space="0"/>
            </w:tcBorders>
            <w:noWrap w:val="0"/>
            <w:vAlign w:val="top"/>
          </w:tcPr>
          <w:p w14:paraId="4F6A3474">
            <w:pPr>
              <w:spacing w:line="480" w:lineRule="exact"/>
              <w:rPr>
                <w:rFonts w:hint="eastAsia" w:asciiTheme="minorEastAsia" w:hAnsiTheme="minorEastAsia" w:eastAsiaTheme="minorEastAsia" w:cstheme="minorEastAsia"/>
                <w:color w:val="auto"/>
                <w:sz w:val="24"/>
                <w:szCs w:val="24"/>
                <w:highlight w:val="none"/>
              </w:rPr>
            </w:pPr>
          </w:p>
        </w:tc>
        <w:tc>
          <w:tcPr>
            <w:tcW w:w="2088" w:type="dxa"/>
            <w:tcBorders>
              <w:top w:val="single" w:color="auto" w:sz="4" w:space="0"/>
              <w:left w:val="nil"/>
              <w:bottom w:val="single" w:color="auto" w:sz="4" w:space="0"/>
              <w:right w:val="single" w:color="auto" w:sz="4" w:space="0"/>
            </w:tcBorders>
            <w:noWrap w:val="0"/>
            <w:vAlign w:val="top"/>
          </w:tcPr>
          <w:p w14:paraId="43E16CBA">
            <w:pPr>
              <w:spacing w:line="480" w:lineRule="exact"/>
              <w:rPr>
                <w:rFonts w:hint="eastAsia" w:asciiTheme="minorEastAsia" w:hAnsiTheme="minorEastAsia" w:eastAsiaTheme="minorEastAsia" w:cstheme="minorEastAsia"/>
                <w:color w:val="auto"/>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14:paraId="131C88B6">
            <w:pPr>
              <w:spacing w:line="480" w:lineRule="exact"/>
              <w:rPr>
                <w:rFonts w:hint="eastAsia" w:asciiTheme="minorEastAsia" w:hAnsiTheme="minorEastAsia" w:eastAsiaTheme="minorEastAsia" w:cstheme="minorEastAsia"/>
                <w:color w:val="auto"/>
                <w:sz w:val="24"/>
                <w:szCs w:val="24"/>
                <w:highlight w:val="none"/>
              </w:rPr>
            </w:pPr>
          </w:p>
        </w:tc>
      </w:tr>
      <w:tr w14:paraId="6063E4C3">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14:paraId="4B44B2FA">
            <w:pPr>
              <w:spacing w:line="480" w:lineRule="exact"/>
              <w:rPr>
                <w:rFonts w:hint="eastAsia" w:asciiTheme="minorEastAsia" w:hAnsiTheme="minorEastAsia" w:eastAsiaTheme="minorEastAsia" w:cstheme="minorEastAsia"/>
                <w:color w:val="auto"/>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14:paraId="40F26366">
            <w:pPr>
              <w:spacing w:line="480" w:lineRule="exact"/>
              <w:rPr>
                <w:rFonts w:hint="eastAsia" w:asciiTheme="minorEastAsia" w:hAnsiTheme="minorEastAsia" w:eastAsiaTheme="minorEastAsia" w:cstheme="minorEastAsia"/>
                <w:color w:val="auto"/>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14:paraId="03125917">
            <w:pPr>
              <w:spacing w:line="480" w:lineRule="exact"/>
              <w:rPr>
                <w:rFonts w:hint="eastAsia" w:asciiTheme="minorEastAsia" w:hAnsiTheme="minorEastAsia" w:eastAsiaTheme="minorEastAsia" w:cstheme="minorEastAsia"/>
                <w:color w:val="auto"/>
                <w:sz w:val="24"/>
                <w:szCs w:val="24"/>
                <w:highlight w:val="none"/>
              </w:rPr>
            </w:pPr>
          </w:p>
        </w:tc>
        <w:tc>
          <w:tcPr>
            <w:tcW w:w="1774" w:type="dxa"/>
            <w:tcBorders>
              <w:top w:val="single" w:color="auto" w:sz="4" w:space="0"/>
              <w:left w:val="nil"/>
              <w:bottom w:val="single" w:color="auto" w:sz="4" w:space="0"/>
              <w:right w:val="single" w:color="auto" w:sz="4" w:space="0"/>
            </w:tcBorders>
            <w:noWrap w:val="0"/>
            <w:vAlign w:val="top"/>
          </w:tcPr>
          <w:p w14:paraId="5EA2AEA9">
            <w:pPr>
              <w:spacing w:line="480" w:lineRule="exact"/>
              <w:rPr>
                <w:rFonts w:hint="eastAsia" w:asciiTheme="minorEastAsia" w:hAnsiTheme="minorEastAsia" w:eastAsiaTheme="minorEastAsia" w:cstheme="minorEastAsia"/>
                <w:color w:val="auto"/>
                <w:sz w:val="24"/>
                <w:szCs w:val="24"/>
                <w:highlight w:val="none"/>
              </w:rPr>
            </w:pPr>
          </w:p>
        </w:tc>
        <w:tc>
          <w:tcPr>
            <w:tcW w:w="2088" w:type="dxa"/>
            <w:tcBorders>
              <w:top w:val="single" w:color="auto" w:sz="4" w:space="0"/>
              <w:left w:val="nil"/>
              <w:bottom w:val="single" w:color="auto" w:sz="4" w:space="0"/>
              <w:right w:val="single" w:color="auto" w:sz="4" w:space="0"/>
            </w:tcBorders>
            <w:noWrap w:val="0"/>
            <w:vAlign w:val="top"/>
          </w:tcPr>
          <w:p w14:paraId="61236140">
            <w:pPr>
              <w:spacing w:line="480" w:lineRule="exact"/>
              <w:rPr>
                <w:rFonts w:hint="eastAsia" w:asciiTheme="minorEastAsia" w:hAnsiTheme="minorEastAsia" w:eastAsiaTheme="minorEastAsia" w:cstheme="minorEastAsia"/>
                <w:color w:val="auto"/>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14:paraId="7330C19C">
            <w:pPr>
              <w:spacing w:line="480" w:lineRule="exact"/>
              <w:rPr>
                <w:rFonts w:hint="eastAsia" w:asciiTheme="minorEastAsia" w:hAnsiTheme="minorEastAsia" w:eastAsiaTheme="minorEastAsia" w:cstheme="minorEastAsia"/>
                <w:color w:val="auto"/>
                <w:sz w:val="24"/>
                <w:szCs w:val="24"/>
                <w:highlight w:val="none"/>
              </w:rPr>
            </w:pPr>
          </w:p>
        </w:tc>
      </w:tr>
      <w:tr w14:paraId="47E7CC72">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14:paraId="755DF5F6">
            <w:pPr>
              <w:spacing w:line="480" w:lineRule="exact"/>
              <w:rPr>
                <w:rFonts w:hint="eastAsia" w:asciiTheme="minorEastAsia" w:hAnsiTheme="minorEastAsia" w:eastAsiaTheme="minorEastAsia" w:cstheme="minorEastAsia"/>
                <w:color w:val="auto"/>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14:paraId="6374B78E">
            <w:pPr>
              <w:spacing w:line="480" w:lineRule="exact"/>
              <w:rPr>
                <w:rFonts w:hint="eastAsia" w:asciiTheme="minorEastAsia" w:hAnsiTheme="minorEastAsia" w:eastAsiaTheme="minorEastAsia" w:cstheme="minorEastAsia"/>
                <w:color w:val="auto"/>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14:paraId="0B6E7592">
            <w:pPr>
              <w:spacing w:line="480" w:lineRule="exact"/>
              <w:rPr>
                <w:rFonts w:hint="eastAsia" w:asciiTheme="minorEastAsia" w:hAnsiTheme="minorEastAsia" w:eastAsiaTheme="minorEastAsia" w:cstheme="minorEastAsia"/>
                <w:color w:val="auto"/>
                <w:sz w:val="24"/>
                <w:szCs w:val="24"/>
                <w:highlight w:val="none"/>
              </w:rPr>
            </w:pPr>
          </w:p>
        </w:tc>
        <w:tc>
          <w:tcPr>
            <w:tcW w:w="1774" w:type="dxa"/>
            <w:tcBorders>
              <w:top w:val="single" w:color="auto" w:sz="4" w:space="0"/>
              <w:left w:val="nil"/>
              <w:bottom w:val="single" w:color="auto" w:sz="4" w:space="0"/>
              <w:right w:val="single" w:color="auto" w:sz="4" w:space="0"/>
            </w:tcBorders>
            <w:noWrap w:val="0"/>
            <w:vAlign w:val="top"/>
          </w:tcPr>
          <w:p w14:paraId="4C1E8264">
            <w:pPr>
              <w:spacing w:line="480" w:lineRule="exact"/>
              <w:rPr>
                <w:rFonts w:hint="eastAsia" w:asciiTheme="minorEastAsia" w:hAnsiTheme="minorEastAsia" w:eastAsiaTheme="minorEastAsia" w:cstheme="minorEastAsia"/>
                <w:color w:val="auto"/>
                <w:sz w:val="24"/>
                <w:szCs w:val="24"/>
                <w:highlight w:val="none"/>
              </w:rPr>
            </w:pPr>
          </w:p>
        </w:tc>
        <w:tc>
          <w:tcPr>
            <w:tcW w:w="2088" w:type="dxa"/>
            <w:tcBorders>
              <w:top w:val="single" w:color="auto" w:sz="4" w:space="0"/>
              <w:left w:val="nil"/>
              <w:bottom w:val="single" w:color="auto" w:sz="4" w:space="0"/>
              <w:right w:val="single" w:color="auto" w:sz="4" w:space="0"/>
            </w:tcBorders>
            <w:noWrap w:val="0"/>
            <w:vAlign w:val="top"/>
          </w:tcPr>
          <w:p w14:paraId="7652BEA6">
            <w:pPr>
              <w:spacing w:line="480" w:lineRule="exact"/>
              <w:rPr>
                <w:rFonts w:hint="eastAsia" w:asciiTheme="minorEastAsia" w:hAnsiTheme="minorEastAsia" w:eastAsiaTheme="minorEastAsia" w:cstheme="minorEastAsia"/>
                <w:color w:val="auto"/>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14:paraId="127DD75D">
            <w:pPr>
              <w:spacing w:line="480" w:lineRule="exact"/>
              <w:rPr>
                <w:rFonts w:hint="eastAsia" w:asciiTheme="minorEastAsia" w:hAnsiTheme="minorEastAsia" w:eastAsiaTheme="minorEastAsia" w:cstheme="minorEastAsia"/>
                <w:color w:val="auto"/>
                <w:sz w:val="24"/>
                <w:szCs w:val="24"/>
                <w:highlight w:val="none"/>
              </w:rPr>
            </w:pPr>
          </w:p>
        </w:tc>
      </w:tr>
      <w:tr w14:paraId="738CEA97">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14:paraId="1B0B053E">
            <w:pPr>
              <w:spacing w:line="480" w:lineRule="exact"/>
              <w:rPr>
                <w:rFonts w:hint="eastAsia" w:asciiTheme="minorEastAsia" w:hAnsiTheme="minorEastAsia" w:eastAsiaTheme="minorEastAsia" w:cstheme="minorEastAsia"/>
                <w:color w:val="auto"/>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14:paraId="7B3133C6">
            <w:pPr>
              <w:spacing w:line="480" w:lineRule="exact"/>
              <w:rPr>
                <w:rFonts w:hint="eastAsia" w:asciiTheme="minorEastAsia" w:hAnsiTheme="minorEastAsia" w:eastAsiaTheme="minorEastAsia" w:cstheme="minorEastAsia"/>
                <w:color w:val="auto"/>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14:paraId="4E9F013F">
            <w:pPr>
              <w:spacing w:line="480" w:lineRule="exact"/>
              <w:rPr>
                <w:rFonts w:hint="eastAsia" w:asciiTheme="minorEastAsia" w:hAnsiTheme="minorEastAsia" w:eastAsiaTheme="minorEastAsia" w:cstheme="minorEastAsia"/>
                <w:color w:val="auto"/>
                <w:sz w:val="24"/>
                <w:szCs w:val="24"/>
                <w:highlight w:val="none"/>
              </w:rPr>
            </w:pPr>
          </w:p>
        </w:tc>
        <w:tc>
          <w:tcPr>
            <w:tcW w:w="1774" w:type="dxa"/>
            <w:tcBorders>
              <w:top w:val="single" w:color="auto" w:sz="4" w:space="0"/>
              <w:left w:val="nil"/>
              <w:bottom w:val="single" w:color="auto" w:sz="4" w:space="0"/>
              <w:right w:val="single" w:color="auto" w:sz="4" w:space="0"/>
            </w:tcBorders>
            <w:noWrap w:val="0"/>
            <w:vAlign w:val="top"/>
          </w:tcPr>
          <w:p w14:paraId="7D674469">
            <w:pPr>
              <w:spacing w:line="480" w:lineRule="exact"/>
              <w:rPr>
                <w:rFonts w:hint="eastAsia" w:asciiTheme="minorEastAsia" w:hAnsiTheme="minorEastAsia" w:eastAsiaTheme="minorEastAsia" w:cstheme="minorEastAsia"/>
                <w:color w:val="auto"/>
                <w:sz w:val="24"/>
                <w:szCs w:val="24"/>
                <w:highlight w:val="none"/>
              </w:rPr>
            </w:pPr>
          </w:p>
        </w:tc>
        <w:tc>
          <w:tcPr>
            <w:tcW w:w="2088" w:type="dxa"/>
            <w:tcBorders>
              <w:top w:val="single" w:color="auto" w:sz="4" w:space="0"/>
              <w:left w:val="nil"/>
              <w:bottom w:val="single" w:color="auto" w:sz="4" w:space="0"/>
              <w:right w:val="single" w:color="auto" w:sz="4" w:space="0"/>
            </w:tcBorders>
            <w:noWrap w:val="0"/>
            <w:vAlign w:val="top"/>
          </w:tcPr>
          <w:p w14:paraId="38D9ACC3">
            <w:pPr>
              <w:spacing w:line="480" w:lineRule="exact"/>
              <w:rPr>
                <w:rFonts w:hint="eastAsia" w:asciiTheme="minorEastAsia" w:hAnsiTheme="minorEastAsia" w:eastAsiaTheme="minorEastAsia" w:cstheme="minorEastAsia"/>
                <w:color w:val="auto"/>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14:paraId="691CA7FE">
            <w:pPr>
              <w:spacing w:line="480" w:lineRule="exact"/>
              <w:rPr>
                <w:rFonts w:hint="eastAsia" w:asciiTheme="minorEastAsia" w:hAnsiTheme="minorEastAsia" w:eastAsiaTheme="minorEastAsia" w:cstheme="minorEastAsia"/>
                <w:color w:val="auto"/>
                <w:sz w:val="24"/>
                <w:szCs w:val="24"/>
                <w:highlight w:val="none"/>
              </w:rPr>
            </w:pPr>
          </w:p>
        </w:tc>
      </w:tr>
      <w:tr w14:paraId="46BC44A2">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noWrap w:val="0"/>
            <w:vAlign w:val="top"/>
          </w:tcPr>
          <w:p w14:paraId="63908EC0">
            <w:pPr>
              <w:spacing w:line="480" w:lineRule="exact"/>
              <w:rPr>
                <w:rFonts w:hint="eastAsia" w:asciiTheme="minorEastAsia" w:hAnsiTheme="minorEastAsia" w:eastAsiaTheme="minorEastAsia" w:cstheme="minorEastAsia"/>
                <w:color w:val="auto"/>
                <w:sz w:val="24"/>
                <w:szCs w:val="24"/>
                <w:highlight w:val="none"/>
              </w:rPr>
            </w:pPr>
          </w:p>
        </w:tc>
        <w:tc>
          <w:tcPr>
            <w:tcW w:w="1281" w:type="dxa"/>
            <w:tcBorders>
              <w:top w:val="single" w:color="auto" w:sz="4" w:space="0"/>
              <w:left w:val="nil"/>
              <w:bottom w:val="single" w:color="auto" w:sz="4" w:space="0"/>
              <w:right w:val="single" w:color="auto" w:sz="4" w:space="0"/>
            </w:tcBorders>
            <w:noWrap w:val="0"/>
            <w:vAlign w:val="top"/>
          </w:tcPr>
          <w:p w14:paraId="52762DAC">
            <w:pPr>
              <w:spacing w:line="480" w:lineRule="exact"/>
              <w:rPr>
                <w:rFonts w:hint="eastAsia" w:asciiTheme="minorEastAsia" w:hAnsiTheme="minorEastAsia" w:eastAsiaTheme="minorEastAsia" w:cstheme="minorEastAsia"/>
                <w:color w:val="auto"/>
                <w:sz w:val="24"/>
                <w:szCs w:val="24"/>
                <w:highlight w:val="none"/>
              </w:rPr>
            </w:pPr>
          </w:p>
        </w:tc>
        <w:tc>
          <w:tcPr>
            <w:tcW w:w="2077" w:type="dxa"/>
            <w:tcBorders>
              <w:top w:val="single" w:color="auto" w:sz="4" w:space="0"/>
              <w:left w:val="nil"/>
              <w:bottom w:val="single" w:color="auto" w:sz="4" w:space="0"/>
              <w:right w:val="single" w:color="auto" w:sz="4" w:space="0"/>
            </w:tcBorders>
            <w:noWrap w:val="0"/>
            <w:vAlign w:val="top"/>
          </w:tcPr>
          <w:p w14:paraId="7FE596DA">
            <w:pPr>
              <w:spacing w:line="480" w:lineRule="exact"/>
              <w:rPr>
                <w:rFonts w:hint="eastAsia" w:asciiTheme="minorEastAsia" w:hAnsiTheme="minorEastAsia" w:eastAsiaTheme="minorEastAsia" w:cstheme="minorEastAsia"/>
                <w:color w:val="auto"/>
                <w:sz w:val="24"/>
                <w:szCs w:val="24"/>
                <w:highlight w:val="none"/>
              </w:rPr>
            </w:pPr>
          </w:p>
        </w:tc>
        <w:tc>
          <w:tcPr>
            <w:tcW w:w="1774" w:type="dxa"/>
            <w:tcBorders>
              <w:top w:val="single" w:color="auto" w:sz="4" w:space="0"/>
              <w:left w:val="nil"/>
              <w:bottom w:val="single" w:color="auto" w:sz="4" w:space="0"/>
              <w:right w:val="single" w:color="auto" w:sz="4" w:space="0"/>
            </w:tcBorders>
            <w:noWrap w:val="0"/>
            <w:vAlign w:val="top"/>
          </w:tcPr>
          <w:p w14:paraId="64E646F8">
            <w:pPr>
              <w:spacing w:line="480" w:lineRule="exact"/>
              <w:rPr>
                <w:rFonts w:hint="eastAsia" w:asciiTheme="minorEastAsia" w:hAnsiTheme="minorEastAsia" w:eastAsiaTheme="minorEastAsia" w:cstheme="minorEastAsia"/>
                <w:color w:val="auto"/>
                <w:sz w:val="24"/>
                <w:szCs w:val="24"/>
                <w:highlight w:val="none"/>
              </w:rPr>
            </w:pPr>
          </w:p>
        </w:tc>
        <w:tc>
          <w:tcPr>
            <w:tcW w:w="2088" w:type="dxa"/>
            <w:tcBorders>
              <w:top w:val="single" w:color="auto" w:sz="4" w:space="0"/>
              <w:left w:val="nil"/>
              <w:bottom w:val="single" w:color="auto" w:sz="4" w:space="0"/>
              <w:right w:val="single" w:color="auto" w:sz="4" w:space="0"/>
            </w:tcBorders>
            <w:noWrap w:val="0"/>
            <w:vAlign w:val="top"/>
          </w:tcPr>
          <w:p w14:paraId="1918A369">
            <w:pPr>
              <w:spacing w:line="480" w:lineRule="exact"/>
              <w:rPr>
                <w:rFonts w:hint="eastAsia" w:asciiTheme="minorEastAsia" w:hAnsiTheme="minorEastAsia" w:eastAsiaTheme="minorEastAsia" w:cstheme="minorEastAsia"/>
                <w:color w:val="auto"/>
                <w:sz w:val="24"/>
                <w:szCs w:val="24"/>
                <w:highlight w:val="none"/>
              </w:rPr>
            </w:pPr>
          </w:p>
        </w:tc>
        <w:tc>
          <w:tcPr>
            <w:tcW w:w="1251" w:type="dxa"/>
            <w:tcBorders>
              <w:top w:val="single" w:color="auto" w:sz="4" w:space="0"/>
              <w:left w:val="nil"/>
              <w:bottom w:val="single" w:color="auto" w:sz="4" w:space="0"/>
              <w:right w:val="single" w:color="auto" w:sz="4" w:space="0"/>
            </w:tcBorders>
            <w:noWrap w:val="0"/>
            <w:vAlign w:val="top"/>
          </w:tcPr>
          <w:p w14:paraId="30723088">
            <w:pPr>
              <w:spacing w:line="480" w:lineRule="exact"/>
              <w:rPr>
                <w:rFonts w:hint="eastAsia" w:asciiTheme="minorEastAsia" w:hAnsiTheme="minorEastAsia" w:eastAsiaTheme="minorEastAsia" w:cstheme="minorEastAsia"/>
                <w:color w:val="auto"/>
                <w:sz w:val="24"/>
                <w:szCs w:val="24"/>
                <w:highlight w:val="none"/>
              </w:rPr>
            </w:pPr>
          </w:p>
        </w:tc>
      </w:tr>
    </w:tbl>
    <w:p w14:paraId="1CEEB045">
      <w:pPr>
        <w:spacing w:line="48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注：供应商应根据</w:t>
      </w:r>
      <w:r>
        <w:rPr>
          <w:rFonts w:hint="eastAsia" w:asciiTheme="minorEastAsia" w:hAnsiTheme="minorEastAsia" w:eastAsiaTheme="minorEastAsia" w:cstheme="minorEastAsia"/>
          <w:color w:val="auto"/>
          <w:sz w:val="24"/>
          <w:szCs w:val="24"/>
          <w:highlight w:val="none"/>
          <w:lang w:val="en-US" w:eastAsia="zh-CN"/>
        </w:rPr>
        <w:t>服务内容及所投标设备</w:t>
      </w:r>
      <w:r>
        <w:rPr>
          <w:rFonts w:hint="eastAsia" w:asciiTheme="minorEastAsia" w:hAnsiTheme="minorEastAsia" w:eastAsiaTheme="minorEastAsia" w:cstheme="minorEastAsia"/>
          <w:color w:val="auto"/>
          <w:sz w:val="24"/>
          <w:szCs w:val="24"/>
          <w:highlight w:val="none"/>
        </w:rPr>
        <w:t>技术参数对照</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文件要求对比偏离情况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自行修改编写、扩展“本技术偏离表”；服务内容、</w:t>
      </w:r>
      <w:r>
        <w:rPr>
          <w:rFonts w:hint="eastAsia" w:asciiTheme="minorEastAsia" w:hAnsiTheme="minorEastAsia" w:eastAsiaTheme="minorEastAsia" w:cstheme="minorEastAsia"/>
          <w:color w:val="auto"/>
          <w:sz w:val="24"/>
          <w:szCs w:val="24"/>
          <w:highlight w:val="none"/>
        </w:rPr>
        <w:t>重要参数及正偏离参数必须提供相关证明材料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否则按不满足要求项不予认可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kern w:val="0"/>
          <w:sz w:val="24"/>
          <w:szCs w:val="24"/>
          <w:highlight w:val="none"/>
          <w:lang w:val="en-US" w:eastAsia="zh-CN"/>
        </w:rPr>
        <w:t>“技术服务方案”评分标准中进行扣分；</w:t>
      </w:r>
      <w:r>
        <w:rPr>
          <w:rFonts w:hint="eastAsia" w:asciiTheme="minorEastAsia" w:hAnsiTheme="minorEastAsia" w:eastAsiaTheme="minorEastAsia" w:cstheme="minorEastAsia"/>
          <w:color w:val="auto"/>
          <w:sz w:val="24"/>
          <w:szCs w:val="24"/>
          <w:highlight w:val="none"/>
          <w:lang w:val="en-US" w:eastAsia="zh-CN"/>
        </w:rPr>
        <w:t>未在本偏离表填写的“负偏离”内容，则视为完全响应、满足且履行本项目服务内容、参数；</w:t>
      </w:r>
    </w:p>
    <w:p w14:paraId="49274A8E">
      <w:pPr>
        <w:spacing w:line="480" w:lineRule="exact"/>
        <w:rPr>
          <w:rFonts w:hint="eastAsia" w:asciiTheme="minorEastAsia" w:hAnsiTheme="minorEastAsia" w:eastAsiaTheme="minorEastAsia" w:cstheme="minorEastAsia"/>
          <w:color w:val="auto"/>
          <w:sz w:val="32"/>
          <w:szCs w:val="32"/>
          <w:highlight w:val="none"/>
        </w:rPr>
      </w:pPr>
    </w:p>
    <w:p w14:paraId="7F5020FB">
      <w:pPr>
        <w:spacing w:line="480" w:lineRule="exact"/>
        <w:ind w:firstLine="110" w:firstLineChars="50"/>
        <w:rPr>
          <w:rFonts w:hint="eastAsia" w:asciiTheme="minorEastAsia" w:hAnsiTheme="minorEastAsia" w:eastAsiaTheme="minorEastAsia" w:cstheme="minorEastAsia"/>
          <w:color w:val="auto"/>
          <w:highlight w:val="none"/>
        </w:rPr>
      </w:pPr>
    </w:p>
    <w:p w14:paraId="20D116F9">
      <w:pPr>
        <w:keepNext w:val="0"/>
        <w:keepLines w:val="0"/>
        <w:pageBreakBefore w:val="0"/>
        <w:widowControl/>
        <w:kinsoku/>
        <w:wordWrap/>
        <w:overflowPunct/>
        <w:topLinePunct w:val="0"/>
        <w:autoSpaceDE/>
        <w:autoSpaceDN/>
        <w:bidi w:val="0"/>
        <w:adjustRightInd w:val="0"/>
        <w:snapToGrid w:val="0"/>
        <w:spacing w:after="0" w:line="480" w:lineRule="auto"/>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16598A76">
      <w:pPr>
        <w:keepNext w:val="0"/>
        <w:keepLines w:val="0"/>
        <w:pageBreakBefore w:val="0"/>
        <w:widowControl/>
        <w:kinsoku/>
        <w:wordWrap/>
        <w:overflowPunct/>
        <w:topLinePunct w:val="0"/>
        <w:autoSpaceDE/>
        <w:autoSpaceDN/>
        <w:bidi w:val="0"/>
        <w:adjustRightInd w:val="0"/>
        <w:snapToGrid w:val="0"/>
        <w:spacing w:after="0" w:line="480" w:lineRule="auto"/>
        <w:jc w:val="righ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法定代表人或其委托代理人：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7013A258">
      <w:pPr>
        <w:keepNext w:val="0"/>
        <w:keepLines w:val="0"/>
        <w:pageBreakBefore w:val="0"/>
        <w:widowControl/>
        <w:kinsoku/>
        <w:wordWrap/>
        <w:overflowPunct/>
        <w:topLinePunct w:val="0"/>
        <w:autoSpaceDE/>
        <w:autoSpaceDN/>
        <w:bidi w:val="0"/>
        <w:adjustRightInd w:val="0"/>
        <w:snapToGrid w:val="0"/>
        <w:spacing w:after="0" w:line="480" w:lineRule="auto"/>
        <w:jc w:val="right"/>
        <w:textAlignment w:val="auto"/>
        <w:rPr>
          <w:rFonts w:hint="eastAsia" w:asciiTheme="minorEastAsia" w:hAnsiTheme="minorEastAsia" w:eastAsiaTheme="minorEastAsia" w:cstheme="minorEastAsia"/>
          <w:color w:val="auto"/>
          <w:sz w:val="24"/>
          <w:szCs w:val="24"/>
          <w:highlight w:val="none"/>
        </w:rPr>
        <w:sectPr>
          <w:headerReference r:id="rId9" w:type="default"/>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1CEE5E06">
      <w:pPr>
        <w:snapToGrid w:val="0"/>
        <w:spacing w:line="360" w:lineRule="auto"/>
        <w:jc w:val="center"/>
        <w:rPr>
          <w:rStyle w:val="27"/>
          <w:rFonts w:ascii="宋体" w:hAnsi="宋体"/>
          <w:bCs w:val="0"/>
          <w:color w:val="auto"/>
          <w:sz w:val="30"/>
          <w:szCs w:val="30"/>
          <w:highlight w:val="none"/>
        </w:rPr>
      </w:pPr>
      <w:bookmarkStart w:id="665" w:name="_Toc40390837"/>
      <w:r>
        <w:rPr>
          <w:rFonts w:hint="eastAsia" w:asciiTheme="minorEastAsia" w:hAnsiTheme="minorEastAsia" w:eastAsiaTheme="minorEastAsia" w:cstheme="minorEastAsia"/>
          <w:b/>
          <w:color w:val="auto"/>
          <w:sz w:val="32"/>
          <w:szCs w:val="32"/>
          <w:highlight w:val="none"/>
          <w:lang w:val="en-US" w:eastAsia="zh-CN"/>
        </w:rPr>
        <w:t>九、项目管理机构</w:t>
      </w:r>
      <w:bookmarkEnd w:id="665"/>
      <w:bookmarkStart w:id="666" w:name="_Toc380592871"/>
      <w:bookmarkEnd w:id="666"/>
    </w:p>
    <w:p w14:paraId="67B3DAE8">
      <w:pPr>
        <w:pStyle w:val="28"/>
        <w:spacing w:after="240" w:line="360" w:lineRule="auto"/>
        <w:ind w:firstLine="235"/>
        <w:jc w:val="center"/>
        <w:rPr>
          <w:rFonts w:hint="eastAsia" w:asciiTheme="minorEastAsia" w:hAnsiTheme="minorEastAsia" w:eastAsiaTheme="minorEastAsia" w:cstheme="minorEastAsia"/>
          <w:b/>
          <w:bCs/>
          <w:color w:val="auto"/>
          <w:sz w:val="28"/>
          <w:szCs w:val="30"/>
          <w:highlight w:val="none"/>
          <w:lang w:val="en-US" w:eastAsia="zh-CN" w:bidi="ar-SA"/>
        </w:rPr>
      </w:pPr>
      <w:bookmarkStart w:id="667" w:name="_Toc40390838"/>
      <w:r>
        <w:rPr>
          <w:rFonts w:hint="eastAsia" w:asciiTheme="minorEastAsia" w:hAnsiTheme="minorEastAsia" w:eastAsiaTheme="minorEastAsia" w:cstheme="minorEastAsia"/>
          <w:b/>
          <w:bCs/>
          <w:color w:val="auto"/>
          <w:sz w:val="28"/>
          <w:szCs w:val="30"/>
          <w:highlight w:val="none"/>
          <w:lang w:val="en-US" w:eastAsia="zh-CN" w:bidi="ar-SA"/>
        </w:rPr>
        <w:t>（一）项目部组成表</w:t>
      </w:r>
      <w:bookmarkEnd w:id="667"/>
    </w:p>
    <w:tbl>
      <w:tblPr>
        <w:tblStyle w:val="20"/>
        <w:tblW w:w="864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0"/>
        <w:gridCol w:w="1020"/>
        <w:gridCol w:w="1260"/>
        <w:gridCol w:w="900"/>
        <w:gridCol w:w="900"/>
        <w:gridCol w:w="720"/>
        <w:gridCol w:w="904"/>
        <w:gridCol w:w="900"/>
      </w:tblGrid>
      <w:tr w14:paraId="326B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20" w:type="dxa"/>
            <w:vMerge w:val="restart"/>
            <w:tcBorders>
              <w:tl2br w:val="nil"/>
              <w:tr2bl w:val="nil"/>
            </w:tcBorders>
            <w:noWrap w:val="0"/>
            <w:vAlign w:val="center"/>
          </w:tcPr>
          <w:p w14:paraId="4C57FDC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tc>
        <w:tc>
          <w:tcPr>
            <w:tcW w:w="1020" w:type="dxa"/>
            <w:vMerge w:val="restart"/>
            <w:tcBorders>
              <w:tl2br w:val="nil"/>
              <w:tr2bl w:val="nil"/>
            </w:tcBorders>
            <w:noWrap w:val="0"/>
            <w:vAlign w:val="center"/>
          </w:tcPr>
          <w:p w14:paraId="4E101B7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020" w:type="dxa"/>
            <w:vMerge w:val="restart"/>
            <w:tcBorders>
              <w:tl2br w:val="nil"/>
              <w:tr2bl w:val="nil"/>
            </w:tcBorders>
            <w:noWrap w:val="0"/>
            <w:vAlign w:val="center"/>
          </w:tcPr>
          <w:p w14:paraId="6FE084D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4684" w:type="dxa"/>
            <w:gridSpan w:val="5"/>
            <w:tcBorders>
              <w:tl2br w:val="nil"/>
              <w:tr2bl w:val="nil"/>
            </w:tcBorders>
            <w:noWrap w:val="0"/>
            <w:vAlign w:val="center"/>
          </w:tcPr>
          <w:p w14:paraId="79AD34A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执业或职业资格证明</w:t>
            </w:r>
          </w:p>
        </w:tc>
        <w:tc>
          <w:tcPr>
            <w:tcW w:w="900" w:type="dxa"/>
            <w:vMerge w:val="restart"/>
            <w:tcBorders>
              <w:tl2br w:val="nil"/>
              <w:tr2bl w:val="nil"/>
            </w:tcBorders>
            <w:noWrap w:val="0"/>
            <w:vAlign w:val="center"/>
          </w:tcPr>
          <w:p w14:paraId="31E85A4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7FF5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20" w:type="dxa"/>
            <w:vMerge w:val="continue"/>
            <w:tcBorders>
              <w:tl2br w:val="nil"/>
              <w:tr2bl w:val="nil"/>
            </w:tcBorders>
            <w:noWrap w:val="0"/>
            <w:vAlign w:val="center"/>
          </w:tcPr>
          <w:p w14:paraId="2E9C3150">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1020" w:type="dxa"/>
            <w:vMerge w:val="continue"/>
            <w:tcBorders>
              <w:tl2br w:val="nil"/>
              <w:tr2bl w:val="nil"/>
            </w:tcBorders>
            <w:noWrap w:val="0"/>
            <w:vAlign w:val="center"/>
          </w:tcPr>
          <w:p w14:paraId="093C4E41">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1020" w:type="dxa"/>
            <w:vMerge w:val="continue"/>
            <w:tcBorders>
              <w:tl2br w:val="nil"/>
              <w:tr2bl w:val="nil"/>
            </w:tcBorders>
            <w:noWrap w:val="0"/>
            <w:vAlign w:val="center"/>
          </w:tcPr>
          <w:p w14:paraId="10C3BAB1">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44C773D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证书名称</w:t>
            </w:r>
          </w:p>
        </w:tc>
        <w:tc>
          <w:tcPr>
            <w:tcW w:w="900" w:type="dxa"/>
            <w:tcBorders>
              <w:tl2br w:val="nil"/>
              <w:tr2bl w:val="nil"/>
            </w:tcBorders>
            <w:noWrap w:val="0"/>
            <w:vAlign w:val="center"/>
          </w:tcPr>
          <w:p w14:paraId="71F8793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级别</w:t>
            </w:r>
          </w:p>
        </w:tc>
        <w:tc>
          <w:tcPr>
            <w:tcW w:w="900" w:type="dxa"/>
            <w:tcBorders>
              <w:tl2br w:val="nil"/>
              <w:tr2bl w:val="nil"/>
            </w:tcBorders>
            <w:noWrap w:val="0"/>
            <w:vAlign w:val="center"/>
          </w:tcPr>
          <w:p w14:paraId="7A54AC9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证号</w:t>
            </w:r>
          </w:p>
        </w:tc>
        <w:tc>
          <w:tcPr>
            <w:tcW w:w="720" w:type="dxa"/>
            <w:tcBorders>
              <w:tl2br w:val="nil"/>
              <w:tr2bl w:val="nil"/>
            </w:tcBorders>
            <w:noWrap w:val="0"/>
            <w:vAlign w:val="center"/>
          </w:tcPr>
          <w:p w14:paraId="39E2331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904" w:type="dxa"/>
            <w:tcBorders>
              <w:tl2br w:val="nil"/>
              <w:tr2bl w:val="nil"/>
            </w:tcBorders>
            <w:noWrap w:val="0"/>
            <w:vAlign w:val="center"/>
          </w:tcPr>
          <w:p w14:paraId="5D953E4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养老保险</w:t>
            </w:r>
          </w:p>
        </w:tc>
        <w:tc>
          <w:tcPr>
            <w:tcW w:w="900" w:type="dxa"/>
            <w:vMerge w:val="continue"/>
            <w:tcBorders>
              <w:tl2br w:val="nil"/>
              <w:tr2bl w:val="nil"/>
            </w:tcBorders>
            <w:noWrap w:val="0"/>
            <w:vAlign w:val="center"/>
          </w:tcPr>
          <w:p w14:paraId="4B0AB5DD">
            <w:pPr>
              <w:widowControl/>
              <w:spacing w:line="360" w:lineRule="auto"/>
              <w:jc w:val="left"/>
              <w:rPr>
                <w:rFonts w:hint="eastAsia" w:asciiTheme="minorEastAsia" w:hAnsiTheme="minorEastAsia" w:eastAsiaTheme="minorEastAsia" w:cstheme="minorEastAsia"/>
                <w:color w:val="auto"/>
                <w:sz w:val="24"/>
                <w:szCs w:val="24"/>
                <w:highlight w:val="none"/>
              </w:rPr>
            </w:pPr>
          </w:p>
        </w:tc>
      </w:tr>
      <w:tr w14:paraId="0590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20" w:type="dxa"/>
            <w:tcBorders>
              <w:tl2br w:val="nil"/>
              <w:tr2bl w:val="nil"/>
            </w:tcBorders>
            <w:noWrap w:val="0"/>
            <w:vAlign w:val="center"/>
          </w:tcPr>
          <w:p w14:paraId="4F05765F">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124DCC06">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29F1FFF7">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3A562807">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3BB2122A">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2371E987">
            <w:pPr>
              <w:spacing w:line="360" w:lineRule="auto"/>
              <w:jc w:val="center"/>
              <w:rPr>
                <w:rFonts w:hint="eastAsia" w:asciiTheme="minorEastAsia" w:hAnsiTheme="minorEastAsia" w:eastAsiaTheme="minorEastAsia" w:cstheme="minorEastAsia"/>
                <w:color w:val="auto"/>
                <w:sz w:val="24"/>
                <w:szCs w:val="24"/>
                <w:highlight w:val="none"/>
              </w:rPr>
            </w:pPr>
          </w:p>
        </w:tc>
        <w:tc>
          <w:tcPr>
            <w:tcW w:w="720" w:type="dxa"/>
            <w:tcBorders>
              <w:tl2br w:val="nil"/>
              <w:tr2bl w:val="nil"/>
            </w:tcBorders>
            <w:noWrap w:val="0"/>
            <w:vAlign w:val="center"/>
          </w:tcPr>
          <w:p w14:paraId="2D3C510D">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tc>
        <w:tc>
          <w:tcPr>
            <w:tcW w:w="904" w:type="dxa"/>
            <w:tcBorders>
              <w:tl2br w:val="nil"/>
              <w:tr2bl w:val="nil"/>
            </w:tcBorders>
            <w:noWrap w:val="0"/>
            <w:vAlign w:val="center"/>
          </w:tcPr>
          <w:p w14:paraId="6F326DAF">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7378549E">
            <w:pPr>
              <w:spacing w:line="360" w:lineRule="auto"/>
              <w:jc w:val="center"/>
              <w:rPr>
                <w:rFonts w:hint="eastAsia" w:asciiTheme="minorEastAsia" w:hAnsiTheme="minorEastAsia" w:eastAsiaTheme="minorEastAsia" w:cstheme="minorEastAsia"/>
                <w:color w:val="auto"/>
                <w:sz w:val="24"/>
                <w:szCs w:val="24"/>
                <w:highlight w:val="none"/>
              </w:rPr>
            </w:pPr>
          </w:p>
        </w:tc>
      </w:tr>
      <w:tr w14:paraId="2C2E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20" w:type="dxa"/>
            <w:tcBorders>
              <w:tl2br w:val="nil"/>
              <w:tr2bl w:val="nil"/>
            </w:tcBorders>
            <w:noWrap w:val="0"/>
            <w:vAlign w:val="center"/>
          </w:tcPr>
          <w:p w14:paraId="59DF2EFF">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1E0F8B75">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559FF454">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766AABBD">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34880AA1">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00779355">
            <w:pPr>
              <w:spacing w:line="360" w:lineRule="auto"/>
              <w:jc w:val="center"/>
              <w:rPr>
                <w:rFonts w:hint="eastAsia" w:asciiTheme="minorEastAsia" w:hAnsiTheme="minorEastAsia" w:eastAsiaTheme="minorEastAsia" w:cstheme="minorEastAsia"/>
                <w:color w:val="auto"/>
                <w:sz w:val="24"/>
                <w:szCs w:val="24"/>
                <w:highlight w:val="none"/>
              </w:rPr>
            </w:pPr>
          </w:p>
        </w:tc>
        <w:tc>
          <w:tcPr>
            <w:tcW w:w="720" w:type="dxa"/>
            <w:tcBorders>
              <w:tl2br w:val="nil"/>
              <w:tr2bl w:val="nil"/>
            </w:tcBorders>
            <w:noWrap w:val="0"/>
            <w:vAlign w:val="center"/>
          </w:tcPr>
          <w:p w14:paraId="10E6801F">
            <w:pPr>
              <w:spacing w:line="360" w:lineRule="auto"/>
              <w:jc w:val="center"/>
              <w:rPr>
                <w:rFonts w:hint="eastAsia" w:asciiTheme="minorEastAsia" w:hAnsiTheme="minorEastAsia" w:eastAsiaTheme="minorEastAsia" w:cstheme="minorEastAsia"/>
                <w:color w:val="auto"/>
                <w:sz w:val="24"/>
                <w:szCs w:val="24"/>
                <w:highlight w:val="none"/>
              </w:rPr>
            </w:pPr>
          </w:p>
        </w:tc>
        <w:tc>
          <w:tcPr>
            <w:tcW w:w="904" w:type="dxa"/>
            <w:tcBorders>
              <w:tl2br w:val="nil"/>
              <w:tr2bl w:val="nil"/>
            </w:tcBorders>
            <w:noWrap w:val="0"/>
            <w:vAlign w:val="center"/>
          </w:tcPr>
          <w:p w14:paraId="5DE79B24">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1653550D">
            <w:pPr>
              <w:spacing w:line="360" w:lineRule="auto"/>
              <w:jc w:val="center"/>
              <w:rPr>
                <w:rFonts w:hint="eastAsia" w:asciiTheme="minorEastAsia" w:hAnsiTheme="minorEastAsia" w:eastAsiaTheme="minorEastAsia" w:cstheme="minorEastAsia"/>
                <w:color w:val="auto"/>
                <w:sz w:val="24"/>
                <w:szCs w:val="24"/>
                <w:highlight w:val="none"/>
              </w:rPr>
            </w:pPr>
          </w:p>
        </w:tc>
      </w:tr>
      <w:tr w14:paraId="4A87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20" w:type="dxa"/>
            <w:tcBorders>
              <w:tl2br w:val="nil"/>
              <w:tr2bl w:val="nil"/>
            </w:tcBorders>
            <w:noWrap w:val="0"/>
            <w:vAlign w:val="center"/>
          </w:tcPr>
          <w:p w14:paraId="5D7771DD">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4B393B30">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6FD984E4">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51F26C39">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16F248A2">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75935C65">
            <w:pPr>
              <w:spacing w:line="360" w:lineRule="auto"/>
              <w:jc w:val="center"/>
              <w:rPr>
                <w:rFonts w:hint="eastAsia" w:asciiTheme="minorEastAsia" w:hAnsiTheme="minorEastAsia" w:eastAsiaTheme="minorEastAsia" w:cstheme="minorEastAsia"/>
                <w:color w:val="auto"/>
                <w:sz w:val="24"/>
                <w:szCs w:val="24"/>
                <w:highlight w:val="none"/>
              </w:rPr>
            </w:pPr>
          </w:p>
        </w:tc>
        <w:tc>
          <w:tcPr>
            <w:tcW w:w="720" w:type="dxa"/>
            <w:tcBorders>
              <w:tl2br w:val="nil"/>
              <w:tr2bl w:val="nil"/>
            </w:tcBorders>
            <w:noWrap w:val="0"/>
            <w:vAlign w:val="center"/>
          </w:tcPr>
          <w:p w14:paraId="568AB6C3">
            <w:pPr>
              <w:spacing w:line="360" w:lineRule="auto"/>
              <w:jc w:val="center"/>
              <w:rPr>
                <w:rFonts w:hint="eastAsia" w:asciiTheme="minorEastAsia" w:hAnsiTheme="minorEastAsia" w:eastAsiaTheme="minorEastAsia" w:cstheme="minorEastAsia"/>
                <w:color w:val="auto"/>
                <w:sz w:val="24"/>
                <w:szCs w:val="24"/>
                <w:highlight w:val="none"/>
              </w:rPr>
            </w:pPr>
          </w:p>
        </w:tc>
        <w:tc>
          <w:tcPr>
            <w:tcW w:w="904" w:type="dxa"/>
            <w:tcBorders>
              <w:tl2br w:val="nil"/>
              <w:tr2bl w:val="nil"/>
            </w:tcBorders>
            <w:noWrap w:val="0"/>
            <w:vAlign w:val="center"/>
          </w:tcPr>
          <w:p w14:paraId="74B4F51F">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01494793">
            <w:pPr>
              <w:spacing w:line="360" w:lineRule="auto"/>
              <w:jc w:val="center"/>
              <w:rPr>
                <w:rFonts w:hint="eastAsia" w:asciiTheme="minorEastAsia" w:hAnsiTheme="minorEastAsia" w:eastAsiaTheme="minorEastAsia" w:cstheme="minorEastAsia"/>
                <w:color w:val="auto"/>
                <w:sz w:val="24"/>
                <w:szCs w:val="24"/>
                <w:highlight w:val="none"/>
              </w:rPr>
            </w:pPr>
          </w:p>
        </w:tc>
      </w:tr>
      <w:tr w14:paraId="0BA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20" w:type="dxa"/>
            <w:tcBorders>
              <w:tl2br w:val="nil"/>
              <w:tr2bl w:val="nil"/>
            </w:tcBorders>
            <w:noWrap w:val="0"/>
            <w:vAlign w:val="center"/>
          </w:tcPr>
          <w:p w14:paraId="2AE785E8">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6C0560E4">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4D97600B">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5073ABDA">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5768B55D">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74ED0A32">
            <w:pPr>
              <w:spacing w:line="360" w:lineRule="auto"/>
              <w:jc w:val="center"/>
              <w:rPr>
                <w:rFonts w:hint="eastAsia" w:asciiTheme="minorEastAsia" w:hAnsiTheme="minorEastAsia" w:eastAsiaTheme="minorEastAsia" w:cstheme="minorEastAsia"/>
                <w:color w:val="auto"/>
                <w:sz w:val="24"/>
                <w:szCs w:val="24"/>
                <w:highlight w:val="none"/>
              </w:rPr>
            </w:pPr>
          </w:p>
        </w:tc>
        <w:tc>
          <w:tcPr>
            <w:tcW w:w="720" w:type="dxa"/>
            <w:tcBorders>
              <w:tl2br w:val="nil"/>
              <w:tr2bl w:val="nil"/>
            </w:tcBorders>
            <w:noWrap w:val="0"/>
            <w:vAlign w:val="center"/>
          </w:tcPr>
          <w:p w14:paraId="175DFB61">
            <w:pPr>
              <w:spacing w:line="360" w:lineRule="auto"/>
              <w:jc w:val="center"/>
              <w:rPr>
                <w:rFonts w:hint="eastAsia" w:asciiTheme="minorEastAsia" w:hAnsiTheme="minorEastAsia" w:eastAsiaTheme="minorEastAsia" w:cstheme="minorEastAsia"/>
                <w:color w:val="auto"/>
                <w:sz w:val="24"/>
                <w:szCs w:val="24"/>
                <w:highlight w:val="none"/>
              </w:rPr>
            </w:pPr>
          </w:p>
        </w:tc>
        <w:tc>
          <w:tcPr>
            <w:tcW w:w="904" w:type="dxa"/>
            <w:tcBorders>
              <w:tl2br w:val="nil"/>
              <w:tr2bl w:val="nil"/>
            </w:tcBorders>
            <w:noWrap w:val="0"/>
            <w:vAlign w:val="center"/>
          </w:tcPr>
          <w:p w14:paraId="6A034566">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46D044E9">
            <w:pPr>
              <w:spacing w:line="360" w:lineRule="auto"/>
              <w:jc w:val="center"/>
              <w:rPr>
                <w:rFonts w:hint="eastAsia" w:asciiTheme="minorEastAsia" w:hAnsiTheme="minorEastAsia" w:eastAsiaTheme="minorEastAsia" w:cstheme="minorEastAsia"/>
                <w:color w:val="auto"/>
                <w:sz w:val="24"/>
                <w:szCs w:val="24"/>
                <w:highlight w:val="none"/>
              </w:rPr>
            </w:pPr>
          </w:p>
        </w:tc>
      </w:tr>
      <w:tr w14:paraId="3777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20" w:type="dxa"/>
            <w:tcBorders>
              <w:tl2br w:val="nil"/>
              <w:tr2bl w:val="nil"/>
            </w:tcBorders>
            <w:noWrap w:val="0"/>
            <w:vAlign w:val="center"/>
          </w:tcPr>
          <w:p w14:paraId="648AE896">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7EDE20B5">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645BB7A0">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5A4D26BF">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15C6B71F">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65AA91FF">
            <w:pPr>
              <w:spacing w:line="360" w:lineRule="auto"/>
              <w:jc w:val="center"/>
              <w:rPr>
                <w:rFonts w:hint="eastAsia" w:asciiTheme="minorEastAsia" w:hAnsiTheme="minorEastAsia" w:eastAsiaTheme="minorEastAsia" w:cstheme="minorEastAsia"/>
                <w:color w:val="auto"/>
                <w:sz w:val="24"/>
                <w:szCs w:val="24"/>
                <w:highlight w:val="none"/>
              </w:rPr>
            </w:pPr>
          </w:p>
        </w:tc>
        <w:tc>
          <w:tcPr>
            <w:tcW w:w="720" w:type="dxa"/>
            <w:tcBorders>
              <w:tl2br w:val="nil"/>
              <w:tr2bl w:val="nil"/>
            </w:tcBorders>
            <w:noWrap w:val="0"/>
            <w:vAlign w:val="center"/>
          </w:tcPr>
          <w:p w14:paraId="77D67BD1">
            <w:pPr>
              <w:spacing w:line="360" w:lineRule="auto"/>
              <w:jc w:val="center"/>
              <w:rPr>
                <w:rFonts w:hint="eastAsia" w:asciiTheme="minorEastAsia" w:hAnsiTheme="minorEastAsia" w:eastAsiaTheme="minorEastAsia" w:cstheme="minorEastAsia"/>
                <w:color w:val="auto"/>
                <w:sz w:val="24"/>
                <w:szCs w:val="24"/>
                <w:highlight w:val="none"/>
              </w:rPr>
            </w:pPr>
          </w:p>
        </w:tc>
        <w:tc>
          <w:tcPr>
            <w:tcW w:w="904" w:type="dxa"/>
            <w:tcBorders>
              <w:tl2br w:val="nil"/>
              <w:tr2bl w:val="nil"/>
            </w:tcBorders>
            <w:noWrap w:val="0"/>
            <w:vAlign w:val="center"/>
          </w:tcPr>
          <w:p w14:paraId="71C9D3D1">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6C6FAA21">
            <w:pPr>
              <w:spacing w:line="360" w:lineRule="auto"/>
              <w:jc w:val="center"/>
              <w:rPr>
                <w:rFonts w:hint="eastAsia" w:asciiTheme="minorEastAsia" w:hAnsiTheme="minorEastAsia" w:eastAsiaTheme="minorEastAsia" w:cstheme="minorEastAsia"/>
                <w:color w:val="auto"/>
                <w:sz w:val="24"/>
                <w:szCs w:val="24"/>
                <w:highlight w:val="none"/>
              </w:rPr>
            </w:pPr>
          </w:p>
        </w:tc>
      </w:tr>
      <w:tr w14:paraId="58C0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20" w:type="dxa"/>
            <w:tcBorders>
              <w:tl2br w:val="nil"/>
              <w:tr2bl w:val="nil"/>
            </w:tcBorders>
            <w:noWrap w:val="0"/>
            <w:vAlign w:val="center"/>
          </w:tcPr>
          <w:p w14:paraId="7B6C031F">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179588C1">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295387FF">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4A7CDCA3">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4C9B57BE">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512615B2">
            <w:pPr>
              <w:spacing w:line="360" w:lineRule="auto"/>
              <w:jc w:val="center"/>
              <w:rPr>
                <w:rFonts w:hint="eastAsia" w:asciiTheme="minorEastAsia" w:hAnsiTheme="minorEastAsia" w:eastAsiaTheme="minorEastAsia" w:cstheme="minorEastAsia"/>
                <w:color w:val="auto"/>
                <w:sz w:val="24"/>
                <w:szCs w:val="24"/>
                <w:highlight w:val="none"/>
              </w:rPr>
            </w:pPr>
          </w:p>
        </w:tc>
        <w:tc>
          <w:tcPr>
            <w:tcW w:w="720" w:type="dxa"/>
            <w:tcBorders>
              <w:tl2br w:val="nil"/>
              <w:tr2bl w:val="nil"/>
            </w:tcBorders>
            <w:noWrap w:val="0"/>
            <w:vAlign w:val="center"/>
          </w:tcPr>
          <w:p w14:paraId="0CCC4BF7">
            <w:pPr>
              <w:spacing w:line="360" w:lineRule="auto"/>
              <w:jc w:val="center"/>
              <w:rPr>
                <w:rFonts w:hint="eastAsia" w:asciiTheme="minorEastAsia" w:hAnsiTheme="minorEastAsia" w:eastAsiaTheme="minorEastAsia" w:cstheme="minorEastAsia"/>
                <w:color w:val="auto"/>
                <w:sz w:val="24"/>
                <w:szCs w:val="24"/>
                <w:highlight w:val="none"/>
              </w:rPr>
            </w:pPr>
          </w:p>
        </w:tc>
        <w:tc>
          <w:tcPr>
            <w:tcW w:w="904" w:type="dxa"/>
            <w:tcBorders>
              <w:tl2br w:val="nil"/>
              <w:tr2bl w:val="nil"/>
            </w:tcBorders>
            <w:noWrap w:val="0"/>
            <w:vAlign w:val="center"/>
          </w:tcPr>
          <w:p w14:paraId="4DEB06E2">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1C31869B">
            <w:pPr>
              <w:spacing w:line="360" w:lineRule="auto"/>
              <w:jc w:val="center"/>
              <w:rPr>
                <w:rFonts w:hint="eastAsia" w:asciiTheme="minorEastAsia" w:hAnsiTheme="minorEastAsia" w:eastAsiaTheme="minorEastAsia" w:cstheme="minorEastAsia"/>
                <w:color w:val="auto"/>
                <w:sz w:val="24"/>
                <w:szCs w:val="24"/>
                <w:highlight w:val="none"/>
              </w:rPr>
            </w:pPr>
          </w:p>
        </w:tc>
      </w:tr>
      <w:tr w14:paraId="2487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20" w:type="dxa"/>
            <w:tcBorders>
              <w:tl2br w:val="nil"/>
              <w:tr2bl w:val="nil"/>
            </w:tcBorders>
            <w:noWrap w:val="0"/>
            <w:vAlign w:val="center"/>
          </w:tcPr>
          <w:p w14:paraId="61682AE0">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2125BF63">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0E3F326B">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74C4E9BA">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7D4FDB55">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5BE52483">
            <w:pPr>
              <w:spacing w:line="360" w:lineRule="auto"/>
              <w:jc w:val="center"/>
              <w:rPr>
                <w:rFonts w:hint="eastAsia" w:asciiTheme="minorEastAsia" w:hAnsiTheme="minorEastAsia" w:eastAsiaTheme="minorEastAsia" w:cstheme="minorEastAsia"/>
                <w:color w:val="auto"/>
                <w:sz w:val="24"/>
                <w:szCs w:val="24"/>
                <w:highlight w:val="none"/>
              </w:rPr>
            </w:pPr>
          </w:p>
        </w:tc>
        <w:tc>
          <w:tcPr>
            <w:tcW w:w="720" w:type="dxa"/>
            <w:tcBorders>
              <w:tl2br w:val="nil"/>
              <w:tr2bl w:val="nil"/>
            </w:tcBorders>
            <w:noWrap w:val="0"/>
            <w:vAlign w:val="center"/>
          </w:tcPr>
          <w:p w14:paraId="2C5E77C6">
            <w:pPr>
              <w:spacing w:line="360" w:lineRule="auto"/>
              <w:jc w:val="center"/>
              <w:rPr>
                <w:rFonts w:hint="eastAsia" w:asciiTheme="minorEastAsia" w:hAnsiTheme="minorEastAsia" w:eastAsiaTheme="minorEastAsia" w:cstheme="minorEastAsia"/>
                <w:color w:val="auto"/>
                <w:sz w:val="24"/>
                <w:szCs w:val="24"/>
                <w:highlight w:val="none"/>
              </w:rPr>
            </w:pPr>
          </w:p>
        </w:tc>
        <w:tc>
          <w:tcPr>
            <w:tcW w:w="904" w:type="dxa"/>
            <w:tcBorders>
              <w:tl2br w:val="nil"/>
              <w:tr2bl w:val="nil"/>
            </w:tcBorders>
            <w:noWrap w:val="0"/>
            <w:vAlign w:val="center"/>
          </w:tcPr>
          <w:p w14:paraId="44BF17C2">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51947C62">
            <w:pPr>
              <w:spacing w:line="360" w:lineRule="auto"/>
              <w:jc w:val="center"/>
              <w:rPr>
                <w:rFonts w:hint="eastAsia" w:asciiTheme="minorEastAsia" w:hAnsiTheme="minorEastAsia" w:eastAsiaTheme="minorEastAsia" w:cstheme="minorEastAsia"/>
                <w:color w:val="auto"/>
                <w:sz w:val="24"/>
                <w:szCs w:val="24"/>
                <w:highlight w:val="none"/>
              </w:rPr>
            </w:pPr>
          </w:p>
        </w:tc>
      </w:tr>
      <w:tr w14:paraId="5A27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20" w:type="dxa"/>
            <w:tcBorders>
              <w:tl2br w:val="nil"/>
              <w:tr2bl w:val="nil"/>
            </w:tcBorders>
            <w:noWrap w:val="0"/>
            <w:vAlign w:val="center"/>
          </w:tcPr>
          <w:p w14:paraId="21B9461A">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19821338">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2886DF16">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572256AA">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7E5C2FAC">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152338EE">
            <w:pPr>
              <w:spacing w:line="360" w:lineRule="auto"/>
              <w:jc w:val="center"/>
              <w:rPr>
                <w:rFonts w:hint="eastAsia" w:asciiTheme="minorEastAsia" w:hAnsiTheme="minorEastAsia" w:eastAsiaTheme="minorEastAsia" w:cstheme="minorEastAsia"/>
                <w:color w:val="auto"/>
                <w:sz w:val="24"/>
                <w:szCs w:val="24"/>
                <w:highlight w:val="none"/>
              </w:rPr>
            </w:pPr>
          </w:p>
        </w:tc>
        <w:tc>
          <w:tcPr>
            <w:tcW w:w="720" w:type="dxa"/>
            <w:tcBorders>
              <w:tl2br w:val="nil"/>
              <w:tr2bl w:val="nil"/>
            </w:tcBorders>
            <w:noWrap w:val="0"/>
            <w:vAlign w:val="center"/>
          </w:tcPr>
          <w:p w14:paraId="63CECF2E">
            <w:pPr>
              <w:spacing w:line="360" w:lineRule="auto"/>
              <w:jc w:val="center"/>
              <w:rPr>
                <w:rFonts w:hint="eastAsia" w:asciiTheme="minorEastAsia" w:hAnsiTheme="minorEastAsia" w:eastAsiaTheme="minorEastAsia" w:cstheme="minorEastAsia"/>
                <w:color w:val="auto"/>
                <w:sz w:val="24"/>
                <w:szCs w:val="24"/>
                <w:highlight w:val="none"/>
              </w:rPr>
            </w:pPr>
          </w:p>
        </w:tc>
        <w:tc>
          <w:tcPr>
            <w:tcW w:w="904" w:type="dxa"/>
            <w:tcBorders>
              <w:tl2br w:val="nil"/>
              <w:tr2bl w:val="nil"/>
            </w:tcBorders>
            <w:noWrap w:val="0"/>
            <w:vAlign w:val="center"/>
          </w:tcPr>
          <w:p w14:paraId="76BDAE31">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74692DE4">
            <w:pPr>
              <w:spacing w:line="360" w:lineRule="auto"/>
              <w:jc w:val="center"/>
              <w:rPr>
                <w:rFonts w:hint="eastAsia" w:asciiTheme="minorEastAsia" w:hAnsiTheme="minorEastAsia" w:eastAsiaTheme="minorEastAsia" w:cstheme="minorEastAsia"/>
                <w:color w:val="auto"/>
                <w:sz w:val="24"/>
                <w:szCs w:val="24"/>
                <w:highlight w:val="none"/>
              </w:rPr>
            </w:pPr>
          </w:p>
        </w:tc>
      </w:tr>
      <w:tr w14:paraId="1325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20" w:type="dxa"/>
            <w:tcBorders>
              <w:tl2br w:val="nil"/>
              <w:tr2bl w:val="nil"/>
            </w:tcBorders>
            <w:noWrap w:val="0"/>
            <w:vAlign w:val="center"/>
          </w:tcPr>
          <w:p w14:paraId="1C024B6A">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5A403CE4">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3E81A14A">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14F13827">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0548F76D">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75204DB4">
            <w:pPr>
              <w:spacing w:line="360" w:lineRule="auto"/>
              <w:jc w:val="center"/>
              <w:rPr>
                <w:rFonts w:hint="eastAsia" w:asciiTheme="minorEastAsia" w:hAnsiTheme="minorEastAsia" w:eastAsiaTheme="minorEastAsia" w:cstheme="minorEastAsia"/>
                <w:color w:val="auto"/>
                <w:sz w:val="24"/>
                <w:szCs w:val="24"/>
                <w:highlight w:val="none"/>
              </w:rPr>
            </w:pPr>
          </w:p>
        </w:tc>
        <w:tc>
          <w:tcPr>
            <w:tcW w:w="720" w:type="dxa"/>
            <w:tcBorders>
              <w:tl2br w:val="nil"/>
              <w:tr2bl w:val="nil"/>
            </w:tcBorders>
            <w:noWrap w:val="0"/>
            <w:vAlign w:val="center"/>
          </w:tcPr>
          <w:p w14:paraId="00B06C60">
            <w:pPr>
              <w:spacing w:line="360" w:lineRule="auto"/>
              <w:jc w:val="center"/>
              <w:rPr>
                <w:rFonts w:hint="eastAsia" w:asciiTheme="minorEastAsia" w:hAnsiTheme="minorEastAsia" w:eastAsiaTheme="minorEastAsia" w:cstheme="minorEastAsia"/>
                <w:color w:val="auto"/>
                <w:sz w:val="24"/>
                <w:szCs w:val="24"/>
                <w:highlight w:val="none"/>
              </w:rPr>
            </w:pPr>
          </w:p>
        </w:tc>
        <w:tc>
          <w:tcPr>
            <w:tcW w:w="904" w:type="dxa"/>
            <w:tcBorders>
              <w:tl2br w:val="nil"/>
              <w:tr2bl w:val="nil"/>
            </w:tcBorders>
            <w:noWrap w:val="0"/>
            <w:vAlign w:val="center"/>
          </w:tcPr>
          <w:p w14:paraId="7908AFE6">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747FCC72">
            <w:pPr>
              <w:spacing w:line="360" w:lineRule="auto"/>
              <w:jc w:val="center"/>
              <w:rPr>
                <w:rFonts w:hint="eastAsia" w:asciiTheme="minorEastAsia" w:hAnsiTheme="minorEastAsia" w:eastAsiaTheme="minorEastAsia" w:cstheme="minorEastAsia"/>
                <w:color w:val="auto"/>
                <w:sz w:val="24"/>
                <w:szCs w:val="24"/>
                <w:highlight w:val="none"/>
              </w:rPr>
            </w:pPr>
          </w:p>
        </w:tc>
      </w:tr>
      <w:tr w14:paraId="7E68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20" w:type="dxa"/>
            <w:tcBorders>
              <w:tl2br w:val="nil"/>
              <w:tr2bl w:val="nil"/>
            </w:tcBorders>
            <w:noWrap w:val="0"/>
            <w:vAlign w:val="center"/>
          </w:tcPr>
          <w:p w14:paraId="606F19F7">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3D93D856">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5FDF89FE">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0739EE8B">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630FE6D5">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73573A49">
            <w:pPr>
              <w:spacing w:line="360" w:lineRule="auto"/>
              <w:jc w:val="center"/>
              <w:rPr>
                <w:rFonts w:hint="eastAsia" w:asciiTheme="minorEastAsia" w:hAnsiTheme="minorEastAsia" w:eastAsiaTheme="minorEastAsia" w:cstheme="minorEastAsia"/>
                <w:color w:val="auto"/>
                <w:sz w:val="24"/>
                <w:szCs w:val="24"/>
                <w:highlight w:val="none"/>
              </w:rPr>
            </w:pPr>
          </w:p>
        </w:tc>
        <w:tc>
          <w:tcPr>
            <w:tcW w:w="720" w:type="dxa"/>
            <w:tcBorders>
              <w:tl2br w:val="nil"/>
              <w:tr2bl w:val="nil"/>
            </w:tcBorders>
            <w:noWrap w:val="0"/>
            <w:vAlign w:val="center"/>
          </w:tcPr>
          <w:p w14:paraId="7B92629F">
            <w:pPr>
              <w:spacing w:line="360" w:lineRule="auto"/>
              <w:jc w:val="center"/>
              <w:rPr>
                <w:rFonts w:hint="eastAsia" w:asciiTheme="minorEastAsia" w:hAnsiTheme="minorEastAsia" w:eastAsiaTheme="minorEastAsia" w:cstheme="minorEastAsia"/>
                <w:color w:val="auto"/>
                <w:sz w:val="24"/>
                <w:szCs w:val="24"/>
                <w:highlight w:val="none"/>
              </w:rPr>
            </w:pPr>
          </w:p>
        </w:tc>
        <w:tc>
          <w:tcPr>
            <w:tcW w:w="904" w:type="dxa"/>
            <w:tcBorders>
              <w:tl2br w:val="nil"/>
              <w:tr2bl w:val="nil"/>
            </w:tcBorders>
            <w:noWrap w:val="0"/>
            <w:vAlign w:val="center"/>
          </w:tcPr>
          <w:p w14:paraId="4BA4A2B7">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5C56905E">
            <w:pPr>
              <w:spacing w:line="360" w:lineRule="auto"/>
              <w:jc w:val="center"/>
              <w:rPr>
                <w:rFonts w:hint="eastAsia" w:asciiTheme="minorEastAsia" w:hAnsiTheme="minorEastAsia" w:eastAsiaTheme="minorEastAsia" w:cstheme="minorEastAsia"/>
                <w:color w:val="auto"/>
                <w:sz w:val="24"/>
                <w:szCs w:val="24"/>
                <w:highlight w:val="none"/>
              </w:rPr>
            </w:pPr>
          </w:p>
        </w:tc>
      </w:tr>
      <w:tr w14:paraId="0DAC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20" w:type="dxa"/>
            <w:tcBorders>
              <w:tl2br w:val="nil"/>
              <w:tr2bl w:val="nil"/>
            </w:tcBorders>
            <w:noWrap w:val="0"/>
            <w:vAlign w:val="center"/>
          </w:tcPr>
          <w:p w14:paraId="4C51DA69">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3A07852A">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l2br w:val="nil"/>
              <w:tr2bl w:val="nil"/>
            </w:tcBorders>
            <w:noWrap w:val="0"/>
            <w:vAlign w:val="center"/>
          </w:tcPr>
          <w:p w14:paraId="753F31D7">
            <w:pPr>
              <w:spacing w:line="360" w:lineRule="auto"/>
              <w:jc w:val="center"/>
              <w:rPr>
                <w:rFonts w:hint="eastAsia" w:asciiTheme="minorEastAsia" w:hAnsiTheme="minorEastAsia" w:eastAsiaTheme="minorEastAsia" w:cstheme="minorEastAsia"/>
                <w:color w:val="auto"/>
                <w:sz w:val="24"/>
                <w:szCs w:val="24"/>
                <w:highlight w:val="none"/>
              </w:rPr>
            </w:pPr>
          </w:p>
        </w:tc>
        <w:tc>
          <w:tcPr>
            <w:tcW w:w="1260" w:type="dxa"/>
            <w:tcBorders>
              <w:tl2br w:val="nil"/>
              <w:tr2bl w:val="nil"/>
            </w:tcBorders>
            <w:noWrap w:val="0"/>
            <w:vAlign w:val="center"/>
          </w:tcPr>
          <w:p w14:paraId="05854BAF">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77F7E885">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7FC5BAD5">
            <w:pPr>
              <w:spacing w:line="360" w:lineRule="auto"/>
              <w:jc w:val="center"/>
              <w:rPr>
                <w:rFonts w:hint="eastAsia" w:asciiTheme="minorEastAsia" w:hAnsiTheme="minorEastAsia" w:eastAsiaTheme="minorEastAsia" w:cstheme="minorEastAsia"/>
                <w:color w:val="auto"/>
                <w:sz w:val="24"/>
                <w:szCs w:val="24"/>
                <w:highlight w:val="none"/>
              </w:rPr>
            </w:pPr>
          </w:p>
        </w:tc>
        <w:tc>
          <w:tcPr>
            <w:tcW w:w="720" w:type="dxa"/>
            <w:tcBorders>
              <w:tl2br w:val="nil"/>
              <w:tr2bl w:val="nil"/>
            </w:tcBorders>
            <w:noWrap w:val="0"/>
            <w:vAlign w:val="center"/>
          </w:tcPr>
          <w:p w14:paraId="1EA543D1">
            <w:pPr>
              <w:spacing w:line="360" w:lineRule="auto"/>
              <w:jc w:val="center"/>
              <w:rPr>
                <w:rFonts w:hint="eastAsia" w:asciiTheme="minorEastAsia" w:hAnsiTheme="minorEastAsia" w:eastAsiaTheme="minorEastAsia" w:cstheme="minorEastAsia"/>
                <w:color w:val="auto"/>
                <w:sz w:val="24"/>
                <w:szCs w:val="24"/>
                <w:highlight w:val="none"/>
              </w:rPr>
            </w:pPr>
          </w:p>
        </w:tc>
        <w:tc>
          <w:tcPr>
            <w:tcW w:w="904" w:type="dxa"/>
            <w:tcBorders>
              <w:tl2br w:val="nil"/>
              <w:tr2bl w:val="nil"/>
            </w:tcBorders>
            <w:noWrap w:val="0"/>
            <w:vAlign w:val="center"/>
          </w:tcPr>
          <w:p w14:paraId="2BF53C08">
            <w:pPr>
              <w:spacing w:line="360" w:lineRule="auto"/>
              <w:jc w:val="center"/>
              <w:rPr>
                <w:rFonts w:hint="eastAsia" w:asciiTheme="minorEastAsia" w:hAnsiTheme="minorEastAsia" w:eastAsiaTheme="minorEastAsia" w:cstheme="minorEastAsia"/>
                <w:color w:val="auto"/>
                <w:sz w:val="24"/>
                <w:szCs w:val="24"/>
                <w:highlight w:val="none"/>
              </w:rPr>
            </w:pPr>
          </w:p>
        </w:tc>
        <w:tc>
          <w:tcPr>
            <w:tcW w:w="900" w:type="dxa"/>
            <w:tcBorders>
              <w:tl2br w:val="nil"/>
              <w:tr2bl w:val="nil"/>
            </w:tcBorders>
            <w:noWrap w:val="0"/>
            <w:vAlign w:val="center"/>
          </w:tcPr>
          <w:p w14:paraId="1428F353">
            <w:pPr>
              <w:spacing w:line="360" w:lineRule="auto"/>
              <w:jc w:val="center"/>
              <w:rPr>
                <w:rFonts w:hint="eastAsia" w:asciiTheme="minorEastAsia" w:hAnsiTheme="minorEastAsia" w:eastAsiaTheme="minorEastAsia" w:cstheme="minorEastAsia"/>
                <w:color w:val="auto"/>
                <w:sz w:val="24"/>
                <w:szCs w:val="24"/>
                <w:highlight w:val="none"/>
              </w:rPr>
            </w:pPr>
          </w:p>
        </w:tc>
      </w:tr>
    </w:tbl>
    <w:p w14:paraId="20FFDC7B">
      <w:pPr>
        <w:spacing w:line="360" w:lineRule="auto"/>
        <w:rPr>
          <w:rFonts w:hint="eastAsia" w:asciiTheme="minorEastAsia" w:hAnsiTheme="minorEastAsia" w:eastAsiaTheme="minorEastAsia" w:cstheme="minorEastAsia"/>
          <w:bCs/>
          <w:color w:val="auto"/>
          <w:sz w:val="24"/>
          <w:szCs w:val="24"/>
          <w:highlight w:val="none"/>
        </w:rPr>
      </w:pPr>
      <w:bookmarkStart w:id="668" w:name="_Toc380592872"/>
      <w:bookmarkEnd w:id="668"/>
    </w:p>
    <w:p w14:paraId="5C9358DF">
      <w:pPr>
        <w:pStyle w:val="6"/>
        <w:spacing w:before="91" w:line="344"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注：项目管理机构人员至少应包括项目</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技术</w:t>
      </w:r>
      <w:r>
        <w:rPr>
          <w:rFonts w:hint="eastAsia" w:asciiTheme="minorEastAsia" w:hAnsiTheme="minorEastAsia" w:eastAsiaTheme="minorEastAsia" w:cstheme="minorEastAsia"/>
          <w:color w:val="auto"/>
          <w:spacing w:val="-1"/>
          <w:sz w:val="24"/>
          <w:szCs w:val="24"/>
          <w:highlight w:val="none"/>
        </w:rPr>
        <w:t>负责人</w:t>
      </w:r>
      <w:r>
        <w:rPr>
          <w:rFonts w:hint="eastAsia" w:asciiTheme="minorEastAsia" w:hAnsiTheme="minorEastAsia" w:eastAsiaTheme="minorEastAsia" w:cstheme="minorEastAsia"/>
          <w:color w:val="auto"/>
          <w:spacing w:val="-2"/>
          <w:sz w:val="24"/>
          <w:szCs w:val="24"/>
          <w:highlight w:val="none"/>
        </w:rPr>
        <w:t>及管理人员</w:t>
      </w:r>
      <w:r>
        <w:rPr>
          <w:rFonts w:hint="eastAsia" w:asciiTheme="minorEastAsia" w:hAnsiTheme="minorEastAsia" w:eastAsiaTheme="minorEastAsia" w:cstheme="minorEastAsia"/>
          <w:color w:val="auto"/>
          <w:spacing w:val="-2"/>
          <w:sz w:val="24"/>
          <w:szCs w:val="24"/>
          <w:highlight w:val="none"/>
          <w:lang w:val="en-US" w:eastAsia="zh-CN"/>
        </w:rPr>
        <w:t>等</w:t>
      </w:r>
      <w:r>
        <w:rPr>
          <w:rFonts w:hint="eastAsia" w:asciiTheme="minorEastAsia" w:hAnsiTheme="minorEastAsia" w:eastAsiaTheme="minorEastAsia" w:cstheme="minorEastAsia"/>
          <w:color w:val="auto"/>
          <w:spacing w:val="-2"/>
          <w:sz w:val="24"/>
          <w:szCs w:val="24"/>
          <w:highlight w:val="none"/>
        </w:rPr>
        <w:t>。</w:t>
      </w:r>
    </w:p>
    <w:p w14:paraId="42BE5EA8">
      <w:pPr>
        <w:pStyle w:val="28"/>
        <w:spacing w:after="240" w:line="360" w:lineRule="auto"/>
        <w:ind w:firstLine="235"/>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br w:type="page"/>
      </w:r>
      <w:bookmarkStart w:id="669" w:name="_Toc40390839"/>
      <w:r>
        <w:rPr>
          <w:rFonts w:hint="eastAsia" w:asciiTheme="minorEastAsia" w:hAnsiTheme="minorEastAsia" w:eastAsiaTheme="minorEastAsia" w:cstheme="minorEastAsia"/>
          <w:b/>
          <w:bCs/>
          <w:color w:val="auto"/>
          <w:sz w:val="28"/>
          <w:szCs w:val="30"/>
          <w:highlight w:val="none"/>
          <w:lang w:val="en-US" w:eastAsia="zh-CN" w:bidi="ar-SA"/>
        </w:rPr>
        <w:t>（二）主要人员简历表</w:t>
      </w:r>
      <w:bookmarkEnd w:id="669"/>
    </w:p>
    <w:p w14:paraId="04CC197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主要人员简历表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中的</w:t>
      </w:r>
      <w:r>
        <w:rPr>
          <w:rFonts w:hint="eastAsia" w:asciiTheme="minorEastAsia" w:hAnsiTheme="minorEastAsia" w:eastAsiaTheme="minorEastAsia" w:cstheme="minorEastAsia"/>
          <w:color w:val="auto"/>
          <w:sz w:val="24"/>
          <w:szCs w:val="24"/>
          <w:highlight w:val="none"/>
          <w:lang w:val="en-US" w:eastAsia="zh-CN"/>
        </w:rPr>
        <w:t>项目负责人</w:t>
      </w:r>
      <w:r>
        <w:rPr>
          <w:rFonts w:hint="eastAsia" w:asciiTheme="minorEastAsia" w:hAnsiTheme="minorEastAsia" w:eastAsiaTheme="minorEastAsia" w:cstheme="minorEastAsia"/>
          <w:color w:val="auto"/>
          <w:sz w:val="24"/>
          <w:szCs w:val="24"/>
          <w:highlight w:val="none"/>
        </w:rPr>
        <w:t>应附</w:t>
      </w:r>
      <w:r>
        <w:rPr>
          <w:rFonts w:hint="eastAsia" w:asciiTheme="minorEastAsia" w:hAnsiTheme="minorEastAsia" w:eastAsiaTheme="minorEastAsia" w:cstheme="minorEastAsia"/>
          <w:color w:val="auto"/>
          <w:sz w:val="24"/>
          <w:szCs w:val="24"/>
          <w:highlight w:val="none"/>
          <w:lang w:val="en-US" w:eastAsia="zh-CN"/>
        </w:rPr>
        <w:t>职称证</w:t>
      </w:r>
      <w:r>
        <w:rPr>
          <w:rFonts w:hint="eastAsia" w:asciiTheme="minorEastAsia" w:hAnsiTheme="minorEastAsia" w:eastAsiaTheme="minorEastAsia" w:cstheme="minorEastAsia"/>
          <w:color w:val="auto"/>
          <w:sz w:val="24"/>
          <w:szCs w:val="24"/>
          <w:highlight w:val="none"/>
        </w:rPr>
        <w:t>、身份证、</w:t>
      </w:r>
      <w:r>
        <w:rPr>
          <w:rFonts w:hint="eastAsia" w:asciiTheme="minorEastAsia" w:hAnsiTheme="minorEastAsia" w:eastAsiaTheme="minorEastAsia" w:cstheme="minorEastAsia"/>
          <w:color w:val="auto"/>
          <w:sz w:val="24"/>
          <w:szCs w:val="24"/>
          <w:highlight w:val="none"/>
          <w:lang w:val="en-US" w:eastAsia="zh-CN"/>
        </w:rPr>
        <w:t>劳动关系证明；</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338"/>
        <w:gridCol w:w="1559"/>
        <w:gridCol w:w="1049"/>
        <w:gridCol w:w="864"/>
        <w:gridCol w:w="520"/>
        <w:gridCol w:w="1109"/>
        <w:gridCol w:w="801"/>
        <w:gridCol w:w="1359"/>
      </w:tblGrid>
      <w:tr w14:paraId="7C87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59" w:type="dxa"/>
            <w:gridSpan w:val="2"/>
            <w:tcBorders>
              <w:tl2br w:val="nil"/>
              <w:tr2bl w:val="nil"/>
            </w:tcBorders>
            <w:noWrap w:val="0"/>
            <w:vAlign w:val="center"/>
          </w:tcPr>
          <w:p w14:paraId="396AED2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559" w:type="dxa"/>
            <w:tcBorders>
              <w:tl2br w:val="nil"/>
              <w:tr2bl w:val="nil"/>
            </w:tcBorders>
            <w:noWrap w:val="0"/>
            <w:vAlign w:val="top"/>
          </w:tcPr>
          <w:p w14:paraId="733317FD">
            <w:pPr>
              <w:spacing w:line="360" w:lineRule="auto"/>
              <w:rPr>
                <w:rFonts w:hint="eastAsia" w:asciiTheme="minorEastAsia" w:hAnsiTheme="minorEastAsia" w:eastAsiaTheme="minorEastAsia" w:cstheme="minorEastAsia"/>
                <w:color w:val="auto"/>
                <w:sz w:val="24"/>
                <w:szCs w:val="24"/>
                <w:highlight w:val="none"/>
              </w:rPr>
            </w:pPr>
          </w:p>
        </w:tc>
        <w:tc>
          <w:tcPr>
            <w:tcW w:w="1049" w:type="dxa"/>
            <w:tcBorders>
              <w:tl2br w:val="nil"/>
              <w:tr2bl w:val="nil"/>
            </w:tcBorders>
            <w:noWrap w:val="0"/>
            <w:vAlign w:val="center"/>
          </w:tcPr>
          <w:p w14:paraId="13DC525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年龄</w:t>
            </w:r>
          </w:p>
        </w:tc>
        <w:tc>
          <w:tcPr>
            <w:tcW w:w="1384" w:type="dxa"/>
            <w:gridSpan w:val="2"/>
            <w:tcBorders>
              <w:tl2br w:val="nil"/>
              <w:tr2bl w:val="nil"/>
            </w:tcBorders>
            <w:noWrap w:val="0"/>
            <w:vAlign w:val="top"/>
          </w:tcPr>
          <w:p w14:paraId="45C1A1D2">
            <w:pPr>
              <w:spacing w:line="360" w:lineRule="auto"/>
              <w:rPr>
                <w:rFonts w:hint="eastAsia" w:asciiTheme="minorEastAsia" w:hAnsiTheme="minorEastAsia" w:eastAsiaTheme="minorEastAsia" w:cstheme="minorEastAsia"/>
                <w:color w:val="auto"/>
                <w:sz w:val="24"/>
                <w:szCs w:val="24"/>
                <w:highlight w:val="none"/>
              </w:rPr>
            </w:pPr>
          </w:p>
        </w:tc>
        <w:tc>
          <w:tcPr>
            <w:tcW w:w="1910" w:type="dxa"/>
            <w:gridSpan w:val="2"/>
            <w:tcBorders>
              <w:tl2br w:val="nil"/>
              <w:tr2bl w:val="nil"/>
            </w:tcBorders>
            <w:noWrap w:val="0"/>
            <w:vAlign w:val="center"/>
          </w:tcPr>
          <w:p w14:paraId="7D2D178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tc>
        <w:tc>
          <w:tcPr>
            <w:tcW w:w="1359" w:type="dxa"/>
            <w:tcBorders>
              <w:tl2br w:val="nil"/>
              <w:tr2bl w:val="nil"/>
            </w:tcBorders>
            <w:noWrap w:val="0"/>
            <w:vAlign w:val="top"/>
          </w:tcPr>
          <w:p w14:paraId="78D884EB">
            <w:pPr>
              <w:spacing w:line="360" w:lineRule="auto"/>
              <w:rPr>
                <w:rFonts w:hint="eastAsia" w:asciiTheme="minorEastAsia" w:hAnsiTheme="minorEastAsia" w:eastAsiaTheme="minorEastAsia" w:cstheme="minorEastAsia"/>
                <w:color w:val="auto"/>
                <w:sz w:val="24"/>
                <w:szCs w:val="24"/>
                <w:highlight w:val="none"/>
              </w:rPr>
            </w:pPr>
          </w:p>
        </w:tc>
      </w:tr>
      <w:tr w14:paraId="30D3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59" w:type="dxa"/>
            <w:gridSpan w:val="2"/>
            <w:tcBorders>
              <w:tl2br w:val="nil"/>
              <w:tr2bl w:val="nil"/>
            </w:tcBorders>
            <w:noWrap w:val="0"/>
            <w:vAlign w:val="center"/>
          </w:tcPr>
          <w:p w14:paraId="21FB3FC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559" w:type="dxa"/>
            <w:tcBorders>
              <w:tl2br w:val="nil"/>
              <w:tr2bl w:val="nil"/>
            </w:tcBorders>
            <w:noWrap w:val="0"/>
            <w:vAlign w:val="top"/>
          </w:tcPr>
          <w:p w14:paraId="1B7AD579">
            <w:pPr>
              <w:spacing w:line="360" w:lineRule="auto"/>
              <w:rPr>
                <w:rFonts w:hint="eastAsia" w:asciiTheme="minorEastAsia" w:hAnsiTheme="minorEastAsia" w:eastAsiaTheme="minorEastAsia" w:cstheme="minorEastAsia"/>
                <w:color w:val="auto"/>
                <w:sz w:val="24"/>
                <w:szCs w:val="24"/>
                <w:highlight w:val="none"/>
              </w:rPr>
            </w:pPr>
          </w:p>
        </w:tc>
        <w:tc>
          <w:tcPr>
            <w:tcW w:w="1049" w:type="dxa"/>
            <w:tcBorders>
              <w:tl2br w:val="nil"/>
              <w:tr2bl w:val="nil"/>
            </w:tcBorders>
            <w:noWrap w:val="0"/>
            <w:vAlign w:val="center"/>
          </w:tcPr>
          <w:p w14:paraId="5046974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tc>
        <w:tc>
          <w:tcPr>
            <w:tcW w:w="1384" w:type="dxa"/>
            <w:gridSpan w:val="2"/>
            <w:tcBorders>
              <w:tl2br w:val="nil"/>
              <w:tr2bl w:val="nil"/>
            </w:tcBorders>
            <w:noWrap w:val="0"/>
            <w:vAlign w:val="top"/>
          </w:tcPr>
          <w:p w14:paraId="625407C4">
            <w:pPr>
              <w:spacing w:line="360" w:lineRule="auto"/>
              <w:rPr>
                <w:rFonts w:hint="eastAsia" w:asciiTheme="minorEastAsia" w:hAnsiTheme="minorEastAsia" w:eastAsiaTheme="minorEastAsia" w:cstheme="minorEastAsia"/>
                <w:color w:val="auto"/>
                <w:sz w:val="24"/>
                <w:szCs w:val="24"/>
                <w:highlight w:val="none"/>
              </w:rPr>
            </w:pPr>
          </w:p>
        </w:tc>
        <w:tc>
          <w:tcPr>
            <w:tcW w:w="1910" w:type="dxa"/>
            <w:gridSpan w:val="2"/>
            <w:tcBorders>
              <w:tl2br w:val="nil"/>
              <w:tr2bl w:val="nil"/>
            </w:tcBorders>
            <w:noWrap w:val="0"/>
            <w:vAlign w:val="center"/>
          </w:tcPr>
          <w:p w14:paraId="68BA387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拟在本合同任职</w:t>
            </w:r>
          </w:p>
        </w:tc>
        <w:tc>
          <w:tcPr>
            <w:tcW w:w="1359" w:type="dxa"/>
            <w:tcBorders>
              <w:tl2br w:val="nil"/>
              <w:tr2bl w:val="nil"/>
            </w:tcBorders>
            <w:noWrap w:val="0"/>
            <w:vAlign w:val="top"/>
          </w:tcPr>
          <w:p w14:paraId="510037B5">
            <w:pPr>
              <w:spacing w:line="360" w:lineRule="auto"/>
              <w:rPr>
                <w:rFonts w:hint="eastAsia" w:asciiTheme="minorEastAsia" w:hAnsiTheme="minorEastAsia" w:eastAsiaTheme="minorEastAsia" w:cstheme="minorEastAsia"/>
                <w:color w:val="auto"/>
                <w:sz w:val="24"/>
                <w:szCs w:val="24"/>
                <w:highlight w:val="none"/>
              </w:rPr>
            </w:pPr>
          </w:p>
        </w:tc>
      </w:tr>
      <w:tr w14:paraId="5FAA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9" w:type="dxa"/>
            <w:gridSpan w:val="2"/>
            <w:tcBorders>
              <w:tl2br w:val="nil"/>
              <w:tr2bl w:val="nil"/>
            </w:tcBorders>
            <w:noWrap w:val="0"/>
            <w:vAlign w:val="center"/>
          </w:tcPr>
          <w:p w14:paraId="2495869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毕业学校</w:t>
            </w:r>
          </w:p>
        </w:tc>
        <w:tc>
          <w:tcPr>
            <w:tcW w:w="7261" w:type="dxa"/>
            <w:gridSpan w:val="7"/>
            <w:tcBorders>
              <w:tl2br w:val="nil"/>
              <w:tr2bl w:val="nil"/>
            </w:tcBorders>
            <w:noWrap w:val="0"/>
            <w:vAlign w:val="center"/>
          </w:tcPr>
          <w:p w14:paraId="364C2346">
            <w:pPr>
              <w:spacing w:line="360" w:lineRule="auto"/>
              <w:ind w:firstLine="600" w:firstLineChars="25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年毕业于学校专业</w:t>
            </w:r>
          </w:p>
        </w:tc>
      </w:tr>
      <w:tr w14:paraId="6E90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820" w:type="dxa"/>
            <w:gridSpan w:val="9"/>
            <w:tcBorders>
              <w:tl2br w:val="nil"/>
              <w:tr2bl w:val="nil"/>
            </w:tcBorders>
            <w:noWrap w:val="0"/>
            <w:vAlign w:val="center"/>
          </w:tcPr>
          <w:p w14:paraId="28BFA27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主要工作经历</w:t>
            </w:r>
          </w:p>
        </w:tc>
      </w:tr>
      <w:tr w14:paraId="4CA7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1" w:type="dxa"/>
            <w:tcBorders>
              <w:tl2br w:val="nil"/>
              <w:tr2bl w:val="nil"/>
            </w:tcBorders>
            <w:noWrap w:val="0"/>
            <w:vAlign w:val="center"/>
          </w:tcPr>
          <w:p w14:paraId="2D1C0A2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p>
        </w:tc>
        <w:tc>
          <w:tcPr>
            <w:tcW w:w="3810" w:type="dxa"/>
            <w:gridSpan w:val="4"/>
            <w:tcBorders>
              <w:tl2br w:val="nil"/>
              <w:tr2bl w:val="nil"/>
            </w:tcBorders>
            <w:noWrap w:val="0"/>
            <w:vAlign w:val="center"/>
          </w:tcPr>
          <w:p w14:paraId="7E2DCF0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参加过的类似项目</w:t>
            </w:r>
          </w:p>
        </w:tc>
        <w:tc>
          <w:tcPr>
            <w:tcW w:w="1629" w:type="dxa"/>
            <w:gridSpan w:val="2"/>
            <w:tcBorders>
              <w:tl2br w:val="nil"/>
              <w:tr2bl w:val="nil"/>
            </w:tcBorders>
            <w:noWrap w:val="0"/>
            <w:vAlign w:val="center"/>
          </w:tcPr>
          <w:p w14:paraId="3421696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担任职务</w:t>
            </w:r>
          </w:p>
        </w:tc>
        <w:tc>
          <w:tcPr>
            <w:tcW w:w="2160" w:type="dxa"/>
            <w:gridSpan w:val="2"/>
            <w:tcBorders>
              <w:tl2br w:val="nil"/>
              <w:tr2bl w:val="nil"/>
            </w:tcBorders>
            <w:noWrap w:val="0"/>
            <w:vAlign w:val="center"/>
          </w:tcPr>
          <w:p w14:paraId="0753D07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委托人及联系电话</w:t>
            </w:r>
          </w:p>
        </w:tc>
      </w:tr>
      <w:tr w14:paraId="1460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1" w:type="dxa"/>
            <w:tcBorders>
              <w:tl2br w:val="nil"/>
              <w:tr2bl w:val="nil"/>
            </w:tcBorders>
            <w:noWrap w:val="0"/>
            <w:vAlign w:val="center"/>
          </w:tcPr>
          <w:p w14:paraId="20C65E57">
            <w:pPr>
              <w:spacing w:line="360" w:lineRule="auto"/>
              <w:jc w:val="center"/>
              <w:rPr>
                <w:rFonts w:hint="eastAsia" w:asciiTheme="minorEastAsia" w:hAnsiTheme="minorEastAsia" w:eastAsiaTheme="minorEastAsia" w:cstheme="minorEastAsia"/>
                <w:color w:val="auto"/>
                <w:sz w:val="24"/>
                <w:szCs w:val="24"/>
                <w:highlight w:val="none"/>
              </w:rPr>
            </w:pPr>
          </w:p>
        </w:tc>
        <w:tc>
          <w:tcPr>
            <w:tcW w:w="3810" w:type="dxa"/>
            <w:gridSpan w:val="4"/>
            <w:tcBorders>
              <w:tl2br w:val="nil"/>
              <w:tr2bl w:val="nil"/>
            </w:tcBorders>
            <w:noWrap w:val="0"/>
            <w:vAlign w:val="center"/>
          </w:tcPr>
          <w:p w14:paraId="408685E2">
            <w:pPr>
              <w:spacing w:line="360" w:lineRule="auto"/>
              <w:jc w:val="center"/>
              <w:rPr>
                <w:rFonts w:hint="eastAsia" w:asciiTheme="minorEastAsia" w:hAnsiTheme="minorEastAsia" w:eastAsiaTheme="minorEastAsia" w:cstheme="minorEastAsia"/>
                <w:color w:val="auto"/>
                <w:sz w:val="24"/>
                <w:szCs w:val="24"/>
                <w:highlight w:val="none"/>
              </w:rPr>
            </w:pPr>
          </w:p>
        </w:tc>
        <w:tc>
          <w:tcPr>
            <w:tcW w:w="1629" w:type="dxa"/>
            <w:gridSpan w:val="2"/>
            <w:tcBorders>
              <w:tl2br w:val="nil"/>
              <w:tr2bl w:val="nil"/>
            </w:tcBorders>
            <w:noWrap w:val="0"/>
            <w:vAlign w:val="center"/>
          </w:tcPr>
          <w:p w14:paraId="76D37347">
            <w:pPr>
              <w:spacing w:line="360" w:lineRule="auto"/>
              <w:jc w:val="center"/>
              <w:rPr>
                <w:rFonts w:hint="eastAsia" w:asciiTheme="minorEastAsia" w:hAnsiTheme="minorEastAsia" w:eastAsiaTheme="minorEastAsia" w:cstheme="minorEastAsia"/>
                <w:color w:val="auto"/>
                <w:sz w:val="24"/>
                <w:szCs w:val="24"/>
                <w:highlight w:val="none"/>
              </w:rPr>
            </w:pPr>
          </w:p>
        </w:tc>
        <w:tc>
          <w:tcPr>
            <w:tcW w:w="2160" w:type="dxa"/>
            <w:gridSpan w:val="2"/>
            <w:tcBorders>
              <w:tl2br w:val="nil"/>
              <w:tr2bl w:val="nil"/>
            </w:tcBorders>
            <w:noWrap w:val="0"/>
            <w:vAlign w:val="center"/>
          </w:tcPr>
          <w:p w14:paraId="37563FF7">
            <w:pPr>
              <w:spacing w:line="360" w:lineRule="auto"/>
              <w:jc w:val="center"/>
              <w:rPr>
                <w:rFonts w:hint="eastAsia" w:asciiTheme="minorEastAsia" w:hAnsiTheme="minorEastAsia" w:eastAsiaTheme="minorEastAsia" w:cstheme="minorEastAsia"/>
                <w:color w:val="auto"/>
                <w:sz w:val="24"/>
                <w:szCs w:val="24"/>
                <w:highlight w:val="none"/>
              </w:rPr>
            </w:pPr>
          </w:p>
        </w:tc>
      </w:tr>
      <w:tr w14:paraId="71B2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1" w:type="dxa"/>
            <w:tcBorders>
              <w:tl2br w:val="nil"/>
              <w:tr2bl w:val="nil"/>
            </w:tcBorders>
            <w:noWrap w:val="0"/>
            <w:vAlign w:val="center"/>
          </w:tcPr>
          <w:p w14:paraId="3BB3CFD4">
            <w:pPr>
              <w:spacing w:line="360" w:lineRule="auto"/>
              <w:jc w:val="center"/>
              <w:rPr>
                <w:rFonts w:hint="eastAsia" w:asciiTheme="minorEastAsia" w:hAnsiTheme="minorEastAsia" w:eastAsiaTheme="minorEastAsia" w:cstheme="minorEastAsia"/>
                <w:color w:val="auto"/>
                <w:sz w:val="24"/>
                <w:szCs w:val="24"/>
                <w:highlight w:val="none"/>
              </w:rPr>
            </w:pPr>
          </w:p>
        </w:tc>
        <w:tc>
          <w:tcPr>
            <w:tcW w:w="3810" w:type="dxa"/>
            <w:gridSpan w:val="4"/>
            <w:tcBorders>
              <w:tl2br w:val="nil"/>
              <w:tr2bl w:val="nil"/>
            </w:tcBorders>
            <w:noWrap w:val="0"/>
            <w:vAlign w:val="center"/>
          </w:tcPr>
          <w:p w14:paraId="301BABA3">
            <w:pPr>
              <w:spacing w:line="360" w:lineRule="auto"/>
              <w:jc w:val="center"/>
              <w:rPr>
                <w:rFonts w:hint="eastAsia" w:asciiTheme="minorEastAsia" w:hAnsiTheme="minorEastAsia" w:eastAsiaTheme="minorEastAsia" w:cstheme="minorEastAsia"/>
                <w:color w:val="auto"/>
                <w:sz w:val="24"/>
                <w:szCs w:val="24"/>
                <w:highlight w:val="none"/>
              </w:rPr>
            </w:pPr>
          </w:p>
        </w:tc>
        <w:tc>
          <w:tcPr>
            <w:tcW w:w="1629" w:type="dxa"/>
            <w:gridSpan w:val="2"/>
            <w:tcBorders>
              <w:tl2br w:val="nil"/>
              <w:tr2bl w:val="nil"/>
            </w:tcBorders>
            <w:noWrap w:val="0"/>
            <w:vAlign w:val="center"/>
          </w:tcPr>
          <w:p w14:paraId="68203926">
            <w:pPr>
              <w:spacing w:line="360" w:lineRule="auto"/>
              <w:jc w:val="center"/>
              <w:rPr>
                <w:rFonts w:hint="eastAsia" w:asciiTheme="minorEastAsia" w:hAnsiTheme="minorEastAsia" w:eastAsiaTheme="minorEastAsia" w:cstheme="minorEastAsia"/>
                <w:color w:val="auto"/>
                <w:sz w:val="24"/>
                <w:szCs w:val="24"/>
                <w:highlight w:val="none"/>
              </w:rPr>
            </w:pPr>
          </w:p>
        </w:tc>
        <w:tc>
          <w:tcPr>
            <w:tcW w:w="2160" w:type="dxa"/>
            <w:gridSpan w:val="2"/>
            <w:tcBorders>
              <w:tl2br w:val="nil"/>
              <w:tr2bl w:val="nil"/>
            </w:tcBorders>
            <w:noWrap w:val="0"/>
            <w:vAlign w:val="center"/>
          </w:tcPr>
          <w:p w14:paraId="49A1B270">
            <w:pPr>
              <w:spacing w:line="360" w:lineRule="auto"/>
              <w:jc w:val="center"/>
              <w:rPr>
                <w:rFonts w:hint="eastAsia" w:asciiTheme="minorEastAsia" w:hAnsiTheme="minorEastAsia" w:eastAsiaTheme="minorEastAsia" w:cstheme="minorEastAsia"/>
                <w:color w:val="auto"/>
                <w:sz w:val="24"/>
                <w:szCs w:val="24"/>
                <w:highlight w:val="none"/>
              </w:rPr>
            </w:pPr>
          </w:p>
        </w:tc>
      </w:tr>
      <w:tr w14:paraId="53E4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1" w:type="dxa"/>
            <w:tcBorders>
              <w:tl2br w:val="nil"/>
              <w:tr2bl w:val="nil"/>
            </w:tcBorders>
            <w:noWrap w:val="0"/>
            <w:vAlign w:val="center"/>
          </w:tcPr>
          <w:p w14:paraId="701445B3">
            <w:pPr>
              <w:spacing w:line="360" w:lineRule="auto"/>
              <w:jc w:val="center"/>
              <w:rPr>
                <w:rFonts w:hint="eastAsia" w:asciiTheme="minorEastAsia" w:hAnsiTheme="minorEastAsia" w:eastAsiaTheme="minorEastAsia" w:cstheme="minorEastAsia"/>
                <w:color w:val="auto"/>
                <w:sz w:val="24"/>
                <w:szCs w:val="24"/>
                <w:highlight w:val="none"/>
              </w:rPr>
            </w:pPr>
          </w:p>
        </w:tc>
        <w:tc>
          <w:tcPr>
            <w:tcW w:w="3810" w:type="dxa"/>
            <w:gridSpan w:val="4"/>
            <w:tcBorders>
              <w:tl2br w:val="nil"/>
              <w:tr2bl w:val="nil"/>
            </w:tcBorders>
            <w:noWrap w:val="0"/>
            <w:vAlign w:val="center"/>
          </w:tcPr>
          <w:p w14:paraId="6EAA5246">
            <w:pPr>
              <w:spacing w:line="360" w:lineRule="auto"/>
              <w:jc w:val="center"/>
              <w:rPr>
                <w:rFonts w:hint="eastAsia" w:asciiTheme="minorEastAsia" w:hAnsiTheme="minorEastAsia" w:eastAsiaTheme="minorEastAsia" w:cstheme="minorEastAsia"/>
                <w:color w:val="auto"/>
                <w:sz w:val="24"/>
                <w:szCs w:val="24"/>
                <w:highlight w:val="none"/>
              </w:rPr>
            </w:pPr>
          </w:p>
        </w:tc>
        <w:tc>
          <w:tcPr>
            <w:tcW w:w="1629" w:type="dxa"/>
            <w:gridSpan w:val="2"/>
            <w:tcBorders>
              <w:tl2br w:val="nil"/>
              <w:tr2bl w:val="nil"/>
            </w:tcBorders>
            <w:noWrap w:val="0"/>
            <w:vAlign w:val="center"/>
          </w:tcPr>
          <w:p w14:paraId="18D0F6C8">
            <w:pPr>
              <w:spacing w:line="360" w:lineRule="auto"/>
              <w:jc w:val="center"/>
              <w:rPr>
                <w:rFonts w:hint="eastAsia" w:asciiTheme="minorEastAsia" w:hAnsiTheme="minorEastAsia" w:eastAsiaTheme="minorEastAsia" w:cstheme="minorEastAsia"/>
                <w:color w:val="auto"/>
                <w:sz w:val="24"/>
                <w:szCs w:val="24"/>
                <w:highlight w:val="none"/>
              </w:rPr>
            </w:pPr>
          </w:p>
        </w:tc>
        <w:tc>
          <w:tcPr>
            <w:tcW w:w="2160" w:type="dxa"/>
            <w:gridSpan w:val="2"/>
            <w:tcBorders>
              <w:tl2br w:val="nil"/>
              <w:tr2bl w:val="nil"/>
            </w:tcBorders>
            <w:noWrap w:val="0"/>
            <w:vAlign w:val="center"/>
          </w:tcPr>
          <w:p w14:paraId="7CB7758A">
            <w:pPr>
              <w:spacing w:line="360" w:lineRule="auto"/>
              <w:jc w:val="center"/>
              <w:rPr>
                <w:rFonts w:hint="eastAsia" w:asciiTheme="minorEastAsia" w:hAnsiTheme="minorEastAsia" w:eastAsiaTheme="minorEastAsia" w:cstheme="minorEastAsia"/>
                <w:color w:val="auto"/>
                <w:sz w:val="24"/>
                <w:szCs w:val="24"/>
                <w:highlight w:val="none"/>
              </w:rPr>
            </w:pPr>
          </w:p>
        </w:tc>
      </w:tr>
      <w:tr w14:paraId="6639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1" w:type="dxa"/>
            <w:tcBorders>
              <w:tl2br w:val="nil"/>
              <w:tr2bl w:val="nil"/>
            </w:tcBorders>
            <w:noWrap w:val="0"/>
            <w:vAlign w:val="center"/>
          </w:tcPr>
          <w:p w14:paraId="4C5FDF8F">
            <w:pPr>
              <w:spacing w:line="360" w:lineRule="auto"/>
              <w:jc w:val="center"/>
              <w:rPr>
                <w:rFonts w:hint="eastAsia" w:asciiTheme="minorEastAsia" w:hAnsiTheme="minorEastAsia" w:eastAsiaTheme="minorEastAsia" w:cstheme="minorEastAsia"/>
                <w:color w:val="auto"/>
                <w:sz w:val="24"/>
                <w:szCs w:val="24"/>
                <w:highlight w:val="none"/>
              </w:rPr>
            </w:pPr>
          </w:p>
        </w:tc>
        <w:tc>
          <w:tcPr>
            <w:tcW w:w="3810" w:type="dxa"/>
            <w:gridSpan w:val="4"/>
            <w:tcBorders>
              <w:tl2br w:val="nil"/>
              <w:tr2bl w:val="nil"/>
            </w:tcBorders>
            <w:noWrap w:val="0"/>
            <w:vAlign w:val="center"/>
          </w:tcPr>
          <w:p w14:paraId="1E2E0DDF">
            <w:pPr>
              <w:spacing w:line="360" w:lineRule="auto"/>
              <w:jc w:val="center"/>
              <w:rPr>
                <w:rFonts w:hint="eastAsia" w:asciiTheme="minorEastAsia" w:hAnsiTheme="minorEastAsia" w:eastAsiaTheme="minorEastAsia" w:cstheme="minorEastAsia"/>
                <w:color w:val="auto"/>
                <w:sz w:val="24"/>
                <w:szCs w:val="24"/>
                <w:highlight w:val="none"/>
              </w:rPr>
            </w:pPr>
          </w:p>
        </w:tc>
        <w:tc>
          <w:tcPr>
            <w:tcW w:w="1629" w:type="dxa"/>
            <w:gridSpan w:val="2"/>
            <w:tcBorders>
              <w:tl2br w:val="nil"/>
              <w:tr2bl w:val="nil"/>
            </w:tcBorders>
            <w:noWrap w:val="0"/>
            <w:vAlign w:val="center"/>
          </w:tcPr>
          <w:p w14:paraId="75969868">
            <w:pPr>
              <w:spacing w:line="360" w:lineRule="auto"/>
              <w:jc w:val="center"/>
              <w:rPr>
                <w:rFonts w:hint="eastAsia" w:asciiTheme="minorEastAsia" w:hAnsiTheme="minorEastAsia" w:eastAsiaTheme="minorEastAsia" w:cstheme="minorEastAsia"/>
                <w:color w:val="auto"/>
                <w:sz w:val="24"/>
                <w:szCs w:val="24"/>
                <w:highlight w:val="none"/>
              </w:rPr>
            </w:pPr>
          </w:p>
        </w:tc>
        <w:tc>
          <w:tcPr>
            <w:tcW w:w="2160" w:type="dxa"/>
            <w:gridSpan w:val="2"/>
            <w:tcBorders>
              <w:tl2br w:val="nil"/>
              <w:tr2bl w:val="nil"/>
            </w:tcBorders>
            <w:noWrap w:val="0"/>
            <w:vAlign w:val="center"/>
          </w:tcPr>
          <w:p w14:paraId="720A879C">
            <w:pPr>
              <w:spacing w:line="360" w:lineRule="auto"/>
              <w:jc w:val="center"/>
              <w:rPr>
                <w:rFonts w:hint="eastAsia" w:asciiTheme="minorEastAsia" w:hAnsiTheme="minorEastAsia" w:eastAsiaTheme="minorEastAsia" w:cstheme="minorEastAsia"/>
                <w:color w:val="auto"/>
                <w:sz w:val="24"/>
                <w:szCs w:val="24"/>
                <w:highlight w:val="none"/>
              </w:rPr>
            </w:pPr>
          </w:p>
        </w:tc>
      </w:tr>
      <w:tr w14:paraId="1BE8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1" w:type="dxa"/>
            <w:tcBorders>
              <w:tl2br w:val="nil"/>
              <w:tr2bl w:val="nil"/>
            </w:tcBorders>
            <w:noWrap w:val="0"/>
            <w:vAlign w:val="center"/>
          </w:tcPr>
          <w:p w14:paraId="2FF3F505">
            <w:pPr>
              <w:spacing w:line="360" w:lineRule="auto"/>
              <w:jc w:val="center"/>
              <w:rPr>
                <w:rFonts w:hint="eastAsia" w:asciiTheme="minorEastAsia" w:hAnsiTheme="minorEastAsia" w:eastAsiaTheme="minorEastAsia" w:cstheme="minorEastAsia"/>
                <w:color w:val="auto"/>
                <w:sz w:val="24"/>
                <w:szCs w:val="24"/>
                <w:highlight w:val="none"/>
              </w:rPr>
            </w:pPr>
          </w:p>
        </w:tc>
        <w:tc>
          <w:tcPr>
            <w:tcW w:w="3810" w:type="dxa"/>
            <w:gridSpan w:val="4"/>
            <w:tcBorders>
              <w:tl2br w:val="nil"/>
              <w:tr2bl w:val="nil"/>
            </w:tcBorders>
            <w:noWrap w:val="0"/>
            <w:vAlign w:val="center"/>
          </w:tcPr>
          <w:p w14:paraId="54CD88B0">
            <w:pPr>
              <w:spacing w:line="360" w:lineRule="auto"/>
              <w:jc w:val="center"/>
              <w:rPr>
                <w:rFonts w:hint="eastAsia" w:asciiTheme="minorEastAsia" w:hAnsiTheme="minorEastAsia" w:eastAsiaTheme="minorEastAsia" w:cstheme="minorEastAsia"/>
                <w:color w:val="auto"/>
                <w:sz w:val="24"/>
                <w:szCs w:val="24"/>
                <w:highlight w:val="none"/>
              </w:rPr>
            </w:pPr>
          </w:p>
        </w:tc>
        <w:tc>
          <w:tcPr>
            <w:tcW w:w="1629" w:type="dxa"/>
            <w:gridSpan w:val="2"/>
            <w:tcBorders>
              <w:tl2br w:val="nil"/>
              <w:tr2bl w:val="nil"/>
            </w:tcBorders>
            <w:noWrap w:val="0"/>
            <w:vAlign w:val="center"/>
          </w:tcPr>
          <w:p w14:paraId="1F951644">
            <w:pPr>
              <w:spacing w:line="360" w:lineRule="auto"/>
              <w:jc w:val="center"/>
              <w:rPr>
                <w:rFonts w:hint="eastAsia" w:asciiTheme="minorEastAsia" w:hAnsiTheme="minorEastAsia" w:eastAsiaTheme="minorEastAsia" w:cstheme="minorEastAsia"/>
                <w:color w:val="auto"/>
                <w:sz w:val="24"/>
                <w:szCs w:val="24"/>
                <w:highlight w:val="none"/>
              </w:rPr>
            </w:pPr>
          </w:p>
        </w:tc>
        <w:tc>
          <w:tcPr>
            <w:tcW w:w="2160" w:type="dxa"/>
            <w:gridSpan w:val="2"/>
            <w:tcBorders>
              <w:tl2br w:val="nil"/>
              <w:tr2bl w:val="nil"/>
            </w:tcBorders>
            <w:noWrap w:val="0"/>
            <w:vAlign w:val="center"/>
          </w:tcPr>
          <w:p w14:paraId="57EA261F">
            <w:pPr>
              <w:spacing w:line="360" w:lineRule="auto"/>
              <w:jc w:val="center"/>
              <w:rPr>
                <w:rFonts w:hint="eastAsia" w:asciiTheme="minorEastAsia" w:hAnsiTheme="minorEastAsia" w:eastAsiaTheme="minorEastAsia" w:cstheme="minorEastAsia"/>
                <w:color w:val="auto"/>
                <w:sz w:val="24"/>
                <w:szCs w:val="24"/>
                <w:highlight w:val="none"/>
              </w:rPr>
            </w:pPr>
          </w:p>
        </w:tc>
      </w:tr>
      <w:tr w14:paraId="7874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1" w:type="dxa"/>
            <w:tcBorders>
              <w:tl2br w:val="nil"/>
              <w:tr2bl w:val="nil"/>
            </w:tcBorders>
            <w:noWrap w:val="0"/>
            <w:vAlign w:val="center"/>
          </w:tcPr>
          <w:p w14:paraId="32BCEE29">
            <w:pPr>
              <w:spacing w:line="360" w:lineRule="auto"/>
              <w:jc w:val="center"/>
              <w:rPr>
                <w:rFonts w:hint="eastAsia" w:asciiTheme="minorEastAsia" w:hAnsiTheme="minorEastAsia" w:eastAsiaTheme="minorEastAsia" w:cstheme="minorEastAsia"/>
                <w:color w:val="auto"/>
                <w:sz w:val="24"/>
                <w:szCs w:val="24"/>
                <w:highlight w:val="none"/>
              </w:rPr>
            </w:pPr>
          </w:p>
        </w:tc>
        <w:tc>
          <w:tcPr>
            <w:tcW w:w="3810" w:type="dxa"/>
            <w:gridSpan w:val="4"/>
            <w:tcBorders>
              <w:tl2br w:val="nil"/>
              <w:tr2bl w:val="nil"/>
            </w:tcBorders>
            <w:noWrap w:val="0"/>
            <w:vAlign w:val="center"/>
          </w:tcPr>
          <w:p w14:paraId="41048727">
            <w:pPr>
              <w:spacing w:line="360" w:lineRule="auto"/>
              <w:jc w:val="center"/>
              <w:rPr>
                <w:rFonts w:hint="eastAsia" w:asciiTheme="minorEastAsia" w:hAnsiTheme="minorEastAsia" w:eastAsiaTheme="minorEastAsia" w:cstheme="minorEastAsia"/>
                <w:color w:val="auto"/>
                <w:sz w:val="24"/>
                <w:szCs w:val="24"/>
                <w:highlight w:val="none"/>
              </w:rPr>
            </w:pPr>
          </w:p>
        </w:tc>
        <w:tc>
          <w:tcPr>
            <w:tcW w:w="1629" w:type="dxa"/>
            <w:gridSpan w:val="2"/>
            <w:tcBorders>
              <w:tl2br w:val="nil"/>
              <w:tr2bl w:val="nil"/>
            </w:tcBorders>
            <w:noWrap w:val="0"/>
            <w:vAlign w:val="center"/>
          </w:tcPr>
          <w:p w14:paraId="0B7CC947">
            <w:pPr>
              <w:spacing w:line="360" w:lineRule="auto"/>
              <w:jc w:val="center"/>
              <w:rPr>
                <w:rFonts w:hint="eastAsia" w:asciiTheme="minorEastAsia" w:hAnsiTheme="minorEastAsia" w:eastAsiaTheme="minorEastAsia" w:cstheme="minorEastAsia"/>
                <w:color w:val="auto"/>
                <w:sz w:val="24"/>
                <w:szCs w:val="24"/>
                <w:highlight w:val="none"/>
              </w:rPr>
            </w:pPr>
          </w:p>
        </w:tc>
        <w:tc>
          <w:tcPr>
            <w:tcW w:w="2160" w:type="dxa"/>
            <w:gridSpan w:val="2"/>
            <w:tcBorders>
              <w:tl2br w:val="nil"/>
              <w:tr2bl w:val="nil"/>
            </w:tcBorders>
            <w:noWrap w:val="0"/>
            <w:vAlign w:val="center"/>
          </w:tcPr>
          <w:p w14:paraId="668C0E7B">
            <w:pPr>
              <w:spacing w:line="360" w:lineRule="auto"/>
              <w:jc w:val="center"/>
              <w:rPr>
                <w:rFonts w:hint="eastAsia" w:asciiTheme="minorEastAsia" w:hAnsiTheme="minorEastAsia" w:eastAsiaTheme="minorEastAsia" w:cstheme="minorEastAsia"/>
                <w:color w:val="auto"/>
                <w:sz w:val="24"/>
                <w:szCs w:val="24"/>
                <w:highlight w:val="none"/>
              </w:rPr>
            </w:pPr>
          </w:p>
        </w:tc>
      </w:tr>
      <w:tr w14:paraId="3B01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1" w:type="dxa"/>
            <w:tcBorders>
              <w:tl2br w:val="nil"/>
              <w:tr2bl w:val="nil"/>
            </w:tcBorders>
            <w:noWrap w:val="0"/>
            <w:vAlign w:val="center"/>
          </w:tcPr>
          <w:p w14:paraId="3FF90B37">
            <w:pPr>
              <w:spacing w:line="360" w:lineRule="auto"/>
              <w:jc w:val="center"/>
              <w:rPr>
                <w:rFonts w:hint="eastAsia" w:asciiTheme="minorEastAsia" w:hAnsiTheme="minorEastAsia" w:eastAsiaTheme="minorEastAsia" w:cstheme="minorEastAsia"/>
                <w:color w:val="auto"/>
                <w:sz w:val="24"/>
                <w:szCs w:val="24"/>
                <w:highlight w:val="none"/>
              </w:rPr>
            </w:pPr>
          </w:p>
        </w:tc>
        <w:tc>
          <w:tcPr>
            <w:tcW w:w="3810" w:type="dxa"/>
            <w:gridSpan w:val="4"/>
            <w:tcBorders>
              <w:tl2br w:val="nil"/>
              <w:tr2bl w:val="nil"/>
            </w:tcBorders>
            <w:noWrap w:val="0"/>
            <w:vAlign w:val="center"/>
          </w:tcPr>
          <w:p w14:paraId="34F08457">
            <w:pPr>
              <w:spacing w:line="360" w:lineRule="auto"/>
              <w:jc w:val="center"/>
              <w:rPr>
                <w:rFonts w:hint="eastAsia" w:asciiTheme="minorEastAsia" w:hAnsiTheme="minorEastAsia" w:eastAsiaTheme="minorEastAsia" w:cstheme="minorEastAsia"/>
                <w:color w:val="auto"/>
                <w:sz w:val="24"/>
                <w:szCs w:val="24"/>
                <w:highlight w:val="none"/>
              </w:rPr>
            </w:pPr>
          </w:p>
        </w:tc>
        <w:tc>
          <w:tcPr>
            <w:tcW w:w="1629" w:type="dxa"/>
            <w:gridSpan w:val="2"/>
            <w:tcBorders>
              <w:tl2br w:val="nil"/>
              <w:tr2bl w:val="nil"/>
            </w:tcBorders>
            <w:noWrap w:val="0"/>
            <w:vAlign w:val="center"/>
          </w:tcPr>
          <w:p w14:paraId="2A0A4D7C">
            <w:pPr>
              <w:spacing w:line="360" w:lineRule="auto"/>
              <w:jc w:val="center"/>
              <w:rPr>
                <w:rFonts w:hint="eastAsia" w:asciiTheme="minorEastAsia" w:hAnsiTheme="minorEastAsia" w:eastAsiaTheme="minorEastAsia" w:cstheme="minorEastAsia"/>
                <w:color w:val="auto"/>
                <w:sz w:val="24"/>
                <w:szCs w:val="24"/>
                <w:highlight w:val="none"/>
              </w:rPr>
            </w:pPr>
          </w:p>
        </w:tc>
        <w:tc>
          <w:tcPr>
            <w:tcW w:w="2160" w:type="dxa"/>
            <w:gridSpan w:val="2"/>
            <w:tcBorders>
              <w:tl2br w:val="nil"/>
              <w:tr2bl w:val="nil"/>
            </w:tcBorders>
            <w:noWrap w:val="0"/>
            <w:vAlign w:val="center"/>
          </w:tcPr>
          <w:p w14:paraId="293093A2">
            <w:pPr>
              <w:spacing w:line="360" w:lineRule="auto"/>
              <w:jc w:val="center"/>
              <w:rPr>
                <w:rFonts w:hint="eastAsia" w:asciiTheme="minorEastAsia" w:hAnsiTheme="minorEastAsia" w:eastAsiaTheme="minorEastAsia" w:cstheme="minorEastAsia"/>
                <w:color w:val="auto"/>
                <w:sz w:val="24"/>
                <w:szCs w:val="24"/>
                <w:highlight w:val="none"/>
              </w:rPr>
            </w:pPr>
          </w:p>
        </w:tc>
      </w:tr>
      <w:tr w14:paraId="274E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1" w:type="dxa"/>
            <w:tcBorders>
              <w:tl2br w:val="nil"/>
              <w:tr2bl w:val="nil"/>
            </w:tcBorders>
            <w:noWrap w:val="0"/>
            <w:vAlign w:val="center"/>
          </w:tcPr>
          <w:p w14:paraId="6EB47210">
            <w:pPr>
              <w:spacing w:line="360" w:lineRule="auto"/>
              <w:jc w:val="center"/>
              <w:rPr>
                <w:rFonts w:hint="eastAsia" w:asciiTheme="minorEastAsia" w:hAnsiTheme="minorEastAsia" w:eastAsiaTheme="minorEastAsia" w:cstheme="minorEastAsia"/>
                <w:color w:val="auto"/>
                <w:sz w:val="24"/>
                <w:szCs w:val="24"/>
                <w:highlight w:val="none"/>
              </w:rPr>
            </w:pPr>
          </w:p>
        </w:tc>
        <w:tc>
          <w:tcPr>
            <w:tcW w:w="3810" w:type="dxa"/>
            <w:gridSpan w:val="4"/>
            <w:tcBorders>
              <w:tl2br w:val="nil"/>
              <w:tr2bl w:val="nil"/>
            </w:tcBorders>
            <w:noWrap w:val="0"/>
            <w:vAlign w:val="center"/>
          </w:tcPr>
          <w:p w14:paraId="2D78CE8B">
            <w:pPr>
              <w:spacing w:line="360" w:lineRule="auto"/>
              <w:jc w:val="center"/>
              <w:rPr>
                <w:rFonts w:hint="eastAsia" w:asciiTheme="minorEastAsia" w:hAnsiTheme="minorEastAsia" w:eastAsiaTheme="minorEastAsia" w:cstheme="minorEastAsia"/>
                <w:color w:val="auto"/>
                <w:sz w:val="24"/>
                <w:szCs w:val="24"/>
                <w:highlight w:val="none"/>
              </w:rPr>
            </w:pPr>
          </w:p>
        </w:tc>
        <w:tc>
          <w:tcPr>
            <w:tcW w:w="1629" w:type="dxa"/>
            <w:gridSpan w:val="2"/>
            <w:tcBorders>
              <w:tl2br w:val="nil"/>
              <w:tr2bl w:val="nil"/>
            </w:tcBorders>
            <w:noWrap w:val="0"/>
            <w:vAlign w:val="center"/>
          </w:tcPr>
          <w:p w14:paraId="4C206B38">
            <w:pPr>
              <w:spacing w:line="360" w:lineRule="auto"/>
              <w:jc w:val="center"/>
              <w:rPr>
                <w:rFonts w:hint="eastAsia" w:asciiTheme="minorEastAsia" w:hAnsiTheme="minorEastAsia" w:eastAsiaTheme="minorEastAsia" w:cstheme="minorEastAsia"/>
                <w:color w:val="auto"/>
                <w:sz w:val="24"/>
                <w:szCs w:val="24"/>
                <w:highlight w:val="none"/>
              </w:rPr>
            </w:pPr>
          </w:p>
        </w:tc>
        <w:tc>
          <w:tcPr>
            <w:tcW w:w="2160" w:type="dxa"/>
            <w:gridSpan w:val="2"/>
            <w:tcBorders>
              <w:tl2br w:val="nil"/>
              <w:tr2bl w:val="nil"/>
            </w:tcBorders>
            <w:noWrap w:val="0"/>
            <w:vAlign w:val="center"/>
          </w:tcPr>
          <w:p w14:paraId="33522764">
            <w:pPr>
              <w:spacing w:line="360" w:lineRule="auto"/>
              <w:jc w:val="center"/>
              <w:rPr>
                <w:rFonts w:hint="eastAsia" w:asciiTheme="minorEastAsia" w:hAnsiTheme="minorEastAsia" w:eastAsiaTheme="minorEastAsia" w:cstheme="minorEastAsia"/>
                <w:color w:val="auto"/>
                <w:sz w:val="24"/>
                <w:szCs w:val="24"/>
                <w:highlight w:val="none"/>
              </w:rPr>
            </w:pPr>
          </w:p>
        </w:tc>
      </w:tr>
      <w:tr w14:paraId="444A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1" w:type="dxa"/>
            <w:tcBorders>
              <w:tl2br w:val="nil"/>
              <w:tr2bl w:val="nil"/>
            </w:tcBorders>
            <w:noWrap w:val="0"/>
            <w:vAlign w:val="center"/>
          </w:tcPr>
          <w:p w14:paraId="0419F2B3">
            <w:pPr>
              <w:spacing w:line="360" w:lineRule="auto"/>
              <w:jc w:val="center"/>
              <w:rPr>
                <w:rFonts w:hint="eastAsia" w:asciiTheme="minorEastAsia" w:hAnsiTheme="minorEastAsia" w:eastAsiaTheme="minorEastAsia" w:cstheme="minorEastAsia"/>
                <w:color w:val="auto"/>
                <w:sz w:val="24"/>
                <w:szCs w:val="24"/>
                <w:highlight w:val="none"/>
              </w:rPr>
            </w:pPr>
          </w:p>
        </w:tc>
        <w:tc>
          <w:tcPr>
            <w:tcW w:w="3810" w:type="dxa"/>
            <w:gridSpan w:val="4"/>
            <w:tcBorders>
              <w:tl2br w:val="nil"/>
              <w:tr2bl w:val="nil"/>
            </w:tcBorders>
            <w:noWrap w:val="0"/>
            <w:vAlign w:val="center"/>
          </w:tcPr>
          <w:p w14:paraId="1FA98A6D">
            <w:pPr>
              <w:spacing w:line="360" w:lineRule="auto"/>
              <w:jc w:val="center"/>
              <w:rPr>
                <w:rFonts w:hint="eastAsia" w:asciiTheme="minorEastAsia" w:hAnsiTheme="minorEastAsia" w:eastAsiaTheme="minorEastAsia" w:cstheme="minorEastAsia"/>
                <w:color w:val="auto"/>
                <w:sz w:val="24"/>
                <w:szCs w:val="24"/>
                <w:highlight w:val="none"/>
              </w:rPr>
            </w:pPr>
          </w:p>
        </w:tc>
        <w:tc>
          <w:tcPr>
            <w:tcW w:w="1629" w:type="dxa"/>
            <w:gridSpan w:val="2"/>
            <w:tcBorders>
              <w:tl2br w:val="nil"/>
              <w:tr2bl w:val="nil"/>
            </w:tcBorders>
            <w:noWrap w:val="0"/>
            <w:vAlign w:val="center"/>
          </w:tcPr>
          <w:p w14:paraId="363D6C7E">
            <w:pPr>
              <w:spacing w:line="360" w:lineRule="auto"/>
              <w:jc w:val="center"/>
              <w:rPr>
                <w:rFonts w:hint="eastAsia" w:asciiTheme="minorEastAsia" w:hAnsiTheme="minorEastAsia" w:eastAsiaTheme="minorEastAsia" w:cstheme="minorEastAsia"/>
                <w:color w:val="auto"/>
                <w:sz w:val="24"/>
                <w:szCs w:val="24"/>
                <w:highlight w:val="none"/>
              </w:rPr>
            </w:pPr>
          </w:p>
        </w:tc>
        <w:tc>
          <w:tcPr>
            <w:tcW w:w="2160" w:type="dxa"/>
            <w:gridSpan w:val="2"/>
            <w:tcBorders>
              <w:tl2br w:val="nil"/>
              <w:tr2bl w:val="nil"/>
            </w:tcBorders>
            <w:noWrap w:val="0"/>
            <w:vAlign w:val="center"/>
          </w:tcPr>
          <w:p w14:paraId="0CFF8CF9">
            <w:pPr>
              <w:spacing w:line="360" w:lineRule="auto"/>
              <w:jc w:val="center"/>
              <w:rPr>
                <w:rFonts w:hint="eastAsia" w:asciiTheme="minorEastAsia" w:hAnsiTheme="minorEastAsia" w:eastAsiaTheme="minorEastAsia" w:cstheme="minorEastAsia"/>
                <w:color w:val="auto"/>
                <w:sz w:val="24"/>
                <w:szCs w:val="24"/>
                <w:highlight w:val="none"/>
              </w:rPr>
            </w:pPr>
          </w:p>
        </w:tc>
      </w:tr>
    </w:tbl>
    <w:p w14:paraId="463D9187">
      <w:pPr>
        <w:pStyle w:val="6"/>
        <w:spacing w:before="91" w:line="344" w:lineRule="auto"/>
        <w:ind w:left="0" w:leftChars="0" w:firstLine="480" w:firstLineChars="200"/>
        <w:rPr>
          <w:rFonts w:hint="eastAsia" w:asciiTheme="minorEastAsia" w:hAnsiTheme="minorEastAsia" w:eastAsiaTheme="minorEastAsia" w:cstheme="minorEastAsia"/>
          <w:color w:val="auto"/>
          <w:sz w:val="24"/>
          <w:szCs w:val="24"/>
          <w:highlight w:val="none"/>
        </w:rPr>
      </w:pPr>
      <w:bookmarkStart w:id="670" w:name="_Toc432068923"/>
      <w:bookmarkEnd w:id="670"/>
      <w:bookmarkStart w:id="671" w:name="_Toc380592873"/>
      <w:bookmarkEnd w:id="671"/>
      <w:bookmarkStart w:id="672" w:name="_Toc184635147"/>
      <w:bookmarkEnd w:id="672"/>
    </w:p>
    <w:p w14:paraId="44D3D742">
      <w:pPr>
        <w:pStyle w:val="6"/>
        <w:spacing w:before="91" w:line="344"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主要人员简历表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中的项目</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技术</w:t>
      </w:r>
      <w:r>
        <w:rPr>
          <w:rFonts w:hint="eastAsia" w:asciiTheme="minorEastAsia" w:hAnsiTheme="minorEastAsia" w:eastAsiaTheme="minorEastAsia" w:cstheme="minorEastAsia"/>
          <w:color w:val="auto"/>
          <w:spacing w:val="-1"/>
          <w:sz w:val="24"/>
          <w:szCs w:val="24"/>
          <w:highlight w:val="none"/>
        </w:rPr>
        <w:t>负责人</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管理人员</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rPr>
        <w:t>其他主要人员</w:t>
      </w:r>
      <w:r>
        <w:rPr>
          <w:rFonts w:hint="eastAsia" w:asciiTheme="minorEastAsia" w:hAnsiTheme="minorEastAsia" w:eastAsiaTheme="minorEastAsia" w:cstheme="minorEastAsia"/>
          <w:color w:val="auto"/>
          <w:sz w:val="24"/>
          <w:szCs w:val="24"/>
          <w:highlight w:val="none"/>
          <w:lang w:val="en-US" w:eastAsia="zh-CN"/>
        </w:rPr>
        <w:t>相关证书</w:t>
      </w:r>
      <w:r>
        <w:rPr>
          <w:rFonts w:hint="eastAsia" w:asciiTheme="minorEastAsia" w:hAnsiTheme="minorEastAsia" w:eastAsiaTheme="minorEastAsia" w:cstheme="minorEastAsia"/>
          <w:color w:val="auto"/>
          <w:sz w:val="24"/>
          <w:szCs w:val="24"/>
          <w:highlight w:val="none"/>
        </w:rPr>
        <w:t>扫描件。</w:t>
      </w:r>
    </w:p>
    <w:p w14:paraId="4CFB013C">
      <w:pPr>
        <w:rPr>
          <w:rFonts w:hint="eastAsia" w:asciiTheme="minorEastAsia" w:hAnsiTheme="minorEastAsia" w:eastAsiaTheme="minorEastAsia" w:cstheme="minorEastAsia"/>
          <w:b/>
          <w:bCs/>
          <w:color w:val="auto"/>
          <w:sz w:val="24"/>
          <w:highlight w:val="none"/>
        </w:rPr>
      </w:pPr>
    </w:p>
    <w:p w14:paraId="39E7DEFC">
      <w:pP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br w:type="page"/>
      </w:r>
    </w:p>
    <w:p w14:paraId="62CF58AE">
      <w:pPr>
        <w:spacing w:line="540" w:lineRule="exact"/>
        <w:jc w:val="center"/>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28"/>
          <w:highlight w:val="none"/>
          <w:lang w:val="en-US" w:eastAsia="zh-CN"/>
        </w:rPr>
        <w:t>十</w:t>
      </w:r>
      <w:r>
        <w:rPr>
          <w:rFonts w:hint="eastAsia" w:asciiTheme="minorEastAsia" w:hAnsiTheme="minorEastAsia" w:eastAsiaTheme="minorEastAsia" w:cstheme="minorEastAsia"/>
          <w:b/>
          <w:bCs/>
          <w:color w:val="auto"/>
          <w:sz w:val="32"/>
          <w:szCs w:val="32"/>
          <w:highlight w:val="none"/>
          <w:lang w:eastAsia="zh-CN"/>
        </w:rPr>
        <w:t>、</w:t>
      </w:r>
      <w:r>
        <w:rPr>
          <w:rFonts w:hint="eastAsia" w:asciiTheme="minorEastAsia" w:hAnsiTheme="minorEastAsia" w:eastAsiaTheme="minorEastAsia" w:cstheme="minorEastAsia"/>
          <w:b/>
          <w:bCs/>
          <w:color w:val="auto"/>
          <w:sz w:val="32"/>
          <w:szCs w:val="32"/>
          <w:highlight w:val="none"/>
          <w:lang w:val="en-US" w:eastAsia="zh-CN"/>
        </w:rPr>
        <w:t>技术部分</w:t>
      </w:r>
    </w:p>
    <w:p w14:paraId="083A2D99">
      <w:pPr>
        <w:spacing w:line="540" w:lineRule="exact"/>
        <w:jc w:val="center"/>
        <w:rPr>
          <w:rFonts w:hint="eastAsia" w:asciiTheme="minorEastAsia" w:hAnsiTheme="minorEastAsia" w:eastAsiaTheme="minorEastAsia" w:cstheme="minorEastAsia"/>
          <w:b/>
          <w:bCs/>
          <w:color w:val="auto"/>
          <w:sz w:val="32"/>
          <w:szCs w:val="32"/>
          <w:highlight w:val="none"/>
          <w:lang w:val="en-US" w:eastAsia="zh-CN"/>
        </w:rPr>
      </w:pPr>
    </w:p>
    <w:p w14:paraId="68B57E94">
      <w:pPr>
        <w:spacing w:line="540" w:lineRule="exact"/>
        <w:jc w:val="center"/>
        <w:rPr>
          <w:rFonts w:hint="eastAsia" w:asciiTheme="minorEastAsia" w:hAnsiTheme="minorEastAsia" w:eastAsiaTheme="minorEastAsia" w:cstheme="minorEastAsia"/>
          <w:b/>
          <w:bCs/>
          <w:color w:val="auto"/>
          <w:sz w:val="32"/>
          <w:szCs w:val="32"/>
          <w:highlight w:val="none"/>
          <w:lang w:val="en-US" w:eastAsia="zh-CN"/>
        </w:rPr>
      </w:pPr>
    </w:p>
    <w:p w14:paraId="685C34F3">
      <w:pPr>
        <w:spacing w:line="540" w:lineRule="exact"/>
        <w:jc w:val="center"/>
        <w:rPr>
          <w:rFonts w:hint="eastAsia" w:asciiTheme="minorEastAsia" w:hAnsiTheme="minorEastAsia" w:eastAsiaTheme="minorEastAsia" w:cstheme="minorEastAsia"/>
          <w:b/>
          <w:bCs/>
          <w:color w:val="auto"/>
          <w:sz w:val="32"/>
          <w:szCs w:val="32"/>
          <w:highlight w:val="none"/>
          <w:lang w:val="en-US" w:eastAsia="zh-CN"/>
        </w:rPr>
      </w:pPr>
    </w:p>
    <w:p w14:paraId="634714D7">
      <w:pPr>
        <w:spacing w:line="540" w:lineRule="exact"/>
        <w:jc w:val="center"/>
        <w:rPr>
          <w:rFonts w:hint="eastAsia" w:asciiTheme="minorEastAsia" w:hAnsiTheme="minorEastAsia" w:eastAsiaTheme="minorEastAsia" w:cstheme="minorEastAsia"/>
          <w:b/>
          <w:bCs/>
          <w:color w:val="auto"/>
          <w:sz w:val="32"/>
          <w:szCs w:val="32"/>
          <w:highlight w:val="none"/>
          <w:lang w:val="en-US" w:eastAsia="zh-CN"/>
        </w:rPr>
      </w:pPr>
    </w:p>
    <w:p w14:paraId="6FA16AC6">
      <w:pPr>
        <w:spacing w:line="540" w:lineRule="exact"/>
        <w:jc w:val="center"/>
        <w:rPr>
          <w:rFonts w:hint="eastAsia" w:asciiTheme="minorEastAsia" w:hAnsiTheme="minorEastAsia" w:eastAsiaTheme="minorEastAsia" w:cstheme="minorEastAsia"/>
          <w:b/>
          <w:bCs/>
          <w:color w:val="auto"/>
          <w:sz w:val="32"/>
          <w:szCs w:val="32"/>
          <w:highlight w:val="none"/>
          <w:lang w:val="en-US" w:eastAsia="zh-CN"/>
        </w:rPr>
      </w:pPr>
    </w:p>
    <w:p w14:paraId="4DB80B7A">
      <w:pP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br w:type="page"/>
      </w:r>
    </w:p>
    <w:p w14:paraId="045297E8">
      <w:pPr>
        <w:spacing w:line="540" w:lineRule="exact"/>
        <w:jc w:val="center"/>
        <w:rPr>
          <w:rFonts w:hint="default" w:asciiTheme="minorEastAsia" w:hAnsiTheme="minorEastAsia" w:eastAsiaTheme="minorEastAsia" w:cstheme="minorEastAsia"/>
          <w:b/>
          <w:bCs/>
          <w:color w:val="auto"/>
          <w:sz w:val="32"/>
          <w:szCs w:val="32"/>
          <w:highlight w:val="none"/>
          <w:lang w:val="en-US" w:eastAsia="zh-CN"/>
        </w:rPr>
        <w:sectPr>
          <w:pgSz w:w="11906" w:h="16838"/>
          <w:pgMar w:top="1440" w:right="1701" w:bottom="1440" w:left="1701" w:header="851" w:footer="992" w:gutter="0"/>
          <w:pgNumType w:fmt="decimal"/>
          <w:cols w:space="720" w:num="1"/>
          <w:docGrid w:type="lines" w:linePitch="312" w:charSpace="0"/>
        </w:sectPr>
      </w:pPr>
      <w:r>
        <w:rPr>
          <w:rFonts w:hint="eastAsia" w:asciiTheme="minorEastAsia" w:hAnsiTheme="minorEastAsia" w:eastAsiaTheme="minorEastAsia" w:cstheme="minorEastAsia"/>
          <w:b/>
          <w:bCs/>
          <w:color w:val="auto"/>
          <w:sz w:val="32"/>
          <w:szCs w:val="28"/>
          <w:highlight w:val="none"/>
        </w:rPr>
        <w:t>十</w:t>
      </w:r>
      <w:r>
        <w:rPr>
          <w:rFonts w:hint="eastAsia" w:asciiTheme="minorEastAsia" w:hAnsiTheme="minorEastAsia" w:eastAsiaTheme="minorEastAsia" w:cstheme="minorEastAsia"/>
          <w:b/>
          <w:bCs/>
          <w:color w:val="auto"/>
          <w:sz w:val="32"/>
          <w:szCs w:val="28"/>
          <w:highlight w:val="none"/>
          <w:lang w:val="en-US" w:eastAsia="zh-CN"/>
        </w:rPr>
        <w:t>一</w:t>
      </w:r>
      <w:r>
        <w:rPr>
          <w:rFonts w:hint="eastAsia" w:asciiTheme="minorEastAsia" w:hAnsiTheme="minorEastAsia" w:eastAsiaTheme="minorEastAsia" w:cstheme="minorEastAsia"/>
          <w:b/>
          <w:bCs/>
          <w:color w:val="auto"/>
          <w:sz w:val="32"/>
          <w:szCs w:val="32"/>
          <w:highlight w:val="none"/>
          <w:lang w:val="en-US" w:eastAsia="zh-CN"/>
        </w:rPr>
        <w:t>、综合部分</w:t>
      </w:r>
    </w:p>
    <w:p w14:paraId="3717E17F">
      <w:pPr>
        <w:spacing w:line="480" w:lineRule="exact"/>
        <w:ind w:left="643" w:hanging="643" w:hangingChars="200"/>
        <w:jc w:val="center"/>
        <w:rPr>
          <w:rFonts w:hint="eastAsia" w:asciiTheme="minorEastAsia" w:hAnsiTheme="minorEastAsia" w:eastAsiaTheme="minorEastAsia" w:cstheme="minorEastAsia"/>
          <w:b/>
          <w:bCs/>
          <w:color w:val="auto"/>
          <w:sz w:val="32"/>
          <w:szCs w:val="28"/>
          <w:highlight w:val="none"/>
        </w:rPr>
      </w:pPr>
      <w:r>
        <w:rPr>
          <w:rFonts w:hint="eastAsia" w:asciiTheme="minorEastAsia" w:hAnsiTheme="minorEastAsia" w:eastAsiaTheme="minorEastAsia" w:cstheme="minorEastAsia"/>
          <w:b/>
          <w:bCs/>
          <w:color w:val="auto"/>
          <w:sz w:val="32"/>
          <w:szCs w:val="28"/>
          <w:highlight w:val="none"/>
        </w:rPr>
        <w:t>十</w:t>
      </w:r>
      <w:r>
        <w:rPr>
          <w:rFonts w:hint="eastAsia" w:asciiTheme="minorEastAsia" w:hAnsiTheme="minorEastAsia" w:eastAsiaTheme="minorEastAsia" w:cstheme="minorEastAsia"/>
          <w:b/>
          <w:bCs/>
          <w:color w:val="auto"/>
          <w:sz w:val="32"/>
          <w:szCs w:val="28"/>
          <w:highlight w:val="none"/>
          <w:lang w:val="en-US" w:eastAsia="zh-CN"/>
        </w:rPr>
        <w:t>二</w:t>
      </w:r>
      <w:r>
        <w:rPr>
          <w:rFonts w:hint="eastAsia" w:asciiTheme="minorEastAsia" w:hAnsiTheme="minorEastAsia" w:eastAsiaTheme="minorEastAsia" w:cstheme="minorEastAsia"/>
          <w:b/>
          <w:bCs/>
          <w:color w:val="auto"/>
          <w:sz w:val="32"/>
          <w:szCs w:val="28"/>
          <w:highlight w:val="none"/>
        </w:rPr>
        <w:t>、资格审查资料</w:t>
      </w:r>
    </w:p>
    <w:p w14:paraId="5619B2D2">
      <w:pPr>
        <w:spacing w:line="480" w:lineRule="exact"/>
        <w:jc w:val="center"/>
        <w:rPr>
          <w:rFonts w:hint="eastAsia" w:asciiTheme="minorEastAsia" w:hAnsiTheme="minorEastAsia" w:eastAsiaTheme="minorEastAsia" w:cstheme="minorEastAsia"/>
          <w:b/>
          <w:bCs/>
          <w:color w:val="auto"/>
          <w:sz w:val="28"/>
          <w:szCs w:val="30"/>
          <w:highlight w:val="none"/>
        </w:rPr>
      </w:pPr>
      <w:r>
        <w:rPr>
          <w:rFonts w:hint="eastAsia" w:asciiTheme="minorEastAsia" w:hAnsiTheme="minorEastAsia" w:eastAsiaTheme="minorEastAsia" w:cstheme="minorEastAsia"/>
          <w:b/>
          <w:bCs/>
          <w:color w:val="auto"/>
          <w:sz w:val="28"/>
          <w:szCs w:val="30"/>
          <w:highlight w:val="none"/>
          <w:lang w:eastAsia="zh-CN"/>
        </w:rPr>
        <w:t>（</w:t>
      </w:r>
      <w:r>
        <w:rPr>
          <w:rFonts w:hint="eastAsia" w:asciiTheme="minorEastAsia" w:hAnsiTheme="minorEastAsia" w:eastAsiaTheme="minorEastAsia" w:cstheme="minorEastAsia"/>
          <w:b/>
          <w:bCs/>
          <w:color w:val="auto"/>
          <w:sz w:val="28"/>
          <w:szCs w:val="30"/>
          <w:highlight w:val="none"/>
        </w:rPr>
        <w:t>一）供应商基本情况表</w:t>
      </w:r>
    </w:p>
    <w:tbl>
      <w:tblPr>
        <w:tblStyle w:val="2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1276"/>
        <w:gridCol w:w="195"/>
        <w:gridCol w:w="1246"/>
        <w:gridCol w:w="260"/>
        <w:gridCol w:w="709"/>
        <w:gridCol w:w="1416"/>
      </w:tblGrid>
      <w:tr w14:paraId="480A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B11DAB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tc>
        <w:tc>
          <w:tcPr>
            <w:tcW w:w="7020" w:type="dxa"/>
            <w:gridSpan w:val="8"/>
            <w:vAlign w:val="center"/>
          </w:tcPr>
          <w:p w14:paraId="625E0C7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r w14:paraId="0C1B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B4D3BC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注册地址</w:t>
            </w:r>
          </w:p>
        </w:tc>
        <w:tc>
          <w:tcPr>
            <w:tcW w:w="3389" w:type="dxa"/>
            <w:gridSpan w:val="4"/>
            <w:vAlign w:val="center"/>
          </w:tcPr>
          <w:p w14:paraId="502050E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c>
          <w:tcPr>
            <w:tcW w:w="1246" w:type="dxa"/>
            <w:vAlign w:val="center"/>
          </w:tcPr>
          <w:p w14:paraId="22A1723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w:t>
            </w:r>
          </w:p>
        </w:tc>
        <w:tc>
          <w:tcPr>
            <w:tcW w:w="2385" w:type="dxa"/>
            <w:gridSpan w:val="3"/>
            <w:vAlign w:val="center"/>
          </w:tcPr>
          <w:p w14:paraId="3D523CE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r w14:paraId="2C61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7E93AB4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联系方式</w:t>
            </w:r>
          </w:p>
        </w:tc>
        <w:tc>
          <w:tcPr>
            <w:tcW w:w="897" w:type="dxa"/>
            <w:vAlign w:val="center"/>
          </w:tcPr>
          <w:p w14:paraId="45322F5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w:t>
            </w:r>
          </w:p>
        </w:tc>
        <w:tc>
          <w:tcPr>
            <w:tcW w:w="2492" w:type="dxa"/>
            <w:gridSpan w:val="3"/>
            <w:vAlign w:val="center"/>
          </w:tcPr>
          <w:p w14:paraId="34B904E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c>
          <w:tcPr>
            <w:tcW w:w="1246" w:type="dxa"/>
            <w:vAlign w:val="center"/>
          </w:tcPr>
          <w:p w14:paraId="00B7C2D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w:t>
            </w:r>
          </w:p>
        </w:tc>
        <w:tc>
          <w:tcPr>
            <w:tcW w:w="2385" w:type="dxa"/>
            <w:gridSpan w:val="3"/>
            <w:vAlign w:val="center"/>
          </w:tcPr>
          <w:p w14:paraId="22E8124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r w14:paraId="4462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6700A98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c>
          <w:tcPr>
            <w:tcW w:w="897" w:type="dxa"/>
            <w:vAlign w:val="center"/>
          </w:tcPr>
          <w:p w14:paraId="08BCF17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传真</w:t>
            </w:r>
          </w:p>
        </w:tc>
        <w:tc>
          <w:tcPr>
            <w:tcW w:w="2492" w:type="dxa"/>
            <w:gridSpan w:val="3"/>
            <w:vAlign w:val="center"/>
          </w:tcPr>
          <w:p w14:paraId="6D414C6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c>
          <w:tcPr>
            <w:tcW w:w="1246" w:type="dxa"/>
            <w:vAlign w:val="center"/>
          </w:tcPr>
          <w:p w14:paraId="1B1E33A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网址</w:t>
            </w:r>
          </w:p>
        </w:tc>
        <w:tc>
          <w:tcPr>
            <w:tcW w:w="2385" w:type="dxa"/>
            <w:gridSpan w:val="3"/>
            <w:vAlign w:val="center"/>
          </w:tcPr>
          <w:p w14:paraId="3B26D1A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r w14:paraId="5980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BA4EE1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组织结构</w:t>
            </w:r>
          </w:p>
        </w:tc>
        <w:tc>
          <w:tcPr>
            <w:tcW w:w="7020" w:type="dxa"/>
            <w:gridSpan w:val="8"/>
            <w:vAlign w:val="center"/>
          </w:tcPr>
          <w:p w14:paraId="50E4AD1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r w14:paraId="3159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99790C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p>
        </w:tc>
        <w:tc>
          <w:tcPr>
            <w:tcW w:w="897" w:type="dxa"/>
            <w:vAlign w:val="center"/>
          </w:tcPr>
          <w:p w14:paraId="118B0B9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1021" w:type="dxa"/>
            <w:vAlign w:val="center"/>
          </w:tcPr>
          <w:p w14:paraId="30AB6EA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c>
          <w:tcPr>
            <w:tcW w:w="1276" w:type="dxa"/>
            <w:vAlign w:val="center"/>
          </w:tcPr>
          <w:p w14:paraId="3FC60BB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技术职称</w:t>
            </w:r>
          </w:p>
        </w:tc>
        <w:tc>
          <w:tcPr>
            <w:tcW w:w="1701" w:type="dxa"/>
            <w:gridSpan w:val="3"/>
            <w:vAlign w:val="center"/>
          </w:tcPr>
          <w:p w14:paraId="4C70FA1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c>
          <w:tcPr>
            <w:tcW w:w="709" w:type="dxa"/>
            <w:vAlign w:val="center"/>
          </w:tcPr>
          <w:p w14:paraId="4F19F73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w:t>
            </w:r>
          </w:p>
        </w:tc>
        <w:tc>
          <w:tcPr>
            <w:tcW w:w="1416" w:type="dxa"/>
            <w:vAlign w:val="center"/>
          </w:tcPr>
          <w:p w14:paraId="3B5CFE5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r w14:paraId="7B2F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8A8281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成立时间</w:t>
            </w:r>
          </w:p>
        </w:tc>
        <w:tc>
          <w:tcPr>
            <w:tcW w:w="1918" w:type="dxa"/>
            <w:gridSpan w:val="2"/>
            <w:vAlign w:val="center"/>
          </w:tcPr>
          <w:p w14:paraId="31BB092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c>
          <w:tcPr>
            <w:tcW w:w="5102" w:type="dxa"/>
            <w:gridSpan w:val="6"/>
            <w:vAlign w:val="center"/>
          </w:tcPr>
          <w:p w14:paraId="12A964B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员工总人数：</w:t>
            </w:r>
          </w:p>
        </w:tc>
      </w:tr>
      <w:tr w14:paraId="2A7F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0BD499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营业执照号</w:t>
            </w:r>
          </w:p>
        </w:tc>
        <w:tc>
          <w:tcPr>
            <w:tcW w:w="7020" w:type="dxa"/>
            <w:gridSpan w:val="8"/>
            <w:vAlign w:val="center"/>
          </w:tcPr>
          <w:p w14:paraId="30FC2AE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r w14:paraId="29F4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C51AFF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注册资金</w:t>
            </w:r>
          </w:p>
        </w:tc>
        <w:tc>
          <w:tcPr>
            <w:tcW w:w="7020" w:type="dxa"/>
            <w:gridSpan w:val="8"/>
            <w:vAlign w:val="center"/>
          </w:tcPr>
          <w:p w14:paraId="26476C8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r w14:paraId="2E83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A14B3B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w:t>
            </w:r>
          </w:p>
        </w:tc>
        <w:tc>
          <w:tcPr>
            <w:tcW w:w="7020" w:type="dxa"/>
            <w:gridSpan w:val="8"/>
            <w:vAlign w:val="center"/>
          </w:tcPr>
          <w:p w14:paraId="734AF64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r w14:paraId="0084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77F81D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w:t>
            </w:r>
          </w:p>
        </w:tc>
        <w:tc>
          <w:tcPr>
            <w:tcW w:w="7020" w:type="dxa"/>
            <w:gridSpan w:val="8"/>
            <w:vAlign w:val="center"/>
          </w:tcPr>
          <w:p w14:paraId="71A7BE6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r w14:paraId="2266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172605F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经营范围</w:t>
            </w:r>
          </w:p>
        </w:tc>
        <w:tc>
          <w:tcPr>
            <w:tcW w:w="7020" w:type="dxa"/>
            <w:gridSpan w:val="8"/>
            <w:vAlign w:val="center"/>
          </w:tcPr>
          <w:p w14:paraId="358F794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r w14:paraId="73E2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8733FE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c>
          <w:tcPr>
            <w:tcW w:w="7020" w:type="dxa"/>
            <w:gridSpan w:val="8"/>
            <w:vAlign w:val="center"/>
          </w:tcPr>
          <w:p w14:paraId="3448F10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color w:val="auto"/>
                <w:highlight w:val="none"/>
              </w:rPr>
            </w:pPr>
          </w:p>
        </w:tc>
      </w:tr>
    </w:tbl>
    <w:p w14:paraId="482052F6">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highlight w:val="none"/>
        </w:rPr>
      </w:pPr>
    </w:p>
    <w:p w14:paraId="7A8E9DC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注：</w:t>
      </w:r>
      <w:r>
        <w:rPr>
          <w:rFonts w:hint="eastAsia" w:asciiTheme="minorEastAsia" w:hAnsiTheme="minorEastAsia" w:eastAsiaTheme="minorEastAsia" w:cstheme="minorEastAsia"/>
          <w:b/>
          <w:bCs/>
          <w:color w:val="auto"/>
          <w:highlight w:val="none"/>
          <w:lang w:val="en-US" w:eastAsia="zh-CN"/>
        </w:rPr>
        <w:t>1.</w:t>
      </w:r>
      <w:r>
        <w:rPr>
          <w:rFonts w:hint="eastAsia" w:asciiTheme="minorEastAsia" w:hAnsiTheme="minorEastAsia" w:eastAsiaTheme="minorEastAsia" w:cstheme="minorEastAsia"/>
          <w:b/>
          <w:bCs/>
          <w:color w:val="auto"/>
          <w:highlight w:val="none"/>
        </w:rPr>
        <w:t>后附资格证明相关资料</w:t>
      </w:r>
      <w:r>
        <w:rPr>
          <w:rFonts w:hint="eastAsia" w:asciiTheme="minorEastAsia" w:hAnsiTheme="minorEastAsia" w:eastAsiaTheme="minorEastAsia" w:cstheme="minorEastAsia"/>
          <w:b/>
          <w:bCs/>
          <w:color w:val="auto"/>
          <w:highlight w:val="none"/>
          <w:lang w:eastAsia="zh-CN"/>
        </w:rPr>
        <w:t>。</w:t>
      </w:r>
    </w:p>
    <w:p w14:paraId="64072F4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42"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2.响应</w:t>
      </w:r>
      <w:r>
        <w:rPr>
          <w:rFonts w:hint="eastAsia" w:asciiTheme="minorEastAsia" w:hAnsiTheme="minorEastAsia" w:eastAsiaTheme="minorEastAsia" w:cstheme="minorEastAsia"/>
          <w:b/>
          <w:bCs/>
          <w:color w:val="auto"/>
          <w:highlight w:val="none"/>
        </w:rPr>
        <w:t>人若为联合体，联合体各方各自填写</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按照本项目</w:t>
      </w:r>
      <w:r>
        <w:rPr>
          <w:rFonts w:hint="eastAsia" w:asciiTheme="minorEastAsia" w:hAnsiTheme="minorEastAsia" w:eastAsiaTheme="minorEastAsia" w:cstheme="minorEastAsia"/>
          <w:b/>
          <w:bCs/>
          <w:color w:val="auto"/>
          <w:highlight w:val="none"/>
          <w:lang w:val="en-US" w:eastAsia="zh-CN"/>
        </w:rPr>
        <w:t>磋商</w:t>
      </w:r>
      <w:r>
        <w:rPr>
          <w:rFonts w:hint="eastAsia" w:asciiTheme="minorEastAsia" w:hAnsiTheme="minorEastAsia" w:eastAsiaTheme="minorEastAsia" w:cstheme="minorEastAsia"/>
          <w:b/>
          <w:bCs/>
          <w:color w:val="auto"/>
          <w:highlight w:val="none"/>
        </w:rPr>
        <w:t>文件中资格要求提供联合体各方的相应资料即可</w:t>
      </w:r>
      <w:r>
        <w:rPr>
          <w:rFonts w:hint="eastAsia" w:asciiTheme="minorEastAsia" w:hAnsiTheme="minorEastAsia" w:eastAsiaTheme="minorEastAsia" w:cstheme="minorEastAsia"/>
          <w:color w:val="auto"/>
          <w:highlight w:val="none"/>
          <w:lang w:eastAsia="zh-CN"/>
        </w:rPr>
        <w:t>。</w:t>
      </w:r>
    </w:p>
    <w:p w14:paraId="3AE618EB">
      <w:pPr>
        <w:spacing w:line="480" w:lineRule="exact"/>
        <w:ind w:left="562" w:hanging="562" w:hangingChars="200"/>
        <w:jc w:val="center"/>
        <w:rPr>
          <w:rFonts w:hint="eastAsia" w:asciiTheme="minorEastAsia" w:hAnsiTheme="minorEastAsia" w:eastAsiaTheme="minorEastAsia" w:cstheme="minorEastAsia"/>
          <w:b/>
          <w:bCs/>
          <w:color w:val="auto"/>
          <w:sz w:val="28"/>
          <w:szCs w:val="28"/>
          <w:highlight w:val="none"/>
        </w:rPr>
      </w:pPr>
    </w:p>
    <w:p w14:paraId="30C66347">
      <w:pPr>
        <w:spacing w:line="480" w:lineRule="exact"/>
        <w:jc w:val="center"/>
        <w:rPr>
          <w:rFonts w:hint="eastAsia" w:asciiTheme="minorEastAsia" w:hAnsiTheme="minorEastAsia" w:eastAsiaTheme="minorEastAsia" w:cstheme="minorEastAsia"/>
          <w:b/>
          <w:bCs/>
          <w:color w:val="auto"/>
          <w:sz w:val="28"/>
          <w:highlight w:val="none"/>
        </w:rPr>
      </w:pPr>
      <w:r>
        <w:rPr>
          <w:rFonts w:hint="eastAsia" w:asciiTheme="minorEastAsia" w:hAnsiTheme="minorEastAsia" w:eastAsiaTheme="minorEastAsia" w:cstheme="minorEastAsia"/>
          <w:b/>
          <w:bCs/>
          <w:color w:val="auto"/>
          <w:sz w:val="24"/>
          <w:highlight w:val="none"/>
        </w:rPr>
        <w:br w:type="page"/>
      </w:r>
      <w:r>
        <w:rPr>
          <w:rFonts w:hint="eastAsia" w:asciiTheme="minorEastAsia" w:hAnsiTheme="minorEastAsia" w:eastAsiaTheme="minorEastAsia" w:cstheme="minorEastAsia"/>
          <w:b/>
          <w:bCs/>
          <w:color w:val="auto"/>
          <w:sz w:val="28"/>
          <w:highlight w:val="none"/>
          <w:lang w:eastAsia="zh-CN"/>
        </w:rPr>
        <w:t>（</w:t>
      </w:r>
      <w:r>
        <w:rPr>
          <w:rFonts w:hint="eastAsia" w:asciiTheme="minorEastAsia" w:hAnsiTheme="minorEastAsia" w:eastAsiaTheme="minorEastAsia" w:cstheme="minorEastAsia"/>
          <w:b/>
          <w:bCs/>
          <w:color w:val="auto"/>
          <w:sz w:val="28"/>
          <w:highlight w:val="none"/>
        </w:rPr>
        <w:t>二）近年完成的类似项目情况表</w:t>
      </w:r>
    </w:p>
    <w:tbl>
      <w:tblPr>
        <w:tblStyle w:val="20"/>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69"/>
        <w:gridCol w:w="6650"/>
      </w:tblGrid>
      <w:tr w14:paraId="213DFC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2469" w:type="dxa"/>
            <w:tcBorders>
              <w:top w:val="single" w:color="auto" w:sz="4" w:space="0"/>
              <w:left w:val="single" w:color="auto" w:sz="4" w:space="0"/>
              <w:bottom w:val="single" w:color="auto" w:sz="6" w:space="0"/>
              <w:right w:val="single" w:color="auto" w:sz="6" w:space="0"/>
            </w:tcBorders>
            <w:vAlign w:val="center"/>
          </w:tcPr>
          <w:p w14:paraId="4442DC70">
            <w:pPr>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6650" w:type="dxa"/>
            <w:tcBorders>
              <w:top w:val="single" w:color="auto" w:sz="4" w:space="0"/>
              <w:left w:val="nil"/>
              <w:bottom w:val="single" w:color="auto" w:sz="6" w:space="0"/>
              <w:right w:val="single" w:color="auto" w:sz="4" w:space="0"/>
            </w:tcBorders>
            <w:vAlign w:val="center"/>
          </w:tcPr>
          <w:p w14:paraId="5BF8297E">
            <w:pPr>
              <w:spacing w:line="480" w:lineRule="exact"/>
              <w:jc w:val="center"/>
              <w:rPr>
                <w:rFonts w:asciiTheme="minorEastAsia" w:hAnsiTheme="minorEastAsia" w:eastAsiaTheme="minorEastAsia"/>
                <w:color w:val="auto"/>
                <w:sz w:val="24"/>
                <w:highlight w:val="none"/>
              </w:rPr>
            </w:pPr>
          </w:p>
        </w:tc>
      </w:tr>
      <w:tr w14:paraId="252225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1402D9C8">
            <w:pPr>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tc>
        <w:tc>
          <w:tcPr>
            <w:tcW w:w="6650" w:type="dxa"/>
            <w:tcBorders>
              <w:top w:val="single" w:color="auto" w:sz="6" w:space="0"/>
              <w:left w:val="nil"/>
              <w:bottom w:val="single" w:color="auto" w:sz="6" w:space="0"/>
              <w:right w:val="single" w:color="auto" w:sz="4" w:space="0"/>
            </w:tcBorders>
            <w:vAlign w:val="center"/>
          </w:tcPr>
          <w:p w14:paraId="54EF7693">
            <w:pPr>
              <w:spacing w:line="480" w:lineRule="exact"/>
              <w:jc w:val="center"/>
              <w:rPr>
                <w:rFonts w:asciiTheme="minorEastAsia" w:hAnsiTheme="minorEastAsia" w:eastAsiaTheme="minorEastAsia"/>
                <w:color w:val="auto"/>
                <w:sz w:val="24"/>
                <w:highlight w:val="none"/>
              </w:rPr>
            </w:pPr>
          </w:p>
        </w:tc>
      </w:tr>
      <w:tr w14:paraId="7E271D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3567A40D">
            <w:pPr>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项目所在地</w:t>
            </w:r>
          </w:p>
        </w:tc>
        <w:tc>
          <w:tcPr>
            <w:tcW w:w="6650" w:type="dxa"/>
            <w:tcBorders>
              <w:top w:val="single" w:color="auto" w:sz="6" w:space="0"/>
              <w:left w:val="nil"/>
              <w:bottom w:val="single" w:color="auto" w:sz="6" w:space="0"/>
              <w:right w:val="single" w:color="auto" w:sz="4" w:space="0"/>
            </w:tcBorders>
            <w:vAlign w:val="center"/>
          </w:tcPr>
          <w:p w14:paraId="0F5EEAA1">
            <w:pPr>
              <w:spacing w:line="480" w:lineRule="exact"/>
              <w:jc w:val="center"/>
              <w:rPr>
                <w:rFonts w:asciiTheme="minorEastAsia" w:hAnsiTheme="minorEastAsia" w:eastAsiaTheme="minorEastAsia"/>
                <w:color w:val="auto"/>
                <w:sz w:val="24"/>
                <w:highlight w:val="none"/>
              </w:rPr>
            </w:pPr>
          </w:p>
        </w:tc>
      </w:tr>
      <w:tr w14:paraId="26C06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3194C5E3">
            <w:pPr>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发包人名称</w:t>
            </w:r>
          </w:p>
        </w:tc>
        <w:tc>
          <w:tcPr>
            <w:tcW w:w="6650" w:type="dxa"/>
            <w:tcBorders>
              <w:top w:val="single" w:color="auto" w:sz="6" w:space="0"/>
              <w:left w:val="nil"/>
              <w:bottom w:val="single" w:color="auto" w:sz="6" w:space="0"/>
              <w:right w:val="single" w:color="auto" w:sz="4" w:space="0"/>
            </w:tcBorders>
            <w:vAlign w:val="center"/>
          </w:tcPr>
          <w:p w14:paraId="77BA8015">
            <w:pPr>
              <w:spacing w:line="480" w:lineRule="exact"/>
              <w:jc w:val="center"/>
              <w:rPr>
                <w:rFonts w:asciiTheme="minorEastAsia" w:hAnsiTheme="minorEastAsia" w:eastAsiaTheme="minorEastAsia"/>
                <w:color w:val="auto"/>
                <w:sz w:val="24"/>
                <w:highlight w:val="none"/>
              </w:rPr>
            </w:pPr>
          </w:p>
        </w:tc>
      </w:tr>
      <w:tr w14:paraId="543CE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383D960F">
            <w:pPr>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发包人地址</w:t>
            </w:r>
          </w:p>
        </w:tc>
        <w:tc>
          <w:tcPr>
            <w:tcW w:w="6650" w:type="dxa"/>
            <w:tcBorders>
              <w:top w:val="single" w:color="auto" w:sz="6" w:space="0"/>
              <w:left w:val="nil"/>
              <w:bottom w:val="single" w:color="auto" w:sz="6" w:space="0"/>
              <w:right w:val="single" w:color="auto" w:sz="4" w:space="0"/>
            </w:tcBorders>
            <w:vAlign w:val="center"/>
          </w:tcPr>
          <w:p w14:paraId="6271BFAF">
            <w:pPr>
              <w:spacing w:line="480" w:lineRule="exact"/>
              <w:jc w:val="center"/>
              <w:rPr>
                <w:rFonts w:asciiTheme="minorEastAsia" w:hAnsiTheme="minorEastAsia" w:eastAsiaTheme="minorEastAsia"/>
                <w:color w:val="auto"/>
                <w:sz w:val="24"/>
                <w:highlight w:val="none"/>
              </w:rPr>
            </w:pPr>
          </w:p>
        </w:tc>
      </w:tr>
      <w:tr w14:paraId="5EBE3A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293391FF">
            <w:pPr>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发包人电话</w:t>
            </w:r>
          </w:p>
        </w:tc>
        <w:tc>
          <w:tcPr>
            <w:tcW w:w="6650" w:type="dxa"/>
            <w:tcBorders>
              <w:top w:val="single" w:color="auto" w:sz="6" w:space="0"/>
              <w:left w:val="nil"/>
              <w:bottom w:val="single" w:color="auto" w:sz="6" w:space="0"/>
              <w:right w:val="single" w:color="auto" w:sz="4" w:space="0"/>
            </w:tcBorders>
            <w:vAlign w:val="center"/>
          </w:tcPr>
          <w:p w14:paraId="07E92125">
            <w:pPr>
              <w:spacing w:line="480" w:lineRule="exact"/>
              <w:jc w:val="center"/>
              <w:rPr>
                <w:rFonts w:asciiTheme="minorEastAsia" w:hAnsiTheme="minorEastAsia" w:eastAsiaTheme="minorEastAsia"/>
                <w:color w:val="auto"/>
                <w:sz w:val="24"/>
                <w:highlight w:val="none"/>
              </w:rPr>
            </w:pPr>
          </w:p>
        </w:tc>
      </w:tr>
      <w:tr w14:paraId="00D4E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6E675183">
            <w:pPr>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合同价格</w:t>
            </w:r>
          </w:p>
        </w:tc>
        <w:tc>
          <w:tcPr>
            <w:tcW w:w="6650" w:type="dxa"/>
            <w:tcBorders>
              <w:top w:val="single" w:color="auto" w:sz="6" w:space="0"/>
              <w:left w:val="nil"/>
              <w:bottom w:val="single" w:color="auto" w:sz="6" w:space="0"/>
              <w:right w:val="single" w:color="auto" w:sz="4" w:space="0"/>
            </w:tcBorders>
            <w:vAlign w:val="center"/>
          </w:tcPr>
          <w:p w14:paraId="106E8962">
            <w:pPr>
              <w:spacing w:line="480" w:lineRule="exact"/>
              <w:jc w:val="center"/>
              <w:rPr>
                <w:rFonts w:asciiTheme="minorEastAsia" w:hAnsiTheme="minorEastAsia" w:eastAsiaTheme="minorEastAsia"/>
                <w:color w:val="auto"/>
                <w:sz w:val="24"/>
                <w:highlight w:val="none"/>
              </w:rPr>
            </w:pPr>
          </w:p>
        </w:tc>
      </w:tr>
      <w:tr w14:paraId="74A7A6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17746C6A">
            <w:pPr>
              <w:spacing w:line="480" w:lineRule="exact"/>
              <w:jc w:val="center"/>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交货</w:t>
            </w:r>
            <w:r>
              <w:rPr>
                <w:rFonts w:hint="eastAsia" w:asciiTheme="minorEastAsia" w:hAnsiTheme="minorEastAsia" w:eastAsiaTheme="minorEastAsia"/>
                <w:color w:val="auto"/>
                <w:sz w:val="24"/>
                <w:highlight w:val="none"/>
                <w:lang w:val="en-US" w:eastAsia="zh-CN"/>
              </w:rPr>
              <w:t>（</w:t>
            </w:r>
            <w:r>
              <w:rPr>
                <w:rFonts w:hint="default" w:asciiTheme="minorEastAsia" w:hAnsiTheme="minorEastAsia" w:eastAsiaTheme="minorEastAsia"/>
                <w:color w:val="auto"/>
                <w:sz w:val="24"/>
                <w:highlight w:val="none"/>
                <w:lang w:val="en-US" w:eastAsia="zh-CN"/>
              </w:rPr>
              <w:t>服务）期</w:t>
            </w:r>
          </w:p>
        </w:tc>
        <w:tc>
          <w:tcPr>
            <w:tcW w:w="6650" w:type="dxa"/>
            <w:tcBorders>
              <w:top w:val="single" w:color="auto" w:sz="6" w:space="0"/>
              <w:left w:val="nil"/>
              <w:bottom w:val="single" w:color="auto" w:sz="6" w:space="0"/>
              <w:right w:val="single" w:color="auto" w:sz="4" w:space="0"/>
            </w:tcBorders>
            <w:vAlign w:val="center"/>
          </w:tcPr>
          <w:p w14:paraId="6E2FC4DC">
            <w:pPr>
              <w:spacing w:line="480" w:lineRule="exact"/>
              <w:jc w:val="center"/>
              <w:rPr>
                <w:rFonts w:asciiTheme="minorEastAsia" w:hAnsiTheme="minorEastAsia" w:eastAsiaTheme="minorEastAsia"/>
                <w:color w:val="auto"/>
                <w:sz w:val="24"/>
                <w:highlight w:val="none"/>
              </w:rPr>
            </w:pPr>
          </w:p>
        </w:tc>
      </w:tr>
      <w:tr w14:paraId="0225CC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7834FD8E">
            <w:pPr>
              <w:spacing w:line="480" w:lineRule="exact"/>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发货（服务）时间</w:t>
            </w:r>
          </w:p>
        </w:tc>
        <w:tc>
          <w:tcPr>
            <w:tcW w:w="6650" w:type="dxa"/>
            <w:tcBorders>
              <w:top w:val="single" w:color="auto" w:sz="6" w:space="0"/>
              <w:left w:val="nil"/>
              <w:bottom w:val="single" w:color="auto" w:sz="6" w:space="0"/>
              <w:right w:val="single" w:color="auto" w:sz="4" w:space="0"/>
            </w:tcBorders>
            <w:vAlign w:val="center"/>
          </w:tcPr>
          <w:p w14:paraId="7D2E36BA">
            <w:pPr>
              <w:spacing w:line="480" w:lineRule="exact"/>
              <w:jc w:val="center"/>
              <w:rPr>
                <w:rFonts w:asciiTheme="minorEastAsia" w:hAnsiTheme="minorEastAsia" w:eastAsiaTheme="minorEastAsia"/>
                <w:color w:val="auto"/>
                <w:sz w:val="24"/>
                <w:highlight w:val="none"/>
              </w:rPr>
            </w:pPr>
          </w:p>
        </w:tc>
      </w:tr>
      <w:tr w14:paraId="11E9EF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05B5E839">
            <w:pPr>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承担的工作</w:t>
            </w:r>
          </w:p>
        </w:tc>
        <w:tc>
          <w:tcPr>
            <w:tcW w:w="6650" w:type="dxa"/>
            <w:tcBorders>
              <w:top w:val="single" w:color="auto" w:sz="6" w:space="0"/>
              <w:left w:val="nil"/>
              <w:bottom w:val="single" w:color="auto" w:sz="6" w:space="0"/>
              <w:right w:val="single" w:color="auto" w:sz="4" w:space="0"/>
            </w:tcBorders>
            <w:vAlign w:val="center"/>
          </w:tcPr>
          <w:p w14:paraId="14F01567">
            <w:pPr>
              <w:spacing w:line="480" w:lineRule="exact"/>
              <w:jc w:val="center"/>
              <w:rPr>
                <w:rFonts w:asciiTheme="minorEastAsia" w:hAnsiTheme="minorEastAsia" w:eastAsiaTheme="minorEastAsia"/>
                <w:color w:val="auto"/>
                <w:sz w:val="24"/>
                <w:highlight w:val="none"/>
              </w:rPr>
            </w:pPr>
          </w:p>
        </w:tc>
      </w:tr>
      <w:tr w14:paraId="7FB572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25B55E7D">
            <w:pPr>
              <w:spacing w:line="480" w:lineRule="exact"/>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质量（服务）标准</w:t>
            </w:r>
          </w:p>
        </w:tc>
        <w:tc>
          <w:tcPr>
            <w:tcW w:w="6650" w:type="dxa"/>
            <w:tcBorders>
              <w:top w:val="single" w:color="auto" w:sz="6" w:space="0"/>
              <w:left w:val="nil"/>
              <w:bottom w:val="single" w:color="auto" w:sz="6" w:space="0"/>
              <w:right w:val="single" w:color="auto" w:sz="4" w:space="0"/>
            </w:tcBorders>
            <w:vAlign w:val="center"/>
          </w:tcPr>
          <w:p w14:paraId="21CC3DAC">
            <w:pPr>
              <w:spacing w:line="480" w:lineRule="exact"/>
              <w:jc w:val="center"/>
              <w:rPr>
                <w:rFonts w:asciiTheme="minorEastAsia" w:hAnsiTheme="minorEastAsia" w:eastAsiaTheme="minorEastAsia"/>
                <w:color w:val="auto"/>
                <w:sz w:val="24"/>
                <w:highlight w:val="none"/>
              </w:rPr>
            </w:pPr>
          </w:p>
        </w:tc>
      </w:tr>
      <w:tr w14:paraId="17238B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34FBE765">
            <w:pPr>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项目负责人</w:t>
            </w:r>
          </w:p>
        </w:tc>
        <w:tc>
          <w:tcPr>
            <w:tcW w:w="6650" w:type="dxa"/>
            <w:tcBorders>
              <w:top w:val="single" w:color="auto" w:sz="6" w:space="0"/>
              <w:left w:val="nil"/>
              <w:bottom w:val="single" w:color="auto" w:sz="6" w:space="0"/>
              <w:right w:val="single" w:color="auto" w:sz="4" w:space="0"/>
            </w:tcBorders>
            <w:vAlign w:val="center"/>
          </w:tcPr>
          <w:p w14:paraId="6914AC1D">
            <w:pPr>
              <w:spacing w:line="480" w:lineRule="exact"/>
              <w:jc w:val="center"/>
              <w:rPr>
                <w:rFonts w:asciiTheme="minorEastAsia" w:hAnsiTheme="minorEastAsia" w:eastAsiaTheme="minorEastAsia"/>
                <w:color w:val="auto"/>
                <w:sz w:val="24"/>
                <w:highlight w:val="none"/>
              </w:rPr>
            </w:pPr>
          </w:p>
        </w:tc>
      </w:tr>
      <w:tr w14:paraId="555EC0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46" w:hRule="atLeast"/>
          <w:jc w:val="center"/>
        </w:trPr>
        <w:tc>
          <w:tcPr>
            <w:tcW w:w="2469" w:type="dxa"/>
            <w:tcBorders>
              <w:top w:val="single" w:color="auto" w:sz="6" w:space="0"/>
              <w:left w:val="single" w:color="auto" w:sz="4" w:space="0"/>
              <w:bottom w:val="single" w:color="auto" w:sz="6" w:space="0"/>
              <w:right w:val="single" w:color="auto" w:sz="6" w:space="0"/>
            </w:tcBorders>
            <w:vAlign w:val="center"/>
          </w:tcPr>
          <w:p w14:paraId="470E6A8F">
            <w:pPr>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项目描述</w:t>
            </w:r>
          </w:p>
        </w:tc>
        <w:tc>
          <w:tcPr>
            <w:tcW w:w="6650" w:type="dxa"/>
            <w:tcBorders>
              <w:top w:val="single" w:color="auto" w:sz="6" w:space="0"/>
              <w:left w:val="nil"/>
              <w:bottom w:val="single" w:color="auto" w:sz="6" w:space="0"/>
              <w:right w:val="single" w:color="auto" w:sz="4" w:space="0"/>
            </w:tcBorders>
            <w:vAlign w:val="center"/>
          </w:tcPr>
          <w:p w14:paraId="2DA66796">
            <w:pPr>
              <w:spacing w:line="480" w:lineRule="exact"/>
              <w:jc w:val="center"/>
              <w:rPr>
                <w:rFonts w:asciiTheme="minorEastAsia" w:hAnsiTheme="minorEastAsia" w:eastAsiaTheme="minorEastAsia"/>
                <w:color w:val="auto"/>
                <w:sz w:val="24"/>
                <w:highlight w:val="none"/>
              </w:rPr>
            </w:pPr>
          </w:p>
        </w:tc>
      </w:tr>
      <w:tr w14:paraId="71430C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2469" w:type="dxa"/>
            <w:tcBorders>
              <w:top w:val="single" w:color="auto" w:sz="6" w:space="0"/>
              <w:left w:val="single" w:color="auto" w:sz="4" w:space="0"/>
              <w:bottom w:val="single" w:color="auto" w:sz="4" w:space="0"/>
              <w:right w:val="single" w:color="auto" w:sz="6" w:space="0"/>
            </w:tcBorders>
            <w:vAlign w:val="center"/>
          </w:tcPr>
          <w:p w14:paraId="7E947C2E">
            <w:pPr>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c>
          <w:tcPr>
            <w:tcW w:w="6650" w:type="dxa"/>
            <w:tcBorders>
              <w:top w:val="single" w:color="auto" w:sz="6" w:space="0"/>
              <w:left w:val="nil"/>
              <w:bottom w:val="single" w:color="auto" w:sz="4" w:space="0"/>
              <w:right w:val="single" w:color="auto" w:sz="4" w:space="0"/>
            </w:tcBorders>
            <w:vAlign w:val="center"/>
          </w:tcPr>
          <w:p w14:paraId="7444D33A">
            <w:pPr>
              <w:spacing w:line="480" w:lineRule="exact"/>
              <w:jc w:val="center"/>
              <w:rPr>
                <w:rFonts w:asciiTheme="minorEastAsia" w:hAnsiTheme="minorEastAsia" w:eastAsiaTheme="minorEastAsia"/>
                <w:color w:val="auto"/>
                <w:sz w:val="24"/>
                <w:highlight w:val="none"/>
              </w:rPr>
            </w:pPr>
          </w:p>
        </w:tc>
      </w:tr>
    </w:tbl>
    <w:p w14:paraId="2BDB013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auto"/>
        <w:rPr>
          <w:rFonts w:hint="eastAsia" w:asciiTheme="minorEastAsia" w:hAnsiTheme="minorEastAsia" w:eastAsiaTheme="minorEastAsia" w:cstheme="minorEastAsia"/>
          <w:color w:val="auto"/>
          <w:highlight w:val="none"/>
        </w:rPr>
      </w:pPr>
    </w:p>
    <w:p w14:paraId="3246359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4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注：</w:t>
      </w:r>
      <w:r>
        <w:rPr>
          <w:rFonts w:hint="eastAsia" w:asciiTheme="minorEastAsia" w:hAnsiTheme="minorEastAsia" w:eastAsiaTheme="minorEastAsia" w:cstheme="minorEastAsia"/>
          <w:color w:val="auto"/>
          <w:highlight w:val="none"/>
          <w:lang w:val="en-US" w:eastAsia="zh-CN"/>
        </w:rPr>
        <w:t>1、没有填写“无”。</w:t>
      </w:r>
    </w:p>
    <w:p w14:paraId="657EAFF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4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附中标通知书和合同协议书的扫描件，具体年份要求202</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年1月1日以来。</w:t>
      </w:r>
    </w:p>
    <w:p w14:paraId="39B6088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40" w:firstLineChars="20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3、响应</w:t>
      </w:r>
      <w:r>
        <w:rPr>
          <w:rFonts w:hint="eastAsia" w:asciiTheme="minorEastAsia" w:hAnsiTheme="minorEastAsia" w:eastAsiaTheme="minorEastAsia" w:cstheme="minorEastAsia"/>
          <w:color w:val="auto"/>
          <w:highlight w:val="none"/>
        </w:rPr>
        <w:t>人若为联合体</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任一方“</w:t>
      </w:r>
      <w:r>
        <w:rPr>
          <w:rFonts w:hint="eastAsia" w:asciiTheme="minorEastAsia" w:hAnsiTheme="minorEastAsia" w:eastAsiaTheme="minorEastAsia" w:cstheme="minorEastAsia"/>
          <w:color w:val="auto"/>
          <w:highlight w:val="none"/>
        </w:rPr>
        <w:t>类似项目</w:t>
      </w:r>
      <w:r>
        <w:rPr>
          <w:rFonts w:hint="eastAsia" w:asciiTheme="minorEastAsia" w:hAnsiTheme="minorEastAsia" w:eastAsiaTheme="minorEastAsia" w:cstheme="minorEastAsia"/>
          <w:color w:val="auto"/>
          <w:highlight w:val="none"/>
          <w:lang w:val="en-US" w:eastAsia="zh-CN"/>
        </w:rPr>
        <w:t>”均可。</w:t>
      </w:r>
    </w:p>
    <w:p w14:paraId="670ED0E5">
      <w:pPr>
        <w:keepNext/>
        <w:keepLines/>
        <w:spacing w:line="480" w:lineRule="exact"/>
        <w:jc w:val="center"/>
        <w:outlineLvl w:val="1"/>
        <w:rPr>
          <w:rFonts w:hint="eastAsia" w:asciiTheme="minorEastAsia" w:hAnsiTheme="minorEastAsia" w:eastAsiaTheme="minorEastAsia" w:cstheme="minorEastAsia"/>
          <w:color w:val="auto"/>
          <w:sz w:val="24"/>
          <w:highlight w:val="none"/>
        </w:rPr>
      </w:pPr>
      <w:bookmarkStart w:id="673" w:name="_Toc514834640"/>
      <w:bookmarkEnd w:id="673"/>
      <w:bookmarkStart w:id="674" w:name="_Toc16770593"/>
    </w:p>
    <w:p w14:paraId="060CB3B5">
      <w:pPr>
        <w:rPr>
          <w:rFonts w:hint="eastAsia" w:asciiTheme="minorEastAsia" w:hAnsiTheme="minorEastAsia" w:eastAsiaTheme="minorEastAsia" w:cstheme="minorEastAsia"/>
          <w:b/>
          <w:bCs/>
          <w:color w:val="auto"/>
          <w:sz w:val="32"/>
          <w:szCs w:val="28"/>
          <w:highlight w:val="none"/>
        </w:rPr>
      </w:pPr>
      <w:r>
        <w:rPr>
          <w:rFonts w:hint="eastAsia" w:asciiTheme="minorEastAsia" w:hAnsiTheme="minorEastAsia" w:eastAsiaTheme="minorEastAsia" w:cstheme="minorEastAsia"/>
          <w:color w:val="auto"/>
          <w:sz w:val="24"/>
          <w:highlight w:val="none"/>
        </w:rPr>
        <w:br w:type="page"/>
      </w:r>
    </w:p>
    <w:p w14:paraId="0A29302F">
      <w:pPr>
        <w:keepNext/>
        <w:keepLines/>
        <w:spacing w:line="480" w:lineRule="exact"/>
        <w:jc w:val="center"/>
        <w:outlineLvl w:val="1"/>
        <w:rPr>
          <w:rFonts w:hint="eastAsia" w:asciiTheme="minorEastAsia" w:hAnsiTheme="minorEastAsia" w:eastAsiaTheme="minorEastAsia" w:cstheme="minorEastAsia"/>
          <w:b/>
          <w:bCs/>
          <w:color w:val="auto"/>
          <w:sz w:val="32"/>
          <w:szCs w:val="28"/>
          <w:highlight w:val="none"/>
        </w:rPr>
      </w:pPr>
      <w:r>
        <w:rPr>
          <w:rFonts w:hint="eastAsia" w:asciiTheme="minorEastAsia" w:hAnsiTheme="minorEastAsia" w:eastAsiaTheme="minorEastAsia" w:cstheme="minorEastAsia"/>
          <w:b/>
          <w:bCs/>
          <w:color w:val="auto"/>
          <w:sz w:val="32"/>
          <w:szCs w:val="28"/>
          <w:highlight w:val="none"/>
        </w:rPr>
        <w:t>十</w:t>
      </w:r>
      <w:r>
        <w:rPr>
          <w:rFonts w:hint="eastAsia" w:asciiTheme="minorEastAsia" w:hAnsiTheme="minorEastAsia" w:eastAsiaTheme="minorEastAsia" w:cstheme="minorEastAsia"/>
          <w:b/>
          <w:bCs/>
          <w:color w:val="auto"/>
          <w:sz w:val="32"/>
          <w:szCs w:val="28"/>
          <w:highlight w:val="none"/>
          <w:lang w:val="en-US" w:eastAsia="zh-CN"/>
        </w:rPr>
        <w:t>三</w:t>
      </w:r>
      <w:r>
        <w:rPr>
          <w:rFonts w:hint="eastAsia" w:asciiTheme="minorEastAsia" w:hAnsiTheme="minorEastAsia" w:eastAsiaTheme="minorEastAsia" w:cstheme="minorEastAsia"/>
          <w:b/>
          <w:bCs/>
          <w:color w:val="auto"/>
          <w:sz w:val="32"/>
          <w:szCs w:val="28"/>
          <w:highlight w:val="none"/>
        </w:rPr>
        <w:t>、供应商认为有必要提供的其他资料</w:t>
      </w:r>
      <w:bookmarkEnd w:id="674"/>
    </w:p>
    <w:p w14:paraId="1402CC96">
      <w:pPr>
        <w:spacing w:line="312" w:lineRule="auto"/>
        <w:ind w:right="-350" w:rightChars="-159"/>
        <w:jc w:val="both"/>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附件：1</w:t>
      </w:r>
    </w:p>
    <w:p w14:paraId="0653113E">
      <w:pPr>
        <w:spacing w:line="360" w:lineRule="auto"/>
        <w:jc w:val="center"/>
        <w:rPr>
          <w:rFonts w:hint="eastAsia" w:asciiTheme="minorEastAsia" w:hAnsiTheme="minorEastAsia" w:eastAsiaTheme="minorEastAsia" w:cstheme="minorEastAsia"/>
          <w:b/>
          <w:bCs w:val="0"/>
          <w:color w:val="auto"/>
          <w:kern w:val="0"/>
          <w:sz w:val="24"/>
          <w:szCs w:val="24"/>
          <w:highlight w:val="none"/>
        </w:rPr>
      </w:pPr>
      <w:r>
        <w:rPr>
          <w:rFonts w:hint="eastAsia" w:asciiTheme="minorEastAsia" w:hAnsiTheme="minorEastAsia" w:eastAsiaTheme="minorEastAsia" w:cstheme="minorEastAsia"/>
          <w:b/>
          <w:bCs w:val="0"/>
          <w:color w:val="auto"/>
          <w:kern w:val="0"/>
          <w:sz w:val="24"/>
          <w:szCs w:val="24"/>
          <w:highlight w:val="none"/>
        </w:rPr>
        <w:t>承诺书</w:t>
      </w:r>
    </w:p>
    <w:p w14:paraId="6D9681E7">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致：</w:t>
      </w:r>
      <w:r>
        <w:rPr>
          <w:rFonts w:hint="eastAsia" w:asciiTheme="minorEastAsia" w:hAnsiTheme="minorEastAsia" w:eastAsiaTheme="minorEastAsia" w:cstheme="minorEastAsia"/>
          <w:color w:val="auto"/>
          <w:sz w:val="24"/>
          <w:szCs w:val="24"/>
          <w:highlight w:val="none"/>
          <w:u w:val="single"/>
          <w:lang w:val="en-US" w:eastAsia="zh-CN"/>
        </w:rPr>
        <w:t xml:space="preserve">     （采购人、代理机构）</w:t>
      </w:r>
      <w:r>
        <w:rPr>
          <w:rFonts w:hint="eastAsia" w:asciiTheme="minorEastAsia" w:hAnsiTheme="minorEastAsia" w:eastAsiaTheme="minorEastAsia" w:cstheme="minorEastAsia"/>
          <w:color w:val="auto"/>
          <w:sz w:val="24"/>
          <w:szCs w:val="24"/>
          <w:highlight w:val="none"/>
        </w:rPr>
        <w:t xml:space="preserve"> </w:t>
      </w:r>
    </w:p>
    <w:p w14:paraId="79FB9537">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本单位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（响应人</w:t>
      </w:r>
      <w:r>
        <w:rPr>
          <w:rFonts w:hint="eastAsia" w:asciiTheme="minorEastAsia" w:hAnsiTheme="minorEastAsia" w:eastAsiaTheme="minorEastAsia" w:cstheme="minorEastAsia"/>
          <w:color w:val="auto"/>
          <w:sz w:val="24"/>
          <w:szCs w:val="24"/>
          <w:highlight w:val="none"/>
          <w:u w:val="single"/>
        </w:rPr>
        <w:t>全称）</w:t>
      </w:r>
      <w:r>
        <w:rPr>
          <w:rFonts w:hint="eastAsia" w:asciiTheme="minorEastAsia" w:hAnsiTheme="minorEastAsia" w:eastAsiaTheme="minorEastAsia" w:cstheme="minorEastAsia"/>
          <w:color w:val="auto"/>
          <w:sz w:val="24"/>
          <w:szCs w:val="24"/>
          <w:highlight w:val="none"/>
        </w:rPr>
        <w:t>作为参与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 xml:space="preserve">招投标活动的响应人（联合体牵头人），就本次投标事宜，郑重作出如下承诺： </w:t>
      </w:r>
    </w:p>
    <w:p w14:paraId="154B9B3A">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1.响应文件真实性承诺：</w:t>
      </w:r>
      <w:r>
        <w:rPr>
          <w:rFonts w:hint="eastAsia" w:asciiTheme="minorEastAsia" w:hAnsiTheme="minorEastAsia" w:eastAsiaTheme="minorEastAsia" w:cstheme="minorEastAsia"/>
          <w:color w:val="auto"/>
          <w:sz w:val="24"/>
          <w:szCs w:val="24"/>
          <w:highlight w:val="none"/>
          <w:lang w:val="en-US" w:eastAsia="zh-CN"/>
        </w:rPr>
        <w:t xml:space="preserve">本单位提交的全部响应文件（包括但不限于资质证明、业绩材料、财务数据、技术方案、报价信息、人员资质、信用记录及其他相关证明文件等）均真实、合法、有效，不存在任何伪造、变造、虚假记载、误导性陈述或隐瞒重要事实的情形，所有材料均符合国家法律法规及磋商文件要求。 </w:t>
      </w:r>
    </w:p>
    <w:p w14:paraId="1C264280">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2.无串标、围标等违法违规行为承诺：</w:t>
      </w:r>
      <w:r>
        <w:rPr>
          <w:rFonts w:hint="eastAsia" w:asciiTheme="minorEastAsia" w:hAnsiTheme="minorEastAsia" w:eastAsiaTheme="minorEastAsia" w:cstheme="minorEastAsia"/>
          <w:color w:val="auto"/>
          <w:sz w:val="24"/>
          <w:szCs w:val="24"/>
          <w:highlight w:val="none"/>
          <w:lang w:val="en-US" w:eastAsia="zh-CN"/>
        </w:rPr>
        <w:t>本单位在本次投标活动中，严格遵守《中华人民共和国政府采购法》《政府采购竞争性磋商采购方式暂行办法》及相关法律法规规定，不存在下列行为：</w:t>
      </w:r>
    </w:p>
    <w:p w14:paraId="13F12FCB">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•与其他响应人相互串通投标报价，或与采购人、招标代理机构串通谋取中标；</w:t>
      </w:r>
    </w:p>
    <w:p w14:paraId="28348BAA">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•以他人名义投标、允许他人以本单位名义投标，或转让、出借投标资格；</w:t>
      </w:r>
    </w:p>
    <w:p w14:paraId="4EF1EF22">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•恶意压低或抬高投标报价，扰乱正常投标秩序；</w:t>
      </w:r>
    </w:p>
    <w:p w14:paraId="184ED377">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•提供虚假材料谋取中标，或采取其他不正当手段妨碍、排挤其他响应人；</w:t>
      </w:r>
    </w:p>
    <w:p w14:paraId="3124CD97">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•法律法规禁止的其他违法违规行为。 </w:t>
      </w:r>
    </w:p>
    <w:p w14:paraId="138E833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3．法律责任承诺：</w:t>
      </w:r>
      <w:r>
        <w:rPr>
          <w:rFonts w:hint="eastAsia" w:asciiTheme="minorEastAsia" w:hAnsiTheme="minorEastAsia" w:eastAsiaTheme="minorEastAsia" w:cstheme="minorEastAsia"/>
          <w:color w:val="auto"/>
          <w:sz w:val="24"/>
          <w:szCs w:val="24"/>
          <w:highlight w:val="none"/>
          <w:lang w:val="en-US" w:eastAsia="zh-CN"/>
        </w:rPr>
        <w:t>若本单位违反上述任何承诺，或在投标活动中存在其他违反法律法规及磋商文件规定的行为，本单位自愿承担以下全部法律后果及责任：</w:t>
      </w:r>
    </w:p>
    <w:p w14:paraId="004D5D08">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•响应文件作无效处理，已中标的，中标资格自动丧失，且无需采购人另行通知；</w:t>
      </w:r>
    </w:p>
    <w:p w14:paraId="5D9F5C54">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•被记入政府采购或招标投标不良信用记录，按照规定被限制参与相关招标活动；</w:t>
      </w:r>
    </w:p>
    <w:p w14:paraId="50DA8B33">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•赔偿因自身违法违规行为给采购人、招标代理机构及其他相关方造成的全部损失（包括但不限于直接经济损失、项目延误损失、维权费用等）；</w:t>
      </w:r>
    </w:p>
    <w:p w14:paraId="6E9FC399">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•接受有关行政监督部门依据《中华人民共和国招标投标法》及相关法律法规作出的行政处罚（包括但不限于罚款、没收违法所得等）；</w:t>
      </w:r>
    </w:p>
    <w:p w14:paraId="53407DE2">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•如行为构成犯罪的，自愿接受司法机关追究刑事责任。 </w:t>
      </w:r>
    </w:p>
    <w:p w14:paraId="16135DBD">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本承诺书是响应文件不可分割的组成部分，与响应文件具有同等法律效力。</w:t>
      </w:r>
    </w:p>
    <w:p w14:paraId="3E5D8EF8">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特此承诺！</w:t>
      </w:r>
    </w:p>
    <w:p w14:paraId="54C5D115">
      <w:pPr>
        <w:keepNext w:val="0"/>
        <w:keepLines w:val="0"/>
        <w:pageBreakBefore w:val="0"/>
        <w:widowControl/>
        <w:kinsoku/>
        <w:wordWrap/>
        <w:overflowPunct/>
        <w:topLinePunct w:val="0"/>
        <w:autoSpaceDE/>
        <w:autoSpaceDN/>
        <w:bidi w:val="0"/>
        <w:adjustRightInd w:val="0"/>
        <w:snapToGrid w:val="0"/>
        <w:spacing w:after="0" w:line="540" w:lineRule="exact"/>
        <w:jc w:val="right"/>
        <w:textAlignment w:val="auto"/>
        <w:rPr>
          <w:rFonts w:hint="eastAsia" w:ascii="宋体" w:hAnsi="宋体" w:eastAsia="宋体" w:cs="宋体"/>
          <w:color w:val="auto"/>
          <w:sz w:val="24"/>
          <w:szCs w:val="24"/>
          <w:highlight w:val="none"/>
        </w:rPr>
      </w:pPr>
    </w:p>
    <w:p w14:paraId="1DE67E0A">
      <w:pPr>
        <w:keepNext w:val="0"/>
        <w:keepLines w:val="0"/>
        <w:pageBreakBefore w:val="0"/>
        <w:widowControl/>
        <w:kinsoku/>
        <w:wordWrap/>
        <w:overflowPunct/>
        <w:topLinePunct w:val="0"/>
        <w:autoSpaceDE/>
        <w:autoSpaceDN/>
        <w:bidi w:val="0"/>
        <w:adjustRightInd w:val="0"/>
        <w:snapToGrid w:val="0"/>
        <w:spacing w:after="0" w:line="540" w:lineRule="exact"/>
        <w:jc w:val="righ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229BBED5">
      <w:pPr>
        <w:keepNext w:val="0"/>
        <w:keepLines w:val="0"/>
        <w:pageBreakBefore w:val="0"/>
        <w:widowControl/>
        <w:kinsoku/>
        <w:wordWrap/>
        <w:overflowPunct/>
        <w:topLinePunct w:val="0"/>
        <w:autoSpaceDE/>
        <w:autoSpaceDN/>
        <w:bidi w:val="0"/>
        <w:adjustRightInd w:val="0"/>
        <w:snapToGrid w:val="0"/>
        <w:spacing w:after="0" w:line="540" w:lineRule="exact"/>
        <w:jc w:val="righ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法定代表人或其委托代理人：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电子签章）</w:t>
      </w:r>
    </w:p>
    <w:p w14:paraId="34EBC760">
      <w:pPr>
        <w:keepNext w:val="0"/>
        <w:keepLines w:val="0"/>
        <w:pageBreakBefore w:val="0"/>
        <w:widowControl/>
        <w:kinsoku/>
        <w:wordWrap/>
        <w:overflowPunct/>
        <w:topLinePunct w:val="0"/>
        <w:autoSpaceDE/>
        <w:autoSpaceDN/>
        <w:bidi w:val="0"/>
        <w:adjustRightInd w:val="0"/>
        <w:snapToGrid w:val="0"/>
        <w:spacing w:after="0" w:line="540" w:lineRule="exact"/>
        <w:jc w:val="righ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3271A989">
      <w:pPr>
        <w:spacing w:beforeLines="100" w:afterLines="50"/>
        <w:jc w:val="center"/>
        <w:rPr>
          <w:rFonts w:hint="eastAsia" w:asciiTheme="minorEastAsia" w:hAnsiTheme="minorEastAsia" w:eastAsiaTheme="minorEastAsia" w:cstheme="minorEastAsia"/>
          <w:color w:val="auto"/>
          <w:highlight w:val="none"/>
        </w:rPr>
      </w:pPr>
    </w:p>
    <w:p w14:paraId="48811F94">
      <w:pPr>
        <w:rPr>
          <w:rFonts w:hint="eastAsia" w:asciiTheme="minorEastAsia" w:hAnsiTheme="minorEastAsia" w:eastAsiaTheme="minorEastAsia" w:cstheme="minorEastAsia"/>
          <w:color w:val="auto"/>
          <w:highlight w:val="none"/>
        </w:rPr>
      </w:pPr>
    </w:p>
    <w:p w14:paraId="261EDF9D">
      <w:pPr>
        <w:rPr>
          <w:rFonts w:hint="eastAsia" w:asciiTheme="minorEastAsia" w:hAnsiTheme="minorEastAsia" w:eastAsiaTheme="minorEastAsia" w:cstheme="minorEastAsia"/>
          <w:color w:val="auto"/>
          <w:highlight w:val="none"/>
        </w:rPr>
      </w:pPr>
    </w:p>
    <w:p w14:paraId="5275ADD7">
      <w:pPr>
        <w:rPr>
          <w:rFonts w:hint="eastAsia" w:asciiTheme="minorEastAsia" w:hAnsiTheme="minorEastAsia" w:eastAsiaTheme="minorEastAsia" w:cstheme="minorEastAsia"/>
          <w:color w:val="auto"/>
          <w:highlight w:val="none"/>
        </w:rPr>
      </w:pPr>
    </w:p>
    <w:p w14:paraId="6A72ABC5">
      <w:pPr>
        <w:rPr>
          <w:rFonts w:hint="eastAsia" w:asciiTheme="minorEastAsia" w:hAnsiTheme="minorEastAsia" w:eastAsiaTheme="minorEastAsia" w:cstheme="minorEastAsia"/>
          <w:color w:val="auto"/>
          <w:highlight w:val="none"/>
        </w:rPr>
      </w:pPr>
    </w:p>
    <w:p w14:paraId="52EA493F">
      <w:pPr>
        <w:rPr>
          <w:rFonts w:hint="eastAsia" w:asciiTheme="minorEastAsia" w:hAnsiTheme="minorEastAsia" w:eastAsiaTheme="minorEastAsia" w:cstheme="minorEastAsia"/>
          <w:color w:val="auto"/>
          <w:highlight w:val="none"/>
        </w:rPr>
      </w:pPr>
    </w:p>
    <w:p w14:paraId="622E1AA3">
      <w:pPr>
        <w:rPr>
          <w:rFonts w:hint="eastAsia" w:asciiTheme="minorEastAsia" w:hAnsiTheme="minorEastAsia" w:eastAsiaTheme="minorEastAsia" w:cstheme="minorEastAsia"/>
          <w:b/>
          <w:bCs/>
          <w:color w:val="auto"/>
          <w:highlight w:val="none"/>
        </w:rPr>
      </w:pPr>
    </w:p>
    <w:p w14:paraId="07CB944B">
      <w:pPr>
        <w:rPr>
          <w:rFonts w:hint="eastAsia" w:asciiTheme="minorEastAsia" w:hAnsiTheme="minorEastAsia" w:eastAsiaTheme="minorEastAsia" w:cstheme="minorEastAsia"/>
          <w:color w:val="auto"/>
          <w:highlight w:val="none"/>
        </w:rPr>
      </w:pPr>
    </w:p>
    <w:p w14:paraId="3ACF5C3C">
      <w:pPr>
        <w:rPr>
          <w:rFonts w:hint="eastAsia" w:asciiTheme="minorEastAsia" w:hAnsiTheme="minorEastAsia" w:eastAsiaTheme="minorEastAsia" w:cstheme="minorEastAsia"/>
          <w:color w:val="auto"/>
          <w:highlight w:val="none"/>
        </w:rPr>
      </w:pPr>
    </w:p>
    <w:p w14:paraId="0666F01E">
      <w:pPr>
        <w:rPr>
          <w:rFonts w:hint="eastAsia" w:asciiTheme="minorEastAsia" w:hAnsiTheme="minorEastAsia" w:eastAsiaTheme="minorEastAsia" w:cstheme="minorEastAsia"/>
          <w:color w:val="auto"/>
          <w:highlight w:val="none"/>
        </w:rPr>
      </w:pPr>
    </w:p>
    <w:p w14:paraId="65AFEA10">
      <w:pPr>
        <w:rPr>
          <w:rFonts w:hint="eastAsia" w:asciiTheme="minorEastAsia" w:hAnsiTheme="minorEastAsia" w:eastAsiaTheme="minorEastAsia" w:cstheme="minorEastAsia"/>
          <w:color w:val="auto"/>
          <w:highlight w:val="none"/>
        </w:rPr>
      </w:pPr>
    </w:p>
    <w:p w14:paraId="5FD16B61">
      <w:pPr>
        <w:pStyle w:val="3"/>
        <w:spacing w:before="0"/>
        <w:rPr>
          <w:rFonts w:hint="eastAsia" w:asciiTheme="minorEastAsia" w:hAnsiTheme="minorEastAsia" w:eastAsiaTheme="minorEastAsia" w:cstheme="minorEastAsia"/>
          <w:color w:val="auto"/>
          <w:highlight w:val="none"/>
        </w:rPr>
      </w:pPr>
    </w:p>
    <w:p w14:paraId="6185E992">
      <w:pPr>
        <w:rPr>
          <w:rFonts w:hint="eastAsia" w:asciiTheme="minorEastAsia" w:hAnsiTheme="minorEastAsia" w:eastAsiaTheme="minorEastAsia" w:cstheme="minorEastAsia"/>
          <w:color w:val="auto"/>
          <w:highlight w:val="none"/>
        </w:rPr>
      </w:pPr>
    </w:p>
    <w:p w14:paraId="437D42BA">
      <w:pPr>
        <w:rPr>
          <w:rFonts w:hint="eastAsia" w:asciiTheme="minorEastAsia" w:hAnsiTheme="minorEastAsia" w:eastAsiaTheme="minorEastAsia" w:cstheme="minorEastAsia"/>
          <w:color w:val="auto"/>
          <w:highlight w:val="none"/>
        </w:rPr>
      </w:pPr>
    </w:p>
    <w:p w14:paraId="18A628C6">
      <w:pPr>
        <w:rPr>
          <w:rFonts w:hint="eastAsia" w:asciiTheme="minorEastAsia" w:hAnsiTheme="minorEastAsia" w:eastAsiaTheme="minorEastAsia" w:cstheme="minorEastAsia"/>
          <w:color w:val="auto"/>
          <w:highlight w:val="none"/>
        </w:rPr>
      </w:pPr>
    </w:p>
    <w:p w14:paraId="2D5E328F">
      <w:pPr>
        <w:rPr>
          <w:rFonts w:hint="eastAsia" w:asciiTheme="minorEastAsia" w:hAnsiTheme="minorEastAsia" w:eastAsiaTheme="minorEastAsia" w:cstheme="minorEastAsia"/>
          <w:color w:val="auto"/>
          <w:highlight w:val="none"/>
        </w:rPr>
      </w:pPr>
    </w:p>
    <w:p w14:paraId="15972F06">
      <w:pPr>
        <w:spacing w:line="220" w:lineRule="atLeast"/>
        <w:rPr>
          <w:rFonts w:hint="eastAsia" w:asciiTheme="minorEastAsia" w:hAnsiTheme="minorEastAsia" w:eastAsiaTheme="minorEastAsia" w:cstheme="minorEastAsia"/>
          <w:color w:val="auto"/>
          <w:highlight w:val="none"/>
        </w:rPr>
      </w:pPr>
    </w:p>
    <w:p w14:paraId="43F0E64D">
      <w:pPr>
        <w:spacing w:line="220" w:lineRule="atLeast"/>
        <w:rPr>
          <w:rFonts w:hint="eastAsia" w:asciiTheme="minorEastAsia" w:hAnsiTheme="minorEastAsia" w:eastAsiaTheme="minorEastAsia" w:cstheme="minorEastAsia"/>
          <w:color w:val="auto"/>
          <w:highlight w:val="none"/>
        </w:rPr>
      </w:pPr>
    </w:p>
    <w:p w14:paraId="060857C2">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19B661F">
      <w:pPr>
        <w:spacing w:line="312" w:lineRule="auto"/>
        <w:ind w:right="-350" w:rightChars="-159"/>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附件：2</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14:paraId="2B441BC1">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kern w:val="0"/>
          <w:sz w:val="24"/>
          <w:szCs w:val="24"/>
          <w:highlight w:val="none"/>
        </w:rPr>
      </w:pPr>
      <w:bookmarkStart w:id="675" w:name="_Toc6927090"/>
      <w:bookmarkStart w:id="676" w:name="OLE_LINK13"/>
      <w:bookmarkStart w:id="677" w:name="OLE_LINK14"/>
      <w:r>
        <w:rPr>
          <w:rFonts w:hint="eastAsia" w:asciiTheme="minorEastAsia" w:hAnsiTheme="minorEastAsia" w:eastAsiaTheme="minorEastAsia" w:cstheme="minorEastAsia"/>
          <w:b/>
          <w:bCs/>
          <w:color w:val="auto"/>
          <w:kern w:val="10"/>
          <w:sz w:val="28"/>
          <w:szCs w:val="28"/>
          <w:highlight w:val="none"/>
        </w:rPr>
        <w:t>1、</w:t>
      </w:r>
      <w:bookmarkStart w:id="678" w:name="_Hlk136874938"/>
      <w:r>
        <w:rPr>
          <w:rFonts w:hint="eastAsia" w:ascii="宋体" w:hAnsi="宋体" w:eastAsia="宋体" w:cs="宋体"/>
          <w:b/>
          <w:bCs w:val="0"/>
          <w:color w:val="auto"/>
          <w:kern w:val="0"/>
          <w:sz w:val="24"/>
          <w:szCs w:val="24"/>
          <w:highlight w:val="none"/>
        </w:rPr>
        <w:t>中小企业声明函</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lang w:val="en-US" w:eastAsia="zh-CN"/>
        </w:rPr>
        <w:t>服务</w:t>
      </w:r>
      <w:r>
        <w:rPr>
          <w:rFonts w:hint="eastAsia" w:ascii="宋体" w:hAnsi="宋体" w:eastAsia="宋体" w:cs="宋体"/>
          <w:b/>
          <w:bCs w:val="0"/>
          <w:color w:val="auto"/>
          <w:kern w:val="0"/>
          <w:sz w:val="24"/>
          <w:szCs w:val="24"/>
          <w:highlight w:val="none"/>
        </w:rPr>
        <w:t>）</w:t>
      </w:r>
    </w:p>
    <w:p w14:paraId="33B27DB9">
      <w:pPr>
        <w:keepNext w:val="0"/>
        <w:keepLines w:val="0"/>
        <w:pageBreakBefore w:val="0"/>
        <w:widowControl/>
        <w:kinsoku/>
        <w:wordWrap/>
        <w:overflowPunct/>
        <w:topLinePunct w:val="0"/>
        <w:autoSpaceDE/>
        <w:autoSpaceDN/>
        <w:bidi w:val="0"/>
        <w:adjustRightInd w:val="0"/>
        <w:snapToGrid w:val="0"/>
        <w:spacing w:before="312" w:beforeLines="100" w:line="380" w:lineRule="exact"/>
        <w:ind w:firstLine="638" w:firstLineChars="26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联合体）郑重声明，根据《政府采购促进中小企业发展管理办法》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财库﹝2020﹞46 号）的规定，本公司参加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或者：服务全部由符合政策要求的中小企业承接）。相关企业的具体情况如下：</w:t>
      </w:r>
    </w:p>
    <w:p w14:paraId="098BA2EF">
      <w:pPr>
        <w:keepNext w:val="0"/>
        <w:keepLines w:val="0"/>
        <w:pageBreakBefore w:val="0"/>
        <w:widowControl/>
        <w:kinsoku/>
        <w:wordWrap/>
        <w:overflowPunct/>
        <w:topLinePunct w:val="0"/>
        <w:autoSpaceDE/>
        <w:autoSpaceDN/>
        <w:bidi w:val="0"/>
        <w:adjustRightInd w:val="0"/>
        <w:snapToGrid w:val="0"/>
        <w:spacing w:line="380" w:lineRule="exact"/>
        <w:ind w:firstLine="638" w:firstLineChars="26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中型企业/小型企业/微型企业）；</w:t>
      </w:r>
    </w:p>
    <w:p w14:paraId="1BF09D87">
      <w:pPr>
        <w:keepNext w:val="0"/>
        <w:keepLines w:val="0"/>
        <w:pageBreakBefore w:val="0"/>
        <w:widowControl/>
        <w:kinsoku/>
        <w:wordWrap/>
        <w:overflowPunct/>
        <w:topLinePunct w:val="0"/>
        <w:autoSpaceDE/>
        <w:autoSpaceDN/>
        <w:bidi w:val="0"/>
        <w:adjustRightInd w:val="0"/>
        <w:snapToGrid w:val="0"/>
        <w:spacing w:line="380" w:lineRule="exact"/>
        <w:ind w:firstLine="638" w:firstLineChars="26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10B1AF7">
      <w:pPr>
        <w:keepNext w:val="0"/>
        <w:keepLines w:val="0"/>
        <w:pageBreakBefore w:val="0"/>
        <w:widowControl/>
        <w:kinsoku/>
        <w:wordWrap/>
        <w:overflowPunct/>
        <w:topLinePunct w:val="0"/>
        <w:autoSpaceDE/>
        <w:autoSpaceDN/>
        <w:bidi w:val="0"/>
        <w:adjustRightInd w:val="0"/>
        <w:snapToGrid w:val="0"/>
        <w:spacing w:line="380" w:lineRule="exact"/>
        <w:ind w:firstLine="638" w:firstLineChars="26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C9E81D9">
      <w:pPr>
        <w:keepNext w:val="0"/>
        <w:keepLines w:val="0"/>
        <w:pageBreakBefore w:val="0"/>
        <w:widowControl/>
        <w:kinsoku/>
        <w:wordWrap/>
        <w:overflowPunct/>
        <w:topLinePunct w:val="0"/>
        <w:autoSpaceDE/>
        <w:autoSpaceDN/>
        <w:bidi w:val="0"/>
        <w:adjustRightInd w:val="0"/>
        <w:snapToGrid w:val="0"/>
        <w:spacing w:line="380" w:lineRule="exact"/>
        <w:ind w:firstLine="638" w:firstLineChars="26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58ACCE7">
      <w:pPr>
        <w:keepNext w:val="0"/>
        <w:keepLines w:val="0"/>
        <w:pageBreakBefore w:val="0"/>
        <w:widowControl/>
        <w:kinsoku/>
        <w:wordWrap/>
        <w:overflowPunct/>
        <w:topLinePunct w:val="0"/>
        <w:autoSpaceDE/>
        <w:autoSpaceDN/>
        <w:bidi w:val="0"/>
        <w:adjustRightInd w:val="0"/>
        <w:snapToGrid w:val="0"/>
        <w:spacing w:line="380" w:lineRule="exact"/>
        <w:ind w:firstLine="638" w:firstLineChars="26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0722F8E">
      <w:pPr>
        <w:keepNext w:val="0"/>
        <w:keepLines w:val="0"/>
        <w:pageBreakBefore w:val="0"/>
        <w:widowControl/>
        <w:kinsoku/>
        <w:wordWrap/>
        <w:overflowPunct/>
        <w:topLinePunct w:val="0"/>
        <w:autoSpaceDE/>
        <w:autoSpaceDN/>
        <w:bidi w:val="0"/>
        <w:adjustRightInd w:val="0"/>
        <w:snapToGrid w:val="0"/>
        <w:spacing w:line="380" w:lineRule="exact"/>
        <w:ind w:firstLine="638" w:firstLineChars="26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盖公章）：</w:t>
      </w:r>
    </w:p>
    <w:p w14:paraId="376F812B">
      <w:pPr>
        <w:keepNext w:val="0"/>
        <w:keepLines w:val="0"/>
        <w:pageBreakBefore w:val="0"/>
        <w:widowControl/>
        <w:kinsoku/>
        <w:wordWrap/>
        <w:overflowPunct/>
        <w:topLinePunct w:val="0"/>
        <w:autoSpaceDE/>
        <w:autoSpaceDN/>
        <w:bidi w:val="0"/>
        <w:adjustRightInd w:val="0"/>
        <w:snapToGrid w:val="0"/>
        <w:spacing w:line="380" w:lineRule="exact"/>
        <w:ind w:firstLine="638" w:firstLineChars="266"/>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p>
    <w:p w14:paraId="00CC7BB6">
      <w:pPr>
        <w:keepNext w:val="0"/>
        <w:keepLines w:val="0"/>
        <w:pageBreakBefore w:val="0"/>
        <w:widowControl/>
        <w:kinsoku/>
        <w:wordWrap/>
        <w:overflowPunct/>
        <w:topLinePunct w:val="0"/>
        <w:autoSpaceDE/>
        <w:autoSpaceDN/>
        <w:bidi w:val="0"/>
        <w:adjustRightInd w:val="0"/>
        <w:snapToGrid w:val="0"/>
        <w:spacing w:line="380" w:lineRule="exact"/>
        <w:ind w:firstLine="641" w:firstLineChars="26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注：1、从业人员、营业收入、资产总额填报上一年度数据，无上一年度数据的新成立企业可不填报。</w:t>
      </w:r>
    </w:p>
    <w:p w14:paraId="0D2A35C0">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ind w:left="19" w:leftChars="0" w:firstLine="641"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bidi="ar-SA"/>
        </w:rPr>
        <w:t>2、</w:t>
      </w:r>
      <w:r>
        <w:rPr>
          <w:rFonts w:hint="eastAsia" w:ascii="宋体" w:hAnsi="宋体" w:eastAsia="宋体" w:cs="宋体"/>
          <w:b/>
          <w:bCs/>
          <w:color w:val="auto"/>
          <w:sz w:val="24"/>
          <w:szCs w:val="24"/>
          <w:highlight w:val="none"/>
        </w:rPr>
        <w:t>中小企业划分标准见工业和信息化部国家统计局国家发展和改革委员财政部《关于印发中小企业划型标准规定的通知》</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工信部联企业【2011】300号）。</w:t>
      </w:r>
    </w:p>
    <w:p w14:paraId="34515CEB">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ind w:left="19" w:leftChars="0" w:firstLine="641"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本次采购标的对应的中小企业划分标准所属行业均为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软件和信息技术服务业</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14:paraId="1A3A9811">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ind w:left="19" w:leftChars="0" w:firstLine="641"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4、若为联合体响应，双方均须提供“</w:t>
      </w:r>
      <w:r>
        <w:rPr>
          <w:rFonts w:hint="eastAsia" w:ascii="宋体" w:hAnsi="宋体" w:eastAsia="宋体" w:cs="宋体"/>
          <w:b/>
          <w:bCs w:val="0"/>
          <w:color w:val="auto"/>
          <w:kern w:val="0"/>
          <w:sz w:val="24"/>
          <w:szCs w:val="24"/>
          <w:highlight w:val="none"/>
        </w:rPr>
        <w:t>中小企业声明函</w:t>
      </w:r>
      <w:r>
        <w:rPr>
          <w:rFonts w:hint="eastAsia" w:ascii="宋体" w:hAnsi="宋体" w:eastAsia="宋体" w:cs="宋体"/>
          <w:b/>
          <w:bCs/>
          <w:color w:val="auto"/>
          <w:sz w:val="24"/>
          <w:szCs w:val="24"/>
          <w:highlight w:val="none"/>
          <w:lang w:val="en-US" w:eastAsia="zh-CN"/>
        </w:rPr>
        <w:t>”，附双方“</w:t>
      </w:r>
      <w:r>
        <w:rPr>
          <w:rFonts w:hint="eastAsia" w:ascii="宋体" w:hAnsi="宋体" w:eastAsia="宋体" w:cs="宋体"/>
          <w:b/>
          <w:bCs w:val="0"/>
          <w:color w:val="auto"/>
          <w:kern w:val="0"/>
          <w:sz w:val="24"/>
          <w:szCs w:val="24"/>
          <w:highlight w:val="none"/>
        </w:rPr>
        <w:t>中小企业声明函</w:t>
      </w:r>
      <w:r>
        <w:rPr>
          <w:rFonts w:hint="eastAsia" w:ascii="宋体" w:hAnsi="宋体" w:eastAsia="宋体" w:cs="宋体"/>
          <w:b/>
          <w:bCs/>
          <w:color w:val="auto"/>
          <w:sz w:val="24"/>
          <w:szCs w:val="24"/>
          <w:highlight w:val="none"/>
          <w:lang w:val="en-US" w:eastAsia="zh-CN"/>
        </w:rPr>
        <w:t>”原件扫描件</w:t>
      </w:r>
    </w:p>
    <w:p w14:paraId="121C1E98">
      <w:pPr>
        <w:keepNext w:val="0"/>
        <w:keepLines w:val="0"/>
        <w:pageBreakBefore w:val="0"/>
        <w:widowControl/>
        <w:numPr>
          <w:ilvl w:val="0"/>
          <w:numId w:val="0"/>
        </w:numPr>
        <w:kinsoku/>
        <w:wordWrap/>
        <w:overflowPunct/>
        <w:topLinePunct w:val="0"/>
        <w:autoSpaceDE/>
        <w:autoSpaceDN/>
        <w:bidi w:val="0"/>
        <w:adjustRightInd w:val="0"/>
        <w:snapToGrid w:val="0"/>
        <w:spacing w:line="380" w:lineRule="exact"/>
        <w:ind w:left="19" w:leftChars="0" w:firstLine="641"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5、若不是</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lang w:val="en-US" w:eastAsia="zh-CN"/>
        </w:rPr>
        <w:t>附件2</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lang w:val="en-US" w:eastAsia="zh-CN"/>
        </w:rPr>
        <w:t>内相关企业</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lang w:val="en-US" w:eastAsia="zh-CN"/>
        </w:rPr>
        <w:t>则无需填写本项</w:t>
      </w:r>
      <w:r>
        <w:rPr>
          <w:rFonts w:hint="eastAsia" w:ascii="宋体" w:hAnsi="宋体" w:eastAsia="宋体" w:cs="宋体"/>
          <w:b/>
          <w:bCs w:val="0"/>
          <w:color w:val="auto"/>
          <w:kern w:val="0"/>
          <w:sz w:val="24"/>
          <w:szCs w:val="24"/>
          <w:highlight w:val="none"/>
          <w:lang w:eastAsia="zh-CN"/>
        </w:rPr>
        <w:t>。</w:t>
      </w:r>
    </w:p>
    <w:bookmarkEnd w:id="678"/>
    <w:p w14:paraId="0C1E8843">
      <w:pPr>
        <w:autoSpaceDE w:val="0"/>
        <w:autoSpaceDN w:val="0"/>
        <w:snapToGrid w:val="0"/>
        <w:spacing w:line="360" w:lineRule="auto"/>
        <w:ind w:firstLine="560"/>
        <w:jc w:val="center"/>
        <w:rPr>
          <w:rFonts w:hint="eastAsia" w:asciiTheme="minorEastAsia" w:hAnsiTheme="minorEastAsia" w:eastAsiaTheme="minorEastAsia" w:cstheme="minorEastAsia"/>
          <w:b/>
          <w:bCs/>
          <w:color w:val="auto"/>
          <w:kern w:val="10"/>
          <w:sz w:val="28"/>
          <w:szCs w:val="28"/>
          <w:highlight w:val="none"/>
        </w:rPr>
      </w:pPr>
      <w:r>
        <w:rPr>
          <w:rFonts w:hint="eastAsia" w:asciiTheme="minorEastAsia" w:hAnsiTheme="minorEastAsia" w:eastAsiaTheme="minorEastAsia" w:cstheme="minorEastAsia"/>
          <w:bCs/>
          <w:color w:val="auto"/>
          <w:sz w:val="24"/>
          <w:szCs w:val="24"/>
          <w:highlight w:val="none"/>
        </w:rPr>
        <w:br w:type="page"/>
      </w:r>
    </w:p>
    <w:p w14:paraId="429EBF6C">
      <w:pPr>
        <w:ind w:firstLine="560"/>
        <w:jc w:val="center"/>
        <w:rPr>
          <w:rFonts w:hint="eastAsia" w:asciiTheme="minorEastAsia" w:hAnsiTheme="minorEastAsia" w:eastAsiaTheme="minorEastAsia" w:cstheme="minorEastAsia"/>
          <w:color w:val="auto"/>
          <w:kern w:val="0"/>
          <w:sz w:val="22"/>
          <w:highlight w:val="none"/>
        </w:rPr>
      </w:pPr>
      <w:r>
        <w:rPr>
          <w:rFonts w:hint="eastAsia" w:asciiTheme="minorEastAsia" w:hAnsiTheme="minorEastAsia" w:eastAsiaTheme="minorEastAsia" w:cstheme="minorEastAsia"/>
          <w:b/>
          <w:bCs/>
          <w:color w:val="auto"/>
          <w:kern w:val="10"/>
          <w:sz w:val="28"/>
          <w:szCs w:val="28"/>
          <w:highlight w:val="none"/>
        </w:rPr>
        <w:t>2、残疾人福利性单位声明函</w:t>
      </w:r>
      <w:bookmarkEnd w:id="675"/>
    </w:p>
    <w:bookmarkEnd w:id="676"/>
    <w:bookmarkEnd w:id="677"/>
    <w:p w14:paraId="32CB69BF">
      <w:pPr>
        <w:autoSpaceDE w:val="0"/>
        <w:autoSpaceDN w:val="0"/>
        <w:spacing w:line="360" w:lineRule="auto"/>
        <w:ind w:firstLine="504" w:firstLineChars="200"/>
        <w:jc w:val="left"/>
        <w:rPr>
          <w:rFonts w:hint="eastAsia" w:asciiTheme="minorEastAsia" w:hAnsiTheme="minorEastAsia" w:eastAsiaTheme="minorEastAsia" w:cstheme="minorEastAsia"/>
          <w:color w:val="auto"/>
          <w:spacing w:val="6"/>
          <w:kern w:val="0"/>
          <w:sz w:val="24"/>
          <w:szCs w:val="24"/>
          <w:highlight w:val="none"/>
        </w:rPr>
      </w:pPr>
      <w:r>
        <w:rPr>
          <w:rFonts w:hint="eastAsia" w:asciiTheme="minorEastAsia" w:hAnsiTheme="minorEastAsia" w:eastAsiaTheme="minorEastAsia" w:cstheme="minorEastAsia"/>
          <w:color w:val="auto"/>
          <w:spacing w:val="6"/>
          <w:kern w:val="0"/>
          <w:sz w:val="24"/>
          <w:szCs w:val="24"/>
          <w:highlight w:val="none"/>
        </w:rPr>
        <w:t>本单位郑重声明，根据《财政部 民政部 中国残疾人联合会关于促进残疾人就业政府采购政策的通知》</w:t>
      </w:r>
      <w:r>
        <w:rPr>
          <w:rFonts w:hint="eastAsia" w:asciiTheme="minorEastAsia" w:hAnsiTheme="minorEastAsia" w:eastAsiaTheme="minorEastAsia" w:cstheme="minorEastAsia"/>
          <w:color w:val="auto"/>
          <w:spacing w:val="6"/>
          <w:kern w:val="0"/>
          <w:sz w:val="24"/>
          <w:szCs w:val="24"/>
          <w:highlight w:val="none"/>
          <w:lang w:eastAsia="zh-CN"/>
        </w:rPr>
        <w:t>（</w:t>
      </w:r>
      <w:r>
        <w:rPr>
          <w:rFonts w:hint="eastAsia" w:asciiTheme="minorEastAsia" w:hAnsiTheme="minorEastAsia" w:eastAsiaTheme="minorEastAsia" w:cstheme="minorEastAsia"/>
          <w:color w:val="auto"/>
          <w:spacing w:val="6"/>
          <w:kern w:val="0"/>
          <w:sz w:val="24"/>
          <w:szCs w:val="24"/>
          <w:highlight w:val="none"/>
        </w:rPr>
        <w:t>财库</w:t>
      </w:r>
      <w:r>
        <w:rPr>
          <w:rFonts w:hint="eastAsia" w:asciiTheme="minorEastAsia" w:hAnsiTheme="minorEastAsia" w:eastAsiaTheme="minorEastAsia" w:cstheme="minorEastAsia"/>
          <w:color w:val="auto"/>
          <w:kern w:val="0"/>
          <w:sz w:val="24"/>
          <w:szCs w:val="24"/>
          <w:highlight w:val="none"/>
        </w:rPr>
        <w:t>〔2017〕 141</w:t>
      </w:r>
      <w:r>
        <w:rPr>
          <w:rFonts w:hint="eastAsia" w:asciiTheme="minorEastAsia" w:hAnsiTheme="minorEastAsia" w:eastAsiaTheme="minorEastAsia" w:cstheme="minorEastAsia"/>
          <w:color w:val="auto"/>
          <w:spacing w:val="6"/>
          <w:kern w:val="0"/>
          <w:sz w:val="24"/>
          <w:szCs w:val="24"/>
          <w:highlight w:val="none"/>
        </w:rPr>
        <w:t>号）的规定，本单位为符合条件的残疾人福利性单位，且本单位参加</w:t>
      </w:r>
      <w:r>
        <w:rPr>
          <w:rFonts w:hint="eastAsia" w:asciiTheme="minorEastAsia" w:hAnsiTheme="minorEastAsia" w:eastAsiaTheme="minorEastAsia" w:cstheme="minorEastAsia"/>
          <w:color w:val="auto"/>
          <w:spacing w:val="6"/>
          <w:ker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6"/>
          <w:kern w:val="0"/>
          <w:sz w:val="24"/>
          <w:szCs w:val="24"/>
          <w:highlight w:val="none"/>
        </w:rPr>
        <w:t>单位的</w:t>
      </w:r>
      <w:r>
        <w:rPr>
          <w:rFonts w:hint="eastAsia" w:asciiTheme="minorEastAsia" w:hAnsiTheme="minorEastAsia" w:eastAsiaTheme="minorEastAsia" w:cstheme="minorEastAsia"/>
          <w:color w:val="auto"/>
          <w:spacing w:val="6"/>
          <w:ker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6"/>
          <w:kern w:val="0"/>
          <w:sz w:val="24"/>
          <w:szCs w:val="24"/>
          <w:highlight w:val="none"/>
        </w:rPr>
        <w:t>项目采购活动提供本单位制造的货物</w:t>
      </w:r>
      <w:r>
        <w:rPr>
          <w:rFonts w:hint="eastAsia" w:asciiTheme="minorEastAsia" w:hAnsiTheme="minorEastAsia" w:eastAsiaTheme="minorEastAsia" w:cstheme="minorEastAsia"/>
          <w:color w:val="auto"/>
          <w:spacing w:val="6"/>
          <w:kern w:val="0"/>
          <w:sz w:val="24"/>
          <w:szCs w:val="24"/>
          <w:highlight w:val="none"/>
          <w:lang w:eastAsia="zh-CN"/>
        </w:rPr>
        <w:t>（</w:t>
      </w:r>
      <w:r>
        <w:rPr>
          <w:rFonts w:hint="eastAsia" w:asciiTheme="minorEastAsia" w:hAnsiTheme="minorEastAsia" w:eastAsiaTheme="minorEastAsia" w:cstheme="minorEastAsia"/>
          <w:color w:val="auto"/>
          <w:spacing w:val="6"/>
          <w:kern w:val="0"/>
          <w:sz w:val="24"/>
          <w:szCs w:val="24"/>
          <w:highlight w:val="none"/>
        </w:rPr>
        <w:t>由本单位承担工程/提供服务），或者提供其他残疾人福利性单位制造的货物</w:t>
      </w:r>
      <w:r>
        <w:rPr>
          <w:rFonts w:hint="eastAsia" w:asciiTheme="minorEastAsia" w:hAnsiTheme="minorEastAsia" w:eastAsiaTheme="minorEastAsia" w:cstheme="minorEastAsia"/>
          <w:color w:val="auto"/>
          <w:spacing w:val="6"/>
          <w:kern w:val="0"/>
          <w:sz w:val="24"/>
          <w:szCs w:val="24"/>
          <w:highlight w:val="none"/>
          <w:lang w:eastAsia="zh-CN"/>
        </w:rPr>
        <w:t>（</w:t>
      </w:r>
      <w:r>
        <w:rPr>
          <w:rFonts w:hint="eastAsia" w:asciiTheme="minorEastAsia" w:hAnsiTheme="minorEastAsia" w:eastAsiaTheme="minorEastAsia" w:cstheme="minorEastAsia"/>
          <w:color w:val="auto"/>
          <w:spacing w:val="6"/>
          <w:kern w:val="0"/>
          <w:sz w:val="24"/>
          <w:szCs w:val="24"/>
          <w:highlight w:val="none"/>
        </w:rPr>
        <w:t>不包括使用非残疾人福利性单位注册商标的货物）。</w:t>
      </w:r>
    </w:p>
    <w:p w14:paraId="4CBE0833">
      <w:pPr>
        <w:autoSpaceDE w:val="0"/>
        <w:autoSpaceDN w:val="0"/>
        <w:spacing w:line="360" w:lineRule="auto"/>
        <w:ind w:firstLine="504" w:firstLineChars="200"/>
        <w:jc w:val="left"/>
        <w:rPr>
          <w:rFonts w:hint="eastAsia" w:asciiTheme="minorEastAsia" w:hAnsiTheme="minorEastAsia" w:eastAsiaTheme="minorEastAsia" w:cstheme="minorEastAsia"/>
          <w:color w:val="auto"/>
          <w:spacing w:val="6"/>
          <w:kern w:val="0"/>
          <w:sz w:val="24"/>
          <w:szCs w:val="24"/>
          <w:highlight w:val="none"/>
        </w:rPr>
      </w:pPr>
      <w:r>
        <w:rPr>
          <w:rFonts w:hint="eastAsia" w:asciiTheme="minorEastAsia" w:hAnsiTheme="minorEastAsia" w:eastAsiaTheme="minorEastAsia" w:cstheme="minorEastAsia"/>
          <w:color w:val="auto"/>
          <w:spacing w:val="6"/>
          <w:kern w:val="0"/>
          <w:sz w:val="24"/>
          <w:szCs w:val="24"/>
          <w:highlight w:val="none"/>
        </w:rPr>
        <w:t>本单位对上述声明的真实性负责。如有虚假，将依法承担相应责任。</w:t>
      </w:r>
    </w:p>
    <w:p w14:paraId="15E40A4E">
      <w:pPr>
        <w:autoSpaceDE w:val="0"/>
        <w:autoSpaceDN w:val="0"/>
        <w:spacing w:line="360" w:lineRule="auto"/>
        <w:ind w:firstLine="504" w:firstLineChars="200"/>
        <w:jc w:val="left"/>
        <w:rPr>
          <w:rFonts w:hint="eastAsia" w:asciiTheme="minorEastAsia" w:hAnsiTheme="minorEastAsia" w:eastAsiaTheme="minorEastAsia" w:cstheme="minorEastAsia"/>
          <w:color w:val="auto"/>
          <w:spacing w:val="6"/>
          <w:kern w:val="0"/>
          <w:sz w:val="24"/>
          <w:szCs w:val="24"/>
          <w:highlight w:val="none"/>
        </w:rPr>
      </w:pPr>
    </w:p>
    <w:p w14:paraId="45C6152A">
      <w:pPr>
        <w:tabs>
          <w:tab w:val="left" w:pos="4860"/>
        </w:tabs>
        <w:autoSpaceDE w:val="0"/>
        <w:autoSpaceDN w:val="0"/>
        <w:spacing w:line="360" w:lineRule="auto"/>
        <w:ind w:right="1560" w:firstLine="504" w:firstLineChars="200"/>
        <w:jc w:val="center"/>
        <w:rPr>
          <w:rFonts w:hint="eastAsia" w:asciiTheme="minorEastAsia" w:hAnsiTheme="minorEastAsia" w:eastAsiaTheme="minorEastAsia" w:cstheme="minorEastAsia"/>
          <w:color w:val="auto"/>
          <w:spacing w:val="6"/>
          <w:kern w:val="0"/>
          <w:sz w:val="24"/>
          <w:szCs w:val="24"/>
          <w:highlight w:val="none"/>
          <w:u w:val="single"/>
          <w:lang w:val="en-US" w:eastAsia="zh-CN"/>
        </w:rPr>
      </w:pPr>
      <w:r>
        <w:rPr>
          <w:rFonts w:hint="eastAsia" w:asciiTheme="minorEastAsia" w:hAnsiTheme="minorEastAsia" w:eastAsiaTheme="minorEastAsia" w:cstheme="minorEastAsia"/>
          <w:color w:val="auto"/>
          <w:spacing w:val="6"/>
          <w:kern w:val="0"/>
          <w:sz w:val="24"/>
          <w:szCs w:val="24"/>
          <w:highlight w:val="none"/>
        </w:rPr>
        <w:t xml:space="preserve">               单位名称</w:t>
      </w:r>
      <w:r>
        <w:rPr>
          <w:rFonts w:hint="eastAsia" w:asciiTheme="minorEastAsia" w:hAnsiTheme="minorEastAsia" w:eastAsiaTheme="minorEastAsia" w:cstheme="minorEastAsia"/>
          <w:color w:val="auto"/>
          <w:spacing w:val="6"/>
          <w:kern w:val="0"/>
          <w:sz w:val="24"/>
          <w:szCs w:val="24"/>
          <w:highlight w:val="none"/>
          <w:lang w:eastAsia="zh-CN"/>
        </w:rPr>
        <w:t>（</w:t>
      </w:r>
      <w:r>
        <w:rPr>
          <w:rFonts w:hint="eastAsia" w:asciiTheme="minorEastAsia" w:hAnsiTheme="minorEastAsia" w:eastAsiaTheme="minorEastAsia" w:cstheme="minorEastAsia"/>
          <w:color w:val="auto"/>
          <w:spacing w:val="6"/>
          <w:kern w:val="0"/>
          <w:sz w:val="24"/>
          <w:szCs w:val="24"/>
          <w:highlight w:val="none"/>
        </w:rPr>
        <w:t>电子签章）：</w:t>
      </w:r>
      <w:r>
        <w:rPr>
          <w:rFonts w:hint="eastAsia" w:asciiTheme="minorEastAsia" w:hAnsiTheme="minorEastAsia" w:eastAsiaTheme="minorEastAsia" w:cstheme="minorEastAsia"/>
          <w:color w:val="auto"/>
          <w:spacing w:val="6"/>
          <w:kern w:val="0"/>
          <w:sz w:val="24"/>
          <w:szCs w:val="24"/>
          <w:highlight w:val="none"/>
          <w:u w:val="single"/>
          <w:lang w:val="en-US" w:eastAsia="zh-CN"/>
        </w:rPr>
        <w:t xml:space="preserve">                          </w:t>
      </w:r>
    </w:p>
    <w:p w14:paraId="0DD0C7D7">
      <w:pPr>
        <w:tabs>
          <w:tab w:val="left" w:pos="4860"/>
        </w:tabs>
        <w:autoSpaceDE w:val="0"/>
        <w:autoSpaceDN w:val="0"/>
        <w:spacing w:line="360" w:lineRule="auto"/>
        <w:ind w:right="1560" w:firstLine="504" w:firstLineChars="200"/>
        <w:jc w:val="center"/>
        <w:rPr>
          <w:rFonts w:hint="eastAsia" w:asciiTheme="minorEastAsia" w:hAnsiTheme="minorEastAsia" w:eastAsiaTheme="minorEastAsia" w:cstheme="minorEastAsia"/>
          <w:color w:val="auto"/>
          <w:spacing w:val="6"/>
          <w:kern w:val="0"/>
          <w:sz w:val="24"/>
          <w:szCs w:val="24"/>
          <w:highlight w:val="none"/>
          <w:u w:val="single"/>
          <w:lang w:val="en-US" w:eastAsia="zh-CN"/>
        </w:rPr>
      </w:pPr>
      <w:r>
        <w:rPr>
          <w:rFonts w:hint="eastAsia" w:asciiTheme="minorEastAsia" w:hAnsiTheme="minorEastAsia" w:eastAsiaTheme="minorEastAsia" w:cstheme="minorEastAsia"/>
          <w:color w:val="auto"/>
          <w:spacing w:val="6"/>
          <w:kern w:val="0"/>
          <w:sz w:val="24"/>
          <w:szCs w:val="24"/>
          <w:highlight w:val="none"/>
        </w:rPr>
        <w:t xml:space="preserve">       日  期：</w:t>
      </w:r>
      <w:r>
        <w:rPr>
          <w:rFonts w:hint="eastAsia" w:asciiTheme="minorEastAsia" w:hAnsiTheme="minorEastAsia" w:eastAsiaTheme="minorEastAsia" w:cstheme="minorEastAsia"/>
          <w:color w:val="auto"/>
          <w:spacing w:val="6"/>
          <w:kern w:val="0"/>
          <w:sz w:val="24"/>
          <w:szCs w:val="24"/>
          <w:highlight w:val="none"/>
          <w:u w:val="single"/>
          <w:lang w:val="en-US" w:eastAsia="zh-CN"/>
        </w:rPr>
        <w:t xml:space="preserve">                     </w:t>
      </w:r>
    </w:p>
    <w:p w14:paraId="6BB4B1B4">
      <w:pPr>
        <w:widowControl/>
        <w:autoSpaceDE w:val="0"/>
        <w:autoSpaceDN w:val="0"/>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eastAsia="zh-CN"/>
        </w:rPr>
        <w:t>（</w:t>
      </w:r>
      <w:r>
        <w:rPr>
          <w:rFonts w:hint="eastAsia" w:asciiTheme="minorEastAsia" w:hAnsiTheme="minorEastAsia" w:eastAsiaTheme="minorEastAsia" w:cstheme="minorEastAsia"/>
          <w:b/>
          <w:color w:val="auto"/>
          <w:kern w:val="0"/>
          <w:sz w:val="24"/>
          <w:szCs w:val="24"/>
          <w:highlight w:val="none"/>
        </w:rPr>
        <w:t>提醒：如果供应商</w:t>
      </w:r>
      <w:r>
        <w:rPr>
          <w:rFonts w:hint="eastAsia" w:asciiTheme="minorEastAsia" w:hAnsiTheme="minorEastAsia" w:eastAsiaTheme="minorEastAsia" w:cstheme="minorEastAsia"/>
          <w:b/>
          <w:color w:val="auto"/>
          <w:spacing w:val="10"/>
          <w:kern w:val="0"/>
          <w:sz w:val="24"/>
          <w:szCs w:val="24"/>
          <w:highlight w:val="none"/>
        </w:rPr>
        <w:t>不是残疾人福利性单位</w:t>
      </w:r>
      <w:r>
        <w:rPr>
          <w:rFonts w:hint="eastAsia" w:asciiTheme="minorEastAsia" w:hAnsiTheme="minorEastAsia" w:eastAsiaTheme="minorEastAsia" w:cstheme="minorEastAsia"/>
          <w:b/>
          <w:color w:val="auto"/>
          <w:kern w:val="0"/>
          <w:sz w:val="24"/>
          <w:szCs w:val="24"/>
          <w:highlight w:val="none"/>
        </w:rPr>
        <w:t>，则不需要提供《残疾人福利性单位声明函》。否则，因此导致虚假投标的后果由供应商自行承担。）</w:t>
      </w:r>
    </w:p>
    <w:p w14:paraId="5C43B947">
      <w:pPr>
        <w:autoSpaceDE w:val="0"/>
        <w:autoSpaceDN w:val="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《财政部民政部中国残疾人联合会关于促进残疾人就业政府采购政策的通知》</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财库</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2017〔141〕号）的规定：</w:t>
      </w:r>
    </w:p>
    <w:p w14:paraId="184FE150">
      <w:pPr>
        <w:autoSpaceDE w:val="0"/>
        <w:autoSpaceDN w:val="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一、享受政府采购支持政策的残疾人福利性单位应当同时满足以下条件：</w:t>
      </w:r>
    </w:p>
    <w:p w14:paraId="4D95B92D">
      <w:pPr>
        <w:autoSpaceDE w:val="0"/>
        <w:autoSpaceDN w:val="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1）安置的残疾人占本单位在职职工人数的比例不低于25%</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含25%），并且安置的残疾人人数不少于10人</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含10人）；</w:t>
      </w:r>
    </w:p>
    <w:p w14:paraId="26BE3397">
      <w:pPr>
        <w:autoSpaceDE w:val="0"/>
        <w:autoSpaceDN w:val="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2）依法与安置的每位残疾人签订了一年以上</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含一年）的劳动合同或服务协议；</w:t>
      </w:r>
    </w:p>
    <w:p w14:paraId="06A3AB16">
      <w:pPr>
        <w:autoSpaceDE w:val="0"/>
        <w:autoSpaceDN w:val="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3）为安置的每位残疾人按月足额缴纳了基本养老保险、基本医疗保险、失业保险、工伤保险和生育保险等社会保险费；</w:t>
      </w:r>
    </w:p>
    <w:p w14:paraId="1C7F4AE7">
      <w:pPr>
        <w:autoSpaceDE w:val="0"/>
        <w:autoSpaceDN w:val="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4）通过银行等金融机构向安置的每位残疾人，按月支付了不低于单位所在区县适用的经省级人民政府批准的月最低工资标准的工资；</w:t>
      </w:r>
    </w:p>
    <w:p w14:paraId="78564066">
      <w:pPr>
        <w:autoSpaceDE w:val="0"/>
        <w:autoSpaceDN w:val="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5）提供本单位制造的货物、承担的工程或者服务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以下简称产品），或者提供其他残疾人福利性单位制造的货物</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不包括使用非残疾人福利性单位注册商标的货物）。</w:t>
      </w:r>
    </w:p>
    <w:p w14:paraId="1C68DE58">
      <w:pPr>
        <w:autoSpaceDE w:val="0"/>
        <w:autoSpaceDN w:val="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二、中标、成交供应商为残疾人福利性单位的，</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或者其委托的</w:t>
      </w:r>
      <w:r>
        <w:rPr>
          <w:rFonts w:hint="eastAsia" w:asciiTheme="minorEastAsia" w:hAnsiTheme="minorEastAsia" w:eastAsiaTheme="minorEastAsia" w:cstheme="minorEastAsia"/>
          <w:color w:val="auto"/>
          <w:kern w:val="0"/>
          <w:sz w:val="24"/>
          <w:szCs w:val="24"/>
          <w:highlight w:val="none"/>
          <w:lang w:eastAsia="zh-CN"/>
        </w:rPr>
        <w:t>采购代理机构</w:t>
      </w:r>
      <w:r>
        <w:rPr>
          <w:rFonts w:hint="eastAsia" w:asciiTheme="minorEastAsia" w:hAnsiTheme="minorEastAsia" w:eastAsiaTheme="minorEastAsia" w:cstheme="minorEastAsia"/>
          <w:color w:val="auto"/>
          <w:kern w:val="0"/>
          <w:sz w:val="24"/>
          <w:szCs w:val="24"/>
          <w:highlight w:val="none"/>
        </w:rPr>
        <w:t>应当随中标、成交结果同时公告其《残疾人福利性单位声明函》，接受社会监督。</w:t>
      </w:r>
    </w:p>
    <w:p w14:paraId="0FE0E980">
      <w:pPr>
        <w:autoSpaceDE w:val="0"/>
        <w:autoSpaceDN w:val="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供应商提供的《残疾人福利性单位声明函》与事实不符的，依照《政府采购法》第七十七条第一款的规定追究法律责任。</w:t>
      </w:r>
    </w:p>
    <w:p w14:paraId="28DBD5CD">
      <w:pPr>
        <w:numPr>
          <w:ilvl w:val="0"/>
          <w:numId w:val="0"/>
        </w:numPr>
        <w:autoSpaceDE w:val="0"/>
        <w:autoSpaceDN w:val="0"/>
        <w:ind w:left="0" w:leftChars="0" w:firstLine="562" w:firstLineChars="200"/>
        <w:rPr>
          <w:rFonts w:hint="eastAsia" w:asciiTheme="minorEastAsia" w:hAnsiTheme="minorEastAsia" w:eastAsiaTheme="minorEastAsia" w:cstheme="minorEastAsia"/>
          <w:b/>
          <w:bCs/>
          <w:color w:val="auto"/>
          <w:kern w:val="10"/>
          <w:sz w:val="28"/>
          <w:szCs w:val="28"/>
          <w:highlight w:val="none"/>
        </w:rPr>
      </w:pPr>
      <w:r>
        <w:rPr>
          <w:rFonts w:hint="eastAsia" w:asciiTheme="minorEastAsia" w:hAnsiTheme="minorEastAsia" w:eastAsiaTheme="minorEastAsia" w:cstheme="minorEastAsia"/>
          <w:b/>
          <w:bCs/>
          <w:color w:val="auto"/>
          <w:kern w:val="10"/>
          <w:sz w:val="28"/>
          <w:szCs w:val="28"/>
          <w:highlight w:val="none"/>
          <w:lang w:val="en-US" w:eastAsia="zh-CN" w:bidi="ar-SA"/>
        </w:rPr>
        <w:t>三、</w:t>
      </w:r>
      <w:r>
        <w:rPr>
          <w:rFonts w:hint="eastAsia" w:asciiTheme="minorEastAsia" w:hAnsiTheme="minorEastAsia" w:eastAsiaTheme="minorEastAsia" w:cstheme="minorEastAsia"/>
          <w:color w:val="auto"/>
          <w:kern w:val="0"/>
          <w:sz w:val="24"/>
          <w:szCs w:val="24"/>
          <w:highlight w:val="none"/>
        </w:rPr>
        <w:t>在政府采购活动中，</w:t>
      </w:r>
      <w:r>
        <w:rPr>
          <w:rFonts w:hint="eastAsia" w:asciiTheme="minorEastAsia" w:hAnsiTheme="minorEastAsia" w:eastAsiaTheme="minorEastAsia" w:cstheme="minorEastAsia"/>
          <w:b/>
          <w:bCs/>
          <w:color w:val="auto"/>
          <w:kern w:val="0"/>
          <w:sz w:val="24"/>
          <w:szCs w:val="24"/>
          <w:highlight w:val="none"/>
        </w:rPr>
        <w:t>残疾人福利性单位视同小型、微型企业</w:t>
      </w:r>
      <w:r>
        <w:rPr>
          <w:rFonts w:hint="eastAsia" w:asciiTheme="minorEastAsia" w:hAnsiTheme="minorEastAsia" w:eastAsiaTheme="minorEastAsia" w:cstheme="minorEastAsia"/>
          <w:color w:val="auto"/>
          <w:kern w:val="0"/>
          <w:sz w:val="24"/>
          <w:szCs w:val="24"/>
          <w:highlight w:val="none"/>
        </w:rPr>
        <w:t>，享受预留份额、评审中价格扣除等促进中小企业发展的政府采购政策。向残疾人福利性单位采购的金额，计入面向中小企业采购的统计数据。残疾人福利性单位属于小型、微型企业的，不重复享受政策。</w:t>
      </w:r>
    </w:p>
    <w:p w14:paraId="490D3E8C">
      <w:pPr>
        <w:ind w:firstLine="560"/>
        <w:jc w:val="center"/>
        <w:rPr>
          <w:rFonts w:hint="eastAsia" w:asciiTheme="minorEastAsia" w:hAnsiTheme="minorEastAsia" w:eastAsiaTheme="minorEastAsia" w:cstheme="minorEastAsia"/>
          <w:b/>
          <w:bCs/>
          <w:color w:val="auto"/>
          <w:kern w:val="10"/>
          <w:sz w:val="28"/>
          <w:szCs w:val="28"/>
          <w:highlight w:val="none"/>
        </w:rPr>
      </w:pPr>
      <w:r>
        <w:rPr>
          <w:rFonts w:hint="eastAsia" w:asciiTheme="minorEastAsia" w:hAnsiTheme="minorEastAsia" w:eastAsiaTheme="minorEastAsia" w:cstheme="minorEastAsia"/>
          <w:b/>
          <w:bCs/>
          <w:color w:val="auto"/>
          <w:kern w:val="10"/>
          <w:sz w:val="28"/>
          <w:szCs w:val="28"/>
          <w:highlight w:val="none"/>
        </w:rPr>
        <w:br w:type="page"/>
      </w:r>
      <w:r>
        <w:rPr>
          <w:rFonts w:hint="eastAsia" w:asciiTheme="minorEastAsia" w:hAnsiTheme="minorEastAsia" w:eastAsiaTheme="minorEastAsia" w:cstheme="minorEastAsia"/>
          <w:b/>
          <w:bCs/>
          <w:color w:val="auto"/>
          <w:kern w:val="10"/>
          <w:sz w:val="28"/>
          <w:szCs w:val="28"/>
          <w:highlight w:val="none"/>
        </w:rPr>
        <w:t>3、监狱企业证明文件</w:t>
      </w:r>
    </w:p>
    <w:p w14:paraId="3943D573">
      <w:pPr>
        <w:autoSpaceDE w:val="0"/>
        <w:autoSpaceDN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13CD2D3">
      <w:pPr>
        <w:autoSpaceDE w:val="0"/>
        <w:autoSpaceDN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省级以上监狱管理局、戒毒管理局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含新疆生产建设兵团）出具的属于监狱企业的证明文件。</w:t>
      </w:r>
    </w:p>
    <w:p w14:paraId="6CBDF74E">
      <w:pPr>
        <w:autoSpaceDE w:val="0"/>
        <w:autoSpaceDN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12EF00F">
      <w:pPr>
        <w:autoSpaceDE w:val="0"/>
        <w:autoSpaceDN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58E0CA8">
      <w:pPr>
        <w:tabs>
          <w:tab w:val="left" w:pos="4860"/>
        </w:tabs>
        <w:autoSpaceDE w:val="0"/>
        <w:autoSpaceDN w:val="0"/>
        <w:spacing w:line="360" w:lineRule="auto"/>
        <w:ind w:right="1560" w:firstLine="504" w:firstLineChars="200"/>
        <w:jc w:val="center"/>
        <w:rPr>
          <w:rFonts w:hint="eastAsia" w:asciiTheme="minorEastAsia" w:hAnsiTheme="minorEastAsia" w:eastAsiaTheme="minorEastAsia" w:cstheme="minorEastAsia"/>
          <w:color w:val="auto"/>
          <w:spacing w:val="6"/>
          <w:kern w:val="0"/>
          <w:sz w:val="24"/>
          <w:szCs w:val="24"/>
          <w:highlight w:val="none"/>
          <w:u w:val="single"/>
          <w:lang w:val="en-US" w:eastAsia="zh-CN"/>
        </w:rPr>
      </w:pPr>
      <w:r>
        <w:rPr>
          <w:rFonts w:hint="eastAsia" w:asciiTheme="minorEastAsia" w:hAnsiTheme="minorEastAsia" w:eastAsiaTheme="minorEastAsia" w:cstheme="minorEastAsia"/>
          <w:color w:val="auto"/>
          <w:spacing w:val="6"/>
          <w:kern w:val="0"/>
          <w:sz w:val="24"/>
          <w:szCs w:val="24"/>
          <w:highlight w:val="none"/>
        </w:rPr>
        <w:t xml:space="preserve">  单位名称</w:t>
      </w:r>
      <w:r>
        <w:rPr>
          <w:rFonts w:hint="eastAsia" w:asciiTheme="minorEastAsia" w:hAnsiTheme="minorEastAsia" w:eastAsiaTheme="minorEastAsia" w:cstheme="minorEastAsia"/>
          <w:color w:val="auto"/>
          <w:spacing w:val="6"/>
          <w:kern w:val="0"/>
          <w:sz w:val="24"/>
          <w:szCs w:val="24"/>
          <w:highlight w:val="none"/>
          <w:lang w:eastAsia="zh-CN"/>
        </w:rPr>
        <w:t>（</w:t>
      </w:r>
      <w:r>
        <w:rPr>
          <w:rFonts w:hint="eastAsia" w:asciiTheme="minorEastAsia" w:hAnsiTheme="minorEastAsia" w:eastAsiaTheme="minorEastAsia" w:cstheme="minorEastAsia"/>
          <w:color w:val="auto"/>
          <w:spacing w:val="6"/>
          <w:kern w:val="0"/>
          <w:sz w:val="24"/>
          <w:szCs w:val="24"/>
          <w:highlight w:val="none"/>
        </w:rPr>
        <w:t>电子签章）：</w:t>
      </w:r>
      <w:r>
        <w:rPr>
          <w:rFonts w:hint="eastAsia" w:asciiTheme="minorEastAsia" w:hAnsiTheme="minorEastAsia" w:eastAsiaTheme="minorEastAsia" w:cstheme="minorEastAsia"/>
          <w:color w:val="auto"/>
          <w:spacing w:val="6"/>
          <w:kern w:val="0"/>
          <w:sz w:val="24"/>
          <w:szCs w:val="24"/>
          <w:highlight w:val="none"/>
          <w:u w:val="single"/>
          <w:lang w:val="en-US" w:eastAsia="zh-CN"/>
        </w:rPr>
        <w:t xml:space="preserve">                          </w:t>
      </w:r>
    </w:p>
    <w:p w14:paraId="6100B3C0">
      <w:pPr>
        <w:autoSpaceDE w:val="0"/>
        <w:autoSpaceDN w:val="0"/>
        <w:spacing w:line="360" w:lineRule="auto"/>
        <w:ind w:firstLine="504"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kern w:val="0"/>
          <w:sz w:val="24"/>
          <w:szCs w:val="24"/>
          <w:highlight w:val="none"/>
        </w:rPr>
        <w:t xml:space="preserve">       </w:t>
      </w:r>
      <w:r>
        <w:rPr>
          <w:rFonts w:hint="eastAsia" w:asciiTheme="minorEastAsia" w:hAnsiTheme="minorEastAsia" w:eastAsiaTheme="minorEastAsia" w:cstheme="minorEastAsia"/>
          <w:color w:val="auto"/>
          <w:spacing w:val="6"/>
          <w:kern w:val="0"/>
          <w:sz w:val="24"/>
          <w:szCs w:val="24"/>
          <w:highlight w:val="none"/>
          <w:lang w:val="en-US" w:eastAsia="zh-CN"/>
        </w:rPr>
        <w:t xml:space="preserve">        </w:t>
      </w:r>
      <w:r>
        <w:rPr>
          <w:rFonts w:hint="eastAsia" w:asciiTheme="minorEastAsia" w:hAnsiTheme="minorEastAsia" w:eastAsiaTheme="minorEastAsia" w:cstheme="minorEastAsia"/>
          <w:color w:val="auto"/>
          <w:spacing w:val="6"/>
          <w:kern w:val="0"/>
          <w:sz w:val="24"/>
          <w:szCs w:val="24"/>
          <w:highlight w:val="none"/>
        </w:rPr>
        <w:t>日  期：</w:t>
      </w:r>
      <w:r>
        <w:rPr>
          <w:rFonts w:hint="eastAsia" w:asciiTheme="minorEastAsia" w:hAnsiTheme="minorEastAsia" w:eastAsiaTheme="minorEastAsia" w:cstheme="minorEastAsia"/>
          <w:color w:val="auto"/>
          <w:spacing w:val="6"/>
          <w:kern w:val="0"/>
          <w:sz w:val="24"/>
          <w:szCs w:val="24"/>
          <w:highlight w:val="none"/>
          <w:u w:val="single"/>
          <w:lang w:val="en-US" w:eastAsia="zh-CN"/>
        </w:rPr>
        <w:t xml:space="preserve">                   </w:t>
      </w:r>
    </w:p>
    <w:p w14:paraId="3A636548">
      <w:pPr>
        <w:autoSpaceDE w:val="0"/>
        <w:autoSpaceDN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在政府采购活动中，</w:t>
      </w:r>
      <w:r>
        <w:rPr>
          <w:rFonts w:hint="eastAsia" w:asciiTheme="minorEastAsia" w:hAnsiTheme="minorEastAsia" w:eastAsiaTheme="minorEastAsia" w:cstheme="minorEastAsia"/>
          <w:b/>
          <w:bCs/>
          <w:color w:val="auto"/>
          <w:kern w:val="0"/>
          <w:sz w:val="24"/>
          <w:szCs w:val="24"/>
          <w:highlight w:val="none"/>
        </w:rPr>
        <w:t>监狱企业视同小型、微型企业</w:t>
      </w:r>
      <w:r>
        <w:rPr>
          <w:rFonts w:hint="eastAsia" w:asciiTheme="minorEastAsia" w:hAnsiTheme="minorEastAsia" w:eastAsiaTheme="minorEastAsia" w:cstheme="minorEastAsia"/>
          <w:color w:val="auto"/>
          <w:kern w:val="0"/>
          <w:sz w:val="24"/>
          <w:szCs w:val="24"/>
          <w:highlight w:val="none"/>
        </w:rPr>
        <w:t>，享受预留份额、评审中价格扣除等政府采购促进中小企业发展的政府采购政策。但监狱企业参加政府采购活动时，</w:t>
      </w:r>
      <w:r>
        <w:rPr>
          <w:rFonts w:hint="eastAsia" w:asciiTheme="minorEastAsia" w:hAnsiTheme="minorEastAsia" w:eastAsiaTheme="minorEastAsia" w:cstheme="minorEastAsia"/>
          <w:b/>
          <w:bCs/>
          <w:color w:val="auto"/>
          <w:kern w:val="0"/>
          <w:sz w:val="24"/>
          <w:szCs w:val="24"/>
          <w:highlight w:val="none"/>
        </w:rPr>
        <w:t>应当提供由省级以上监狱管理局、戒毒管理局</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rPr>
        <w:t>含新疆生产建设兵团）出具的属于监狱企业的证明文件</w:t>
      </w:r>
      <w:r>
        <w:rPr>
          <w:rFonts w:hint="eastAsia" w:asciiTheme="minorEastAsia" w:hAnsiTheme="minorEastAsia" w:eastAsiaTheme="minorEastAsia" w:cstheme="minorEastAsia"/>
          <w:color w:val="auto"/>
          <w:kern w:val="0"/>
          <w:sz w:val="24"/>
          <w:szCs w:val="24"/>
          <w:highlight w:val="none"/>
        </w:rPr>
        <w:t>，否则不能认为其为监狱企业）</w:t>
      </w:r>
    </w:p>
    <w:p w14:paraId="2FB68A8C">
      <w:pPr>
        <w:rPr>
          <w:rFonts w:hint="eastAsia" w:asciiTheme="minorEastAsia" w:hAnsiTheme="minorEastAsia" w:eastAsiaTheme="minorEastAsia" w:cstheme="minorEastAsia"/>
          <w:color w:val="auto"/>
          <w:highlight w:val="none"/>
        </w:rPr>
      </w:pPr>
    </w:p>
    <w:p w14:paraId="5346C718">
      <w:pPr>
        <w:bidi w:val="0"/>
        <w:rPr>
          <w:rFonts w:hint="eastAsia" w:asciiTheme="minorEastAsia" w:hAnsiTheme="minorEastAsia" w:eastAsiaTheme="minorEastAsia" w:cstheme="minorEastAsia"/>
          <w:color w:val="auto"/>
          <w:kern w:val="2"/>
          <w:sz w:val="21"/>
          <w:szCs w:val="21"/>
          <w:highlight w:val="none"/>
          <w:lang w:val="en-US" w:eastAsia="zh-CN" w:bidi="ar-SA"/>
        </w:rPr>
      </w:pPr>
    </w:p>
    <w:p w14:paraId="3385CC92">
      <w:pPr>
        <w:bidi w:val="0"/>
        <w:rPr>
          <w:rFonts w:hint="eastAsia" w:asciiTheme="minorEastAsia" w:hAnsiTheme="minorEastAsia" w:eastAsiaTheme="minorEastAsia" w:cstheme="minorEastAsia"/>
          <w:color w:val="auto"/>
          <w:highlight w:val="none"/>
          <w:lang w:val="en-US" w:eastAsia="zh-CN"/>
        </w:rPr>
      </w:pPr>
    </w:p>
    <w:p w14:paraId="0740A555">
      <w:pPr>
        <w:bidi w:val="0"/>
        <w:rPr>
          <w:rFonts w:hint="eastAsia" w:asciiTheme="minorEastAsia" w:hAnsiTheme="minorEastAsia" w:eastAsiaTheme="minorEastAsia" w:cstheme="minorEastAsia"/>
          <w:color w:val="auto"/>
          <w:highlight w:val="none"/>
          <w:lang w:val="en-US" w:eastAsia="zh-CN"/>
        </w:rPr>
      </w:pPr>
    </w:p>
    <w:p w14:paraId="771423A8">
      <w:pPr>
        <w:bidi w:val="0"/>
        <w:rPr>
          <w:rFonts w:hint="eastAsia" w:asciiTheme="minorEastAsia" w:hAnsiTheme="minorEastAsia" w:eastAsiaTheme="minorEastAsia" w:cstheme="minorEastAsia"/>
          <w:color w:val="auto"/>
          <w:highlight w:val="none"/>
          <w:lang w:val="en-US" w:eastAsia="zh-CN"/>
        </w:rPr>
      </w:pPr>
    </w:p>
    <w:p w14:paraId="3762BDA8">
      <w:pPr>
        <w:bidi w:val="0"/>
        <w:rPr>
          <w:rFonts w:hint="eastAsia" w:asciiTheme="minorEastAsia" w:hAnsiTheme="minorEastAsia" w:eastAsiaTheme="minorEastAsia" w:cstheme="minorEastAsia"/>
          <w:color w:val="auto"/>
          <w:highlight w:val="none"/>
          <w:lang w:val="en-US" w:eastAsia="zh-CN"/>
        </w:rPr>
      </w:pPr>
    </w:p>
    <w:p w14:paraId="3BEF7BDF">
      <w:pPr>
        <w:bidi w:val="0"/>
        <w:rPr>
          <w:rFonts w:hint="eastAsia" w:asciiTheme="minorEastAsia" w:hAnsiTheme="minorEastAsia" w:eastAsiaTheme="minorEastAsia" w:cstheme="minorEastAsia"/>
          <w:color w:val="auto"/>
          <w:highlight w:val="none"/>
          <w:lang w:val="en-US" w:eastAsia="zh-CN"/>
        </w:rPr>
      </w:pPr>
    </w:p>
    <w:p w14:paraId="4C588EFE">
      <w:pPr>
        <w:bidi w:val="0"/>
        <w:rPr>
          <w:rFonts w:hint="eastAsia" w:asciiTheme="minorEastAsia" w:hAnsiTheme="minorEastAsia" w:eastAsiaTheme="minorEastAsia" w:cstheme="minorEastAsia"/>
          <w:color w:val="auto"/>
          <w:highlight w:val="none"/>
          <w:lang w:val="en-US" w:eastAsia="zh-CN"/>
        </w:rPr>
      </w:pPr>
    </w:p>
    <w:p w14:paraId="36A1E5B7">
      <w:pPr>
        <w:bidi w:val="0"/>
        <w:rPr>
          <w:rFonts w:hint="eastAsia" w:asciiTheme="minorEastAsia" w:hAnsiTheme="minorEastAsia" w:eastAsiaTheme="minorEastAsia" w:cstheme="minorEastAsia"/>
          <w:color w:val="auto"/>
          <w:highlight w:val="none"/>
          <w:lang w:val="en-US" w:eastAsia="zh-CN"/>
        </w:rPr>
      </w:pPr>
    </w:p>
    <w:p w14:paraId="2FB14781">
      <w:pPr>
        <w:tabs>
          <w:tab w:val="left" w:pos="2817"/>
        </w:tabs>
        <w:bidi w:val="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ab/>
      </w:r>
    </w:p>
    <w:p w14:paraId="58795CC6">
      <w:pPr>
        <w:rPr>
          <w:rFonts w:hint="eastAsia" w:asciiTheme="minorEastAsia" w:hAnsiTheme="minorEastAsia" w:eastAsiaTheme="minorEastAsia" w:cstheme="minorEastAsia"/>
          <w:color w:val="auto"/>
          <w:highlight w:val="none"/>
        </w:rPr>
      </w:pPr>
    </w:p>
    <w:p w14:paraId="79583E4D">
      <w:pP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br w:type="page"/>
      </w:r>
    </w:p>
    <w:p w14:paraId="1CD2183F">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中小企业划型标准规定</w:t>
      </w:r>
    </w:p>
    <w:p w14:paraId="7A868688">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一、根据《中华人民共和国中小企业促进法》和《国务院关于进一步促进中小企业发展的若干意见》(国发〔2009〕36号）</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制定本规定。</w:t>
      </w:r>
    </w:p>
    <w:p w14:paraId="0D06BB69">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二、中小企业划分为中型、小型、微型三种类型</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具体标准根据企业从业人员、营业收入、资产总额等指标</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结合行业特点制定。</w:t>
      </w:r>
    </w:p>
    <w:p w14:paraId="3F102A58">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三、本规定适用的行业包括：农、林、牧、渔业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工业（包括采矿业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制造业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电力、热力、燃气及水生产和供应业）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建筑业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批发业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零售业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交通运输业（不含铁路运输业）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仓储业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邮政业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住宿业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餐饮业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信息传输业（包括电信、互联网和相关服务）</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软件和信息技术服务业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房地产开发经营</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物业管理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租赁和商务服务业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其他未列明行业（包括科学研究和技术服务业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水利、环境和公共设施管理业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居民服务、修理和其他服务业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社会工作</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文化、体育和娱乐业等）。</w:t>
      </w:r>
    </w:p>
    <w:p w14:paraId="4750CBA4">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四、各行业划型标准为</w:t>
      </w:r>
    </w:p>
    <w:p w14:paraId="6D29FA53">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（一）农、林、牧、渔业。营业收入20000万元以下的为中小微型企业。其中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营业收入500万元及以上的为中型企业</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营业收入50万元及以上的为小型企业</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营业收入50万元以下的为微型企业。</w:t>
      </w:r>
    </w:p>
    <w:p w14:paraId="38DF3CA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（二）工业。从业人员1000人以下或营业收入40000万元以下的为中小微型企业。其中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从业人员300人及以上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且营业收入2000万元及以上的为中型企业；从业人员20人及以上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且营业收入300万元及以上的为小型企业；从业人员20人以下或营业收入300万元以下的为微型企业。</w:t>
      </w:r>
    </w:p>
    <w:p w14:paraId="773AEA4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（三）建筑业。营业收入80000万元以下或资产总额80000万元以下的为中小微型企业。其中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营业收入6000万元及以上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且资产总额5000万元及以上的为中型企业；营业收入300万元及以上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且资产总额300万元及以上的为小型企业；营业收入300万元以下或资产总额300万元以下的为微型企业。</w:t>
      </w:r>
    </w:p>
    <w:p w14:paraId="04F79533">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（四）批发业。从业人员200人以下或营业收入40000万元以下的为中小微型企业。其中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从业人员20人及以上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且营业收入5000万元及以上的为中型企业；从业人员5人及以上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且营业收入1000万元及以上的为小型企业；从业人员5人以下或营业收入1000万元以下的为微型企业。</w:t>
      </w:r>
    </w:p>
    <w:p w14:paraId="23E6BED8">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（五）零售业。从业人员300人以下或营业收入20000万元以下的为中小微型企业。其中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从业人员50人及以上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且营业收入500万元及以上的为中型企业；从业人员10人及以上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且营业收入100万元及以上的为小型企业；从业人员10人以下或营业收入100万元以下的为微型企业。</w:t>
      </w:r>
    </w:p>
    <w:p w14:paraId="4743C527">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（六）交通运输业。从业人员1000人以下或营业收入30000万元以下的为中小微型企业。其中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从业人员300人及以上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且营业收入3000万元及以上的为中型企业；从业人员20人及以上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且营业收入200万元及以上的为小型企业；从业人员20人以下或营业收入200万元以下的为微型企业。</w:t>
      </w:r>
    </w:p>
    <w:p w14:paraId="570D5E77">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（七）仓储业。从业人员200人以下或营业收入30000万元以下的为中小微型企业。其中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从业人员100人及以上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且营业收入1000万元及以上的为中型企业；从业人员20人及以上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且营业收入100万元及以上的为小型企业；从业人员20人以下或营业收入100万元以下的为微型企业。</w:t>
      </w:r>
    </w:p>
    <w:p w14:paraId="295D657E">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（八）邮政业。从业人员1000人以下或营业收入30000万元以下的为中小微型企业。其中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从业人员300人及以上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且营业收入2000万元及以上的为中型企业；从业人员20人及以上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且营业收入100万元及以上的为小型企业；从业人员20人以下或营业收入100万元以下的为微型企业。</w:t>
      </w:r>
    </w:p>
    <w:p w14:paraId="68B313F8">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（九）住宿业。从业人员300人以下或营业收入10000万元以下的为中小微型企业。其中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从业人员100人及以上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且营业收入2000万元及以上的为中型企业；从业人员10人及以上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且营业收入100万元及以上的为小型企业；从业人员10人以下或营业收入100万元以下的为微型企业。</w:t>
      </w:r>
    </w:p>
    <w:p w14:paraId="38B98F9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（十）餐饮业。从业人员300人以下或营业收入10000万元以下的为中小微型企业。其中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从业人员100人及以上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且营业收入2000万元及以上的为中型企业；从业人员10人及以上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且营业收入100万元及以上的为小型企业；从业人员10人以下或营业收入100万元以下的为微型企业。</w:t>
      </w:r>
    </w:p>
    <w:p w14:paraId="49B10086">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（十一）信息传输业。从业人员2000人以下或营业收入100000万元以下的为中小微型企业。其中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从业人员100人及以上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且营业收入1000万元及以上的为中型企业；从业人员10人及以上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且营业收入100万元及以上的为小型企业；从业人员10人以下或营业收入100万元以下的为微型企业。</w:t>
      </w:r>
    </w:p>
    <w:p w14:paraId="2FFC3036">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（十二）软件和信息技术服务业。从业人员300人以下或营业收入10000万元以下的为中小微型企业。其中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从业人员100人及以上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且营业收入1000万元及以上的为中型企业；从业人员10人及以上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且营业收入50万元及以上的为小型企业；从业人员10人以下或营业收入50万元以下的为微型企业。</w:t>
      </w:r>
    </w:p>
    <w:p w14:paraId="27E77CB7">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（十三）房地产开发经营。营业收入200000万元以下或资产总额10000万元以下的为中小微型企业。其中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营业收入1000万元及以上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且资产总额5000万元及以上的为中型企业；营业收入100万元及以上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且资产总额2000万元及以上的为小型企业；营业收入100万元以下或资产总额2000万元以下的为微型企业。</w:t>
      </w:r>
    </w:p>
    <w:p w14:paraId="19C36C30">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（十四）物业管理。从业人员1000人以下或营业收入5000万元以下的为中小微型企业。其中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从业人员300人及以上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且营业收入1000万元及以上的为中型企业；从业人员100人及以上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且营业收入500万元及以上的为小型企业；从业人员100人以下或营业收入500万元以下的为微型企业。</w:t>
      </w:r>
    </w:p>
    <w:p w14:paraId="17CCE2BE">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（十五）租赁和商务服务业。从业人员300人以下或资产总额120000万元以下的为中小微型企业。其中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从业人员100人及以上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且资产总额8000万元及以上的为中型企业；从业人员10人及以上</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且资产总额100万元及以上的为小型企业；从业人员10人以下或资产总额100万元以下的为微型企业。</w:t>
      </w:r>
    </w:p>
    <w:p w14:paraId="15313EA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shd w:val="clear" w:fill="FFFFFF"/>
          <w:lang w:val="en-US" w:eastAsia="zh-CN" w:bidi="ar"/>
        </w:rPr>
        <w:t>（十六）其他未列明行业。从业人员300人以下的为中小微型企业。其中</w:t>
      </w:r>
      <w:r>
        <w:rPr>
          <w:rFonts w:hint="eastAsia" w:ascii="宋体" w:hAnsi="宋体" w:cs="宋体"/>
          <w:color w:val="auto"/>
          <w:kern w:val="2"/>
          <w:sz w:val="24"/>
          <w:szCs w:val="24"/>
          <w:highlight w:val="none"/>
          <w:shd w:val="clear" w:fill="FFFFFF"/>
          <w:lang w:val="en-US" w:eastAsia="zh-CN" w:bidi="ar"/>
        </w:rPr>
        <w:t>，</w:t>
      </w:r>
      <w:r>
        <w:rPr>
          <w:rFonts w:hint="eastAsia" w:ascii="宋体" w:hAnsi="宋体" w:eastAsia="宋体" w:cs="宋体"/>
          <w:color w:val="auto"/>
          <w:kern w:val="2"/>
          <w:sz w:val="24"/>
          <w:szCs w:val="24"/>
          <w:highlight w:val="none"/>
          <w:shd w:val="clear" w:fill="FFFFFF"/>
          <w:lang w:val="en-US" w:eastAsia="zh-CN" w:bidi="ar"/>
        </w:rPr>
        <w:t>从业人员100人及以上的为中型企业；从业人员10人及以上的为小型企业；从业人员10人以下的为微型企业。</w:t>
      </w:r>
    </w:p>
    <w:p w14:paraId="00151FC2">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五、企业类型的划分以统计部门的统计数据为依据。</w:t>
      </w:r>
    </w:p>
    <w:p w14:paraId="6945481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六、本规定适用于在中华人民共和国境内依法设立的各类所有制和各种组织形式的企业。个体工商户和本规定以外的行业</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参照本规定进行划型。</w:t>
      </w:r>
    </w:p>
    <w:p w14:paraId="4A46F406">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七、本规定的中型企业标准上限即为大型企业标准的下限</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国家统计部门据此制定大中小微型企业的统计分类。国务院有关部门据此进行相关数据分析</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不得制定与本规定不一致的企业划型标准。</w:t>
      </w:r>
    </w:p>
    <w:p w14:paraId="2548F370">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八、本规定由工业和信息化部、国家统计局会同有关部门根据《国民经济行业分类》修订情况和企业发展变化情况适时修订。</w:t>
      </w:r>
    </w:p>
    <w:p w14:paraId="23A34CAE">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九、本规定由工业和信息化部、国家统计局会同有关部门负责解释。</w:t>
      </w:r>
    </w:p>
    <w:p w14:paraId="32CBB45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十、本规定自发布之日起执行</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原国家经贸委、原国家计委、财政部和国家统计局2003年颁布的《中小企业标准暂行规定》同时废止。</w:t>
      </w:r>
    </w:p>
    <w:p w14:paraId="15D80C0D">
      <w:pPr>
        <w:rPr>
          <w:rFonts w:hint="eastAsia" w:ascii="宋体" w:hAnsi="宋体" w:eastAsia="宋体" w:cs="宋体"/>
          <w:color w:val="auto"/>
          <w:sz w:val="24"/>
          <w:szCs w:val="24"/>
          <w:highlight w:val="none"/>
        </w:rPr>
      </w:pPr>
    </w:p>
    <w:p w14:paraId="09ECF6A9">
      <w:pPr>
        <w:rPr>
          <w:rFonts w:hint="eastAsia" w:ascii="宋体" w:hAnsi="宋体" w:eastAsia="宋体" w:cs="宋体"/>
          <w:color w:val="auto"/>
          <w:sz w:val="24"/>
          <w:szCs w:val="24"/>
          <w:highlight w:val="none"/>
        </w:rPr>
      </w:pPr>
    </w:p>
    <w:p w14:paraId="6DCE7FC2">
      <w:pPr>
        <w:rPr>
          <w:rFonts w:hint="eastAsia" w:asciiTheme="minorEastAsia" w:hAnsiTheme="minorEastAsia" w:eastAsiaTheme="minorEastAsia" w:cstheme="minorEastAsia"/>
          <w:color w:val="auto"/>
          <w:sz w:val="48"/>
          <w:szCs w:val="48"/>
          <w:highlight w:val="none"/>
        </w:rPr>
      </w:pPr>
    </w:p>
    <w:p w14:paraId="6E0B348A">
      <w:pPr>
        <w:rPr>
          <w:rFonts w:hint="eastAsia" w:asciiTheme="minorEastAsia" w:hAnsiTheme="minorEastAsia" w:eastAsiaTheme="minorEastAsia" w:cstheme="minorEastAsia"/>
          <w:color w:val="auto"/>
          <w:highlight w:val="none"/>
        </w:rPr>
      </w:pPr>
    </w:p>
    <w:sectPr>
      <w:head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font>
  <w:font w:name="Times New Roman (正文 CS 字体)">
    <w:altName w:val="宋体"/>
    <w:panose1 w:val="020B0604020202020204"/>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57A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2579370</wp:posOffset>
              </wp:positionH>
              <wp:positionV relativeFrom="paragraph">
                <wp:posOffset>0</wp:posOffset>
              </wp:positionV>
              <wp:extent cx="28384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3845" cy="1828800"/>
                      </a:xfrm>
                      <a:prstGeom prst="rect">
                        <a:avLst/>
                      </a:prstGeom>
                      <a:noFill/>
                      <a:ln>
                        <a:noFill/>
                      </a:ln>
                    </wps:spPr>
                    <wps:txbx>
                      <w:txbxContent>
                        <w:p w14:paraId="2F380B31">
                          <w:pPr>
                            <w:pStyle w:val="12"/>
                          </w:pPr>
                        </w:p>
                      </w:txbxContent>
                    </wps:txbx>
                    <wps:bodyPr lIns="0" tIns="0" rIns="0" bIns="0" upright="0">
                      <a:spAutoFit/>
                    </wps:bodyPr>
                  </wps:wsp>
                </a:graphicData>
              </a:graphic>
            </wp:anchor>
          </w:drawing>
        </mc:Choice>
        <mc:Fallback>
          <w:pict>
            <v:shape id="_x0000_s1026" o:spid="_x0000_s1026" o:spt="202" type="#_x0000_t202" style="position:absolute;left:0pt;margin-left:203.1pt;margin-top:0pt;height:144pt;width:22.35pt;mso-position-horizontal-relative:margin;z-index:251660288;mso-width-relative:page;mso-height-relative:page;" filled="f" stroked="f" coordsize="21600,21600" o:gfxdata="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d+tmnVAAAACAEAAA8AAAAAAAAAAQAgAAAAIgAAAGRycy9kb3ducmV2&#10;LnhtbFBLAQIUABQAAAAIAIdO4kDO8+PBxgEAAIwDAAAOAAAAAAAAAAEAIAAAACQBAABkcnMvZTJv&#10;RG9jLnhtbFBLBQYAAAAABgAGAFkBAABcBQAAAAA=&#10;">
              <v:fill on="f" focussize="0,0"/>
              <v:stroke on="f"/>
              <v:imagedata o:title=""/>
              <o:lock v:ext="edit" aspectratio="f"/>
              <v:textbox inset="0mm,0mm,0mm,0mm" style="mso-fit-shape-to-text:t;">
                <w:txbxContent>
                  <w:p w14:paraId="2F380B31">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5740">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28384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83845" cy="1828800"/>
                      </a:xfrm>
                      <a:prstGeom prst="rect">
                        <a:avLst/>
                      </a:prstGeom>
                      <a:noFill/>
                      <a:ln>
                        <a:noFill/>
                      </a:ln>
                    </wps:spPr>
                    <wps:txbx>
                      <w:txbxContent>
                        <w:p w14:paraId="7411E878">
                          <w:pPr>
                            <w:pStyle w:val="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22.35pt;mso-position-horizontal:right;mso-position-horizontal-relative:margin;z-index:251662336;mso-width-relative:page;mso-height-relative:page;" filled="f" stroked="f" coordsize="21600,21600" o:gfxdata="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Lwve0wAAAAQBAAAPAAAAAAAAAAEAIAAAACIAAABkcnMvZG93bnJldi54&#10;bWxQSwECFAAUAAAACACHTuJAkDu5OsYBAACMAwAADgAAAAAAAAABACAAAAAiAQAAZHJzL2Uyb0Rv&#10;Yy54bWxQSwUGAAAAAAYABgBZAQAAWgUAAAAA&#10;">
              <v:fill on="f" focussize="0,0"/>
              <v:stroke on="f"/>
              <v:imagedata o:title=""/>
              <o:lock v:ext="edit" aspectratio="f"/>
              <v:textbox inset="0mm,0mm,0mm,0mm" style="mso-fit-shape-to-text:t;">
                <w:txbxContent>
                  <w:p w14:paraId="7411E878">
                    <w:pPr>
                      <w:pStyle w:val="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4C7F1">
    <w:pPr>
      <w:pStyle w:val="13"/>
      <w:pBdr>
        <w:bottom w:val="none" w:color="auto" w:sz="0" w:space="0"/>
      </w:pBdr>
      <w:ind w:firstLine="630" w:firstLineChars="300"/>
      <w:jc w:val="both"/>
      <w:rPr>
        <w:rFonts w:hint="eastAsia" w:ascii="仿宋" w:hAnsi="仿宋" w:eastAsia="仿宋"/>
        <w:u w:val="single"/>
        <w:lang w:eastAsia="zh-CN"/>
      </w:rPr>
    </w:pPr>
    <w:r>
      <w:rPr>
        <w:sz w:val="21"/>
        <w:szCs w:val="21"/>
        <w:u w:val="single"/>
      </w:rPr>
      <w:drawing>
        <wp:anchor distT="0" distB="0" distL="114300" distR="114300" simplePos="0" relativeHeight="251661312" behindDoc="0" locked="0" layoutInCell="1" allowOverlap="1">
          <wp:simplePos x="0" y="0"/>
          <wp:positionH relativeFrom="column">
            <wp:posOffset>48895</wp:posOffset>
          </wp:positionH>
          <wp:positionV relativeFrom="paragraph">
            <wp:posOffset>237490</wp:posOffset>
          </wp:positionV>
          <wp:extent cx="191135" cy="188595"/>
          <wp:effectExtent l="0" t="0" r="18415" b="1905"/>
          <wp:wrapNone/>
          <wp:docPr id="7" name="图片 7" descr="微信截图_2025030417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50304170621"/>
                  <pic:cNvPicPr>
                    <a:picLocks noChangeAspect="1"/>
                  </pic:cNvPicPr>
                </pic:nvPicPr>
                <pic:blipFill>
                  <a:blip r:embed="rId1"/>
                  <a:stretch>
                    <a:fillRect/>
                  </a:stretch>
                </pic:blipFill>
                <pic:spPr>
                  <a:xfrm>
                    <a:off x="0" y="0"/>
                    <a:ext cx="191135" cy="188595"/>
                  </a:xfrm>
                  <a:prstGeom prst="rect">
                    <a:avLst/>
                  </a:prstGeom>
                </pic:spPr>
              </pic:pic>
            </a:graphicData>
          </a:graphic>
        </wp:anchor>
      </w:drawing>
    </w:r>
  </w:p>
  <w:p w14:paraId="55DCEA1A">
    <w:pPr>
      <w:pStyle w:val="13"/>
      <w:pBdr>
        <w:bottom w:val="none" w:color="auto" w:sz="0" w:space="0"/>
      </w:pBdr>
      <w:ind w:firstLine="360" w:firstLineChars="200"/>
      <w:jc w:val="both"/>
      <w:rPr>
        <w:sz w:val="18"/>
        <w:szCs w:val="18"/>
      </w:rPr>
    </w:pPr>
    <w:r>
      <w:rPr>
        <w:rFonts w:hint="eastAsia" w:ascii="仿宋" w:hAnsi="仿宋" w:eastAsia="仿宋"/>
        <w:sz w:val="18"/>
        <w:szCs w:val="18"/>
        <w:u w:val="single"/>
        <w:lang w:eastAsia="zh-CN"/>
      </w:rPr>
      <w:t>灵宝市窄口库区事务中心窄口试点水库现代化运行管理矩阵建设项目</w:t>
    </w:r>
    <w:r>
      <w:rPr>
        <w:rFonts w:hint="eastAsia" w:ascii="仿宋" w:hAnsi="仿宋" w:eastAsia="仿宋"/>
        <w:sz w:val="18"/>
        <w:szCs w:val="18"/>
        <w:u w:val="single"/>
        <w:lang w:val="en-US" w:eastAsia="zh-CN"/>
      </w:rPr>
      <w:t xml:space="preserve">              竞争性磋商</w:t>
    </w:r>
    <w:r>
      <w:rPr>
        <w:rFonts w:hint="eastAsia" w:ascii="仿宋" w:hAnsi="仿宋" w:eastAsia="仿宋"/>
        <w:sz w:val="18"/>
        <w:szCs w:val="18"/>
        <w:u w:val="single"/>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DE79">
    <w:pPr>
      <w:pStyle w:val="13"/>
      <w:pBdr>
        <w:bottom w:val="none" w:color="auto" w:sz="0" w:space="0"/>
      </w:pBdr>
      <w:ind w:firstLine="540" w:firstLineChars="300"/>
      <w:jc w:val="both"/>
      <w:rPr>
        <w:rFonts w:hint="eastAsia" w:ascii="仿宋" w:hAnsi="仿宋" w:eastAsia="仿宋"/>
        <w:u w:val="single"/>
        <w:lang w:eastAsia="zh-CN"/>
      </w:rPr>
    </w:pPr>
  </w:p>
  <w:p w14:paraId="7C065A0F">
    <w:pPr>
      <w:pStyle w:val="13"/>
      <w:pBdr>
        <w:bottom w:val="none" w:color="auto" w:sz="0" w:space="0"/>
      </w:pBdr>
      <w:ind w:firstLine="360" w:firstLineChars="200"/>
      <w:jc w:val="both"/>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C3A6">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5558D">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E597">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F2904"/>
    <w:multiLevelType w:val="singleLevel"/>
    <w:tmpl w:val="669F29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ESEl11wd6TWWRosyTxeTO0PW5vE=" w:salt="DBZ64PWACcF6rGH7W92tl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1543"/>
    <w:rsid w:val="006D6F3B"/>
    <w:rsid w:val="00E12589"/>
    <w:rsid w:val="03062D2F"/>
    <w:rsid w:val="032B6C3A"/>
    <w:rsid w:val="042A0FA8"/>
    <w:rsid w:val="047F20A7"/>
    <w:rsid w:val="050520C6"/>
    <w:rsid w:val="05412FF9"/>
    <w:rsid w:val="05E117EC"/>
    <w:rsid w:val="06D82255"/>
    <w:rsid w:val="06DA075B"/>
    <w:rsid w:val="080041F1"/>
    <w:rsid w:val="08F1563F"/>
    <w:rsid w:val="09167A44"/>
    <w:rsid w:val="098E3A7F"/>
    <w:rsid w:val="0B09160F"/>
    <w:rsid w:val="0B304DED"/>
    <w:rsid w:val="0D2F2ACE"/>
    <w:rsid w:val="0DAD3568"/>
    <w:rsid w:val="0DC82B7C"/>
    <w:rsid w:val="0FF94348"/>
    <w:rsid w:val="10B1077E"/>
    <w:rsid w:val="131A4BEF"/>
    <w:rsid w:val="13C95DDF"/>
    <w:rsid w:val="144A5ABE"/>
    <w:rsid w:val="16465E0D"/>
    <w:rsid w:val="16907088"/>
    <w:rsid w:val="172A4DE7"/>
    <w:rsid w:val="172B5F8A"/>
    <w:rsid w:val="1917583F"/>
    <w:rsid w:val="1C954E9B"/>
    <w:rsid w:val="1D2247B2"/>
    <w:rsid w:val="1D323AEB"/>
    <w:rsid w:val="1DE218CD"/>
    <w:rsid w:val="1E197963"/>
    <w:rsid w:val="1E641E2B"/>
    <w:rsid w:val="1E717388"/>
    <w:rsid w:val="1F2D6C14"/>
    <w:rsid w:val="1F3A481C"/>
    <w:rsid w:val="21617F9F"/>
    <w:rsid w:val="22596EC8"/>
    <w:rsid w:val="22ED19A4"/>
    <w:rsid w:val="23957A8C"/>
    <w:rsid w:val="24F415D0"/>
    <w:rsid w:val="253D662D"/>
    <w:rsid w:val="26FC7277"/>
    <w:rsid w:val="280E631A"/>
    <w:rsid w:val="28333D17"/>
    <w:rsid w:val="287C4D9B"/>
    <w:rsid w:val="29B631A0"/>
    <w:rsid w:val="2BC453B2"/>
    <w:rsid w:val="2D8172D3"/>
    <w:rsid w:val="2F1A44EC"/>
    <w:rsid w:val="30084E61"/>
    <w:rsid w:val="3027082A"/>
    <w:rsid w:val="303B19BB"/>
    <w:rsid w:val="30436BF9"/>
    <w:rsid w:val="30977539"/>
    <w:rsid w:val="30E67B79"/>
    <w:rsid w:val="32317519"/>
    <w:rsid w:val="349873DC"/>
    <w:rsid w:val="361339D9"/>
    <w:rsid w:val="362C2CEA"/>
    <w:rsid w:val="36AA50EA"/>
    <w:rsid w:val="36C739BA"/>
    <w:rsid w:val="379D1740"/>
    <w:rsid w:val="379F3BD6"/>
    <w:rsid w:val="37DB31D1"/>
    <w:rsid w:val="39736E9C"/>
    <w:rsid w:val="3AD66EFA"/>
    <w:rsid w:val="3C71576B"/>
    <w:rsid w:val="3CBA406E"/>
    <w:rsid w:val="3CC1149A"/>
    <w:rsid w:val="3D0D1DF2"/>
    <w:rsid w:val="3E834CDC"/>
    <w:rsid w:val="3E916962"/>
    <w:rsid w:val="3FFA719D"/>
    <w:rsid w:val="400E2C48"/>
    <w:rsid w:val="419D4ED4"/>
    <w:rsid w:val="419E624E"/>
    <w:rsid w:val="43761230"/>
    <w:rsid w:val="441B1EAC"/>
    <w:rsid w:val="44E4666D"/>
    <w:rsid w:val="45772895"/>
    <w:rsid w:val="4586654C"/>
    <w:rsid w:val="45E155A6"/>
    <w:rsid w:val="45E561F9"/>
    <w:rsid w:val="48B36094"/>
    <w:rsid w:val="49B303BC"/>
    <w:rsid w:val="4B1D629B"/>
    <w:rsid w:val="4B5552D3"/>
    <w:rsid w:val="4BE624D6"/>
    <w:rsid w:val="4C473B7E"/>
    <w:rsid w:val="4D1879C1"/>
    <w:rsid w:val="4D660768"/>
    <w:rsid w:val="4DEA1F48"/>
    <w:rsid w:val="4EC92072"/>
    <w:rsid w:val="4F305F4C"/>
    <w:rsid w:val="506D27E9"/>
    <w:rsid w:val="50D7318B"/>
    <w:rsid w:val="50F9524E"/>
    <w:rsid w:val="53466F93"/>
    <w:rsid w:val="54121DDC"/>
    <w:rsid w:val="54611221"/>
    <w:rsid w:val="5C802090"/>
    <w:rsid w:val="5D5969CE"/>
    <w:rsid w:val="5E836D34"/>
    <w:rsid w:val="5E90073D"/>
    <w:rsid w:val="5EDD21C0"/>
    <w:rsid w:val="5F0402CC"/>
    <w:rsid w:val="5FEB2206"/>
    <w:rsid w:val="60A8239F"/>
    <w:rsid w:val="61F42B89"/>
    <w:rsid w:val="63B82D47"/>
    <w:rsid w:val="66C64D00"/>
    <w:rsid w:val="688651C2"/>
    <w:rsid w:val="68B41F83"/>
    <w:rsid w:val="6A21367E"/>
    <w:rsid w:val="6A8A67F5"/>
    <w:rsid w:val="6AA40929"/>
    <w:rsid w:val="6BDD2B12"/>
    <w:rsid w:val="6BEF1E98"/>
    <w:rsid w:val="6C55297F"/>
    <w:rsid w:val="6CC973B3"/>
    <w:rsid w:val="6E4F250B"/>
    <w:rsid w:val="6FD178FE"/>
    <w:rsid w:val="725928EB"/>
    <w:rsid w:val="7279090F"/>
    <w:rsid w:val="72FE5831"/>
    <w:rsid w:val="732C3EDF"/>
    <w:rsid w:val="738D5D1A"/>
    <w:rsid w:val="74CD3B69"/>
    <w:rsid w:val="752865C0"/>
    <w:rsid w:val="75E35477"/>
    <w:rsid w:val="76021FC9"/>
    <w:rsid w:val="77AF79B9"/>
    <w:rsid w:val="77C677ED"/>
    <w:rsid w:val="78507213"/>
    <w:rsid w:val="78663FDD"/>
    <w:rsid w:val="788141AF"/>
    <w:rsid w:val="7CFE75C5"/>
    <w:rsid w:val="7D364FB1"/>
    <w:rsid w:val="7D67516A"/>
    <w:rsid w:val="7DB16B60"/>
    <w:rsid w:val="7DB21B53"/>
    <w:rsid w:val="7E8D0C00"/>
    <w:rsid w:val="7F71407E"/>
    <w:rsid w:val="7FC9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qFormat="1" w:unhideWhenUsed="0"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line="576" w:lineRule="auto"/>
      <w:jc w:val="center"/>
      <w:outlineLvl w:val="0"/>
    </w:pPr>
    <w:rPr>
      <w:rFonts w:ascii="Times New Roman" w:hAnsi="Times New Roman" w:eastAsia="宋体"/>
      <w:b/>
      <w:bCs/>
      <w:kern w:val="44"/>
      <w:sz w:val="32"/>
      <w:szCs w:val="44"/>
    </w:rPr>
  </w:style>
  <w:style w:type="paragraph" w:styleId="3">
    <w:name w:val="heading 2"/>
    <w:basedOn w:val="1"/>
    <w:next w:val="1"/>
    <w:qFormat/>
    <w:uiPriority w:val="9"/>
    <w:pPr>
      <w:widowControl/>
      <w:suppressAutoHyphens/>
      <w:adjustRightInd w:val="0"/>
      <w:spacing w:before="120" w:after="100" w:afterAutospacing="1" w:line="360" w:lineRule="auto"/>
      <w:ind w:firstLine="567"/>
      <w:jc w:val="center"/>
      <w:outlineLvl w:val="1"/>
    </w:pPr>
    <w:rPr>
      <w:rFonts w:ascii="Arial" w:hAnsi="Arial" w:eastAsia="黑体"/>
      <w:b/>
      <w:bCs/>
      <w:color w:val="FF0000"/>
      <w:kern w:val="28"/>
      <w:sz w:val="30"/>
      <w:szCs w:val="30"/>
    </w:rPr>
  </w:style>
  <w:style w:type="paragraph" w:styleId="4">
    <w:name w:val="heading 3"/>
    <w:basedOn w:val="1"/>
    <w:next w:val="1"/>
    <w:link w:val="27"/>
    <w:qFormat/>
    <w:uiPriority w:val="9"/>
    <w:pPr>
      <w:keepNext/>
      <w:keepLines/>
      <w:spacing w:before="260" w:after="260" w:line="408" w:lineRule="auto"/>
      <w:outlineLvl w:val="2"/>
    </w:pPr>
    <w:rPr>
      <w:b/>
      <w:bCs/>
      <w:kern w:val="0"/>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Body Text"/>
    <w:basedOn w:val="1"/>
    <w:unhideWhenUsed/>
    <w:qFormat/>
    <w:uiPriority w:val="99"/>
    <w:pPr>
      <w:spacing w:after="120"/>
    </w:pPr>
    <w:rPr>
      <w:kern w:val="0"/>
      <w:sz w:val="20"/>
    </w:rPr>
  </w:style>
  <w:style w:type="paragraph" w:styleId="7">
    <w:name w:val="Body Text Indent"/>
    <w:basedOn w:val="1"/>
    <w:next w:val="8"/>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8">
    <w:name w:val="envelope return"/>
    <w:basedOn w:val="1"/>
    <w:unhideWhenUsed/>
    <w:qFormat/>
    <w:uiPriority w:val="99"/>
    <w:pPr>
      <w:snapToGrid w:val="0"/>
    </w:pPr>
    <w:rPr>
      <w:rFonts w:ascii="等线 Light" w:hAnsi="等线 Light" w:eastAsia="等线 Light" w:cs="Times New Roman"/>
    </w:rPr>
  </w:style>
  <w:style w:type="paragraph" w:styleId="9">
    <w:name w:val="Plain Text"/>
    <w:basedOn w:val="1"/>
    <w:unhideWhenUsed/>
    <w:qFormat/>
    <w:uiPriority w:val="99"/>
    <w:rPr>
      <w:rFonts w:ascii="Courier New" w:hAnsi="Courier New"/>
      <w:kern w:val="0"/>
      <w:sz w:val="20"/>
      <w:szCs w:val="20"/>
    </w:rPr>
  </w:style>
  <w:style w:type="paragraph" w:styleId="10">
    <w:name w:val="Date"/>
    <w:basedOn w:val="1"/>
    <w:next w:val="1"/>
    <w:semiHidden/>
    <w:qFormat/>
    <w:uiPriority w:val="0"/>
    <w:pPr>
      <w:spacing w:before="100" w:beforeAutospacing="1" w:after="100" w:afterAutospacing="1"/>
      <w:ind w:left="2500" w:leftChars="2500"/>
    </w:pPr>
    <w:rPr>
      <w:kern w:val="0"/>
      <w:sz w:val="20"/>
    </w:rPr>
  </w:style>
  <w:style w:type="paragraph" w:styleId="11">
    <w:name w:val="Body Text Indent 2"/>
    <w:basedOn w:val="1"/>
    <w:qFormat/>
    <w:uiPriority w:val="0"/>
    <w:pPr>
      <w:ind w:firstLine="630"/>
    </w:pPr>
    <w:rPr>
      <w:rFonts w:ascii="宋体" w:hAnsi="宋体"/>
      <w:kern w:val="0"/>
      <w:sz w:val="32"/>
      <w:szCs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pPr>
      <w:spacing w:before="120" w:after="120"/>
      <w:jc w:val="left"/>
    </w:pPr>
    <w:rPr>
      <w:rFonts w:ascii="Calibri" w:hAnsi="Calibri"/>
      <w:b/>
      <w:bCs/>
      <w:caps/>
      <w:sz w:val="20"/>
      <w:szCs w:val="20"/>
    </w:rPr>
  </w:style>
  <w:style w:type="paragraph" w:styleId="15">
    <w:name w:val="footnote text"/>
    <w:basedOn w:val="1"/>
    <w:qFormat/>
    <w:uiPriority w:val="0"/>
    <w:rPr>
      <w:rFonts w:asciiTheme="minorHAnsi" w:hAnsiTheme="minorHAnsi" w:eastAsiaTheme="minorEastAsia"/>
      <w:sz w:val="18"/>
      <w:szCs w:val="18"/>
    </w:rPr>
  </w:style>
  <w:style w:type="paragraph" w:styleId="16">
    <w:name w:val="Body Text 2"/>
    <w:basedOn w:val="1"/>
    <w:next w:val="9"/>
    <w:qFormat/>
    <w:uiPriority w:val="0"/>
    <w:pPr>
      <w:spacing w:line="500" w:lineRule="exact"/>
      <w:jc w:val="center"/>
    </w:pPr>
    <w:rPr>
      <w:rFonts w:eastAsia="方正小标宋_GBK"/>
      <w:spacing w:val="-20"/>
      <w:sz w:val="4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Body Text First Indent"/>
    <w:basedOn w:val="6"/>
    <w:next w:val="19"/>
    <w:qFormat/>
    <w:uiPriority w:val="99"/>
    <w:pPr>
      <w:ind w:firstLine="420" w:firstLineChars="100"/>
    </w:pPr>
  </w:style>
  <w:style w:type="paragraph" w:styleId="19">
    <w:name w:val="Body Text First Indent 2"/>
    <w:basedOn w:val="1"/>
    <w:next w:val="1"/>
    <w:unhideWhenUsed/>
    <w:qFormat/>
    <w:uiPriority w:val="0"/>
    <w:pPr>
      <w:ind w:firstLine="420" w:firstLineChars="2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paragraph" w:customStyle="1" w:styleId="24">
    <w:name w:val="Default"/>
    <w:basedOn w:val="1"/>
    <w:next w:val="15"/>
    <w:autoRedefine/>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paragraph" w:customStyle="1" w:styleId="25">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6">
    <w:name w:val="font11"/>
    <w:basedOn w:val="22"/>
    <w:qFormat/>
    <w:uiPriority w:val="0"/>
    <w:rPr>
      <w:rFonts w:hint="eastAsia" w:ascii="宋体" w:hAnsi="宋体" w:eastAsia="宋体" w:cs="宋体"/>
      <w:color w:val="000000"/>
      <w:sz w:val="20"/>
      <w:szCs w:val="20"/>
      <w:u w:val="none"/>
    </w:rPr>
  </w:style>
  <w:style w:type="character" w:customStyle="1" w:styleId="27">
    <w:name w:val="标题 3 Char"/>
    <w:basedOn w:val="22"/>
    <w:link w:val="4"/>
    <w:autoRedefine/>
    <w:qFormat/>
    <w:uiPriority w:val="0"/>
    <w:rPr>
      <w:b/>
      <w:bCs/>
      <w:kern w:val="0"/>
      <w:sz w:val="32"/>
      <w:szCs w:val="32"/>
    </w:rPr>
  </w:style>
  <w:style w:type="paragraph" w:customStyle="1" w:styleId="28">
    <w:name w:val="样式 标题 3 + (中文) 黑体 小四 非加粗 段前: 7.8 磅 段后: 0 磅 行距: 固定值 20 磅"/>
    <w:basedOn w:val="4"/>
    <w:autoRedefine/>
    <w:qFormat/>
    <w:uiPriority w:val="0"/>
    <w:pPr>
      <w:spacing w:line="400" w:lineRule="exact"/>
    </w:pPr>
    <w:rPr>
      <w:rFonts w:eastAsia="黑体" w:cs="宋体"/>
      <w:b w:val="0"/>
      <w:bCs w:val="0"/>
      <w:sz w:val="24"/>
      <w:szCs w:val="24"/>
    </w:rPr>
  </w:style>
  <w:style w:type="paragraph" w:customStyle="1" w:styleId="29">
    <w:name w:val="标准文本"/>
    <w:qFormat/>
    <w:uiPriority w:val="0"/>
    <w:pPr>
      <w:widowControl w:val="0"/>
      <w:spacing w:line="360" w:lineRule="auto"/>
      <w:ind w:firstLine="480"/>
      <w:jc w:val="both"/>
    </w:pPr>
    <w:rPr>
      <w:rFonts w:ascii="Calibri" w:hAnsi="Calibri" w:cs="宋体" w:eastAsiaTheme="minorEastAsia"/>
      <w:kern w:val="0"/>
      <w:sz w:val="21"/>
      <w:szCs w:val="22"/>
      <w:lang w:val="en-US" w:eastAsia="zh-CN" w:bidi="ar-SA"/>
    </w:rPr>
  </w:style>
  <w:style w:type="paragraph" w:customStyle="1" w:styleId="30">
    <w:name w:val="方案正文"/>
    <w:basedOn w:val="1"/>
    <w:qFormat/>
    <w:uiPriority w:val="0"/>
    <w:pPr>
      <w:widowControl/>
      <w:tabs>
        <w:tab w:val="left" w:pos="0"/>
      </w:tabs>
      <w:spacing w:line="360" w:lineRule="auto"/>
      <w:ind w:firstLine="200" w:firstLineChars="200"/>
    </w:pPr>
    <w:rPr>
      <w:rFonts w:ascii="Times New Roman" w:hAnsi="Times New Roman" w:eastAsia="宋体" w:cs="Times New Roman (正文 CS 字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19209</Words>
  <Characters>21109</Characters>
  <Lines>0</Lines>
  <Paragraphs>0</Paragraphs>
  <TotalTime>6</TotalTime>
  <ScaleCrop>false</ScaleCrop>
  <LinksUpToDate>false</LinksUpToDate>
  <CharactersWithSpaces>21352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2025-08-03T09:29:00Z</dcterms:created>
  <dc:creator>Administrator</dc:creator>
  <cp:lastModifiedBy>-</cp:lastModifiedBy>
  <dcterms:modified xsi:type="dcterms:W3CDTF">2025-08-08T02:47:41Z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eyJoZGlkIjoiNDQ1OTUwMDNmM2M2YTQ3MmQxODUyZWU1MjNkNDFhY2EiLCJ1c2VySWQiOiIyOTQ1NTMzNDQifQ==</vt:lpwstr>
  </property>
  <property fmtid="{D5CDD505-2E9C-101B-9397-08002B2CF9AE}" pid="4" name="ICV">
    <vt:lpwstr>B0919283BB2C4D0D9AB02A41B024A125_13</vt:lpwstr>
  </property>
</Properties>
</file>