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09AAB">
      <w:pPr>
        <w:pStyle w:val="15"/>
        <w:keepNext w:val="0"/>
        <w:pageBreakBefore w:val="0"/>
        <w:overflowPunct/>
        <w:bidi w:val="0"/>
        <w:spacing w:line="360" w:lineRule="auto"/>
        <w:ind w:firstLine="0" w:firstLineChars="0"/>
        <w:jc w:val="center"/>
        <w:outlineLvl w:val="9"/>
        <w:rPr>
          <w:rFonts w:hint="eastAsia" w:ascii="宋体" w:hAnsi="宋体" w:eastAsia="宋体" w:cs="宋体"/>
          <w:b/>
          <w:bCs/>
          <w:iCs/>
          <w:sz w:val="52"/>
          <w:szCs w:val="52"/>
          <w:highlight w:val="none"/>
        </w:rPr>
      </w:pPr>
    </w:p>
    <w:p w14:paraId="0C2B917D">
      <w:pPr>
        <w:pStyle w:val="15"/>
        <w:keepNext w:val="0"/>
        <w:pageBreakBefore w:val="0"/>
        <w:overflowPunct/>
        <w:bidi w:val="0"/>
        <w:spacing w:line="360" w:lineRule="auto"/>
        <w:ind w:firstLine="0" w:firstLineChars="0"/>
        <w:jc w:val="center"/>
        <w:outlineLvl w:val="9"/>
        <w:rPr>
          <w:rFonts w:hint="eastAsia" w:ascii="宋体" w:hAnsi="宋体" w:eastAsia="宋体" w:cs="宋体"/>
          <w:b/>
          <w:bCs/>
          <w:sz w:val="24"/>
          <w:szCs w:val="24"/>
          <w:highlight w:val="none"/>
          <w:lang w:eastAsia="zh-CN"/>
        </w:rPr>
      </w:pPr>
      <w:r>
        <w:rPr>
          <w:rFonts w:hint="eastAsia" w:ascii="宋体" w:hAnsi="宋体" w:cs="宋体"/>
          <w:b/>
          <w:bCs/>
          <w:iCs/>
          <w:sz w:val="52"/>
          <w:szCs w:val="52"/>
          <w:highlight w:val="none"/>
          <w:lang w:eastAsia="zh-CN"/>
        </w:rPr>
        <w:t>陕州区国有建设用地地籍图成果更新汇交项目</w:t>
      </w:r>
    </w:p>
    <w:p w14:paraId="346C7B18">
      <w:pPr>
        <w:keepNext w:val="0"/>
        <w:pageBreakBefore w:val="0"/>
        <w:overflowPunct/>
        <w:bidi w:val="0"/>
        <w:spacing w:line="360" w:lineRule="auto"/>
        <w:outlineLvl w:val="9"/>
        <w:rPr>
          <w:rFonts w:hint="eastAsia" w:ascii="宋体" w:hAnsi="宋体" w:eastAsia="宋体" w:cs="宋体"/>
          <w:b/>
          <w:bCs/>
          <w:sz w:val="44"/>
          <w:szCs w:val="44"/>
          <w:highlight w:val="none"/>
        </w:rPr>
      </w:pPr>
    </w:p>
    <w:p w14:paraId="53E0EE45">
      <w:pPr>
        <w:keepNext w:val="0"/>
        <w:pageBreakBefore w:val="0"/>
        <w:overflowPunct/>
        <w:bidi w:val="0"/>
        <w:spacing w:line="360" w:lineRule="auto"/>
        <w:jc w:val="center"/>
        <w:outlineLvl w:val="9"/>
        <w:rPr>
          <w:rFonts w:hint="eastAsia" w:ascii="宋体" w:hAnsi="宋体" w:eastAsia="宋体" w:cs="宋体"/>
          <w:b/>
          <w:bCs/>
          <w:sz w:val="44"/>
          <w:szCs w:val="44"/>
          <w:highlight w:val="none"/>
        </w:rPr>
      </w:pPr>
    </w:p>
    <w:p w14:paraId="6E9D752D">
      <w:pPr>
        <w:pStyle w:val="15"/>
        <w:keepNext w:val="0"/>
        <w:pageBreakBefore w:val="0"/>
        <w:overflowPunct/>
        <w:bidi w:val="0"/>
        <w:spacing w:line="360" w:lineRule="auto"/>
        <w:ind w:firstLine="240"/>
        <w:outlineLvl w:val="9"/>
        <w:rPr>
          <w:rFonts w:hint="eastAsia" w:ascii="宋体" w:hAnsi="宋体" w:eastAsia="宋体" w:cs="宋体"/>
          <w:b/>
          <w:bCs/>
          <w:highlight w:val="none"/>
        </w:rPr>
      </w:pPr>
    </w:p>
    <w:p w14:paraId="052D7C21">
      <w:pPr>
        <w:keepNext w:val="0"/>
        <w:pageBreakBefore w:val="0"/>
        <w:overflowPunct/>
        <w:bidi w:val="0"/>
        <w:spacing w:line="360" w:lineRule="auto"/>
        <w:jc w:val="center"/>
        <w:outlineLvl w:val="9"/>
        <w:rPr>
          <w:rFonts w:hint="eastAsia" w:ascii="宋体" w:hAnsi="宋体" w:eastAsia="宋体" w:cs="宋体"/>
          <w:b/>
          <w:bCs/>
          <w:sz w:val="44"/>
          <w:szCs w:val="44"/>
          <w:highlight w:val="none"/>
        </w:rPr>
      </w:pPr>
    </w:p>
    <w:p w14:paraId="4091A253">
      <w:pPr>
        <w:keepNext w:val="0"/>
        <w:pageBreakBefore w:val="0"/>
        <w:overflowPunct/>
        <w:bidi w:val="0"/>
        <w:spacing w:line="360" w:lineRule="auto"/>
        <w:jc w:val="center"/>
        <w:rPr>
          <w:rFonts w:hint="eastAsia" w:ascii="宋体" w:hAnsi="宋体" w:eastAsia="宋体" w:cs="宋体"/>
          <w:b/>
          <w:bCs/>
          <w:sz w:val="36"/>
          <w:szCs w:val="36"/>
          <w:highlight w:val="none"/>
        </w:rPr>
      </w:pPr>
      <w:r>
        <w:rPr>
          <w:rFonts w:hint="eastAsia" w:ascii="宋体" w:hAnsi="宋体" w:eastAsia="宋体" w:cs="宋体"/>
          <w:b/>
          <w:bCs/>
          <w:sz w:val="84"/>
          <w:szCs w:val="84"/>
          <w:highlight w:val="none"/>
        </w:rPr>
        <w:t>竞争性磋商文件</w:t>
      </w:r>
    </w:p>
    <w:p w14:paraId="5422A34A">
      <w:pPr>
        <w:keepNext w:val="0"/>
        <w:pageBreakBefore w:val="0"/>
        <w:overflowPunct/>
        <w:bidi w:val="0"/>
        <w:spacing w:line="360" w:lineRule="auto"/>
        <w:jc w:val="center"/>
        <w:outlineLvl w:val="9"/>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项目编号：陕州竞磋采购-2025-100</w:t>
      </w:r>
    </w:p>
    <w:p w14:paraId="034ED7F3">
      <w:pPr>
        <w:pStyle w:val="2"/>
        <w:rPr>
          <w:rFonts w:hint="default" w:eastAsia="宋体"/>
          <w:highlight w:val="none"/>
          <w:lang w:val="en-US" w:eastAsia="zh-CN"/>
        </w:rPr>
      </w:pPr>
      <w:r>
        <w:rPr>
          <w:rFonts w:hint="eastAsia" w:ascii="宋体" w:hAnsi="宋体" w:cs="宋体"/>
          <w:b/>
          <w:bCs/>
          <w:color w:val="000000"/>
          <w:sz w:val="32"/>
          <w:szCs w:val="32"/>
          <w:highlight w:val="none"/>
          <w:lang w:val="en-US" w:eastAsia="zh-CN"/>
        </w:rPr>
        <w:t xml:space="preserve">           SZGZ[2025]171-ZC114</w:t>
      </w:r>
    </w:p>
    <w:p w14:paraId="3C5692D2">
      <w:pPr>
        <w:keepNext w:val="0"/>
        <w:pageBreakBefore w:val="0"/>
        <w:overflowPunct/>
        <w:bidi w:val="0"/>
        <w:spacing w:line="360" w:lineRule="auto"/>
        <w:outlineLvl w:val="9"/>
        <w:rPr>
          <w:rFonts w:hint="eastAsia" w:ascii="宋体" w:hAnsi="宋体" w:eastAsia="宋体" w:cs="宋体"/>
          <w:b/>
          <w:bCs/>
          <w:color w:val="000000"/>
          <w:sz w:val="28"/>
          <w:szCs w:val="28"/>
          <w:highlight w:val="none"/>
        </w:rPr>
      </w:pPr>
    </w:p>
    <w:p w14:paraId="34BBE1C1">
      <w:pPr>
        <w:keepNext w:val="0"/>
        <w:pageBreakBefore w:val="0"/>
        <w:overflowPunct/>
        <w:bidi w:val="0"/>
        <w:spacing w:line="360" w:lineRule="auto"/>
        <w:ind w:firstLine="1827" w:firstLineChars="650"/>
        <w:outlineLvl w:val="9"/>
        <w:rPr>
          <w:rFonts w:hint="eastAsia" w:ascii="宋体" w:hAnsi="宋体" w:eastAsia="宋体" w:cs="宋体"/>
          <w:b/>
          <w:bCs/>
          <w:color w:val="000000"/>
          <w:sz w:val="28"/>
          <w:szCs w:val="28"/>
          <w:highlight w:val="none"/>
        </w:rPr>
      </w:pPr>
    </w:p>
    <w:p w14:paraId="4122675E">
      <w:pPr>
        <w:keepNext w:val="0"/>
        <w:pageBreakBefore w:val="0"/>
        <w:overflowPunct/>
        <w:bidi w:val="0"/>
        <w:spacing w:line="360" w:lineRule="auto"/>
        <w:ind w:firstLine="1827" w:firstLineChars="650"/>
        <w:outlineLvl w:val="9"/>
        <w:rPr>
          <w:rFonts w:hint="eastAsia" w:ascii="宋体" w:hAnsi="宋体" w:eastAsia="宋体" w:cs="宋体"/>
          <w:b/>
          <w:bCs/>
          <w:color w:val="000000"/>
          <w:sz w:val="28"/>
          <w:szCs w:val="28"/>
          <w:highlight w:val="none"/>
        </w:rPr>
      </w:pPr>
    </w:p>
    <w:p w14:paraId="3EF141CA">
      <w:pPr>
        <w:keepNext w:val="0"/>
        <w:pageBreakBefore w:val="0"/>
        <w:overflowPunct/>
        <w:bidi w:val="0"/>
        <w:spacing w:line="360" w:lineRule="auto"/>
        <w:ind w:firstLine="1687" w:firstLineChars="600"/>
        <w:rPr>
          <w:rFonts w:hint="eastAsia" w:ascii="宋体" w:hAnsi="宋体" w:eastAsia="宋体" w:cs="宋体"/>
          <w:b/>
          <w:bCs/>
          <w:color w:val="000000"/>
          <w:sz w:val="28"/>
          <w:szCs w:val="28"/>
          <w:highlight w:val="none"/>
        </w:rPr>
      </w:pPr>
    </w:p>
    <w:p w14:paraId="08433300">
      <w:pPr>
        <w:keepNext w:val="0"/>
        <w:pageBreakBefore w:val="0"/>
        <w:overflowPunct/>
        <w:bidi w:val="0"/>
        <w:spacing w:line="360" w:lineRule="auto"/>
        <w:ind w:firstLine="1687" w:firstLineChars="600"/>
        <w:rPr>
          <w:rFonts w:hint="eastAsia" w:ascii="宋体" w:hAnsi="宋体" w:eastAsia="宋体" w:cs="宋体"/>
          <w:b/>
          <w:bCs/>
          <w:color w:val="000000"/>
          <w:sz w:val="28"/>
          <w:szCs w:val="28"/>
          <w:highlight w:val="none"/>
        </w:rPr>
      </w:pPr>
    </w:p>
    <w:p w14:paraId="5DE95063">
      <w:pPr>
        <w:keepNext w:val="0"/>
        <w:pageBreakBefore w:val="0"/>
        <w:overflowPunct/>
        <w:bidi w:val="0"/>
        <w:spacing w:line="360" w:lineRule="auto"/>
        <w:ind w:firstLine="1687" w:firstLineChars="600"/>
        <w:rPr>
          <w:rFonts w:hint="eastAsia" w:ascii="宋体" w:hAnsi="宋体" w:eastAsia="宋体" w:cs="宋体"/>
          <w:b/>
          <w:bCs/>
          <w:color w:val="000000"/>
          <w:sz w:val="28"/>
          <w:szCs w:val="28"/>
          <w:highlight w:val="none"/>
          <w:lang w:eastAsia="zh-CN"/>
        </w:rPr>
      </w:pPr>
      <w:r>
        <w:rPr>
          <w:rFonts w:hint="eastAsia" w:ascii="宋体" w:hAnsi="宋体" w:eastAsia="宋体" w:cs="宋体"/>
          <w:b/>
          <w:bCs/>
          <w:color w:val="000000"/>
          <w:sz w:val="28"/>
          <w:szCs w:val="28"/>
          <w:highlight w:val="none"/>
        </w:rPr>
        <w:t>采 购 人：</w:t>
      </w:r>
      <w:r>
        <w:rPr>
          <w:rFonts w:hint="eastAsia" w:ascii="宋体" w:hAnsi="宋体" w:cs="宋体"/>
          <w:b/>
          <w:bCs/>
          <w:color w:val="000000"/>
          <w:sz w:val="28"/>
          <w:szCs w:val="28"/>
          <w:highlight w:val="none"/>
          <w:lang w:eastAsia="zh-CN"/>
        </w:rPr>
        <w:t>三门峡市陕州区自然资源局</w:t>
      </w:r>
    </w:p>
    <w:p w14:paraId="49ED296C">
      <w:pPr>
        <w:keepNext w:val="0"/>
        <w:pageBreakBefore w:val="0"/>
        <w:overflowPunct/>
        <w:bidi w:val="0"/>
        <w:spacing w:line="360" w:lineRule="auto"/>
        <w:ind w:firstLine="1687" w:firstLineChars="600"/>
        <w:jc w:val="both"/>
        <w:rPr>
          <w:rFonts w:hint="eastAsia" w:ascii="宋体" w:hAnsi="宋体" w:eastAsia="宋体" w:cs="宋体"/>
          <w:b/>
          <w:bCs/>
          <w:color w:val="000000"/>
          <w:sz w:val="28"/>
          <w:szCs w:val="28"/>
          <w:highlight w:val="none"/>
          <w:lang w:eastAsia="zh-CN"/>
        </w:rPr>
      </w:pPr>
      <w:r>
        <w:rPr>
          <w:rFonts w:hint="eastAsia" w:ascii="宋体" w:hAnsi="宋体" w:eastAsia="宋体" w:cs="宋体"/>
          <w:b/>
          <w:bCs/>
          <w:color w:val="000000"/>
          <w:sz w:val="28"/>
          <w:szCs w:val="28"/>
          <w:highlight w:val="none"/>
        </w:rPr>
        <w:t>代理机构：</w:t>
      </w:r>
      <w:r>
        <w:rPr>
          <w:rFonts w:hint="eastAsia" w:ascii="宋体" w:hAnsi="宋体" w:cs="宋体"/>
          <w:b/>
          <w:bCs/>
          <w:color w:val="000000"/>
          <w:sz w:val="28"/>
          <w:szCs w:val="28"/>
          <w:highlight w:val="none"/>
          <w:lang w:eastAsia="zh-CN"/>
        </w:rPr>
        <w:t>汇衡昊远项目管理咨询有限公司</w:t>
      </w:r>
    </w:p>
    <w:p w14:paraId="3F21CEBE">
      <w:pPr>
        <w:keepNext w:val="0"/>
        <w:pageBreakBefore w:val="0"/>
        <w:overflowPunct/>
        <w:bidi w:val="0"/>
        <w:spacing w:line="360" w:lineRule="auto"/>
        <w:ind w:firstLine="1687" w:firstLineChars="600"/>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日    期：二〇二</w:t>
      </w:r>
      <w:r>
        <w:rPr>
          <w:rFonts w:hint="eastAsia" w:ascii="宋体" w:hAnsi="宋体" w:eastAsia="宋体" w:cs="宋体"/>
          <w:b/>
          <w:bCs/>
          <w:color w:val="000000"/>
          <w:sz w:val="28"/>
          <w:szCs w:val="28"/>
          <w:highlight w:val="none"/>
          <w:lang w:eastAsia="zh-CN"/>
        </w:rPr>
        <w:t>五</w:t>
      </w:r>
      <w:r>
        <w:rPr>
          <w:rFonts w:hint="eastAsia" w:ascii="宋体" w:hAnsi="宋体" w:eastAsia="宋体" w:cs="宋体"/>
          <w:b/>
          <w:bCs/>
          <w:color w:val="000000"/>
          <w:sz w:val="28"/>
          <w:szCs w:val="28"/>
          <w:highlight w:val="none"/>
        </w:rPr>
        <w:t>年</w:t>
      </w:r>
      <w:r>
        <w:rPr>
          <w:rFonts w:hint="eastAsia" w:ascii="宋体" w:hAnsi="宋体" w:cs="宋体"/>
          <w:b/>
          <w:bCs/>
          <w:color w:val="000000"/>
          <w:sz w:val="28"/>
          <w:szCs w:val="28"/>
          <w:highlight w:val="none"/>
          <w:lang w:val="en-US" w:eastAsia="zh-CN"/>
        </w:rPr>
        <w:t>九</w:t>
      </w:r>
      <w:r>
        <w:rPr>
          <w:rFonts w:hint="eastAsia" w:ascii="宋体" w:hAnsi="宋体" w:eastAsia="宋体" w:cs="宋体"/>
          <w:b/>
          <w:bCs/>
          <w:color w:val="000000"/>
          <w:sz w:val="28"/>
          <w:szCs w:val="28"/>
          <w:highlight w:val="none"/>
        </w:rPr>
        <w:t>月</w:t>
      </w:r>
    </w:p>
    <w:p w14:paraId="71F61D8C">
      <w:pPr>
        <w:keepNext w:val="0"/>
        <w:pageBreakBefore w:val="0"/>
        <w:overflowPunct/>
        <w:bidi w:val="0"/>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r>
        <w:rPr>
          <w:rFonts w:hint="eastAsia" w:ascii="宋体" w:hAnsi="宋体" w:eastAsia="宋体" w:cs="宋体"/>
          <w:b/>
          <w:sz w:val="28"/>
          <w:szCs w:val="28"/>
          <w:highlight w:val="none"/>
        </w:rPr>
        <w:t>目  录</w:t>
      </w:r>
    </w:p>
    <w:p w14:paraId="6D24ED33">
      <w:pPr>
        <w:pStyle w:val="11"/>
        <w:keepNext w:val="0"/>
        <w:pageBreakBefore w:val="0"/>
        <w:tabs>
          <w:tab w:val="right" w:leader="dot" w:pos="8306"/>
        </w:tabs>
        <w:overflowPunct/>
        <w:bidi w:val="0"/>
        <w:spacing w:line="360" w:lineRule="auto"/>
        <w:rPr>
          <w:highlight w:val="none"/>
        </w:rPr>
      </w:pPr>
      <w:r>
        <w:rPr>
          <w:rFonts w:hint="eastAsia" w:ascii="宋体" w:hAnsi="宋体" w:eastAsia="宋体" w:cs="宋体"/>
          <w:kern w:val="0"/>
          <w:sz w:val="28"/>
          <w:szCs w:val="28"/>
          <w:highlight w:val="none"/>
        </w:rPr>
        <w:fldChar w:fldCharType="begin"/>
      </w:r>
      <w:r>
        <w:rPr>
          <w:rFonts w:hint="eastAsia" w:ascii="宋体" w:hAnsi="宋体" w:eastAsia="宋体" w:cs="宋体"/>
          <w:kern w:val="0"/>
          <w:sz w:val="28"/>
          <w:szCs w:val="28"/>
          <w:highlight w:val="none"/>
        </w:rPr>
        <w:instrText xml:space="preserve">TOC \o "1-1" \h \u </w:instrText>
      </w:r>
      <w:r>
        <w:rPr>
          <w:rFonts w:hint="eastAsia" w:ascii="宋体" w:hAnsi="宋体" w:eastAsia="宋体" w:cs="宋体"/>
          <w:kern w:val="0"/>
          <w:sz w:val="28"/>
          <w:szCs w:val="28"/>
          <w:highlight w:val="none"/>
        </w:rPr>
        <w:fldChar w:fldCharType="separate"/>
      </w:r>
      <w:r>
        <w:rPr>
          <w:rFonts w:hint="eastAsia" w:ascii="宋体" w:hAnsi="宋体" w:eastAsia="宋体" w:cs="宋体"/>
          <w:kern w:val="0"/>
          <w:szCs w:val="28"/>
          <w:highlight w:val="none"/>
        </w:rPr>
        <w:fldChar w:fldCharType="begin"/>
      </w:r>
      <w:r>
        <w:rPr>
          <w:rFonts w:hint="eastAsia" w:ascii="宋体" w:hAnsi="宋体" w:eastAsia="宋体" w:cs="宋体"/>
          <w:kern w:val="0"/>
          <w:szCs w:val="28"/>
          <w:highlight w:val="none"/>
        </w:rPr>
        <w:instrText xml:space="preserve"> HYPERLINK \l _Toc12419 </w:instrText>
      </w:r>
      <w:r>
        <w:rPr>
          <w:rFonts w:hint="eastAsia" w:ascii="宋体" w:hAnsi="宋体" w:eastAsia="宋体" w:cs="宋体"/>
          <w:kern w:val="0"/>
          <w:szCs w:val="28"/>
          <w:highlight w:val="none"/>
        </w:rPr>
        <w:fldChar w:fldCharType="separate"/>
      </w:r>
      <w:r>
        <w:rPr>
          <w:rFonts w:hint="eastAsia" w:ascii="宋体" w:hAnsi="宋体" w:eastAsia="宋体" w:cs="宋体"/>
          <w:bCs w:val="0"/>
          <w:kern w:val="2"/>
          <w:szCs w:val="36"/>
          <w:highlight w:val="none"/>
        </w:rPr>
        <w:t>第一章</w:t>
      </w:r>
      <w:r>
        <w:rPr>
          <w:rFonts w:hint="eastAsia" w:ascii="宋体" w:hAnsi="宋体" w:eastAsia="宋体" w:cs="宋体"/>
          <w:bCs w:val="0"/>
          <w:kern w:val="2"/>
          <w:szCs w:val="36"/>
          <w:highlight w:val="none"/>
          <w:lang w:val="en-US" w:eastAsia="zh-CN"/>
        </w:rPr>
        <w:t xml:space="preserve">  </w:t>
      </w:r>
      <w:r>
        <w:rPr>
          <w:rFonts w:hint="eastAsia" w:ascii="宋体" w:hAnsi="宋体" w:eastAsia="宋体" w:cs="宋体"/>
          <w:bCs w:val="0"/>
          <w:kern w:val="2"/>
          <w:szCs w:val="36"/>
          <w:highlight w:val="none"/>
        </w:rPr>
        <w:t>竞争性磋商公告</w:t>
      </w:r>
      <w:r>
        <w:rPr>
          <w:highlight w:val="none"/>
        </w:rPr>
        <w:tab/>
      </w:r>
      <w:r>
        <w:rPr>
          <w:highlight w:val="none"/>
        </w:rPr>
        <w:fldChar w:fldCharType="begin"/>
      </w:r>
      <w:r>
        <w:rPr>
          <w:highlight w:val="none"/>
        </w:rPr>
        <w:instrText xml:space="preserve"> PAGEREF _Toc12419 \h </w:instrText>
      </w:r>
      <w:r>
        <w:rPr>
          <w:highlight w:val="none"/>
        </w:rPr>
        <w:fldChar w:fldCharType="separate"/>
      </w:r>
      <w:r>
        <w:rPr>
          <w:highlight w:val="none"/>
        </w:rPr>
        <w:t>3</w:t>
      </w:r>
      <w:r>
        <w:rPr>
          <w:highlight w:val="none"/>
        </w:rPr>
        <w:fldChar w:fldCharType="end"/>
      </w:r>
      <w:r>
        <w:rPr>
          <w:rFonts w:hint="eastAsia" w:ascii="宋体" w:hAnsi="宋体" w:eastAsia="宋体" w:cs="宋体"/>
          <w:kern w:val="0"/>
          <w:szCs w:val="28"/>
          <w:highlight w:val="none"/>
        </w:rPr>
        <w:fldChar w:fldCharType="end"/>
      </w:r>
    </w:p>
    <w:p w14:paraId="044D5AE9">
      <w:pPr>
        <w:pStyle w:val="11"/>
        <w:keepNext w:val="0"/>
        <w:pageBreakBefore w:val="0"/>
        <w:tabs>
          <w:tab w:val="right" w:leader="dot" w:pos="8306"/>
        </w:tabs>
        <w:overflowPunct/>
        <w:bidi w:val="0"/>
        <w:spacing w:line="360" w:lineRule="auto"/>
        <w:rPr>
          <w:highlight w:val="none"/>
        </w:rPr>
      </w:pPr>
      <w:r>
        <w:rPr>
          <w:rFonts w:hint="eastAsia" w:ascii="宋体" w:hAnsi="宋体" w:eastAsia="宋体" w:cs="宋体"/>
          <w:kern w:val="0"/>
          <w:szCs w:val="28"/>
          <w:highlight w:val="none"/>
        </w:rPr>
        <w:fldChar w:fldCharType="begin"/>
      </w:r>
      <w:r>
        <w:rPr>
          <w:rFonts w:hint="eastAsia" w:ascii="宋体" w:hAnsi="宋体" w:eastAsia="宋体" w:cs="宋体"/>
          <w:kern w:val="0"/>
          <w:szCs w:val="28"/>
          <w:highlight w:val="none"/>
        </w:rPr>
        <w:instrText xml:space="preserve"> HYPERLINK \l _Toc8836 </w:instrText>
      </w:r>
      <w:r>
        <w:rPr>
          <w:rFonts w:hint="eastAsia" w:ascii="宋体" w:hAnsi="宋体" w:eastAsia="宋体" w:cs="宋体"/>
          <w:kern w:val="0"/>
          <w:szCs w:val="28"/>
          <w:highlight w:val="none"/>
        </w:rPr>
        <w:fldChar w:fldCharType="separate"/>
      </w:r>
      <w:r>
        <w:rPr>
          <w:rFonts w:hint="eastAsia" w:ascii="宋体" w:hAnsi="宋体" w:eastAsia="宋体" w:cs="宋体"/>
          <w:bCs w:val="0"/>
          <w:szCs w:val="36"/>
          <w:highlight w:val="none"/>
        </w:rPr>
        <w:t>第二章  供应商须知</w:t>
      </w:r>
      <w:r>
        <w:rPr>
          <w:highlight w:val="none"/>
        </w:rPr>
        <w:tab/>
      </w:r>
      <w:r>
        <w:rPr>
          <w:highlight w:val="none"/>
        </w:rPr>
        <w:fldChar w:fldCharType="begin"/>
      </w:r>
      <w:r>
        <w:rPr>
          <w:highlight w:val="none"/>
        </w:rPr>
        <w:instrText xml:space="preserve"> PAGEREF _Toc8836 \h </w:instrText>
      </w:r>
      <w:r>
        <w:rPr>
          <w:highlight w:val="none"/>
        </w:rPr>
        <w:fldChar w:fldCharType="separate"/>
      </w:r>
      <w:r>
        <w:rPr>
          <w:highlight w:val="none"/>
        </w:rPr>
        <w:t>7</w:t>
      </w:r>
      <w:r>
        <w:rPr>
          <w:highlight w:val="none"/>
        </w:rPr>
        <w:fldChar w:fldCharType="end"/>
      </w:r>
      <w:r>
        <w:rPr>
          <w:rFonts w:hint="eastAsia" w:ascii="宋体" w:hAnsi="宋体" w:eastAsia="宋体" w:cs="宋体"/>
          <w:kern w:val="0"/>
          <w:szCs w:val="28"/>
          <w:highlight w:val="none"/>
        </w:rPr>
        <w:fldChar w:fldCharType="end"/>
      </w:r>
    </w:p>
    <w:p w14:paraId="26606038">
      <w:pPr>
        <w:pStyle w:val="11"/>
        <w:keepNext w:val="0"/>
        <w:pageBreakBefore w:val="0"/>
        <w:tabs>
          <w:tab w:val="right" w:leader="dot" w:pos="8306"/>
        </w:tabs>
        <w:overflowPunct/>
        <w:bidi w:val="0"/>
        <w:spacing w:line="360" w:lineRule="auto"/>
        <w:rPr>
          <w:highlight w:val="none"/>
        </w:rPr>
      </w:pPr>
      <w:r>
        <w:rPr>
          <w:rFonts w:hint="eastAsia" w:ascii="宋体" w:hAnsi="宋体" w:eastAsia="宋体" w:cs="宋体"/>
          <w:kern w:val="0"/>
          <w:szCs w:val="28"/>
          <w:highlight w:val="none"/>
        </w:rPr>
        <w:fldChar w:fldCharType="begin"/>
      </w:r>
      <w:r>
        <w:rPr>
          <w:rFonts w:hint="eastAsia" w:ascii="宋体" w:hAnsi="宋体" w:eastAsia="宋体" w:cs="宋体"/>
          <w:kern w:val="0"/>
          <w:szCs w:val="28"/>
          <w:highlight w:val="none"/>
        </w:rPr>
        <w:instrText xml:space="preserve"> HYPERLINK \l _Toc23220 </w:instrText>
      </w:r>
      <w:r>
        <w:rPr>
          <w:rFonts w:hint="eastAsia" w:ascii="宋体" w:hAnsi="宋体" w:eastAsia="宋体" w:cs="宋体"/>
          <w:kern w:val="0"/>
          <w:szCs w:val="28"/>
          <w:highlight w:val="none"/>
        </w:rPr>
        <w:fldChar w:fldCharType="separate"/>
      </w:r>
      <w:r>
        <w:rPr>
          <w:rFonts w:hint="eastAsia" w:ascii="宋体" w:hAnsi="宋体" w:eastAsia="宋体" w:cs="宋体"/>
          <w:w w:val="100"/>
          <w:kern w:val="2"/>
          <w:szCs w:val="36"/>
          <w:highlight w:val="none"/>
        </w:rPr>
        <w:t xml:space="preserve">第三章  </w:t>
      </w:r>
      <w:r>
        <w:rPr>
          <w:rFonts w:hint="eastAsia" w:ascii="宋体" w:hAnsi="宋体" w:cs="宋体"/>
          <w:w w:val="100"/>
          <w:kern w:val="2"/>
          <w:szCs w:val="36"/>
          <w:highlight w:val="none"/>
          <w:lang w:eastAsia="zh-CN"/>
        </w:rPr>
        <w:t>采购内容及要求</w:t>
      </w:r>
      <w:r>
        <w:rPr>
          <w:highlight w:val="none"/>
        </w:rPr>
        <w:tab/>
      </w:r>
      <w:r>
        <w:rPr>
          <w:highlight w:val="none"/>
        </w:rPr>
        <w:fldChar w:fldCharType="begin"/>
      </w:r>
      <w:r>
        <w:rPr>
          <w:highlight w:val="none"/>
        </w:rPr>
        <w:instrText xml:space="preserve"> PAGEREF _Toc23220 \h </w:instrText>
      </w:r>
      <w:r>
        <w:rPr>
          <w:highlight w:val="none"/>
        </w:rPr>
        <w:fldChar w:fldCharType="separate"/>
      </w:r>
      <w:r>
        <w:rPr>
          <w:highlight w:val="none"/>
        </w:rPr>
        <w:t>23</w:t>
      </w:r>
      <w:r>
        <w:rPr>
          <w:highlight w:val="none"/>
        </w:rPr>
        <w:fldChar w:fldCharType="end"/>
      </w:r>
      <w:r>
        <w:rPr>
          <w:rFonts w:hint="eastAsia" w:ascii="宋体" w:hAnsi="宋体" w:eastAsia="宋体" w:cs="宋体"/>
          <w:kern w:val="0"/>
          <w:szCs w:val="28"/>
          <w:highlight w:val="none"/>
        </w:rPr>
        <w:fldChar w:fldCharType="end"/>
      </w:r>
    </w:p>
    <w:p w14:paraId="5D2E643E">
      <w:pPr>
        <w:pStyle w:val="11"/>
        <w:keepNext w:val="0"/>
        <w:pageBreakBefore w:val="0"/>
        <w:tabs>
          <w:tab w:val="right" w:leader="dot" w:pos="8306"/>
        </w:tabs>
        <w:overflowPunct/>
        <w:bidi w:val="0"/>
        <w:spacing w:line="360" w:lineRule="auto"/>
        <w:rPr>
          <w:highlight w:val="none"/>
        </w:rPr>
      </w:pPr>
      <w:r>
        <w:rPr>
          <w:rFonts w:hint="eastAsia" w:ascii="宋体" w:hAnsi="宋体" w:eastAsia="宋体" w:cs="宋体"/>
          <w:kern w:val="0"/>
          <w:szCs w:val="28"/>
          <w:highlight w:val="none"/>
        </w:rPr>
        <w:fldChar w:fldCharType="begin"/>
      </w:r>
      <w:r>
        <w:rPr>
          <w:rFonts w:hint="eastAsia" w:ascii="宋体" w:hAnsi="宋体" w:eastAsia="宋体" w:cs="宋体"/>
          <w:kern w:val="0"/>
          <w:szCs w:val="28"/>
          <w:highlight w:val="none"/>
        </w:rPr>
        <w:instrText xml:space="preserve"> HYPERLINK \l _Toc29755 </w:instrText>
      </w:r>
      <w:r>
        <w:rPr>
          <w:rFonts w:hint="eastAsia" w:ascii="宋体" w:hAnsi="宋体" w:eastAsia="宋体" w:cs="宋体"/>
          <w:kern w:val="0"/>
          <w:szCs w:val="28"/>
          <w:highlight w:val="none"/>
        </w:rPr>
        <w:fldChar w:fldCharType="separate"/>
      </w:r>
      <w:r>
        <w:rPr>
          <w:rFonts w:hint="eastAsia" w:ascii="宋体" w:hAnsi="宋体" w:eastAsia="宋体" w:cs="宋体"/>
          <w:w w:val="100"/>
          <w:kern w:val="2"/>
          <w:szCs w:val="36"/>
          <w:highlight w:val="none"/>
        </w:rPr>
        <w:t>第四章  合同条款及合同文件格式</w:t>
      </w:r>
      <w:r>
        <w:rPr>
          <w:highlight w:val="none"/>
        </w:rPr>
        <w:tab/>
      </w:r>
      <w:r>
        <w:rPr>
          <w:highlight w:val="none"/>
        </w:rPr>
        <w:fldChar w:fldCharType="begin"/>
      </w:r>
      <w:r>
        <w:rPr>
          <w:highlight w:val="none"/>
        </w:rPr>
        <w:instrText xml:space="preserve"> PAGEREF _Toc29755 \h </w:instrText>
      </w:r>
      <w:r>
        <w:rPr>
          <w:highlight w:val="none"/>
        </w:rPr>
        <w:fldChar w:fldCharType="separate"/>
      </w:r>
      <w:r>
        <w:rPr>
          <w:highlight w:val="none"/>
        </w:rPr>
        <w:t>25</w:t>
      </w:r>
      <w:r>
        <w:rPr>
          <w:highlight w:val="none"/>
        </w:rPr>
        <w:fldChar w:fldCharType="end"/>
      </w:r>
      <w:r>
        <w:rPr>
          <w:rFonts w:hint="eastAsia" w:ascii="宋体" w:hAnsi="宋体" w:eastAsia="宋体" w:cs="宋体"/>
          <w:kern w:val="0"/>
          <w:szCs w:val="28"/>
          <w:highlight w:val="none"/>
        </w:rPr>
        <w:fldChar w:fldCharType="end"/>
      </w:r>
    </w:p>
    <w:p w14:paraId="415DBFE7">
      <w:pPr>
        <w:pStyle w:val="11"/>
        <w:keepNext w:val="0"/>
        <w:pageBreakBefore w:val="0"/>
        <w:tabs>
          <w:tab w:val="right" w:leader="dot" w:pos="8306"/>
        </w:tabs>
        <w:overflowPunct/>
        <w:bidi w:val="0"/>
        <w:spacing w:line="360" w:lineRule="auto"/>
        <w:rPr>
          <w:highlight w:val="none"/>
        </w:rPr>
      </w:pPr>
      <w:r>
        <w:rPr>
          <w:rFonts w:hint="eastAsia" w:ascii="宋体" w:hAnsi="宋体" w:eastAsia="宋体" w:cs="宋体"/>
          <w:kern w:val="0"/>
          <w:szCs w:val="28"/>
          <w:highlight w:val="none"/>
        </w:rPr>
        <w:fldChar w:fldCharType="begin"/>
      </w:r>
      <w:r>
        <w:rPr>
          <w:rFonts w:hint="eastAsia" w:ascii="宋体" w:hAnsi="宋体" w:eastAsia="宋体" w:cs="宋体"/>
          <w:kern w:val="0"/>
          <w:szCs w:val="28"/>
          <w:highlight w:val="none"/>
        </w:rPr>
        <w:instrText xml:space="preserve"> HYPERLINK \l _Toc23381 </w:instrText>
      </w:r>
      <w:r>
        <w:rPr>
          <w:rFonts w:hint="eastAsia" w:ascii="宋体" w:hAnsi="宋体" w:eastAsia="宋体" w:cs="宋体"/>
          <w:kern w:val="0"/>
          <w:szCs w:val="28"/>
          <w:highlight w:val="none"/>
        </w:rPr>
        <w:fldChar w:fldCharType="separate"/>
      </w:r>
      <w:r>
        <w:rPr>
          <w:rFonts w:hint="eastAsia" w:ascii="宋体" w:hAnsi="宋体" w:eastAsia="宋体" w:cs="宋体"/>
          <w:w w:val="100"/>
          <w:kern w:val="2"/>
          <w:szCs w:val="36"/>
          <w:highlight w:val="none"/>
        </w:rPr>
        <w:t>第五章  评审标准</w:t>
      </w:r>
      <w:r>
        <w:rPr>
          <w:highlight w:val="none"/>
        </w:rPr>
        <w:tab/>
      </w:r>
      <w:r>
        <w:rPr>
          <w:highlight w:val="none"/>
        </w:rPr>
        <w:fldChar w:fldCharType="begin"/>
      </w:r>
      <w:r>
        <w:rPr>
          <w:highlight w:val="none"/>
        </w:rPr>
        <w:instrText xml:space="preserve"> PAGEREF _Toc23381 \h </w:instrText>
      </w:r>
      <w:r>
        <w:rPr>
          <w:highlight w:val="none"/>
        </w:rPr>
        <w:fldChar w:fldCharType="separate"/>
      </w:r>
      <w:r>
        <w:rPr>
          <w:highlight w:val="none"/>
        </w:rPr>
        <w:t>27</w:t>
      </w:r>
      <w:r>
        <w:rPr>
          <w:highlight w:val="none"/>
        </w:rPr>
        <w:fldChar w:fldCharType="end"/>
      </w:r>
      <w:r>
        <w:rPr>
          <w:rFonts w:hint="eastAsia" w:ascii="宋体" w:hAnsi="宋体" w:eastAsia="宋体" w:cs="宋体"/>
          <w:kern w:val="0"/>
          <w:szCs w:val="28"/>
          <w:highlight w:val="none"/>
        </w:rPr>
        <w:fldChar w:fldCharType="end"/>
      </w:r>
    </w:p>
    <w:p w14:paraId="2967A589">
      <w:pPr>
        <w:pStyle w:val="11"/>
        <w:keepNext w:val="0"/>
        <w:pageBreakBefore w:val="0"/>
        <w:tabs>
          <w:tab w:val="right" w:leader="dot" w:pos="8306"/>
        </w:tabs>
        <w:overflowPunct/>
        <w:bidi w:val="0"/>
        <w:spacing w:line="360" w:lineRule="auto"/>
        <w:rPr>
          <w:highlight w:val="none"/>
        </w:rPr>
      </w:pPr>
      <w:r>
        <w:rPr>
          <w:rFonts w:hint="eastAsia" w:ascii="宋体" w:hAnsi="宋体" w:eastAsia="宋体" w:cs="宋体"/>
          <w:kern w:val="0"/>
          <w:szCs w:val="28"/>
          <w:highlight w:val="none"/>
        </w:rPr>
        <w:fldChar w:fldCharType="begin"/>
      </w:r>
      <w:r>
        <w:rPr>
          <w:rFonts w:hint="eastAsia" w:ascii="宋体" w:hAnsi="宋体" w:eastAsia="宋体" w:cs="宋体"/>
          <w:kern w:val="0"/>
          <w:szCs w:val="28"/>
          <w:highlight w:val="none"/>
        </w:rPr>
        <w:instrText xml:space="preserve"> HYPERLINK \l _Toc23848 </w:instrText>
      </w:r>
      <w:r>
        <w:rPr>
          <w:rFonts w:hint="eastAsia" w:ascii="宋体" w:hAnsi="宋体" w:eastAsia="宋体" w:cs="宋体"/>
          <w:kern w:val="0"/>
          <w:szCs w:val="28"/>
          <w:highlight w:val="none"/>
        </w:rPr>
        <w:fldChar w:fldCharType="separate"/>
      </w:r>
      <w:r>
        <w:rPr>
          <w:rFonts w:hint="eastAsia" w:ascii="宋体" w:hAnsi="宋体" w:eastAsia="宋体" w:cs="宋体"/>
          <w:szCs w:val="36"/>
          <w:highlight w:val="none"/>
        </w:rPr>
        <w:t>第六章  磋商文件格式</w:t>
      </w:r>
      <w:r>
        <w:rPr>
          <w:highlight w:val="none"/>
        </w:rPr>
        <w:tab/>
      </w:r>
      <w:r>
        <w:rPr>
          <w:highlight w:val="none"/>
        </w:rPr>
        <w:fldChar w:fldCharType="begin"/>
      </w:r>
      <w:r>
        <w:rPr>
          <w:highlight w:val="none"/>
        </w:rPr>
        <w:instrText xml:space="preserve"> PAGEREF _Toc23848 \h </w:instrText>
      </w:r>
      <w:r>
        <w:rPr>
          <w:highlight w:val="none"/>
        </w:rPr>
        <w:fldChar w:fldCharType="separate"/>
      </w:r>
      <w:r>
        <w:rPr>
          <w:highlight w:val="none"/>
        </w:rPr>
        <w:t>34</w:t>
      </w:r>
      <w:r>
        <w:rPr>
          <w:highlight w:val="none"/>
        </w:rPr>
        <w:fldChar w:fldCharType="end"/>
      </w:r>
      <w:r>
        <w:rPr>
          <w:rFonts w:hint="eastAsia" w:ascii="宋体" w:hAnsi="宋体" w:eastAsia="宋体" w:cs="宋体"/>
          <w:kern w:val="0"/>
          <w:szCs w:val="28"/>
          <w:highlight w:val="none"/>
        </w:rPr>
        <w:fldChar w:fldCharType="end"/>
      </w:r>
    </w:p>
    <w:p w14:paraId="7784B9A4">
      <w:pPr>
        <w:keepNext w:val="0"/>
        <w:pageBreakBefore w:val="0"/>
        <w:widowControl/>
        <w:shd w:val="clear" w:color="auto" w:fill="auto"/>
        <w:overflowPunct/>
        <w:bidi w:val="0"/>
        <w:spacing w:line="360" w:lineRule="auto"/>
        <w:ind w:firstLine="0" w:firstLineChars="0"/>
        <w:jc w:val="center"/>
        <w:outlineLvl w:val="0"/>
        <w:rPr>
          <w:rFonts w:hint="eastAsia" w:ascii="宋体" w:hAnsi="宋体" w:eastAsia="宋体" w:cs="宋体"/>
          <w:b/>
          <w:bCs w:val="0"/>
          <w:kern w:val="2"/>
          <w:sz w:val="36"/>
          <w:szCs w:val="36"/>
          <w:highlight w:val="none"/>
        </w:rPr>
      </w:pPr>
      <w:r>
        <w:rPr>
          <w:rFonts w:hint="eastAsia" w:ascii="宋体" w:hAnsi="宋体" w:eastAsia="宋体" w:cs="宋体"/>
          <w:kern w:val="0"/>
          <w:szCs w:val="28"/>
          <w:highlight w:val="none"/>
        </w:rPr>
        <w:fldChar w:fldCharType="end"/>
      </w:r>
      <w:r>
        <w:rPr>
          <w:rFonts w:hint="eastAsia" w:ascii="宋体" w:hAnsi="宋体" w:eastAsia="宋体" w:cs="宋体"/>
          <w:kern w:val="0"/>
          <w:sz w:val="28"/>
          <w:szCs w:val="28"/>
          <w:highlight w:val="none"/>
        </w:rPr>
        <w:br w:type="page"/>
      </w:r>
      <w:bookmarkStart w:id="0" w:name="_Toc12419"/>
      <w:bookmarkStart w:id="1" w:name="_Toc29570"/>
      <w:r>
        <w:rPr>
          <w:rFonts w:hint="eastAsia" w:ascii="宋体" w:hAnsi="宋体" w:eastAsia="宋体" w:cs="宋体"/>
          <w:b/>
          <w:bCs w:val="0"/>
          <w:kern w:val="2"/>
          <w:sz w:val="36"/>
          <w:szCs w:val="36"/>
          <w:highlight w:val="none"/>
        </w:rPr>
        <w:t>第一章</w:t>
      </w:r>
      <w:r>
        <w:rPr>
          <w:rFonts w:hint="eastAsia" w:ascii="宋体" w:hAnsi="宋体" w:eastAsia="宋体" w:cs="宋体"/>
          <w:b/>
          <w:bCs w:val="0"/>
          <w:kern w:val="2"/>
          <w:sz w:val="36"/>
          <w:szCs w:val="36"/>
          <w:highlight w:val="none"/>
          <w:lang w:val="en-US" w:eastAsia="zh-CN"/>
        </w:rPr>
        <w:t xml:space="preserve">  </w:t>
      </w:r>
      <w:r>
        <w:rPr>
          <w:rFonts w:hint="eastAsia" w:ascii="宋体" w:hAnsi="宋体" w:eastAsia="宋体" w:cs="宋体"/>
          <w:b/>
          <w:bCs w:val="0"/>
          <w:kern w:val="2"/>
          <w:sz w:val="36"/>
          <w:szCs w:val="36"/>
          <w:highlight w:val="none"/>
        </w:rPr>
        <w:t>竞争性磋商公告</w:t>
      </w:r>
      <w:bookmarkEnd w:id="0"/>
      <w:bookmarkEnd w:id="1"/>
    </w:p>
    <w:p w14:paraId="1A16200E">
      <w:pPr>
        <w:pStyle w:val="14"/>
        <w:keepNext w:val="0"/>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rPr>
      </w:pPr>
      <w:bookmarkStart w:id="2" w:name="OLE_LINK1"/>
      <w:r>
        <w:rPr>
          <w:rFonts w:hint="eastAsia" w:ascii="宋体" w:hAnsi="宋体" w:eastAsia="宋体" w:cs="宋体"/>
          <w:highlight w:val="none"/>
        </w:rPr>
        <w:t>项目概况</w:t>
      </w:r>
    </w:p>
    <w:p w14:paraId="4FFE4DA6">
      <w:pPr>
        <w:pStyle w:val="14"/>
        <w:keepNext w:val="0"/>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rPr>
      </w:pPr>
      <w:r>
        <w:rPr>
          <w:rFonts w:hint="eastAsia" w:cs="宋体"/>
          <w:highlight w:val="none"/>
          <w:lang w:eastAsia="zh-CN"/>
        </w:rPr>
        <w:t>陕州区国有建设用地地籍图成果更新汇交项目</w:t>
      </w:r>
      <w:r>
        <w:rPr>
          <w:rFonts w:hint="eastAsia" w:ascii="宋体" w:hAnsi="宋体" w:eastAsia="宋体" w:cs="宋体"/>
          <w:highlight w:val="none"/>
        </w:rPr>
        <w:t>的潜在供应商应在三门峡市公共资源交易中心网获取竞争性磋商文件，并于</w:t>
      </w:r>
      <w:r>
        <w:rPr>
          <w:rFonts w:hint="eastAsia" w:ascii="宋体" w:hAnsi="宋体" w:eastAsia="宋体" w:cs="宋体"/>
          <w:highlight w:val="none"/>
          <w:lang w:eastAsia="zh-CN"/>
        </w:rPr>
        <w:t>2</w:t>
      </w:r>
      <w:r>
        <w:rPr>
          <w:rFonts w:hint="eastAsia" w:ascii="宋体" w:hAnsi="宋体" w:eastAsia="宋体" w:cs="宋体"/>
          <w:highlight w:val="none"/>
          <w:lang w:val="en-US" w:eastAsia="zh-CN"/>
        </w:rPr>
        <w:t>025</w:t>
      </w:r>
      <w:r>
        <w:rPr>
          <w:rFonts w:hint="eastAsia" w:ascii="宋体" w:hAnsi="宋体" w:eastAsia="宋体" w:cs="宋体"/>
          <w:highlight w:val="none"/>
        </w:rPr>
        <w:t>年</w:t>
      </w:r>
      <w:r>
        <w:rPr>
          <w:rFonts w:hint="eastAsia" w:cs="宋体"/>
          <w:highlight w:val="none"/>
          <w:lang w:val="en-US" w:eastAsia="zh-CN"/>
        </w:rPr>
        <w:t>09</w:t>
      </w:r>
      <w:r>
        <w:rPr>
          <w:rFonts w:hint="eastAsia" w:ascii="宋体" w:hAnsi="宋体" w:eastAsia="宋体" w:cs="宋体"/>
          <w:highlight w:val="none"/>
        </w:rPr>
        <w:t>月</w:t>
      </w:r>
      <w:r>
        <w:rPr>
          <w:rFonts w:hint="eastAsia" w:cs="宋体"/>
          <w:highlight w:val="none"/>
          <w:lang w:val="en-US" w:eastAsia="zh-CN"/>
        </w:rPr>
        <w:t>19</w:t>
      </w:r>
      <w:r>
        <w:rPr>
          <w:rFonts w:hint="eastAsia" w:ascii="宋体" w:hAnsi="宋体" w:eastAsia="宋体" w:cs="宋体"/>
          <w:highlight w:val="none"/>
        </w:rPr>
        <w:t>日</w:t>
      </w:r>
      <w:r>
        <w:rPr>
          <w:rFonts w:hint="eastAsia" w:cs="宋体"/>
          <w:highlight w:val="none"/>
          <w:lang w:val="en-US" w:eastAsia="zh-CN"/>
        </w:rPr>
        <w:t>08时20分</w:t>
      </w:r>
      <w:r>
        <w:rPr>
          <w:rFonts w:hint="eastAsia" w:ascii="宋体" w:hAnsi="宋体" w:eastAsia="宋体" w:cs="宋体"/>
          <w:highlight w:val="none"/>
        </w:rPr>
        <w:t>（北京时间）前递交响应文件。</w:t>
      </w:r>
    </w:p>
    <w:p w14:paraId="709903F5">
      <w:pPr>
        <w:pStyle w:val="14"/>
        <w:keepNext w:val="0"/>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rPr>
      </w:pPr>
      <w:r>
        <w:rPr>
          <w:rFonts w:hint="eastAsia" w:ascii="宋体" w:hAnsi="宋体" w:eastAsia="宋体" w:cs="宋体"/>
          <w:highlight w:val="none"/>
        </w:rPr>
        <w:t>一、项目基本情况</w:t>
      </w:r>
    </w:p>
    <w:p w14:paraId="30D57551">
      <w:pPr>
        <w:pStyle w:val="14"/>
        <w:keepNext w:val="0"/>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rPr>
      </w:pPr>
      <w:r>
        <w:rPr>
          <w:rFonts w:hint="eastAsia" w:ascii="宋体" w:hAnsi="宋体" w:eastAsia="宋体" w:cs="宋体"/>
          <w:highlight w:val="none"/>
        </w:rPr>
        <w:t>1.项目编号</w:t>
      </w:r>
      <w:r>
        <w:rPr>
          <w:rFonts w:hint="eastAsia" w:ascii="宋体" w:hAnsi="宋体" w:eastAsia="宋体" w:cs="宋体"/>
          <w:highlight w:val="none"/>
          <w:lang w:eastAsia="zh-CN"/>
        </w:rPr>
        <w:t>：陕州竞磋采购-2025-100</w:t>
      </w:r>
      <w:r>
        <w:rPr>
          <w:rFonts w:hint="eastAsia" w:cs="宋体"/>
          <w:highlight w:val="none"/>
          <w:lang w:eastAsia="zh-CN"/>
        </w:rPr>
        <w:t>、SZGZ[2025]171-ZC114</w:t>
      </w:r>
    </w:p>
    <w:p w14:paraId="5721DA19">
      <w:pPr>
        <w:pStyle w:val="14"/>
        <w:keepNext w:val="0"/>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lang w:eastAsia="zh-CN"/>
        </w:rPr>
      </w:pPr>
      <w:r>
        <w:rPr>
          <w:rFonts w:hint="eastAsia" w:ascii="宋体" w:hAnsi="宋体" w:eastAsia="宋体" w:cs="宋体"/>
          <w:highlight w:val="none"/>
        </w:rPr>
        <w:t>2.项目名称：</w:t>
      </w:r>
      <w:r>
        <w:rPr>
          <w:rFonts w:hint="eastAsia" w:cs="宋体"/>
          <w:highlight w:val="none"/>
          <w:lang w:eastAsia="zh-CN"/>
        </w:rPr>
        <w:t>陕州区国有建设用地地籍图成果更新汇交项目</w:t>
      </w:r>
    </w:p>
    <w:p w14:paraId="67A6A43B">
      <w:pPr>
        <w:pStyle w:val="14"/>
        <w:keepNext w:val="0"/>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rPr>
      </w:pPr>
      <w:r>
        <w:rPr>
          <w:rFonts w:hint="eastAsia" w:ascii="宋体" w:hAnsi="宋体" w:eastAsia="宋体" w:cs="宋体"/>
          <w:highlight w:val="none"/>
        </w:rPr>
        <w:t>3.采购方式：竞争性磋商</w:t>
      </w:r>
    </w:p>
    <w:p w14:paraId="2F3C29A9">
      <w:pPr>
        <w:pStyle w:val="14"/>
        <w:keepNext w:val="0"/>
        <w:pageBreakBefore w:val="0"/>
        <w:overflowPunct/>
        <w:bidi w:val="0"/>
        <w:spacing w:before="0" w:beforeAutospacing="0" w:after="0" w:afterAutospacing="0" w:line="360" w:lineRule="auto"/>
        <w:ind w:firstLine="566"/>
        <w:jc w:val="both"/>
        <w:outlineLvl w:val="9"/>
        <w:rPr>
          <w:rFonts w:hint="eastAsia" w:ascii="宋体" w:hAnsi="宋体" w:eastAsia="宋体" w:cs="宋体"/>
          <w:kern w:val="2"/>
          <w:highlight w:val="none"/>
        </w:rPr>
      </w:pPr>
      <w:r>
        <w:rPr>
          <w:rFonts w:hint="eastAsia" w:ascii="宋体" w:hAnsi="宋体" w:eastAsia="宋体" w:cs="宋体"/>
          <w:highlight w:val="none"/>
        </w:rPr>
        <w:t>4.</w:t>
      </w:r>
      <w:r>
        <w:rPr>
          <w:rFonts w:hint="eastAsia" w:ascii="宋体" w:hAnsi="宋体" w:eastAsia="宋体" w:cs="宋体"/>
          <w:kern w:val="2"/>
          <w:highlight w:val="none"/>
        </w:rPr>
        <w:t>预算金额：</w:t>
      </w:r>
      <w:r>
        <w:rPr>
          <w:rFonts w:hint="eastAsia" w:cs="宋体"/>
          <w:kern w:val="2"/>
          <w:highlight w:val="none"/>
          <w:lang w:eastAsia="zh-CN"/>
        </w:rPr>
        <w:t>973900.00</w:t>
      </w:r>
      <w:r>
        <w:rPr>
          <w:rFonts w:hint="eastAsia" w:ascii="宋体" w:hAnsi="宋体" w:eastAsia="宋体" w:cs="宋体"/>
          <w:kern w:val="2"/>
          <w:highlight w:val="none"/>
        </w:rPr>
        <w:t>元</w:t>
      </w:r>
    </w:p>
    <w:p w14:paraId="7ACC52BC">
      <w:pPr>
        <w:pStyle w:val="14"/>
        <w:keepNext w:val="0"/>
        <w:pageBreakBefore w:val="0"/>
        <w:overflowPunct/>
        <w:bidi w:val="0"/>
        <w:spacing w:before="0" w:beforeAutospacing="0" w:after="0" w:afterAutospacing="0" w:line="360" w:lineRule="auto"/>
        <w:ind w:firstLine="804" w:firstLineChars="335"/>
        <w:jc w:val="both"/>
        <w:outlineLvl w:val="9"/>
        <w:rPr>
          <w:rFonts w:hint="eastAsia" w:ascii="宋体" w:hAnsi="宋体" w:eastAsia="宋体" w:cs="宋体"/>
          <w:kern w:val="2"/>
          <w:highlight w:val="none"/>
        </w:rPr>
      </w:pPr>
      <w:r>
        <w:rPr>
          <w:rFonts w:hint="eastAsia" w:ascii="宋体" w:hAnsi="宋体" w:eastAsia="宋体" w:cs="宋体"/>
          <w:kern w:val="2"/>
          <w:highlight w:val="none"/>
        </w:rPr>
        <w:t>最高限价：</w:t>
      </w:r>
      <w:r>
        <w:rPr>
          <w:rFonts w:hint="eastAsia" w:cs="宋体"/>
          <w:kern w:val="2"/>
          <w:highlight w:val="none"/>
          <w:lang w:eastAsia="zh-CN"/>
        </w:rPr>
        <w:t>973900.00</w:t>
      </w:r>
      <w:r>
        <w:rPr>
          <w:rFonts w:hint="eastAsia" w:ascii="宋体" w:hAnsi="宋体" w:eastAsia="宋体" w:cs="宋体"/>
          <w:kern w:val="2"/>
          <w:highlight w:val="none"/>
        </w:rPr>
        <w:t>元</w:t>
      </w:r>
    </w:p>
    <w:tbl>
      <w:tblPr>
        <w:tblStyle w:val="17"/>
        <w:tblW w:w="9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2736"/>
        <w:gridCol w:w="2977"/>
        <w:gridCol w:w="1474"/>
        <w:gridCol w:w="1319"/>
      </w:tblGrid>
      <w:tr w14:paraId="557BD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593" w:type="dxa"/>
            <w:noWrap w:val="0"/>
            <w:vAlign w:val="center"/>
          </w:tcPr>
          <w:p w14:paraId="319A5146">
            <w:pPr>
              <w:pStyle w:val="14"/>
              <w:keepNext w:val="0"/>
              <w:pageBreakBefore w:val="0"/>
              <w:overflowPunct/>
              <w:bidi w:val="0"/>
              <w:spacing w:before="0" w:beforeAutospacing="0" w:after="0" w:afterAutospacing="0" w:line="360" w:lineRule="auto"/>
              <w:jc w:val="center"/>
              <w:outlineLvl w:val="9"/>
              <w:rPr>
                <w:rFonts w:hint="eastAsia" w:ascii="宋体" w:hAnsi="宋体" w:eastAsia="宋体" w:cs="宋体"/>
                <w:highlight w:val="none"/>
              </w:rPr>
            </w:pPr>
            <w:r>
              <w:rPr>
                <w:rFonts w:hint="eastAsia" w:ascii="宋体" w:hAnsi="宋体" w:eastAsia="宋体" w:cs="宋体"/>
                <w:highlight w:val="none"/>
              </w:rPr>
              <w:t>序号</w:t>
            </w:r>
          </w:p>
        </w:tc>
        <w:tc>
          <w:tcPr>
            <w:tcW w:w="2616" w:type="dxa"/>
            <w:noWrap w:val="0"/>
            <w:vAlign w:val="center"/>
          </w:tcPr>
          <w:p w14:paraId="3ABDC29C">
            <w:pPr>
              <w:pStyle w:val="14"/>
              <w:keepNext w:val="0"/>
              <w:pageBreakBefore w:val="0"/>
              <w:overflowPunct/>
              <w:bidi w:val="0"/>
              <w:spacing w:before="0" w:beforeAutospacing="0" w:after="0" w:afterAutospacing="0" w:line="360" w:lineRule="auto"/>
              <w:jc w:val="center"/>
              <w:outlineLvl w:val="9"/>
              <w:rPr>
                <w:rFonts w:hint="eastAsia" w:ascii="宋体" w:hAnsi="宋体" w:eastAsia="宋体" w:cs="宋体"/>
                <w:highlight w:val="none"/>
              </w:rPr>
            </w:pPr>
            <w:r>
              <w:rPr>
                <w:rFonts w:hint="eastAsia" w:ascii="宋体" w:hAnsi="宋体" w:eastAsia="宋体" w:cs="宋体"/>
                <w:highlight w:val="none"/>
              </w:rPr>
              <w:t>包号</w:t>
            </w:r>
          </w:p>
        </w:tc>
        <w:tc>
          <w:tcPr>
            <w:tcW w:w="3083" w:type="dxa"/>
            <w:noWrap w:val="0"/>
            <w:vAlign w:val="center"/>
          </w:tcPr>
          <w:p w14:paraId="576D7BF3">
            <w:pPr>
              <w:pStyle w:val="14"/>
              <w:keepNext w:val="0"/>
              <w:pageBreakBefore w:val="0"/>
              <w:overflowPunct/>
              <w:bidi w:val="0"/>
              <w:spacing w:before="0" w:beforeAutospacing="0" w:after="0" w:afterAutospacing="0" w:line="360" w:lineRule="auto"/>
              <w:jc w:val="center"/>
              <w:outlineLvl w:val="9"/>
              <w:rPr>
                <w:rFonts w:hint="eastAsia" w:ascii="宋体" w:hAnsi="宋体" w:eastAsia="宋体" w:cs="宋体"/>
                <w:highlight w:val="none"/>
              </w:rPr>
            </w:pPr>
            <w:r>
              <w:rPr>
                <w:rFonts w:hint="eastAsia" w:ascii="宋体" w:hAnsi="宋体" w:eastAsia="宋体" w:cs="宋体"/>
                <w:highlight w:val="none"/>
              </w:rPr>
              <w:t>包名称</w:t>
            </w:r>
          </w:p>
        </w:tc>
        <w:tc>
          <w:tcPr>
            <w:tcW w:w="1481" w:type="dxa"/>
            <w:noWrap w:val="0"/>
            <w:vAlign w:val="center"/>
          </w:tcPr>
          <w:p w14:paraId="50F13525">
            <w:pPr>
              <w:pStyle w:val="14"/>
              <w:keepNext w:val="0"/>
              <w:pageBreakBefore w:val="0"/>
              <w:overflowPunct/>
              <w:bidi w:val="0"/>
              <w:spacing w:before="0" w:beforeAutospacing="0" w:after="0" w:afterAutospacing="0" w:line="360" w:lineRule="auto"/>
              <w:jc w:val="center"/>
              <w:outlineLvl w:val="9"/>
              <w:rPr>
                <w:rFonts w:hint="eastAsia" w:ascii="宋体" w:hAnsi="宋体" w:eastAsia="宋体" w:cs="宋体"/>
                <w:highlight w:val="none"/>
              </w:rPr>
            </w:pPr>
            <w:r>
              <w:rPr>
                <w:rFonts w:hint="eastAsia" w:ascii="宋体" w:hAnsi="宋体" w:eastAsia="宋体" w:cs="宋体"/>
                <w:highlight w:val="none"/>
              </w:rPr>
              <w:t>包预算</w:t>
            </w:r>
          </w:p>
          <w:p w14:paraId="5DB061C0">
            <w:pPr>
              <w:pStyle w:val="14"/>
              <w:keepNext w:val="0"/>
              <w:pageBreakBefore w:val="0"/>
              <w:overflowPunct/>
              <w:bidi w:val="0"/>
              <w:spacing w:before="0" w:beforeAutospacing="0" w:after="0" w:afterAutospacing="0" w:line="360" w:lineRule="auto"/>
              <w:jc w:val="center"/>
              <w:outlineLvl w:val="9"/>
              <w:rPr>
                <w:rFonts w:hint="eastAsia" w:ascii="宋体" w:hAnsi="宋体" w:eastAsia="宋体" w:cs="宋体"/>
                <w:highlight w:val="none"/>
              </w:rPr>
            </w:pPr>
            <w:r>
              <w:rPr>
                <w:rFonts w:hint="eastAsia" w:ascii="宋体" w:hAnsi="宋体" w:eastAsia="宋体" w:cs="宋体"/>
                <w:highlight w:val="none"/>
              </w:rPr>
              <w:t>（元）</w:t>
            </w:r>
          </w:p>
        </w:tc>
        <w:tc>
          <w:tcPr>
            <w:tcW w:w="1320" w:type="dxa"/>
            <w:noWrap w:val="0"/>
            <w:vAlign w:val="center"/>
          </w:tcPr>
          <w:p w14:paraId="12691313">
            <w:pPr>
              <w:pStyle w:val="14"/>
              <w:keepNext w:val="0"/>
              <w:pageBreakBefore w:val="0"/>
              <w:overflowPunct/>
              <w:bidi w:val="0"/>
              <w:spacing w:before="0" w:beforeAutospacing="0" w:after="0" w:afterAutospacing="0" w:line="360" w:lineRule="auto"/>
              <w:jc w:val="center"/>
              <w:outlineLvl w:val="9"/>
              <w:rPr>
                <w:rFonts w:hint="eastAsia" w:ascii="宋体" w:hAnsi="宋体" w:eastAsia="宋体" w:cs="宋体"/>
                <w:highlight w:val="none"/>
              </w:rPr>
            </w:pPr>
            <w:r>
              <w:rPr>
                <w:rFonts w:hint="eastAsia" w:ascii="宋体" w:hAnsi="宋体" w:eastAsia="宋体" w:cs="宋体"/>
                <w:highlight w:val="none"/>
              </w:rPr>
              <w:t>包最高限价（元）</w:t>
            </w:r>
          </w:p>
        </w:tc>
      </w:tr>
      <w:tr w14:paraId="6C079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93" w:type="dxa"/>
            <w:noWrap w:val="0"/>
            <w:vAlign w:val="center"/>
          </w:tcPr>
          <w:p w14:paraId="4D10B6DC">
            <w:pPr>
              <w:keepNext w:val="0"/>
              <w:pageBreakBefore w:val="0"/>
              <w:overflowPunct/>
              <w:bidi w:val="0"/>
              <w:spacing w:line="360" w:lineRule="auto"/>
              <w:jc w:val="center"/>
              <w:outlineLvl w:val="9"/>
              <w:rPr>
                <w:rFonts w:hint="eastAsia" w:ascii="宋体" w:hAnsi="宋体" w:eastAsia="宋体" w:cs="宋体"/>
                <w:szCs w:val="24"/>
                <w:highlight w:val="none"/>
              </w:rPr>
            </w:pPr>
            <w:r>
              <w:rPr>
                <w:rFonts w:hint="eastAsia" w:ascii="宋体" w:hAnsi="宋体" w:eastAsia="宋体" w:cs="宋体"/>
                <w:szCs w:val="24"/>
                <w:highlight w:val="none"/>
              </w:rPr>
              <w:t>1</w:t>
            </w:r>
          </w:p>
        </w:tc>
        <w:tc>
          <w:tcPr>
            <w:tcW w:w="2616" w:type="dxa"/>
            <w:noWrap w:val="0"/>
            <w:vAlign w:val="center"/>
          </w:tcPr>
          <w:p w14:paraId="245B9036">
            <w:pPr>
              <w:keepNext w:val="0"/>
              <w:pageBreakBefore w:val="0"/>
              <w:overflowPunct/>
              <w:bidi w:val="0"/>
              <w:spacing w:line="360" w:lineRule="auto"/>
              <w:jc w:val="center"/>
              <w:outlineLvl w:val="9"/>
              <w:rPr>
                <w:rFonts w:hint="default" w:ascii="宋体" w:hAnsi="宋体" w:eastAsia="宋体" w:cs="宋体"/>
                <w:szCs w:val="24"/>
                <w:highlight w:val="none"/>
                <w:lang w:val="en-US" w:eastAsia="zh-CN"/>
              </w:rPr>
            </w:pPr>
            <w:r>
              <w:rPr>
                <w:rFonts w:hint="default" w:ascii="宋体" w:hAnsi="宋体" w:eastAsia="宋体" w:cs="宋体"/>
                <w:szCs w:val="24"/>
                <w:highlight w:val="none"/>
                <w:lang w:val="en-US" w:eastAsia="zh-CN"/>
              </w:rPr>
              <w:t>SZGZ[2025]171-ZC114</w:t>
            </w:r>
            <w:r>
              <w:rPr>
                <w:rFonts w:hint="eastAsia" w:ascii="宋体" w:hAnsi="宋体" w:cs="宋体"/>
                <w:szCs w:val="24"/>
                <w:highlight w:val="none"/>
                <w:lang w:val="en-US" w:eastAsia="zh-CN"/>
              </w:rPr>
              <w:t>-1</w:t>
            </w:r>
          </w:p>
        </w:tc>
        <w:tc>
          <w:tcPr>
            <w:tcW w:w="3083" w:type="dxa"/>
            <w:noWrap w:val="0"/>
            <w:vAlign w:val="center"/>
          </w:tcPr>
          <w:p w14:paraId="561CFA13">
            <w:pPr>
              <w:keepNext w:val="0"/>
              <w:pageBreakBefore w:val="0"/>
              <w:overflowPunct/>
              <w:bidi w:val="0"/>
              <w:spacing w:line="360" w:lineRule="auto"/>
              <w:jc w:val="center"/>
              <w:outlineLvl w:val="9"/>
              <w:rPr>
                <w:rFonts w:hint="eastAsia" w:ascii="宋体" w:hAnsi="宋体" w:eastAsia="宋体" w:cs="宋体"/>
                <w:szCs w:val="24"/>
                <w:highlight w:val="none"/>
                <w:lang w:eastAsia="zh-CN"/>
              </w:rPr>
            </w:pPr>
            <w:r>
              <w:rPr>
                <w:rFonts w:hint="eastAsia" w:ascii="宋体" w:hAnsi="宋体" w:eastAsia="宋体" w:cs="宋体"/>
                <w:szCs w:val="24"/>
                <w:highlight w:val="none"/>
                <w:lang w:eastAsia="zh-CN"/>
              </w:rPr>
              <w:t>陕州区国有建设用地地籍图成果更新汇交项目</w:t>
            </w:r>
          </w:p>
        </w:tc>
        <w:tc>
          <w:tcPr>
            <w:tcW w:w="1481" w:type="dxa"/>
            <w:noWrap w:val="0"/>
            <w:vAlign w:val="center"/>
          </w:tcPr>
          <w:p w14:paraId="5A2F19FA">
            <w:pPr>
              <w:pStyle w:val="14"/>
              <w:keepNext w:val="0"/>
              <w:pageBreakBefore w:val="0"/>
              <w:overflowPunct/>
              <w:bidi w:val="0"/>
              <w:spacing w:before="0" w:beforeAutospacing="0" w:after="0" w:afterAutospacing="0" w:line="360" w:lineRule="auto"/>
              <w:jc w:val="center"/>
              <w:outlineLvl w:val="9"/>
              <w:rPr>
                <w:rFonts w:hint="eastAsia" w:ascii="宋体" w:hAnsi="宋体" w:eastAsia="宋体" w:cs="宋体"/>
                <w:highlight w:val="none"/>
              </w:rPr>
            </w:pPr>
            <w:r>
              <w:rPr>
                <w:rFonts w:hint="eastAsia" w:cs="宋体"/>
                <w:highlight w:val="none"/>
                <w:lang w:val="en-US" w:eastAsia="zh-CN"/>
              </w:rPr>
              <w:t>973900.00</w:t>
            </w:r>
          </w:p>
        </w:tc>
        <w:tc>
          <w:tcPr>
            <w:tcW w:w="1320" w:type="dxa"/>
            <w:noWrap w:val="0"/>
            <w:vAlign w:val="center"/>
          </w:tcPr>
          <w:p w14:paraId="280BC88D">
            <w:pPr>
              <w:pStyle w:val="14"/>
              <w:keepNext w:val="0"/>
              <w:pageBreakBefore w:val="0"/>
              <w:overflowPunct/>
              <w:bidi w:val="0"/>
              <w:spacing w:before="0" w:beforeAutospacing="0" w:after="0" w:afterAutospacing="0" w:line="360" w:lineRule="auto"/>
              <w:jc w:val="center"/>
              <w:outlineLvl w:val="9"/>
              <w:rPr>
                <w:rFonts w:hint="eastAsia" w:ascii="宋体" w:hAnsi="宋体" w:eastAsia="宋体" w:cs="宋体"/>
                <w:highlight w:val="none"/>
              </w:rPr>
            </w:pPr>
            <w:r>
              <w:rPr>
                <w:rFonts w:hint="eastAsia" w:cs="宋体"/>
                <w:highlight w:val="none"/>
                <w:lang w:val="en-US" w:eastAsia="zh-CN"/>
              </w:rPr>
              <w:t>973900.00</w:t>
            </w:r>
          </w:p>
        </w:tc>
      </w:tr>
      <w:bookmarkEnd w:id="2"/>
    </w:tbl>
    <w:p w14:paraId="20F41343">
      <w:pPr>
        <w:pStyle w:val="14"/>
        <w:keepNext w:val="0"/>
        <w:pageBreakBefore w:val="0"/>
        <w:overflowPunct/>
        <w:bidi w:val="0"/>
        <w:spacing w:before="0" w:beforeAutospacing="0" w:after="0" w:afterAutospacing="0" w:line="360" w:lineRule="auto"/>
        <w:ind w:firstLine="496"/>
        <w:jc w:val="both"/>
        <w:outlineLvl w:val="9"/>
        <w:rPr>
          <w:rFonts w:hint="eastAsia" w:ascii="宋体" w:hAnsi="宋体" w:eastAsia="宋体" w:cs="宋体"/>
          <w:highlight w:val="none"/>
        </w:rPr>
      </w:pPr>
      <w:r>
        <w:rPr>
          <w:rFonts w:hint="eastAsia" w:ascii="宋体" w:hAnsi="宋体" w:eastAsia="宋体" w:cs="宋体"/>
          <w:highlight w:val="none"/>
        </w:rPr>
        <w:t>5.采购需求（包括但不限于标的的名称、数量、简要技术需求或服务要求等）</w:t>
      </w:r>
    </w:p>
    <w:p w14:paraId="4443C957">
      <w:pPr>
        <w:pStyle w:val="14"/>
        <w:keepNext w:val="0"/>
        <w:pageBreakBefore w:val="0"/>
        <w:overflowPunct/>
        <w:bidi w:val="0"/>
        <w:spacing w:before="0" w:beforeAutospacing="0" w:after="0" w:afterAutospacing="0" w:line="360" w:lineRule="auto"/>
        <w:ind w:firstLine="480" w:firstLineChars="200"/>
        <w:jc w:val="both"/>
        <w:outlineLvl w:val="9"/>
        <w:rPr>
          <w:rFonts w:hint="eastAsia" w:ascii="宋体" w:hAnsi="宋体" w:eastAsia="宋体" w:cs="宋体"/>
          <w:highlight w:val="none"/>
        </w:rPr>
      </w:pPr>
      <w:r>
        <w:rPr>
          <w:rFonts w:hint="eastAsia" w:ascii="宋体" w:hAnsi="宋体" w:eastAsia="宋体" w:cs="宋体"/>
          <w:highlight w:val="none"/>
        </w:rPr>
        <w:t>5.1采购范围：</w:t>
      </w:r>
      <w:r>
        <w:rPr>
          <w:rFonts w:hint="eastAsia" w:cs="宋体"/>
          <w:highlight w:val="none"/>
          <w:lang w:eastAsia="zh-CN"/>
        </w:rPr>
        <w:t>陕州区国有建设用地地籍图成果更新汇交项目</w:t>
      </w:r>
      <w:r>
        <w:rPr>
          <w:rFonts w:hint="eastAsia" w:ascii="宋体" w:hAnsi="宋体" w:eastAsia="宋体" w:cs="宋体"/>
          <w:highlight w:val="none"/>
        </w:rPr>
        <w:t>，</w:t>
      </w:r>
      <w:r>
        <w:rPr>
          <w:rFonts w:hint="eastAsia" w:cs="宋体"/>
          <w:highlight w:val="none"/>
          <w:lang w:val="en-US" w:eastAsia="zh-CN"/>
        </w:rPr>
        <w:t>主要内容为</w:t>
      </w:r>
      <w:r>
        <w:rPr>
          <w:rFonts w:hint="eastAsia" w:ascii="宋体" w:hAnsi="宋体" w:eastAsia="宋体" w:cs="宋体"/>
          <w:highlight w:val="none"/>
        </w:rPr>
        <w:t>按照地籍数据库标准等规范要求，对各类已有地籍调查成果开展全面整理，升级现有地籍调查数据库或新建地籍数据库，将现势的地籍调查成果完整纳入地籍数据库，并与确权登记成果精准关联，确保图属一致、现实有效。具体</w:t>
      </w:r>
      <w:r>
        <w:rPr>
          <w:rFonts w:hint="eastAsia" w:cs="宋体"/>
          <w:highlight w:val="none"/>
          <w:lang w:val="en-US" w:eastAsia="zh-CN"/>
        </w:rPr>
        <w:t>采购需求</w:t>
      </w:r>
      <w:r>
        <w:rPr>
          <w:rFonts w:hint="eastAsia" w:ascii="宋体" w:hAnsi="宋体" w:eastAsia="宋体" w:cs="宋体"/>
          <w:highlight w:val="none"/>
        </w:rPr>
        <w:t>详见竞争性磋商文件。</w:t>
      </w:r>
    </w:p>
    <w:p w14:paraId="6FFF37AE">
      <w:pPr>
        <w:pStyle w:val="14"/>
        <w:keepNext w:val="0"/>
        <w:pageBreakBefore w:val="0"/>
        <w:overflowPunct/>
        <w:bidi w:val="0"/>
        <w:spacing w:before="0" w:beforeAutospacing="0" w:after="0" w:afterAutospacing="0" w:line="360" w:lineRule="auto"/>
        <w:ind w:firstLine="480" w:firstLineChars="200"/>
        <w:jc w:val="both"/>
        <w:outlineLvl w:val="9"/>
        <w:rPr>
          <w:rFonts w:hint="eastAsia" w:ascii="宋体" w:hAnsi="宋体" w:eastAsia="宋体" w:cs="宋体"/>
          <w:highlight w:val="none"/>
        </w:rPr>
      </w:pPr>
      <w:r>
        <w:rPr>
          <w:rFonts w:hint="eastAsia" w:ascii="宋体" w:hAnsi="宋体" w:eastAsia="宋体" w:cs="宋体"/>
          <w:highlight w:val="none"/>
        </w:rPr>
        <w:t>5.2资金来源：财政资金，已落实</w:t>
      </w:r>
    </w:p>
    <w:p w14:paraId="4C945E51">
      <w:pPr>
        <w:pStyle w:val="14"/>
        <w:keepNext w:val="0"/>
        <w:pageBreakBefore w:val="0"/>
        <w:overflowPunct/>
        <w:bidi w:val="0"/>
        <w:spacing w:before="0" w:beforeAutospacing="0" w:after="0" w:afterAutospacing="0" w:line="360" w:lineRule="auto"/>
        <w:ind w:firstLine="480" w:firstLineChars="200"/>
        <w:jc w:val="both"/>
        <w:outlineLvl w:val="9"/>
        <w:rPr>
          <w:rFonts w:hint="eastAsia" w:ascii="宋体" w:hAnsi="宋体" w:eastAsia="宋体" w:cs="宋体"/>
          <w:highlight w:val="none"/>
        </w:rPr>
      </w:pPr>
      <w:r>
        <w:rPr>
          <w:rFonts w:hint="eastAsia" w:ascii="宋体" w:hAnsi="宋体" w:eastAsia="宋体" w:cs="宋体"/>
          <w:highlight w:val="none"/>
        </w:rPr>
        <w:t>5.3服务要求：</w:t>
      </w:r>
      <w:r>
        <w:rPr>
          <w:rFonts w:hint="eastAsia" w:cs="宋体"/>
          <w:highlight w:val="none"/>
          <w:lang w:eastAsia="zh-CN"/>
        </w:rPr>
        <w:t>达到国家相关规范规定的合格标准，满足采购人需求</w:t>
      </w:r>
      <w:r>
        <w:rPr>
          <w:rFonts w:hint="eastAsia" w:ascii="宋体" w:hAnsi="宋体" w:eastAsia="宋体" w:cs="宋体"/>
          <w:highlight w:val="none"/>
        </w:rPr>
        <w:t>。</w:t>
      </w:r>
    </w:p>
    <w:p w14:paraId="25A26902">
      <w:pPr>
        <w:pStyle w:val="14"/>
        <w:keepNext w:val="0"/>
        <w:pageBreakBefore w:val="0"/>
        <w:overflowPunct/>
        <w:bidi w:val="0"/>
        <w:spacing w:before="0" w:beforeAutospacing="0" w:after="0" w:afterAutospacing="0" w:line="360" w:lineRule="auto"/>
        <w:ind w:firstLine="480" w:firstLineChars="200"/>
        <w:jc w:val="both"/>
        <w:outlineLvl w:val="9"/>
        <w:rPr>
          <w:rFonts w:hint="default" w:cs="宋体"/>
          <w:highlight w:val="none"/>
          <w:lang w:val="en-US" w:eastAsia="zh-CN"/>
        </w:rPr>
      </w:pPr>
      <w:r>
        <w:rPr>
          <w:rFonts w:hint="eastAsia" w:cs="宋体"/>
          <w:highlight w:val="none"/>
          <w:lang w:val="en-US" w:eastAsia="zh-CN"/>
        </w:rPr>
        <w:t>5.4服务周期：签订合同之日起至2026年11月30日，具体日期要求根据采购方项目实施进度要求执行。</w:t>
      </w:r>
    </w:p>
    <w:p w14:paraId="186C343E">
      <w:pPr>
        <w:pStyle w:val="14"/>
        <w:keepNext w:val="0"/>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lang w:eastAsia="zh-CN"/>
        </w:rPr>
      </w:pPr>
      <w:r>
        <w:rPr>
          <w:rFonts w:hint="eastAsia" w:ascii="宋体" w:hAnsi="宋体" w:eastAsia="宋体" w:cs="宋体"/>
          <w:highlight w:val="none"/>
        </w:rPr>
        <w:t>6.合同履行期限：</w:t>
      </w:r>
      <w:r>
        <w:rPr>
          <w:rFonts w:hint="eastAsia" w:cs="宋体"/>
          <w:highlight w:val="none"/>
          <w:lang w:val="en-US" w:eastAsia="zh-CN"/>
        </w:rPr>
        <w:t>同服务周期</w:t>
      </w:r>
      <w:r>
        <w:rPr>
          <w:rFonts w:hint="eastAsia" w:cs="宋体"/>
          <w:highlight w:val="none"/>
          <w:lang w:eastAsia="zh-CN"/>
        </w:rPr>
        <w:t>。</w:t>
      </w:r>
    </w:p>
    <w:p w14:paraId="4FBCC734">
      <w:pPr>
        <w:pStyle w:val="14"/>
        <w:keepNext w:val="0"/>
        <w:pageBreakBefore w:val="0"/>
        <w:overflowPunct/>
        <w:bidi w:val="0"/>
        <w:spacing w:before="0" w:beforeAutospacing="0" w:after="0" w:afterAutospacing="0" w:line="360" w:lineRule="auto"/>
        <w:ind w:firstLine="566"/>
        <w:jc w:val="both"/>
        <w:outlineLvl w:val="9"/>
        <w:rPr>
          <w:rFonts w:hint="eastAsia" w:ascii="宋体" w:hAnsi="宋体" w:eastAsia="宋体" w:cs="宋体"/>
          <w:b/>
          <w:highlight w:val="none"/>
        </w:rPr>
      </w:pPr>
      <w:r>
        <w:rPr>
          <w:rFonts w:hint="eastAsia" w:ascii="宋体" w:hAnsi="宋体" w:eastAsia="宋体" w:cs="宋体"/>
          <w:highlight w:val="none"/>
        </w:rPr>
        <w:t>7.本项目是否接受联合体投标：否</w:t>
      </w:r>
    </w:p>
    <w:p w14:paraId="732ECE50">
      <w:pPr>
        <w:pStyle w:val="14"/>
        <w:keepNext w:val="0"/>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rPr>
      </w:pPr>
      <w:r>
        <w:rPr>
          <w:rFonts w:hint="eastAsia" w:ascii="宋体" w:hAnsi="宋体" w:eastAsia="宋体" w:cs="宋体"/>
          <w:highlight w:val="none"/>
        </w:rPr>
        <w:t>8.是否接受进口产品：否</w:t>
      </w:r>
    </w:p>
    <w:p w14:paraId="0892267F">
      <w:pPr>
        <w:pStyle w:val="14"/>
        <w:keepNext w:val="0"/>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rPr>
      </w:pPr>
      <w:r>
        <w:rPr>
          <w:rFonts w:hint="eastAsia" w:ascii="宋体" w:hAnsi="宋体" w:eastAsia="宋体" w:cs="宋体"/>
          <w:highlight w:val="none"/>
        </w:rPr>
        <w:t>9.是否为只面向中小企业采购：否</w:t>
      </w:r>
    </w:p>
    <w:p w14:paraId="17CBA913">
      <w:pPr>
        <w:pStyle w:val="14"/>
        <w:keepNext w:val="0"/>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rPr>
      </w:pPr>
      <w:r>
        <w:rPr>
          <w:rFonts w:hint="eastAsia" w:ascii="宋体" w:hAnsi="宋体" w:eastAsia="宋体" w:cs="宋体"/>
          <w:highlight w:val="none"/>
        </w:rPr>
        <w:t>二、申请人资格要求</w:t>
      </w:r>
    </w:p>
    <w:p w14:paraId="28FCA181">
      <w:pPr>
        <w:pStyle w:val="14"/>
        <w:keepNext w:val="0"/>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rPr>
      </w:pPr>
      <w:r>
        <w:rPr>
          <w:rFonts w:hint="eastAsia" w:ascii="宋体" w:hAnsi="宋体" w:eastAsia="宋体" w:cs="宋体"/>
          <w:highlight w:val="none"/>
        </w:rPr>
        <w:t>1.满足《中华人民共和国政府采购法》第二十二条规定；</w:t>
      </w:r>
    </w:p>
    <w:p w14:paraId="4E57EFD6">
      <w:pPr>
        <w:pStyle w:val="14"/>
        <w:keepNext w:val="0"/>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rPr>
      </w:pPr>
      <w:r>
        <w:rPr>
          <w:rFonts w:hint="eastAsia" w:ascii="宋体" w:hAnsi="宋体" w:eastAsia="宋体" w:cs="宋体"/>
          <w:highlight w:val="none"/>
        </w:rPr>
        <w:t>2.落实政府采购政策满足的资格要求：本项目落实节能环保、中小微企业扶持、促进残疾人就业等相关政府采购政策；</w:t>
      </w:r>
    </w:p>
    <w:p w14:paraId="753C70B8">
      <w:pPr>
        <w:pStyle w:val="14"/>
        <w:keepNext w:val="0"/>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rPr>
      </w:pPr>
      <w:r>
        <w:rPr>
          <w:rFonts w:hint="eastAsia" w:ascii="宋体" w:hAnsi="宋体" w:eastAsia="宋体" w:cs="宋体"/>
          <w:highlight w:val="none"/>
        </w:rPr>
        <w:t>3.本项目的特定资格要求</w:t>
      </w:r>
    </w:p>
    <w:p w14:paraId="5021C47E">
      <w:pPr>
        <w:pStyle w:val="14"/>
        <w:keepNext w:val="0"/>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lang w:eastAsia="zh-CN"/>
        </w:rPr>
      </w:pPr>
      <w:r>
        <w:rPr>
          <w:rFonts w:hint="eastAsia" w:ascii="宋体" w:hAnsi="宋体" w:eastAsia="宋体" w:cs="宋体"/>
          <w:highlight w:val="none"/>
        </w:rPr>
        <w:t>3.1</w:t>
      </w:r>
      <w:r>
        <w:rPr>
          <w:rFonts w:hint="eastAsia" w:cs="宋体"/>
          <w:highlight w:val="none"/>
          <w:lang w:val="en-US" w:eastAsia="zh-CN"/>
        </w:rPr>
        <w:t>供应商</w:t>
      </w:r>
      <w:r>
        <w:rPr>
          <w:rFonts w:hint="eastAsia" w:ascii="宋体" w:hAnsi="宋体" w:eastAsia="宋体" w:cs="宋体"/>
          <w:highlight w:val="none"/>
        </w:rPr>
        <w:t>须具有独立法人资格，具有有效的营业执照</w:t>
      </w:r>
      <w:r>
        <w:rPr>
          <w:rFonts w:hint="eastAsia" w:cs="宋体"/>
          <w:highlight w:val="none"/>
          <w:lang w:eastAsia="zh-CN"/>
        </w:rPr>
        <w:t>。</w:t>
      </w:r>
    </w:p>
    <w:p w14:paraId="307F9C68">
      <w:pPr>
        <w:pStyle w:val="14"/>
        <w:keepNext w:val="0"/>
        <w:pageBreakBefore w:val="0"/>
        <w:overflowPunct/>
        <w:bidi w:val="0"/>
        <w:spacing w:before="0" w:beforeAutospacing="0" w:after="0" w:afterAutospacing="0" w:line="360" w:lineRule="auto"/>
        <w:ind w:firstLine="566"/>
        <w:jc w:val="both"/>
        <w:outlineLvl w:val="9"/>
        <w:rPr>
          <w:rFonts w:hint="eastAsia" w:ascii="宋体" w:hAnsi="宋体" w:eastAsia="宋体" w:cs="宋体"/>
          <w:color w:val="FF0000"/>
          <w:highlight w:val="none"/>
        </w:rPr>
      </w:pPr>
      <w:r>
        <w:rPr>
          <w:rFonts w:hint="eastAsia" w:cs="宋体"/>
          <w:highlight w:val="none"/>
          <w:lang w:val="en-US" w:eastAsia="zh-CN"/>
        </w:rPr>
        <w:t>3.2</w:t>
      </w:r>
      <w:r>
        <w:rPr>
          <w:rFonts w:hint="eastAsia" w:cs="宋体"/>
          <w:highlight w:val="none"/>
          <w:lang w:eastAsia="zh-CN"/>
        </w:rPr>
        <w:t>供应商须具备行政主管部门颁发的测绘乙级及以上资质并在有效期内（专业范围须包含界线与不动产测绘、地理信息系统工程）</w:t>
      </w:r>
      <w:r>
        <w:rPr>
          <w:rFonts w:hint="eastAsia" w:ascii="宋体" w:hAnsi="宋体" w:eastAsia="宋体" w:cs="宋体"/>
          <w:highlight w:val="none"/>
        </w:rPr>
        <w:t>。</w:t>
      </w:r>
    </w:p>
    <w:p w14:paraId="20346497">
      <w:pPr>
        <w:pStyle w:val="14"/>
        <w:keepNext w:val="0"/>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lang w:eastAsia="zh-CN"/>
        </w:rPr>
      </w:pPr>
      <w:r>
        <w:rPr>
          <w:rFonts w:hint="eastAsia" w:ascii="宋体" w:hAnsi="宋体" w:eastAsia="宋体" w:cs="宋体"/>
          <w:highlight w:val="none"/>
        </w:rPr>
        <w:t>3.</w:t>
      </w:r>
      <w:r>
        <w:rPr>
          <w:rFonts w:hint="eastAsia" w:cs="宋体"/>
          <w:highlight w:val="none"/>
          <w:lang w:val="en-US" w:eastAsia="zh-CN"/>
        </w:rPr>
        <w:t>3</w:t>
      </w:r>
      <w:r>
        <w:rPr>
          <w:rFonts w:hint="eastAsia" w:cs="宋体"/>
          <w:highlight w:val="none"/>
          <w:lang w:eastAsia="zh-CN"/>
        </w:rPr>
        <w:t>项目负责人须具备测绘及相关专业中级及以上技术职称。（供应商须提供项目负责人的身份证、职称证书及提供缴纳单位养老保险缴费证明）</w:t>
      </w:r>
    </w:p>
    <w:p w14:paraId="09CC022E">
      <w:pPr>
        <w:pStyle w:val="14"/>
        <w:keepNext w:val="0"/>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rPr>
      </w:pPr>
      <w:r>
        <w:rPr>
          <w:rFonts w:hint="eastAsia" w:ascii="宋体" w:hAnsi="宋体" w:eastAsia="宋体" w:cs="宋体"/>
          <w:highlight w:val="none"/>
        </w:rPr>
        <w:t>3.</w:t>
      </w:r>
      <w:r>
        <w:rPr>
          <w:rFonts w:hint="eastAsia" w:cs="宋体"/>
          <w:highlight w:val="none"/>
          <w:lang w:val="en-US" w:eastAsia="zh-CN"/>
        </w:rPr>
        <w:t>4</w:t>
      </w:r>
      <w:r>
        <w:rPr>
          <w:rFonts w:hint="eastAsia" w:ascii="宋体" w:hAnsi="宋体" w:eastAsia="宋体" w:cs="宋体"/>
          <w:highlight w:val="none"/>
        </w:rPr>
        <w:t>供应商须承诺本企业无商业贿赂和不正当竞争行为。</w:t>
      </w:r>
    </w:p>
    <w:p w14:paraId="511FCF3B">
      <w:pPr>
        <w:pStyle w:val="14"/>
        <w:keepNext w:val="0"/>
        <w:pageBreakBefore w:val="0"/>
        <w:overflowPunct/>
        <w:bidi w:val="0"/>
        <w:spacing w:before="0" w:beforeAutospacing="0" w:after="0" w:afterAutospacing="0" w:line="360" w:lineRule="auto"/>
        <w:ind w:firstLine="566"/>
        <w:jc w:val="both"/>
        <w:outlineLvl w:val="9"/>
        <w:rPr>
          <w:rFonts w:hint="eastAsia" w:ascii="宋体" w:hAnsi="宋体" w:eastAsia="宋体" w:cs="宋体"/>
          <w:color w:val="333333"/>
          <w:highlight w:val="none"/>
          <w:lang w:eastAsia="zh-CN"/>
        </w:rPr>
      </w:pPr>
      <w:r>
        <w:rPr>
          <w:rFonts w:hint="eastAsia" w:ascii="宋体" w:hAnsi="宋体" w:eastAsia="宋体" w:cs="宋体"/>
          <w:highlight w:val="none"/>
        </w:rPr>
        <w:t>3.</w:t>
      </w:r>
      <w:r>
        <w:rPr>
          <w:rFonts w:hint="eastAsia" w:cs="宋体"/>
          <w:highlight w:val="none"/>
          <w:lang w:val="en-US" w:eastAsia="zh-CN"/>
        </w:rPr>
        <w:t>5</w:t>
      </w:r>
      <w:r>
        <w:rPr>
          <w:rFonts w:hint="eastAsia" w:cs="宋体"/>
          <w:highlight w:val="none"/>
          <w:lang w:eastAsia="zh-CN"/>
        </w:rPr>
        <w:t>根据《关于在政府采购活动中查询及使用信用记录有关问题的通知》（财库[2016]125号）和豫财购【2016】15号的规定，企业没有被列入“中国执行信息公开网”网站的“失信被执行人”、“信用中国”网站的“重大税收违法失信主体”、“政府采购严重违法失信行为记录名单”及“中国政府采购网”网站的“政府采购严重违法失信行为记录名单”，查询渠道：“中国执行信息公开网”网站（http：//zxgk.court.gov.cn/shixin）“信用中国”网站（www.creditchina.gov.cn）、中国政府采购网（www.ccgp.gov.cn）；（提供“中国执行信息公开网”、“信用中国”和“中国政府采购网”网站的查询信息截图，同时网页查询需包含查询日期，查询日期自公告发布之日至投标截止之日）</w:t>
      </w:r>
      <w:r>
        <w:rPr>
          <w:rFonts w:hint="eastAsia" w:cs="宋体"/>
          <w:color w:val="333333"/>
          <w:highlight w:val="none"/>
          <w:lang w:eastAsia="zh-CN"/>
        </w:rPr>
        <w:t>。</w:t>
      </w:r>
    </w:p>
    <w:p w14:paraId="4113E721">
      <w:pPr>
        <w:pStyle w:val="14"/>
        <w:keepNext w:val="0"/>
        <w:pageBreakBefore w:val="0"/>
        <w:overflowPunct/>
        <w:bidi w:val="0"/>
        <w:spacing w:before="0" w:beforeAutospacing="0" w:after="0" w:afterAutospacing="0" w:line="360" w:lineRule="auto"/>
        <w:ind w:firstLine="566"/>
        <w:jc w:val="both"/>
        <w:outlineLvl w:val="9"/>
        <w:rPr>
          <w:rFonts w:hint="default" w:ascii="宋体" w:hAnsi="宋体" w:eastAsia="宋体" w:cs="宋体"/>
          <w:highlight w:val="none"/>
          <w:lang w:val="en-US" w:eastAsia="zh-CN"/>
        </w:rPr>
      </w:pPr>
      <w:r>
        <w:rPr>
          <w:rFonts w:hint="eastAsia" w:cs="宋体"/>
          <w:highlight w:val="none"/>
          <w:lang w:val="en-US" w:eastAsia="zh-CN"/>
        </w:rPr>
        <w:t>3.6</w:t>
      </w:r>
      <w:r>
        <w:rPr>
          <w:rFonts w:hint="eastAsia" w:ascii="宋体" w:hAnsi="宋体" w:cs="宋体"/>
          <w:sz w:val="24"/>
          <w:lang w:bidi="ar"/>
        </w:rPr>
        <w:t>单位负责人为同一人或者存在控股、管理关系的不同单位，不得参加同一标段投标或者未划分标段的同一招标项目投标（以“国家企业信用信息公示系统”查询为准，需包含公司基本信息、股东信息及股权变更信息等内容</w:t>
      </w:r>
      <w:r>
        <w:rPr>
          <w:rFonts w:hint="eastAsia" w:ascii="宋体" w:hAnsi="宋体" w:cs="宋体"/>
          <w:sz w:val="24"/>
          <w:lang w:eastAsia="zh-CN" w:bidi="ar"/>
        </w:rPr>
        <w:t>）。</w:t>
      </w:r>
    </w:p>
    <w:p w14:paraId="7EE99F44">
      <w:pPr>
        <w:pStyle w:val="14"/>
        <w:keepNext w:val="0"/>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rPr>
      </w:pPr>
      <w:r>
        <w:rPr>
          <w:rFonts w:hint="eastAsia" w:ascii="宋体" w:hAnsi="宋体" w:eastAsia="宋体" w:cs="宋体"/>
          <w:highlight w:val="none"/>
        </w:rPr>
        <w:t>3.</w:t>
      </w:r>
      <w:r>
        <w:rPr>
          <w:rFonts w:hint="eastAsia" w:cs="宋体"/>
          <w:highlight w:val="none"/>
          <w:lang w:val="en-US" w:eastAsia="zh-CN"/>
        </w:rPr>
        <w:t>7</w:t>
      </w:r>
      <w:r>
        <w:rPr>
          <w:rFonts w:hint="eastAsia" w:ascii="宋体" w:hAnsi="宋体" w:eastAsia="宋体" w:cs="宋体"/>
          <w:highlight w:val="none"/>
        </w:rPr>
        <w:t>本项目不接受联合体</w:t>
      </w:r>
      <w:r>
        <w:rPr>
          <w:rFonts w:hint="eastAsia" w:cs="宋体"/>
          <w:highlight w:val="none"/>
          <w:lang w:val="en-US" w:eastAsia="zh-CN"/>
        </w:rPr>
        <w:t>磋商</w:t>
      </w:r>
      <w:r>
        <w:rPr>
          <w:rFonts w:hint="eastAsia" w:ascii="宋体" w:hAnsi="宋体" w:eastAsia="宋体" w:cs="宋体"/>
          <w:highlight w:val="none"/>
        </w:rPr>
        <w:t>。</w:t>
      </w:r>
    </w:p>
    <w:p w14:paraId="46CCC832">
      <w:pPr>
        <w:pStyle w:val="14"/>
        <w:keepNext w:val="0"/>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rPr>
      </w:pPr>
      <w:r>
        <w:rPr>
          <w:rFonts w:hint="eastAsia" w:ascii="宋体" w:hAnsi="宋体" w:eastAsia="宋体" w:cs="宋体"/>
          <w:highlight w:val="none"/>
        </w:rPr>
        <w:t>三、获取采购文件</w:t>
      </w:r>
    </w:p>
    <w:p w14:paraId="1A7B8F2D">
      <w:pPr>
        <w:pStyle w:val="14"/>
        <w:keepNext w:val="0"/>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rPr>
      </w:pPr>
      <w:r>
        <w:rPr>
          <w:rFonts w:hint="eastAsia" w:ascii="宋体" w:hAnsi="宋体" w:eastAsia="宋体" w:cs="宋体"/>
          <w:highlight w:val="none"/>
        </w:rPr>
        <w:t>1.时间：2025年09月09日至</w:t>
      </w:r>
      <w:r>
        <w:rPr>
          <w:rFonts w:hint="eastAsia" w:ascii="宋体" w:hAnsi="宋体" w:eastAsia="宋体" w:cs="宋体"/>
          <w:highlight w:val="none"/>
          <w:lang w:eastAsia="zh-CN"/>
        </w:rPr>
        <w:t>2</w:t>
      </w:r>
      <w:r>
        <w:rPr>
          <w:rFonts w:hint="eastAsia" w:ascii="宋体" w:hAnsi="宋体" w:eastAsia="宋体" w:cs="宋体"/>
          <w:highlight w:val="none"/>
          <w:lang w:val="en-US" w:eastAsia="zh-CN"/>
        </w:rPr>
        <w:t>025</w:t>
      </w:r>
      <w:r>
        <w:rPr>
          <w:rFonts w:hint="eastAsia" w:ascii="宋体" w:hAnsi="宋体" w:eastAsia="宋体" w:cs="宋体"/>
          <w:highlight w:val="none"/>
        </w:rPr>
        <w:t>年</w:t>
      </w:r>
      <w:r>
        <w:rPr>
          <w:rFonts w:hint="eastAsia" w:cs="宋体"/>
          <w:highlight w:val="none"/>
          <w:lang w:val="en-US" w:eastAsia="zh-CN"/>
        </w:rPr>
        <w:t>09</w:t>
      </w:r>
      <w:r>
        <w:rPr>
          <w:rFonts w:hint="eastAsia" w:ascii="宋体" w:hAnsi="宋体" w:eastAsia="宋体" w:cs="宋体"/>
          <w:highlight w:val="none"/>
        </w:rPr>
        <w:t>月</w:t>
      </w:r>
      <w:r>
        <w:rPr>
          <w:rFonts w:hint="eastAsia" w:cs="宋体"/>
          <w:highlight w:val="none"/>
          <w:lang w:val="en-US" w:eastAsia="zh-CN"/>
        </w:rPr>
        <w:t>19</w:t>
      </w:r>
      <w:r>
        <w:rPr>
          <w:rFonts w:hint="eastAsia" w:ascii="宋体" w:hAnsi="宋体" w:eastAsia="宋体" w:cs="宋体"/>
          <w:highlight w:val="none"/>
        </w:rPr>
        <w:t>日</w:t>
      </w:r>
      <w:r>
        <w:rPr>
          <w:rFonts w:hint="eastAsia" w:cs="宋体"/>
          <w:highlight w:val="none"/>
          <w:lang w:val="en-US" w:eastAsia="zh-CN"/>
        </w:rPr>
        <w:t>08时20分</w:t>
      </w:r>
      <w:r>
        <w:rPr>
          <w:rFonts w:hint="eastAsia" w:ascii="宋体" w:hAnsi="宋体" w:eastAsia="宋体" w:cs="宋体"/>
          <w:highlight w:val="none"/>
        </w:rPr>
        <w:t>（提供期限自文件获取时间起不得少于5个工作日）。每天上午00</w:t>
      </w:r>
      <w:r>
        <w:rPr>
          <w:rFonts w:hint="eastAsia" w:ascii="宋体" w:hAnsi="宋体" w:eastAsia="宋体" w:cs="宋体"/>
          <w:highlight w:val="none"/>
          <w:lang w:eastAsia="zh-CN"/>
        </w:rPr>
        <w:t>：</w:t>
      </w:r>
      <w:r>
        <w:rPr>
          <w:rFonts w:hint="eastAsia" w:ascii="宋体" w:hAnsi="宋体" w:eastAsia="宋体" w:cs="宋体"/>
          <w:highlight w:val="none"/>
        </w:rPr>
        <w:t>00至12</w:t>
      </w:r>
      <w:r>
        <w:rPr>
          <w:rFonts w:hint="eastAsia" w:ascii="宋体" w:hAnsi="宋体" w:eastAsia="宋体" w:cs="宋体"/>
          <w:highlight w:val="none"/>
          <w:lang w:eastAsia="zh-CN"/>
        </w:rPr>
        <w:t>：</w:t>
      </w:r>
      <w:r>
        <w:rPr>
          <w:rFonts w:hint="eastAsia" w:ascii="宋体" w:hAnsi="宋体" w:eastAsia="宋体" w:cs="宋体"/>
          <w:highlight w:val="none"/>
        </w:rPr>
        <w:t>00，下午12</w:t>
      </w:r>
      <w:r>
        <w:rPr>
          <w:rFonts w:hint="eastAsia" w:ascii="宋体" w:hAnsi="宋体" w:eastAsia="宋体" w:cs="宋体"/>
          <w:highlight w:val="none"/>
          <w:lang w:eastAsia="zh-CN"/>
        </w:rPr>
        <w:t>：</w:t>
      </w:r>
      <w:r>
        <w:rPr>
          <w:rFonts w:hint="eastAsia" w:ascii="宋体" w:hAnsi="宋体" w:eastAsia="宋体" w:cs="宋体"/>
          <w:highlight w:val="none"/>
        </w:rPr>
        <w:t>00至23</w:t>
      </w:r>
      <w:r>
        <w:rPr>
          <w:rFonts w:hint="eastAsia" w:ascii="宋体" w:hAnsi="宋体" w:eastAsia="宋体" w:cs="宋体"/>
          <w:highlight w:val="none"/>
          <w:lang w:eastAsia="zh-CN"/>
        </w:rPr>
        <w:t>：</w:t>
      </w:r>
      <w:r>
        <w:rPr>
          <w:rFonts w:hint="eastAsia" w:ascii="宋体" w:hAnsi="宋体" w:eastAsia="宋体" w:cs="宋体"/>
          <w:highlight w:val="none"/>
        </w:rPr>
        <w:t>59（北京时间，法定节假日除外。）</w:t>
      </w:r>
    </w:p>
    <w:p w14:paraId="3856837E">
      <w:pPr>
        <w:pStyle w:val="14"/>
        <w:keepNext w:val="0"/>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rPr>
      </w:pPr>
      <w:r>
        <w:rPr>
          <w:rFonts w:hint="eastAsia" w:ascii="宋体" w:hAnsi="宋体" w:eastAsia="宋体" w:cs="宋体"/>
          <w:highlight w:val="none"/>
        </w:rPr>
        <w:t>2.地点：三门峡市公共资源交易中心网上</w:t>
      </w:r>
    </w:p>
    <w:p w14:paraId="39123452">
      <w:pPr>
        <w:pStyle w:val="14"/>
        <w:keepNext w:val="0"/>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rPr>
      </w:pPr>
      <w:r>
        <w:rPr>
          <w:rFonts w:hint="eastAsia" w:ascii="宋体" w:hAnsi="宋体" w:eastAsia="宋体" w:cs="宋体"/>
          <w:highlight w:val="none"/>
        </w:rPr>
        <w:t>3.方式：供应商凭CA数字证书通过三门峡市公共资源交易中心网（网址：http</w:t>
      </w:r>
      <w:r>
        <w:rPr>
          <w:rFonts w:hint="eastAsia" w:ascii="宋体" w:hAnsi="宋体" w:eastAsia="宋体" w:cs="宋体"/>
          <w:highlight w:val="none"/>
          <w:lang w:eastAsia="zh-CN"/>
        </w:rPr>
        <w:t>：</w:t>
      </w:r>
      <w:r>
        <w:rPr>
          <w:rFonts w:hint="eastAsia" w:ascii="宋体" w:hAnsi="宋体" w:eastAsia="宋体" w:cs="宋体"/>
          <w:highlight w:val="none"/>
        </w:rPr>
        <w:t>//gzjy.smx.gov.cn/），点击交易平台选择“市场主体登录”，登陆系统后，点击采购业务-业务管理-竞争性磋商文件领取菜单-点击领取按钮-领取.smxzf格式的电子竞争性磋商文件。</w:t>
      </w:r>
    </w:p>
    <w:p w14:paraId="46754757">
      <w:pPr>
        <w:pStyle w:val="14"/>
        <w:keepNext w:val="0"/>
        <w:pageBreakBefore w:val="0"/>
        <w:overflowPunct/>
        <w:bidi w:val="0"/>
        <w:spacing w:before="0" w:beforeAutospacing="0" w:after="0" w:afterAutospacing="0" w:line="360" w:lineRule="auto"/>
        <w:ind w:firstLine="661"/>
        <w:outlineLvl w:val="9"/>
        <w:rPr>
          <w:rFonts w:hint="eastAsia" w:ascii="宋体" w:hAnsi="宋体" w:eastAsia="宋体" w:cs="宋体"/>
          <w:highlight w:val="none"/>
        </w:rPr>
      </w:pPr>
      <w:r>
        <w:rPr>
          <w:rFonts w:hint="eastAsia" w:ascii="宋体" w:hAnsi="宋体" w:eastAsia="宋体" w:cs="宋体"/>
          <w:highlight w:val="none"/>
        </w:rPr>
        <w:t>办理CA证书链接：http</w:t>
      </w:r>
      <w:r>
        <w:rPr>
          <w:rFonts w:hint="eastAsia" w:ascii="宋体" w:hAnsi="宋体" w:eastAsia="宋体" w:cs="宋体"/>
          <w:highlight w:val="none"/>
          <w:lang w:eastAsia="zh-CN"/>
        </w:rPr>
        <w:t>：</w:t>
      </w:r>
      <w:r>
        <w:rPr>
          <w:rFonts w:hint="eastAsia" w:ascii="宋体" w:hAnsi="宋体" w:eastAsia="宋体" w:cs="宋体"/>
          <w:highlight w:val="none"/>
        </w:rPr>
        <w:t>//gzjy.smx.gov.cn/fwzn/004003/20201019/a8fae6a0-baed-499b-bb50-8ecc8828a2ca.html</w:t>
      </w:r>
    </w:p>
    <w:p w14:paraId="10CA2E8E">
      <w:pPr>
        <w:pStyle w:val="14"/>
        <w:keepNext w:val="0"/>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rPr>
      </w:pPr>
      <w:r>
        <w:rPr>
          <w:rFonts w:hint="eastAsia" w:ascii="宋体" w:hAnsi="宋体" w:eastAsia="宋体" w:cs="宋体"/>
          <w:highlight w:val="none"/>
        </w:rPr>
        <w:t>4.售价：0元</w:t>
      </w:r>
    </w:p>
    <w:p w14:paraId="06B02AE7">
      <w:pPr>
        <w:pStyle w:val="14"/>
        <w:keepNext w:val="0"/>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rPr>
      </w:pPr>
      <w:r>
        <w:rPr>
          <w:rFonts w:hint="eastAsia" w:ascii="宋体" w:hAnsi="宋体" w:eastAsia="宋体" w:cs="宋体"/>
          <w:highlight w:val="none"/>
        </w:rPr>
        <w:t>四、响应文件提交</w:t>
      </w:r>
    </w:p>
    <w:p w14:paraId="1B10AAB5">
      <w:pPr>
        <w:pStyle w:val="14"/>
        <w:keepNext w:val="0"/>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rPr>
      </w:pPr>
      <w:r>
        <w:rPr>
          <w:rFonts w:hint="eastAsia" w:ascii="宋体" w:hAnsi="宋体" w:eastAsia="宋体" w:cs="宋体"/>
          <w:highlight w:val="none"/>
        </w:rPr>
        <w:t>1.截至时间：</w:t>
      </w:r>
      <w:r>
        <w:rPr>
          <w:rFonts w:hint="eastAsia" w:ascii="宋体" w:hAnsi="宋体" w:eastAsia="宋体" w:cs="宋体"/>
          <w:highlight w:val="none"/>
          <w:lang w:eastAsia="zh-CN"/>
        </w:rPr>
        <w:t>2</w:t>
      </w:r>
      <w:r>
        <w:rPr>
          <w:rFonts w:hint="eastAsia" w:ascii="宋体" w:hAnsi="宋体" w:eastAsia="宋体" w:cs="宋体"/>
          <w:highlight w:val="none"/>
          <w:lang w:val="en-US" w:eastAsia="zh-CN"/>
        </w:rPr>
        <w:t>025</w:t>
      </w:r>
      <w:r>
        <w:rPr>
          <w:rFonts w:hint="eastAsia" w:ascii="宋体" w:hAnsi="宋体" w:eastAsia="宋体" w:cs="宋体"/>
          <w:highlight w:val="none"/>
        </w:rPr>
        <w:t>年</w:t>
      </w:r>
      <w:r>
        <w:rPr>
          <w:rFonts w:hint="eastAsia" w:cs="宋体"/>
          <w:highlight w:val="none"/>
          <w:lang w:val="en-US" w:eastAsia="zh-CN"/>
        </w:rPr>
        <w:t>09</w:t>
      </w:r>
      <w:r>
        <w:rPr>
          <w:rFonts w:hint="eastAsia" w:ascii="宋体" w:hAnsi="宋体" w:eastAsia="宋体" w:cs="宋体"/>
          <w:highlight w:val="none"/>
        </w:rPr>
        <w:t>月</w:t>
      </w:r>
      <w:r>
        <w:rPr>
          <w:rFonts w:hint="eastAsia" w:cs="宋体"/>
          <w:highlight w:val="none"/>
          <w:lang w:val="en-US" w:eastAsia="zh-CN"/>
        </w:rPr>
        <w:t>19</w:t>
      </w:r>
      <w:r>
        <w:rPr>
          <w:rFonts w:hint="eastAsia" w:ascii="宋体" w:hAnsi="宋体" w:eastAsia="宋体" w:cs="宋体"/>
          <w:highlight w:val="none"/>
        </w:rPr>
        <w:t>日</w:t>
      </w:r>
      <w:r>
        <w:rPr>
          <w:rFonts w:hint="eastAsia" w:cs="宋体"/>
          <w:highlight w:val="none"/>
          <w:lang w:val="en-US" w:eastAsia="zh-CN"/>
        </w:rPr>
        <w:t>08时20分</w:t>
      </w:r>
      <w:r>
        <w:rPr>
          <w:rFonts w:hint="eastAsia" w:ascii="宋体" w:hAnsi="宋体" w:eastAsia="宋体" w:cs="宋体"/>
          <w:highlight w:val="none"/>
        </w:rPr>
        <w:t>（北京时间）</w:t>
      </w:r>
    </w:p>
    <w:p w14:paraId="2403ECF5">
      <w:pPr>
        <w:pStyle w:val="14"/>
        <w:keepNext w:val="0"/>
        <w:pageBreakBefore w:val="0"/>
        <w:overflowPunct/>
        <w:bidi w:val="0"/>
        <w:spacing w:before="0" w:beforeAutospacing="0" w:after="0" w:afterAutospacing="0" w:line="360" w:lineRule="auto"/>
        <w:ind w:firstLine="560"/>
        <w:jc w:val="both"/>
        <w:outlineLvl w:val="9"/>
        <w:rPr>
          <w:rFonts w:hint="eastAsia" w:ascii="宋体" w:hAnsi="宋体" w:eastAsia="宋体" w:cs="宋体"/>
          <w:highlight w:val="none"/>
        </w:rPr>
      </w:pPr>
      <w:r>
        <w:rPr>
          <w:rFonts w:hint="eastAsia" w:ascii="宋体" w:hAnsi="宋体" w:eastAsia="宋体" w:cs="宋体"/>
          <w:highlight w:val="none"/>
        </w:rPr>
        <w:t>2.地点：加密电子竞争性磋商响应文件须在磋商截止时间前通过三门峡市公共资源交易中心电子交易平台加密上传。</w:t>
      </w:r>
    </w:p>
    <w:p w14:paraId="40AE4650">
      <w:pPr>
        <w:pStyle w:val="14"/>
        <w:keepNext w:val="0"/>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rPr>
      </w:pPr>
      <w:r>
        <w:rPr>
          <w:rFonts w:hint="eastAsia" w:ascii="宋体" w:hAnsi="宋体" w:eastAsia="宋体" w:cs="宋体"/>
          <w:highlight w:val="none"/>
        </w:rPr>
        <w:t>五、响应文件开启</w:t>
      </w:r>
    </w:p>
    <w:p w14:paraId="3ADEF78D">
      <w:pPr>
        <w:pStyle w:val="14"/>
        <w:keepNext w:val="0"/>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rPr>
      </w:pPr>
      <w:r>
        <w:rPr>
          <w:rFonts w:hint="eastAsia" w:ascii="宋体" w:hAnsi="宋体" w:eastAsia="宋体" w:cs="宋体"/>
          <w:highlight w:val="none"/>
        </w:rPr>
        <w:t>1.时间：</w:t>
      </w:r>
      <w:r>
        <w:rPr>
          <w:rFonts w:hint="eastAsia" w:ascii="宋体" w:hAnsi="宋体" w:eastAsia="宋体" w:cs="宋体"/>
          <w:highlight w:val="none"/>
          <w:lang w:eastAsia="zh-CN"/>
        </w:rPr>
        <w:t>2</w:t>
      </w:r>
      <w:r>
        <w:rPr>
          <w:rFonts w:hint="eastAsia" w:ascii="宋体" w:hAnsi="宋体" w:eastAsia="宋体" w:cs="宋体"/>
          <w:highlight w:val="none"/>
          <w:lang w:val="en-US" w:eastAsia="zh-CN"/>
        </w:rPr>
        <w:t>025</w:t>
      </w:r>
      <w:r>
        <w:rPr>
          <w:rFonts w:hint="eastAsia" w:ascii="宋体" w:hAnsi="宋体" w:eastAsia="宋体" w:cs="宋体"/>
          <w:highlight w:val="none"/>
        </w:rPr>
        <w:t>年</w:t>
      </w:r>
      <w:r>
        <w:rPr>
          <w:rFonts w:hint="eastAsia" w:cs="宋体"/>
          <w:highlight w:val="none"/>
          <w:lang w:val="en-US" w:eastAsia="zh-CN"/>
        </w:rPr>
        <w:t>09</w:t>
      </w:r>
      <w:r>
        <w:rPr>
          <w:rFonts w:hint="eastAsia" w:ascii="宋体" w:hAnsi="宋体" w:eastAsia="宋体" w:cs="宋体"/>
          <w:highlight w:val="none"/>
        </w:rPr>
        <w:t>月</w:t>
      </w:r>
      <w:r>
        <w:rPr>
          <w:rFonts w:hint="eastAsia" w:cs="宋体"/>
          <w:highlight w:val="none"/>
          <w:lang w:val="en-US" w:eastAsia="zh-CN"/>
        </w:rPr>
        <w:t>19</w:t>
      </w:r>
      <w:r>
        <w:rPr>
          <w:rFonts w:hint="eastAsia" w:ascii="宋体" w:hAnsi="宋体" w:eastAsia="宋体" w:cs="宋体"/>
          <w:highlight w:val="none"/>
        </w:rPr>
        <w:t>日</w:t>
      </w:r>
      <w:r>
        <w:rPr>
          <w:rFonts w:hint="eastAsia" w:cs="宋体"/>
          <w:highlight w:val="none"/>
          <w:lang w:val="en-US" w:eastAsia="zh-CN"/>
        </w:rPr>
        <w:t>08时20分</w:t>
      </w:r>
      <w:r>
        <w:rPr>
          <w:rFonts w:hint="eastAsia" w:ascii="宋体" w:hAnsi="宋体" w:eastAsia="宋体" w:cs="宋体"/>
          <w:highlight w:val="none"/>
        </w:rPr>
        <w:t>（北京时间）</w:t>
      </w:r>
    </w:p>
    <w:p w14:paraId="2CC39F12">
      <w:pPr>
        <w:pStyle w:val="14"/>
        <w:keepNext w:val="0"/>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lang w:eastAsia="zh-CN"/>
        </w:rPr>
      </w:pPr>
      <w:r>
        <w:rPr>
          <w:rFonts w:hint="eastAsia" w:ascii="宋体" w:hAnsi="宋体" w:eastAsia="宋体" w:cs="宋体"/>
          <w:highlight w:val="none"/>
        </w:rPr>
        <w:t>2.地点：</w:t>
      </w:r>
      <w:r>
        <w:rPr>
          <w:rFonts w:hint="eastAsia" w:cs="宋体"/>
          <w:highlight w:val="none"/>
          <w:lang w:eastAsia="zh-CN"/>
        </w:rPr>
        <w:t>三门峡市陕州区公共资源交易中心开标室</w:t>
      </w:r>
    </w:p>
    <w:p w14:paraId="17F4436C">
      <w:pPr>
        <w:pStyle w:val="14"/>
        <w:keepNext w:val="0"/>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rPr>
      </w:pPr>
      <w:r>
        <w:rPr>
          <w:rFonts w:hint="eastAsia" w:ascii="宋体" w:hAnsi="宋体" w:eastAsia="宋体" w:cs="宋体"/>
          <w:highlight w:val="none"/>
        </w:rPr>
        <w:t>六、发布公告的媒介及公告期限</w:t>
      </w:r>
    </w:p>
    <w:p w14:paraId="3A63716B">
      <w:pPr>
        <w:pStyle w:val="14"/>
        <w:keepNext w:val="0"/>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rPr>
      </w:pPr>
      <w:r>
        <w:rPr>
          <w:rFonts w:hint="eastAsia" w:ascii="宋体" w:hAnsi="宋体" w:eastAsia="宋体" w:cs="宋体"/>
          <w:highlight w:val="none"/>
        </w:rPr>
        <w:t>本次公告在</w:t>
      </w:r>
      <w:r>
        <w:rPr>
          <w:rFonts w:hint="eastAsia" w:ascii="宋体" w:hAnsi="宋体" w:eastAsia="宋体" w:cs="宋体"/>
          <w:bCs/>
          <w:color w:val="000000"/>
          <w:highlight w:val="none"/>
        </w:rPr>
        <w:t>《河南省政府采购网》、《三门峡市公共资源交易中心网》和《</w:t>
      </w:r>
      <w:r>
        <w:rPr>
          <w:rFonts w:hint="eastAsia" w:cs="宋体"/>
          <w:bCs/>
          <w:color w:val="000000"/>
          <w:highlight w:val="none"/>
          <w:lang w:eastAsia="zh-CN"/>
        </w:rPr>
        <w:t>中国招标投标公共服务平台</w:t>
      </w:r>
      <w:r>
        <w:rPr>
          <w:rFonts w:hint="eastAsia" w:ascii="宋体" w:hAnsi="宋体" w:eastAsia="宋体" w:cs="宋体"/>
          <w:bCs/>
          <w:color w:val="000000"/>
          <w:highlight w:val="none"/>
        </w:rPr>
        <w:t>》</w:t>
      </w:r>
      <w:r>
        <w:rPr>
          <w:rFonts w:hint="eastAsia" w:ascii="宋体" w:hAnsi="宋体" w:eastAsia="宋体" w:cs="宋体"/>
          <w:highlight w:val="none"/>
        </w:rPr>
        <w:t>上发布，公告期限为三个工作日。</w:t>
      </w:r>
    </w:p>
    <w:p w14:paraId="16ED0306">
      <w:pPr>
        <w:pStyle w:val="14"/>
        <w:keepNext w:val="0"/>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rPr>
      </w:pPr>
      <w:r>
        <w:rPr>
          <w:rFonts w:hint="eastAsia" w:ascii="宋体" w:hAnsi="宋体" w:eastAsia="宋体" w:cs="宋体"/>
          <w:highlight w:val="none"/>
        </w:rPr>
        <w:t>七、其他补充事宜</w:t>
      </w:r>
    </w:p>
    <w:p w14:paraId="79019790">
      <w:pPr>
        <w:pStyle w:val="14"/>
        <w:keepNext w:val="0"/>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rPr>
      </w:pPr>
      <w:r>
        <w:rPr>
          <w:rFonts w:hint="eastAsia" w:ascii="宋体" w:hAnsi="宋体" w:eastAsia="宋体" w:cs="宋体"/>
          <w:highlight w:val="none"/>
        </w:rPr>
        <w:t>1.本项目为不见面开标项目，开标当日，投标人无需到开标现场参加开标会议，投标人应当在投标截止时间前，登陆不见面开标大厅选择登陆三门峡市公共资源电子招投标系统进行登陆（网址为http</w:t>
      </w:r>
      <w:r>
        <w:rPr>
          <w:rFonts w:hint="eastAsia" w:ascii="宋体" w:hAnsi="宋体" w:eastAsia="宋体" w:cs="宋体"/>
          <w:highlight w:val="none"/>
          <w:lang w:eastAsia="zh-CN"/>
        </w:rPr>
        <w:t>：</w:t>
      </w:r>
      <w:r>
        <w:rPr>
          <w:rFonts w:hint="eastAsia" w:ascii="宋体" w:hAnsi="宋体" w:eastAsia="宋体" w:cs="宋体"/>
          <w:highlight w:val="none"/>
        </w:rPr>
        <w:t>//120.194.249.36</w:t>
      </w:r>
      <w:r>
        <w:rPr>
          <w:rFonts w:hint="eastAsia" w:ascii="宋体" w:hAnsi="宋体" w:eastAsia="宋体" w:cs="宋体"/>
          <w:highlight w:val="none"/>
          <w:lang w:eastAsia="zh-CN"/>
        </w:rPr>
        <w:t>：</w:t>
      </w:r>
      <w:r>
        <w:rPr>
          <w:rFonts w:hint="eastAsia" w:ascii="宋体" w:hAnsi="宋体" w:eastAsia="宋体" w:cs="宋体"/>
          <w:highlight w:val="none"/>
        </w:rPr>
        <w:t>10094/BidOpening/bidopeninghallaction/hall/login）,在线准时参加开标活动并进行磋商响应文件解密等。每位投标人的解密时间为开标时间起30分钟内完成。因投标人原因未能解密、解密失败或解密超时的将被拒绝。</w:t>
      </w:r>
    </w:p>
    <w:p w14:paraId="305121EC">
      <w:pPr>
        <w:pStyle w:val="14"/>
        <w:keepNext w:val="0"/>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rPr>
      </w:pPr>
      <w:r>
        <w:rPr>
          <w:rFonts w:hint="eastAsia" w:ascii="宋体" w:hAnsi="宋体" w:eastAsia="宋体" w:cs="宋体"/>
          <w:highlight w:val="none"/>
        </w:rPr>
        <w:t>2.本项目为电子化、无纸化交易项目，开标时不再接受任何纸质资料，为保证您能投标成功，请需仔细阅读竞争性磋商文件和三门峡市公共资源交易中心官网业务办理指南。</w:t>
      </w:r>
    </w:p>
    <w:p w14:paraId="4FBE22E0">
      <w:pPr>
        <w:pStyle w:val="14"/>
        <w:keepNext w:val="0"/>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rPr>
      </w:pPr>
      <w:r>
        <w:rPr>
          <w:rFonts w:hint="eastAsia" w:ascii="宋体" w:hAnsi="宋体" w:eastAsia="宋体" w:cs="宋体"/>
          <w:highlight w:val="none"/>
        </w:rPr>
        <w:t>3.根据《河南省财政厅关于优化政府采购营商环境有关问题的通知》（豫财购【2019】4号）第6条的规定，磋商保证金不再收取。</w:t>
      </w:r>
    </w:p>
    <w:p w14:paraId="27707AC7">
      <w:pPr>
        <w:pStyle w:val="14"/>
        <w:keepNext w:val="0"/>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rPr>
      </w:pPr>
      <w:r>
        <w:rPr>
          <w:rFonts w:hint="eastAsia" w:ascii="宋体" w:hAnsi="宋体" w:eastAsia="宋体" w:cs="宋体"/>
          <w:highlight w:val="none"/>
        </w:rPr>
        <w:t>4.本项目实行资格后审，审查内容以</w:t>
      </w:r>
      <w:r>
        <w:rPr>
          <w:rFonts w:hint="eastAsia" w:cs="宋体"/>
          <w:highlight w:val="none"/>
          <w:lang w:eastAsia="zh-CN"/>
        </w:rPr>
        <w:t>响应文件</w:t>
      </w:r>
      <w:r>
        <w:rPr>
          <w:rFonts w:hint="eastAsia" w:ascii="宋体" w:hAnsi="宋体" w:eastAsia="宋体" w:cs="宋体"/>
          <w:highlight w:val="none"/>
        </w:rPr>
        <w:t>为准，其上传资料真实性由供应商自行承担，同时，供应商请完善主体库。</w:t>
      </w:r>
    </w:p>
    <w:p w14:paraId="00AEBB42">
      <w:pPr>
        <w:pStyle w:val="14"/>
        <w:keepNext w:val="0"/>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rPr>
      </w:pPr>
      <w:r>
        <w:rPr>
          <w:rFonts w:hint="eastAsia" w:ascii="宋体" w:hAnsi="宋体" w:eastAsia="宋体" w:cs="宋体"/>
          <w:highlight w:val="none"/>
        </w:rPr>
        <w:t>5.评标打分部分：评标打分部分仍按照100分制原则进行，涉及到资格审查、企业荣誉、企业业绩等计分部分时，以投标单位自行上传到磋商响应文件中的相应内容为准。</w:t>
      </w:r>
    </w:p>
    <w:p w14:paraId="2C1F7AA3">
      <w:pPr>
        <w:pStyle w:val="14"/>
        <w:keepNext w:val="0"/>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rPr>
      </w:pPr>
      <w:r>
        <w:rPr>
          <w:rFonts w:hint="eastAsia" w:ascii="宋体" w:hAnsi="宋体" w:eastAsia="宋体" w:cs="宋体"/>
          <w:highlight w:val="none"/>
        </w:rPr>
        <w:t>6.在竞争性磋商文件中要求投标人按照磋商响应文件格式进行磋商响应文件编制，在磋商响应文件编制时，应明确将供应商企业基本情况、人员情况、财务情况、业绩情况编入磋商响应文件，便于进行资格审查及评标打分。</w:t>
      </w:r>
    </w:p>
    <w:p w14:paraId="41FB3458">
      <w:pPr>
        <w:pStyle w:val="14"/>
        <w:keepNext w:val="0"/>
        <w:pageBreakBefore w:val="0"/>
        <w:overflowPunct/>
        <w:bidi w:val="0"/>
        <w:spacing w:before="0" w:beforeAutospacing="0" w:after="0" w:afterAutospacing="0" w:line="360" w:lineRule="auto"/>
        <w:ind w:firstLine="566"/>
        <w:jc w:val="both"/>
        <w:outlineLvl w:val="9"/>
        <w:rPr>
          <w:rFonts w:hint="eastAsia" w:ascii="宋体" w:hAnsi="宋体" w:eastAsia="宋体" w:cs="宋体"/>
          <w:highlight w:val="none"/>
        </w:rPr>
      </w:pPr>
      <w:r>
        <w:rPr>
          <w:rFonts w:hint="eastAsia" w:ascii="宋体" w:hAnsi="宋体" w:eastAsia="宋体" w:cs="宋体"/>
          <w:highlight w:val="none"/>
        </w:rPr>
        <w:t>7.我单位（采购人）严格按三财购【2021】9号文要求的时限发布中标结果公告，发出中标通知书，签订采购合同，上传采购合同。</w:t>
      </w:r>
    </w:p>
    <w:p w14:paraId="690991BB">
      <w:pPr>
        <w:pStyle w:val="14"/>
        <w:keepNext w:val="0"/>
        <w:pageBreakBefore w:val="0"/>
        <w:overflowPunct/>
        <w:bidi w:val="0"/>
        <w:spacing w:before="0" w:beforeAutospacing="0" w:after="0" w:afterAutospacing="0" w:line="360" w:lineRule="auto"/>
        <w:ind w:firstLine="661"/>
        <w:outlineLvl w:val="9"/>
        <w:rPr>
          <w:rFonts w:hint="eastAsia" w:ascii="宋体" w:hAnsi="宋体" w:eastAsia="宋体" w:cs="宋体"/>
          <w:highlight w:val="none"/>
        </w:rPr>
      </w:pPr>
      <w:r>
        <w:rPr>
          <w:rFonts w:hint="eastAsia" w:ascii="宋体" w:hAnsi="宋体" w:eastAsia="宋体" w:cs="宋体"/>
          <w:highlight w:val="none"/>
        </w:rPr>
        <w:t>八、凡对本次招标提出询问，请按照以下方式联系</w:t>
      </w:r>
    </w:p>
    <w:p w14:paraId="41756030">
      <w:pPr>
        <w:pStyle w:val="14"/>
        <w:keepNext w:val="0"/>
        <w:pageBreakBefore w:val="0"/>
        <w:overflowPunct/>
        <w:bidi w:val="0"/>
        <w:spacing w:before="0" w:beforeAutospacing="0" w:after="0" w:afterAutospacing="0" w:line="360" w:lineRule="auto"/>
        <w:ind w:firstLine="661"/>
        <w:outlineLvl w:val="9"/>
        <w:rPr>
          <w:rFonts w:hint="default" w:ascii="宋体" w:hAnsi="宋体" w:eastAsia="宋体" w:cs="宋体"/>
          <w:highlight w:val="none"/>
          <w:lang w:val="en-US" w:eastAsia="zh-CN"/>
        </w:rPr>
      </w:pPr>
      <w:r>
        <w:rPr>
          <w:rFonts w:hint="eastAsia" w:ascii="宋体" w:hAnsi="宋体" w:eastAsia="宋体" w:cs="宋体"/>
          <w:highlight w:val="none"/>
        </w:rPr>
        <w:t>1.</w:t>
      </w:r>
      <w:r>
        <w:rPr>
          <w:rFonts w:hint="eastAsia" w:cs="宋体"/>
          <w:highlight w:val="none"/>
          <w:lang w:val="en-US" w:eastAsia="zh-CN"/>
        </w:rPr>
        <w:t>采购人信息</w:t>
      </w:r>
    </w:p>
    <w:p w14:paraId="44534803">
      <w:pPr>
        <w:pStyle w:val="14"/>
        <w:keepNext w:val="0"/>
        <w:pageBreakBefore w:val="0"/>
        <w:overflowPunct/>
        <w:bidi w:val="0"/>
        <w:spacing w:before="0" w:beforeAutospacing="0" w:after="0" w:afterAutospacing="0" w:line="360" w:lineRule="auto"/>
        <w:ind w:firstLine="661"/>
        <w:outlineLvl w:val="9"/>
        <w:rPr>
          <w:rFonts w:hint="eastAsia" w:ascii="宋体" w:hAnsi="宋体" w:eastAsia="宋体" w:cs="宋体"/>
          <w:highlight w:val="none"/>
          <w:lang w:eastAsia="zh-CN"/>
        </w:rPr>
      </w:pPr>
      <w:r>
        <w:rPr>
          <w:rFonts w:hint="eastAsia" w:cs="宋体"/>
          <w:highlight w:val="none"/>
          <w:lang w:val="en-US" w:eastAsia="zh-CN"/>
        </w:rPr>
        <w:t>名称</w:t>
      </w:r>
      <w:r>
        <w:rPr>
          <w:rFonts w:hint="eastAsia" w:ascii="宋体" w:hAnsi="宋体" w:eastAsia="宋体" w:cs="宋体"/>
          <w:highlight w:val="none"/>
        </w:rPr>
        <w:t>：</w:t>
      </w:r>
      <w:r>
        <w:rPr>
          <w:rFonts w:hint="eastAsia" w:cs="宋体"/>
          <w:highlight w:val="none"/>
          <w:lang w:eastAsia="zh-CN"/>
        </w:rPr>
        <w:t>三门峡市陕州区自然资源局</w:t>
      </w:r>
    </w:p>
    <w:p w14:paraId="625425A2">
      <w:pPr>
        <w:pStyle w:val="14"/>
        <w:keepNext w:val="0"/>
        <w:pageBreakBefore w:val="0"/>
        <w:overflowPunct/>
        <w:bidi w:val="0"/>
        <w:spacing w:before="0" w:beforeAutospacing="0" w:after="0" w:afterAutospacing="0" w:line="360" w:lineRule="auto"/>
        <w:ind w:firstLine="661"/>
        <w:outlineLvl w:val="9"/>
        <w:rPr>
          <w:rFonts w:hint="eastAsia" w:ascii="宋体" w:hAnsi="宋体" w:eastAsia="宋体" w:cs="宋体"/>
          <w:highlight w:val="none"/>
          <w:lang w:eastAsia="zh-CN"/>
        </w:rPr>
      </w:pPr>
      <w:r>
        <w:rPr>
          <w:rFonts w:hint="eastAsia" w:ascii="宋体" w:hAnsi="宋体" w:eastAsia="宋体" w:cs="宋体"/>
          <w:highlight w:val="none"/>
        </w:rPr>
        <w:t>地址：</w:t>
      </w:r>
      <w:r>
        <w:rPr>
          <w:rFonts w:hint="eastAsia" w:cs="宋体"/>
          <w:highlight w:val="none"/>
          <w:lang w:eastAsia="zh-CN"/>
        </w:rPr>
        <w:t>三门峡市陕州区大营镇永乐街</w:t>
      </w:r>
    </w:p>
    <w:p w14:paraId="5BCEDB91">
      <w:pPr>
        <w:pStyle w:val="14"/>
        <w:keepNext w:val="0"/>
        <w:pageBreakBefore w:val="0"/>
        <w:overflowPunct/>
        <w:bidi w:val="0"/>
        <w:spacing w:before="0" w:beforeAutospacing="0" w:after="0" w:afterAutospacing="0" w:line="360" w:lineRule="auto"/>
        <w:ind w:firstLine="661"/>
        <w:outlineLvl w:val="9"/>
        <w:rPr>
          <w:rFonts w:hint="eastAsia" w:ascii="宋体" w:hAnsi="宋体" w:eastAsia="宋体" w:cs="宋体"/>
          <w:highlight w:val="none"/>
        </w:rPr>
      </w:pPr>
      <w:r>
        <w:rPr>
          <w:rFonts w:hint="eastAsia" w:ascii="宋体" w:hAnsi="宋体" w:eastAsia="宋体" w:cs="宋体"/>
          <w:highlight w:val="none"/>
        </w:rPr>
        <w:t>联系人：</w:t>
      </w:r>
      <w:r>
        <w:rPr>
          <w:rFonts w:hint="eastAsia" w:cs="宋体"/>
          <w:highlight w:val="none"/>
          <w:lang w:eastAsia="zh-CN"/>
        </w:rPr>
        <w:t>王女士</w:t>
      </w:r>
    </w:p>
    <w:p w14:paraId="7DE23EE4">
      <w:pPr>
        <w:pStyle w:val="14"/>
        <w:keepNext w:val="0"/>
        <w:pageBreakBefore w:val="0"/>
        <w:overflowPunct/>
        <w:bidi w:val="0"/>
        <w:spacing w:before="0" w:beforeAutospacing="0" w:after="0" w:afterAutospacing="0" w:line="360" w:lineRule="auto"/>
        <w:ind w:firstLine="661"/>
        <w:outlineLvl w:val="9"/>
        <w:rPr>
          <w:rFonts w:hint="eastAsia" w:ascii="宋体" w:hAnsi="宋体" w:eastAsia="宋体" w:cs="宋体"/>
          <w:highlight w:val="none"/>
          <w:lang w:eastAsia="zh-CN"/>
        </w:rPr>
      </w:pPr>
      <w:r>
        <w:rPr>
          <w:rFonts w:hint="eastAsia" w:ascii="宋体" w:hAnsi="宋体" w:eastAsia="宋体" w:cs="宋体"/>
          <w:highlight w:val="none"/>
        </w:rPr>
        <w:t>联系方式：</w:t>
      </w:r>
      <w:r>
        <w:rPr>
          <w:rFonts w:hint="eastAsia" w:cs="宋体"/>
          <w:highlight w:val="none"/>
          <w:lang w:eastAsia="zh-CN"/>
        </w:rPr>
        <w:t>0398-3838581</w:t>
      </w:r>
    </w:p>
    <w:p w14:paraId="71077672">
      <w:pPr>
        <w:pStyle w:val="14"/>
        <w:keepNext w:val="0"/>
        <w:pageBreakBefore w:val="0"/>
        <w:overflowPunct/>
        <w:bidi w:val="0"/>
        <w:spacing w:before="0" w:beforeAutospacing="0" w:after="0" w:afterAutospacing="0" w:line="360" w:lineRule="auto"/>
        <w:ind w:firstLine="661"/>
        <w:outlineLvl w:val="9"/>
        <w:rPr>
          <w:rFonts w:hint="eastAsia" w:ascii="宋体" w:hAnsi="宋体" w:eastAsia="宋体" w:cs="宋体"/>
          <w:highlight w:val="none"/>
        </w:rPr>
      </w:pPr>
      <w:r>
        <w:rPr>
          <w:rFonts w:hint="eastAsia" w:ascii="宋体" w:hAnsi="宋体" w:eastAsia="宋体" w:cs="宋体"/>
          <w:highlight w:val="none"/>
        </w:rPr>
        <w:t>2.采购代理机构信息（如有）</w:t>
      </w:r>
    </w:p>
    <w:p w14:paraId="7A8B19B9">
      <w:pPr>
        <w:pStyle w:val="14"/>
        <w:keepNext w:val="0"/>
        <w:pageBreakBefore w:val="0"/>
        <w:overflowPunct/>
        <w:bidi w:val="0"/>
        <w:spacing w:before="0" w:beforeAutospacing="0" w:after="0" w:afterAutospacing="0" w:line="360" w:lineRule="auto"/>
        <w:ind w:firstLine="661"/>
        <w:outlineLvl w:val="9"/>
        <w:rPr>
          <w:rFonts w:hint="eastAsia" w:ascii="宋体" w:hAnsi="宋体" w:eastAsia="宋体" w:cs="宋体"/>
          <w:highlight w:val="none"/>
          <w:lang w:eastAsia="zh-CN"/>
        </w:rPr>
      </w:pPr>
      <w:r>
        <w:rPr>
          <w:rFonts w:hint="eastAsia" w:cs="宋体"/>
          <w:highlight w:val="none"/>
          <w:lang w:val="en-US" w:eastAsia="zh-CN"/>
        </w:rPr>
        <w:t>名称</w:t>
      </w:r>
      <w:r>
        <w:rPr>
          <w:rFonts w:hint="eastAsia" w:ascii="宋体" w:hAnsi="宋体" w:eastAsia="宋体" w:cs="宋体"/>
          <w:highlight w:val="none"/>
        </w:rPr>
        <w:t>：</w:t>
      </w:r>
      <w:r>
        <w:rPr>
          <w:rFonts w:hint="eastAsia" w:cs="宋体"/>
          <w:highlight w:val="none"/>
          <w:lang w:eastAsia="zh-CN"/>
        </w:rPr>
        <w:t>汇衡昊远项目管理咨询有限公司</w:t>
      </w:r>
    </w:p>
    <w:p w14:paraId="6A4C1E8A">
      <w:pPr>
        <w:pStyle w:val="14"/>
        <w:keepNext w:val="0"/>
        <w:pageBreakBefore w:val="0"/>
        <w:overflowPunct/>
        <w:bidi w:val="0"/>
        <w:spacing w:before="0" w:beforeAutospacing="0" w:after="0" w:afterAutospacing="0" w:line="360" w:lineRule="auto"/>
        <w:ind w:firstLine="661"/>
        <w:outlineLvl w:val="9"/>
        <w:rPr>
          <w:rFonts w:hint="eastAsia" w:ascii="宋体" w:hAnsi="宋体" w:eastAsia="宋体" w:cs="宋体"/>
          <w:highlight w:val="none"/>
        </w:rPr>
      </w:pPr>
      <w:r>
        <w:rPr>
          <w:rFonts w:hint="eastAsia" w:ascii="宋体" w:hAnsi="宋体" w:eastAsia="宋体" w:cs="宋体"/>
          <w:highlight w:val="none"/>
        </w:rPr>
        <w:t>地址：三门峡市湖滨区虢国西路海洋世纪城11号楼602室（海洋SOHO公寓）</w:t>
      </w:r>
    </w:p>
    <w:p w14:paraId="5FCEEBE2">
      <w:pPr>
        <w:pStyle w:val="14"/>
        <w:keepNext w:val="0"/>
        <w:pageBreakBefore w:val="0"/>
        <w:overflowPunct/>
        <w:bidi w:val="0"/>
        <w:spacing w:before="0" w:beforeAutospacing="0" w:after="0" w:afterAutospacing="0" w:line="360" w:lineRule="auto"/>
        <w:ind w:firstLine="661"/>
        <w:outlineLvl w:val="9"/>
        <w:rPr>
          <w:rFonts w:hint="eastAsia" w:ascii="宋体" w:hAnsi="宋体" w:eastAsia="宋体" w:cs="宋体"/>
          <w:highlight w:val="none"/>
          <w:lang w:eastAsia="zh-CN"/>
        </w:rPr>
      </w:pPr>
      <w:r>
        <w:rPr>
          <w:rFonts w:hint="eastAsia" w:ascii="宋体" w:hAnsi="宋体" w:eastAsia="宋体" w:cs="宋体"/>
          <w:highlight w:val="none"/>
        </w:rPr>
        <w:t>联系人：</w:t>
      </w:r>
      <w:r>
        <w:rPr>
          <w:rFonts w:hint="eastAsia" w:cs="宋体"/>
          <w:highlight w:val="none"/>
          <w:lang w:eastAsia="zh-CN"/>
        </w:rPr>
        <w:t>郭昌盛</w:t>
      </w:r>
    </w:p>
    <w:p w14:paraId="74E5848D">
      <w:pPr>
        <w:pStyle w:val="14"/>
        <w:keepNext w:val="0"/>
        <w:pageBreakBefore w:val="0"/>
        <w:overflowPunct/>
        <w:bidi w:val="0"/>
        <w:spacing w:before="0" w:beforeAutospacing="0" w:after="0" w:afterAutospacing="0" w:line="360" w:lineRule="auto"/>
        <w:ind w:firstLine="661"/>
        <w:outlineLvl w:val="9"/>
        <w:rPr>
          <w:rFonts w:hint="eastAsia" w:ascii="宋体" w:hAnsi="宋体" w:eastAsia="宋体" w:cs="宋体"/>
          <w:highlight w:val="none"/>
        </w:rPr>
      </w:pPr>
      <w:r>
        <w:rPr>
          <w:rFonts w:hint="eastAsia" w:cs="宋体"/>
          <w:highlight w:val="none"/>
          <w:lang w:eastAsia="zh-CN"/>
        </w:rPr>
        <w:t>联系方式</w:t>
      </w:r>
      <w:r>
        <w:rPr>
          <w:rFonts w:hint="eastAsia" w:ascii="宋体" w:hAnsi="宋体" w:eastAsia="宋体" w:cs="宋体"/>
          <w:highlight w:val="none"/>
        </w:rPr>
        <w:t>：13419811003</w:t>
      </w:r>
    </w:p>
    <w:p w14:paraId="2E5546FF">
      <w:pPr>
        <w:pStyle w:val="14"/>
        <w:keepNext w:val="0"/>
        <w:pageBreakBefore w:val="0"/>
        <w:overflowPunct/>
        <w:bidi w:val="0"/>
        <w:spacing w:before="0" w:beforeAutospacing="0" w:after="0" w:afterAutospacing="0" w:line="360" w:lineRule="auto"/>
        <w:ind w:firstLine="661"/>
        <w:outlineLvl w:val="9"/>
        <w:rPr>
          <w:rFonts w:hint="eastAsia" w:ascii="宋体" w:hAnsi="宋体" w:eastAsia="宋体" w:cs="宋体"/>
          <w:highlight w:val="none"/>
        </w:rPr>
      </w:pPr>
      <w:r>
        <w:rPr>
          <w:rFonts w:hint="eastAsia" w:ascii="宋体" w:hAnsi="宋体" w:eastAsia="宋体" w:cs="宋体"/>
          <w:highlight w:val="none"/>
        </w:rPr>
        <w:t>3.项目联系方式</w:t>
      </w:r>
    </w:p>
    <w:p w14:paraId="07D49365">
      <w:pPr>
        <w:pStyle w:val="14"/>
        <w:keepNext w:val="0"/>
        <w:pageBreakBefore w:val="0"/>
        <w:overflowPunct/>
        <w:bidi w:val="0"/>
        <w:spacing w:before="0" w:beforeAutospacing="0" w:after="0" w:afterAutospacing="0" w:line="360" w:lineRule="auto"/>
        <w:ind w:firstLine="661"/>
        <w:outlineLvl w:val="9"/>
        <w:rPr>
          <w:rFonts w:hint="eastAsia" w:ascii="宋体" w:hAnsi="宋体" w:eastAsia="宋体" w:cs="宋体"/>
          <w:szCs w:val="24"/>
          <w:highlight w:val="none"/>
          <w:lang w:eastAsia="zh-CN"/>
        </w:rPr>
      </w:pPr>
      <w:r>
        <w:rPr>
          <w:rFonts w:hint="eastAsia" w:ascii="宋体" w:hAnsi="宋体" w:eastAsia="宋体" w:cs="宋体"/>
          <w:szCs w:val="24"/>
          <w:highlight w:val="none"/>
        </w:rPr>
        <w:t>联系人：</w:t>
      </w:r>
      <w:r>
        <w:rPr>
          <w:rFonts w:hint="eastAsia" w:cs="宋体"/>
          <w:szCs w:val="24"/>
          <w:highlight w:val="none"/>
          <w:lang w:eastAsia="zh-CN"/>
        </w:rPr>
        <w:t>郭昌盛</w:t>
      </w:r>
    </w:p>
    <w:p w14:paraId="5766CA0A">
      <w:pPr>
        <w:pStyle w:val="14"/>
        <w:keepNext w:val="0"/>
        <w:pageBreakBefore w:val="0"/>
        <w:overflowPunct/>
        <w:bidi w:val="0"/>
        <w:spacing w:before="0" w:beforeAutospacing="0" w:after="0" w:afterAutospacing="0" w:line="360" w:lineRule="auto"/>
        <w:ind w:firstLine="661"/>
        <w:outlineLvl w:val="9"/>
        <w:rPr>
          <w:rFonts w:hint="eastAsia" w:ascii="宋体" w:hAnsi="宋体" w:eastAsia="宋体" w:cs="宋体"/>
          <w:szCs w:val="24"/>
          <w:highlight w:val="none"/>
        </w:rPr>
      </w:pPr>
      <w:r>
        <w:rPr>
          <w:rFonts w:hint="eastAsia" w:cs="宋体"/>
          <w:szCs w:val="24"/>
          <w:highlight w:val="none"/>
          <w:lang w:eastAsia="zh-CN"/>
        </w:rPr>
        <w:t>联系方式</w:t>
      </w:r>
      <w:r>
        <w:rPr>
          <w:rFonts w:hint="eastAsia" w:ascii="宋体" w:hAnsi="宋体" w:eastAsia="宋体" w:cs="宋体"/>
          <w:szCs w:val="24"/>
          <w:highlight w:val="none"/>
        </w:rPr>
        <w:t>：13419811003</w:t>
      </w:r>
    </w:p>
    <w:p w14:paraId="564DCC70">
      <w:pPr>
        <w:pStyle w:val="14"/>
        <w:keepNext w:val="0"/>
        <w:pageBreakBefore w:val="0"/>
        <w:overflowPunct/>
        <w:bidi w:val="0"/>
        <w:spacing w:before="0" w:beforeAutospacing="0" w:after="0" w:afterAutospacing="0" w:line="360" w:lineRule="auto"/>
        <w:ind w:firstLine="661"/>
        <w:outlineLvl w:val="9"/>
        <w:rPr>
          <w:rFonts w:hint="eastAsia" w:ascii="宋体" w:hAnsi="宋体" w:eastAsia="宋体" w:cs="宋体"/>
          <w:szCs w:val="24"/>
          <w:highlight w:val="none"/>
          <w:lang w:eastAsia="zh-CN"/>
        </w:rPr>
      </w:pPr>
      <w:r>
        <w:rPr>
          <w:rFonts w:hint="eastAsia" w:ascii="宋体" w:hAnsi="宋体" w:eastAsia="宋体" w:cs="宋体"/>
          <w:szCs w:val="24"/>
          <w:highlight w:val="none"/>
        </w:rPr>
        <w:t>4.监督</w:t>
      </w:r>
      <w:r>
        <w:rPr>
          <w:rFonts w:hint="eastAsia" w:cs="宋体"/>
          <w:szCs w:val="24"/>
          <w:highlight w:val="none"/>
          <w:lang w:val="en-US" w:eastAsia="zh-CN"/>
        </w:rPr>
        <w:t>单位</w:t>
      </w:r>
      <w:r>
        <w:rPr>
          <w:rFonts w:hint="eastAsia" w:ascii="宋体" w:hAnsi="宋体" w:eastAsia="宋体" w:cs="宋体"/>
          <w:szCs w:val="24"/>
          <w:highlight w:val="none"/>
        </w:rPr>
        <w:t>：</w:t>
      </w:r>
      <w:r>
        <w:rPr>
          <w:rFonts w:hint="eastAsia" w:cs="宋体"/>
          <w:szCs w:val="24"/>
          <w:highlight w:val="none"/>
          <w:lang w:eastAsia="zh-CN"/>
        </w:rPr>
        <w:t>三门峡市陕州区财政局政府采购监督管理科</w:t>
      </w:r>
    </w:p>
    <w:p w14:paraId="6310CA74">
      <w:pPr>
        <w:pStyle w:val="14"/>
        <w:keepNext w:val="0"/>
        <w:pageBreakBefore w:val="0"/>
        <w:overflowPunct/>
        <w:bidi w:val="0"/>
        <w:spacing w:before="0" w:beforeAutospacing="0" w:after="0" w:afterAutospacing="0" w:line="360" w:lineRule="auto"/>
        <w:ind w:firstLine="661"/>
        <w:outlineLvl w:val="9"/>
        <w:rPr>
          <w:rFonts w:hint="eastAsia" w:ascii="宋体" w:hAnsi="宋体" w:eastAsia="宋体" w:cs="宋体"/>
          <w:szCs w:val="24"/>
          <w:highlight w:val="none"/>
          <w:lang w:eastAsia="zh-CN"/>
        </w:rPr>
      </w:pPr>
      <w:r>
        <w:rPr>
          <w:rFonts w:hint="eastAsia" w:ascii="宋体" w:hAnsi="宋体" w:eastAsia="宋体" w:cs="宋体"/>
          <w:szCs w:val="24"/>
          <w:highlight w:val="none"/>
        </w:rPr>
        <w:t>联系方式：</w:t>
      </w:r>
      <w:r>
        <w:rPr>
          <w:rFonts w:hint="eastAsia" w:cs="宋体"/>
          <w:szCs w:val="24"/>
          <w:highlight w:val="none"/>
          <w:lang w:eastAsia="zh-CN"/>
        </w:rPr>
        <w:t>0398-3839210</w:t>
      </w:r>
    </w:p>
    <w:p w14:paraId="40BFF00C">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val="0"/>
          <w:sz w:val="36"/>
          <w:szCs w:val="36"/>
          <w:highlight w:val="none"/>
        </w:rPr>
      </w:pPr>
      <w:r>
        <w:rPr>
          <w:rFonts w:hint="eastAsia" w:ascii="宋体" w:hAnsi="宋体" w:eastAsia="宋体" w:cs="宋体"/>
          <w:sz w:val="28"/>
          <w:szCs w:val="28"/>
          <w:highlight w:val="none"/>
        </w:rPr>
        <w:br w:type="page"/>
      </w:r>
      <w:bookmarkStart w:id="3" w:name="_Toc8836"/>
      <w:bookmarkStart w:id="4" w:name="_Toc11323"/>
      <w:r>
        <w:rPr>
          <w:rFonts w:hint="eastAsia" w:ascii="宋体" w:hAnsi="宋体" w:eastAsia="宋体" w:cs="宋体"/>
          <w:b/>
          <w:bCs w:val="0"/>
          <w:sz w:val="36"/>
          <w:szCs w:val="36"/>
          <w:highlight w:val="none"/>
        </w:rPr>
        <w:t>第二章  供应商须知</w:t>
      </w:r>
      <w:bookmarkEnd w:id="3"/>
      <w:bookmarkEnd w:id="4"/>
    </w:p>
    <w:p w14:paraId="28CC6BDF">
      <w:pPr>
        <w:keepNext w:val="0"/>
        <w:pageBreakBefore w:val="0"/>
        <w:overflowPunct/>
        <w:bidi w:val="0"/>
        <w:spacing w:line="360" w:lineRule="auto"/>
        <w:jc w:val="center"/>
        <w:outlineLvl w:val="9"/>
        <w:rPr>
          <w:rFonts w:hint="eastAsia" w:ascii="宋体" w:hAnsi="宋体" w:eastAsia="宋体" w:cs="宋体"/>
          <w:sz w:val="32"/>
          <w:szCs w:val="32"/>
          <w:highlight w:val="none"/>
        </w:rPr>
      </w:pPr>
      <w:bookmarkStart w:id="5" w:name="_Toc518571702"/>
      <w:r>
        <w:rPr>
          <w:rFonts w:hint="eastAsia" w:ascii="宋体" w:hAnsi="宋体" w:eastAsia="宋体" w:cs="宋体"/>
          <w:bCs/>
          <w:sz w:val="28"/>
          <w:szCs w:val="28"/>
          <w:highlight w:val="none"/>
          <w:lang w:eastAsia="zh-CN"/>
        </w:rPr>
        <w:t>供应商</w:t>
      </w:r>
      <w:r>
        <w:rPr>
          <w:rFonts w:hint="eastAsia" w:ascii="宋体" w:hAnsi="宋体" w:eastAsia="宋体" w:cs="宋体"/>
          <w:bCs/>
          <w:sz w:val="28"/>
          <w:szCs w:val="28"/>
          <w:highlight w:val="none"/>
        </w:rPr>
        <w:t>须知前附表</w:t>
      </w:r>
      <w:bookmarkEnd w:id="5"/>
    </w:p>
    <w:tbl>
      <w:tblPr>
        <w:tblStyle w:val="17"/>
        <w:tblW w:w="90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9"/>
        <w:gridCol w:w="1885"/>
        <w:gridCol w:w="6379"/>
      </w:tblGrid>
      <w:tr w14:paraId="7B9C9F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atLeast"/>
          <w:jc w:val="center"/>
        </w:trPr>
        <w:tc>
          <w:tcPr>
            <w:tcW w:w="809" w:type="dxa"/>
            <w:tcBorders>
              <w:top w:val="single" w:color="auto" w:sz="12" w:space="0"/>
            </w:tcBorders>
            <w:noWrap w:val="0"/>
            <w:vAlign w:val="center"/>
          </w:tcPr>
          <w:p w14:paraId="30701AAA">
            <w:pPr>
              <w:keepNext w:val="0"/>
              <w:pageBreakBefore w:val="0"/>
              <w:widowControl/>
              <w:overflowPunct/>
              <w:bidi w:val="0"/>
              <w:adjustRightInd w:val="0"/>
              <w:spacing w:line="360" w:lineRule="auto"/>
              <w:ind w:left="3" w:hanging="3" w:hangingChars="1"/>
              <w:jc w:val="center"/>
              <w:outlineLvl w:val="9"/>
              <w:rPr>
                <w:rFonts w:hint="eastAsia" w:ascii="宋体" w:hAnsi="宋体" w:eastAsia="宋体" w:cs="宋体"/>
                <w:b/>
                <w:bCs/>
                <w:spacing w:val="6"/>
                <w:szCs w:val="24"/>
                <w:highlight w:val="none"/>
              </w:rPr>
            </w:pPr>
            <w:r>
              <w:rPr>
                <w:rFonts w:hint="eastAsia" w:ascii="宋体" w:hAnsi="宋体" w:eastAsia="宋体" w:cs="宋体"/>
                <w:b/>
                <w:bCs/>
                <w:spacing w:val="6"/>
                <w:szCs w:val="24"/>
                <w:highlight w:val="none"/>
              </w:rPr>
              <w:t>项号</w:t>
            </w:r>
          </w:p>
        </w:tc>
        <w:tc>
          <w:tcPr>
            <w:tcW w:w="1885" w:type="dxa"/>
            <w:tcBorders>
              <w:top w:val="single" w:color="auto" w:sz="12" w:space="0"/>
            </w:tcBorders>
            <w:noWrap w:val="0"/>
            <w:vAlign w:val="center"/>
          </w:tcPr>
          <w:p w14:paraId="27394016">
            <w:pPr>
              <w:keepNext w:val="0"/>
              <w:pageBreakBefore w:val="0"/>
              <w:widowControl/>
              <w:overflowPunct/>
              <w:topLinePunct w:val="0"/>
              <w:bidi w:val="0"/>
              <w:adjustRightInd w:val="0"/>
              <w:spacing w:line="360" w:lineRule="auto"/>
              <w:ind w:left="3" w:firstLine="0" w:firstLineChars="0"/>
              <w:jc w:val="center"/>
              <w:outlineLvl w:val="9"/>
              <w:rPr>
                <w:rFonts w:hint="eastAsia" w:ascii="宋体" w:hAnsi="宋体" w:eastAsia="宋体" w:cs="宋体"/>
                <w:b/>
                <w:bCs/>
                <w:spacing w:val="6"/>
                <w:szCs w:val="24"/>
                <w:highlight w:val="none"/>
              </w:rPr>
            </w:pPr>
            <w:r>
              <w:rPr>
                <w:rFonts w:hint="eastAsia" w:ascii="宋体" w:hAnsi="宋体" w:eastAsia="宋体" w:cs="宋体"/>
                <w:b/>
                <w:bCs/>
                <w:spacing w:val="6"/>
                <w:szCs w:val="24"/>
                <w:highlight w:val="none"/>
              </w:rPr>
              <w:t>内容</w:t>
            </w:r>
          </w:p>
        </w:tc>
        <w:tc>
          <w:tcPr>
            <w:tcW w:w="6379" w:type="dxa"/>
            <w:tcBorders>
              <w:top w:val="single" w:color="auto" w:sz="12" w:space="0"/>
            </w:tcBorders>
            <w:noWrap w:val="0"/>
            <w:vAlign w:val="center"/>
          </w:tcPr>
          <w:p w14:paraId="7FFC4342">
            <w:pPr>
              <w:keepNext w:val="0"/>
              <w:pageBreakBefore w:val="0"/>
              <w:widowControl/>
              <w:overflowPunct/>
              <w:bidi w:val="0"/>
              <w:adjustRightInd w:val="0"/>
              <w:spacing w:line="360" w:lineRule="auto"/>
              <w:ind w:firstLine="0" w:firstLineChars="0"/>
              <w:jc w:val="center"/>
              <w:outlineLvl w:val="9"/>
              <w:rPr>
                <w:rFonts w:hint="eastAsia" w:ascii="宋体" w:hAnsi="宋体" w:eastAsia="宋体" w:cs="宋体"/>
                <w:b/>
                <w:bCs/>
                <w:spacing w:val="6"/>
                <w:szCs w:val="24"/>
                <w:highlight w:val="none"/>
              </w:rPr>
            </w:pPr>
            <w:r>
              <w:rPr>
                <w:rFonts w:hint="eastAsia" w:ascii="宋体" w:hAnsi="宋体" w:eastAsia="宋体" w:cs="宋体"/>
                <w:b/>
                <w:bCs/>
                <w:spacing w:val="6"/>
                <w:szCs w:val="24"/>
                <w:highlight w:val="none"/>
              </w:rPr>
              <w:t>综合说明与要求</w:t>
            </w:r>
          </w:p>
        </w:tc>
      </w:tr>
      <w:tr w14:paraId="52D01B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91" w:hRule="atLeast"/>
          <w:jc w:val="center"/>
        </w:trPr>
        <w:tc>
          <w:tcPr>
            <w:tcW w:w="809" w:type="dxa"/>
            <w:noWrap w:val="0"/>
            <w:vAlign w:val="center"/>
          </w:tcPr>
          <w:p w14:paraId="7F69AB97">
            <w:pPr>
              <w:keepNext w:val="0"/>
              <w:pageBreakBefore w:val="0"/>
              <w:overflowPunct/>
              <w:bidi w:val="0"/>
              <w:adjustRightInd w:val="0"/>
              <w:spacing w:line="360" w:lineRule="auto"/>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1</w:t>
            </w:r>
          </w:p>
        </w:tc>
        <w:tc>
          <w:tcPr>
            <w:tcW w:w="1885" w:type="dxa"/>
            <w:noWrap w:val="0"/>
            <w:vAlign w:val="center"/>
          </w:tcPr>
          <w:p w14:paraId="4A0C6A34">
            <w:pPr>
              <w:keepNext w:val="0"/>
              <w:pageBreakBefore w:val="0"/>
              <w:overflowPunct/>
              <w:topLinePunct w:val="0"/>
              <w:bidi w:val="0"/>
              <w:spacing w:line="360" w:lineRule="auto"/>
              <w:ind w:firstLine="0" w:firstLineChars="0"/>
              <w:jc w:val="center"/>
              <w:outlineLvl w:val="9"/>
              <w:rPr>
                <w:rFonts w:hint="eastAsia" w:ascii="宋体" w:hAnsi="宋体" w:eastAsia="宋体" w:cs="宋体"/>
                <w:szCs w:val="24"/>
                <w:highlight w:val="none"/>
              </w:rPr>
            </w:pPr>
            <w:r>
              <w:rPr>
                <w:rFonts w:hint="eastAsia" w:ascii="宋体" w:hAnsi="宋体" w:eastAsia="宋体" w:cs="宋体"/>
                <w:szCs w:val="24"/>
                <w:highlight w:val="none"/>
              </w:rPr>
              <w:t>适用法律法规</w:t>
            </w:r>
          </w:p>
        </w:tc>
        <w:tc>
          <w:tcPr>
            <w:tcW w:w="6379" w:type="dxa"/>
            <w:noWrap w:val="0"/>
            <w:vAlign w:val="center"/>
          </w:tcPr>
          <w:p w14:paraId="1217AF13">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《中华人民共和国政府采购法》《中华人民共和国政府采购法实施条例》《政府采购竞争性磋商采购方式管理暂行办法》等有关法律、法规和规章的规定，其权利受到上述法律法规的保护。</w:t>
            </w:r>
          </w:p>
        </w:tc>
      </w:tr>
      <w:tr w14:paraId="29E45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6" w:hRule="atLeast"/>
          <w:jc w:val="center"/>
        </w:trPr>
        <w:tc>
          <w:tcPr>
            <w:tcW w:w="809" w:type="dxa"/>
            <w:noWrap w:val="0"/>
            <w:vAlign w:val="center"/>
          </w:tcPr>
          <w:p w14:paraId="23EC058A">
            <w:pPr>
              <w:keepNext w:val="0"/>
              <w:pageBreakBefore w:val="0"/>
              <w:overflowPunct/>
              <w:bidi w:val="0"/>
              <w:spacing w:line="360" w:lineRule="auto"/>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2</w:t>
            </w:r>
          </w:p>
        </w:tc>
        <w:tc>
          <w:tcPr>
            <w:tcW w:w="1885" w:type="dxa"/>
            <w:noWrap w:val="0"/>
            <w:vAlign w:val="center"/>
          </w:tcPr>
          <w:p w14:paraId="1FAFE061">
            <w:pPr>
              <w:keepNext w:val="0"/>
              <w:pageBreakBefore w:val="0"/>
              <w:overflowPunct/>
              <w:topLinePunct w:val="0"/>
              <w:bidi w:val="0"/>
              <w:spacing w:line="360" w:lineRule="auto"/>
              <w:ind w:firstLine="0" w:firstLineChars="0"/>
              <w:jc w:val="center"/>
              <w:outlineLvl w:val="9"/>
              <w:rPr>
                <w:rFonts w:hint="eastAsia" w:ascii="宋体" w:hAnsi="宋体" w:eastAsia="宋体" w:cs="宋体"/>
                <w:szCs w:val="24"/>
                <w:highlight w:val="none"/>
              </w:rPr>
            </w:pPr>
            <w:r>
              <w:rPr>
                <w:rFonts w:hint="eastAsia" w:ascii="宋体" w:hAnsi="宋体" w:eastAsia="宋体" w:cs="宋体"/>
                <w:szCs w:val="24"/>
                <w:highlight w:val="none"/>
              </w:rPr>
              <w:t>项目编号</w:t>
            </w:r>
          </w:p>
        </w:tc>
        <w:tc>
          <w:tcPr>
            <w:tcW w:w="6379" w:type="dxa"/>
            <w:noWrap w:val="0"/>
            <w:vAlign w:val="center"/>
          </w:tcPr>
          <w:p w14:paraId="59A7E448">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lang w:eastAsia="zh-CN"/>
              </w:rPr>
            </w:pPr>
            <w:r>
              <w:rPr>
                <w:rFonts w:hint="eastAsia" w:ascii="宋体" w:hAnsi="宋体" w:eastAsia="宋体" w:cs="宋体"/>
                <w:spacing w:val="6"/>
                <w:szCs w:val="24"/>
                <w:highlight w:val="none"/>
              </w:rPr>
              <w:t>陕州竞磋采购-2025-100</w:t>
            </w:r>
            <w:r>
              <w:rPr>
                <w:rFonts w:hint="eastAsia" w:ascii="宋体" w:hAnsi="宋体" w:eastAsia="宋体" w:cs="宋体"/>
                <w:spacing w:val="6"/>
                <w:szCs w:val="24"/>
                <w:highlight w:val="none"/>
                <w:lang w:eastAsia="zh-CN"/>
              </w:rPr>
              <w:t>、SZGZ[2025]171-ZC114</w:t>
            </w:r>
          </w:p>
        </w:tc>
      </w:tr>
      <w:tr w14:paraId="7DB5C0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09" w:type="dxa"/>
            <w:noWrap w:val="0"/>
            <w:vAlign w:val="center"/>
          </w:tcPr>
          <w:p w14:paraId="1CA01711">
            <w:pPr>
              <w:keepNext w:val="0"/>
              <w:pageBreakBefore w:val="0"/>
              <w:overflowPunct/>
              <w:bidi w:val="0"/>
              <w:adjustRightInd w:val="0"/>
              <w:spacing w:line="360" w:lineRule="auto"/>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3</w:t>
            </w:r>
          </w:p>
        </w:tc>
        <w:tc>
          <w:tcPr>
            <w:tcW w:w="1885" w:type="dxa"/>
            <w:noWrap w:val="0"/>
            <w:vAlign w:val="center"/>
          </w:tcPr>
          <w:p w14:paraId="06244781">
            <w:pPr>
              <w:keepNext w:val="0"/>
              <w:pageBreakBefore w:val="0"/>
              <w:overflowPunct/>
              <w:topLinePunct w:val="0"/>
              <w:bidi w:val="0"/>
              <w:adjustRightInd w:val="0"/>
              <w:spacing w:line="360" w:lineRule="auto"/>
              <w:ind w:firstLine="0" w:firstLineChars="0"/>
              <w:jc w:val="center"/>
              <w:outlineLvl w:val="9"/>
              <w:rPr>
                <w:rFonts w:hint="eastAsia" w:ascii="宋体" w:hAnsi="宋体" w:eastAsia="宋体" w:cs="宋体"/>
                <w:szCs w:val="24"/>
                <w:highlight w:val="none"/>
              </w:rPr>
            </w:pPr>
            <w:r>
              <w:rPr>
                <w:rFonts w:hint="eastAsia" w:ascii="宋体" w:hAnsi="宋体" w:eastAsia="宋体" w:cs="宋体"/>
                <w:szCs w:val="24"/>
                <w:highlight w:val="none"/>
              </w:rPr>
              <w:t>采购单位</w:t>
            </w:r>
          </w:p>
        </w:tc>
        <w:tc>
          <w:tcPr>
            <w:tcW w:w="6379" w:type="dxa"/>
            <w:noWrap w:val="0"/>
            <w:vAlign w:val="center"/>
          </w:tcPr>
          <w:p w14:paraId="4EB2BBEA">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lang w:eastAsia="zh-CN"/>
              </w:rPr>
            </w:pPr>
            <w:r>
              <w:rPr>
                <w:rFonts w:hint="eastAsia" w:ascii="宋体" w:hAnsi="宋体" w:eastAsia="宋体" w:cs="宋体"/>
                <w:spacing w:val="6"/>
                <w:szCs w:val="24"/>
                <w:highlight w:val="none"/>
                <w:lang w:eastAsia="zh-CN"/>
              </w:rPr>
              <w:t>三门峡市陕州区自然资源局</w:t>
            </w:r>
          </w:p>
        </w:tc>
      </w:tr>
      <w:tr w14:paraId="545D4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09" w:type="dxa"/>
            <w:noWrap w:val="0"/>
            <w:vAlign w:val="center"/>
          </w:tcPr>
          <w:p w14:paraId="6E287CC2">
            <w:pPr>
              <w:keepNext w:val="0"/>
              <w:pageBreakBefore w:val="0"/>
              <w:overflowPunct/>
              <w:bidi w:val="0"/>
              <w:adjustRightInd w:val="0"/>
              <w:spacing w:line="360" w:lineRule="auto"/>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4</w:t>
            </w:r>
          </w:p>
        </w:tc>
        <w:tc>
          <w:tcPr>
            <w:tcW w:w="1885" w:type="dxa"/>
            <w:noWrap w:val="0"/>
            <w:vAlign w:val="center"/>
          </w:tcPr>
          <w:p w14:paraId="293138B9">
            <w:pPr>
              <w:keepNext w:val="0"/>
              <w:pageBreakBefore w:val="0"/>
              <w:overflowPunct/>
              <w:topLinePunct w:val="0"/>
              <w:bidi w:val="0"/>
              <w:adjustRightInd w:val="0"/>
              <w:spacing w:line="360" w:lineRule="auto"/>
              <w:ind w:firstLine="0" w:firstLineChars="0"/>
              <w:jc w:val="center"/>
              <w:outlineLvl w:val="9"/>
              <w:rPr>
                <w:rFonts w:hint="eastAsia" w:ascii="宋体" w:hAnsi="宋体" w:eastAsia="宋体" w:cs="宋体"/>
                <w:spacing w:val="6"/>
                <w:szCs w:val="24"/>
                <w:highlight w:val="none"/>
                <w:lang w:val="en-US" w:eastAsia="zh-CN"/>
              </w:rPr>
            </w:pPr>
            <w:r>
              <w:rPr>
                <w:rFonts w:hint="eastAsia" w:ascii="宋体" w:hAnsi="宋体" w:eastAsia="宋体" w:cs="宋体"/>
                <w:spacing w:val="6"/>
                <w:szCs w:val="24"/>
                <w:highlight w:val="none"/>
              </w:rPr>
              <w:t>采购</w:t>
            </w:r>
            <w:r>
              <w:rPr>
                <w:rFonts w:hint="eastAsia" w:ascii="宋体" w:hAnsi="宋体" w:cs="宋体"/>
                <w:spacing w:val="6"/>
                <w:szCs w:val="24"/>
                <w:highlight w:val="none"/>
                <w:lang w:val="en-US" w:eastAsia="zh-CN"/>
              </w:rPr>
              <w:t>范围</w:t>
            </w:r>
          </w:p>
        </w:tc>
        <w:tc>
          <w:tcPr>
            <w:tcW w:w="6379" w:type="dxa"/>
            <w:noWrap w:val="0"/>
            <w:vAlign w:val="center"/>
          </w:tcPr>
          <w:p w14:paraId="7EDF013B">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陕州区国有建设用地地籍图成果更新汇交项目，主要内容为按照地籍数据库标准等规范要求，对各类已有地籍调查成果开展全面整理，升级现有地籍调查数据库或新建地籍数据库，将现势的地籍调查成果完整纳入地籍数据库，并与确权登记成果精准关联，确保图属一致、现实有效。具体采购需求详见竞争性磋商文件。</w:t>
            </w:r>
          </w:p>
        </w:tc>
      </w:tr>
      <w:tr w14:paraId="6BA904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09" w:type="dxa"/>
            <w:noWrap w:val="0"/>
            <w:vAlign w:val="center"/>
          </w:tcPr>
          <w:p w14:paraId="6A64E946">
            <w:pPr>
              <w:keepNext w:val="0"/>
              <w:pageBreakBefore w:val="0"/>
              <w:overflowPunct/>
              <w:bidi w:val="0"/>
              <w:adjustRightInd w:val="0"/>
              <w:spacing w:line="360" w:lineRule="auto"/>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5</w:t>
            </w:r>
          </w:p>
        </w:tc>
        <w:tc>
          <w:tcPr>
            <w:tcW w:w="1885" w:type="dxa"/>
            <w:noWrap w:val="0"/>
            <w:vAlign w:val="center"/>
          </w:tcPr>
          <w:p w14:paraId="0F50ED7A">
            <w:pPr>
              <w:keepNext w:val="0"/>
              <w:pageBreakBefore w:val="0"/>
              <w:overflowPunct/>
              <w:topLinePunct w:val="0"/>
              <w:bidi w:val="0"/>
              <w:adjustRightInd w:val="0"/>
              <w:spacing w:line="360" w:lineRule="auto"/>
              <w:ind w:firstLine="0" w:firstLineChars="0"/>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采购方式</w:t>
            </w:r>
          </w:p>
        </w:tc>
        <w:tc>
          <w:tcPr>
            <w:tcW w:w="6379" w:type="dxa"/>
            <w:noWrap w:val="0"/>
            <w:vAlign w:val="center"/>
          </w:tcPr>
          <w:p w14:paraId="1BB77F50">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竞争性磋商</w:t>
            </w:r>
          </w:p>
        </w:tc>
      </w:tr>
      <w:tr w14:paraId="7F9D65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09" w:type="dxa"/>
            <w:noWrap w:val="0"/>
            <w:vAlign w:val="center"/>
          </w:tcPr>
          <w:p w14:paraId="4B086270">
            <w:pPr>
              <w:keepNext w:val="0"/>
              <w:pageBreakBefore w:val="0"/>
              <w:overflowPunct/>
              <w:bidi w:val="0"/>
              <w:adjustRightInd w:val="0"/>
              <w:spacing w:line="360" w:lineRule="auto"/>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7</w:t>
            </w:r>
          </w:p>
        </w:tc>
        <w:tc>
          <w:tcPr>
            <w:tcW w:w="1885" w:type="dxa"/>
            <w:noWrap w:val="0"/>
            <w:vAlign w:val="center"/>
          </w:tcPr>
          <w:p w14:paraId="52EF2C9F">
            <w:pPr>
              <w:keepNext w:val="0"/>
              <w:pageBreakBefore w:val="0"/>
              <w:overflowPunct/>
              <w:topLinePunct w:val="0"/>
              <w:bidi w:val="0"/>
              <w:adjustRightInd w:val="0"/>
              <w:spacing w:line="360" w:lineRule="auto"/>
              <w:ind w:firstLine="0" w:firstLineChars="0"/>
              <w:jc w:val="center"/>
              <w:outlineLvl w:val="9"/>
              <w:rPr>
                <w:rFonts w:hint="eastAsia" w:ascii="宋体" w:hAnsi="宋体" w:eastAsia="宋体" w:cs="宋体"/>
                <w:spacing w:val="6"/>
                <w:szCs w:val="24"/>
                <w:highlight w:val="none"/>
              </w:rPr>
            </w:pPr>
            <w:r>
              <w:rPr>
                <w:rFonts w:hint="eastAsia" w:ascii="宋体" w:hAnsi="宋体" w:eastAsia="宋体" w:cs="宋体"/>
                <w:szCs w:val="24"/>
                <w:highlight w:val="none"/>
              </w:rPr>
              <w:t>服务要求</w:t>
            </w:r>
          </w:p>
        </w:tc>
        <w:tc>
          <w:tcPr>
            <w:tcW w:w="6379" w:type="dxa"/>
            <w:noWrap w:val="0"/>
            <w:vAlign w:val="center"/>
          </w:tcPr>
          <w:p w14:paraId="74441774">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lang w:eastAsia="zh-CN"/>
              </w:rPr>
              <w:t>达到国家相关规范规定的合格标准，满足采购人需求</w:t>
            </w:r>
          </w:p>
        </w:tc>
      </w:tr>
      <w:tr w14:paraId="1AE98B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09" w:type="dxa"/>
            <w:noWrap w:val="0"/>
            <w:vAlign w:val="center"/>
          </w:tcPr>
          <w:p w14:paraId="50D4340A">
            <w:pPr>
              <w:keepNext w:val="0"/>
              <w:pageBreakBefore w:val="0"/>
              <w:overflowPunct/>
              <w:bidi w:val="0"/>
              <w:adjustRightInd w:val="0"/>
              <w:spacing w:line="360" w:lineRule="auto"/>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8</w:t>
            </w:r>
          </w:p>
        </w:tc>
        <w:tc>
          <w:tcPr>
            <w:tcW w:w="1885" w:type="dxa"/>
            <w:noWrap w:val="0"/>
            <w:vAlign w:val="center"/>
          </w:tcPr>
          <w:p w14:paraId="2DB55AD6">
            <w:pPr>
              <w:keepNext w:val="0"/>
              <w:pageBreakBefore w:val="0"/>
              <w:widowControl/>
              <w:overflowPunct/>
              <w:topLinePunct w:val="0"/>
              <w:bidi w:val="0"/>
              <w:adjustRightInd w:val="0"/>
              <w:spacing w:line="360" w:lineRule="auto"/>
              <w:ind w:firstLine="0" w:firstLineChars="0"/>
              <w:jc w:val="center"/>
              <w:outlineLvl w:val="9"/>
              <w:rPr>
                <w:rFonts w:hint="default" w:ascii="宋体" w:hAnsi="宋体" w:eastAsia="宋体" w:cs="宋体"/>
                <w:spacing w:val="6"/>
                <w:szCs w:val="24"/>
                <w:highlight w:val="none"/>
                <w:lang w:val="en-US" w:eastAsia="zh-CN"/>
              </w:rPr>
            </w:pPr>
            <w:r>
              <w:rPr>
                <w:rFonts w:hint="eastAsia" w:ascii="宋体" w:hAnsi="宋体" w:cs="宋体"/>
                <w:spacing w:val="6"/>
                <w:szCs w:val="24"/>
                <w:highlight w:val="none"/>
                <w:lang w:val="en-US" w:eastAsia="zh-CN"/>
              </w:rPr>
              <w:t>服务后期</w:t>
            </w:r>
          </w:p>
        </w:tc>
        <w:tc>
          <w:tcPr>
            <w:tcW w:w="6379" w:type="dxa"/>
            <w:noWrap w:val="0"/>
            <w:vAlign w:val="center"/>
          </w:tcPr>
          <w:p w14:paraId="2F8723E9">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lang w:eastAsia="zh-CN"/>
              </w:rPr>
            </w:pPr>
            <w:r>
              <w:rPr>
                <w:rFonts w:hint="eastAsia" w:ascii="宋体" w:hAnsi="宋体" w:eastAsia="宋体" w:cs="宋体"/>
                <w:spacing w:val="6"/>
                <w:szCs w:val="24"/>
                <w:highlight w:val="none"/>
                <w:lang w:eastAsia="zh-CN"/>
              </w:rPr>
              <w:t>签订合同之日起至2026年11月30日，具体日期要求根据采购方项目实施进度要求执行。</w:t>
            </w:r>
          </w:p>
        </w:tc>
      </w:tr>
      <w:tr w14:paraId="58F554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09" w:type="dxa"/>
            <w:noWrap w:val="0"/>
            <w:vAlign w:val="center"/>
          </w:tcPr>
          <w:p w14:paraId="483D3CCD">
            <w:pPr>
              <w:keepNext w:val="0"/>
              <w:pageBreakBefore w:val="0"/>
              <w:widowControl/>
              <w:overflowPunct/>
              <w:bidi w:val="0"/>
              <w:adjustRightInd w:val="0"/>
              <w:spacing w:line="360" w:lineRule="auto"/>
              <w:ind w:left="3" w:hanging="2" w:hangingChars="1"/>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9</w:t>
            </w:r>
          </w:p>
        </w:tc>
        <w:tc>
          <w:tcPr>
            <w:tcW w:w="1885" w:type="dxa"/>
            <w:noWrap w:val="0"/>
            <w:vAlign w:val="center"/>
          </w:tcPr>
          <w:p w14:paraId="508ED1CA">
            <w:pPr>
              <w:keepNext w:val="0"/>
              <w:pageBreakBefore w:val="0"/>
              <w:widowControl/>
              <w:overflowPunct/>
              <w:topLinePunct w:val="0"/>
              <w:bidi w:val="0"/>
              <w:adjustRightInd w:val="0"/>
              <w:spacing w:line="360" w:lineRule="auto"/>
              <w:ind w:left="2" w:firstLine="0" w:firstLineChars="0"/>
              <w:jc w:val="center"/>
              <w:outlineLvl w:val="9"/>
              <w:rPr>
                <w:rFonts w:hint="eastAsia" w:ascii="宋体" w:hAnsi="宋体" w:eastAsia="宋体" w:cs="宋体"/>
                <w:spacing w:val="6"/>
                <w:szCs w:val="24"/>
                <w:highlight w:val="none"/>
              </w:rPr>
            </w:pPr>
            <w:r>
              <w:rPr>
                <w:rFonts w:hint="eastAsia" w:ascii="宋体" w:hAnsi="宋体" w:eastAsia="宋体" w:cs="宋体"/>
                <w:szCs w:val="24"/>
                <w:highlight w:val="none"/>
              </w:rPr>
              <w:t>服务</w:t>
            </w:r>
            <w:r>
              <w:rPr>
                <w:rFonts w:hint="eastAsia" w:ascii="宋体" w:hAnsi="宋体" w:eastAsia="宋体" w:cs="宋体"/>
                <w:kern w:val="0"/>
                <w:szCs w:val="24"/>
                <w:highlight w:val="none"/>
              </w:rPr>
              <w:t>地点</w:t>
            </w:r>
          </w:p>
        </w:tc>
        <w:tc>
          <w:tcPr>
            <w:tcW w:w="6379" w:type="dxa"/>
            <w:noWrap w:val="0"/>
            <w:vAlign w:val="center"/>
          </w:tcPr>
          <w:p w14:paraId="11DA0828">
            <w:pPr>
              <w:keepNext w:val="0"/>
              <w:pageBreakBefore w:val="0"/>
              <w:overflowPunct/>
              <w:topLinePunct w:val="0"/>
              <w:bidi w:val="0"/>
              <w:adjustRightInd w:val="0"/>
              <w:spacing w:line="360" w:lineRule="auto"/>
              <w:ind w:firstLine="0" w:firstLineChars="0"/>
              <w:jc w:val="left"/>
              <w:outlineLvl w:val="9"/>
              <w:rPr>
                <w:rFonts w:hint="default" w:ascii="宋体" w:hAnsi="宋体" w:eastAsia="宋体" w:cs="宋体"/>
                <w:spacing w:val="6"/>
                <w:szCs w:val="24"/>
                <w:highlight w:val="none"/>
                <w:lang w:val="en-US" w:eastAsia="zh-CN"/>
              </w:rPr>
            </w:pPr>
            <w:r>
              <w:rPr>
                <w:rFonts w:hint="eastAsia" w:ascii="宋体" w:hAnsi="宋体" w:eastAsia="宋体" w:cs="宋体"/>
                <w:spacing w:val="6"/>
                <w:szCs w:val="24"/>
                <w:highlight w:val="none"/>
                <w:lang w:val="en-US" w:eastAsia="zh-CN"/>
              </w:rPr>
              <w:t>采购人指定地点</w:t>
            </w:r>
          </w:p>
        </w:tc>
      </w:tr>
      <w:tr w14:paraId="79D88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09" w:type="dxa"/>
            <w:noWrap w:val="0"/>
            <w:vAlign w:val="center"/>
          </w:tcPr>
          <w:p w14:paraId="6719F3CC">
            <w:pPr>
              <w:keepNext w:val="0"/>
              <w:pageBreakBefore w:val="0"/>
              <w:overflowPunct/>
              <w:bidi w:val="0"/>
              <w:adjustRightInd w:val="0"/>
              <w:spacing w:line="360" w:lineRule="auto"/>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10</w:t>
            </w:r>
          </w:p>
        </w:tc>
        <w:tc>
          <w:tcPr>
            <w:tcW w:w="1885" w:type="dxa"/>
            <w:noWrap w:val="0"/>
            <w:vAlign w:val="center"/>
          </w:tcPr>
          <w:p w14:paraId="71088365">
            <w:pPr>
              <w:keepNext w:val="0"/>
              <w:pageBreakBefore w:val="0"/>
              <w:overflowPunct/>
              <w:topLinePunct w:val="0"/>
              <w:bidi w:val="0"/>
              <w:adjustRightInd w:val="0"/>
              <w:spacing w:line="360" w:lineRule="auto"/>
              <w:ind w:firstLine="0" w:firstLineChars="0"/>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资金来源</w:t>
            </w:r>
          </w:p>
        </w:tc>
        <w:tc>
          <w:tcPr>
            <w:tcW w:w="6379" w:type="dxa"/>
            <w:noWrap w:val="0"/>
            <w:vAlign w:val="center"/>
          </w:tcPr>
          <w:p w14:paraId="6C36D7FE">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财政资金，已落实</w:t>
            </w:r>
          </w:p>
        </w:tc>
      </w:tr>
      <w:tr w14:paraId="70DDFA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09" w:type="dxa"/>
            <w:noWrap w:val="0"/>
            <w:vAlign w:val="center"/>
          </w:tcPr>
          <w:p w14:paraId="252870C1">
            <w:pPr>
              <w:keepNext w:val="0"/>
              <w:pageBreakBefore w:val="0"/>
              <w:overflowPunct/>
              <w:bidi w:val="0"/>
              <w:adjustRightInd w:val="0"/>
              <w:spacing w:line="360" w:lineRule="auto"/>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11</w:t>
            </w:r>
          </w:p>
        </w:tc>
        <w:tc>
          <w:tcPr>
            <w:tcW w:w="1885" w:type="dxa"/>
            <w:noWrap w:val="0"/>
            <w:vAlign w:val="center"/>
          </w:tcPr>
          <w:p w14:paraId="3B3F2B0E">
            <w:pPr>
              <w:keepNext w:val="0"/>
              <w:pageBreakBefore w:val="0"/>
              <w:overflowPunct/>
              <w:topLinePunct w:val="0"/>
              <w:bidi w:val="0"/>
              <w:adjustRightInd w:val="0"/>
              <w:spacing w:line="360" w:lineRule="auto"/>
              <w:ind w:firstLine="0" w:firstLineChars="0"/>
              <w:jc w:val="center"/>
              <w:outlineLvl w:val="9"/>
              <w:rPr>
                <w:rFonts w:hint="eastAsia" w:ascii="宋体" w:hAnsi="宋体" w:eastAsia="宋体" w:cs="宋体"/>
                <w:spacing w:val="-40"/>
                <w:szCs w:val="24"/>
                <w:highlight w:val="none"/>
              </w:rPr>
            </w:pPr>
            <w:r>
              <w:rPr>
                <w:rFonts w:hint="eastAsia" w:ascii="宋体" w:hAnsi="宋体" w:eastAsia="宋体" w:cs="宋体"/>
                <w:spacing w:val="6"/>
                <w:szCs w:val="24"/>
                <w:highlight w:val="none"/>
              </w:rPr>
              <w:t>磋商供应商资格要求</w:t>
            </w:r>
          </w:p>
        </w:tc>
        <w:tc>
          <w:tcPr>
            <w:tcW w:w="6379" w:type="dxa"/>
            <w:noWrap w:val="0"/>
            <w:vAlign w:val="center"/>
          </w:tcPr>
          <w:p w14:paraId="579C81BC">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1.满足《中华人民共和国政府采购法》第二十二条规定；</w:t>
            </w:r>
          </w:p>
          <w:p w14:paraId="2996FF62">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2.落实政府采购政策满足的资格要求：本项目落实节能环保、中小微企业扶持、促进残疾人就业等相关政府采购政策；</w:t>
            </w:r>
          </w:p>
          <w:p w14:paraId="7F8B4C54">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3.本项目的特定资格要求</w:t>
            </w:r>
          </w:p>
          <w:p w14:paraId="523F6CCB">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3.1供应商须具有独立法人资格，具有有效的营业执照。</w:t>
            </w:r>
          </w:p>
          <w:p w14:paraId="0A09727D">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3.2</w:t>
            </w:r>
            <w:r>
              <w:rPr>
                <w:rFonts w:hint="eastAsia" w:ascii="宋体" w:hAnsi="宋体" w:cs="宋体"/>
                <w:spacing w:val="6"/>
                <w:szCs w:val="24"/>
                <w:highlight w:val="none"/>
                <w:lang w:eastAsia="zh-CN"/>
              </w:rPr>
              <w:t>供应商须具备行政主管部门颁发的测绘乙级及以上资质并在有效期内（专业范围须包含界线与不动产测绘、地理信息系统工程）</w:t>
            </w:r>
            <w:r>
              <w:rPr>
                <w:rFonts w:hint="eastAsia" w:ascii="宋体" w:hAnsi="宋体" w:eastAsia="宋体" w:cs="宋体"/>
                <w:spacing w:val="6"/>
                <w:szCs w:val="24"/>
                <w:highlight w:val="none"/>
              </w:rPr>
              <w:t>。</w:t>
            </w:r>
          </w:p>
          <w:p w14:paraId="477409DF">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3.3项目负责人须具备测绘及</w:t>
            </w:r>
            <w:r>
              <w:rPr>
                <w:rFonts w:hint="eastAsia" w:ascii="宋体" w:hAnsi="宋体" w:cs="宋体"/>
                <w:spacing w:val="6"/>
                <w:szCs w:val="24"/>
                <w:highlight w:val="none"/>
                <w:lang w:eastAsia="zh-CN"/>
              </w:rPr>
              <w:t>相关专业</w:t>
            </w:r>
            <w:r>
              <w:rPr>
                <w:rFonts w:hint="eastAsia" w:ascii="宋体" w:hAnsi="宋体" w:eastAsia="宋体" w:cs="宋体"/>
                <w:spacing w:val="6"/>
                <w:szCs w:val="24"/>
                <w:highlight w:val="none"/>
              </w:rPr>
              <w:t>中级及以上技术职称。（供应商须提供项目负责人的身份证、职称证书及提供缴纳单位养老保险缴费证明）</w:t>
            </w:r>
          </w:p>
          <w:p w14:paraId="0E49A6D0">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3.4供应商须承诺本企业无商业贿赂和不正当竞争行为。</w:t>
            </w:r>
          </w:p>
          <w:p w14:paraId="498CF883">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3.5根据《关于在政府采购活动中查询及使用信用记录有关问题的通知》（财库[2016]125号）和豫财购【2016】15号的规定，企业没有被列入“中国执行信息公开网”网站的“失信被执行人”、“信用中国”网站的“重大税收违法失信主体”、“政府采购严重违法失信行为记录名单”及“中国政府采购网”网站的“政府采购严重违法失信行为记录名单”，查询渠道：“中国执行信息公开网”网站（http：//zxgk.court.gov.cn/shixin）“信用中国”网站（www.creditchina.gov.cn）、中国政府采购网（www.ccgp.gov.cn）；（提供“中国执行信息公开网”、“信用中国”和“中国政府采购网”网站的查询信息截图，同时网页查询需包含查询日期，查询日期自公告发布之日至投标截止之日）。</w:t>
            </w:r>
          </w:p>
          <w:p w14:paraId="737DC4F9">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3.6单位负责人为同一人或者存在控股、管理关系的不同单位，不得参加同一标段投标或者未划分标段的同一招标项目投标（以“国家企业信用信息公示系统”查询为准，需包含公司基本信息、股东信息及股权变更信息等内容）。</w:t>
            </w:r>
          </w:p>
          <w:p w14:paraId="00085810">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3.7本项目不接受联合体磋商。</w:t>
            </w:r>
          </w:p>
        </w:tc>
      </w:tr>
      <w:tr w14:paraId="487F6F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09" w:type="dxa"/>
            <w:noWrap w:val="0"/>
            <w:vAlign w:val="center"/>
          </w:tcPr>
          <w:p w14:paraId="4FF5888E">
            <w:pPr>
              <w:keepNext w:val="0"/>
              <w:pageBreakBefore w:val="0"/>
              <w:overflowPunct/>
              <w:bidi w:val="0"/>
              <w:adjustRightInd w:val="0"/>
              <w:spacing w:line="360" w:lineRule="auto"/>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12</w:t>
            </w:r>
          </w:p>
        </w:tc>
        <w:tc>
          <w:tcPr>
            <w:tcW w:w="1885" w:type="dxa"/>
            <w:noWrap w:val="0"/>
            <w:vAlign w:val="center"/>
          </w:tcPr>
          <w:p w14:paraId="0A0FEDFB">
            <w:pPr>
              <w:keepNext w:val="0"/>
              <w:pageBreakBefore w:val="0"/>
              <w:overflowPunct/>
              <w:topLinePunct w:val="0"/>
              <w:bidi w:val="0"/>
              <w:adjustRightInd w:val="0"/>
              <w:spacing w:line="360" w:lineRule="auto"/>
              <w:ind w:firstLine="0" w:firstLineChars="0"/>
              <w:jc w:val="center"/>
              <w:outlineLvl w:val="9"/>
              <w:rPr>
                <w:rFonts w:hint="eastAsia" w:ascii="宋体" w:hAnsi="宋体" w:eastAsia="宋体" w:cs="宋体"/>
                <w:szCs w:val="24"/>
                <w:highlight w:val="none"/>
              </w:rPr>
            </w:pPr>
            <w:r>
              <w:rPr>
                <w:rFonts w:hint="eastAsia" w:ascii="宋体" w:hAnsi="宋体" w:eastAsia="宋体" w:cs="宋体"/>
                <w:spacing w:val="6"/>
                <w:szCs w:val="24"/>
                <w:highlight w:val="none"/>
              </w:rPr>
              <w:t>竞争性磋商有效</w:t>
            </w:r>
            <w:r>
              <w:rPr>
                <w:rFonts w:hint="eastAsia" w:ascii="宋体" w:hAnsi="宋体" w:eastAsia="宋体" w:cs="宋体"/>
                <w:szCs w:val="24"/>
                <w:highlight w:val="none"/>
              </w:rPr>
              <w:t>期</w:t>
            </w:r>
          </w:p>
        </w:tc>
        <w:tc>
          <w:tcPr>
            <w:tcW w:w="6379" w:type="dxa"/>
            <w:noWrap w:val="0"/>
            <w:vAlign w:val="center"/>
          </w:tcPr>
          <w:p w14:paraId="498F3509">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60日历天(从磋商截止之日算起)</w:t>
            </w:r>
          </w:p>
        </w:tc>
      </w:tr>
      <w:tr w14:paraId="04F59C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09" w:type="dxa"/>
            <w:noWrap w:val="0"/>
            <w:vAlign w:val="center"/>
          </w:tcPr>
          <w:p w14:paraId="6DC4A676">
            <w:pPr>
              <w:keepNext w:val="0"/>
              <w:pageBreakBefore w:val="0"/>
              <w:overflowPunct/>
              <w:bidi w:val="0"/>
              <w:adjustRightInd w:val="0"/>
              <w:spacing w:line="360" w:lineRule="auto"/>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13</w:t>
            </w:r>
          </w:p>
        </w:tc>
        <w:tc>
          <w:tcPr>
            <w:tcW w:w="1885" w:type="dxa"/>
            <w:noWrap w:val="0"/>
            <w:vAlign w:val="center"/>
          </w:tcPr>
          <w:p w14:paraId="4354EA3A">
            <w:pPr>
              <w:keepNext w:val="0"/>
              <w:pageBreakBefore w:val="0"/>
              <w:overflowPunct/>
              <w:topLinePunct w:val="0"/>
              <w:bidi w:val="0"/>
              <w:adjustRightInd w:val="0"/>
              <w:spacing w:line="360" w:lineRule="auto"/>
              <w:ind w:firstLine="0" w:firstLineChars="0"/>
              <w:jc w:val="center"/>
              <w:outlineLvl w:val="9"/>
              <w:rPr>
                <w:rFonts w:hint="eastAsia" w:ascii="宋体" w:hAnsi="宋体" w:eastAsia="宋体" w:cs="宋体"/>
                <w:spacing w:val="-10"/>
                <w:szCs w:val="24"/>
                <w:highlight w:val="none"/>
              </w:rPr>
            </w:pPr>
            <w:r>
              <w:rPr>
                <w:rFonts w:hint="eastAsia" w:ascii="宋体" w:hAnsi="宋体" w:eastAsia="宋体" w:cs="宋体"/>
                <w:spacing w:val="-10"/>
                <w:szCs w:val="24"/>
                <w:highlight w:val="none"/>
              </w:rPr>
              <w:t>竞争性磋商</w:t>
            </w:r>
          </w:p>
          <w:p w14:paraId="14C77B62">
            <w:pPr>
              <w:keepNext w:val="0"/>
              <w:pageBreakBefore w:val="0"/>
              <w:overflowPunct/>
              <w:topLinePunct w:val="0"/>
              <w:bidi w:val="0"/>
              <w:adjustRightInd w:val="0"/>
              <w:spacing w:line="360" w:lineRule="auto"/>
              <w:ind w:firstLine="0" w:firstLineChars="0"/>
              <w:jc w:val="center"/>
              <w:outlineLvl w:val="9"/>
              <w:rPr>
                <w:rFonts w:hint="eastAsia" w:ascii="宋体" w:hAnsi="宋体" w:eastAsia="宋体" w:cs="宋体"/>
                <w:spacing w:val="-10"/>
                <w:szCs w:val="24"/>
                <w:highlight w:val="none"/>
              </w:rPr>
            </w:pPr>
            <w:r>
              <w:rPr>
                <w:rFonts w:hint="eastAsia" w:ascii="宋体" w:hAnsi="宋体" w:eastAsia="宋体" w:cs="宋体"/>
                <w:spacing w:val="-10"/>
                <w:szCs w:val="24"/>
                <w:highlight w:val="none"/>
              </w:rPr>
              <w:t>保证金</w:t>
            </w:r>
          </w:p>
        </w:tc>
        <w:tc>
          <w:tcPr>
            <w:tcW w:w="6379" w:type="dxa"/>
            <w:noWrap w:val="0"/>
            <w:vAlign w:val="center"/>
          </w:tcPr>
          <w:p w14:paraId="631F692F">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根据《河南省财政厅关于优化政府采购营商环境有关问题的通知》（豫财购【2019】4号）第6条的规定，磋商保证金不再收取，需提供磋商承诺函。</w:t>
            </w:r>
          </w:p>
        </w:tc>
      </w:tr>
      <w:tr w14:paraId="5E05A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09" w:type="dxa"/>
            <w:noWrap w:val="0"/>
            <w:vAlign w:val="center"/>
          </w:tcPr>
          <w:p w14:paraId="6079B41C">
            <w:pPr>
              <w:keepNext w:val="0"/>
              <w:pageBreakBefore w:val="0"/>
              <w:overflowPunct/>
              <w:bidi w:val="0"/>
              <w:adjustRightInd w:val="0"/>
              <w:spacing w:line="360" w:lineRule="auto"/>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14</w:t>
            </w:r>
          </w:p>
        </w:tc>
        <w:tc>
          <w:tcPr>
            <w:tcW w:w="1885" w:type="dxa"/>
            <w:noWrap w:val="0"/>
            <w:vAlign w:val="center"/>
          </w:tcPr>
          <w:p w14:paraId="6988FA55">
            <w:pPr>
              <w:keepNext w:val="0"/>
              <w:pageBreakBefore w:val="0"/>
              <w:overflowPunct/>
              <w:topLinePunct w:val="0"/>
              <w:bidi w:val="0"/>
              <w:adjustRightInd w:val="0"/>
              <w:spacing w:line="360" w:lineRule="auto"/>
              <w:ind w:firstLine="0" w:firstLineChars="0"/>
              <w:jc w:val="center"/>
              <w:outlineLvl w:val="9"/>
              <w:rPr>
                <w:rFonts w:hint="eastAsia" w:ascii="宋体" w:hAnsi="宋体" w:eastAsia="宋体" w:cs="宋体"/>
                <w:spacing w:val="-10"/>
                <w:szCs w:val="24"/>
                <w:highlight w:val="none"/>
              </w:rPr>
            </w:pPr>
            <w:r>
              <w:rPr>
                <w:rFonts w:hint="eastAsia" w:ascii="宋体" w:hAnsi="宋体" w:eastAsia="宋体" w:cs="宋体"/>
                <w:spacing w:val="-1"/>
                <w:szCs w:val="24"/>
                <w:highlight w:val="none"/>
              </w:rPr>
              <w:t>政府采购政策</w:t>
            </w:r>
          </w:p>
        </w:tc>
        <w:tc>
          <w:tcPr>
            <w:tcW w:w="6379" w:type="dxa"/>
            <w:noWrap w:val="0"/>
            <w:vAlign w:val="center"/>
          </w:tcPr>
          <w:p w14:paraId="23D00BFB">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根据《政府采购促进中小企业发展管理办法》（财库﹝2020﹞46号）的规定本项目对中小微企业扶持政策按以下规定落实：</w:t>
            </w:r>
          </w:p>
          <w:p w14:paraId="75A7B2AA">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（1）参与采购的供应商应提供《中小企业声明函》；</w:t>
            </w:r>
          </w:p>
          <w:p w14:paraId="2AFE5A9B">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（2）采购标的对应的中小企业划分标准所属行业：根据工信部联企业[2011]300号文的规定，本项目涉及中小企业的行业划型属于“其他未列明行业”；</w:t>
            </w:r>
          </w:p>
          <w:p w14:paraId="08AB1F79">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“其他未列明行业”：从业人员300人以下的为中小微型企业。其中，从业人员100人及以上的为中型企业；从业人员10人及以上的为小型企业；从业人员10人以下的为微型企业。</w:t>
            </w:r>
          </w:p>
          <w:p w14:paraId="1513AAB8">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（3）其他优惠措施：监狱企业、残疾人福利性单位视同小微企业。</w:t>
            </w:r>
          </w:p>
        </w:tc>
      </w:tr>
      <w:tr w14:paraId="48D664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09" w:type="dxa"/>
            <w:noWrap w:val="0"/>
            <w:vAlign w:val="center"/>
          </w:tcPr>
          <w:p w14:paraId="08D50C8E">
            <w:pPr>
              <w:keepNext w:val="0"/>
              <w:pageBreakBefore w:val="0"/>
              <w:overflowPunct/>
              <w:bidi w:val="0"/>
              <w:adjustRightInd w:val="0"/>
              <w:spacing w:line="360" w:lineRule="auto"/>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15</w:t>
            </w:r>
          </w:p>
        </w:tc>
        <w:tc>
          <w:tcPr>
            <w:tcW w:w="1885" w:type="dxa"/>
            <w:noWrap w:val="0"/>
            <w:vAlign w:val="center"/>
          </w:tcPr>
          <w:p w14:paraId="6C1677A3">
            <w:pPr>
              <w:keepNext w:val="0"/>
              <w:pageBreakBefore w:val="0"/>
              <w:overflowPunct/>
              <w:topLinePunct w:val="0"/>
              <w:bidi w:val="0"/>
              <w:adjustRightInd w:val="0"/>
              <w:spacing w:line="360" w:lineRule="auto"/>
              <w:ind w:firstLine="0" w:firstLineChars="0"/>
              <w:jc w:val="center"/>
              <w:outlineLvl w:val="9"/>
              <w:rPr>
                <w:rFonts w:hint="eastAsia" w:ascii="宋体" w:hAnsi="宋体" w:eastAsia="宋体" w:cs="宋体"/>
                <w:spacing w:val="-10"/>
                <w:szCs w:val="24"/>
                <w:highlight w:val="none"/>
              </w:rPr>
            </w:pPr>
            <w:r>
              <w:rPr>
                <w:rFonts w:hint="eastAsia" w:ascii="宋体" w:hAnsi="宋体" w:eastAsia="宋体" w:cs="宋体"/>
                <w:spacing w:val="6"/>
                <w:szCs w:val="24"/>
                <w:highlight w:val="none"/>
              </w:rPr>
              <w:t>付款方式</w:t>
            </w:r>
          </w:p>
        </w:tc>
        <w:tc>
          <w:tcPr>
            <w:tcW w:w="6379" w:type="dxa"/>
            <w:noWrap w:val="0"/>
            <w:vAlign w:val="center"/>
          </w:tcPr>
          <w:p w14:paraId="1ABA8A93">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以签订合同为准</w:t>
            </w:r>
          </w:p>
        </w:tc>
      </w:tr>
      <w:tr w14:paraId="342F01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09" w:type="dxa"/>
            <w:noWrap w:val="0"/>
            <w:vAlign w:val="center"/>
          </w:tcPr>
          <w:p w14:paraId="16372DC7">
            <w:pPr>
              <w:keepNext w:val="0"/>
              <w:pageBreakBefore w:val="0"/>
              <w:overflowPunct/>
              <w:bidi w:val="0"/>
              <w:adjustRightInd w:val="0"/>
              <w:spacing w:line="360" w:lineRule="auto"/>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16</w:t>
            </w:r>
          </w:p>
        </w:tc>
        <w:tc>
          <w:tcPr>
            <w:tcW w:w="1885" w:type="dxa"/>
            <w:noWrap w:val="0"/>
            <w:vAlign w:val="center"/>
          </w:tcPr>
          <w:p w14:paraId="017615EB">
            <w:pPr>
              <w:keepNext w:val="0"/>
              <w:pageBreakBefore w:val="0"/>
              <w:overflowPunct/>
              <w:topLinePunct w:val="0"/>
              <w:bidi w:val="0"/>
              <w:adjustRightInd w:val="0"/>
              <w:spacing w:line="360" w:lineRule="auto"/>
              <w:ind w:firstLine="0" w:firstLineChars="0"/>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竞争性磋商响应文件份数</w:t>
            </w:r>
          </w:p>
        </w:tc>
        <w:tc>
          <w:tcPr>
            <w:tcW w:w="6379" w:type="dxa"/>
            <w:noWrap w:val="0"/>
            <w:vAlign w:val="center"/>
          </w:tcPr>
          <w:p w14:paraId="433750BD">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本项目为电子化、无纸化交易项目。（不适用）</w:t>
            </w:r>
          </w:p>
        </w:tc>
      </w:tr>
      <w:tr w14:paraId="77496C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09" w:type="dxa"/>
            <w:noWrap w:val="0"/>
            <w:vAlign w:val="center"/>
          </w:tcPr>
          <w:p w14:paraId="311ABBBE">
            <w:pPr>
              <w:keepNext w:val="0"/>
              <w:pageBreakBefore w:val="0"/>
              <w:overflowPunct/>
              <w:bidi w:val="0"/>
              <w:adjustRightInd w:val="0"/>
              <w:spacing w:line="360" w:lineRule="auto"/>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17</w:t>
            </w:r>
          </w:p>
        </w:tc>
        <w:tc>
          <w:tcPr>
            <w:tcW w:w="1885" w:type="dxa"/>
            <w:noWrap w:val="0"/>
            <w:vAlign w:val="center"/>
          </w:tcPr>
          <w:p w14:paraId="0A88B79B">
            <w:pPr>
              <w:keepNext w:val="0"/>
              <w:pageBreakBefore w:val="0"/>
              <w:overflowPunct/>
              <w:topLinePunct w:val="0"/>
              <w:bidi w:val="0"/>
              <w:adjustRightInd w:val="0"/>
              <w:spacing w:line="360" w:lineRule="auto"/>
              <w:ind w:firstLine="0" w:firstLineChars="0"/>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磋商响应文件递交截止时间</w:t>
            </w:r>
          </w:p>
        </w:tc>
        <w:tc>
          <w:tcPr>
            <w:tcW w:w="6379" w:type="dxa"/>
            <w:noWrap w:val="0"/>
            <w:vAlign w:val="center"/>
          </w:tcPr>
          <w:p w14:paraId="08329C7F">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时间：2025年09月19日</w:t>
            </w:r>
            <w:r>
              <w:rPr>
                <w:rFonts w:hint="eastAsia" w:ascii="宋体" w:hAnsi="宋体" w:eastAsia="宋体" w:cs="宋体"/>
                <w:spacing w:val="6"/>
                <w:szCs w:val="24"/>
                <w:highlight w:val="none"/>
                <w:lang w:val="en-US" w:eastAsia="zh-CN"/>
              </w:rPr>
              <w:t>08</w:t>
            </w:r>
            <w:r>
              <w:rPr>
                <w:rFonts w:hint="eastAsia" w:ascii="宋体" w:hAnsi="宋体" w:eastAsia="宋体" w:cs="宋体"/>
                <w:spacing w:val="6"/>
                <w:szCs w:val="24"/>
                <w:highlight w:val="none"/>
              </w:rPr>
              <w:t>时</w:t>
            </w:r>
            <w:r>
              <w:rPr>
                <w:rFonts w:hint="eastAsia" w:ascii="宋体" w:hAnsi="宋体" w:eastAsia="宋体" w:cs="宋体"/>
                <w:spacing w:val="6"/>
                <w:szCs w:val="24"/>
                <w:highlight w:val="none"/>
                <w:lang w:val="en-US" w:eastAsia="zh-CN"/>
              </w:rPr>
              <w:t>20</w:t>
            </w:r>
            <w:r>
              <w:rPr>
                <w:rFonts w:hint="eastAsia" w:ascii="宋体" w:hAnsi="宋体" w:eastAsia="宋体" w:cs="宋体"/>
                <w:spacing w:val="6"/>
                <w:szCs w:val="24"/>
                <w:highlight w:val="none"/>
              </w:rPr>
              <w:t>分</w:t>
            </w:r>
          </w:p>
        </w:tc>
      </w:tr>
      <w:tr w14:paraId="5CF0D7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09" w:type="dxa"/>
            <w:noWrap w:val="0"/>
            <w:vAlign w:val="center"/>
          </w:tcPr>
          <w:p w14:paraId="22C767DC">
            <w:pPr>
              <w:keepNext w:val="0"/>
              <w:pageBreakBefore w:val="0"/>
              <w:overflowPunct/>
              <w:bidi w:val="0"/>
              <w:adjustRightInd w:val="0"/>
              <w:spacing w:line="360" w:lineRule="auto"/>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18</w:t>
            </w:r>
          </w:p>
        </w:tc>
        <w:tc>
          <w:tcPr>
            <w:tcW w:w="1885" w:type="dxa"/>
            <w:noWrap w:val="0"/>
            <w:vAlign w:val="center"/>
          </w:tcPr>
          <w:p w14:paraId="0B2CF1A3">
            <w:pPr>
              <w:keepNext w:val="0"/>
              <w:pageBreakBefore w:val="0"/>
              <w:overflowPunct/>
              <w:topLinePunct w:val="0"/>
              <w:bidi w:val="0"/>
              <w:adjustRightInd w:val="0"/>
              <w:spacing w:line="360" w:lineRule="auto"/>
              <w:ind w:firstLine="0" w:firstLineChars="0"/>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磋商响应文件递交</w:t>
            </w:r>
          </w:p>
        </w:tc>
        <w:tc>
          <w:tcPr>
            <w:tcW w:w="6379" w:type="dxa"/>
            <w:noWrap w:val="0"/>
            <w:vAlign w:val="center"/>
          </w:tcPr>
          <w:p w14:paraId="77A49D62">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磋商响应文件应在投标截止时间前成功上传至三门峡市公共资源电子化交易系统。至投标截止时间止，仍未上传成功的磋商响应文件将不予接收。</w:t>
            </w:r>
          </w:p>
          <w:p w14:paraId="7AA9B406">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注：如按照电子化投标操作教材制作完成的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tc>
      </w:tr>
      <w:tr w14:paraId="47D5D7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09" w:type="dxa"/>
            <w:noWrap w:val="0"/>
            <w:vAlign w:val="center"/>
          </w:tcPr>
          <w:p w14:paraId="36BBACF1">
            <w:pPr>
              <w:keepNext w:val="0"/>
              <w:pageBreakBefore w:val="0"/>
              <w:overflowPunct/>
              <w:bidi w:val="0"/>
              <w:adjustRightInd w:val="0"/>
              <w:spacing w:line="360" w:lineRule="auto"/>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19</w:t>
            </w:r>
          </w:p>
        </w:tc>
        <w:tc>
          <w:tcPr>
            <w:tcW w:w="1885" w:type="dxa"/>
            <w:noWrap w:val="0"/>
            <w:vAlign w:val="center"/>
          </w:tcPr>
          <w:p w14:paraId="09C6F548">
            <w:pPr>
              <w:keepNext w:val="0"/>
              <w:pageBreakBefore w:val="0"/>
              <w:overflowPunct/>
              <w:topLinePunct w:val="0"/>
              <w:bidi w:val="0"/>
              <w:adjustRightInd w:val="0"/>
              <w:spacing w:line="360" w:lineRule="auto"/>
              <w:ind w:firstLine="0" w:firstLineChars="0"/>
              <w:jc w:val="center"/>
              <w:outlineLvl w:val="9"/>
              <w:rPr>
                <w:rFonts w:hint="eastAsia" w:ascii="宋体" w:hAnsi="宋体" w:eastAsia="宋体" w:cs="宋体"/>
                <w:spacing w:val="-10"/>
                <w:szCs w:val="24"/>
                <w:highlight w:val="none"/>
              </w:rPr>
            </w:pPr>
            <w:r>
              <w:rPr>
                <w:rFonts w:hint="eastAsia" w:ascii="宋体" w:hAnsi="宋体" w:eastAsia="宋体" w:cs="宋体"/>
                <w:spacing w:val="-10"/>
                <w:szCs w:val="24"/>
                <w:highlight w:val="none"/>
              </w:rPr>
              <w:t>磋商时间及</w:t>
            </w:r>
          </w:p>
          <w:p w14:paraId="00E37080">
            <w:pPr>
              <w:keepNext w:val="0"/>
              <w:pageBreakBefore w:val="0"/>
              <w:overflowPunct/>
              <w:topLinePunct w:val="0"/>
              <w:bidi w:val="0"/>
              <w:adjustRightInd w:val="0"/>
              <w:spacing w:line="360" w:lineRule="auto"/>
              <w:ind w:firstLine="0" w:firstLineChars="0"/>
              <w:jc w:val="center"/>
              <w:outlineLvl w:val="9"/>
              <w:rPr>
                <w:rFonts w:hint="eastAsia" w:ascii="宋体" w:hAnsi="宋体" w:eastAsia="宋体" w:cs="宋体"/>
                <w:spacing w:val="-10"/>
                <w:szCs w:val="24"/>
                <w:highlight w:val="none"/>
              </w:rPr>
            </w:pPr>
            <w:r>
              <w:rPr>
                <w:rFonts w:hint="eastAsia" w:ascii="宋体" w:hAnsi="宋体" w:eastAsia="宋体" w:cs="宋体"/>
                <w:spacing w:val="-10"/>
                <w:szCs w:val="24"/>
                <w:highlight w:val="none"/>
              </w:rPr>
              <w:t>地点</w:t>
            </w:r>
          </w:p>
        </w:tc>
        <w:tc>
          <w:tcPr>
            <w:tcW w:w="6379" w:type="dxa"/>
            <w:noWrap w:val="0"/>
            <w:vAlign w:val="center"/>
          </w:tcPr>
          <w:p w14:paraId="4392EA25">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时间：2025年09月19日</w:t>
            </w:r>
            <w:r>
              <w:rPr>
                <w:rFonts w:hint="eastAsia" w:ascii="宋体" w:hAnsi="宋体" w:eastAsia="宋体" w:cs="宋体"/>
                <w:spacing w:val="6"/>
                <w:szCs w:val="24"/>
                <w:highlight w:val="none"/>
                <w:lang w:val="en-US" w:eastAsia="zh-CN"/>
              </w:rPr>
              <w:t>08</w:t>
            </w:r>
            <w:r>
              <w:rPr>
                <w:rFonts w:hint="eastAsia" w:ascii="宋体" w:hAnsi="宋体" w:eastAsia="宋体" w:cs="宋体"/>
                <w:spacing w:val="6"/>
                <w:szCs w:val="24"/>
                <w:highlight w:val="none"/>
              </w:rPr>
              <w:t>时</w:t>
            </w:r>
            <w:r>
              <w:rPr>
                <w:rFonts w:hint="eastAsia" w:ascii="宋体" w:hAnsi="宋体" w:eastAsia="宋体" w:cs="宋体"/>
                <w:spacing w:val="6"/>
                <w:szCs w:val="24"/>
                <w:highlight w:val="none"/>
                <w:lang w:val="en-US" w:eastAsia="zh-CN"/>
              </w:rPr>
              <w:t>20</w:t>
            </w:r>
            <w:r>
              <w:rPr>
                <w:rFonts w:hint="eastAsia" w:ascii="宋体" w:hAnsi="宋体" w:eastAsia="宋体" w:cs="宋体"/>
                <w:spacing w:val="6"/>
                <w:szCs w:val="24"/>
                <w:highlight w:val="none"/>
              </w:rPr>
              <w:t>分</w:t>
            </w:r>
          </w:p>
          <w:p w14:paraId="1044B3B5">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lang w:eastAsia="zh-CN"/>
              </w:rPr>
            </w:pPr>
            <w:r>
              <w:rPr>
                <w:rFonts w:hint="eastAsia" w:ascii="宋体" w:hAnsi="宋体" w:eastAsia="宋体" w:cs="宋体"/>
                <w:spacing w:val="6"/>
                <w:szCs w:val="24"/>
                <w:highlight w:val="none"/>
              </w:rPr>
              <w:t>地点：</w:t>
            </w:r>
            <w:r>
              <w:rPr>
                <w:rFonts w:hint="eastAsia" w:ascii="宋体" w:hAnsi="宋体" w:eastAsia="宋体" w:cs="宋体"/>
                <w:spacing w:val="6"/>
                <w:szCs w:val="24"/>
                <w:highlight w:val="none"/>
                <w:lang w:eastAsia="zh-CN"/>
              </w:rPr>
              <w:t>三门峡市陕州区公共资源交易中心开标室</w:t>
            </w:r>
          </w:p>
        </w:tc>
      </w:tr>
      <w:tr w14:paraId="27C526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09" w:type="dxa"/>
            <w:noWrap w:val="0"/>
            <w:vAlign w:val="center"/>
          </w:tcPr>
          <w:p w14:paraId="54207879">
            <w:pPr>
              <w:keepNext w:val="0"/>
              <w:pageBreakBefore w:val="0"/>
              <w:overflowPunct/>
              <w:bidi w:val="0"/>
              <w:adjustRightInd w:val="0"/>
              <w:spacing w:line="360" w:lineRule="auto"/>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20</w:t>
            </w:r>
          </w:p>
        </w:tc>
        <w:tc>
          <w:tcPr>
            <w:tcW w:w="1885" w:type="dxa"/>
            <w:noWrap w:val="0"/>
            <w:vAlign w:val="center"/>
          </w:tcPr>
          <w:p w14:paraId="00A41084">
            <w:pPr>
              <w:keepNext w:val="0"/>
              <w:pageBreakBefore w:val="0"/>
              <w:overflowPunct/>
              <w:topLinePunct w:val="0"/>
              <w:bidi w:val="0"/>
              <w:spacing w:line="360" w:lineRule="auto"/>
              <w:ind w:firstLine="0" w:firstLineChars="0"/>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磋商小组的组建</w:t>
            </w:r>
          </w:p>
        </w:tc>
        <w:tc>
          <w:tcPr>
            <w:tcW w:w="6379" w:type="dxa"/>
            <w:noWrap w:val="0"/>
            <w:vAlign w:val="center"/>
          </w:tcPr>
          <w:p w14:paraId="6A18DA19">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磋商小组成员为3人，采购人代表1人，其余专家2人从河南省电子化政府采购系统评标专家库随机抽取。</w:t>
            </w:r>
          </w:p>
          <w:p w14:paraId="336589BA">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根据省政府关于评标专家的有关管理规定，业主评委不能获取评标劳务费。</w:t>
            </w:r>
          </w:p>
        </w:tc>
      </w:tr>
      <w:tr w14:paraId="1C392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09" w:type="dxa"/>
            <w:noWrap w:val="0"/>
            <w:vAlign w:val="center"/>
          </w:tcPr>
          <w:p w14:paraId="7B3DE3C4">
            <w:pPr>
              <w:keepNext w:val="0"/>
              <w:pageBreakBefore w:val="0"/>
              <w:overflowPunct/>
              <w:bidi w:val="0"/>
              <w:adjustRightInd w:val="0"/>
              <w:spacing w:line="360" w:lineRule="auto"/>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21</w:t>
            </w:r>
          </w:p>
        </w:tc>
        <w:tc>
          <w:tcPr>
            <w:tcW w:w="1885" w:type="dxa"/>
            <w:noWrap w:val="0"/>
            <w:vAlign w:val="center"/>
          </w:tcPr>
          <w:p w14:paraId="07D0CFBC">
            <w:pPr>
              <w:keepNext w:val="0"/>
              <w:pageBreakBefore w:val="0"/>
              <w:widowControl/>
              <w:overflowPunct/>
              <w:topLinePunct w:val="0"/>
              <w:bidi w:val="0"/>
              <w:spacing w:line="360" w:lineRule="auto"/>
              <w:ind w:firstLine="0" w:firstLineChars="0"/>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磋商标准及方法</w:t>
            </w:r>
          </w:p>
        </w:tc>
        <w:tc>
          <w:tcPr>
            <w:tcW w:w="6379" w:type="dxa"/>
            <w:noWrap w:val="0"/>
            <w:vAlign w:val="center"/>
          </w:tcPr>
          <w:p w14:paraId="3CC8AB45">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由磋商小组采用综合评分法对提交最后报价的磋商供应商的磋商响应文件和最后报价进行综合评分。综合评分法，是指磋商响应文件满足竞争性磋商文件全部实质性要求且按评审因素的量化指标评审得分最高的供应商为成交候选供应商的磋商方法。</w:t>
            </w:r>
          </w:p>
        </w:tc>
      </w:tr>
      <w:tr w14:paraId="1479F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09" w:type="dxa"/>
            <w:noWrap w:val="0"/>
            <w:vAlign w:val="center"/>
          </w:tcPr>
          <w:p w14:paraId="193297C6">
            <w:pPr>
              <w:keepNext w:val="0"/>
              <w:pageBreakBefore w:val="0"/>
              <w:overflowPunct/>
              <w:bidi w:val="0"/>
              <w:adjustRightInd w:val="0"/>
              <w:spacing w:line="360" w:lineRule="auto"/>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22</w:t>
            </w:r>
          </w:p>
        </w:tc>
        <w:tc>
          <w:tcPr>
            <w:tcW w:w="1885" w:type="dxa"/>
            <w:noWrap w:val="0"/>
            <w:vAlign w:val="center"/>
          </w:tcPr>
          <w:p w14:paraId="3A2A94C4">
            <w:pPr>
              <w:keepNext w:val="0"/>
              <w:pageBreakBefore w:val="0"/>
              <w:overflowPunct/>
              <w:topLinePunct w:val="0"/>
              <w:bidi w:val="0"/>
              <w:adjustRightInd w:val="0"/>
              <w:spacing w:line="360" w:lineRule="auto"/>
              <w:ind w:firstLine="0" w:firstLineChars="0"/>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预算价</w:t>
            </w:r>
          </w:p>
        </w:tc>
        <w:tc>
          <w:tcPr>
            <w:tcW w:w="6379" w:type="dxa"/>
            <w:noWrap w:val="0"/>
            <w:vAlign w:val="center"/>
          </w:tcPr>
          <w:p w14:paraId="41B8DFD9">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本项目预算价</w:t>
            </w:r>
            <w:r>
              <w:rPr>
                <w:rFonts w:hint="eastAsia" w:ascii="宋体" w:hAnsi="宋体" w:eastAsia="宋体" w:cs="宋体"/>
                <w:spacing w:val="6"/>
                <w:szCs w:val="24"/>
                <w:highlight w:val="none"/>
                <w:lang w:eastAsia="zh-CN"/>
              </w:rPr>
              <w:t>为</w:t>
            </w:r>
            <w:r>
              <w:rPr>
                <w:rFonts w:hint="eastAsia" w:ascii="宋体" w:hAnsi="宋体" w:eastAsia="宋体" w:cs="宋体"/>
                <w:spacing w:val="6"/>
                <w:szCs w:val="24"/>
                <w:highlight w:val="none"/>
              </w:rPr>
              <w:t>：</w:t>
            </w:r>
            <w:r>
              <w:rPr>
                <w:rFonts w:hint="eastAsia" w:ascii="宋体" w:hAnsi="宋体" w:eastAsia="宋体" w:cs="宋体"/>
                <w:spacing w:val="6"/>
                <w:szCs w:val="24"/>
                <w:highlight w:val="none"/>
                <w:lang w:eastAsia="zh-CN"/>
              </w:rPr>
              <w:t>973900.00</w:t>
            </w:r>
            <w:r>
              <w:rPr>
                <w:rFonts w:hint="eastAsia" w:ascii="宋体" w:hAnsi="宋体" w:eastAsia="宋体" w:cs="宋体"/>
                <w:spacing w:val="6"/>
                <w:szCs w:val="24"/>
                <w:highlight w:val="none"/>
              </w:rPr>
              <w:t>元</w:t>
            </w:r>
          </w:p>
          <w:p w14:paraId="62745AF2">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磋商供应商磋商报价超出“预算价”的，该磋商供应商按无效处理。</w:t>
            </w:r>
          </w:p>
        </w:tc>
      </w:tr>
      <w:tr w14:paraId="0C83C3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09" w:type="dxa"/>
            <w:noWrap w:val="0"/>
            <w:vAlign w:val="center"/>
          </w:tcPr>
          <w:p w14:paraId="0005995E">
            <w:pPr>
              <w:keepNext w:val="0"/>
              <w:pageBreakBefore w:val="0"/>
              <w:overflowPunct/>
              <w:bidi w:val="0"/>
              <w:adjustRightInd w:val="0"/>
              <w:spacing w:line="360" w:lineRule="auto"/>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23</w:t>
            </w:r>
          </w:p>
        </w:tc>
        <w:tc>
          <w:tcPr>
            <w:tcW w:w="1885" w:type="dxa"/>
            <w:noWrap w:val="0"/>
            <w:vAlign w:val="center"/>
          </w:tcPr>
          <w:p w14:paraId="68367B72">
            <w:pPr>
              <w:keepNext w:val="0"/>
              <w:pageBreakBefore w:val="0"/>
              <w:overflowPunct/>
              <w:topLinePunct w:val="0"/>
              <w:bidi w:val="0"/>
              <w:adjustRightInd w:val="0"/>
              <w:spacing w:line="360" w:lineRule="auto"/>
              <w:ind w:firstLine="0" w:firstLineChars="0"/>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报价</w:t>
            </w:r>
          </w:p>
        </w:tc>
        <w:tc>
          <w:tcPr>
            <w:tcW w:w="6379" w:type="dxa"/>
            <w:noWrap w:val="0"/>
            <w:vAlign w:val="center"/>
          </w:tcPr>
          <w:p w14:paraId="68DC1D94">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本次磋商应以人民币报价，分两次进行报价。</w:t>
            </w:r>
          </w:p>
        </w:tc>
      </w:tr>
      <w:tr w14:paraId="51D3E5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09" w:type="dxa"/>
            <w:noWrap w:val="0"/>
            <w:vAlign w:val="center"/>
          </w:tcPr>
          <w:p w14:paraId="6E9BA055">
            <w:pPr>
              <w:keepNext w:val="0"/>
              <w:pageBreakBefore w:val="0"/>
              <w:overflowPunct/>
              <w:bidi w:val="0"/>
              <w:adjustRightInd w:val="0"/>
              <w:spacing w:line="360" w:lineRule="auto"/>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24</w:t>
            </w:r>
          </w:p>
        </w:tc>
        <w:tc>
          <w:tcPr>
            <w:tcW w:w="1885" w:type="dxa"/>
            <w:noWrap w:val="0"/>
            <w:vAlign w:val="center"/>
          </w:tcPr>
          <w:p w14:paraId="0C6DFCA9">
            <w:pPr>
              <w:keepNext w:val="0"/>
              <w:pageBreakBefore w:val="0"/>
              <w:overflowPunct/>
              <w:topLinePunct w:val="0"/>
              <w:bidi w:val="0"/>
              <w:adjustRightInd w:val="0"/>
              <w:spacing w:line="360" w:lineRule="auto"/>
              <w:ind w:firstLine="0" w:firstLineChars="0"/>
              <w:jc w:val="center"/>
              <w:textAlignment w:val="baseline"/>
              <w:outlineLvl w:val="9"/>
              <w:rPr>
                <w:rFonts w:hint="eastAsia" w:ascii="宋体" w:hAnsi="宋体" w:eastAsia="宋体" w:cs="宋体"/>
                <w:szCs w:val="24"/>
                <w:highlight w:val="none"/>
              </w:rPr>
            </w:pPr>
            <w:r>
              <w:rPr>
                <w:rFonts w:hint="eastAsia" w:ascii="宋体" w:hAnsi="宋体" w:eastAsia="宋体" w:cs="宋体"/>
                <w:szCs w:val="24"/>
                <w:highlight w:val="none"/>
              </w:rPr>
              <w:t>踏勘现场</w:t>
            </w:r>
          </w:p>
        </w:tc>
        <w:tc>
          <w:tcPr>
            <w:tcW w:w="6379" w:type="dxa"/>
            <w:noWrap w:val="0"/>
            <w:vAlign w:val="center"/>
          </w:tcPr>
          <w:p w14:paraId="028398D6">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不组织，供应商自行踏勘</w:t>
            </w:r>
          </w:p>
        </w:tc>
      </w:tr>
      <w:tr w14:paraId="41373A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09" w:type="dxa"/>
            <w:noWrap w:val="0"/>
            <w:vAlign w:val="center"/>
          </w:tcPr>
          <w:p w14:paraId="20DF3CC2">
            <w:pPr>
              <w:keepNext w:val="0"/>
              <w:pageBreakBefore w:val="0"/>
              <w:overflowPunct/>
              <w:bidi w:val="0"/>
              <w:adjustRightInd w:val="0"/>
              <w:spacing w:line="360" w:lineRule="auto"/>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25</w:t>
            </w:r>
          </w:p>
        </w:tc>
        <w:tc>
          <w:tcPr>
            <w:tcW w:w="1885" w:type="dxa"/>
            <w:noWrap w:val="0"/>
            <w:vAlign w:val="center"/>
          </w:tcPr>
          <w:p w14:paraId="482E2F76">
            <w:pPr>
              <w:keepNext w:val="0"/>
              <w:pageBreakBefore w:val="0"/>
              <w:overflowPunct/>
              <w:topLinePunct w:val="0"/>
              <w:autoSpaceDE w:val="0"/>
              <w:autoSpaceDN w:val="0"/>
              <w:bidi w:val="0"/>
              <w:adjustRightInd w:val="0"/>
              <w:spacing w:line="360" w:lineRule="auto"/>
              <w:ind w:right="-20" w:firstLine="0" w:firstLineChars="0"/>
              <w:jc w:val="center"/>
              <w:outlineLvl w:val="9"/>
              <w:rPr>
                <w:rFonts w:hint="eastAsia" w:ascii="宋体" w:hAnsi="宋体" w:eastAsia="宋体" w:cs="宋体"/>
                <w:kern w:val="0"/>
                <w:szCs w:val="24"/>
                <w:highlight w:val="none"/>
              </w:rPr>
            </w:pPr>
            <w:r>
              <w:rPr>
                <w:rFonts w:hint="eastAsia" w:ascii="宋体" w:hAnsi="宋体" w:eastAsia="宋体" w:cs="宋体"/>
                <w:kern w:val="0"/>
                <w:szCs w:val="24"/>
                <w:highlight w:val="none"/>
              </w:rPr>
              <w:t>磋商预备会</w:t>
            </w:r>
          </w:p>
        </w:tc>
        <w:tc>
          <w:tcPr>
            <w:tcW w:w="6379" w:type="dxa"/>
            <w:noWrap w:val="0"/>
            <w:vAlign w:val="center"/>
          </w:tcPr>
          <w:p w14:paraId="1317F0DB">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不召开</w:t>
            </w:r>
          </w:p>
        </w:tc>
      </w:tr>
      <w:tr w14:paraId="650A21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09" w:type="dxa"/>
            <w:noWrap w:val="0"/>
            <w:vAlign w:val="center"/>
          </w:tcPr>
          <w:p w14:paraId="6A966955">
            <w:pPr>
              <w:keepNext w:val="0"/>
              <w:pageBreakBefore w:val="0"/>
              <w:overflowPunct/>
              <w:bidi w:val="0"/>
              <w:adjustRightInd w:val="0"/>
              <w:spacing w:line="360" w:lineRule="auto"/>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26</w:t>
            </w:r>
          </w:p>
        </w:tc>
        <w:tc>
          <w:tcPr>
            <w:tcW w:w="1885" w:type="dxa"/>
            <w:noWrap w:val="0"/>
            <w:vAlign w:val="center"/>
          </w:tcPr>
          <w:p w14:paraId="0D5E0A08">
            <w:pPr>
              <w:keepNext w:val="0"/>
              <w:keepLines/>
              <w:pageBreakBefore w:val="0"/>
              <w:overflowPunct/>
              <w:topLinePunct w:val="0"/>
              <w:bidi w:val="0"/>
              <w:spacing w:line="360" w:lineRule="auto"/>
              <w:ind w:firstLine="0" w:firstLineChars="0"/>
              <w:jc w:val="center"/>
              <w:outlineLvl w:val="9"/>
              <w:rPr>
                <w:rFonts w:hint="eastAsia" w:ascii="宋体" w:hAnsi="宋体" w:eastAsia="宋体" w:cs="宋体"/>
                <w:kern w:val="0"/>
                <w:szCs w:val="24"/>
                <w:highlight w:val="none"/>
              </w:rPr>
            </w:pPr>
            <w:r>
              <w:rPr>
                <w:rFonts w:hint="eastAsia" w:ascii="宋体" w:hAnsi="宋体" w:eastAsia="宋体" w:cs="宋体"/>
                <w:kern w:val="0"/>
                <w:szCs w:val="24"/>
                <w:highlight w:val="none"/>
              </w:rPr>
              <w:t>履约保证金</w:t>
            </w:r>
          </w:p>
        </w:tc>
        <w:tc>
          <w:tcPr>
            <w:tcW w:w="6379" w:type="dxa"/>
            <w:noWrap w:val="0"/>
            <w:vAlign w:val="center"/>
          </w:tcPr>
          <w:p w14:paraId="4D57936A">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本项目不收取履约保证金。如供应商违反政府采购合同约定给采购人造成损失的,采购人按照合同约定,要求供应商承担赔偿责任。</w:t>
            </w:r>
          </w:p>
        </w:tc>
      </w:tr>
      <w:tr w14:paraId="430028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09" w:type="dxa"/>
            <w:noWrap w:val="0"/>
            <w:vAlign w:val="center"/>
          </w:tcPr>
          <w:p w14:paraId="0379D20B">
            <w:pPr>
              <w:keepNext w:val="0"/>
              <w:pageBreakBefore w:val="0"/>
              <w:overflowPunct/>
              <w:bidi w:val="0"/>
              <w:adjustRightInd w:val="0"/>
              <w:spacing w:line="360" w:lineRule="auto"/>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27</w:t>
            </w:r>
          </w:p>
        </w:tc>
        <w:tc>
          <w:tcPr>
            <w:tcW w:w="1885" w:type="dxa"/>
            <w:noWrap w:val="0"/>
            <w:vAlign w:val="center"/>
          </w:tcPr>
          <w:p w14:paraId="41E536C5">
            <w:pPr>
              <w:keepNext w:val="0"/>
              <w:pageBreakBefore w:val="0"/>
              <w:widowControl/>
              <w:overflowPunct/>
              <w:topLinePunct w:val="0"/>
              <w:bidi w:val="0"/>
              <w:spacing w:line="360" w:lineRule="auto"/>
              <w:ind w:firstLine="0" w:firstLineChars="0"/>
              <w:jc w:val="center"/>
              <w:outlineLvl w:val="9"/>
              <w:rPr>
                <w:rFonts w:hint="eastAsia" w:ascii="宋体" w:hAnsi="宋体" w:eastAsia="宋体" w:cs="宋体"/>
                <w:kern w:val="0"/>
                <w:szCs w:val="24"/>
                <w:highlight w:val="none"/>
              </w:rPr>
            </w:pPr>
            <w:r>
              <w:rPr>
                <w:rFonts w:hint="eastAsia" w:ascii="宋体" w:hAnsi="宋体" w:eastAsia="宋体" w:cs="宋体"/>
                <w:kern w:val="0"/>
                <w:szCs w:val="24"/>
                <w:highlight w:val="none"/>
              </w:rPr>
              <w:t>履约验收</w:t>
            </w:r>
          </w:p>
        </w:tc>
        <w:tc>
          <w:tcPr>
            <w:tcW w:w="6379" w:type="dxa"/>
            <w:noWrap w:val="0"/>
            <w:vAlign w:val="center"/>
          </w:tcPr>
          <w:p w14:paraId="39A00C35">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履约验收主体</w:t>
            </w:r>
            <w:r>
              <w:rPr>
                <w:rFonts w:hint="eastAsia" w:ascii="宋体" w:hAnsi="宋体" w:eastAsia="宋体" w:cs="宋体"/>
                <w:spacing w:val="6"/>
                <w:szCs w:val="24"/>
                <w:highlight w:val="none"/>
                <w:lang w:eastAsia="zh-CN"/>
              </w:rPr>
              <w:t>：</w:t>
            </w:r>
            <w:r>
              <w:rPr>
                <w:rFonts w:hint="eastAsia" w:ascii="宋体" w:hAnsi="宋体" w:eastAsia="宋体" w:cs="宋体"/>
                <w:spacing w:val="6"/>
                <w:szCs w:val="24"/>
                <w:highlight w:val="none"/>
              </w:rPr>
              <w:t>采购人自行组织项目验收（代理机构可协助验收）。</w:t>
            </w:r>
          </w:p>
          <w:p w14:paraId="28E380F6">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履约验收时间</w:t>
            </w:r>
            <w:r>
              <w:rPr>
                <w:rFonts w:hint="eastAsia" w:ascii="宋体" w:hAnsi="宋体" w:eastAsia="宋体" w:cs="宋体"/>
                <w:spacing w:val="6"/>
                <w:szCs w:val="24"/>
                <w:highlight w:val="none"/>
                <w:lang w:eastAsia="zh-CN"/>
              </w:rPr>
              <w:t>：</w:t>
            </w:r>
            <w:r>
              <w:rPr>
                <w:rFonts w:hint="eastAsia" w:ascii="宋体" w:hAnsi="宋体" w:eastAsia="宋体" w:cs="宋体"/>
                <w:spacing w:val="6"/>
                <w:szCs w:val="24"/>
                <w:highlight w:val="none"/>
              </w:rPr>
              <w:t>按采购合同约定执行。</w:t>
            </w:r>
          </w:p>
          <w:p w14:paraId="007BA9F4">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履约验收方式</w:t>
            </w:r>
            <w:r>
              <w:rPr>
                <w:rFonts w:hint="eastAsia" w:ascii="宋体" w:hAnsi="宋体" w:eastAsia="宋体" w:cs="宋体"/>
                <w:spacing w:val="6"/>
                <w:szCs w:val="24"/>
                <w:highlight w:val="none"/>
                <w:lang w:eastAsia="zh-CN"/>
              </w:rPr>
              <w:t>：</w:t>
            </w:r>
            <w:r>
              <w:rPr>
                <w:rFonts w:hint="eastAsia" w:ascii="宋体" w:hAnsi="宋体" w:eastAsia="宋体" w:cs="宋体"/>
                <w:spacing w:val="6"/>
                <w:szCs w:val="24"/>
                <w:highlight w:val="none"/>
              </w:rPr>
              <w:t>联合验收，验收工作由各主管职能科室牵头联合验收小组共同验收，签字确认。</w:t>
            </w:r>
          </w:p>
          <w:p w14:paraId="3684E469">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履约验收程序</w:t>
            </w:r>
            <w:r>
              <w:rPr>
                <w:rFonts w:hint="eastAsia" w:ascii="宋体" w:hAnsi="宋体" w:eastAsia="宋体" w:cs="宋体"/>
                <w:spacing w:val="6"/>
                <w:szCs w:val="24"/>
                <w:highlight w:val="none"/>
                <w:lang w:eastAsia="zh-CN"/>
              </w:rPr>
              <w:t>：</w:t>
            </w:r>
            <w:r>
              <w:rPr>
                <w:rFonts w:hint="eastAsia" w:ascii="宋体" w:hAnsi="宋体" w:eastAsia="宋体" w:cs="宋体"/>
                <w:spacing w:val="6"/>
                <w:szCs w:val="24"/>
                <w:highlight w:val="none"/>
              </w:rPr>
              <w:t>由供应商提出申请，采购人组织相关部门进行验收。</w:t>
            </w:r>
          </w:p>
          <w:p w14:paraId="0A13661F">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履约验收内容</w:t>
            </w:r>
            <w:r>
              <w:rPr>
                <w:rFonts w:hint="eastAsia" w:ascii="宋体" w:hAnsi="宋体" w:eastAsia="宋体" w:cs="宋体"/>
                <w:spacing w:val="6"/>
                <w:szCs w:val="24"/>
                <w:highlight w:val="none"/>
                <w:lang w:eastAsia="zh-CN"/>
              </w:rPr>
              <w:t>：</w:t>
            </w:r>
            <w:r>
              <w:rPr>
                <w:rFonts w:hint="eastAsia" w:ascii="宋体" w:hAnsi="宋体" w:eastAsia="宋体" w:cs="宋体"/>
                <w:spacing w:val="6"/>
                <w:szCs w:val="24"/>
                <w:highlight w:val="none"/>
              </w:rPr>
              <w:t>依据本项目</w:t>
            </w:r>
            <w:r>
              <w:rPr>
                <w:rFonts w:hint="eastAsia" w:ascii="宋体" w:hAnsi="宋体" w:eastAsia="宋体" w:cs="宋体"/>
                <w:spacing w:val="6"/>
                <w:szCs w:val="24"/>
                <w:highlight w:val="none"/>
                <w:lang w:eastAsia="zh-CN"/>
              </w:rPr>
              <w:t>竞争性磋商文件</w:t>
            </w:r>
            <w:r>
              <w:rPr>
                <w:rFonts w:hint="eastAsia" w:ascii="宋体" w:hAnsi="宋体" w:eastAsia="宋体" w:cs="宋体"/>
                <w:spacing w:val="6"/>
                <w:szCs w:val="24"/>
                <w:highlight w:val="none"/>
              </w:rPr>
              <w:t>和</w:t>
            </w:r>
            <w:r>
              <w:rPr>
                <w:rFonts w:hint="eastAsia" w:ascii="宋体" w:hAnsi="宋体" w:eastAsia="宋体" w:cs="宋体"/>
                <w:spacing w:val="6"/>
                <w:szCs w:val="24"/>
                <w:highlight w:val="none"/>
                <w:lang w:eastAsia="zh-CN"/>
              </w:rPr>
              <w:t>响应文件</w:t>
            </w:r>
            <w:r>
              <w:rPr>
                <w:rFonts w:hint="eastAsia" w:ascii="宋体" w:hAnsi="宋体" w:eastAsia="宋体" w:cs="宋体"/>
                <w:spacing w:val="6"/>
                <w:szCs w:val="24"/>
                <w:highlight w:val="none"/>
              </w:rPr>
              <w:t>履约情况逐条验收。</w:t>
            </w:r>
          </w:p>
          <w:p w14:paraId="7D269E59">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履约验收标准</w:t>
            </w:r>
            <w:r>
              <w:rPr>
                <w:rFonts w:hint="eastAsia" w:ascii="宋体" w:hAnsi="宋体" w:eastAsia="宋体" w:cs="宋体"/>
                <w:spacing w:val="6"/>
                <w:szCs w:val="24"/>
                <w:highlight w:val="none"/>
                <w:lang w:eastAsia="zh-CN"/>
              </w:rPr>
              <w:t>：</w:t>
            </w:r>
            <w:r>
              <w:rPr>
                <w:rFonts w:hint="eastAsia" w:ascii="宋体" w:hAnsi="宋体" w:eastAsia="宋体" w:cs="宋体"/>
                <w:spacing w:val="6"/>
                <w:szCs w:val="24"/>
                <w:highlight w:val="none"/>
              </w:rPr>
              <w:t>采购人根据国家有关规定、</w:t>
            </w:r>
            <w:r>
              <w:rPr>
                <w:rFonts w:hint="eastAsia" w:ascii="宋体" w:hAnsi="宋体" w:eastAsia="宋体" w:cs="宋体"/>
                <w:spacing w:val="6"/>
                <w:szCs w:val="24"/>
                <w:highlight w:val="none"/>
                <w:lang w:eastAsia="zh-CN"/>
              </w:rPr>
              <w:t>竞争性磋商文件</w:t>
            </w:r>
            <w:r>
              <w:rPr>
                <w:rFonts w:hint="eastAsia" w:ascii="宋体" w:hAnsi="宋体" w:eastAsia="宋体" w:cs="宋体"/>
                <w:spacing w:val="6"/>
                <w:szCs w:val="24"/>
                <w:highlight w:val="none"/>
              </w:rPr>
              <w:t>、中标供应商的</w:t>
            </w:r>
            <w:r>
              <w:rPr>
                <w:rFonts w:hint="eastAsia" w:ascii="宋体" w:hAnsi="宋体" w:eastAsia="宋体" w:cs="宋体"/>
                <w:spacing w:val="6"/>
                <w:szCs w:val="24"/>
                <w:highlight w:val="none"/>
                <w:lang w:eastAsia="zh-CN"/>
              </w:rPr>
              <w:t>响应文件</w:t>
            </w:r>
            <w:r>
              <w:rPr>
                <w:rFonts w:hint="eastAsia" w:ascii="宋体" w:hAnsi="宋体" w:eastAsia="宋体" w:cs="宋体"/>
                <w:spacing w:val="6"/>
                <w:szCs w:val="24"/>
                <w:highlight w:val="none"/>
              </w:rPr>
              <w:t>以及合同约定的内容和验收标准进行验收。</w:t>
            </w:r>
          </w:p>
        </w:tc>
      </w:tr>
      <w:tr w14:paraId="6FBDA6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09" w:type="dxa"/>
            <w:noWrap w:val="0"/>
            <w:vAlign w:val="center"/>
          </w:tcPr>
          <w:p w14:paraId="4A93B4CF">
            <w:pPr>
              <w:keepNext w:val="0"/>
              <w:pageBreakBefore w:val="0"/>
              <w:overflowPunct/>
              <w:bidi w:val="0"/>
              <w:adjustRightInd w:val="0"/>
              <w:spacing w:line="360" w:lineRule="auto"/>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28</w:t>
            </w:r>
          </w:p>
        </w:tc>
        <w:tc>
          <w:tcPr>
            <w:tcW w:w="1885" w:type="dxa"/>
            <w:noWrap w:val="0"/>
            <w:vAlign w:val="center"/>
          </w:tcPr>
          <w:p w14:paraId="117A263E">
            <w:pPr>
              <w:keepNext w:val="0"/>
              <w:pageBreakBefore w:val="0"/>
              <w:wordWrap w:val="0"/>
              <w:overflowPunct/>
              <w:topLinePunct w:val="0"/>
              <w:bidi w:val="0"/>
              <w:spacing w:after="200" w:line="360" w:lineRule="auto"/>
              <w:ind w:firstLine="0" w:firstLineChars="0"/>
              <w:jc w:val="center"/>
              <w:outlineLvl w:val="9"/>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代理服务费</w:t>
            </w:r>
          </w:p>
        </w:tc>
        <w:tc>
          <w:tcPr>
            <w:tcW w:w="6379" w:type="dxa"/>
            <w:noWrap w:val="0"/>
            <w:vAlign w:val="center"/>
          </w:tcPr>
          <w:p w14:paraId="031B39C9">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1.代理服务费：</w:t>
            </w:r>
          </w:p>
          <w:p w14:paraId="7A5786F7">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1.1收取标准：参考河南省招标代理服务收费指导意见（豫招协[2023]002号）规定的收费标准计算。</w:t>
            </w:r>
          </w:p>
          <w:p w14:paraId="7AB4F2F1">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1.2收取方式：中标人在领取通知书时，以现金或转账的方式一次性向代理机构缴纳代理服务费。</w:t>
            </w:r>
          </w:p>
          <w:p w14:paraId="295EC98F">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1.3中标人领取通知书时向招标代理机构提交</w:t>
            </w:r>
            <w:r>
              <w:rPr>
                <w:rFonts w:hint="eastAsia" w:ascii="宋体" w:hAnsi="宋体" w:eastAsia="宋体" w:cs="宋体"/>
                <w:spacing w:val="6"/>
                <w:szCs w:val="24"/>
                <w:highlight w:val="none"/>
                <w:lang w:eastAsia="zh-CN"/>
              </w:rPr>
              <w:t>2</w:t>
            </w:r>
            <w:r>
              <w:rPr>
                <w:rFonts w:hint="eastAsia" w:ascii="宋体" w:hAnsi="宋体" w:eastAsia="宋体" w:cs="宋体"/>
                <w:spacing w:val="6"/>
                <w:szCs w:val="24"/>
                <w:highlight w:val="none"/>
              </w:rPr>
              <w:t>份纸质</w:t>
            </w:r>
            <w:r>
              <w:rPr>
                <w:rFonts w:hint="eastAsia" w:ascii="宋体" w:hAnsi="宋体" w:eastAsia="宋体" w:cs="宋体"/>
                <w:spacing w:val="6"/>
                <w:szCs w:val="24"/>
                <w:highlight w:val="none"/>
                <w:lang w:eastAsia="zh-CN"/>
              </w:rPr>
              <w:t>响应文件</w:t>
            </w:r>
            <w:r>
              <w:rPr>
                <w:rFonts w:hint="eastAsia" w:ascii="宋体" w:hAnsi="宋体" w:eastAsia="宋体" w:cs="宋体"/>
                <w:spacing w:val="6"/>
                <w:szCs w:val="24"/>
                <w:highlight w:val="none"/>
              </w:rPr>
              <w:t>并按以下要求装订：胶装（不得采用活页装订），应有目录，并逐页标注连续页码，需加盖公章。</w:t>
            </w:r>
          </w:p>
        </w:tc>
      </w:tr>
      <w:tr w14:paraId="2297DD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09" w:type="dxa"/>
            <w:noWrap w:val="0"/>
            <w:vAlign w:val="center"/>
          </w:tcPr>
          <w:p w14:paraId="2556F500">
            <w:pPr>
              <w:keepNext w:val="0"/>
              <w:pageBreakBefore w:val="0"/>
              <w:overflowPunct/>
              <w:bidi w:val="0"/>
              <w:adjustRightInd w:val="0"/>
              <w:spacing w:line="360" w:lineRule="auto"/>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29</w:t>
            </w:r>
          </w:p>
        </w:tc>
        <w:tc>
          <w:tcPr>
            <w:tcW w:w="1885" w:type="dxa"/>
            <w:noWrap w:val="0"/>
            <w:vAlign w:val="center"/>
          </w:tcPr>
          <w:p w14:paraId="31594AA0">
            <w:pPr>
              <w:keepNext w:val="0"/>
              <w:keepLines/>
              <w:pageBreakBefore w:val="0"/>
              <w:overflowPunct/>
              <w:topLinePunct w:val="0"/>
              <w:bidi w:val="0"/>
              <w:spacing w:line="360" w:lineRule="auto"/>
              <w:ind w:firstLine="0" w:firstLineChars="0"/>
              <w:jc w:val="center"/>
              <w:outlineLvl w:val="9"/>
              <w:rPr>
                <w:rFonts w:hint="eastAsia" w:ascii="宋体" w:hAnsi="宋体" w:eastAsia="宋体" w:cs="宋体"/>
                <w:kern w:val="0"/>
                <w:szCs w:val="24"/>
                <w:highlight w:val="none"/>
              </w:rPr>
            </w:pPr>
            <w:r>
              <w:rPr>
                <w:rFonts w:hint="eastAsia" w:ascii="宋体" w:hAnsi="宋体" w:eastAsia="宋体" w:cs="宋体"/>
                <w:kern w:val="0"/>
                <w:szCs w:val="24"/>
                <w:highlight w:val="none"/>
              </w:rPr>
              <w:t>供应商对磋商文件提出问题的截止时间及方式</w:t>
            </w:r>
          </w:p>
        </w:tc>
        <w:tc>
          <w:tcPr>
            <w:tcW w:w="6379" w:type="dxa"/>
            <w:noWrap w:val="0"/>
            <w:vAlign w:val="center"/>
          </w:tcPr>
          <w:p w14:paraId="6715BAD6">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供应商如对竞争性磋商文件有异议的，应在磋商截止5日前在三门峡市公共资源交易平台上一次性提出，否则，将被视为完全理解并接受竞争性磋商文件的全部内容。</w:t>
            </w:r>
          </w:p>
        </w:tc>
      </w:tr>
      <w:tr w14:paraId="53AE02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09" w:type="dxa"/>
            <w:noWrap w:val="0"/>
            <w:vAlign w:val="center"/>
          </w:tcPr>
          <w:p w14:paraId="78A43101">
            <w:pPr>
              <w:keepNext w:val="0"/>
              <w:pageBreakBefore w:val="0"/>
              <w:overflowPunct/>
              <w:bidi w:val="0"/>
              <w:adjustRightInd w:val="0"/>
              <w:spacing w:line="360" w:lineRule="auto"/>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30</w:t>
            </w:r>
          </w:p>
        </w:tc>
        <w:tc>
          <w:tcPr>
            <w:tcW w:w="1885" w:type="dxa"/>
            <w:noWrap w:val="0"/>
            <w:vAlign w:val="center"/>
          </w:tcPr>
          <w:p w14:paraId="0694DD4F">
            <w:pPr>
              <w:keepNext w:val="0"/>
              <w:keepLines/>
              <w:pageBreakBefore w:val="0"/>
              <w:overflowPunct/>
              <w:topLinePunct w:val="0"/>
              <w:bidi w:val="0"/>
              <w:spacing w:line="360" w:lineRule="auto"/>
              <w:ind w:firstLine="0" w:firstLineChars="0"/>
              <w:jc w:val="center"/>
              <w:outlineLvl w:val="9"/>
              <w:rPr>
                <w:rFonts w:hint="eastAsia" w:ascii="宋体" w:hAnsi="宋体" w:eastAsia="宋体" w:cs="宋体"/>
                <w:kern w:val="0"/>
                <w:szCs w:val="24"/>
                <w:highlight w:val="none"/>
              </w:rPr>
            </w:pPr>
            <w:r>
              <w:rPr>
                <w:rFonts w:hint="eastAsia" w:ascii="宋体" w:hAnsi="宋体" w:eastAsia="宋体" w:cs="宋体"/>
                <w:kern w:val="0"/>
                <w:szCs w:val="24"/>
                <w:highlight w:val="none"/>
              </w:rPr>
              <w:t>政府采购合同融资政策</w:t>
            </w:r>
          </w:p>
        </w:tc>
        <w:tc>
          <w:tcPr>
            <w:tcW w:w="6379" w:type="dxa"/>
            <w:noWrap w:val="0"/>
            <w:vAlign w:val="center"/>
          </w:tcPr>
          <w:p w14:paraId="6138978E">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中标后，如需融资，参照《河南省政府采购合同融资工作实施方案》（豫财购〔2017〕10号）执行。</w:t>
            </w:r>
          </w:p>
        </w:tc>
      </w:tr>
      <w:tr w14:paraId="3B2BBA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09" w:type="dxa"/>
            <w:noWrap w:val="0"/>
            <w:vAlign w:val="center"/>
          </w:tcPr>
          <w:p w14:paraId="48BFFFA2">
            <w:pPr>
              <w:keepNext w:val="0"/>
              <w:pageBreakBefore w:val="0"/>
              <w:overflowPunct/>
              <w:bidi w:val="0"/>
              <w:adjustRightInd w:val="0"/>
              <w:spacing w:line="360" w:lineRule="auto"/>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31</w:t>
            </w:r>
          </w:p>
        </w:tc>
        <w:tc>
          <w:tcPr>
            <w:tcW w:w="1885" w:type="dxa"/>
            <w:noWrap w:val="0"/>
            <w:vAlign w:val="center"/>
          </w:tcPr>
          <w:p w14:paraId="2F9C8873">
            <w:pPr>
              <w:keepNext w:val="0"/>
              <w:pageBreakBefore w:val="0"/>
              <w:widowControl/>
              <w:kinsoku w:val="0"/>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zCs w:val="24"/>
                <w:highlight w:val="none"/>
              </w:rPr>
            </w:pPr>
            <w:r>
              <w:rPr>
                <w:rFonts w:hint="eastAsia" w:ascii="宋体" w:hAnsi="宋体" w:eastAsia="宋体" w:cs="宋体"/>
                <w:szCs w:val="24"/>
                <w:highlight w:val="none"/>
              </w:rPr>
              <w:t>竞争性磋商文件的澄清或修改的截止时间</w:t>
            </w:r>
          </w:p>
        </w:tc>
        <w:tc>
          <w:tcPr>
            <w:tcW w:w="6379" w:type="dxa"/>
            <w:noWrap w:val="0"/>
            <w:vAlign w:val="center"/>
          </w:tcPr>
          <w:p w14:paraId="2E3264FA">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磋商截止5日前，通知所有获取竞争性磋商文件的潜在供应商；不足5日的，顺延提交磋商响应文件的截止时间。</w:t>
            </w:r>
          </w:p>
        </w:tc>
      </w:tr>
      <w:tr w14:paraId="0680EA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09" w:type="dxa"/>
            <w:noWrap w:val="0"/>
            <w:vAlign w:val="center"/>
          </w:tcPr>
          <w:p w14:paraId="108CD0F7">
            <w:pPr>
              <w:keepNext w:val="0"/>
              <w:pageBreakBefore w:val="0"/>
              <w:overflowPunct/>
              <w:bidi w:val="0"/>
              <w:adjustRightInd w:val="0"/>
              <w:spacing w:line="360" w:lineRule="auto"/>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32</w:t>
            </w:r>
          </w:p>
        </w:tc>
        <w:tc>
          <w:tcPr>
            <w:tcW w:w="1885" w:type="dxa"/>
            <w:noWrap w:val="0"/>
            <w:vAlign w:val="center"/>
          </w:tcPr>
          <w:p w14:paraId="4BC2B579">
            <w:pPr>
              <w:keepNext w:val="0"/>
              <w:pageBreakBefore w:val="0"/>
              <w:widowControl/>
              <w:kinsoku w:val="0"/>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zCs w:val="24"/>
                <w:highlight w:val="none"/>
              </w:rPr>
            </w:pPr>
            <w:r>
              <w:rPr>
                <w:rFonts w:hint="eastAsia" w:ascii="宋体" w:hAnsi="宋体" w:eastAsia="宋体" w:cs="宋体"/>
                <w:szCs w:val="24"/>
                <w:highlight w:val="none"/>
              </w:rPr>
              <w:t>竞争性磋商文件的澄清或修改的方式</w:t>
            </w:r>
          </w:p>
        </w:tc>
        <w:tc>
          <w:tcPr>
            <w:tcW w:w="6379" w:type="dxa"/>
            <w:noWrap w:val="0"/>
            <w:vAlign w:val="center"/>
          </w:tcPr>
          <w:p w14:paraId="0E330C31">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竞争性磋商文件的澄清或者修改将通过交易平台系统内部“答疑文件”告知供应商，发布给所有成功下载竞争性磋商文件的供应商，并在原竞争性磋商公告发布媒体上发布澄清公告，但不指明澄清问题的来源。对于项目中已经成功下载竞争性磋商文件的供应商，系统将通过第三方短信群发方式提醒供应商进行查询。各供应商须重新下载最新的答疑文件，以此编制磋商响应文件。</w:t>
            </w:r>
          </w:p>
        </w:tc>
      </w:tr>
      <w:tr w14:paraId="6EC1AE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09" w:type="dxa"/>
            <w:noWrap w:val="0"/>
            <w:vAlign w:val="center"/>
          </w:tcPr>
          <w:p w14:paraId="7F9A8447">
            <w:pPr>
              <w:keepNext w:val="0"/>
              <w:pageBreakBefore w:val="0"/>
              <w:overflowPunct/>
              <w:bidi w:val="0"/>
              <w:adjustRightInd w:val="0"/>
              <w:spacing w:line="360" w:lineRule="auto"/>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33</w:t>
            </w:r>
          </w:p>
        </w:tc>
        <w:tc>
          <w:tcPr>
            <w:tcW w:w="1885" w:type="dxa"/>
            <w:noWrap w:val="0"/>
            <w:vAlign w:val="center"/>
          </w:tcPr>
          <w:p w14:paraId="32BBD060">
            <w:pPr>
              <w:keepNext w:val="0"/>
              <w:pageBreakBefore w:val="0"/>
              <w:overflowPunct/>
              <w:topLinePunct w:val="0"/>
              <w:bidi w:val="0"/>
              <w:adjustRightInd w:val="0"/>
              <w:spacing w:line="360" w:lineRule="auto"/>
              <w:ind w:firstLine="0" w:firstLineChars="0"/>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其他</w:t>
            </w:r>
          </w:p>
        </w:tc>
        <w:tc>
          <w:tcPr>
            <w:tcW w:w="6379" w:type="dxa"/>
            <w:noWrap w:val="0"/>
            <w:vAlign w:val="center"/>
          </w:tcPr>
          <w:p w14:paraId="1E2564BF">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我单位（采购人）严格按三财购【2021】9号文要求的时限发布中标结果公告，发出中标通知书，签订采购合同，上传采购合同。</w:t>
            </w:r>
          </w:p>
        </w:tc>
      </w:tr>
      <w:tr w14:paraId="152E2F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09" w:type="dxa"/>
            <w:tcBorders>
              <w:bottom w:val="single" w:color="auto" w:sz="12" w:space="0"/>
            </w:tcBorders>
            <w:noWrap w:val="0"/>
            <w:vAlign w:val="center"/>
          </w:tcPr>
          <w:p w14:paraId="42446CC5">
            <w:pPr>
              <w:keepNext w:val="0"/>
              <w:pageBreakBefore w:val="0"/>
              <w:overflowPunct/>
              <w:bidi w:val="0"/>
              <w:adjustRightInd w:val="0"/>
              <w:spacing w:line="360" w:lineRule="auto"/>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34</w:t>
            </w:r>
          </w:p>
        </w:tc>
        <w:tc>
          <w:tcPr>
            <w:tcW w:w="1885" w:type="dxa"/>
            <w:tcBorders>
              <w:bottom w:val="single" w:color="auto" w:sz="12" w:space="0"/>
            </w:tcBorders>
            <w:noWrap w:val="0"/>
            <w:vAlign w:val="center"/>
          </w:tcPr>
          <w:p w14:paraId="1D2C93B8">
            <w:pPr>
              <w:keepNext w:val="0"/>
              <w:pageBreakBefore w:val="0"/>
              <w:overflowPunct/>
              <w:topLinePunct w:val="0"/>
              <w:bidi w:val="0"/>
              <w:adjustRightInd w:val="0"/>
              <w:spacing w:line="360" w:lineRule="auto"/>
              <w:ind w:firstLine="0" w:firstLineChars="0"/>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电子化注意事项</w:t>
            </w:r>
          </w:p>
        </w:tc>
        <w:tc>
          <w:tcPr>
            <w:tcW w:w="6379" w:type="dxa"/>
            <w:tcBorders>
              <w:bottom w:val="single" w:color="auto" w:sz="12" w:space="0"/>
            </w:tcBorders>
            <w:noWrap w:val="0"/>
            <w:vAlign w:val="center"/>
          </w:tcPr>
          <w:p w14:paraId="0627E558">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具体要求：本项目为电子化、无纸化交易项目，</w:t>
            </w:r>
            <w:r>
              <w:rPr>
                <w:rFonts w:hint="eastAsia" w:ascii="宋体" w:hAnsi="宋体" w:eastAsia="宋体" w:cs="宋体"/>
                <w:spacing w:val="6"/>
                <w:szCs w:val="24"/>
                <w:highlight w:val="none"/>
                <w:lang w:eastAsia="zh-CN"/>
              </w:rPr>
              <w:t>响应文件</w:t>
            </w:r>
            <w:r>
              <w:rPr>
                <w:rFonts w:hint="eastAsia" w:ascii="宋体" w:hAnsi="宋体" w:eastAsia="宋体" w:cs="宋体"/>
                <w:spacing w:val="6"/>
                <w:szCs w:val="24"/>
                <w:highlight w:val="none"/>
              </w:rPr>
              <w:t>是投标人、供应商（以下简称“投标人”）通过中心</w:t>
            </w:r>
            <w:r>
              <w:rPr>
                <w:rFonts w:hint="eastAsia" w:ascii="宋体" w:hAnsi="宋体" w:eastAsia="宋体" w:cs="宋体"/>
                <w:spacing w:val="6"/>
                <w:szCs w:val="24"/>
                <w:highlight w:val="none"/>
                <w:lang w:eastAsia="zh-CN"/>
              </w:rPr>
              <w:t>响应文件</w:t>
            </w:r>
            <w:r>
              <w:rPr>
                <w:rFonts w:hint="eastAsia" w:ascii="宋体" w:hAnsi="宋体" w:eastAsia="宋体" w:cs="宋体"/>
                <w:spacing w:val="6"/>
                <w:szCs w:val="24"/>
                <w:highlight w:val="none"/>
              </w:rPr>
              <w:t>制作系统制作，并经过签章和加密后生成的电子版</w:t>
            </w:r>
            <w:r>
              <w:rPr>
                <w:rFonts w:hint="eastAsia" w:ascii="宋体" w:hAnsi="宋体" w:eastAsia="宋体" w:cs="宋体"/>
                <w:spacing w:val="6"/>
                <w:szCs w:val="24"/>
                <w:highlight w:val="none"/>
                <w:lang w:eastAsia="zh-CN"/>
              </w:rPr>
              <w:t>响应文件</w:t>
            </w:r>
            <w:r>
              <w:rPr>
                <w:rFonts w:hint="eastAsia" w:ascii="宋体" w:hAnsi="宋体" w:eastAsia="宋体" w:cs="宋体"/>
                <w:spacing w:val="6"/>
                <w:szCs w:val="24"/>
                <w:highlight w:val="none"/>
              </w:rPr>
              <w:t>。</w:t>
            </w:r>
          </w:p>
          <w:p w14:paraId="6AF252E3">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电子化</w:t>
            </w:r>
            <w:r>
              <w:rPr>
                <w:rFonts w:hint="eastAsia" w:ascii="宋体" w:hAnsi="宋体" w:eastAsia="宋体" w:cs="宋体"/>
                <w:spacing w:val="6"/>
                <w:szCs w:val="24"/>
                <w:highlight w:val="none"/>
                <w:lang w:eastAsia="zh-CN"/>
              </w:rPr>
              <w:t>响应文件</w:t>
            </w:r>
            <w:r>
              <w:rPr>
                <w:rFonts w:hint="eastAsia" w:ascii="宋体" w:hAnsi="宋体" w:eastAsia="宋体" w:cs="宋体"/>
                <w:spacing w:val="6"/>
                <w:szCs w:val="24"/>
                <w:highlight w:val="none"/>
              </w:rPr>
              <w:t>具体制作文件请点击https</w:t>
            </w:r>
            <w:r>
              <w:rPr>
                <w:rFonts w:hint="eastAsia" w:ascii="宋体" w:hAnsi="宋体" w:eastAsia="宋体" w:cs="宋体"/>
                <w:spacing w:val="6"/>
                <w:szCs w:val="24"/>
                <w:highlight w:val="none"/>
                <w:lang w:eastAsia="zh-CN"/>
              </w:rPr>
              <w:t>：</w:t>
            </w:r>
            <w:r>
              <w:rPr>
                <w:rFonts w:hint="eastAsia" w:ascii="宋体" w:hAnsi="宋体" w:eastAsia="宋体" w:cs="宋体"/>
                <w:spacing w:val="6"/>
                <w:szCs w:val="24"/>
                <w:highlight w:val="none"/>
              </w:rPr>
              <w:t>//download.bqpoint.com/download/downloaddetail.html?SourceFrom=Ztb&amp;ZtbSoftXiaQuCode=1506&amp;ZtbSoftType=tballinclusive进行下载。</w:t>
            </w:r>
          </w:p>
          <w:p w14:paraId="3013D34B">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温馨提示：本项目为电子化、无纸化交易项目，为保证您能投标成功，请需仔细阅读以下条款。</w:t>
            </w:r>
          </w:p>
          <w:p w14:paraId="6FED1969">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一、电子化投标</w:t>
            </w:r>
          </w:p>
          <w:p w14:paraId="1BBFBA00">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（一）电子化</w:t>
            </w:r>
            <w:r>
              <w:rPr>
                <w:rFonts w:hint="eastAsia" w:ascii="宋体" w:hAnsi="宋体" w:eastAsia="宋体" w:cs="宋体"/>
                <w:spacing w:val="6"/>
                <w:szCs w:val="24"/>
                <w:highlight w:val="none"/>
                <w:lang w:eastAsia="zh-CN"/>
              </w:rPr>
              <w:t>响应文件</w:t>
            </w:r>
            <w:r>
              <w:rPr>
                <w:rFonts w:hint="eastAsia" w:ascii="宋体" w:hAnsi="宋体" w:eastAsia="宋体" w:cs="宋体"/>
                <w:spacing w:val="6"/>
                <w:szCs w:val="24"/>
                <w:highlight w:val="none"/>
              </w:rPr>
              <w:t>的签章</w:t>
            </w:r>
          </w:p>
          <w:p w14:paraId="07B2BD78">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1、投标供应商在生成电子化</w:t>
            </w:r>
            <w:r>
              <w:rPr>
                <w:rFonts w:hint="eastAsia" w:ascii="宋体" w:hAnsi="宋体" w:eastAsia="宋体" w:cs="宋体"/>
                <w:spacing w:val="6"/>
                <w:szCs w:val="24"/>
                <w:highlight w:val="none"/>
                <w:lang w:eastAsia="zh-CN"/>
              </w:rPr>
              <w:t>响应文件</w:t>
            </w:r>
            <w:r>
              <w:rPr>
                <w:rFonts w:hint="eastAsia" w:ascii="宋体" w:hAnsi="宋体" w:eastAsia="宋体" w:cs="宋体"/>
                <w:spacing w:val="6"/>
                <w:szCs w:val="24"/>
                <w:highlight w:val="none"/>
              </w:rPr>
              <w:t>后，应对电子化</w:t>
            </w:r>
            <w:r>
              <w:rPr>
                <w:rFonts w:hint="eastAsia" w:ascii="宋体" w:hAnsi="宋体" w:eastAsia="宋体" w:cs="宋体"/>
                <w:spacing w:val="6"/>
                <w:szCs w:val="24"/>
                <w:highlight w:val="none"/>
                <w:lang w:eastAsia="zh-CN"/>
              </w:rPr>
              <w:t>响应文件</w:t>
            </w:r>
            <w:r>
              <w:rPr>
                <w:rFonts w:hint="eastAsia" w:ascii="宋体" w:hAnsi="宋体" w:eastAsia="宋体" w:cs="宋体"/>
                <w:spacing w:val="6"/>
                <w:szCs w:val="24"/>
                <w:highlight w:val="none"/>
              </w:rPr>
              <w:t>进行签章，未进行签章的视为无效投标。</w:t>
            </w:r>
          </w:p>
          <w:p w14:paraId="1C0533B1">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2、</w:t>
            </w:r>
            <w:r>
              <w:rPr>
                <w:rFonts w:hint="eastAsia" w:ascii="宋体" w:hAnsi="宋体" w:eastAsia="宋体" w:cs="宋体"/>
                <w:spacing w:val="6"/>
                <w:szCs w:val="24"/>
                <w:highlight w:val="none"/>
                <w:lang w:eastAsia="zh-CN"/>
              </w:rPr>
              <w:t>竞争性磋商文件</w:t>
            </w:r>
            <w:r>
              <w:rPr>
                <w:rFonts w:hint="eastAsia" w:ascii="宋体" w:hAnsi="宋体" w:eastAsia="宋体" w:cs="宋体"/>
                <w:spacing w:val="6"/>
                <w:szCs w:val="24"/>
                <w:highlight w:val="none"/>
              </w:rPr>
              <w:t>中要求法定代表人或授权委托人签字或盖章的，投标供应商在进行电子化</w:t>
            </w:r>
            <w:r>
              <w:rPr>
                <w:rFonts w:hint="eastAsia" w:ascii="宋体" w:hAnsi="宋体" w:eastAsia="宋体" w:cs="宋体"/>
                <w:spacing w:val="6"/>
                <w:szCs w:val="24"/>
                <w:highlight w:val="none"/>
                <w:lang w:eastAsia="zh-CN"/>
              </w:rPr>
              <w:t>响应文件</w:t>
            </w:r>
            <w:r>
              <w:rPr>
                <w:rFonts w:hint="eastAsia" w:ascii="宋体" w:hAnsi="宋体" w:eastAsia="宋体" w:cs="宋体"/>
                <w:spacing w:val="6"/>
                <w:szCs w:val="24"/>
                <w:highlight w:val="none"/>
              </w:rPr>
              <w:t>签章时，以签盖法定代表人签章为准。</w:t>
            </w:r>
          </w:p>
          <w:p w14:paraId="7416310E">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（三）电子化</w:t>
            </w:r>
            <w:r>
              <w:rPr>
                <w:rFonts w:hint="eastAsia" w:ascii="宋体" w:hAnsi="宋体" w:eastAsia="宋体" w:cs="宋体"/>
                <w:spacing w:val="6"/>
                <w:szCs w:val="24"/>
                <w:highlight w:val="none"/>
                <w:lang w:eastAsia="zh-CN"/>
              </w:rPr>
              <w:t>响应文件</w:t>
            </w:r>
            <w:r>
              <w:rPr>
                <w:rFonts w:hint="eastAsia" w:ascii="宋体" w:hAnsi="宋体" w:eastAsia="宋体" w:cs="宋体"/>
                <w:spacing w:val="6"/>
                <w:szCs w:val="24"/>
                <w:highlight w:val="none"/>
              </w:rPr>
              <w:t>的格式及上传投标</w:t>
            </w:r>
          </w:p>
          <w:p w14:paraId="06E7F6FA">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1、投标供应商所上传的电子化</w:t>
            </w:r>
            <w:r>
              <w:rPr>
                <w:rFonts w:hint="eastAsia" w:ascii="宋体" w:hAnsi="宋体" w:eastAsia="宋体" w:cs="宋体"/>
                <w:spacing w:val="6"/>
                <w:szCs w:val="24"/>
                <w:highlight w:val="none"/>
                <w:lang w:eastAsia="zh-CN"/>
              </w:rPr>
              <w:t>响应文件</w:t>
            </w:r>
            <w:r>
              <w:rPr>
                <w:rFonts w:hint="eastAsia" w:ascii="宋体" w:hAnsi="宋体" w:eastAsia="宋体" w:cs="宋体"/>
                <w:spacing w:val="6"/>
                <w:szCs w:val="24"/>
                <w:highlight w:val="none"/>
              </w:rPr>
              <w:t>，应是通过中心</w:t>
            </w:r>
            <w:r>
              <w:rPr>
                <w:rFonts w:hint="eastAsia" w:ascii="宋体" w:hAnsi="宋体" w:eastAsia="宋体" w:cs="宋体"/>
                <w:spacing w:val="6"/>
                <w:szCs w:val="24"/>
                <w:highlight w:val="none"/>
                <w:lang w:eastAsia="zh-CN"/>
              </w:rPr>
              <w:t>响应文件</w:t>
            </w:r>
            <w:r>
              <w:rPr>
                <w:rFonts w:hint="eastAsia" w:ascii="宋体" w:hAnsi="宋体" w:eastAsia="宋体" w:cs="宋体"/>
                <w:spacing w:val="6"/>
                <w:szCs w:val="24"/>
                <w:highlight w:val="none"/>
              </w:rPr>
              <w:t>制作系统制作的（</w:t>
            </w:r>
            <w:r>
              <w:rPr>
                <w:rFonts w:hint="eastAsia" w:ascii="宋体" w:hAnsi="宋体" w:eastAsia="宋体" w:cs="宋体"/>
                <w:spacing w:val="6"/>
                <w:szCs w:val="24"/>
                <w:highlight w:val="none"/>
                <w:lang w:eastAsia="zh-CN"/>
              </w:rPr>
              <w:t>响应文件</w:t>
            </w:r>
            <w:r>
              <w:rPr>
                <w:rFonts w:hint="eastAsia" w:ascii="宋体" w:hAnsi="宋体" w:eastAsia="宋体" w:cs="宋体"/>
                <w:spacing w:val="6"/>
                <w:szCs w:val="24"/>
                <w:highlight w:val="none"/>
              </w:rPr>
              <w:t>制作工具下载地址：https</w:t>
            </w:r>
            <w:r>
              <w:rPr>
                <w:rFonts w:hint="eastAsia" w:ascii="宋体" w:hAnsi="宋体" w:eastAsia="宋体" w:cs="宋体"/>
                <w:spacing w:val="6"/>
                <w:szCs w:val="24"/>
                <w:highlight w:val="none"/>
                <w:lang w:eastAsia="zh-CN"/>
              </w:rPr>
              <w:t>：</w:t>
            </w:r>
            <w:r>
              <w:rPr>
                <w:rFonts w:hint="eastAsia" w:ascii="宋体" w:hAnsi="宋体" w:eastAsia="宋体" w:cs="宋体"/>
                <w:spacing w:val="6"/>
                <w:szCs w:val="24"/>
                <w:highlight w:val="none"/>
              </w:rPr>
              <w:t>//download.bqpoint.com/download/downloaddetail.html?SourceFrom=Ztb&amp;ZtbSoftXiaQuCode=1506&amp;ZtbSoftType=tballinclusive），经过签章和加密后生成的电子版</w:t>
            </w:r>
            <w:r>
              <w:rPr>
                <w:rFonts w:hint="eastAsia" w:ascii="宋体" w:hAnsi="宋体" w:eastAsia="宋体" w:cs="宋体"/>
                <w:spacing w:val="6"/>
                <w:szCs w:val="24"/>
                <w:highlight w:val="none"/>
                <w:lang w:eastAsia="zh-CN"/>
              </w:rPr>
              <w:t>响应文件</w:t>
            </w:r>
            <w:r>
              <w:rPr>
                <w:rFonts w:hint="eastAsia" w:ascii="宋体" w:hAnsi="宋体" w:eastAsia="宋体" w:cs="宋体"/>
                <w:spacing w:val="6"/>
                <w:szCs w:val="24"/>
                <w:highlight w:val="none"/>
              </w:rPr>
              <w:t>。其中包含用于</w:t>
            </w:r>
            <w:r>
              <w:rPr>
                <w:rFonts w:hint="eastAsia" w:ascii="宋体" w:hAnsi="宋体" w:eastAsia="宋体" w:cs="宋体"/>
                <w:spacing w:val="6"/>
                <w:szCs w:val="24"/>
                <w:highlight w:val="none"/>
                <w:lang w:eastAsia="zh-CN"/>
              </w:rPr>
              <w:t>响应文件</w:t>
            </w:r>
            <w:r>
              <w:rPr>
                <w:rFonts w:hint="eastAsia" w:ascii="宋体" w:hAnsi="宋体" w:eastAsia="宋体" w:cs="宋体"/>
                <w:spacing w:val="6"/>
                <w:szCs w:val="24"/>
                <w:highlight w:val="none"/>
              </w:rPr>
              <w:t>上传的主文件（后缀为.smxtf）和用于应急补救的</w:t>
            </w:r>
            <w:r>
              <w:rPr>
                <w:rFonts w:hint="eastAsia" w:ascii="宋体" w:hAnsi="宋体" w:eastAsia="宋体" w:cs="宋体"/>
                <w:spacing w:val="6"/>
                <w:szCs w:val="24"/>
                <w:highlight w:val="none"/>
                <w:lang w:eastAsia="zh-CN"/>
              </w:rPr>
              <w:t>响应文件</w:t>
            </w:r>
            <w:r>
              <w:rPr>
                <w:rFonts w:hint="eastAsia" w:ascii="宋体" w:hAnsi="宋体" w:eastAsia="宋体" w:cs="宋体"/>
                <w:spacing w:val="6"/>
                <w:szCs w:val="24"/>
                <w:highlight w:val="none"/>
              </w:rPr>
              <w:t>备份文件（后缀为.nsmxtf）。备份文件主要用于电子化开标出现技术问题后的补救。</w:t>
            </w:r>
          </w:p>
          <w:p w14:paraId="7A5EB44E">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注：投标供应商投报多个标段的，需要每个标段单独制作电子</w:t>
            </w:r>
            <w:r>
              <w:rPr>
                <w:rFonts w:hint="eastAsia" w:ascii="宋体" w:hAnsi="宋体" w:eastAsia="宋体" w:cs="宋体"/>
                <w:spacing w:val="6"/>
                <w:szCs w:val="24"/>
                <w:highlight w:val="none"/>
                <w:lang w:eastAsia="zh-CN"/>
              </w:rPr>
              <w:t>响应文件</w:t>
            </w:r>
            <w:r>
              <w:rPr>
                <w:rFonts w:hint="eastAsia" w:ascii="宋体" w:hAnsi="宋体" w:eastAsia="宋体" w:cs="宋体"/>
                <w:spacing w:val="6"/>
                <w:szCs w:val="24"/>
                <w:highlight w:val="none"/>
              </w:rPr>
              <w:t>。</w:t>
            </w:r>
          </w:p>
          <w:p w14:paraId="3D95EF13">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2、电子化</w:t>
            </w:r>
            <w:r>
              <w:rPr>
                <w:rFonts w:hint="eastAsia" w:ascii="宋体" w:hAnsi="宋体" w:eastAsia="宋体" w:cs="宋体"/>
                <w:spacing w:val="6"/>
                <w:szCs w:val="24"/>
                <w:highlight w:val="none"/>
                <w:lang w:eastAsia="zh-CN"/>
              </w:rPr>
              <w:t>响应文件</w:t>
            </w:r>
            <w:r>
              <w:rPr>
                <w:rFonts w:hint="eastAsia" w:ascii="宋体" w:hAnsi="宋体" w:eastAsia="宋体" w:cs="宋体"/>
                <w:spacing w:val="6"/>
                <w:szCs w:val="24"/>
                <w:highlight w:val="none"/>
              </w:rPr>
              <w:t>应在投标截止时间前成功上传至三门峡市公共资源电子化交易系统。至投标截止时间止，仍未上传成功的电子化</w:t>
            </w:r>
            <w:r>
              <w:rPr>
                <w:rFonts w:hint="eastAsia" w:ascii="宋体" w:hAnsi="宋体" w:eastAsia="宋体" w:cs="宋体"/>
                <w:spacing w:val="6"/>
                <w:szCs w:val="24"/>
                <w:highlight w:val="none"/>
                <w:lang w:eastAsia="zh-CN"/>
              </w:rPr>
              <w:t>响应文件</w:t>
            </w:r>
            <w:r>
              <w:rPr>
                <w:rFonts w:hint="eastAsia" w:ascii="宋体" w:hAnsi="宋体" w:eastAsia="宋体" w:cs="宋体"/>
                <w:spacing w:val="6"/>
                <w:szCs w:val="24"/>
                <w:highlight w:val="none"/>
              </w:rPr>
              <w:t>将不予接收。</w:t>
            </w:r>
          </w:p>
          <w:p w14:paraId="16B0A584">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注：如按照电子化投标操作教材制作完成的电子化</w:t>
            </w:r>
            <w:r>
              <w:rPr>
                <w:rFonts w:hint="eastAsia" w:ascii="宋体" w:hAnsi="宋体" w:eastAsia="宋体" w:cs="宋体"/>
                <w:spacing w:val="6"/>
                <w:szCs w:val="24"/>
                <w:highlight w:val="none"/>
                <w:lang w:eastAsia="zh-CN"/>
              </w:rPr>
              <w:t>响应文件</w:t>
            </w:r>
            <w:r>
              <w:rPr>
                <w:rFonts w:hint="eastAsia" w:ascii="宋体" w:hAnsi="宋体" w:eastAsia="宋体" w:cs="宋体"/>
                <w:spacing w:val="6"/>
                <w:szCs w:val="24"/>
                <w:highlight w:val="none"/>
              </w:rPr>
              <w:t>无法上传的，投标供应商应在投标截止时间前尽早的联系中心技术人员，以便有充分的时间进行处理。投标供应商应充分考虑到处理技术问题和上传数据等工作所需的时间问题，</w:t>
            </w:r>
            <w:r>
              <w:rPr>
                <w:rFonts w:hint="eastAsia" w:ascii="宋体" w:hAnsi="宋体" w:eastAsia="宋体" w:cs="宋体"/>
                <w:spacing w:val="6"/>
                <w:szCs w:val="24"/>
                <w:highlight w:val="none"/>
                <w:lang w:eastAsia="zh-CN"/>
              </w:rPr>
              <w:t>响应文件</w:t>
            </w:r>
            <w:r>
              <w:rPr>
                <w:rFonts w:hint="eastAsia" w:ascii="宋体" w:hAnsi="宋体" w:eastAsia="宋体" w:cs="宋体"/>
                <w:spacing w:val="6"/>
                <w:szCs w:val="24"/>
                <w:highlight w:val="none"/>
              </w:rPr>
              <w:t>未在投标截止时间前成功上传的，其</w:t>
            </w:r>
            <w:r>
              <w:rPr>
                <w:rFonts w:hint="eastAsia" w:ascii="宋体" w:hAnsi="宋体" w:eastAsia="宋体" w:cs="宋体"/>
                <w:spacing w:val="6"/>
                <w:szCs w:val="24"/>
                <w:highlight w:val="none"/>
                <w:lang w:eastAsia="zh-CN"/>
              </w:rPr>
              <w:t>响应文件</w:t>
            </w:r>
            <w:r>
              <w:rPr>
                <w:rFonts w:hint="eastAsia" w:ascii="宋体" w:hAnsi="宋体" w:eastAsia="宋体" w:cs="宋体"/>
                <w:spacing w:val="6"/>
                <w:szCs w:val="24"/>
                <w:highlight w:val="none"/>
              </w:rPr>
              <w:t>不予接收。</w:t>
            </w:r>
          </w:p>
          <w:p w14:paraId="20E12EBE">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技术</w:t>
            </w:r>
            <w:r>
              <w:rPr>
                <w:rFonts w:hint="eastAsia" w:ascii="宋体" w:hAnsi="宋体" w:eastAsia="宋体" w:cs="宋体"/>
                <w:spacing w:val="6"/>
                <w:szCs w:val="24"/>
                <w:highlight w:val="none"/>
                <w:lang w:eastAsia="zh-CN"/>
              </w:rPr>
              <w:t>联系方式</w:t>
            </w:r>
            <w:r>
              <w:rPr>
                <w:rFonts w:hint="eastAsia" w:ascii="宋体" w:hAnsi="宋体" w:eastAsia="宋体" w:cs="宋体"/>
                <w:spacing w:val="6"/>
                <w:szCs w:val="24"/>
                <w:highlight w:val="none"/>
              </w:rPr>
              <w:t>：0398-3117095</w:t>
            </w:r>
            <w:r>
              <w:rPr>
                <w:rFonts w:hint="eastAsia" w:ascii="宋体" w:hAnsi="宋体" w:eastAsia="宋体" w:cs="宋体"/>
                <w:spacing w:val="6"/>
                <w:szCs w:val="24"/>
                <w:highlight w:val="none"/>
                <w:lang w:eastAsia="zh-CN"/>
              </w:rPr>
              <w:t>、</w:t>
            </w:r>
            <w:r>
              <w:rPr>
                <w:rFonts w:hint="eastAsia" w:ascii="宋体" w:hAnsi="宋体" w:eastAsia="宋体" w:cs="宋体"/>
                <w:spacing w:val="6"/>
                <w:szCs w:val="24"/>
                <w:highlight w:val="none"/>
              </w:rPr>
              <w:t>3117080</w:t>
            </w:r>
          </w:p>
          <w:p w14:paraId="4BD07B60">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新点客服电话</w:t>
            </w:r>
            <w:r>
              <w:rPr>
                <w:rFonts w:hint="eastAsia" w:ascii="宋体" w:hAnsi="宋体" w:eastAsia="宋体" w:cs="宋体"/>
                <w:spacing w:val="6"/>
                <w:szCs w:val="24"/>
                <w:highlight w:val="none"/>
                <w:lang w:eastAsia="zh-CN"/>
              </w:rPr>
              <w:t>：</w:t>
            </w:r>
            <w:r>
              <w:rPr>
                <w:rFonts w:hint="eastAsia" w:ascii="宋体" w:hAnsi="宋体" w:eastAsia="宋体" w:cs="宋体"/>
                <w:spacing w:val="6"/>
                <w:szCs w:val="24"/>
                <w:highlight w:val="none"/>
              </w:rPr>
              <w:t>4009980000</w:t>
            </w:r>
          </w:p>
          <w:p w14:paraId="0461F4BA">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（四）电子化项目开标、解密、唱标、评标</w:t>
            </w:r>
          </w:p>
          <w:p w14:paraId="4FF60138">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1、本项目采用无纸化进行招标，开标当日，投标供应商无需到开标现场参加开标会议，投标供应商应当在投标截止时间前，登陆不见面开标大厅选择登陆三门峡市公共资源电子招投标系统进行登陆（网址为http</w:t>
            </w:r>
            <w:r>
              <w:rPr>
                <w:rFonts w:hint="eastAsia" w:ascii="宋体" w:hAnsi="宋体" w:eastAsia="宋体" w:cs="宋体"/>
                <w:spacing w:val="6"/>
                <w:szCs w:val="24"/>
                <w:highlight w:val="none"/>
                <w:lang w:eastAsia="zh-CN"/>
              </w:rPr>
              <w:t>：</w:t>
            </w:r>
            <w:r>
              <w:rPr>
                <w:rFonts w:hint="eastAsia" w:ascii="宋体" w:hAnsi="宋体" w:eastAsia="宋体" w:cs="宋体"/>
                <w:spacing w:val="6"/>
                <w:szCs w:val="24"/>
                <w:highlight w:val="none"/>
              </w:rPr>
              <w:t>//122.112.246.33/BidOpening/bidopeninghallaction/hall/login）,在线准时参加开标活动并进行</w:t>
            </w:r>
            <w:r>
              <w:rPr>
                <w:rFonts w:hint="eastAsia" w:ascii="宋体" w:hAnsi="宋体" w:eastAsia="宋体" w:cs="宋体"/>
                <w:spacing w:val="6"/>
                <w:szCs w:val="24"/>
                <w:highlight w:val="none"/>
                <w:lang w:eastAsia="zh-CN"/>
              </w:rPr>
              <w:t>响应文件</w:t>
            </w:r>
            <w:r>
              <w:rPr>
                <w:rFonts w:hint="eastAsia" w:ascii="宋体" w:hAnsi="宋体" w:eastAsia="宋体" w:cs="宋体"/>
                <w:spacing w:val="6"/>
                <w:szCs w:val="24"/>
                <w:highlight w:val="none"/>
              </w:rPr>
              <w:t>解密等</w:t>
            </w:r>
          </w:p>
          <w:p w14:paraId="16CB3FBF">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2、电子化</w:t>
            </w:r>
            <w:r>
              <w:rPr>
                <w:rFonts w:hint="eastAsia" w:ascii="宋体" w:hAnsi="宋体" w:eastAsia="宋体" w:cs="宋体"/>
                <w:spacing w:val="6"/>
                <w:szCs w:val="24"/>
                <w:highlight w:val="none"/>
                <w:lang w:eastAsia="zh-CN"/>
              </w:rPr>
              <w:t>响应文件</w:t>
            </w:r>
            <w:r>
              <w:rPr>
                <w:rFonts w:hint="eastAsia" w:ascii="宋体" w:hAnsi="宋体" w:eastAsia="宋体" w:cs="宋体"/>
                <w:spacing w:val="6"/>
                <w:szCs w:val="24"/>
                <w:highlight w:val="none"/>
              </w:rPr>
              <w:t>采用一次加密方式。开标时，由投标供应商使用CA证书，在规定时间内对其电子化</w:t>
            </w:r>
            <w:r>
              <w:rPr>
                <w:rFonts w:hint="eastAsia" w:ascii="宋体" w:hAnsi="宋体" w:eastAsia="宋体" w:cs="宋体"/>
                <w:spacing w:val="6"/>
                <w:szCs w:val="24"/>
                <w:highlight w:val="none"/>
                <w:lang w:eastAsia="zh-CN"/>
              </w:rPr>
              <w:t>响应文件</w:t>
            </w:r>
            <w:r>
              <w:rPr>
                <w:rFonts w:hint="eastAsia" w:ascii="宋体" w:hAnsi="宋体" w:eastAsia="宋体" w:cs="宋体"/>
                <w:spacing w:val="6"/>
                <w:szCs w:val="24"/>
                <w:highlight w:val="none"/>
              </w:rPr>
              <w:t>进行解密。每位投标供应商的解密时间为开标时间起30分钟内，如在规定时间内未完成解密的，其</w:t>
            </w:r>
            <w:r>
              <w:rPr>
                <w:rFonts w:hint="eastAsia" w:ascii="宋体" w:hAnsi="宋体" w:eastAsia="宋体" w:cs="宋体"/>
                <w:spacing w:val="6"/>
                <w:szCs w:val="24"/>
                <w:highlight w:val="none"/>
                <w:lang w:eastAsia="zh-CN"/>
              </w:rPr>
              <w:t>响应文件</w:t>
            </w:r>
            <w:r>
              <w:rPr>
                <w:rFonts w:hint="eastAsia" w:ascii="宋体" w:hAnsi="宋体" w:eastAsia="宋体" w:cs="宋体"/>
                <w:spacing w:val="6"/>
                <w:szCs w:val="24"/>
                <w:highlight w:val="none"/>
              </w:rPr>
              <w:t>不予开标、唱标。</w:t>
            </w:r>
          </w:p>
          <w:p w14:paraId="31F2F48C">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3、电子化</w:t>
            </w:r>
            <w:r>
              <w:rPr>
                <w:rFonts w:hint="eastAsia" w:ascii="宋体" w:hAnsi="宋体" w:eastAsia="宋体" w:cs="宋体"/>
                <w:spacing w:val="6"/>
                <w:szCs w:val="24"/>
                <w:highlight w:val="none"/>
                <w:lang w:eastAsia="zh-CN"/>
              </w:rPr>
              <w:t>响应文件</w:t>
            </w:r>
            <w:r>
              <w:rPr>
                <w:rFonts w:hint="eastAsia" w:ascii="宋体" w:hAnsi="宋体" w:eastAsia="宋体" w:cs="宋体"/>
                <w:spacing w:val="6"/>
                <w:szCs w:val="24"/>
                <w:highlight w:val="none"/>
              </w:rPr>
              <w:t>解密异常的处理</w:t>
            </w:r>
          </w:p>
          <w:p w14:paraId="013E1157">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如出现投标供应商的电子</w:t>
            </w:r>
            <w:r>
              <w:rPr>
                <w:rFonts w:hint="eastAsia" w:ascii="宋体" w:hAnsi="宋体" w:eastAsia="宋体" w:cs="宋体"/>
                <w:spacing w:val="6"/>
                <w:szCs w:val="24"/>
                <w:highlight w:val="none"/>
                <w:lang w:eastAsia="zh-CN"/>
              </w:rPr>
              <w:t>响应文件</w:t>
            </w:r>
            <w:r>
              <w:rPr>
                <w:rFonts w:hint="eastAsia" w:ascii="宋体" w:hAnsi="宋体" w:eastAsia="宋体" w:cs="宋体"/>
                <w:spacing w:val="6"/>
                <w:szCs w:val="24"/>
                <w:highlight w:val="none"/>
              </w:rPr>
              <w:t>无法解密等异常情况，投标供应商应及时致电中介服务机构说明。</w:t>
            </w:r>
            <w:r>
              <w:rPr>
                <w:rFonts w:hint="eastAsia" w:ascii="宋体" w:hAnsi="宋体" w:eastAsia="宋体" w:cs="宋体"/>
                <w:spacing w:val="6"/>
                <w:szCs w:val="24"/>
                <w:highlight w:val="none"/>
                <w:lang w:eastAsia="zh-CN"/>
              </w:rPr>
              <w:t>响应文件</w:t>
            </w:r>
            <w:r>
              <w:rPr>
                <w:rFonts w:hint="eastAsia" w:ascii="宋体" w:hAnsi="宋体" w:eastAsia="宋体" w:cs="宋体"/>
                <w:spacing w:val="6"/>
                <w:szCs w:val="24"/>
                <w:highlight w:val="none"/>
              </w:rPr>
              <w:t>异常，按以下步骤进行处理：</w:t>
            </w:r>
          </w:p>
          <w:p w14:paraId="67BBAC7E">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（1）首先由技术人员进行问题排查。</w:t>
            </w:r>
          </w:p>
          <w:p w14:paraId="33F32D68">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（2）经技术人员排查后，是投标供应商文件自身问题导致</w:t>
            </w:r>
            <w:r>
              <w:rPr>
                <w:rFonts w:hint="eastAsia" w:ascii="宋体" w:hAnsi="宋体" w:eastAsia="宋体" w:cs="宋体"/>
                <w:spacing w:val="6"/>
                <w:szCs w:val="24"/>
                <w:highlight w:val="none"/>
                <w:lang w:eastAsia="zh-CN"/>
              </w:rPr>
              <w:t>响应文件</w:t>
            </w:r>
            <w:r>
              <w:rPr>
                <w:rFonts w:hint="eastAsia" w:ascii="宋体" w:hAnsi="宋体" w:eastAsia="宋体" w:cs="宋体"/>
                <w:spacing w:val="6"/>
                <w:szCs w:val="24"/>
                <w:highlight w:val="none"/>
              </w:rPr>
              <w:t>无法解密的，该</w:t>
            </w:r>
            <w:r>
              <w:rPr>
                <w:rFonts w:hint="eastAsia" w:ascii="宋体" w:hAnsi="宋体" w:eastAsia="宋体" w:cs="宋体"/>
                <w:spacing w:val="6"/>
                <w:szCs w:val="24"/>
                <w:highlight w:val="none"/>
                <w:lang w:eastAsia="zh-CN"/>
              </w:rPr>
              <w:t>响应文件</w:t>
            </w:r>
            <w:r>
              <w:rPr>
                <w:rFonts w:hint="eastAsia" w:ascii="宋体" w:hAnsi="宋体" w:eastAsia="宋体" w:cs="宋体"/>
                <w:spacing w:val="6"/>
                <w:szCs w:val="24"/>
                <w:highlight w:val="none"/>
              </w:rPr>
              <w:t>将不予接收、解密和唱标。开标会议继续进行。</w:t>
            </w:r>
          </w:p>
          <w:p w14:paraId="6DB1784D">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（3）经技术人员排查后，如果是电子化交易系统问题造成</w:t>
            </w:r>
            <w:r>
              <w:rPr>
                <w:rFonts w:hint="eastAsia" w:ascii="宋体" w:hAnsi="宋体" w:eastAsia="宋体" w:cs="宋体"/>
                <w:spacing w:val="6"/>
                <w:szCs w:val="24"/>
                <w:highlight w:val="none"/>
                <w:lang w:eastAsia="zh-CN"/>
              </w:rPr>
              <w:t>响应文件</w:t>
            </w:r>
            <w:r>
              <w:rPr>
                <w:rFonts w:hint="eastAsia" w:ascii="宋体" w:hAnsi="宋体" w:eastAsia="宋体" w:cs="宋体"/>
                <w:spacing w:val="6"/>
                <w:szCs w:val="24"/>
                <w:highlight w:val="none"/>
              </w:rPr>
              <w:t>无法解密的，将由技术人员对问题进行处理。如短时间内问题无法解决的，将由中介服务机构向监督部门申请，经监督部门同意后，暂停开标会议，待问题解决后继续开标。</w:t>
            </w:r>
          </w:p>
          <w:p w14:paraId="50B3A256">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4、待所有投标供应商</w:t>
            </w:r>
            <w:r>
              <w:rPr>
                <w:rFonts w:hint="eastAsia" w:ascii="宋体" w:hAnsi="宋体" w:eastAsia="宋体" w:cs="宋体"/>
                <w:spacing w:val="6"/>
                <w:szCs w:val="24"/>
                <w:highlight w:val="none"/>
                <w:lang w:eastAsia="zh-CN"/>
              </w:rPr>
              <w:t>响应文件</w:t>
            </w:r>
            <w:r>
              <w:rPr>
                <w:rFonts w:hint="eastAsia" w:ascii="宋体" w:hAnsi="宋体" w:eastAsia="宋体" w:cs="宋体"/>
                <w:spacing w:val="6"/>
                <w:szCs w:val="24"/>
                <w:highlight w:val="none"/>
              </w:rPr>
              <w:t>解密完成后，由中介服务机构操作，对所有已解密</w:t>
            </w:r>
            <w:r>
              <w:rPr>
                <w:rFonts w:hint="eastAsia" w:ascii="宋体" w:hAnsi="宋体" w:eastAsia="宋体" w:cs="宋体"/>
                <w:spacing w:val="6"/>
                <w:szCs w:val="24"/>
                <w:highlight w:val="none"/>
                <w:lang w:eastAsia="zh-CN"/>
              </w:rPr>
              <w:t>响应文件</w:t>
            </w:r>
            <w:r>
              <w:rPr>
                <w:rFonts w:hint="eastAsia" w:ascii="宋体" w:hAnsi="宋体" w:eastAsia="宋体" w:cs="宋体"/>
                <w:spacing w:val="6"/>
                <w:szCs w:val="24"/>
                <w:highlight w:val="none"/>
              </w:rPr>
              <w:t>进行唱标。</w:t>
            </w:r>
          </w:p>
          <w:p w14:paraId="694DDC8A">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投标供应商应保证在开标期间电话、电脑、网络能够正常工作，投标供应商因停电、电脑病毒、网络堵塞等原因，未在规定的解密时间内对</w:t>
            </w:r>
            <w:r>
              <w:rPr>
                <w:rFonts w:hint="eastAsia" w:ascii="宋体" w:hAnsi="宋体" w:eastAsia="宋体" w:cs="宋体"/>
                <w:spacing w:val="6"/>
                <w:szCs w:val="24"/>
                <w:highlight w:val="none"/>
                <w:lang w:eastAsia="zh-CN"/>
              </w:rPr>
              <w:t>响应文件</w:t>
            </w:r>
            <w:r>
              <w:rPr>
                <w:rFonts w:hint="eastAsia" w:ascii="宋体" w:hAnsi="宋体" w:eastAsia="宋体" w:cs="宋体"/>
                <w:spacing w:val="6"/>
                <w:szCs w:val="24"/>
                <w:highlight w:val="none"/>
              </w:rPr>
              <w:t>进行解密的，其</w:t>
            </w:r>
            <w:r>
              <w:rPr>
                <w:rFonts w:hint="eastAsia" w:ascii="宋体" w:hAnsi="宋体" w:eastAsia="宋体" w:cs="宋体"/>
                <w:spacing w:val="6"/>
                <w:szCs w:val="24"/>
                <w:highlight w:val="none"/>
                <w:lang w:eastAsia="zh-CN"/>
              </w:rPr>
              <w:t>响应文件</w:t>
            </w:r>
            <w:r>
              <w:rPr>
                <w:rFonts w:hint="eastAsia" w:ascii="宋体" w:hAnsi="宋体" w:eastAsia="宋体" w:cs="宋体"/>
                <w:spacing w:val="6"/>
                <w:szCs w:val="24"/>
                <w:highlight w:val="none"/>
              </w:rPr>
              <w:t>不予接收、唱标。</w:t>
            </w:r>
          </w:p>
          <w:p w14:paraId="6A49867D">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5、开标时投标供应商可登录到交易系统中在开标解密栏中点击报价一览表查看自己的投标报价。如对自己的唱标内容有异议的，应在投标供应商解密成功后10分钟内向中介服务机构电话质疑。中介服务机构应在监督人员的监督下进行免提通话接受投标供应商的质疑并做好书面记录。投标供应商未在规定时间内提出质疑的，视为认可唱标内容。</w:t>
            </w:r>
          </w:p>
          <w:p w14:paraId="4E0341D0">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6、评标时，评标委员会对电子化</w:t>
            </w:r>
            <w:r>
              <w:rPr>
                <w:rFonts w:hint="eastAsia" w:ascii="宋体" w:hAnsi="宋体" w:eastAsia="宋体" w:cs="宋体"/>
                <w:spacing w:val="6"/>
                <w:szCs w:val="24"/>
                <w:highlight w:val="none"/>
                <w:lang w:eastAsia="zh-CN"/>
              </w:rPr>
              <w:t>响应文件</w:t>
            </w:r>
            <w:r>
              <w:rPr>
                <w:rFonts w:hint="eastAsia" w:ascii="宋体" w:hAnsi="宋体" w:eastAsia="宋体" w:cs="宋体"/>
                <w:spacing w:val="6"/>
                <w:szCs w:val="24"/>
                <w:highlight w:val="none"/>
              </w:rPr>
              <w:t>有质疑的，将通过电子化交易系统对投标供应商发起质疑，并在监督人员的监督下，用免提模式致电需要答复的投标供应商对质疑进行回复。投标供应商的回复文件必须以经过投标供应商和其法定代表人签章的PDF格式文件为准，并通过电子化交易系统提交至评标委员会。</w:t>
            </w:r>
          </w:p>
          <w:p w14:paraId="7572C322">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7、如评标委员会对需要回复的投标供应商连续三次致电未接通的，视为投标供应商放弃回复，评标委员会将自行对需要回复的内容进行认定。</w:t>
            </w:r>
          </w:p>
          <w:p w14:paraId="5538F1CA">
            <w:pPr>
              <w:keepNext w:val="0"/>
              <w:pageBreakBefore w:val="0"/>
              <w:overflowPunct/>
              <w:topLinePunct w:val="0"/>
              <w:bidi w:val="0"/>
              <w:adjustRightInd w:val="0"/>
              <w:spacing w:line="360" w:lineRule="auto"/>
              <w:ind w:firstLine="0" w:firstLineChars="0"/>
              <w:jc w:val="left"/>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提示：1、本项目为电子化、无纸化交易项目，开标时不再接受任何纸质资料，为保证您能投标成功，需仔细阅读以上条款。</w:t>
            </w:r>
          </w:p>
        </w:tc>
      </w:tr>
    </w:tbl>
    <w:p w14:paraId="5F0F058C">
      <w:pPr>
        <w:keepNext w:val="0"/>
        <w:pageBreakBefore w:val="0"/>
        <w:overflowPunct/>
        <w:autoSpaceDE w:val="0"/>
        <w:autoSpaceDN w:val="0"/>
        <w:bidi w:val="0"/>
        <w:adjustRightInd w:val="0"/>
        <w:spacing w:before="74" w:line="360" w:lineRule="auto"/>
        <w:jc w:val="left"/>
        <w:rPr>
          <w:rFonts w:hint="eastAsia" w:ascii="宋体" w:hAnsi="宋体" w:eastAsia="宋体" w:cs="宋体"/>
          <w:color w:val="000000"/>
          <w:w w:val="97"/>
          <w:kern w:val="0"/>
          <w:sz w:val="28"/>
          <w:szCs w:val="28"/>
          <w:highlight w:val="none"/>
        </w:rPr>
      </w:pPr>
    </w:p>
    <w:p w14:paraId="69ACC73D">
      <w:pPr>
        <w:keepNext w:val="0"/>
        <w:keepLines w:val="0"/>
        <w:pageBreakBefore w:val="0"/>
        <w:widowControl/>
        <w:kinsoku/>
        <w:wordWrap/>
        <w:overflowPunct/>
        <w:topLinePunct w:val="0"/>
        <w:bidi w:val="0"/>
        <w:snapToGrid/>
        <w:spacing w:line="360" w:lineRule="auto"/>
        <w:jc w:val="center"/>
        <w:textAlignment w:val="auto"/>
        <w:outlineLvl w:val="9"/>
        <w:rPr>
          <w:rFonts w:hint="eastAsia" w:ascii="宋体" w:hAnsi="宋体" w:eastAsia="宋体" w:cs="宋体"/>
          <w:color w:val="000000"/>
          <w:w w:val="97"/>
          <w:kern w:val="0"/>
          <w:szCs w:val="21"/>
          <w:highlight w:val="none"/>
        </w:rPr>
      </w:pPr>
      <w:bookmarkStart w:id="6" w:name="_Toc518571703"/>
      <w:r>
        <w:rPr>
          <w:rFonts w:hint="eastAsia" w:ascii="宋体" w:hAnsi="宋体" w:eastAsia="宋体" w:cs="宋体"/>
          <w:color w:val="000000"/>
          <w:w w:val="97"/>
          <w:kern w:val="0"/>
          <w:sz w:val="28"/>
          <w:szCs w:val="28"/>
          <w:highlight w:val="none"/>
        </w:rPr>
        <w:br w:type="page"/>
      </w:r>
      <w:r>
        <w:rPr>
          <w:rFonts w:hint="eastAsia" w:ascii="宋体" w:hAnsi="宋体" w:eastAsia="宋体" w:cs="宋体"/>
          <w:b/>
          <w:bCs/>
          <w:color w:val="000000"/>
          <w:w w:val="97"/>
          <w:kern w:val="0"/>
          <w:szCs w:val="21"/>
          <w:highlight w:val="none"/>
        </w:rPr>
        <w:t>一、说明</w:t>
      </w:r>
      <w:bookmarkEnd w:id="6"/>
    </w:p>
    <w:p w14:paraId="2365F3DB">
      <w:pPr>
        <w:keepNext w:val="0"/>
        <w:keepLines w:val="0"/>
        <w:pageBreakBefore w:val="0"/>
        <w:kinsoku/>
        <w:wordWrap/>
        <w:overflowPunct/>
        <w:topLinePunct w:val="0"/>
        <w:autoSpaceDE w:val="0"/>
        <w:autoSpaceDN w:val="0"/>
        <w:bidi w:val="0"/>
        <w:adjustRightInd w:val="0"/>
        <w:snapToGrid/>
        <w:spacing w:before="32" w:line="360" w:lineRule="auto"/>
        <w:ind w:right="-58" w:firstLine="468" w:firstLineChars="200"/>
        <w:textAlignment w:val="auto"/>
        <w:outlineLvl w:val="9"/>
        <w:rPr>
          <w:rFonts w:hint="eastAsia" w:ascii="宋体" w:hAnsi="宋体" w:eastAsia="宋体" w:cs="宋体"/>
          <w:color w:val="000000"/>
          <w:spacing w:val="-3"/>
          <w:kern w:val="0"/>
          <w:szCs w:val="21"/>
          <w:highlight w:val="none"/>
        </w:rPr>
      </w:pPr>
      <w:r>
        <w:rPr>
          <w:rFonts w:hint="eastAsia" w:ascii="宋体" w:hAnsi="宋体" w:eastAsia="宋体" w:cs="宋体"/>
          <w:color w:val="000000"/>
          <w:spacing w:val="-3"/>
          <w:kern w:val="0"/>
          <w:szCs w:val="21"/>
          <w:highlight w:val="none"/>
        </w:rPr>
        <w:t>1.适用范围</w:t>
      </w:r>
    </w:p>
    <w:p w14:paraId="55614ABF">
      <w:pPr>
        <w:keepNext w:val="0"/>
        <w:keepLines w:val="0"/>
        <w:pageBreakBefore w:val="0"/>
        <w:kinsoku/>
        <w:wordWrap/>
        <w:overflowPunct/>
        <w:topLinePunct w:val="0"/>
        <w:autoSpaceDE w:val="0"/>
        <w:autoSpaceDN w:val="0"/>
        <w:bidi w:val="0"/>
        <w:adjustRightInd w:val="0"/>
        <w:snapToGrid/>
        <w:spacing w:before="32" w:line="360" w:lineRule="auto"/>
        <w:ind w:right="-58" w:firstLine="468" w:firstLineChars="200"/>
        <w:textAlignment w:val="auto"/>
        <w:outlineLvl w:val="9"/>
        <w:rPr>
          <w:rFonts w:hint="eastAsia" w:ascii="宋体" w:hAnsi="宋体" w:eastAsia="宋体" w:cs="宋体"/>
          <w:color w:val="000000"/>
          <w:spacing w:val="-3"/>
          <w:kern w:val="0"/>
          <w:szCs w:val="21"/>
          <w:highlight w:val="none"/>
        </w:rPr>
      </w:pPr>
      <w:r>
        <w:rPr>
          <w:rFonts w:hint="eastAsia" w:ascii="宋体" w:hAnsi="宋体" w:eastAsia="宋体" w:cs="宋体"/>
          <w:color w:val="000000"/>
          <w:spacing w:val="-3"/>
          <w:kern w:val="0"/>
          <w:szCs w:val="21"/>
          <w:highlight w:val="none"/>
        </w:rPr>
        <w:t>本竞争性磋商文件仅适用于竞争性磋商公告中所叙述项目的相关采购。</w:t>
      </w:r>
    </w:p>
    <w:p w14:paraId="66458694">
      <w:pPr>
        <w:keepNext w:val="0"/>
        <w:keepLines w:val="0"/>
        <w:pageBreakBefore w:val="0"/>
        <w:kinsoku/>
        <w:wordWrap/>
        <w:overflowPunct/>
        <w:topLinePunct w:val="0"/>
        <w:autoSpaceDE w:val="0"/>
        <w:autoSpaceDN w:val="0"/>
        <w:bidi w:val="0"/>
        <w:adjustRightInd w:val="0"/>
        <w:snapToGrid/>
        <w:spacing w:before="32" w:line="360" w:lineRule="auto"/>
        <w:ind w:right="-58" w:firstLine="468" w:firstLineChars="200"/>
        <w:textAlignment w:val="auto"/>
        <w:outlineLvl w:val="9"/>
        <w:rPr>
          <w:rFonts w:hint="eastAsia" w:ascii="宋体" w:hAnsi="宋体" w:eastAsia="宋体" w:cs="宋体"/>
          <w:color w:val="000000"/>
          <w:spacing w:val="-3"/>
          <w:kern w:val="0"/>
          <w:szCs w:val="21"/>
          <w:highlight w:val="none"/>
        </w:rPr>
      </w:pPr>
      <w:r>
        <w:rPr>
          <w:rFonts w:hint="eastAsia" w:ascii="宋体" w:hAnsi="宋体" w:eastAsia="宋体" w:cs="宋体"/>
          <w:color w:val="000000"/>
          <w:spacing w:val="-3"/>
          <w:kern w:val="0"/>
          <w:szCs w:val="21"/>
          <w:highlight w:val="none"/>
        </w:rPr>
        <w:t>2.定义</w:t>
      </w:r>
    </w:p>
    <w:p w14:paraId="64E608CB">
      <w:pPr>
        <w:keepNext w:val="0"/>
        <w:keepLines w:val="0"/>
        <w:pageBreakBefore w:val="0"/>
        <w:kinsoku/>
        <w:wordWrap/>
        <w:overflowPunct/>
        <w:topLinePunct w:val="0"/>
        <w:autoSpaceDE w:val="0"/>
        <w:autoSpaceDN w:val="0"/>
        <w:bidi w:val="0"/>
        <w:adjustRightInd w:val="0"/>
        <w:snapToGrid/>
        <w:spacing w:before="32" w:line="360" w:lineRule="auto"/>
        <w:ind w:right="-58" w:firstLine="468" w:firstLineChars="200"/>
        <w:textAlignment w:val="auto"/>
        <w:outlineLvl w:val="9"/>
        <w:rPr>
          <w:rFonts w:hint="eastAsia" w:ascii="宋体" w:hAnsi="宋体" w:eastAsia="宋体" w:cs="宋体"/>
          <w:color w:val="000000"/>
          <w:spacing w:val="-3"/>
          <w:kern w:val="0"/>
          <w:szCs w:val="21"/>
          <w:highlight w:val="none"/>
        </w:rPr>
      </w:pPr>
      <w:r>
        <w:rPr>
          <w:rFonts w:hint="eastAsia" w:ascii="宋体" w:hAnsi="宋体" w:eastAsia="宋体" w:cs="宋体"/>
          <w:color w:val="000000"/>
          <w:spacing w:val="-3"/>
          <w:kern w:val="0"/>
          <w:szCs w:val="21"/>
          <w:highlight w:val="none"/>
        </w:rPr>
        <w:t>2.1</w:t>
      </w:r>
      <w:r>
        <w:rPr>
          <w:rFonts w:hint="eastAsia" w:ascii="宋体" w:hAnsi="宋体" w:eastAsia="宋体" w:cs="宋体"/>
          <w:color w:val="000000"/>
          <w:spacing w:val="-3"/>
          <w:kern w:val="0"/>
          <w:szCs w:val="21"/>
          <w:highlight w:val="none"/>
          <w:lang w:val="en-US" w:eastAsia="zh-CN"/>
        </w:rPr>
        <w:t xml:space="preserve"> </w:t>
      </w:r>
      <w:r>
        <w:rPr>
          <w:rFonts w:hint="eastAsia" w:ascii="宋体" w:hAnsi="宋体" w:eastAsia="宋体" w:cs="宋体"/>
          <w:color w:val="000000"/>
          <w:spacing w:val="-3"/>
          <w:kern w:val="0"/>
          <w:szCs w:val="21"/>
          <w:highlight w:val="none"/>
        </w:rPr>
        <w:t>“采购人”系指本次采购项目的采购单位。</w:t>
      </w:r>
    </w:p>
    <w:p w14:paraId="34D0069F">
      <w:pPr>
        <w:keepNext w:val="0"/>
        <w:keepLines w:val="0"/>
        <w:pageBreakBefore w:val="0"/>
        <w:kinsoku/>
        <w:wordWrap/>
        <w:overflowPunct/>
        <w:topLinePunct w:val="0"/>
        <w:autoSpaceDE w:val="0"/>
        <w:autoSpaceDN w:val="0"/>
        <w:bidi w:val="0"/>
        <w:adjustRightInd w:val="0"/>
        <w:snapToGrid/>
        <w:spacing w:before="32" w:line="360" w:lineRule="auto"/>
        <w:ind w:right="-58" w:firstLine="468" w:firstLineChars="200"/>
        <w:textAlignment w:val="auto"/>
        <w:outlineLvl w:val="9"/>
        <w:rPr>
          <w:rFonts w:hint="eastAsia" w:ascii="宋体" w:hAnsi="宋体" w:eastAsia="宋体" w:cs="宋体"/>
          <w:color w:val="000000"/>
          <w:spacing w:val="-3"/>
          <w:kern w:val="0"/>
          <w:szCs w:val="21"/>
          <w:highlight w:val="none"/>
        </w:rPr>
      </w:pPr>
      <w:r>
        <w:rPr>
          <w:rFonts w:hint="eastAsia" w:ascii="宋体" w:hAnsi="宋体" w:eastAsia="宋体" w:cs="宋体"/>
          <w:color w:val="000000"/>
          <w:spacing w:val="-3"/>
          <w:kern w:val="0"/>
          <w:szCs w:val="21"/>
          <w:highlight w:val="none"/>
        </w:rPr>
        <w:t>2.2</w:t>
      </w:r>
      <w:r>
        <w:rPr>
          <w:rFonts w:hint="eastAsia" w:ascii="宋体" w:hAnsi="宋体" w:eastAsia="宋体" w:cs="宋体"/>
          <w:color w:val="000000"/>
          <w:spacing w:val="-3"/>
          <w:kern w:val="0"/>
          <w:szCs w:val="21"/>
          <w:highlight w:val="none"/>
          <w:lang w:val="en-US" w:eastAsia="zh-CN"/>
        </w:rPr>
        <w:t xml:space="preserve"> </w:t>
      </w:r>
      <w:r>
        <w:rPr>
          <w:rFonts w:hint="eastAsia" w:ascii="宋体" w:hAnsi="宋体" w:eastAsia="宋体" w:cs="宋体"/>
          <w:color w:val="000000"/>
          <w:spacing w:val="-3"/>
          <w:kern w:val="0"/>
          <w:szCs w:val="21"/>
          <w:highlight w:val="none"/>
        </w:rPr>
        <w:t>“采购代理机构”系指本次采购项目活动组织方。</w:t>
      </w:r>
    </w:p>
    <w:p w14:paraId="4E49825B">
      <w:pPr>
        <w:keepNext w:val="0"/>
        <w:keepLines w:val="0"/>
        <w:pageBreakBefore w:val="0"/>
        <w:kinsoku/>
        <w:wordWrap/>
        <w:overflowPunct/>
        <w:topLinePunct w:val="0"/>
        <w:autoSpaceDE w:val="0"/>
        <w:autoSpaceDN w:val="0"/>
        <w:bidi w:val="0"/>
        <w:adjustRightInd w:val="0"/>
        <w:snapToGrid/>
        <w:spacing w:before="32" w:line="360" w:lineRule="auto"/>
        <w:ind w:right="-58" w:firstLine="468" w:firstLineChars="200"/>
        <w:textAlignment w:val="auto"/>
        <w:outlineLvl w:val="9"/>
        <w:rPr>
          <w:rFonts w:hint="eastAsia" w:ascii="宋体" w:hAnsi="宋体" w:eastAsia="宋体" w:cs="宋体"/>
          <w:color w:val="000000"/>
          <w:spacing w:val="-3"/>
          <w:kern w:val="0"/>
          <w:szCs w:val="21"/>
          <w:highlight w:val="none"/>
        </w:rPr>
      </w:pPr>
      <w:r>
        <w:rPr>
          <w:rFonts w:hint="eastAsia" w:ascii="宋体" w:hAnsi="宋体" w:eastAsia="宋体" w:cs="宋体"/>
          <w:color w:val="000000"/>
          <w:spacing w:val="-3"/>
          <w:kern w:val="0"/>
          <w:szCs w:val="21"/>
          <w:highlight w:val="none"/>
        </w:rPr>
        <w:t>2.3</w:t>
      </w:r>
      <w:r>
        <w:rPr>
          <w:rFonts w:hint="eastAsia" w:ascii="宋体" w:hAnsi="宋体" w:eastAsia="宋体" w:cs="宋体"/>
          <w:color w:val="000000"/>
          <w:spacing w:val="-3"/>
          <w:kern w:val="0"/>
          <w:szCs w:val="21"/>
          <w:highlight w:val="none"/>
          <w:lang w:val="en-US" w:eastAsia="zh-CN"/>
        </w:rPr>
        <w:t xml:space="preserve"> </w:t>
      </w:r>
      <w:r>
        <w:rPr>
          <w:rFonts w:hint="eastAsia" w:ascii="宋体" w:hAnsi="宋体" w:eastAsia="宋体" w:cs="宋体"/>
          <w:color w:val="000000"/>
          <w:spacing w:val="-3"/>
          <w:kern w:val="0"/>
          <w:szCs w:val="21"/>
          <w:highlight w:val="none"/>
        </w:rPr>
        <w:t>“供应商”系指购买了本次竞争性磋商文件，且已经提交本次响应性文件。</w:t>
      </w:r>
    </w:p>
    <w:p w14:paraId="0BB72E3B">
      <w:pPr>
        <w:keepNext w:val="0"/>
        <w:keepLines w:val="0"/>
        <w:pageBreakBefore w:val="0"/>
        <w:kinsoku/>
        <w:wordWrap/>
        <w:overflowPunct/>
        <w:topLinePunct w:val="0"/>
        <w:autoSpaceDE w:val="0"/>
        <w:autoSpaceDN w:val="0"/>
        <w:bidi w:val="0"/>
        <w:adjustRightInd w:val="0"/>
        <w:snapToGrid/>
        <w:spacing w:before="32" w:line="360" w:lineRule="auto"/>
        <w:ind w:right="-58" w:firstLine="468" w:firstLineChars="200"/>
        <w:textAlignment w:val="auto"/>
        <w:outlineLvl w:val="9"/>
        <w:rPr>
          <w:rFonts w:hint="eastAsia" w:ascii="宋体" w:hAnsi="宋体" w:eastAsia="宋体" w:cs="宋体"/>
          <w:color w:val="000000"/>
          <w:spacing w:val="-3"/>
          <w:kern w:val="0"/>
          <w:szCs w:val="21"/>
          <w:highlight w:val="none"/>
        </w:rPr>
      </w:pPr>
      <w:r>
        <w:rPr>
          <w:rFonts w:hint="eastAsia" w:ascii="宋体" w:hAnsi="宋体" w:eastAsia="宋体" w:cs="宋体"/>
          <w:color w:val="000000"/>
          <w:spacing w:val="-3"/>
          <w:kern w:val="0"/>
          <w:szCs w:val="21"/>
          <w:highlight w:val="none"/>
        </w:rPr>
        <w:t>2.4</w:t>
      </w:r>
      <w:r>
        <w:rPr>
          <w:rFonts w:hint="eastAsia" w:ascii="宋体" w:hAnsi="宋体" w:eastAsia="宋体" w:cs="宋体"/>
          <w:color w:val="000000"/>
          <w:spacing w:val="-3"/>
          <w:kern w:val="0"/>
          <w:szCs w:val="21"/>
          <w:highlight w:val="none"/>
          <w:lang w:val="en-US" w:eastAsia="zh-CN"/>
        </w:rPr>
        <w:t xml:space="preserve"> </w:t>
      </w:r>
      <w:r>
        <w:rPr>
          <w:rFonts w:hint="eastAsia" w:ascii="宋体" w:hAnsi="宋体" w:eastAsia="宋体" w:cs="宋体"/>
          <w:color w:val="000000"/>
          <w:spacing w:val="-3"/>
          <w:kern w:val="0"/>
          <w:szCs w:val="21"/>
          <w:highlight w:val="none"/>
        </w:rPr>
        <w:t>“供应商代表”系指代表供应商参加本次磋商活动的磋商供应商的法定代表人或其委托代理人。</w:t>
      </w:r>
    </w:p>
    <w:p w14:paraId="107BB705">
      <w:pPr>
        <w:keepNext w:val="0"/>
        <w:keepLines w:val="0"/>
        <w:pageBreakBefore w:val="0"/>
        <w:kinsoku/>
        <w:wordWrap/>
        <w:overflowPunct/>
        <w:topLinePunct w:val="0"/>
        <w:autoSpaceDE w:val="0"/>
        <w:autoSpaceDN w:val="0"/>
        <w:bidi w:val="0"/>
        <w:adjustRightInd w:val="0"/>
        <w:snapToGrid/>
        <w:spacing w:before="32" w:line="360" w:lineRule="auto"/>
        <w:ind w:right="-58" w:firstLine="468" w:firstLineChars="200"/>
        <w:textAlignment w:val="auto"/>
        <w:outlineLvl w:val="9"/>
        <w:rPr>
          <w:rFonts w:hint="eastAsia" w:ascii="宋体" w:hAnsi="宋体" w:eastAsia="宋体" w:cs="宋体"/>
          <w:color w:val="000000"/>
          <w:spacing w:val="-3"/>
          <w:kern w:val="0"/>
          <w:szCs w:val="21"/>
          <w:highlight w:val="none"/>
        </w:rPr>
      </w:pPr>
      <w:r>
        <w:rPr>
          <w:rFonts w:hint="eastAsia" w:ascii="宋体" w:hAnsi="宋体" w:eastAsia="宋体" w:cs="宋体"/>
          <w:color w:val="000000"/>
          <w:spacing w:val="-3"/>
          <w:kern w:val="0"/>
          <w:szCs w:val="21"/>
          <w:highlight w:val="none"/>
        </w:rPr>
        <w:t>2.5</w:t>
      </w:r>
      <w:r>
        <w:rPr>
          <w:rFonts w:hint="eastAsia" w:ascii="宋体" w:hAnsi="宋体" w:eastAsia="宋体" w:cs="宋体"/>
          <w:color w:val="000000"/>
          <w:spacing w:val="-3"/>
          <w:kern w:val="0"/>
          <w:szCs w:val="21"/>
          <w:highlight w:val="none"/>
          <w:lang w:val="en-US" w:eastAsia="zh-CN"/>
        </w:rPr>
        <w:t xml:space="preserve"> </w:t>
      </w:r>
      <w:r>
        <w:rPr>
          <w:rFonts w:hint="eastAsia" w:ascii="宋体" w:hAnsi="宋体" w:eastAsia="宋体" w:cs="宋体"/>
          <w:highlight w:val="none"/>
        </w:rPr>
        <w:t>“法定代表人”指法人单位（企业）法人营业执照（或事业法人登记证书上）上注明的法定代表人；如为个体经营者参加投标的，指个体工商户营业执照上注明的经营者。</w:t>
      </w:r>
    </w:p>
    <w:p w14:paraId="722D97AF">
      <w:pPr>
        <w:keepNext w:val="0"/>
        <w:keepLines w:val="0"/>
        <w:pageBreakBefore w:val="0"/>
        <w:kinsoku/>
        <w:wordWrap/>
        <w:overflowPunct/>
        <w:topLinePunct w:val="0"/>
        <w:autoSpaceDE w:val="0"/>
        <w:autoSpaceDN w:val="0"/>
        <w:bidi w:val="0"/>
        <w:adjustRightInd w:val="0"/>
        <w:snapToGrid/>
        <w:spacing w:before="32" w:line="360" w:lineRule="auto"/>
        <w:ind w:right="-58" w:firstLine="468" w:firstLineChars="200"/>
        <w:textAlignment w:val="auto"/>
        <w:outlineLvl w:val="9"/>
        <w:rPr>
          <w:rFonts w:hint="eastAsia" w:ascii="宋体" w:hAnsi="宋体" w:eastAsia="宋体" w:cs="宋体"/>
          <w:color w:val="000000"/>
          <w:spacing w:val="-3"/>
          <w:kern w:val="0"/>
          <w:szCs w:val="21"/>
          <w:highlight w:val="none"/>
        </w:rPr>
      </w:pPr>
      <w:r>
        <w:rPr>
          <w:rFonts w:hint="eastAsia" w:ascii="宋体" w:hAnsi="宋体" w:eastAsia="宋体" w:cs="宋体"/>
          <w:color w:val="000000"/>
          <w:spacing w:val="-3"/>
          <w:kern w:val="0"/>
          <w:szCs w:val="21"/>
          <w:highlight w:val="none"/>
        </w:rPr>
        <w:t>2.6</w:t>
      </w:r>
      <w:r>
        <w:rPr>
          <w:rFonts w:hint="eastAsia" w:ascii="宋体" w:hAnsi="宋体" w:eastAsia="宋体" w:cs="宋体"/>
          <w:color w:val="000000"/>
          <w:spacing w:val="-3"/>
          <w:kern w:val="0"/>
          <w:szCs w:val="21"/>
          <w:highlight w:val="none"/>
          <w:lang w:val="en-US" w:eastAsia="zh-CN"/>
        </w:rPr>
        <w:t xml:space="preserve"> </w:t>
      </w:r>
      <w:r>
        <w:rPr>
          <w:rFonts w:hint="eastAsia" w:ascii="宋体" w:hAnsi="宋体" w:eastAsia="宋体" w:cs="宋体"/>
          <w:color w:val="000000"/>
          <w:spacing w:val="-3"/>
          <w:kern w:val="0"/>
          <w:szCs w:val="21"/>
          <w:highlight w:val="none"/>
        </w:rPr>
        <w:t>“货物”系指供应商按竞争性磋商文件规定的采购人所要求的一切项目内容。</w:t>
      </w:r>
    </w:p>
    <w:p w14:paraId="0BBE6466">
      <w:pPr>
        <w:keepNext w:val="0"/>
        <w:keepLines w:val="0"/>
        <w:pageBreakBefore w:val="0"/>
        <w:kinsoku/>
        <w:wordWrap/>
        <w:overflowPunct/>
        <w:topLinePunct w:val="0"/>
        <w:autoSpaceDE w:val="0"/>
        <w:autoSpaceDN w:val="0"/>
        <w:bidi w:val="0"/>
        <w:adjustRightInd w:val="0"/>
        <w:snapToGrid/>
        <w:spacing w:before="32" w:line="360" w:lineRule="auto"/>
        <w:ind w:right="-58" w:firstLine="468" w:firstLineChars="200"/>
        <w:textAlignment w:val="auto"/>
        <w:outlineLvl w:val="9"/>
        <w:rPr>
          <w:rFonts w:hint="eastAsia" w:ascii="宋体" w:hAnsi="宋体" w:eastAsia="宋体" w:cs="宋体"/>
          <w:color w:val="000000"/>
          <w:spacing w:val="-3"/>
          <w:kern w:val="0"/>
          <w:szCs w:val="21"/>
          <w:highlight w:val="none"/>
        </w:rPr>
      </w:pPr>
      <w:r>
        <w:rPr>
          <w:rFonts w:hint="eastAsia" w:ascii="宋体" w:hAnsi="宋体" w:eastAsia="宋体" w:cs="宋体"/>
          <w:color w:val="000000"/>
          <w:spacing w:val="-3"/>
          <w:kern w:val="0"/>
          <w:szCs w:val="21"/>
          <w:highlight w:val="none"/>
        </w:rPr>
        <w:t>2.7</w:t>
      </w:r>
      <w:r>
        <w:rPr>
          <w:rFonts w:hint="eastAsia" w:ascii="宋体" w:hAnsi="宋体" w:eastAsia="宋体" w:cs="宋体"/>
          <w:color w:val="000000"/>
          <w:spacing w:val="-3"/>
          <w:kern w:val="0"/>
          <w:szCs w:val="21"/>
          <w:highlight w:val="none"/>
          <w:lang w:val="en-US" w:eastAsia="zh-CN"/>
        </w:rPr>
        <w:t xml:space="preserve"> </w:t>
      </w:r>
      <w:r>
        <w:rPr>
          <w:rFonts w:hint="eastAsia" w:ascii="宋体" w:hAnsi="宋体" w:eastAsia="宋体" w:cs="宋体"/>
          <w:color w:val="000000"/>
          <w:spacing w:val="-3"/>
          <w:kern w:val="0"/>
          <w:szCs w:val="21"/>
          <w:highlight w:val="none"/>
        </w:rPr>
        <w:t>“相关服务”系指竞争性磋商文件规定磋商供应商须承担的与本次采购项目相关的服务、协调工作以及其他类似的义务。</w:t>
      </w:r>
    </w:p>
    <w:p w14:paraId="49B7EA59">
      <w:pPr>
        <w:keepNext w:val="0"/>
        <w:keepLines w:val="0"/>
        <w:pageBreakBefore w:val="0"/>
        <w:kinsoku/>
        <w:wordWrap/>
        <w:overflowPunct/>
        <w:topLinePunct w:val="0"/>
        <w:autoSpaceDE w:val="0"/>
        <w:autoSpaceDN w:val="0"/>
        <w:bidi w:val="0"/>
        <w:adjustRightInd w:val="0"/>
        <w:snapToGrid/>
        <w:spacing w:before="32" w:line="360" w:lineRule="auto"/>
        <w:ind w:right="-58" w:firstLine="468" w:firstLineChars="200"/>
        <w:textAlignment w:val="auto"/>
        <w:outlineLvl w:val="9"/>
        <w:rPr>
          <w:rFonts w:hint="eastAsia" w:ascii="宋体" w:hAnsi="宋体" w:eastAsia="宋体" w:cs="宋体"/>
          <w:color w:val="000000"/>
          <w:spacing w:val="-3"/>
          <w:kern w:val="0"/>
          <w:szCs w:val="21"/>
          <w:highlight w:val="none"/>
        </w:rPr>
      </w:pPr>
      <w:r>
        <w:rPr>
          <w:rFonts w:hint="eastAsia" w:ascii="宋体" w:hAnsi="宋体" w:eastAsia="宋体" w:cs="宋体"/>
          <w:color w:val="000000"/>
          <w:spacing w:val="-3"/>
          <w:kern w:val="0"/>
          <w:szCs w:val="21"/>
          <w:highlight w:val="none"/>
        </w:rPr>
        <w:t>2.8</w:t>
      </w:r>
      <w:r>
        <w:rPr>
          <w:rFonts w:hint="eastAsia" w:ascii="宋体" w:hAnsi="宋体" w:eastAsia="宋体" w:cs="宋体"/>
          <w:color w:val="000000"/>
          <w:spacing w:val="-3"/>
          <w:kern w:val="0"/>
          <w:szCs w:val="21"/>
          <w:highlight w:val="none"/>
          <w:lang w:val="en-US" w:eastAsia="zh-CN"/>
        </w:rPr>
        <w:t xml:space="preserve"> </w:t>
      </w:r>
      <w:r>
        <w:rPr>
          <w:rFonts w:hint="eastAsia" w:ascii="宋体" w:hAnsi="宋体" w:eastAsia="宋体" w:cs="宋体"/>
          <w:color w:val="000000"/>
          <w:spacing w:val="-3"/>
          <w:kern w:val="0"/>
          <w:szCs w:val="21"/>
          <w:highlight w:val="none"/>
        </w:rPr>
        <w:t>“竞争性磋商文件有效期”系指本次采购项目递交响应性文件截止之日起至合同签订之日止的期限。成交供应商的竞争性磋商文件有效期至合同完全履行止。</w:t>
      </w:r>
    </w:p>
    <w:p w14:paraId="4554F37E">
      <w:pPr>
        <w:keepNext w:val="0"/>
        <w:keepLines w:val="0"/>
        <w:pageBreakBefore w:val="0"/>
        <w:kinsoku/>
        <w:wordWrap/>
        <w:overflowPunct/>
        <w:topLinePunct w:val="0"/>
        <w:autoSpaceDE w:val="0"/>
        <w:autoSpaceDN w:val="0"/>
        <w:bidi w:val="0"/>
        <w:adjustRightInd w:val="0"/>
        <w:snapToGrid/>
        <w:spacing w:before="32" w:line="360" w:lineRule="auto"/>
        <w:ind w:right="-58" w:firstLine="468" w:firstLineChars="200"/>
        <w:textAlignment w:val="auto"/>
        <w:outlineLvl w:val="9"/>
        <w:rPr>
          <w:rFonts w:hint="eastAsia" w:ascii="宋体" w:hAnsi="宋体" w:eastAsia="宋体" w:cs="宋体"/>
          <w:spacing w:val="-3"/>
          <w:kern w:val="0"/>
          <w:szCs w:val="21"/>
          <w:highlight w:val="none"/>
        </w:rPr>
      </w:pPr>
      <w:r>
        <w:rPr>
          <w:rFonts w:hint="eastAsia" w:ascii="宋体" w:hAnsi="宋体" w:eastAsia="宋体" w:cs="宋体"/>
          <w:spacing w:val="-3"/>
          <w:kern w:val="0"/>
          <w:szCs w:val="21"/>
          <w:highlight w:val="none"/>
        </w:rPr>
        <w:t>3.磋商预算价</w:t>
      </w:r>
    </w:p>
    <w:p w14:paraId="6F7A839F">
      <w:pPr>
        <w:keepNext w:val="0"/>
        <w:keepLines w:val="0"/>
        <w:pageBreakBefore w:val="0"/>
        <w:kinsoku/>
        <w:wordWrap/>
        <w:overflowPunct/>
        <w:topLinePunct w:val="0"/>
        <w:autoSpaceDE w:val="0"/>
        <w:autoSpaceDN w:val="0"/>
        <w:bidi w:val="0"/>
        <w:adjustRightInd w:val="0"/>
        <w:snapToGrid/>
        <w:spacing w:before="32" w:line="360" w:lineRule="auto"/>
        <w:ind w:right="-58" w:firstLine="468" w:firstLineChars="200"/>
        <w:textAlignment w:val="auto"/>
        <w:outlineLvl w:val="9"/>
        <w:rPr>
          <w:rFonts w:hint="eastAsia" w:ascii="宋体" w:hAnsi="宋体" w:eastAsia="宋体" w:cs="宋体"/>
          <w:color w:val="000000"/>
          <w:spacing w:val="-3"/>
          <w:kern w:val="0"/>
          <w:szCs w:val="21"/>
          <w:highlight w:val="none"/>
        </w:rPr>
      </w:pPr>
      <w:r>
        <w:rPr>
          <w:rFonts w:hint="eastAsia" w:ascii="宋体" w:hAnsi="宋体" w:eastAsia="宋体" w:cs="宋体"/>
          <w:color w:val="000000"/>
          <w:spacing w:val="-3"/>
          <w:kern w:val="0"/>
          <w:szCs w:val="21"/>
          <w:highlight w:val="none"/>
        </w:rPr>
        <w:t>本项目预算价为：</w:t>
      </w:r>
      <w:r>
        <w:rPr>
          <w:rFonts w:hint="eastAsia" w:ascii="宋体" w:hAnsi="宋体" w:cs="宋体"/>
          <w:color w:val="000000"/>
          <w:spacing w:val="-3"/>
          <w:kern w:val="0"/>
          <w:szCs w:val="21"/>
          <w:highlight w:val="none"/>
          <w:lang w:eastAsia="zh-CN"/>
        </w:rPr>
        <w:t>973900.00</w:t>
      </w:r>
      <w:r>
        <w:rPr>
          <w:rFonts w:hint="eastAsia" w:ascii="宋体" w:hAnsi="宋体" w:eastAsia="宋体" w:cs="宋体"/>
          <w:color w:val="000000"/>
          <w:spacing w:val="-3"/>
          <w:kern w:val="0"/>
          <w:szCs w:val="21"/>
          <w:highlight w:val="none"/>
        </w:rPr>
        <w:t>元</w:t>
      </w:r>
    </w:p>
    <w:p w14:paraId="0FF527C6">
      <w:pPr>
        <w:keepNext w:val="0"/>
        <w:keepLines w:val="0"/>
        <w:pageBreakBefore w:val="0"/>
        <w:kinsoku/>
        <w:wordWrap/>
        <w:overflowPunct/>
        <w:topLinePunct w:val="0"/>
        <w:autoSpaceDE w:val="0"/>
        <w:autoSpaceDN w:val="0"/>
        <w:bidi w:val="0"/>
        <w:adjustRightInd w:val="0"/>
        <w:snapToGrid/>
        <w:spacing w:before="32" w:line="360" w:lineRule="auto"/>
        <w:ind w:right="-58" w:firstLine="468" w:firstLineChars="200"/>
        <w:textAlignment w:val="auto"/>
        <w:outlineLvl w:val="9"/>
        <w:rPr>
          <w:rFonts w:hint="eastAsia" w:ascii="宋体" w:hAnsi="宋体" w:eastAsia="宋体" w:cs="宋体"/>
          <w:color w:val="000000"/>
          <w:spacing w:val="-3"/>
          <w:kern w:val="0"/>
          <w:szCs w:val="21"/>
          <w:highlight w:val="none"/>
        </w:rPr>
      </w:pPr>
      <w:r>
        <w:rPr>
          <w:rFonts w:hint="eastAsia" w:ascii="宋体" w:hAnsi="宋体" w:eastAsia="宋体" w:cs="宋体"/>
          <w:color w:val="000000"/>
          <w:spacing w:val="-3"/>
          <w:kern w:val="0"/>
          <w:szCs w:val="21"/>
          <w:highlight w:val="none"/>
        </w:rPr>
        <w:t>4.供应商应提交的资格证明文件</w:t>
      </w:r>
    </w:p>
    <w:p w14:paraId="054460EC">
      <w:pPr>
        <w:keepNext w:val="0"/>
        <w:keepLines w:val="0"/>
        <w:pageBreakBefore w:val="0"/>
        <w:kinsoku/>
        <w:wordWrap/>
        <w:overflowPunct/>
        <w:topLinePunct w:val="0"/>
        <w:autoSpaceDE w:val="0"/>
        <w:autoSpaceDN w:val="0"/>
        <w:bidi w:val="0"/>
        <w:adjustRightInd w:val="0"/>
        <w:snapToGrid/>
        <w:spacing w:before="32" w:line="360" w:lineRule="auto"/>
        <w:ind w:right="-58" w:firstLine="468" w:firstLineChars="200"/>
        <w:textAlignment w:val="auto"/>
        <w:outlineLvl w:val="9"/>
        <w:rPr>
          <w:rFonts w:hint="eastAsia" w:ascii="宋体" w:hAnsi="宋体" w:eastAsia="宋体" w:cs="宋体"/>
          <w:color w:val="000000"/>
          <w:spacing w:val="-3"/>
          <w:kern w:val="0"/>
          <w:szCs w:val="21"/>
          <w:highlight w:val="none"/>
        </w:rPr>
      </w:pPr>
      <w:r>
        <w:rPr>
          <w:rFonts w:hint="eastAsia" w:ascii="宋体" w:hAnsi="宋体" w:eastAsia="宋体" w:cs="宋体"/>
          <w:color w:val="000000"/>
          <w:spacing w:val="-3"/>
          <w:kern w:val="0"/>
          <w:szCs w:val="21"/>
          <w:highlight w:val="none"/>
        </w:rPr>
        <w:t>详见供应商须知</w:t>
      </w:r>
    </w:p>
    <w:p w14:paraId="1D91CA3E">
      <w:pPr>
        <w:keepNext w:val="0"/>
        <w:keepLines w:val="0"/>
        <w:pageBreakBefore w:val="0"/>
        <w:kinsoku/>
        <w:wordWrap/>
        <w:overflowPunct/>
        <w:topLinePunct w:val="0"/>
        <w:autoSpaceDE w:val="0"/>
        <w:autoSpaceDN w:val="0"/>
        <w:bidi w:val="0"/>
        <w:adjustRightInd w:val="0"/>
        <w:snapToGrid/>
        <w:spacing w:before="32" w:line="360" w:lineRule="auto"/>
        <w:ind w:right="-58" w:firstLine="468" w:firstLineChars="200"/>
        <w:textAlignment w:val="auto"/>
        <w:outlineLvl w:val="9"/>
        <w:rPr>
          <w:rFonts w:hint="eastAsia" w:ascii="宋体" w:hAnsi="宋体" w:eastAsia="宋体" w:cs="宋体"/>
          <w:color w:val="000000"/>
          <w:spacing w:val="-3"/>
          <w:kern w:val="0"/>
          <w:szCs w:val="21"/>
          <w:highlight w:val="none"/>
        </w:rPr>
      </w:pPr>
      <w:r>
        <w:rPr>
          <w:rFonts w:hint="eastAsia" w:ascii="宋体" w:hAnsi="宋体" w:eastAsia="宋体" w:cs="宋体"/>
          <w:color w:val="000000"/>
          <w:spacing w:val="-3"/>
          <w:kern w:val="0"/>
          <w:szCs w:val="21"/>
          <w:highlight w:val="none"/>
        </w:rPr>
        <w:t>5.联合体参加磋商</w:t>
      </w:r>
    </w:p>
    <w:p w14:paraId="016C4694">
      <w:pPr>
        <w:keepNext w:val="0"/>
        <w:keepLines w:val="0"/>
        <w:pageBreakBefore w:val="0"/>
        <w:kinsoku/>
        <w:wordWrap/>
        <w:overflowPunct/>
        <w:topLinePunct w:val="0"/>
        <w:autoSpaceDE w:val="0"/>
        <w:autoSpaceDN w:val="0"/>
        <w:bidi w:val="0"/>
        <w:adjustRightInd w:val="0"/>
        <w:snapToGrid/>
        <w:spacing w:before="32" w:line="360" w:lineRule="auto"/>
        <w:ind w:right="-58" w:firstLine="468" w:firstLineChars="200"/>
        <w:textAlignment w:val="auto"/>
        <w:outlineLvl w:val="9"/>
        <w:rPr>
          <w:rFonts w:hint="eastAsia" w:ascii="宋体" w:hAnsi="宋体" w:eastAsia="宋体" w:cs="宋体"/>
          <w:color w:val="000000"/>
          <w:spacing w:val="-3"/>
          <w:kern w:val="0"/>
          <w:szCs w:val="21"/>
          <w:highlight w:val="none"/>
        </w:rPr>
      </w:pPr>
      <w:r>
        <w:rPr>
          <w:rFonts w:hint="eastAsia" w:ascii="宋体" w:hAnsi="宋体" w:eastAsia="宋体" w:cs="宋体"/>
          <w:color w:val="000000"/>
          <w:spacing w:val="-3"/>
          <w:kern w:val="0"/>
          <w:szCs w:val="21"/>
          <w:highlight w:val="none"/>
        </w:rPr>
        <w:t>5.1</w:t>
      </w:r>
      <w:r>
        <w:rPr>
          <w:rFonts w:hint="eastAsia" w:ascii="宋体" w:hAnsi="宋体" w:eastAsia="宋体" w:cs="宋体"/>
          <w:color w:val="000000"/>
          <w:spacing w:val="-3"/>
          <w:kern w:val="0"/>
          <w:szCs w:val="21"/>
          <w:highlight w:val="none"/>
          <w:lang w:val="en-US" w:eastAsia="zh-CN"/>
        </w:rPr>
        <w:t xml:space="preserve"> </w:t>
      </w:r>
      <w:r>
        <w:rPr>
          <w:rFonts w:hint="eastAsia" w:ascii="宋体" w:hAnsi="宋体" w:eastAsia="宋体" w:cs="宋体"/>
          <w:color w:val="000000"/>
          <w:spacing w:val="-3"/>
          <w:kern w:val="0"/>
          <w:szCs w:val="21"/>
          <w:highlight w:val="none"/>
        </w:rPr>
        <w:t>本项目不接受联合体参加磋商。</w:t>
      </w:r>
    </w:p>
    <w:p w14:paraId="27C25535">
      <w:pPr>
        <w:keepNext w:val="0"/>
        <w:keepLines w:val="0"/>
        <w:pageBreakBefore w:val="0"/>
        <w:kinsoku/>
        <w:wordWrap/>
        <w:overflowPunct/>
        <w:topLinePunct w:val="0"/>
        <w:autoSpaceDE w:val="0"/>
        <w:autoSpaceDN w:val="0"/>
        <w:bidi w:val="0"/>
        <w:adjustRightInd w:val="0"/>
        <w:snapToGrid/>
        <w:spacing w:before="32" w:line="360" w:lineRule="auto"/>
        <w:ind w:right="-58" w:firstLine="468" w:firstLineChars="200"/>
        <w:textAlignment w:val="auto"/>
        <w:outlineLvl w:val="9"/>
        <w:rPr>
          <w:rFonts w:hint="eastAsia" w:ascii="宋体" w:hAnsi="宋体" w:eastAsia="宋体" w:cs="宋体"/>
          <w:color w:val="000000"/>
          <w:spacing w:val="-3"/>
          <w:kern w:val="0"/>
          <w:szCs w:val="21"/>
          <w:highlight w:val="none"/>
        </w:rPr>
      </w:pPr>
      <w:r>
        <w:rPr>
          <w:rFonts w:hint="eastAsia" w:ascii="宋体" w:hAnsi="宋体" w:eastAsia="宋体" w:cs="宋体"/>
          <w:color w:val="000000"/>
          <w:spacing w:val="-3"/>
          <w:kern w:val="0"/>
          <w:szCs w:val="21"/>
          <w:highlight w:val="none"/>
        </w:rPr>
        <w:t>6.转包与分包</w:t>
      </w:r>
    </w:p>
    <w:p w14:paraId="7251102D">
      <w:pPr>
        <w:keepNext w:val="0"/>
        <w:keepLines w:val="0"/>
        <w:pageBreakBefore w:val="0"/>
        <w:kinsoku/>
        <w:wordWrap/>
        <w:overflowPunct/>
        <w:topLinePunct w:val="0"/>
        <w:autoSpaceDE w:val="0"/>
        <w:autoSpaceDN w:val="0"/>
        <w:bidi w:val="0"/>
        <w:adjustRightInd w:val="0"/>
        <w:snapToGrid/>
        <w:spacing w:before="32" w:line="360" w:lineRule="auto"/>
        <w:ind w:right="-58" w:firstLine="468" w:firstLineChars="200"/>
        <w:textAlignment w:val="auto"/>
        <w:outlineLvl w:val="9"/>
        <w:rPr>
          <w:rFonts w:hint="eastAsia" w:ascii="宋体" w:hAnsi="宋体" w:eastAsia="宋体" w:cs="宋体"/>
          <w:color w:val="000000"/>
          <w:spacing w:val="-3"/>
          <w:kern w:val="0"/>
          <w:szCs w:val="21"/>
          <w:highlight w:val="none"/>
        </w:rPr>
      </w:pPr>
      <w:r>
        <w:rPr>
          <w:rFonts w:hint="eastAsia" w:ascii="宋体" w:hAnsi="宋体" w:eastAsia="宋体" w:cs="宋体"/>
          <w:color w:val="000000"/>
          <w:spacing w:val="-3"/>
          <w:kern w:val="0"/>
          <w:szCs w:val="21"/>
          <w:highlight w:val="none"/>
        </w:rPr>
        <w:t>6.1</w:t>
      </w:r>
      <w:r>
        <w:rPr>
          <w:rFonts w:hint="eastAsia" w:ascii="宋体" w:hAnsi="宋体" w:eastAsia="宋体" w:cs="宋体"/>
          <w:color w:val="000000"/>
          <w:spacing w:val="-3"/>
          <w:kern w:val="0"/>
          <w:szCs w:val="21"/>
          <w:highlight w:val="none"/>
          <w:lang w:val="en-US" w:eastAsia="zh-CN"/>
        </w:rPr>
        <w:t xml:space="preserve"> </w:t>
      </w:r>
      <w:r>
        <w:rPr>
          <w:rFonts w:hint="eastAsia" w:ascii="宋体" w:hAnsi="宋体" w:eastAsia="宋体" w:cs="宋体"/>
          <w:color w:val="000000"/>
          <w:spacing w:val="-3"/>
          <w:kern w:val="0"/>
          <w:szCs w:val="21"/>
          <w:highlight w:val="none"/>
        </w:rPr>
        <w:t>本项目不允许采取转包方式履行合同。</w:t>
      </w:r>
    </w:p>
    <w:p w14:paraId="3C4D8B13">
      <w:pPr>
        <w:keepNext w:val="0"/>
        <w:keepLines w:val="0"/>
        <w:pageBreakBefore w:val="0"/>
        <w:kinsoku/>
        <w:wordWrap/>
        <w:overflowPunct/>
        <w:topLinePunct w:val="0"/>
        <w:autoSpaceDE w:val="0"/>
        <w:autoSpaceDN w:val="0"/>
        <w:bidi w:val="0"/>
        <w:adjustRightInd w:val="0"/>
        <w:snapToGrid/>
        <w:spacing w:before="32" w:line="360" w:lineRule="auto"/>
        <w:ind w:right="-58" w:firstLine="468" w:firstLineChars="200"/>
        <w:textAlignment w:val="auto"/>
        <w:outlineLvl w:val="9"/>
        <w:rPr>
          <w:rFonts w:hint="eastAsia" w:ascii="宋体" w:hAnsi="宋体" w:eastAsia="宋体" w:cs="宋体"/>
          <w:color w:val="000000"/>
          <w:spacing w:val="-3"/>
          <w:kern w:val="0"/>
          <w:szCs w:val="21"/>
          <w:highlight w:val="none"/>
        </w:rPr>
      </w:pPr>
      <w:r>
        <w:rPr>
          <w:rFonts w:hint="eastAsia" w:ascii="宋体" w:hAnsi="宋体" w:eastAsia="宋体" w:cs="宋体"/>
          <w:color w:val="000000"/>
          <w:spacing w:val="-3"/>
          <w:kern w:val="0"/>
          <w:szCs w:val="21"/>
          <w:highlight w:val="none"/>
        </w:rPr>
        <w:t>6.2</w:t>
      </w:r>
      <w:r>
        <w:rPr>
          <w:rFonts w:hint="eastAsia" w:ascii="宋体" w:hAnsi="宋体" w:eastAsia="宋体" w:cs="宋体"/>
          <w:color w:val="000000"/>
          <w:spacing w:val="-3"/>
          <w:kern w:val="0"/>
          <w:szCs w:val="21"/>
          <w:highlight w:val="none"/>
          <w:lang w:val="en-US" w:eastAsia="zh-CN"/>
        </w:rPr>
        <w:t xml:space="preserve"> </w:t>
      </w:r>
      <w:r>
        <w:rPr>
          <w:rFonts w:hint="eastAsia" w:ascii="宋体" w:hAnsi="宋体" w:eastAsia="宋体" w:cs="宋体"/>
          <w:color w:val="000000"/>
          <w:spacing w:val="-3"/>
          <w:kern w:val="0"/>
          <w:szCs w:val="21"/>
          <w:highlight w:val="none"/>
        </w:rPr>
        <w:t>本项目不允许采取分包方式履行合同。</w:t>
      </w:r>
    </w:p>
    <w:p w14:paraId="16E1E36E">
      <w:pPr>
        <w:keepNext w:val="0"/>
        <w:keepLines w:val="0"/>
        <w:pageBreakBefore w:val="0"/>
        <w:kinsoku/>
        <w:wordWrap/>
        <w:overflowPunct/>
        <w:topLinePunct w:val="0"/>
        <w:autoSpaceDE w:val="0"/>
        <w:autoSpaceDN w:val="0"/>
        <w:bidi w:val="0"/>
        <w:adjustRightInd w:val="0"/>
        <w:snapToGrid/>
        <w:spacing w:before="32" w:line="360" w:lineRule="auto"/>
        <w:ind w:right="-58" w:firstLine="468" w:firstLineChars="200"/>
        <w:textAlignment w:val="auto"/>
        <w:outlineLvl w:val="9"/>
        <w:rPr>
          <w:rFonts w:hint="eastAsia" w:ascii="宋体" w:hAnsi="宋体" w:eastAsia="宋体" w:cs="宋体"/>
          <w:color w:val="000000"/>
          <w:spacing w:val="-3"/>
          <w:kern w:val="0"/>
          <w:szCs w:val="21"/>
          <w:highlight w:val="none"/>
        </w:rPr>
      </w:pPr>
      <w:r>
        <w:rPr>
          <w:rFonts w:hint="eastAsia" w:ascii="宋体" w:hAnsi="宋体" w:eastAsia="宋体" w:cs="宋体"/>
          <w:color w:val="000000"/>
          <w:spacing w:val="-3"/>
          <w:kern w:val="0"/>
          <w:szCs w:val="21"/>
          <w:highlight w:val="none"/>
        </w:rPr>
        <w:t>7.特别说明：</w:t>
      </w:r>
    </w:p>
    <w:p w14:paraId="71487ED0">
      <w:pPr>
        <w:keepNext w:val="0"/>
        <w:keepLines w:val="0"/>
        <w:pageBreakBefore w:val="0"/>
        <w:kinsoku/>
        <w:wordWrap/>
        <w:overflowPunct/>
        <w:topLinePunct w:val="0"/>
        <w:autoSpaceDE w:val="0"/>
        <w:autoSpaceDN w:val="0"/>
        <w:bidi w:val="0"/>
        <w:adjustRightInd w:val="0"/>
        <w:snapToGrid/>
        <w:spacing w:before="32" w:line="360" w:lineRule="auto"/>
        <w:ind w:right="-58" w:firstLine="468" w:firstLineChars="200"/>
        <w:textAlignment w:val="auto"/>
        <w:outlineLvl w:val="9"/>
        <w:rPr>
          <w:rFonts w:hint="eastAsia" w:ascii="宋体" w:hAnsi="宋体" w:eastAsia="宋体" w:cs="宋体"/>
          <w:color w:val="000000"/>
          <w:spacing w:val="-3"/>
          <w:kern w:val="0"/>
          <w:szCs w:val="21"/>
          <w:highlight w:val="none"/>
        </w:rPr>
      </w:pPr>
      <w:r>
        <w:rPr>
          <w:rFonts w:hint="eastAsia" w:ascii="宋体" w:hAnsi="宋体" w:eastAsia="宋体" w:cs="宋体"/>
          <w:color w:val="000000"/>
          <w:spacing w:val="-3"/>
          <w:kern w:val="0"/>
          <w:szCs w:val="21"/>
          <w:highlight w:val="none"/>
        </w:rPr>
        <w:t>7.1</w:t>
      </w:r>
      <w:r>
        <w:rPr>
          <w:rFonts w:hint="eastAsia" w:ascii="宋体" w:hAnsi="宋体" w:eastAsia="宋体" w:cs="宋体"/>
          <w:color w:val="000000"/>
          <w:spacing w:val="-3"/>
          <w:kern w:val="0"/>
          <w:szCs w:val="21"/>
          <w:highlight w:val="none"/>
          <w:lang w:val="en-US" w:eastAsia="zh-CN"/>
        </w:rPr>
        <w:t xml:space="preserve"> </w:t>
      </w:r>
      <w:r>
        <w:rPr>
          <w:rFonts w:hint="eastAsia" w:ascii="宋体" w:hAnsi="宋体" w:eastAsia="宋体" w:cs="宋体"/>
          <w:color w:val="000000"/>
          <w:spacing w:val="-3"/>
          <w:kern w:val="0"/>
          <w:szCs w:val="21"/>
          <w:highlight w:val="none"/>
        </w:rPr>
        <w:t>供应商参加磋商所使用的资格、信誉、荣誉、业绩与企业认证必须为本法人所拥有。</w:t>
      </w:r>
    </w:p>
    <w:p w14:paraId="598D5ECB">
      <w:pPr>
        <w:keepNext w:val="0"/>
        <w:keepLines w:val="0"/>
        <w:pageBreakBefore w:val="0"/>
        <w:kinsoku/>
        <w:wordWrap/>
        <w:overflowPunct/>
        <w:topLinePunct w:val="0"/>
        <w:autoSpaceDE w:val="0"/>
        <w:autoSpaceDN w:val="0"/>
        <w:bidi w:val="0"/>
        <w:adjustRightInd w:val="0"/>
        <w:snapToGrid/>
        <w:spacing w:before="32" w:line="360" w:lineRule="auto"/>
        <w:ind w:right="-58" w:firstLine="468" w:firstLineChars="200"/>
        <w:textAlignment w:val="auto"/>
        <w:outlineLvl w:val="9"/>
        <w:rPr>
          <w:rFonts w:hint="eastAsia" w:ascii="宋体" w:hAnsi="宋体" w:eastAsia="宋体" w:cs="宋体"/>
          <w:color w:val="000000"/>
          <w:spacing w:val="-3"/>
          <w:kern w:val="0"/>
          <w:szCs w:val="21"/>
          <w:highlight w:val="none"/>
        </w:rPr>
      </w:pPr>
      <w:r>
        <w:rPr>
          <w:rFonts w:hint="eastAsia" w:ascii="宋体" w:hAnsi="宋体" w:eastAsia="宋体" w:cs="宋体"/>
          <w:color w:val="000000"/>
          <w:spacing w:val="-3"/>
          <w:kern w:val="0"/>
          <w:szCs w:val="21"/>
          <w:highlight w:val="none"/>
        </w:rPr>
        <w:t>7.2</w:t>
      </w:r>
      <w:r>
        <w:rPr>
          <w:rFonts w:hint="eastAsia" w:ascii="宋体" w:hAnsi="宋体" w:eastAsia="宋体" w:cs="宋体"/>
          <w:color w:val="000000"/>
          <w:spacing w:val="-3"/>
          <w:kern w:val="0"/>
          <w:szCs w:val="21"/>
          <w:highlight w:val="none"/>
          <w:lang w:val="en-US" w:eastAsia="zh-CN"/>
        </w:rPr>
        <w:t xml:space="preserve"> </w:t>
      </w:r>
      <w:r>
        <w:rPr>
          <w:rFonts w:hint="eastAsia" w:ascii="宋体" w:hAnsi="宋体" w:eastAsia="宋体" w:cs="宋体"/>
          <w:color w:val="000000"/>
          <w:spacing w:val="-3"/>
          <w:kern w:val="0"/>
          <w:szCs w:val="21"/>
          <w:highlight w:val="none"/>
        </w:rPr>
        <w:t>供应商代表只能接受一个供应商的委托参加磋商。</w:t>
      </w:r>
    </w:p>
    <w:p w14:paraId="6558D968">
      <w:pPr>
        <w:keepNext w:val="0"/>
        <w:keepLines w:val="0"/>
        <w:pageBreakBefore w:val="0"/>
        <w:kinsoku/>
        <w:wordWrap/>
        <w:overflowPunct/>
        <w:topLinePunct w:val="0"/>
        <w:autoSpaceDE w:val="0"/>
        <w:autoSpaceDN w:val="0"/>
        <w:bidi w:val="0"/>
        <w:adjustRightInd w:val="0"/>
        <w:snapToGrid/>
        <w:spacing w:before="32" w:line="360" w:lineRule="auto"/>
        <w:ind w:right="-58" w:firstLine="468" w:firstLineChars="200"/>
        <w:textAlignment w:val="auto"/>
        <w:outlineLvl w:val="9"/>
        <w:rPr>
          <w:rFonts w:hint="eastAsia" w:ascii="宋体" w:hAnsi="宋体" w:eastAsia="宋体" w:cs="宋体"/>
          <w:color w:val="000000"/>
          <w:spacing w:val="-3"/>
          <w:kern w:val="0"/>
          <w:szCs w:val="21"/>
          <w:highlight w:val="none"/>
        </w:rPr>
      </w:pPr>
      <w:r>
        <w:rPr>
          <w:rFonts w:hint="eastAsia" w:ascii="宋体" w:hAnsi="宋体" w:eastAsia="宋体" w:cs="宋体"/>
          <w:color w:val="000000"/>
          <w:spacing w:val="-3"/>
          <w:kern w:val="0"/>
          <w:szCs w:val="21"/>
          <w:highlight w:val="none"/>
        </w:rPr>
        <w:t>7.3 供应商在磋商活动中提供虚假材料或从事其他违法活动的,其响应无效，由相关部门查处。</w:t>
      </w:r>
    </w:p>
    <w:p w14:paraId="535DF519">
      <w:pPr>
        <w:keepNext w:val="0"/>
        <w:keepLines w:val="0"/>
        <w:pageBreakBefore w:val="0"/>
        <w:kinsoku/>
        <w:wordWrap/>
        <w:overflowPunct/>
        <w:topLinePunct w:val="0"/>
        <w:autoSpaceDE w:val="0"/>
        <w:autoSpaceDN w:val="0"/>
        <w:bidi w:val="0"/>
        <w:adjustRightInd w:val="0"/>
        <w:snapToGrid/>
        <w:spacing w:before="32" w:line="360" w:lineRule="auto"/>
        <w:ind w:right="-58" w:firstLine="468" w:firstLineChars="200"/>
        <w:textAlignment w:val="auto"/>
        <w:outlineLvl w:val="9"/>
        <w:rPr>
          <w:rFonts w:hint="eastAsia" w:ascii="宋体" w:hAnsi="宋体" w:eastAsia="宋体" w:cs="宋体"/>
          <w:color w:val="000000"/>
          <w:spacing w:val="-3"/>
          <w:kern w:val="0"/>
          <w:szCs w:val="21"/>
          <w:highlight w:val="none"/>
        </w:rPr>
      </w:pPr>
      <w:r>
        <w:rPr>
          <w:rFonts w:hint="eastAsia" w:ascii="宋体" w:hAnsi="宋体" w:eastAsia="宋体" w:cs="宋体"/>
          <w:color w:val="000000"/>
          <w:spacing w:val="-3"/>
          <w:kern w:val="0"/>
          <w:szCs w:val="21"/>
          <w:highlight w:val="none"/>
        </w:rPr>
        <w:t>8.质疑和投诉</w:t>
      </w:r>
    </w:p>
    <w:p w14:paraId="52FDD44D">
      <w:pPr>
        <w:keepNext w:val="0"/>
        <w:keepLines w:val="0"/>
        <w:pageBreakBefore w:val="0"/>
        <w:kinsoku/>
        <w:wordWrap/>
        <w:overflowPunct/>
        <w:topLinePunct w:val="0"/>
        <w:autoSpaceDE w:val="0"/>
        <w:autoSpaceDN w:val="0"/>
        <w:bidi w:val="0"/>
        <w:adjustRightInd w:val="0"/>
        <w:snapToGrid/>
        <w:spacing w:before="32" w:line="360" w:lineRule="auto"/>
        <w:ind w:right="-58" w:firstLine="468" w:firstLineChars="200"/>
        <w:textAlignment w:val="auto"/>
        <w:outlineLvl w:val="9"/>
        <w:rPr>
          <w:rFonts w:hint="eastAsia" w:ascii="宋体" w:hAnsi="宋体" w:eastAsia="宋体" w:cs="宋体"/>
          <w:color w:val="000000"/>
          <w:spacing w:val="-3"/>
          <w:kern w:val="0"/>
          <w:szCs w:val="21"/>
          <w:highlight w:val="none"/>
        </w:rPr>
      </w:pPr>
      <w:r>
        <w:rPr>
          <w:rFonts w:hint="eastAsia" w:ascii="宋体" w:hAnsi="宋体" w:eastAsia="宋体" w:cs="宋体"/>
          <w:color w:val="000000"/>
          <w:spacing w:val="-3"/>
          <w:kern w:val="0"/>
          <w:szCs w:val="21"/>
          <w:highlight w:val="none"/>
        </w:rPr>
        <w:t>8.1 供应商认为磋商过程和成交结果使自己的合法权益受到损害的，应当在知道或者应知其权益受到损害之日起7个工作日内，向采购人或采购代理机构提出质疑。供应商对采购人或采购代理机构的质疑答复不满意或采购人或采购代理机构未在规定时间内作出答复的，可以在答复期满后 15 个工作日内向同级财政部门投诉。</w:t>
      </w:r>
    </w:p>
    <w:p w14:paraId="1BAAB31B">
      <w:pPr>
        <w:keepNext w:val="0"/>
        <w:keepLines w:val="0"/>
        <w:pageBreakBefore w:val="0"/>
        <w:kinsoku/>
        <w:wordWrap/>
        <w:overflowPunct/>
        <w:topLinePunct w:val="0"/>
        <w:autoSpaceDE w:val="0"/>
        <w:autoSpaceDN w:val="0"/>
        <w:bidi w:val="0"/>
        <w:adjustRightInd w:val="0"/>
        <w:snapToGrid/>
        <w:spacing w:before="32" w:line="360" w:lineRule="auto"/>
        <w:ind w:right="-58" w:firstLine="468" w:firstLineChars="200"/>
        <w:textAlignment w:val="auto"/>
        <w:outlineLvl w:val="9"/>
        <w:rPr>
          <w:rFonts w:hint="eastAsia" w:ascii="宋体" w:hAnsi="宋体" w:eastAsia="宋体" w:cs="宋体"/>
          <w:color w:val="000000"/>
          <w:spacing w:val="-3"/>
          <w:kern w:val="0"/>
          <w:szCs w:val="21"/>
          <w:highlight w:val="none"/>
        </w:rPr>
      </w:pPr>
      <w:r>
        <w:rPr>
          <w:rFonts w:hint="eastAsia" w:ascii="宋体" w:hAnsi="宋体" w:eastAsia="宋体" w:cs="宋体"/>
          <w:color w:val="000000"/>
          <w:spacing w:val="-3"/>
          <w:kern w:val="0"/>
          <w:szCs w:val="21"/>
          <w:highlight w:val="none"/>
        </w:rPr>
        <w:t>8.2 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342381BA">
      <w:pPr>
        <w:keepNext w:val="0"/>
        <w:keepLines w:val="0"/>
        <w:pageBreakBefore w:val="0"/>
        <w:kinsoku/>
        <w:wordWrap/>
        <w:overflowPunct/>
        <w:topLinePunct w:val="0"/>
        <w:autoSpaceDE w:val="0"/>
        <w:autoSpaceDN w:val="0"/>
        <w:bidi w:val="0"/>
        <w:adjustRightInd w:val="0"/>
        <w:snapToGrid/>
        <w:spacing w:before="32" w:line="360" w:lineRule="auto"/>
        <w:ind w:right="-58" w:firstLine="468" w:firstLineChars="200"/>
        <w:textAlignment w:val="auto"/>
        <w:outlineLvl w:val="9"/>
        <w:rPr>
          <w:rFonts w:hint="eastAsia" w:ascii="宋体" w:hAnsi="宋体" w:eastAsia="宋体" w:cs="宋体"/>
          <w:color w:val="000000"/>
          <w:spacing w:val="-3"/>
          <w:kern w:val="0"/>
          <w:szCs w:val="21"/>
          <w:highlight w:val="none"/>
        </w:rPr>
      </w:pPr>
      <w:r>
        <w:rPr>
          <w:rFonts w:hint="eastAsia" w:ascii="宋体" w:hAnsi="宋体" w:eastAsia="宋体" w:cs="宋体"/>
          <w:color w:val="000000"/>
          <w:spacing w:val="-3"/>
          <w:kern w:val="0"/>
          <w:szCs w:val="21"/>
          <w:highlight w:val="none"/>
        </w:rPr>
        <w:t>9.供应商的风险</w:t>
      </w:r>
    </w:p>
    <w:p w14:paraId="745AD489">
      <w:pPr>
        <w:keepNext w:val="0"/>
        <w:keepLines w:val="0"/>
        <w:pageBreakBefore w:val="0"/>
        <w:kinsoku/>
        <w:wordWrap/>
        <w:overflowPunct/>
        <w:topLinePunct w:val="0"/>
        <w:autoSpaceDE w:val="0"/>
        <w:autoSpaceDN w:val="0"/>
        <w:bidi w:val="0"/>
        <w:adjustRightInd w:val="0"/>
        <w:snapToGrid/>
        <w:spacing w:before="32" w:line="360" w:lineRule="auto"/>
        <w:ind w:right="-58" w:firstLine="468" w:firstLineChars="200"/>
        <w:textAlignment w:val="auto"/>
        <w:outlineLvl w:val="9"/>
        <w:rPr>
          <w:rFonts w:hint="eastAsia" w:ascii="宋体" w:hAnsi="宋体" w:eastAsia="宋体" w:cs="宋体"/>
          <w:color w:val="000000"/>
          <w:spacing w:val="-3"/>
          <w:kern w:val="0"/>
          <w:szCs w:val="21"/>
          <w:highlight w:val="none"/>
        </w:rPr>
      </w:pPr>
      <w:r>
        <w:rPr>
          <w:rFonts w:hint="eastAsia" w:ascii="宋体" w:hAnsi="宋体" w:eastAsia="宋体" w:cs="宋体"/>
          <w:color w:val="000000"/>
          <w:spacing w:val="-3"/>
          <w:kern w:val="0"/>
          <w:szCs w:val="21"/>
          <w:highlight w:val="none"/>
        </w:rPr>
        <w:t>供应商没有按照竞争性磋商文件要求提供全部资料，或者供应商没有对响应性文件在各方面都作出实质性响应是供应商的风险，并可能导致其响应被拒绝。</w:t>
      </w:r>
    </w:p>
    <w:p w14:paraId="13B1D3A1">
      <w:pPr>
        <w:keepNext w:val="0"/>
        <w:keepLines w:val="0"/>
        <w:pageBreakBefore w:val="0"/>
        <w:kinsoku/>
        <w:wordWrap/>
        <w:overflowPunct/>
        <w:topLinePunct w:val="0"/>
        <w:autoSpaceDE w:val="0"/>
        <w:autoSpaceDN w:val="0"/>
        <w:bidi w:val="0"/>
        <w:adjustRightInd w:val="0"/>
        <w:snapToGrid/>
        <w:spacing w:before="32" w:line="360" w:lineRule="auto"/>
        <w:ind w:right="-58"/>
        <w:jc w:val="center"/>
        <w:textAlignment w:val="auto"/>
        <w:outlineLvl w:val="9"/>
        <w:rPr>
          <w:rFonts w:hint="eastAsia" w:ascii="宋体" w:hAnsi="宋体" w:eastAsia="宋体" w:cs="宋体"/>
          <w:b/>
          <w:bCs/>
          <w:color w:val="000000"/>
          <w:spacing w:val="-3"/>
          <w:kern w:val="0"/>
          <w:szCs w:val="21"/>
          <w:highlight w:val="none"/>
        </w:rPr>
      </w:pPr>
      <w:bookmarkStart w:id="7" w:name="_Toc518571704"/>
      <w:r>
        <w:rPr>
          <w:rFonts w:hint="eastAsia" w:ascii="宋体" w:hAnsi="宋体" w:eastAsia="宋体" w:cs="宋体"/>
          <w:b/>
          <w:bCs/>
          <w:color w:val="000000"/>
          <w:spacing w:val="-3"/>
          <w:kern w:val="0"/>
          <w:szCs w:val="21"/>
          <w:highlight w:val="none"/>
        </w:rPr>
        <w:t>二、竞争性磋商文件</w:t>
      </w:r>
      <w:bookmarkEnd w:id="7"/>
    </w:p>
    <w:p w14:paraId="496AA0D9">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10.竞争性磋商文件的构成。本竞争性磋商文件由以下部分组成：</w:t>
      </w:r>
    </w:p>
    <w:p w14:paraId="22CFDC2E">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10.1 竞争性磋商公告</w:t>
      </w:r>
    </w:p>
    <w:p w14:paraId="0BB77B09">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10.2 供应商须知</w:t>
      </w:r>
    </w:p>
    <w:p w14:paraId="06868C12">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lang w:eastAsia="zh-CN"/>
        </w:rPr>
      </w:pPr>
      <w:r>
        <w:rPr>
          <w:rFonts w:hint="eastAsia" w:ascii="宋体" w:hAnsi="宋体" w:eastAsia="宋体" w:cs="宋体"/>
          <w:color w:val="000000"/>
          <w:spacing w:val="-4"/>
          <w:kern w:val="0"/>
          <w:szCs w:val="21"/>
          <w:highlight w:val="none"/>
        </w:rPr>
        <w:t xml:space="preserve">10.3 </w:t>
      </w:r>
      <w:r>
        <w:rPr>
          <w:rFonts w:hint="eastAsia" w:ascii="宋体" w:hAnsi="宋体" w:eastAsia="宋体" w:cs="宋体"/>
          <w:color w:val="000000"/>
          <w:spacing w:val="-4"/>
          <w:kern w:val="0"/>
          <w:szCs w:val="21"/>
          <w:highlight w:val="none"/>
          <w:lang w:eastAsia="zh-CN"/>
        </w:rPr>
        <w:t>采购内容及要求</w:t>
      </w:r>
    </w:p>
    <w:p w14:paraId="73682878">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10.4 合同条款及合同文件格式</w:t>
      </w:r>
    </w:p>
    <w:p w14:paraId="2EB08DA3">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10.5 评审标准</w:t>
      </w:r>
    </w:p>
    <w:p w14:paraId="2E6BC939">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10.6 磋商文件格式</w:t>
      </w:r>
    </w:p>
    <w:p w14:paraId="6BB3A119">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11.竞争性磋商文件的澄清与修改</w:t>
      </w:r>
    </w:p>
    <w:p w14:paraId="6CDEC13D">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11.1 采购代理机构对已发出的竞争性磋商文件进行必要澄清、修改或补充的，应当在竞争性磋商文件要求提交响应性文件截止时间5日（如至原定截止时间不足5日，则需延长磋商开始时间）前，在相关媒体上发布更正公告。竞争性磋商文件公示期间对竞争性磋商文件进行的澄清、修改或补充不受上述限制。</w:t>
      </w:r>
    </w:p>
    <w:p w14:paraId="1CCE8286">
      <w:pPr>
        <w:keepNext w:val="0"/>
        <w:keepLines w:val="0"/>
        <w:pageBreakBefore w:val="0"/>
        <w:kinsoku/>
        <w:wordWrap/>
        <w:overflowPunct/>
        <w:topLinePunct w:val="0"/>
        <w:autoSpaceDE w:val="0"/>
        <w:autoSpaceDN w:val="0"/>
        <w:bidi w:val="0"/>
        <w:adjustRightInd w:val="0"/>
        <w:snapToGrid/>
        <w:spacing w:before="163" w:line="360" w:lineRule="auto"/>
        <w:ind w:firstLine="468" w:firstLineChars="200"/>
        <w:jc w:val="left"/>
        <w:textAlignment w:val="auto"/>
        <w:outlineLvl w:val="9"/>
        <w:rPr>
          <w:rFonts w:hint="eastAsia" w:ascii="宋体" w:hAnsi="宋体" w:eastAsia="宋体" w:cs="宋体"/>
          <w:color w:val="000000"/>
          <w:spacing w:val="-3"/>
          <w:kern w:val="0"/>
          <w:szCs w:val="21"/>
          <w:highlight w:val="none"/>
        </w:rPr>
      </w:pPr>
      <w:r>
        <w:rPr>
          <w:rFonts w:hint="eastAsia" w:ascii="宋体" w:hAnsi="宋体" w:eastAsia="宋体" w:cs="宋体"/>
          <w:color w:val="000000"/>
          <w:spacing w:val="-3"/>
          <w:kern w:val="0"/>
          <w:szCs w:val="21"/>
          <w:highlight w:val="none"/>
        </w:rPr>
        <w:t>11.2 竞争性磋商文件澄清、修改或补充的内容为竞争性磋商文件的组成部分。</w:t>
      </w:r>
    </w:p>
    <w:p w14:paraId="02D42E23">
      <w:pPr>
        <w:keepNext w:val="0"/>
        <w:keepLines w:val="0"/>
        <w:pageBreakBefore w:val="0"/>
        <w:kinsoku/>
        <w:wordWrap/>
        <w:overflowPunct/>
        <w:topLinePunct w:val="0"/>
        <w:autoSpaceDE w:val="0"/>
        <w:autoSpaceDN w:val="0"/>
        <w:bidi w:val="0"/>
        <w:adjustRightInd w:val="0"/>
        <w:snapToGrid/>
        <w:spacing w:before="20" w:line="360" w:lineRule="auto"/>
        <w:ind w:right="-58" w:firstLine="468" w:firstLineChars="200"/>
        <w:textAlignment w:val="auto"/>
        <w:outlineLvl w:val="9"/>
        <w:rPr>
          <w:rFonts w:hint="eastAsia" w:ascii="宋体" w:hAnsi="宋体" w:eastAsia="宋体" w:cs="宋体"/>
          <w:color w:val="000000"/>
          <w:spacing w:val="-5"/>
          <w:kern w:val="0"/>
          <w:szCs w:val="21"/>
          <w:highlight w:val="none"/>
        </w:rPr>
      </w:pPr>
      <w:r>
        <w:rPr>
          <w:rFonts w:hint="eastAsia" w:ascii="宋体" w:hAnsi="宋体" w:eastAsia="宋体" w:cs="宋体"/>
          <w:color w:val="000000"/>
          <w:spacing w:val="-3"/>
          <w:kern w:val="0"/>
          <w:szCs w:val="21"/>
          <w:highlight w:val="none"/>
        </w:rPr>
        <w:t>11.3 竞争性磋商文件的澄清、修改或补充都应通过本代理机构以法定形式</w:t>
      </w:r>
      <w:r>
        <w:rPr>
          <w:rFonts w:hint="eastAsia" w:ascii="宋体" w:hAnsi="宋体" w:eastAsia="宋体" w:cs="宋体"/>
          <w:color w:val="000000"/>
          <w:spacing w:val="-5"/>
          <w:kern w:val="0"/>
          <w:szCs w:val="21"/>
          <w:highlight w:val="none"/>
        </w:rPr>
        <w:t>发布。采购人未通过本采购理机构对竞争性磋商文件进行的澄清、修改或补充无效，磋商时不予认可。</w:t>
      </w:r>
    </w:p>
    <w:p w14:paraId="31C0E981">
      <w:pPr>
        <w:keepNext w:val="0"/>
        <w:keepLines w:val="0"/>
        <w:pageBreakBefore w:val="0"/>
        <w:kinsoku/>
        <w:wordWrap/>
        <w:overflowPunct/>
        <w:topLinePunct w:val="0"/>
        <w:autoSpaceDE w:val="0"/>
        <w:autoSpaceDN w:val="0"/>
        <w:bidi w:val="0"/>
        <w:adjustRightInd w:val="0"/>
        <w:snapToGrid/>
        <w:spacing w:line="360" w:lineRule="auto"/>
        <w:ind w:right="-58" w:firstLine="468"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3"/>
          <w:kern w:val="0"/>
          <w:szCs w:val="21"/>
          <w:highlight w:val="none"/>
        </w:rPr>
        <w:t>11.4 采购代理机构可以视采购具体情况，延长递交响应性文件截止时间和</w:t>
      </w:r>
      <w:r>
        <w:rPr>
          <w:rFonts w:hint="eastAsia" w:ascii="宋体" w:hAnsi="宋体" w:eastAsia="宋体" w:cs="宋体"/>
          <w:color w:val="000000"/>
          <w:spacing w:val="-4"/>
          <w:kern w:val="0"/>
          <w:szCs w:val="21"/>
          <w:highlight w:val="none"/>
        </w:rPr>
        <w:t>开始磋商时间，但至少应当在竞争性磋商文件要求提交响应性文件的截止时间5日前，将变更时间书面通知所有竞争性磋商文件收受人，并在相关媒体上发布更正公告。</w:t>
      </w:r>
    </w:p>
    <w:p w14:paraId="323ACF7C">
      <w:pPr>
        <w:keepNext w:val="0"/>
        <w:keepLines w:val="0"/>
        <w:pageBreakBefore w:val="0"/>
        <w:kinsoku/>
        <w:wordWrap/>
        <w:overflowPunct/>
        <w:topLinePunct w:val="0"/>
        <w:autoSpaceDE w:val="0"/>
        <w:autoSpaceDN w:val="0"/>
        <w:bidi w:val="0"/>
        <w:adjustRightInd w:val="0"/>
        <w:snapToGrid/>
        <w:spacing w:before="32" w:line="360" w:lineRule="auto"/>
        <w:ind w:right="-58"/>
        <w:jc w:val="center"/>
        <w:textAlignment w:val="auto"/>
        <w:outlineLvl w:val="9"/>
        <w:rPr>
          <w:rFonts w:hint="eastAsia" w:ascii="宋体" w:hAnsi="宋体" w:eastAsia="宋体" w:cs="宋体"/>
          <w:b/>
          <w:bCs/>
          <w:color w:val="000000"/>
          <w:spacing w:val="-3"/>
          <w:kern w:val="0"/>
          <w:szCs w:val="21"/>
          <w:highlight w:val="none"/>
        </w:rPr>
      </w:pPr>
      <w:bookmarkStart w:id="8" w:name="_Toc518571705"/>
      <w:r>
        <w:rPr>
          <w:rFonts w:hint="eastAsia" w:ascii="宋体" w:hAnsi="宋体" w:eastAsia="宋体" w:cs="宋体"/>
          <w:b/>
          <w:bCs/>
          <w:color w:val="000000"/>
          <w:spacing w:val="-3"/>
          <w:kern w:val="0"/>
          <w:szCs w:val="21"/>
          <w:highlight w:val="none"/>
        </w:rPr>
        <w:t>三、响应性文件的编制</w:t>
      </w:r>
      <w:bookmarkEnd w:id="8"/>
    </w:p>
    <w:p w14:paraId="1AA6FDE9">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12.要求</w:t>
      </w:r>
    </w:p>
    <w:p w14:paraId="3AA6DF2B">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12.1</w:t>
      </w:r>
      <w:r>
        <w:rPr>
          <w:rFonts w:hint="eastAsia" w:ascii="宋体" w:hAnsi="宋体" w:eastAsia="宋体" w:cs="宋体"/>
          <w:color w:val="000000"/>
          <w:spacing w:val="-4"/>
          <w:kern w:val="0"/>
          <w:szCs w:val="21"/>
          <w:highlight w:val="none"/>
          <w:lang w:val="en-US" w:eastAsia="zh-CN"/>
        </w:rPr>
        <w:t xml:space="preserve"> </w:t>
      </w:r>
      <w:r>
        <w:rPr>
          <w:rFonts w:hint="eastAsia" w:ascii="宋体" w:hAnsi="宋体" w:eastAsia="宋体" w:cs="宋体"/>
          <w:color w:val="000000"/>
          <w:spacing w:val="-4"/>
          <w:kern w:val="0"/>
          <w:szCs w:val="21"/>
          <w:highlight w:val="none"/>
        </w:rPr>
        <w:t>供应商应仔细阅读竞争性磋商文件的所有内容，按照竞争性磋商文件提供的格式编写响应性文件，不得缺少或留空任何竞争性磋商文件要求填写的表格或提交的资料。竞争性磋商文件提供格式的按格式填列，未提供格式的可自行拟定。响应性文件应对竞争性磋商文件的要求作出实质性响应（包括响应性文件格式要求），供应商对所提供的全部资料的合法性、真实性负责。</w:t>
      </w:r>
    </w:p>
    <w:p w14:paraId="77A8765C">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13.响应性文件的语言和计量单位</w:t>
      </w:r>
    </w:p>
    <w:p w14:paraId="6D3F4DE4">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13.1 响应性文件以及供应商与采购、代理机构就有关磋商事宜的所有来往函电均应使用简体中文书写。</w:t>
      </w:r>
    </w:p>
    <w:p w14:paraId="25E55E5F">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13.2 关于计量单位，竞争性磋商文件已有明确规定的，使用竞争性磋商文件规定的计量单位；竞争性磋商文件没有规定的，应采用中华人民共和国法定计量单位。</w:t>
      </w:r>
    </w:p>
    <w:p w14:paraId="54269E4F">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14.响应性文件的组成。响应性文件应包括下列部分：</w:t>
      </w:r>
    </w:p>
    <w:p w14:paraId="0AFDE7D6">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14.1 法定代表人身份证明书</w:t>
      </w:r>
    </w:p>
    <w:p w14:paraId="54CA53EE">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14.2 授权委托书</w:t>
      </w:r>
    </w:p>
    <w:p w14:paraId="43559EC1">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14.3 磋 商 函</w:t>
      </w:r>
    </w:p>
    <w:p w14:paraId="13025CAA">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 xml:space="preserve">14.4 </w:t>
      </w:r>
      <w:r>
        <w:rPr>
          <w:rFonts w:hint="eastAsia" w:ascii="宋体" w:hAnsi="宋体" w:eastAsia="宋体" w:cs="宋体"/>
          <w:kern w:val="0"/>
          <w:szCs w:val="21"/>
          <w:highlight w:val="none"/>
        </w:rPr>
        <w:t>首次报价一览表</w:t>
      </w:r>
    </w:p>
    <w:p w14:paraId="6240E4D6">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 xml:space="preserve">14.5 </w:t>
      </w:r>
      <w:r>
        <w:rPr>
          <w:rFonts w:hint="eastAsia" w:ascii="宋体" w:hAnsi="宋体" w:eastAsia="宋体" w:cs="宋体"/>
          <w:bCs/>
          <w:color w:val="000000"/>
          <w:spacing w:val="-4"/>
          <w:kern w:val="0"/>
          <w:szCs w:val="21"/>
          <w:highlight w:val="none"/>
        </w:rPr>
        <w:t>响应供应商基本情况表</w:t>
      </w:r>
    </w:p>
    <w:p w14:paraId="25DF942F">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 xml:space="preserve">14.6 </w:t>
      </w:r>
      <w:r>
        <w:rPr>
          <w:rFonts w:hint="eastAsia" w:ascii="宋体" w:hAnsi="宋体" w:eastAsia="宋体" w:cs="宋体"/>
          <w:bCs/>
          <w:color w:val="000000"/>
          <w:spacing w:val="-4"/>
          <w:kern w:val="0"/>
          <w:szCs w:val="21"/>
          <w:highlight w:val="none"/>
        </w:rPr>
        <w:t>项目业绩表</w:t>
      </w:r>
    </w:p>
    <w:p w14:paraId="42F8804D">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 xml:space="preserve">14.7 </w:t>
      </w:r>
      <w:r>
        <w:rPr>
          <w:rFonts w:hint="eastAsia" w:ascii="宋体" w:hAnsi="宋体" w:eastAsia="宋体" w:cs="宋体"/>
          <w:bCs/>
          <w:color w:val="000000"/>
          <w:spacing w:val="-4"/>
          <w:kern w:val="0"/>
          <w:szCs w:val="21"/>
          <w:highlight w:val="none"/>
        </w:rPr>
        <w:t>拟投入本项目主要人员情况汇总表</w:t>
      </w:r>
    </w:p>
    <w:p w14:paraId="21608EE1">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bCs/>
          <w:color w:val="000000"/>
          <w:spacing w:val="-4"/>
          <w:kern w:val="0"/>
          <w:szCs w:val="21"/>
          <w:highlight w:val="none"/>
        </w:rPr>
      </w:pPr>
      <w:r>
        <w:rPr>
          <w:rFonts w:hint="eastAsia" w:ascii="宋体" w:hAnsi="宋体" w:eastAsia="宋体" w:cs="宋体"/>
          <w:color w:val="000000"/>
          <w:spacing w:val="-4"/>
          <w:kern w:val="0"/>
          <w:szCs w:val="21"/>
          <w:highlight w:val="none"/>
        </w:rPr>
        <w:t xml:space="preserve">14.8 </w:t>
      </w:r>
      <w:r>
        <w:rPr>
          <w:rFonts w:hint="eastAsia" w:ascii="宋体" w:hAnsi="宋体" w:eastAsia="宋体" w:cs="宋体"/>
          <w:bCs/>
          <w:color w:val="000000"/>
          <w:spacing w:val="-4"/>
          <w:kern w:val="0"/>
          <w:szCs w:val="21"/>
          <w:highlight w:val="none"/>
          <w:lang w:eastAsia="zh-CN"/>
        </w:rPr>
        <w:t>服务方案</w:t>
      </w:r>
    </w:p>
    <w:p w14:paraId="04FE41D6">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14.9 资格要求证明文件</w:t>
      </w:r>
    </w:p>
    <w:p w14:paraId="6F9E54DD">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14.10 磋商承诺函</w:t>
      </w:r>
    </w:p>
    <w:p w14:paraId="52ABD7AB">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14.11 投标供应商资格声明函</w:t>
      </w:r>
    </w:p>
    <w:p w14:paraId="77D76407">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14.12 其他证明文件</w:t>
      </w:r>
    </w:p>
    <w:p w14:paraId="76575A3E">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15.1 响应性文件从所规定的递交响应性文件截止期之后开始生效，有效期不足将导致其响应性文件被拒绝。成交供应商的响应性文件有效期至合同完全履行止。</w:t>
      </w:r>
    </w:p>
    <w:p w14:paraId="12332AB6">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15.2 特殊情况下采购代理机构可于响应性文件有效期满之前书面要求供应商同意延长有效期，供应商应在采购代理机构规定的期限内以书面形式予以答复。</w:t>
      </w:r>
    </w:p>
    <w:p w14:paraId="1C0047D3">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16.磋商报价</w:t>
      </w:r>
    </w:p>
    <w:p w14:paraId="14F849E1">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16.1 所有磋商报价均以人民币元为计算单位。供应商的报价为项目实施所需的人工费、服务费、税费、及完成项目所需其他一切费用。</w:t>
      </w:r>
    </w:p>
    <w:p w14:paraId="4EBE48D7">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16.2 供应商要按磋商函附表的内容填写。</w:t>
      </w:r>
    </w:p>
    <w:p w14:paraId="233E9C23">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16.3 本次磋商应以人民币报价，分两次进行报价。</w:t>
      </w:r>
    </w:p>
    <w:p w14:paraId="0F7A87CE">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17</w:t>
      </w:r>
      <w:r>
        <w:rPr>
          <w:rFonts w:hint="eastAsia" w:ascii="宋体" w:hAnsi="宋体" w:eastAsia="宋体" w:cs="宋体"/>
          <w:color w:val="000000"/>
          <w:spacing w:val="-4"/>
          <w:kern w:val="0"/>
          <w:szCs w:val="21"/>
          <w:highlight w:val="none"/>
          <w:lang w:eastAsia="zh-CN"/>
        </w:rPr>
        <w:t>.</w:t>
      </w:r>
      <w:r>
        <w:rPr>
          <w:rFonts w:hint="eastAsia" w:ascii="宋体" w:hAnsi="宋体" w:eastAsia="宋体" w:cs="宋体"/>
          <w:color w:val="000000"/>
          <w:spacing w:val="-4"/>
          <w:kern w:val="0"/>
          <w:szCs w:val="21"/>
          <w:highlight w:val="none"/>
        </w:rPr>
        <w:t>磋商保证金</w:t>
      </w:r>
    </w:p>
    <w:p w14:paraId="7720DC07">
      <w:pPr>
        <w:keepNext w:val="0"/>
        <w:keepLines w:val="0"/>
        <w:pageBreakBefore w:val="0"/>
        <w:kinsoku/>
        <w:wordWrap/>
        <w:overflowPunct/>
        <w:topLinePunct w:val="0"/>
        <w:bidi w:val="0"/>
        <w:snapToGrid/>
        <w:spacing w:line="360" w:lineRule="auto"/>
        <w:ind w:firstLine="464" w:firstLineChars="200"/>
        <w:textAlignment w:val="auto"/>
        <w:outlineLvl w:val="9"/>
        <w:rPr>
          <w:rFonts w:hint="eastAsia" w:ascii="宋体" w:hAnsi="宋体" w:eastAsia="宋体" w:cs="宋体"/>
          <w:szCs w:val="21"/>
          <w:highlight w:val="none"/>
        </w:rPr>
      </w:pPr>
      <w:r>
        <w:rPr>
          <w:rFonts w:hint="eastAsia" w:ascii="宋体" w:hAnsi="宋体" w:eastAsia="宋体" w:cs="宋体"/>
          <w:color w:val="000000"/>
          <w:spacing w:val="-4"/>
          <w:kern w:val="0"/>
          <w:szCs w:val="21"/>
          <w:highlight w:val="none"/>
        </w:rPr>
        <w:t>17.1</w:t>
      </w:r>
      <w:r>
        <w:rPr>
          <w:rFonts w:hint="eastAsia" w:ascii="宋体" w:hAnsi="宋体" w:eastAsia="宋体" w:cs="宋体"/>
          <w:color w:val="000000"/>
          <w:spacing w:val="-4"/>
          <w:kern w:val="0"/>
          <w:szCs w:val="21"/>
          <w:highlight w:val="none"/>
          <w:lang w:val="en-US" w:eastAsia="zh-CN"/>
        </w:rPr>
        <w:t xml:space="preserve"> </w:t>
      </w:r>
      <w:r>
        <w:rPr>
          <w:rFonts w:hint="eastAsia" w:ascii="宋体" w:hAnsi="宋体" w:eastAsia="宋体" w:cs="宋体"/>
          <w:szCs w:val="21"/>
          <w:highlight w:val="none"/>
        </w:rPr>
        <w:t>根据《河南省财政厅关于优化政府采购营商环境有关问题的通知》（豫财购【2019】4号）第6条的规定，保证金不再收取。</w:t>
      </w:r>
    </w:p>
    <w:p w14:paraId="5C3EA203">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18.响应性文件的签署</w:t>
      </w:r>
    </w:p>
    <w:p w14:paraId="44348A19">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18.1 供应商应按本竞争性磋商文件规定的格式和顺序编制响应性文件。除了响应性文件封面以外，每个页面都要在明显位置编制页码，按流水顺序填写，响应性文件的目录必须编序。响应性文件内容不完整、编排混乱导致被误读、漏读或者查找不到相关内容的，由供应商负责。</w:t>
      </w:r>
    </w:p>
    <w:p w14:paraId="6278332A">
      <w:pPr>
        <w:keepNext w:val="0"/>
        <w:keepLines w:val="0"/>
        <w:pageBreakBefore w:val="0"/>
        <w:kinsoku/>
        <w:wordWrap/>
        <w:overflowPunct/>
        <w:topLinePunct w:val="0"/>
        <w:autoSpaceDE w:val="0"/>
        <w:autoSpaceDN w:val="0"/>
        <w:bidi w:val="0"/>
        <w:adjustRightInd w:val="0"/>
        <w:snapToGrid/>
        <w:spacing w:before="32" w:line="360" w:lineRule="auto"/>
        <w:ind w:right="-58"/>
        <w:jc w:val="center"/>
        <w:textAlignment w:val="auto"/>
        <w:outlineLvl w:val="9"/>
        <w:rPr>
          <w:rFonts w:hint="eastAsia" w:ascii="宋体" w:hAnsi="宋体" w:eastAsia="宋体" w:cs="宋体"/>
          <w:b/>
          <w:bCs/>
          <w:color w:val="000000"/>
          <w:spacing w:val="-4"/>
          <w:kern w:val="0"/>
          <w:szCs w:val="21"/>
          <w:highlight w:val="none"/>
        </w:rPr>
      </w:pPr>
      <w:bookmarkStart w:id="9" w:name="_Toc518571706"/>
      <w:r>
        <w:rPr>
          <w:rFonts w:hint="eastAsia" w:ascii="宋体" w:hAnsi="宋体" w:eastAsia="宋体" w:cs="宋体"/>
          <w:b/>
          <w:bCs/>
          <w:color w:val="000000"/>
          <w:spacing w:val="-4"/>
          <w:kern w:val="0"/>
          <w:szCs w:val="21"/>
          <w:highlight w:val="none"/>
        </w:rPr>
        <w:t>四、响应性文件的递交</w:t>
      </w:r>
      <w:bookmarkEnd w:id="9"/>
    </w:p>
    <w:p w14:paraId="7D58F42F">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19.响应性文件的递交</w:t>
      </w:r>
    </w:p>
    <w:p w14:paraId="1FECE31E">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在响应文件截止时间前上传至三门峡市公共资源交易中心系统平台。</w:t>
      </w:r>
    </w:p>
    <w:p w14:paraId="09582D3C">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20.响应性文件的修改和撤回</w:t>
      </w:r>
    </w:p>
    <w:p w14:paraId="3B441518">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20.1 供应商在递交竞争性磋商文件截止时间前，可以对所提交的响应性文件进行补充、修改或者撤回。</w:t>
      </w:r>
    </w:p>
    <w:p w14:paraId="42C27E42">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21.供应商有下列情形之一的，采购人或采购代理机构将拒绝接受其响应性文件：</w:t>
      </w:r>
    </w:p>
    <w:p w14:paraId="6D1EA6C9">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21.1 在竞争性磋商文件规定的递交竞争性磋商文件截止时间之后上传竞争性磋商文件的。</w:t>
      </w:r>
    </w:p>
    <w:p w14:paraId="2D63994E">
      <w:pPr>
        <w:keepNext w:val="0"/>
        <w:keepLines w:val="0"/>
        <w:pageBreakBefore w:val="0"/>
        <w:kinsoku/>
        <w:wordWrap/>
        <w:overflowPunct/>
        <w:topLinePunct w:val="0"/>
        <w:autoSpaceDE w:val="0"/>
        <w:autoSpaceDN w:val="0"/>
        <w:bidi w:val="0"/>
        <w:adjustRightInd w:val="0"/>
        <w:snapToGrid/>
        <w:spacing w:before="32" w:line="360" w:lineRule="auto"/>
        <w:ind w:right="-58"/>
        <w:jc w:val="center"/>
        <w:textAlignment w:val="auto"/>
        <w:outlineLvl w:val="9"/>
        <w:rPr>
          <w:rFonts w:hint="eastAsia" w:ascii="宋体" w:hAnsi="宋体" w:eastAsia="宋体" w:cs="宋体"/>
          <w:b/>
          <w:bCs/>
          <w:color w:val="000000"/>
          <w:spacing w:val="-4"/>
          <w:kern w:val="0"/>
          <w:szCs w:val="21"/>
          <w:highlight w:val="none"/>
        </w:rPr>
      </w:pPr>
      <w:bookmarkStart w:id="10" w:name="_Toc518571707"/>
      <w:r>
        <w:rPr>
          <w:rFonts w:hint="eastAsia" w:ascii="宋体" w:hAnsi="宋体" w:eastAsia="宋体" w:cs="宋体"/>
          <w:b/>
          <w:bCs/>
          <w:color w:val="000000"/>
          <w:spacing w:val="-4"/>
          <w:kern w:val="0"/>
          <w:szCs w:val="21"/>
          <w:highlight w:val="none"/>
        </w:rPr>
        <w:t>五、磋商</w:t>
      </w:r>
      <w:bookmarkEnd w:id="10"/>
    </w:p>
    <w:p w14:paraId="31BEEE03">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22、磋商仪式</w:t>
      </w:r>
    </w:p>
    <w:p w14:paraId="1FC8F0F4">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在竞争性磋商公告中规定的时间和地点组织磋商。</w:t>
      </w:r>
    </w:p>
    <w:p w14:paraId="4F211EDC">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磋商仪式由代理公司主持，采购人代表、监督代表及有关工作人员参加。</w:t>
      </w:r>
    </w:p>
    <w:p w14:paraId="30DE7188">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23、磋商小组</w:t>
      </w:r>
    </w:p>
    <w:p w14:paraId="555A2F23">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采购代理机构根据采购项目的特点依法组建磋商小组。磋商小组由采购人代表和有关技术、经济等方面的专家组成，成员为3人。其中：技术、经济等方面的专家 2 名，采购人代表1名。采购人代表不得担任磋商小组组长。</w:t>
      </w:r>
    </w:p>
    <w:p w14:paraId="478A4E1E">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24、磋商工作纪律及保密</w:t>
      </w:r>
    </w:p>
    <w:p w14:paraId="1C942E11">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评审专家应当遵守评审工作纪律，不得泄露评审情况和评审中获悉的商业秘密。</w:t>
      </w:r>
    </w:p>
    <w:p w14:paraId="1614DA91">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25、磋商小组工作原则</w:t>
      </w:r>
    </w:p>
    <w:p w14:paraId="2480DE2A">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9AEA9F6">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26、响应文件审查</w:t>
      </w:r>
    </w:p>
    <w:p w14:paraId="5319BCDA">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B0DF423">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27、供应商澄清</w:t>
      </w:r>
    </w:p>
    <w:p w14:paraId="1CF64D1F">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磋商小组要求供应商澄清、说明或者更正响应文件将在电子系统作出。</w:t>
      </w:r>
    </w:p>
    <w:p w14:paraId="2C3CD259">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28、磋商程序、最后报价、综合评分</w:t>
      </w:r>
    </w:p>
    <w:p w14:paraId="19A55696">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磋商小组所有成员应当集中与单一供应商分别进行磋商，并给予所有参加磋商的供应商平等的磋商机会。</w:t>
      </w:r>
    </w:p>
    <w:p w14:paraId="199E2687">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通知所有参加磋商的供应商。供应商应当按照磋商文件的变动情况和磋商小组的要求重新提交响应文件，并由其法定代表人或授权代表签字或者加盖公章。</w:t>
      </w:r>
    </w:p>
    <w:p w14:paraId="57F80F10">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磋商文件能够详细列明采购的的技术、服务要求的，磋商结束后，磋商小组将要求所有实质性响应的供应商提交最后报价。最后报价是供应商响应文件的有效组成部分。</w:t>
      </w:r>
    </w:p>
    <w:p w14:paraId="48048028">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已提交响应文件的供应商，在提交最后报价之前，可以根据情况退出磋商。</w:t>
      </w:r>
    </w:p>
    <w:p w14:paraId="6C9FDEC7">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4D88CF02">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评审时，磋商小组各成员独立对每个有效响应的文件进行评价、打分，然后汇总每个供应商每项评分因素的得分。</w:t>
      </w:r>
    </w:p>
    <w:p w14:paraId="6D92843D">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磋商小组应当根据综合评分情况，按照评审得分由高到低顺序推荐 3 名成交候选供应商并编写评审报告。评审得分相同的，按照最后报价由低到高的顺序推荐。评审得分且最后报价相同的，按照技术指标优劣顺序推荐。</w:t>
      </w:r>
    </w:p>
    <w:p w14:paraId="5CB74142">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出现下列情形之一的，将终止竞争性磋商采购活动，发布项目终止公告并说明原因，重新开展采购活动：</w:t>
      </w:r>
    </w:p>
    <w:p w14:paraId="328351D5">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1、未按要求</w:t>
      </w:r>
      <w:r>
        <w:rPr>
          <w:rFonts w:hint="eastAsia" w:ascii="宋体" w:hAnsi="宋体" w:eastAsia="宋体" w:cs="宋体"/>
          <w:color w:val="000000"/>
          <w:spacing w:val="-4"/>
          <w:kern w:val="0"/>
          <w:szCs w:val="21"/>
          <w:highlight w:val="none"/>
          <w:lang w:eastAsia="zh-CN"/>
        </w:rPr>
        <w:t>提供</w:t>
      </w:r>
      <w:r>
        <w:rPr>
          <w:rFonts w:hint="eastAsia" w:ascii="宋体" w:hAnsi="宋体" w:eastAsia="宋体" w:cs="宋体"/>
          <w:color w:val="000000"/>
          <w:spacing w:val="-4"/>
          <w:kern w:val="0"/>
          <w:szCs w:val="21"/>
          <w:highlight w:val="none"/>
        </w:rPr>
        <w:t>磋商保证金承诺的；</w:t>
      </w:r>
    </w:p>
    <w:p w14:paraId="5C4DB586">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2、不符合法律、法规和竞争性磋商文件中规定的其他实质性要求的；</w:t>
      </w:r>
    </w:p>
    <w:p w14:paraId="1349EB41">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3、其他法律、法规及本竞争性磋商文件规定的属响应无效的情形，终止竞争性磋商采购活动的条款；</w:t>
      </w:r>
    </w:p>
    <w:p w14:paraId="7826D71B">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4、因情况变化，不再符合规定的竞争性磋商采购方式适用情形的；出现影响采购公正的违法、违规行为的。</w:t>
      </w:r>
    </w:p>
    <w:p w14:paraId="1856C529">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29、磋商截止时间结束后参加供应商不足3家的，项目予以废标。在评审期间根据财库〔2015〕124号文件，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69CC23D4">
      <w:pPr>
        <w:keepNext w:val="0"/>
        <w:keepLines w:val="0"/>
        <w:pageBreakBefore w:val="0"/>
        <w:kinsoku/>
        <w:wordWrap/>
        <w:overflowPunct/>
        <w:topLinePunct w:val="0"/>
        <w:autoSpaceDE w:val="0"/>
        <w:autoSpaceDN w:val="0"/>
        <w:bidi w:val="0"/>
        <w:adjustRightInd w:val="0"/>
        <w:snapToGrid/>
        <w:spacing w:before="32" w:line="360" w:lineRule="auto"/>
        <w:ind w:right="-58"/>
        <w:jc w:val="center"/>
        <w:textAlignment w:val="auto"/>
        <w:outlineLvl w:val="9"/>
        <w:rPr>
          <w:rFonts w:hint="eastAsia" w:ascii="宋体" w:hAnsi="宋体" w:eastAsia="宋体" w:cs="宋体"/>
          <w:b/>
          <w:bCs/>
          <w:color w:val="000000"/>
          <w:spacing w:val="-4"/>
          <w:kern w:val="0"/>
          <w:szCs w:val="21"/>
          <w:highlight w:val="none"/>
        </w:rPr>
      </w:pPr>
      <w:bookmarkStart w:id="11" w:name="_Toc518571708"/>
      <w:r>
        <w:rPr>
          <w:rFonts w:hint="eastAsia" w:ascii="宋体" w:hAnsi="宋体" w:eastAsia="宋体" w:cs="宋体"/>
          <w:b/>
          <w:bCs/>
          <w:color w:val="000000"/>
          <w:spacing w:val="-4"/>
          <w:kern w:val="0"/>
          <w:szCs w:val="21"/>
          <w:highlight w:val="none"/>
        </w:rPr>
        <w:t>六、确定成交</w:t>
      </w:r>
      <w:bookmarkEnd w:id="11"/>
    </w:p>
    <w:p w14:paraId="6CFC5D84">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采购人在收到评审报告后</w:t>
      </w:r>
      <w:r>
        <w:rPr>
          <w:rFonts w:hint="eastAsia" w:ascii="宋体" w:hAnsi="宋体" w:cs="宋体"/>
          <w:color w:val="000000"/>
          <w:spacing w:val="-4"/>
          <w:kern w:val="0"/>
          <w:szCs w:val="21"/>
          <w:highlight w:val="none"/>
          <w:lang w:val="en-US" w:eastAsia="zh-CN"/>
        </w:rPr>
        <w:t>1</w:t>
      </w:r>
      <w:r>
        <w:rPr>
          <w:rFonts w:hint="eastAsia" w:ascii="宋体" w:hAnsi="宋体" w:eastAsia="宋体" w:cs="宋体"/>
          <w:color w:val="000000"/>
          <w:spacing w:val="-4"/>
          <w:kern w:val="0"/>
          <w:szCs w:val="21"/>
          <w:highlight w:val="none"/>
        </w:rPr>
        <w:t>个工作日内，从评审报告提出的成交候选供应商中，按照排序由高到低的原则确定成交供应商。</w:t>
      </w:r>
    </w:p>
    <w:p w14:paraId="6D9E2517">
      <w:pPr>
        <w:keepNext w:val="0"/>
        <w:keepLines w:val="0"/>
        <w:pageBreakBefore w:val="0"/>
        <w:kinsoku/>
        <w:wordWrap/>
        <w:overflowPunct/>
        <w:topLinePunct w:val="0"/>
        <w:autoSpaceDE w:val="0"/>
        <w:autoSpaceDN w:val="0"/>
        <w:bidi w:val="0"/>
        <w:adjustRightInd w:val="0"/>
        <w:snapToGrid/>
        <w:spacing w:before="32" w:line="360" w:lineRule="auto"/>
        <w:ind w:right="-58"/>
        <w:jc w:val="center"/>
        <w:textAlignment w:val="auto"/>
        <w:outlineLvl w:val="9"/>
        <w:rPr>
          <w:rFonts w:hint="eastAsia" w:ascii="宋体" w:hAnsi="宋体" w:eastAsia="宋体" w:cs="宋体"/>
          <w:b/>
          <w:bCs/>
          <w:color w:val="000000"/>
          <w:spacing w:val="-4"/>
          <w:kern w:val="0"/>
          <w:szCs w:val="21"/>
          <w:highlight w:val="none"/>
        </w:rPr>
      </w:pPr>
      <w:bookmarkStart w:id="12" w:name="_Toc518571709"/>
      <w:r>
        <w:rPr>
          <w:rFonts w:hint="eastAsia" w:ascii="宋体" w:hAnsi="宋体" w:eastAsia="宋体" w:cs="宋体"/>
          <w:b/>
          <w:bCs/>
          <w:color w:val="000000"/>
          <w:spacing w:val="-4"/>
          <w:kern w:val="0"/>
          <w:szCs w:val="21"/>
          <w:highlight w:val="none"/>
        </w:rPr>
        <w:t>七、授予合同</w:t>
      </w:r>
      <w:bookmarkEnd w:id="12"/>
    </w:p>
    <w:p w14:paraId="0C8A1FF2">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采购人、成交供应商在成交通知书发出之日起2个工作日内，根据竞争性磋商文件确定的事项和成交供应商响应性文件签订合同。双方所签订的合同不得对竞争性磋商文件和成交供应商响应性文件作实质性修改。成交供应商逾期未签订合同，视为成交后无正当理由不与采购人签订合同，按照有关法律规定承担相应的法律责任。并按照有关法律规定承担相应的法律责任。采购人逾期不与成交供应商签订合同的，按政府采购的有关规定处理。</w:t>
      </w:r>
    </w:p>
    <w:p w14:paraId="0297C505">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24355E52">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p>
    <w:p w14:paraId="0F040523">
      <w:pPr>
        <w:keepNext w:val="0"/>
        <w:keepLines w:val="0"/>
        <w:pageBreakBefore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000000"/>
          <w:spacing w:val="-4"/>
          <w:kern w:val="0"/>
          <w:szCs w:val="21"/>
          <w:highlight w:val="none"/>
        </w:rPr>
      </w:pPr>
      <w:r>
        <w:rPr>
          <w:rFonts w:hint="eastAsia" w:ascii="宋体" w:hAnsi="宋体" w:eastAsia="宋体" w:cs="宋体"/>
          <w:color w:val="000000"/>
          <w:spacing w:val="-4"/>
          <w:kern w:val="0"/>
          <w:szCs w:val="21"/>
          <w:highlight w:val="none"/>
        </w:rPr>
        <w:t>采购人应在采购合同签订之日起 1</w:t>
      </w:r>
      <w:r>
        <w:rPr>
          <w:rFonts w:hint="eastAsia" w:ascii="宋体" w:hAnsi="宋体" w:eastAsia="宋体" w:cs="宋体"/>
          <w:color w:val="000000"/>
          <w:spacing w:val="-4"/>
          <w:kern w:val="0"/>
          <w:szCs w:val="21"/>
          <w:highlight w:val="none"/>
          <w:lang w:val="en-US" w:eastAsia="zh-CN"/>
        </w:rPr>
        <w:t xml:space="preserve"> </w:t>
      </w:r>
      <w:r>
        <w:rPr>
          <w:rFonts w:hint="eastAsia" w:ascii="宋体" w:hAnsi="宋体" w:eastAsia="宋体" w:cs="宋体"/>
          <w:color w:val="000000"/>
          <w:spacing w:val="-4"/>
          <w:kern w:val="0"/>
          <w:szCs w:val="21"/>
          <w:highlight w:val="none"/>
        </w:rPr>
        <w:t>个工作日内将合同报同级财政部门备案。</w:t>
      </w:r>
    </w:p>
    <w:p w14:paraId="06CFE793">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FF0000"/>
          <w:w w:val="97"/>
          <w:kern w:val="0"/>
          <w:sz w:val="36"/>
          <w:szCs w:val="36"/>
          <w:highlight w:val="none"/>
          <w:lang w:eastAsia="zh-CN"/>
        </w:rPr>
      </w:pPr>
      <w:r>
        <w:rPr>
          <w:rFonts w:hint="eastAsia" w:ascii="宋体" w:hAnsi="宋体" w:eastAsia="宋体" w:cs="宋体"/>
          <w:b/>
          <w:w w:val="97"/>
          <w:kern w:val="0"/>
          <w:sz w:val="36"/>
          <w:szCs w:val="36"/>
          <w:highlight w:val="none"/>
        </w:rPr>
        <w:br w:type="page"/>
      </w:r>
      <w:bookmarkStart w:id="13" w:name="_Toc23220"/>
      <w:bookmarkStart w:id="14" w:name="_Toc25556"/>
      <w:r>
        <w:rPr>
          <w:rFonts w:hint="eastAsia" w:ascii="宋体" w:hAnsi="宋体" w:eastAsia="宋体" w:cs="宋体"/>
          <w:b/>
          <w:w w:val="100"/>
          <w:kern w:val="2"/>
          <w:sz w:val="36"/>
          <w:szCs w:val="36"/>
          <w:highlight w:val="none"/>
        </w:rPr>
        <w:t xml:space="preserve">第三章  </w:t>
      </w:r>
      <w:bookmarkEnd w:id="13"/>
      <w:bookmarkEnd w:id="14"/>
      <w:bookmarkStart w:id="15" w:name="_Toc522547233"/>
      <w:r>
        <w:rPr>
          <w:rFonts w:hint="eastAsia" w:ascii="宋体" w:hAnsi="宋体" w:cs="宋体"/>
          <w:b/>
          <w:w w:val="100"/>
          <w:kern w:val="2"/>
          <w:sz w:val="36"/>
          <w:szCs w:val="36"/>
          <w:highlight w:val="none"/>
          <w:lang w:eastAsia="zh-CN"/>
        </w:rPr>
        <w:t>采购内容及要求</w:t>
      </w:r>
    </w:p>
    <w:p w14:paraId="682D42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2"/>
          <w:highlight w:val="none"/>
          <w:lang w:eastAsia="zh-CN"/>
        </w:rPr>
      </w:pPr>
      <w:r>
        <w:rPr>
          <w:rFonts w:hint="eastAsia" w:ascii="宋体" w:hAnsi="宋体" w:eastAsia="宋体" w:cs="宋体"/>
          <w:sz w:val="24"/>
          <w:szCs w:val="22"/>
          <w:highlight w:val="none"/>
          <w:lang w:eastAsia="zh-CN"/>
        </w:rPr>
        <w:t>一</w:t>
      </w:r>
      <w:r>
        <w:rPr>
          <w:rFonts w:hint="eastAsia" w:ascii="宋体" w:hAnsi="宋体" w:cs="宋体"/>
          <w:sz w:val="24"/>
          <w:szCs w:val="22"/>
          <w:highlight w:val="none"/>
          <w:lang w:eastAsia="zh-CN"/>
        </w:rPr>
        <w:t>、项目概况</w:t>
      </w:r>
    </w:p>
    <w:p w14:paraId="3B83A7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2"/>
          <w:highlight w:val="none"/>
          <w:lang w:eastAsia="zh-CN"/>
        </w:rPr>
      </w:pPr>
      <w:r>
        <w:rPr>
          <w:rFonts w:hint="eastAsia" w:ascii="宋体" w:hAnsi="宋体" w:cs="宋体"/>
          <w:sz w:val="24"/>
          <w:szCs w:val="22"/>
          <w:highlight w:val="none"/>
          <w:lang w:eastAsia="zh-CN"/>
        </w:rPr>
        <w:t>1、项目名称：陕州区国有建设用地地籍图成果更新汇交项目</w:t>
      </w:r>
    </w:p>
    <w:p w14:paraId="4AF4D7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2"/>
          <w:highlight w:val="none"/>
          <w:lang w:eastAsia="zh-CN"/>
        </w:rPr>
      </w:pPr>
      <w:r>
        <w:rPr>
          <w:rFonts w:hint="eastAsia" w:ascii="宋体" w:hAnsi="宋体" w:cs="宋体"/>
          <w:sz w:val="24"/>
          <w:szCs w:val="22"/>
          <w:highlight w:val="none"/>
          <w:lang w:eastAsia="zh-CN"/>
        </w:rPr>
        <w:t>2、项目概况：按照地籍数据库标准等规范要求，对各类已有地籍调查成果开展全面整理，升级现有地籍调查数据库或新建地籍数据库，将现势的地籍调查成果完整纳入地籍数据库，并与确权登记成果精准关联，确保图属一致、现实有效。具体相关内容详见竞争性磋商文件。</w:t>
      </w:r>
    </w:p>
    <w:p w14:paraId="386ABD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2"/>
          <w:highlight w:val="none"/>
          <w:lang w:eastAsia="zh-CN"/>
        </w:rPr>
      </w:pPr>
      <w:r>
        <w:rPr>
          <w:rFonts w:hint="eastAsia" w:ascii="宋体" w:hAnsi="宋体" w:cs="宋体"/>
          <w:sz w:val="24"/>
          <w:szCs w:val="22"/>
          <w:highlight w:val="none"/>
          <w:lang w:eastAsia="zh-CN"/>
        </w:rPr>
        <w:t>3、服务要求：达到国家相关规范规定的合格标准，满足采购人需求。</w:t>
      </w:r>
    </w:p>
    <w:p w14:paraId="6BFE84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2"/>
          <w:highlight w:val="none"/>
          <w:lang w:eastAsia="zh-CN"/>
        </w:rPr>
      </w:pPr>
      <w:r>
        <w:rPr>
          <w:rFonts w:hint="eastAsia" w:ascii="宋体" w:hAnsi="宋体" w:cs="宋体"/>
          <w:sz w:val="24"/>
          <w:szCs w:val="22"/>
          <w:highlight w:val="none"/>
          <w:lang w:eastAsia="zh-CN"/>
        </w:rPr>
        <w:t>4、</w:t>
      </w:r>
      <w:r>
        <w:rPr>
          <w:rFonts w:hint="eastAsia" w:ascii="宋体" w:hAnsi="宋体" w:cs="宋体"/>
          <w:sz w:val="24"/>
          <w:szCs w:val="22"/>
          <w:highlight w:val="none"/>
          <w:lang w:val="en-US" w:eastAsia="zh-CN"/>
        </w:rPr>
        <w:t>服务周期</w:t>
      </w:r>
      <w:r>
        <w:rPr>
          <w:rFonts w:hint="eastAsia" w:ascii="宋体" w:hAnsi="宋体" w:cs="宋体"/>
          <w:sz w:val="24"/>
          <w:szCs w:val="22"/>
          <w:highlight w:val="none"/>
          <w:lang w:eastAsia="zh-CN"/>
        </w:rPr>
        <w:t>：签订合同之日起至2026年11月30日，具体日期要求根据采购方项目实施进度要求执行。</w:t>
      </w:r>
    </w:p>
    <w:p w14:paraId="62B575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2"/>
          <w:highlight w:val="none"/>
          <w:lang w:eastAsia="zh-CN"/>
        </w:rPr>
      </w:pPr>
      <w:r>
        <w:rPr>
          <w:rFonts w:hint="eastAsia" w:ascii="宋体" w:hAnsi="宋体" w:cs="宋体"/>
          <w:sz w:val="24"/>
          <w:szCs w:val="22"/>
          <w:highlight w:val="none"/>
          <w:lang w:eastAsia="zh-CN"/>
        </w:rPr>
        <w:t>5、资金来源：财政资金，已落实。</w:t>
      </w:r>
    </w:p>
    <w:p w14:paraId="2A6AA3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2"/>
          <w:highlight w:val="none"/>
          <w:lang w:eastAsia="zh-CN"/>
        </w:rPr>
      </w:pPr>
      <w:r>
        <w:rPr>
          <w:rFonts w:hint="eastAsia" w:ascii="宋体" w:hAnsi="宋体" w:cs="宋体"/>
          <w:sz w:val="24"/>
          <w:szCs w:val="22"/>
          <w:highlight w:val="none"/>
          <w:lang w:eastAsia="zh-CN"/>
        </w:rPr>
        <w:t>6、采购预算（招标控制价）：973900.00元</w:t>
      </w:r>
    </w:p>
    <w:p w14:paraId="6C12B5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sz w:val="24"/>
          <w:szCs w:val="22"/>
          <w:highlight w:val="none"/>
          <w:lang w:val="en-US" w:eastAsia="zh-CN"/>
        </w:rPr>
      </w:pPr>
      <w:r>
        <w:rPr>
          <w:rFonts w:hint="eastAsia" w:ascii="宋体" w:hAnsi="宋体" w:cs="宋体"/>
          <w:sz w:val="24"/>
          <w:szCs w:val="22"/>
          <w:highlight w:val="none"/>
          <w:lang w:eastAsia="zh-CN"/>
        </w:rPr>
        <w:t>二、</w:t>
      </w:r>
      <w:r>
        <w:rPr>
          <w:rFonts w:hint="eastAsia" w:ascii="宋体" w:hAnsi="宋体" w:cs="宋体"/>
          <w:sz w:val="24"/>
          <w:szCs w:val="22"/>
          <w:highlight w:val="none"/>
          <w:lang w:val="en-US" w:eastAsia="zh-CN"/>
        </w:rPr>
        <w:t>项目背景</w:t>
      </w:r>
    </w:p>
    <w:p w14:paraId="6F0CC7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2"/>
          <w:highlight w:val="none"/>
          <w:lang w:val="en-US" w:eastAsia="zh-CN"/>
        </w:rPr>
      </w:pPr>
      <w:r>
        <w:rPr>
          <w:rFonts w:hint="eastAsia" w:ascii="宋体" w:hAnsi="宋体" w:cs="宋体"/>
          <w:sz w:val="24"/>
          <w:szCs w:val="22"/>
          <w:highlight w:val="none"/>
          <w:lang w:val="en-US" w:eastAsia="zh-CN"/>
        </w:rPr>
        <w:t>为贯彻落实《自然资源部办公厅关于加快编制地籍图的通知》(自然资办函〔2024〕1481号)、《关于加快地籍成果入库汇交工作的函》(自然资登记函〔2025〕32号)相关要求、按照《河南省自然资源确权登记局关于做好地籍图编制工作的通知》、《河南省自然资源厅办公室关于做好全省地籍成果入库汇交工作的通知》(豫自然资办函(2025)43号)和《三门峡市自然资源和规划局办公室关于做好地籍图编制工作的通知》文件要求，为城市规划、经济发展提供数据支持,需完成陕州区国有建设用地地籍图成果更新汇交项目。</w:t>
      </w:r>
    </w:p>
    <w:p w14:paraId="56CA87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highlight w:val="none"/>
          <w:lang w:val="en-US" w:eastAsia="zh-CN"/>
        </w:rPr>
      </w:pPr>
      <w:r>
        <w:rPr>
          <w:rFonts w:hint="eastAsia" w:ascii="宋体" w:hAnsi="宋体" w:cs="宋体"/>
          <w:sz w:val="24"/>
          <w:szCs w:val="22"/>
          <w:highlight w:val="none"/>
          <w:lang w:val="en-US" w:eastAsia="zh-CN"/>
        </w:rPr>
        <w:t>三、采购</w:t>
      </w:r>
      <w:r>
        <w:rPr>
          <w:rFonts w:hint="eastAsia" w:ascii="宋体" w:hAnsi="宋体" w:eastAsia="宋体" w:cs="宋体"/>
          <w:sz w:val="24"/>
          <w:szCs w:val="22"/>
          <w:highlight w:val="none"/>
          <w:lang w:eastAsia="zh-CN"/>
        </w:rPr>
        <w:t>内容</w:t>
      </w:r>
    </w:p>
    <w:p w14:paraId="3EBFE2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2"/>
          <w:highlight w:val="none"/>
          <w:lang w:val="en-US" w:eastAsia="zh-CN"/>
        </w:rPr>
      </w:pPr>
      <w:r>
        <w:rPr>
          <w:rFonts w:hint="eastAsia" w:ascii="宋体" w:hAnsi="宋体" w:cs="宋体"/>
          <w:sz w:val="24"/>
          <w:szCs w:val="22"/>
          <w:highlight w:val="none"/>
          <w:lang w:val="en-US" w:eastAsia="zh-CN"/>
        </w:rPr>
        <w:t>1、准备工作：资料收集分析整理；权籍底图整理与制作、打印；对已有数据整理分析；编制实施方案。</w:t>
      </w:r>
    </w:p>
    <w:p w14:paraId="5BD0CA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sz w:val="24"/>
          <w:szCs w:val="22"/>
          <w:highlight w:val="none"/>
          <w:lang w:val="en-US" w:eastAsia="zh-CN"/>
        </w:rPr>
      </w:pPr>
      <w:r>
        <w:rPr>
          <w:rFonts w:hint="eastAsia" w:ascii="宋体" w:hAnsi="宋体" w:cs="宋体"/>
          <w:sz w:val="24"/>
          <w:szCs w:val="22"/>
          <w:highlight w:val="none"/>
          <w:lang w:val="en-US" w:eastAsia="zh-CN"/>
        </w:rPr>
        <w:t>2、国有建设用地数据采集与规范化</w:t>
      </w:r>
    </w:p>
    <w:p w14:paraId="0D0284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2"/>
          <w:highlight w:val="none"/>
          <w:lang w:val="en-US" w:eastAsia="zh-CN"/>
        </w:rPr>
      </w:pPr>
      <w:r>
        <w:rPr>
          <w:rFonts w:hint="eastAsia" w:ascii="宋体" w:hAnsi="宋体" w:cs="宋体"/>
          <w:sz w:val="24"/>
          <w:szCs w:val="22"/>
          <w:highlight w:val="none"/>
          <w:lang w:val="en-US" w:eastAsia="zh-CN"/>
        </w:rPr>
        <w:t>（1）已登记发证的：对所采集扫描资料整理，形成采集数据库；对已发证信息与采集信息对比，关联历史发证台账信息；对汇交后数据资料进行归档。</w:t>
      </w:r>
    </w:p>
    <w:p w14:paraId="4FB4A8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2"/>
          <w:highlight w:val="none"/>
          <w:lang w:val="en-US" w:eastAsia="zh-CN"/>
        </w:rPr>
      </w:pPr>
      <w:r>
        <w:rPr>
          <w:rFonts w:hint="eastAsia" w:ascii="宋体" w:hAnsi="宋体" w:cs="宋体"/>
          <w:sz w:val="24"/>
          <w:szCs w:val="22"/>
          <w:highlight w:val="none"/>
          <w:lang w:val="en-US" w:eastAsia="zh-CN"/>
        </w:rPr>
        <w:t>（2）未登记发证的：</w:t>
      </w:r>
    </w:p>
    <w:p w14:paraId="79D2FF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2"/>
          <w:highlight w:val="none"/>
          <w:lang w:val="en-US" w:eastAsia="zh-CN"/>
        </w:rPr>
      </w:pPr>
      <w:r>
        <w:rPr>
          <w:rFonts w:hint="eastAsia" w:ascii="宋体" w:hAnsi="宋体" w:cs="宋体"/>
          <w:sz w:val="24"/>
          <w:szCs w:val="22"/>
          <w:highlight w:val="none"/>
          <w:lang w:val="en-US" w:eastAsia="zh-CN"/>
        </w:rPr>
        <w:t>①对所采集扫描资料整理：对采集数据整理。对占建设用地、基本农田、生态保红线各类保护区叠加形成分类面积表。</w:t>
      </w:r>
    </w:p>
    <w:p w14:paraId="154444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2"/>
          <w:highlight w:val="none"/>
          <w:lang w:val="en-US" w:eastAsia="zh-CN"/>
        </w:rPr>
      </w:pPr>
      <w:r>
        <w:rPr>
          <w:rFonts w:hint="eastAsia" w:ascii="宋体" w:hAnsi="宋体" w:cs="宋体"/>
          <w:sz w:val="24"/>
          <w:szCs w:val="22"/>
          <w:highlight w:val="none"/>
          <w:lang w:val="en-US" w:eastAsia="zh-CN"/>
        </w:rPr>
        <w:t>②进行1：500的地形图引点测绘，房产分幅图测绘。</w:t>
      </w:r>
    </w:p>
    <w:p w14:paraId="158D05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2"/>
          <w:highlight w:val="none"/>
          <w:lang w:val="en-US" w:eastAsia="zh-CN"/>
        </w:rPr>
      </w:pPr>
      <w:r>
        <w:rPr>
          <w:rFonts w:hint="eastAsia" w:ascii="宋体" w:hAnsi="宋体" w:cs="宋体"/>
          <w:sz w:val="24"/>
          <w:szCs w:val="22"/>
          <w:highlight w:val="none"/>
          <w:lang w:val="en-US" w:eastAsia="zh-CN"/>
        </w:rPr>
        <w:t>③开展权籍调查、开展房屋调查工作。</w:t>
      </w:r>
    </w:p>
    <w:p w14:paraId="51F268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2"/>
          <w:highlight w:val="none"/>
          <w:lang w:val="en-US" w:eastAsia="zh-CN"/>
        </w:rPr>
      </w:pPr>
      <w:r>
        <w:rPr>
          <w:rFonts w:hint="eastAsia" w:ascii="宋体" w:hAnsi="宋体" w:cs="宋体"/>
          <w:sz w:val="24"/>
          <w:szCs w:val="22"/>
          <w:highlight w:val="none"/>
          <w:lang w:val="en-US" w:eastAsia="zh-CN"/>
        </w:rPr>
        <w:t>④制作宗地图、档案资料扫描、建立数据库。</w:t>
      </w:r>
    </w:p>
    <w:p w14:paraId="27FF0B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2"/>
          <w:highlight w:val="none"/>
          <w:lang w:val="en-US" w:eastAsia="zh-CN"/>
        </w:rPr>
      </w:pPr>
      <w:r>
        <w:rPr>
          <w:rFonts w:hint="eastAsia" w:ascii="宋体" w:hAnsi="宋体" w:cs="宋体"/>
          <w:sz w:val="24"/>
          <w:szCs w:val="22"/>
          <w:highlight w:val="none"/>
          <w:lang w:val="en-US" w:eastAsia="zh-CN"/>
        </w:rPr>
        <w:t>四、服务周期</w:t>
      </w:r>
    </w:p>
    <w:p w14:paraId="0A96A5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sz w:val="24"/>
          <w:szCs w:val="22"/>
          <w:highlight w:val="none"/>
          <w:lang w:val="en-US" w:eastAsia="zh-CN"/>
        </w:rPr>
      </w:pPr>
      <w:r>
        <w:rPr>
          <w:rFonts w:hint="default" w:ascii="宋体" w:hAnsi="宋体" w:cs="宋体"/>
          <w:sz w:val="24"/>
          <w:szCs w:val="22"/>
          <w:highlight w:val="none"/>
          <w:lang w:val="en-US" w:eastAsia="zh-CN"/>
        </w:rPr>
        <w:t>签订合同之日起至2026年11月30日，具体日期要求根据采购方项目实施进度要求执行。</w:t>
      </w:r>
    </w:p>
    <w:p w14:paraId="533301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2"/>
          <w:highlight w:val="none"/>
          <w:lang w:val="en-US" w:eastAsia="zh-CN"/>
        </w:rPr>
      </w:pPr>
      <w:r>
        <w:rPr>
          <w:rFonts w:hint="eastAsia" w:ascii="宋体" w:hAnsi="宋体" w:cs="宋体"/>
          <w:sz w:val="24"/>
          <w:szCs w:val="22"/>
          <w:highlight w:val="none"/>
          <w:lang w:val="en-US" w:eastAsia="zh-CN"/>
        </w:rPr>
        <w:t>五、其他要求</w:t>
      </w:r>
    </w:p>
    <w:p w14:paraId="1D88E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2"/>
          <w:highlight w:val="none"/>
          <w:lang w:val="en-US" w:eastAsia="zh-CN"/>
        </w:rPr>
      </w:pPr>
      <w:r>
        <w:rPr>
          <w:rFonts w:hint="eastAsia" w:ascii="宋体" w:hAnsi="宋体" w:cs="宋体"/>
          <w:sz w:val="24"/>
          <w:szCs w:val="22"/>
          <w:highlight w:val="none"/>
          <w:lang w:val="en-US" w:eastAsia="zh-CN"/>
        </w:rPr>
        <w:t>1、项目成果最终所有权属采购人。</w:t>
      </w:r>
    </w:p>
    <w:p w14:paraId="32559C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2"/>
          <w:highlight w:val="none"/>
          <w:lang w:val="en-US" w:eastAsia="zh-CN"/>
        </w:rPr>
      </w:pPr>
      <w:r>
        <w:rPr>
          <w:rFonts w:hint="eastAsia" w:ascii="宋体" w:hAnsi="宋体" w:cs="宋体"/>
          <w:sz w:val="24"/>
          <w:szCs w:val="22"/>
          <w:highlight w:val="none"/>
          <w:lang w:val="en-US" w:eastAsia="zh-CN"/>
        </w:rPr>
        <w:t>2、供应商保证提供的服务及相关的软件和技术资料，均已得到有关知识产权的权利人的合法授权。如发生涉及到专利权、著作权、商标权等争议，供应商负责处理，并承担由此引起的全部法律及经济责任。</w:t>
      </w:r>
    </w:p>
    <w:p w14:paraId="204D6E49">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w w:val="97"/>
          <w:kern w:val="0"/>
          <w:sz w:val="36"/>
          <w:szCs w:val="36"/>
          <w:highlight w:val="none"/>
        </w:rPr>
      </w:pPr>
      <w:r>
        <w:rPr>
          <w:rFonts w:hint="eastAsia" w:ascii="宋体" w:hAnsi="宋体" w:eastAsia="宋体" w:cs="宋体"/>
          <w:b/>
          <w:szCs w:val="36"/>
          <w:highlight w:val="none"/>
        </w:rPr>
        <w:br w:type="page"/>
      </w:r>
      <w:bookmarkStart w:id="16" w:name="_Toc29755"/>
      <w:bookmarkStart w:id="17" w:name="_Toc2799"/>
      <w:r>
        <w:rPr>
          <w:rFonts w:hint="eastAsia" w:ascii="宋体" w:hAnsi="宋体" w:eastAsia="宋体" w:cs="宋体"/>
          <w:b/>
          <w:w w:val="100"/>
          <w:kern w:val="2"/>
          <w:sz w:val="36"/>
          <w:szCs w:val="36"/>
          <w:highlight w:val="none"/>
        </w:rPr>
        <w:t>第四章  合同条款及合同文件格式</w:t>
      </w:r>
      <w:bookmarkEnd w:id="15"/>
      <w:bookmarkEnd w:id="16"/>
      <w:bookmarkEnd w:id="17"/>
    </w:p>
    <w:p w14:paraId="6112C35B">
      <w:pPr>
        <w:pStyle w:val="13"/>
        <w:keepNext w:val="0"/>
        <w:pageBreakBefore w:val="0"/>
        <w:overflowPunct/>
        <w:bidi w:val="0"/>
        <w:spacing w:line="360" w:lineRule="auto"/>
        <w:jc w:val="center"/>
        <w:rPr>
          <w:rFonts w:hint="eastAsia" w:ascii="宋体" w:hAnsi="宋体" w:eastAsia="宋体" w:cs="宋体"/>
          <w:highlight w:val="none"/>
        </w:rPr>
      </w:pPr>
      <w:r>
        <w:rPr>
          <w:rFonts w:hint="eastAsia" w:ascii="宋体" w:hAnsi="宋体" w:eastAsia="宋体" w:cs="宋体"/>
          <w:highlight w:val="none"/>
        </w:rPr>
        <w:t>（合同格式仅供参考，以实际签订合同格式为准）</w:t>
      </w:r>
    </w:p>
    <w:p w14:paraId="623B4276">
      <w:pPr>
        <w:keepNext w:val="0"/>
        <w:keepLines w:val="0"/>
        <w:pageBreakBefore w:val="0"/>
        <w:widowControl/>
        <w:kinsoku/>
        <w:wordWrap/>
        <w:overflowPunct/>
        <w:topLinePunct w:val="0"/>
        <w:bidi w:val="0"/>
        <w:spacing w:line="360" w:lineRule="auto"/>
        <w:ind w:firstLine="480" w:firstLineChars="200"/>
        <w:textAlignment w:val="auto"/>
        <w:outlineLvl w:val="9"/>
        <w:rPr>
          <w:rFonts w:hint="eastAsia" w:ascii="宋体" w:hAnsi="宋体" w:eastAsia="宋体" w:cs="宋体"/>
          <w:kern w:val="0"/>
          <w:szCs w:val="24"/>
          <w:highlight w:val="none"/>
        </w:rPr>
      </w:pPr>
      <w:r>
        <w:rPr>
          <w:rFonts w:hint="eastAsia" w:ascii="宋体" w:hAnsi="宋体" w:eastAsia="宋体" w:cs="宋体"/>
          <w:kern w:val="0"/>
          <w:szCs w:val="24"/>
          <w:highlight w:val="none"/>
        </w:rPr>
        <w:t>根据《中华人民共和国合同法》和有关法律法规及具体工作需要，经双方协商一致，签订本合同，共同执行。</w:t>
      </w:r>
    </w:p>
    <w:p w14:paraId="2D1601F7">
      <w:pPr>
        <w:keepNext w:val="0"/>
        <w:keepLines w:val="0"/>
        <w:pageBreakBefore w:val="0"/>
        <w:widowControl/>
        <w:kinsoku/>
        <w:wordWrap/>
        <w:overflowPunct/>
        <w:topLinePunct w:val="0"/>
        <w:bidi w:val="0"/>
        <w:spacing w:line="360" w:lineRule="auto"/>
        <w:ind w:firstLine="482" w:firstLineChars="200"/>
        <w:textAlignment w:val="auto"/>
        <w:outlineLvl w:val="9"/>
        <w:rPr>
          <w:rFonts w:hint="eastAsia" w:ascii="宋体" w:hAnsi="宋体" w:eastAsia="宋体" w:cs="宋体"/>
          <w:b/>
          <w:bCs/>
          <w:kern w:val="0"/>
          <w:szCs w:val="24"/>
          <w:highlight w:val="none"/>
        </w:rPr>
      </w:pPr>
      <w:r>
        <w:rPr>
          <w:rFonts w:hint="eastAsia" w:ascii="宋体" w:hAnsi="宋体" w:eastAsia="宋体" w:cs="宋体"/>
          <w:b/>
          <w:bCs/>
          <w:kern w:val="0"/>
          <w:szCs w:val="24"/>
          <w:highlight w:val="none"/>
        </w:rPr>
        <w:t>第一条  本项目的名称、范围及内容</w:t>
      </w:r>
    </w:p>
    <w:p w14:paraId="6541B493">
      <w:pPr>
        <w:keepNext w:val="0"/>
        <w:keepLines w:val="0"/>
        <w:pageBreakBefore w:val="0"/>
        <w:widowControl/>
        <w:kinsoku/>
        <w:wordWrap/>
        <w:overflowPunct/>
        <w:topLinePunct w:val="0"/>
        <w:bidi w:val="0"/>
        <w:spacing w:line="360" w:lineRule="auto"/>
        <w:ind w:firstLine="482" w:firstLineChars="200"/>
        <w:textAlignment w:val="auto"/>
        <w:outlineLvl w:val="9"/>
        <w:rPr>
          <w:rFonts w:hint="eastAsia" w:ascii="宋体" w:hAnsi="宋体" w:eastAsia="宋体" w:cs="宋体"/>
          <w:b/>
          <w:bCs/>
          <w:kern w:val="0"/>
          <w:szCs w:val="24"/>
          <w:highlight w:val="none"/>
          <w:u w:val="single"/>
        </w:rPr>
      </w:pPr>
      <w:r>
        <w:rPr>
          <w:rFonts w:hint="eastAsia" w:ascii="宋体" w:hAnsi="宋体" w:eastAsia="宋体" w:cs="宋体"/>
          <w:b/>
          <w:bCs/>
          <w:kern w:val="0"/>
          <w:szCs w:val="24"/>
          <w:highlight w:val="none"/>
        </w:rPr>
        <w:t>1.1  项目名称：</w:t>
      </w:r>
    </w:p>
    <w:p w14:paraId="0A7280F9">
      <w:pPr>
        <w:keepNext w:val="0"/>
        <w:keepLines w:val="0"/>
        <w:pageBreakBefore w:val="0"/>
        <w:widowControl/>
        <w:kinsoku/>
        <w:wordWrap/>
        <w:overflowPunct/>
        <w:topLinePunct w:val="0"/>
        <w:bidi w:val="0"/>
        <w:spacing w:line="360" w:lineRule="auto"/>
        <w:ind w:firstLine="482" w:firstLineChars="200"/>
        <w:textAlignment w:val="auto"/>
        <w:outlineLvl w:val="9"/>
        <w:rPr>
          <w:rFonts w:hint="eastAsia" w:ascii="宋体" w:hAnsi="宋体" w:eastAsia="宋体" w:cs="宋体"/>
          <w:b/>
          <w:bCs/>
          <w:kern w:val="0"/>
          <w:szCs w:val="24"/>
          <w:highlight w:val="none"/>
          <w:u w:val="single"/>
        </w:rPr>
      </w:pPr>
      <w:r>
        <w:rPr>
          <w:rFonts w:hint="eastAsia" w:ascii="宋体" w:hAnsi="宋体" w:eastAsia="宋体" w:cs="宋体"/>
          <w:b/>
          <w:bCs/>
          <w:kern w:val="0"/>
          <w:szCs w:val="24"/>
          <w:highlight w:val="none"/>
        </w:rPr>
        <w:t>1.2  项目范围：</w:t>
      </w:r>
    </w:p>
    <w:p w14:paraId="4B49C028">
      <w:pPr>
        <w:keepNext w:val="0"/>
        <w:keepLines w:val="0"/>
        <w:pageBreakBefore w:val="0"/>
        <w:widowControl/>
        <w:kinsoku/>
        <w:wordWrap/>
        <w:overflowPunct/>
        <w:topLinePunct w:val="0"/>
        <w:bidi w:val="0"/>
        <w:spacing w:line="360" w:lineRule="auto"/>
        <w:ind w:firstLine="482" w:firstLineChars="200"/>
        <w:textAlignment w:val="auto"/>
        <w:outlineLvl w:val="9"/>
        <w:rPr>
          <w:rFonts w:hint="eastAsia" w:ascii="宋体" w:hAnsi="宋体" w:eastAsia="宋体" w:cs="宋体"/>
          <w:b/>
          <w:bCs/>
          <w:kern w:val="0"/>
          <w:szCs w:val="24"/>
          <w:highlight w:val="none"/>
          <w:u w:val="single"/>
        </w:rPr>
      </w:pPr>
      <w:r>
        <w:rPr>
          <w:rFonts w:hint="eastAsia" w:ascii="宋体" w:hAnsi="宋体" w:eastAsia="宋体" w:cs="宋体"/>
          <w:b/>
          <w:bCs/>
          <w:kern w:val="0"/>
          <w:szCs w:val="24"/>
          <w:highlight w:val="none"/>
        </w:rPr>
        <w:t>1.3  项目内容：</w:t>
      </w:r>
    </w:p>
    <w:p w14:paraId="59E7D44D">
      <w:pPr>
        <w:keepNext w:val="0"/>
        <w:keepLines w:val="0"/>
        <w:pageBreakBefore w:val="0"/>
        <w:widowControl/>
        <w:kinsoku/>
        <w:wordWrap/>
        <w:overflowPunct/>
        <w:topLinePunct w:val="0"/>
        <w:bidi w:val="0"/>
        <w:spacing w:line="360" w:lineRule="auto"/>
        <w:ind w:firstLine="482" w:firstLineChars="200"/>
        <w:textAlignment w:val="auto"/>
        <w:outlineLvl w:val="9"/>
        <w:rPr>
          <w:rFonts w:hint="eastAsia" w:ascii="宋体" w:hAnsi="宋体" w:eastAsia="宋体" w:cs="宋体"/>
          <w:b/>
          <w:bCs/>
          <w:kern w:val="0"/>
          <w:szCs w:val="24"/>
          <w:highlight w:val="none"/>
        </w:rPr>
      </w:pPr>
      <w:r>
        <w:rPr>
          <w:rFonts w:hint="eastAsia" w:ascii="宋体" w:hAnsi="宋体" w:eastAsia="宋体" w:cs="宋体"/>
          <w:b/>
          <w:bCs/>
          <w:kern w:val="0"/>
          <w:szCs w:val="24"/>
          <w:highlight w:val="none"/>
        </w:rPr>
        <w:t>第二条  技术标准及编制依据</w:t>
      </w:r>
    </w:p>
    <w:p w14:paraId="271C0D34">
      <w:pPr>
        <w:keepNext w:val="0"/>
        <w:keepLines w:val="0"/>
        <w:pageBreakBefore w:val="0"/>
        <w:widowControl/>
        <w:kinsoku/>
        <w:wordWrap/>
        <w:overflowPunct/>
        <w:topLinePunct w:val="0"/>
        <w:bidi w:val="0"/>
        <w:spacing w:line="360" w:lineRule="auto"/>
        <w:ind w:firstLine="480" w:firstLineChars="200"/>
        <w:textAlignment w:val="auto"/>
        <w:outlineLvl w:val="9"/>
        <w:rPr>
          <w:rFonts w:hint="eastAsia" w:ascii="宋体" w:hAnsi="宋体" w:eastAsia="宋体" w:cs="宋体"/>
          <w:kern w:val="0"/>
          <w:szCs w:val="24"/>
          <w:highlight w:val="none"/>
        </w:rPr>
      </w:pPr>
      <w:r>
        <w:rPr>
          <w:rFonts w:hint="eastAsia" w:ascii="宋体" w:hAnsi="宋体" w:eastAsia="宋体" w:cs="宋体"/>
          <w:kern w:val="0"/>
          <w:szCs w:val="24"/>
          <w:highlight w:val="none"/>
        </w:rPr>
        <w:t>执行国家现行最新的有关标准、规范、规程、规定</w:t>
      </w:r>
    </w:p>
    <w:p w14:paraId="3C9CA2F2">
      <w:pPr>
        <w:keepNext w:val="0"/>
        <w:keepLines w:val="0"/>
        <w:pageBreakBefore w:val="0"/>
        <w:widowControl/>
        <w:kinsoku/>
        <w:wordWrap/>
        <w:overflowPunct/>
        <w:topLinePunct w:val="0"/>
        <w:bidi w:val="0"/>
        <w:spacing w:line="360" w:lineRule="auto"/>
        <w:ind w:firstLine="482" w:firstLineChars="200"/>
        <w:textAlignment w:val="auto"/>
        <w:outlineLvl w:val="9"/>
        <w:rPr>
          <w:rFonts w:hint="eastAsia" w:ascii="宋体" w:hAnsi="宋体" w:eastAsia="宋体" w:cs="宋体"/>
          <w:b/>
          <w:bCs/>
          <w:kern w:val="0"/>
          <w:szCs w:val="24"/>
          <w:highlight w:val="none"/>
        </w:rPr>
      </w:pPr>
      <w:r>
        <w:rPr>
          <w:rFonts w:hint="eastAsia" w:ascii="宋体" w:hAnsi="宋体" w:eastAsia="宋体" w:cs="宋体"/>
          <w:b/>
          <w:bCs/>
          <w:kern w:val="0"/>
          <w:szCs w:val="24"/>
          <w:highlight w:val="none"/>
        </w:rPr>
        <w:t>第三条  甲方提交的有关资料</w:t>
      </w:r>
    </w:p>
    <w:p w14:paraId="10754084">
      <w:pPr>
        <w:keepNext w:val="0"/>
        <w:keepLines w:val="0"/>
        <w:pageBreakBefore w:val="0"/>
        <w:widowControl/>
        <w:kinsoku/>
        <w:wordWrap/>
        <w:overflowPunct/>
        <w:topLinePunct w:val="0"/>
        <w:bidi w:val="0"/>
        <w:spacing w:line="360" w:lineRule="auto"/>
        <w:ind w:firstLine="482" w:firstLineChars="200"/>
        <w:textAlignment w:val="auto"/>
        <w:outlineLvl w:val="9"/>
        <w:rPr>
          <w:rFonts w:hint="eastAsia" w:ascii="宋体" w:hAnsi="宋体" w:eastAsia="宋体" w:cs="宋体"/>
          <w:b/>
          <w:bCs/>
          <w:kern w:val="0"/>
          <w:szCs w:val="24"/>
          <w:highlight w:val="none"/>
        </w:rPr>
      </w:pPr>
      <w:r>
        <w:rPr>
          <w:rFonts w:hint="eastAsia" w:ascii="宋体" w:hAnsi="宋体" w:eastAsia="宋体" w:cs="宋体"/>
          <w:b/>
          <w:bCs/>
          <w:kern w:val="0"/>
          <w:szCs w:val="24"/>
          <w:highlight w:val="none"/>
        </w:rPr>
        <w:t>第四条  甲方责任义务</w:t>
      </w:r>
    </w:p>
    <w:p w14:paraId="69B3752B">
      <w:pPr>
        <w:keepNext w:val="0"/>
        <w:keepLines w:val="0"/>
        <w:pageBreakBefore w:val="0"/>
        <w:widowControl/>
        <w:kinsoku/>
        <w:wordWrap/>
        <w:overflowPunct/>
        <w:topLinePunct w:val="0"/>
        <w:bidi w:val="0"/>
        <w:spacing w:line="360" w:lineRule="auto"/>
        <w:ind w:firstLine="480" w:firstLineChars="200"/>
        <w:textAlignment w:val="auto"/>
        <w:outlineLvl w:val="9"/>
        <w:rPr>
          <w:rFonts w:hint="eastAsia" w:ascii="宋体" w:hAnsi="宋体" w:eastAsia="宋体" w:cs="宋体"/>
          <w:kern w:val="0"/>
          <w:szCs w:val="24"/>
          <w:highlight w:val="none"/>
        </w:rPr>
      </w:pPr>
      <w:r>
        <w:rPr>
          <w:rFonts w:hint="eastAsia" w:ascii="宋体" w:hAnsi="宋体" w:eastAsia="宋体" w:cs="宋体"/>
          <w:kern w:val="0"/>
          <w:szCs w:val="24"/>
          <w:highlight w:val="none"/>
        </w:rPr>
        <w:t>4.1  甲方变更委托项目内容或因其它甲方原因，导致乙方工作返工的，双方应另行协商签订补充协议。</w:t>
      </w:r>
    </w:p>
    <w:p w14:paraId="4DB47651">
      <w:pPr>
        <w:keepNext w:val="0"/>
        <w:keepLines w:val="0"/>
        <w:pageBreakBefore w:val="0"/>
        <w:widowControl/>
        <w:kinsoku/>
        <w:wordWrap/>
        <w:overflowPunct/>
        <w:topLinePunct w:val="0"/>
        <w:bidi w:val="0"/>
        <w:spacing w:line="360" w:lineRule="auto"/>
        <w:ind w:firstLine="480" w:firstLineChars="200"/>
        <w:textAlignment w:val="auto"/>
        <w:outlineLvl w:val="9"/>
        <w:rPr>
          <w:rFonts w:hint="eastAsia" w:ascii="宋体" w:hAnsi="宋体" w:eastAsia="宋体" w:cs="宋体"/>
          <w:kern w:val="0"/>
          <w:szCs w:val="24"/>
          <w:highlight w:val="none"/>
        </w:rPr>
      </w:pPr>
      <w:r>
        <w:rPr>
          <w:rFonts w:hint="eastAsia" w:ascii="宋体" w:hAnsi="宋体" w:eastAsia="宋体" w:cs="宋体"/>
          <w:kern w:val="0"/>
          <w:szCs w:val="24"/>
          <w:highlight w:val="none"/>
        </w:rPr>
        <w:t>4.2  甲方应按本合同约定的金额和日期向乙方支付费用。</w:t>
      </w:r>
    </w:p>
    <w:p w14:paraId="7FA801E7">
      <w:pPr>
        <w:keepNext w:val="0"/>
        <w:keepLines w:val="0"/>
        <w:pageBreakBefore w:val="0"/>
        <w:widowControl/>
        <w:kinsoku/>
        <w:wordWrap/>
        <w:overflowPunct/>
        <w:topLinePunct w:val="0"/>
        <w:bidi w:val="0"/>
        <w:spacing w:line="360" w:lineRule="auto"/>
        <w:ind w:firstLine="480" w:firstLineChars="200"/>
        <w:textAlignment w:val="auto"/>
        <w:outlineLvl w:val="9"/>
        <w:rPr>
          <w:rFonts w:hint="eastAsia" w:ascii="宋体" w:hAnsi="宋体" w:eastAsia="宋体" w:cs="宋体"/>
          <w:kern w:val="0"/>
          <w:szCs w:val="24"/>
          <w:highlight w:val="none"/>
        </w:rPr>
      </w:pPr>
      <w:r>
        <w:rPr>
          <w:rFonts w:hint="eastAsia" w:ascii="宋体" w:hAnsi="宋体" w:eastAsia="宋体" w:cs="宋体"/>
          <w:kern w:val="0"/>
          <w:szCs w:val="24"/>
          <w:highlight w:val="none"/>
        </w:rPr>
        <w:t>4.3  甲方按本合同第三条规定的内容，向乙方提交基础资料及文件。</w:t>
      </w:r>
    </w:p>
    <w:p w14:paraId="4043D80B">
      <w:pPr>
        <w:keepNext w:val="0"/>
        <w:keepLines w:val="0"/>
        <w:pageBreakBefore w:val="0"/>
        <w:widowControl/>
        <w:kinsoku/>
        <w:wordWrap/>
        <w:overflowPunct/>
        <w:topLinePunct w:val="0"/>
        <w:bidi w:val="0"/>
        <w:spacing w:line="360" w:lineRule="auto"/>
        <w:ind w:firstLine="480" w:firstLineChars="200"/>
        <w:textAlignment w:val="auto"/>
        <w:outlineLvl w:val="9"/>
        <w:rPr>
          <w:rFonts w:hint="eastAsia" w:ascii="宋体" w:hAnsi="宋体" w:eastAsia="宋体" w:cs="宋体"/>
          <w:kern w:val="0"/>
          <w:szCs w:val="24"/>
          <w:highlight w:val="none"/>
        </w:rPr>
      </w:pPr>
      <w:r>
        <w:rPr>
          <w:rFonts w:hint="eastAsia" w:ascii="宋体" w:hAnsi="宋体" w:eastAsia="宋体" w:cs="宋体"/>
          <w:kern w:val="0"/>
          <w:szCs w:val="24"/>
          <w:highlight w:val="none"/>
        </w:rPr>
        <w:t>4.4  甲方为乙方开展现场工作与项目所在地有关部门协调。</w:t>
      </w:r>
    </w:p>
    <w:p w14:paraId="6240B30B">
      <w:pPr>
        <w:keepNext w:val="0"/>
        <w:keepLines w:val="0"/>
        <w:pageBreakBefore w:val="0"/>
        <w:widowControl/>
        <w:kinsoku/>
        <w:wordWrap/>
        <w:overflowPunct/>
        <w:topLinePunct w:val="0"/>
        <w:bidi w:val="0"/>
        <w:spacing w:line="360" w:lineRule="auto"/>
        <w:ind w:firstLine="480" w:firstLineChars="200"/>
        <w:textAlignment w:val="auto"/>
        <w:outlineLvl w:val="9"/>
        <w:rPr>
          <w:rFonts w:hint="eastAsia" w:ascii="宋体" w:hAnsi="宋体" w:eastAsia="宋体" w:cs="宋体"/>
          <w:kern w:val="0"/>
          <w:szCs w:val="24"/>
          <w:highlight w:val="none"/>
        </w:rPr>
      </w:pPr>
      <w:r>
        <w:rPr>
          <w:rFonts w:hint="eastAsia" w:ascii="宋体" w:hAnsi="宋体" w:eastAsia="宋体" w:cs="宋体"/>
          <w:kern w:val="0"/>
          <w:szCs w:val="24"/>
          <w:highlight w:val="none"/>
        </w:rPr>
        <w:t>4.5  甲方组织项目成果审查，并有权要求乙方根据审查意见修改成果。</w:t>
      </w:r>
    </w:p>
    <w:p w14:paraId="18282CD1">
      <w:pPr>
        <w:keepNext w:val="0"/>
        <w:keepLines w:val="0"/>
        <w:pageBreakBefore w:val="0"/>
        <w:widowControl/>
        <w:kinsoku/>
        <w:wordWrap/>
        <w:overflowPunct/>
        <w:topLinePunct w:val="0"/>
        <w:bidi w:val="0"/>
        <w:spacing w:line="360" w:lineRule="auto"/>
        <w:ind w:firstLine="482" w:firstLineChars="200"/>
        <w:textAlignment w:val="auto"/>
        <w:outlineLvl w:val="9"/>
        <w:rPr>
          <w:rFonts w:hint="eastAsia" w:ascii="宋体" w:hAnsi="宋体" w:eastAsia="宋体" w:cs="宋体"/>
          <w:b/>
          <w:bCs/>
          <w:kern w:val="0"/>
          <w:szCs w:val="24"/>
          <w:highlight w:val="none"/>
        </w:rPr>
      </w:pPr>
      <w:r>
        <w:rPr>
          <w:rFonts w:hint="eastAsia" w:ascii="宋体" w:hAnsi="宋体" w:eastAsia="宋体" w:cs="宋体"/>
          <w:b/>
          <w:bCs/>
          <w:kern w:val="0"/>
          <w:szCs w:val="24"/>
          <w:highlight w:val="none"/>
        </w:rPr>
        <w:t>第五条  乙方责任义务</w:t>
      </w:r>
    </w:p>
    <w:p w14:paraId="34707E05">
      <w:pPr>
        <w:keepNext w:val="0"/>
        <w:keepLines w:val="0"/>
        <w:pageBreakBefore w:val="0"/>
        <w:widowControl/>
        <w:kinsoku/>
        <w:wordWrap/>
        <w:overflowPunct/>
        <w:topLinePunct w:val="0"/>
        <w:bidi w:val="0"/>
        <w:spacing w:line="360" w:lineRule="auto"/>
        <w:ind w:firstLine="480" w:firstLineChars="200"/>
        <w:textAlignment w:val="auto"/>
        <w:outlineLvl w:val="9"/>
        <w:rPr>
          <w:rFonts w:hint="eastAsia" w:ascii="宋体" w:hAnsi="宋体" w:eastAsia="宋体" w:cs="宋体"/>
          <w:kern w:val="0"/>
          <w:szCs w:val="24"/>
          <w:highlight w:val="none"/>
        </w:rPr>
      </w:pPr>
      <w:r>
        <w:rPr>
          <w:rFonts w:hint="eastAsia" w:ascii="宋体" w:hAnsi="宋体" w:eastAsia="宋体" w:cs="宋体"/>
          <w:kern w:val="0"/>
          <w:szCs w:val="24"/>
          <w:highlight w:val="none"/>
        </w:rPr>
        <w:t>5.1  乙方应按国家规定和合同约定的技术规范、标准进行编制，按本合同规定的内容、时间及份数向甲方交付成果，并对提交的成果的质量负责。</w:t>
      </w:r>
    </w:p>
    <w:p w14:paraId="172751F4">
      <w:pPr>
        <w:keepNext w:val="0"/>
        <w:keepLines w:val="0"/>
        <w:pageBreakBefore w:val="0"/>
        <w:widowControl/>
        <w:kinsoku/>
        <w:wordWrap/>
        <w:overflowPunct/>
        <w:topLinePunct w:val="0"/>
        <w:bidi w:val="0"/>
        <w:spacing w:line="360" w:lineRule="auto"/>
        <w:ind w:firstLine="480" w:firstLineChars="200"/>
        <w:textAlignment w:val="auto"/>
        <w:outlineLvl w:val="9"/>
        <w:rPr>
          <w:rFonts w:hint="eastAsia" w:ascii="宋体" w:hAnsi="宋体" w:eastAsia="宋体" w:cs="宋体"/>
          <w:kern w:val="0"/>
          <w:szCs w:val="24"/>
          <w:highlight w:val="none"/>
        </w:rPr>
      </w:pPr>
      <w:r>
        <w:rPr>
          <w:rFonts w:hint="eastAsia" w:ascii="宋体" w:hAnsi="宋体" w:eastAsia="宋体" w:cs="宋体"/>
          <w:kern w:val="0"/>
          <w:szCs w:val="24"/>
          <w:highlight w:val="none"/>
        </w:rPr>
        <w:t>5.2  乙方交付成果后，应参加有关部门的审查，并根据审查意见作必要的修改和完善。</w:t>
      </w:r>
    </w:p>
    <w:p w14:paraId="4E796D00">
      <w:pPr>
        <w:keepNext w:val="0"/>
        <w:keepLines w:val="0"/>
        <w:pageBreakBefore w:val="0"/>
        <w:widowControl/>
        <w:kinsoku/>
        <w:wordWrap/>
        <w:overflowPunct/>
        <w:topLinePunct w:val="0"/>
        <w:bidi w:val="0"/>
        <w:spacing w:line="360" w:lineRule="auto"/>
        <w:ind w:firstLine="482" w:firstLineChars="200"/>
        <w:textAlignment w:val="auto"/>
        <w:outlineLvl w:val="9"/>
        <w:rPr>
          <w:rFonts w:hint="eastAsia" w:ascii="宋体" w:hAnsi="宋体" w:eastAsia="宋体" w:cs="宋体"/>
          <w:b/>
          <w:bCs/>
          <w:kern w:val="0"/>
          <w:szCs w:val="24"/>
          <w:highlight w:val="none"/>
        </w:rPr>
      </w:pPr>
      <w:r>
        <w:rPr>
          <w:rFonts w:hint="eastAsia" w:ascii="宋体" w:hAnsi="宋体" w:eastAsia="宋体" w:cs="宋体"/>
          <w:b/>
          <w:bCs/>
          <w:kern w:val="0"/>
          <w:szCs w:val="24"/>
          <w:highlight w:val="none"/>
        </w:rPr>
        <w:t>第六条  乙方交付的成果</w:t>
      </w:r>
    </w:p>
    <w:p w14:paraId="3FAEB707">
      <w:pPr>
        <w:keepNext w:val="0"/>
        <w:keepLines w:val="0"/>
        <w:pageBreakBefore w:val="0"/>
        <w:widowControl/>
        <w:kinsoku/>
        <w:wordWrap/>
        <w:overflowPunct/>
        <w:topLinePunct w:val="0"/>
        <w:bidi w:val="0"/>
        <w:spacing w:line="360" w:lineRule="auto"/>
        <w:ind w:firstLine="480" w:firstLineChars="200"/>
        <w:textAlignment w:val="auto"/>
        <w:outlineLvl w:val="9"/>
        <w:rPr>
          <w:rFonts w:hint="eastAsia" w:ascii="宋体" w:hAnsi="宋体" w:eastAsia="宋体" w:cs="宋体"/>
          <w:kern w:val="0"/>
          <w:szCs w:val="24"/>
          <w:highlight w:val="none"/>
          <w:u w:val="single"/>
        </w:rPr>
      </w:pPr>
      <w:r>
        <w:rPr>
          <w:rFonts w:hint="eastAsia" w:ascii="宋体" w:hAnsi="宋体" w:eastAsia="宋体" w:cs="宋体"/>
          <w:kern w:val="0"/>
          <w:szCs w:val="24"/>
          <w:highlight w:val="none"/>
        </w:rPr>
        <w:t>6.1  交付的成果：</w:t>
      </w:r>
      <w:r>
        <w:rPr>
          <w:rFonts w:hint="eastAsia" w:ascii="宋体" w:hAnsi="宋体" w:eastAsia="宋体" w:cs="宋体"/>
          <w:kern w:val="0"/>
          <w:szCs w:val="24"/>
          <w:highlight w:val="none"/>
          <w:u w:val="single"/>
        </w:rPr>
        <w:t xml:space="preserve">                       。</w:t>
      </w:r>
    </w:p>
    <w:p w14:paraId="631A399D">
      <w:pPr>
        <w:keepNext w:val="0"/>
        <w:keepLines w:val="0"/>
        <w:pageBreakBefore w:val="0"/>
        <w:widowControl/>
        <w:kinsoku/>
        <w:wordWrap/>
        <w:overflowPunct/>
        <w:topLinePunct w:val="0"/>
        <w:bidi w:val="0"/>
        <w:spacing w:line="360" w:lineRule="auto"/>
        <w:ind w:firstLine="480" w:firstLineChars="200"/>
        <w:textAlignment w:val="auto"/>
        <w:outlineLvl w:val="9"/>
        <w:rPr>
          <w:rFonts w:hint="eastAsia" w:ascii="宋体" w:hAnsi="宋体" w:eastAsia="宋体" w:cs="宋体"/>
          <w:kern w:val="0"/>
          <w:szCs w:val="24"/>
          <w:highlight w:val="none"/>
        </w:rPr>
      </w:pPr>
      <w:r>
        <w:rPr>
          <w:rFonts w:hint="eastAsia" w:ascii="宋体" w:hAnsi="宋体" w:eastAsia="宋体" w:cs="宋体"/>
          <w:kern w:val="0"/>
          <w:szCs w:val="24"/>
          <w:highlight w:val="none"/>
        </w:rPr>
        <w:t>6.2  成果要求：</w:t>
      </w:r>
      <w:r>
        <w:rPr>
          <w:rFonts w:hint="eastAsia" w:ascii="宋体" w:hAnsi="宋体" w:eastAsia="宋体" w:cs="宋体"/>
          <w:kern w:val="0"/>
          <w:szCs w:val="24"/>
          <w:highlight w:val="none"/>
          <w:u w:val="single"/>
        </w:rPr>
        <w:t xml:space="preserve">                         。</w:t>
      </w:r>
      <w:r>
        <w:rPr>
          <w:rFonts w:hint="eastAsia" w:ascii="宋体" w:hAnsi="宋体" w:eastAsia="宋体" w:cs="宋体"/>
          <w:kern w:val="0"/>
          <w:szCs w:val="24"/>
          <w:highlight w:val="none"/>
        </w:rPr>
        <w:t xml:space="preserve"> </w:t>
      </w:r>
    </w:p>
    <w:p w14:paraId="7EE6CF60">
      <w:pPr>
        <w:keepNext w:val="0"/>
        <w:keepLines w:val="0"/>
        <w:pageBreakBefore w:val="0"/>
        <w:widowControl/>
        <w:kinsoku/>
        <w:wordWrap/>
        <w:overflowPunct/>
        <w:topLinePunct w:val="0"/>
        <w:bidi w:val="0"/>
        <w:spacing w:line="360" w:lineRule="auto"/>
        <w:ind w:firstLine="482" w:firstLineChars="200"/>
        <w:textAlignment w:val="auto"/>
        <w:outlineLvl w:val="9"/>
        <w:rPr>
          <w:rFonts w:hint="eastAsia" w:ascii="宋体" w:hAnsi="宋体" w:eastAsia="宋体" w:cs="宋体"/>
          <w:b/>
          <w:bCs/>
          <w:kern w:val="0"/>
          <w:szCs w:val="24"/>
          <w:highlight w:val="none"/>
        </w:rPr>
      </w:pPr>
      <w:r>
        <w:rPr>
          <w:rFonts w:hint="eastAsia" w:ascii="宋体" w:hAnsi="宋体" w:eastAsia="宋体" w:cs="宋体"/>
          <w:b/>
          <w:bCs/>
          <w:kern w:val="0"/>
          <w:szCs w:val="24"/>
          <w:highlight w:val="none"/>
        </w:rPr>
        <w:t>第七条  合同金额</w:t>
      </w:r>
    </w:p>
    <w:p w14:paraId="2DF107EB">
      <w:pPr>
        <w:keepNext w:val="0"/>
        <w:keepLines w:val="0"/>
        <w:pageBreakBefore w:val="0"/>
        <w:widowControl/>
        <w:kinsoku/>
        <w:wordWrap/>
        <w:overflowPunct/>
        <w:topLinePunct w:val="0"/>
        <w:bidi w:val="0"/>
        <w:spacing w:line="360" w:lineRule="auto"/>
        <w:ind w:firstLine="480" w:firstLineChars="200"/>
        <w:textAlignment w:val="auto"/>
        <w:outlineLvl w:val="9"/>
        <w:rPr>
          <w:rFonts w:hint="eastAsia" w:ascii="宋体" w:hAnsi="宋体" w:eastAsia="宋体" w:cs="宋体"/>
          <w:kern w:val="0"/>
          <w:szCs w:val="24"/>
          <w:highlight w:val="none"/>
        </w:rPr>
      </w:pPr>
      <w:r>
        <w:rPr>
          <w:rFonts w:hint="eastAsia" w:ascii="宋体" w:hAnsi="宋体" w:eastAsia="宋体" w:cs="宋体"/>
          <w:kern w:val="0"/>
          <w:szCs w:val="24"/>
          <w:highlight w:val="none"/>
        </w:rPr>
        <w:t>1.按中标价金额作为项目总费用支付乙方，即本合同总计金额为</w:t>
      </w:r>
      <w:r>
        <w:rPr>
          <w:rFonts w:hint="eastAsia" w:ascii="宋体" w:hAnsi="宋体" w:eastAsia="宋体" w:cs="宋体"/>
          <w:kern w:val="0"/>
          <w:szCs w:val="24"/>
          <w:highlight w:val="none"/>
          <w:u w:val="single"/>
        </w:rPr>
        <w:t xml:space="preserve">￥     </w:t>
      </w:r>
      <w:r>
        <w:rPr>
          <w:rFonts w:hint="eastAsia" w:ascii="宋体" w:hAnsi="宋体" w:eastAsia="宋体" w:cs="宋体"/>
          <w:kern w:val="0"/>
          <w:szCs w:val="24"/>
          <w:highlight w:val="none"/>
        </w:rPr>
        <w:t>元（大写：    元整）。</w:t>
      </w:r>
    </w:p>
    <w:p w14:paraId="4AC4F0B2">
      <w:pPr>
        <w:pStyle w:val="31"/>
        <w:keepNext w:val="0"/>
        <w:keepLines w:val="0"/>
        <w:pageBreakBefore w:val="0"/>
        <w:widowControl w:val="0"/>
        <w:tabs>
          <w:tab w:val="left" w:pos="343"/>
        </w:tabs>
        <w:kinsoku/>
        <w:wordWrap/>
        <w:overflowPunct/>
        <w:topLinePunct w:val="0"/>
        <w:bidi w:val="0"/>
        <w:adjustRightInd w:val="0"/>
        <w:snapToGrid w:val="0"/>
        <w:spacing w:line="360" w:lineRule="auto"/>
        <w:ind w:firstLine="440" w:firstLineChars="200"/>
        <w:textAlignment w:val="auto"/>
        <w:rPr>
          <w:rFonts w:hint="eastAsia" w:ascii="宋体" w:hAnsi="宋体" w:eastAsia="宋体" w:cs="宋体"/>
          <w:highlight w:val="none"/>
        </w:rPr>
      </w:pPr>
      <w:r>
        <w:rPr>
          <w:rFonts w:hint="eastAsia" w:ascii="宋体" w:hAnsi="宋体" w:eastAsia="宋体" w:cs="宋体"/>
          <w:highlight w:val="none"/>
        </w:rPr>
        <w:t>2.</w:t>
      </w:r>
      <w:r>
        <w:rPr>
          <w:rFonts w:hint="eastAsia" w:cs="宋体"/>
          <w:sz w:val="24"/>
          <w:szCs w:val="24"/>
          <w:highlight w:val="none"/>
          <w:u w:val="none"/>
          <w:lang w:val="en-US" w:eastAsia="zh-CN"/>
        </w:rPr>
        <w:t>合同价格形式：</w:t>
      </w:r>
      <w:r>
        <w:rPr>
          <w:rFonts w:hint="eastAsia" w:cs="宋体"/>
          <w:sz w:val="24"/>
          <w:szCs w:val="24"/>
          <w:highlight w:val="none"/>
          <w:u w:val="single"/>
          <w:lang w:val="en-US" w:eastAsia="zh-CN"/>
        </w:rPr>
        <w:t xml:space="preserve">  </w:t>
      </w:r>
      <w:r>
        <w:rPr>
          <w:rFonts w:hint="eastAsia" w:cs="宋体"/>
          <w:b/>
          <w:bCs/>
          <w:sz w:val="24"/>
          <w:szCs w:val="24"/>
          <w:highlight w:val="none"/>
          <w:u w:val="single"/>
          <w:lang w:val="en-US" w:eastAsia="zh-CN"/>
        </w:rPr>
        <w:t>固定总价合同</w:t>
      </w:r>
      <w:r>
        <w:rPr>
          <w:rFonts w:hint="eastAsia" w:cs="宋体"/>
          <w:sz w:val="24"/>
          <w:szCs w:val="24"/>
          <w:highlight w:val="none"/>
          <w:u w:val="single"/>
          <w:lang w:val="en-US" w:eastAsia="zh-CN"/>
        </w:rPr>
        <w:t xml:space="preserve">  </w:t>
      </w:r>
      <w:r>
        <w:rPr>
          <w:rFonts w:hint="eastAsia" w:ascii="宋体" w:hAnsi="宋体" w:eastAsia="宋体" w:cs="宋体"/>
          <w:highlight w:val="none"/>
        </w:rPr>
        <w:t>。</w:t>
      </w:r>
    </w:p>
    <w:p w14:paraId="366578A1">
      <w:pPr>
        <w:keepNext w:val="0"/>
        <w:keepLines w:val="0"/>
        <w:pageBreakBefore w:val="0"/>
        <w:widowControl/>
        <w:kinsoku/>
        <w:wordWrap/>
        <w:overflowPunct/>
        <w:topLinePunct w:val="0"/>
        <w:bidi w:val="0"/>
        <w:spacing w:line="360" w:lineRule="auto"/>
        <w:ind w:firstLine="482" w:firstLineChars="200"/>
        <w:textAlignment w:val="auto"/>
        <w:outlineLvl w:val="9"/>
        <w:rPr>
          <w:rFonts w:hint="eastAsia" w:ascii="宋体" w:hAnsi="宋体" w:eastAsia="宋体" w:cs="宋体"/>
          <w:b/>
          <w:bCs/>
          <w:kern w:val="0"/>
          <w:szCs w:val="24"/>
          <w:highlight w:val="none"/>
        </w:rPr>
      </w:pPr>
      <w:r>
        <w:rPr>
          <w:rFonts w:hint="eastAsia" w:ascii="宋体" w:hAnsi="宋体" w:eastAsia="宋体" w:cs="宋体"/>
          <w:b/>
          <w:bCs/>
          <w:kern w:val="0"/>
          <w:szCs w:val="24"/>
          <w:highlight w:val="none"/>
        </w:rPr>
        <w:t>第八条  乙方帐户</w:t>
      </w:r>
    </w:p>
    <w:p w14:paraId="21955449">
      <w:pPr>
        <w:keepNext w:val="0"/>
        <w:keepLines w:val="0"/>
        <w:pageBreakBefore w:val="0"/>
        <w:widowControl/>
        <w:kinsoku/>
        <w:wordWrap/>
        <w:overflowPunct/>
        <w:topLinePunct w:val="0"/>
        <w:bidi w:val="0"/>
        <w:spacing w:line="360" w:lineRule="auto"/>
        <w:ind w:firstLine="482" w:firstLineChars="200"/>
        <w:textAlignment w:val="auto"/>
        <w:outlineLvl w:val="9"/>
        <w:rPr>
          <w:rFonts w:hint="eastAsia" w:ascii="宋体" w:hAnsi="宋体" w:eastAsia="宋体" w:cs="宋体"/>
          <w:b/>
          <w:bCs/>
          <w:kern w:val="0"/>
          <w:szCs w:val="24"/>
          <w:highlight w:val="none"/>
        </w:rPr>
      </w:pPr>
      <w:r>
        <w:rPr>
          <w:rFonts w:hint="eastAsia" w:ascii="宋体" w:hAnsi="宋体" w:eastAsia="宋体" w:cs="宋体"/>
          <w:b/>
          <w:bCs/>
          <w:kern w:val="0"/>
          <w:szCs w:val="24"/>
          <w:highlight w:val="none"/>
        </w:rPr>
        <w:t>8.1  乙方帐户</w:t>
      </w:r>
    </w:p>
    <w:p w14:paraId="6C859F64">
      <w:pPr>
        <w:keepNext w:val="0"/>
        <w:keepLines w:val="0"/>
        <w:pageBreakBefore w:val="0"/>
        <w:widowControl/>
        <w:kinsoku/>
        <w:wordWrap/>
        <w:overflowPunct/>
        <w:topLinePunct w:val="0"/>
        <w:bidi w:val="0"/>
        <w:spacing w:line="360" w:lineRule="auto"/>
        <w:ind w:firstLine="480" w:firstLineChars="200"/>
        <w:textAlignment w:val="auto"/>
        <w:outlineLvl w:val="9"/>
        <w:rPr>
          <w:rFonts w:hint="eastAsia" w:ascii="宋体" w:hAnsi="宋体" w:eastAsia="宋体" w:cs="宋体"/>
          <w:kern w:val="0"/>
          <w:szCs w:val="24"/>
          <w:highlight w:val="none"/>
          <w:u w:val="single"/>
        </w:rPr>
      </w:pPr>
      <w:r>
        <w:rPr>
          <w:rFonts w:hint="eastAsia" w:ascii="宋体" w:hAnsi="宋体" w:eastAsia="宋体" w:cs="宋体"/>
          <w:kern w:val="0"/>
          <w:szCs w:val="24"/>
          <w:highlight w:val="none"/>
        </w:rPr>
        <w:t>乙方单位名称：</w:t>
      </w:r>
    </w:p>
    <w:p w14:paraId="33CC92DD">
      <w:pPr>
        <w:keepNext w:val="0"/>
        <w:keepLines w:val="0"/>
        <w:pageBreakBefore w:val="0"/>
        <w:widowControl/>
        <w:kinsoku/>
        <w:wordWrap/>
        <w:overflowPunct/>
        <w:topLinePunct w:val="0"/>
        <w:bidi w:val="0"/>
        <w:spacing w:line="360" w:lineRule="auto"/>
        <w:ind w:firstLine="480" w:firstLineChars="200"/>
        <w:textAlignment w:val="auto"/>
        <w:outlineLvl w:val="9"/>
        <w:rPr>
          <w:rFonts w:hint="eastAsia" w:ascii="宋体" w:hAnsi="宋体" w:eastAsia="宋体" w:cs="宋体"/>
          <w:kern w:val="0"/>
          <w:szCs w:val="24"/>
          <w:highlight w:val="none"/>
          <w:u w:val="single"/>
        </w:rPr>
      </w:pPr>
      <w:r>
        <w:rPr>
          <w:rFonts w:hint="eastAsia" w:ascii="宋体" w:hAnsi="宋体" w:eastAsia="宋体" w:cs="宋体"/>
          <w:kern w:val="0"/>
          <w:szCs w:val="24"/>
          <w:highlight w:val="none"/>
        </w:rPr>
        <w:t>乙方开户银行：</w:t>
      </w:r>
    </w:p>
    <w:p w14:paraId="32B0FFEB">
      <w:pPr>
        <w:keepNext w:val="0"/>
        <w:keepLines w:val="0"/>
        <w:pageBreakBefore w:val="0"/>
        <w:widowControl/>
        <w:kinsoku/>
        <w:wordWrap/>
        <w:overflowPunct/>
        <w:topLinePunct w:val="0"/>
        <w:bidi w:val="0"/>
        <w:spacing w:line="360" w:lineRule="auto"/>
        <w:ind w:firstLine="480" w:firstLineChars="200"/>
        <w:textAlignment w:val="auto"/>
        <w:outlineLvl w:val="9"/>
        <w:rPr>
          <w:rFonts w:hint="eastAsia" w:ascii="宋体" w:hAnsi="宋体" w:eastAsia="宋体" w:cs="宋体"/>
          <w:kern w:val="0"/>
          <w:szCs w:val="24"/>
          <w:highlight w:val="none"/>
          <w:u w:val="single"/>
        </w:rPr>
      </w:pPr>
      <w:r>
        <w:rPr>
          <w:rFonts w:hint="eastAsia" w:ascii="宋体" w:hAnsi="宋体" w:eastAsia="宋体" w:cs="宋体"/>
          <w:kern w:val="0"/>
          <w:szCs w:val="24"/>
          <w:highlight w:val="none"/>
        </w:rPr>
        <w:t>乙 方 帐 号 ：</w:t>
      </w:r>
    </w:p>
    <w:p w14:paraId="6DCEBAF3">
      <w:pPr>
        <w:keepNext w:val="0"/>
        <w:keepLines w:val="0"/>
        <w:pageBreakBefore w:val="0"/>
        <w:widowControl/>
        <w:kinsoku/>
        <w:wordWrap/>
        <w:overflowPunct/>
        <w:topLinePunct w:val="0"/>
        <w:bidi w:val="0"/>
        <w:spacing w:line="360" w:lineRule="auto"/>
        <w:ind w:firstLine="482" w:firstLineChars="200"/>
        <w:textAlignment w:val="auto"/>
        <w:outlineLvl w:val="9"/>
        <w:rPr>
          <w:rFonts w:hint="eastAsia" w:ascii="宋体" w:hAnsi="宋体" w:eastAsia="宋体" w:cs="宋体"/>
          <w:kern w:val="0"/>
          <w:szCs w:val="24"/>
          <w:highlight w:val="none"/>
        </w:rPr>
      </w:pPr>
      <w:r>
        <w:rPr>
          <w:rFonts w:hint="eastAsia" w:ascii="宋体" w:hAnsi="宋体" w:eastAsia="宋体" w:cs="宋体"/>
          <w:b/>
          <w:bCs/>
          <w:kern w:val="0"/>
          <w:szCs w:val="24"/>
          <w:highlight w:val="none"/>
        </w:rPr>
        <w:t>第九条  违约责任</w:t>
      </w:r>
    </w:p>
    <w:p w14:paraId="700271EE">
      <w:pPr>
        <w:keepNext w:val="0"/>
        <w:keepLines w:val="0"/>
        <w:pageBreakBefore w:val="0"/>
        <w:widowControl/>
        <w:kinsoku/>
        <w:wordWrap/>
        <w:overflowPunct/>
        <w:topLinePunct w:val="0"/>
        <w:bidi w:val="0"/>
        <w:spacing w:line="360" w:lineRule="auto"/>
        <w:ind w:firstLine="480" w:firstLineChars="200"/>
        <w:textAlignment w:val="auto"/>
        <w:outlineLvl w:val="9"/>
        <w:rPr>
          <w:rFonts w:hint="eastAsia" w:ascii="宋体" w:hAnsi="宋体" w:eastAsia="宋体" w:cs="宋体"/>
          <w:kern w:val="0"/>
          <w:szCs w:val="24"/>
          <w:highlight w:val="none"/>
        </w:rPr>
      </w:pPr>
      <w:r>
        <w:rPr>
          <w:rFonts w:hint="eastAsia" w:ascii="宋体" w:hAnsi="宋体" w:eastAsia="宋体" w:cs="宋体"/>
          <w:kern w:val="0"/>
          <w:szCs w:val="24"/>
          <w:highlight w:val="none"/>
        </w:rPr>
        <w:t>9.1  本合同签定后，任意一方违约将承担合同价款</w:t>
      </w:r>
      <w:r>
        <w:rPr>
          <w:rFonts w:hint="eastAsia" w:ascii="宋体" w:hAnsi="宋体" w:eastAsia="宋体" w:cs="宋体"/>
          <w:kern w:val="0"/>
          <w:szCs w:val="24"/>
          <w:highlight w:val="none"/>
          <w:u w:val="single"/>
        </w:rPr>
        <w:t xml:space="preserve">    %</w:t>
      </w:r>
      <w:r>
        <w:rPr>
          <w:rFonts w:hint="eastAsia" w:ascii="宋体" w:hAnsi="宋体" w:eastAsia="宋体" w:cs="宋体"/>
          <w:kern w:val="0"/>
          <w:szCs w:val="24"/>
          <w:highlight w:val="none"/>
        </w:rPr>
        <w:t>的违约金。</w:t>
      </w:r>
    </w:p>
    <w:p w14:paraId="29ABEA5E">
      <w:pPr>
        <w:keepNext w:val="0"/>
        <w:keepLines w:val="0"/>
        <w:pageBreakBefore w:val="0"/>
        <w:widowControl/>
        <w:kinsoku/>
        <w:wordWrap/>
        <w:overflowPunct/>
        <w:topLinePunct w:val="0"/>
        <w:bidi w:val="0"/>
        <w:spacing w:line="360" w:lineRule="auto"/>
        <w:ind w:firstLine="480" w:firstLineChars="200"/>
        <w:textAlignment w:val="auto"/>
        <w:outlineLvl w:val="9"/>
        <w:rPr>
          <w:rFonts w:hint="eastAsia" w:ascii="宋体" w:hAnsi="宋体" w:eastAsia="宋体" w:cs="宋体"/>
          <w:kern w:val="0"/>
          <w:szCs w:val="24"/>
          <w:highlight w:val="none"/>
        </w:rPr>
      </w:pPr>
      <w:r>
        <w:rPr>
          <w:rFonts w:hint="eastAsia" w:ascii="宋体" w:hAnsi="宋体" w:eastAsia="宋体" w:cs="宋体"/>
          <w:kern w:val="0"/>
          <w:szCs w:val="24"/>
          <w:highlight w:val="none"/>
        </w:rPr>
        <w:t>9.2  由于乙方原因造成的</w:t>
      </w:r>
      <w:r>
        <w:rPr>
          <w:rFonts w:hint="eastAsia" w:ascii="宋体" w:hAnsi="宋体" w:cs="宋体"/>
          <w:kern w:val="0"/>
          <w:szCs w:val="24"/>
          <w:highlight w:val="none"/>
          <w:lang w:val="en-US" w:eastAsia="zh-CN"/>
        </w:rPr>
        <w:t>服务</w:t>
      </w:r>
      <w:r>
        <w:rPr>
          <w:rFonts w:hint="eastAsia" w:ascii="宋体" w:hAnsi="宋体" w:eastAsia="宋体" w:cs="宋体"/>
          <w:kern w:val="0"/>
          <w:szCs w:val="24"/>
          <w:highlight w:val="none"/>
        </w:rPr>
        <w:t>任务质量不合格、不能满足技术要求时，其返工费由乙方承担。</w:t>
      </w:r>
    </w:p>
    <w:p w14:paraId="03247161">
      <w:pPr>
        <w:keepNext w:val="0"/>
        <w:keepLines w:val="0"/>
        <w:pageBreakBefore w:val="0"/>
        <w:widowControl/>
        <w:kinsoku/>
        <w:wordWrap/>
        <w:overflowPunct/>
        <w:topLinePunct w:val="0"/>
        <w:bidi w:val="0"/>
        <w:spacing w:line="360" w:lineRule="auto"/>
        <w:ind w:firstLine="482" w:firstLineChars="200"/>
        <w:textAlignment w:val="auto"/>
        <w:outlineLvl w:val="9"/>
        <w:rPr>
          <w:rFonts w:hint="eastAsia" w:ascii="宋体" w:hAnsi="宋体" w:eastAsia="宋体" w:cs="宋体"/>
          <w:b/>
          <w:bCs/>
          <w:kern w:val="0"/>
          <w:szCs w:val="24"/>
          <w:highlight w:val="none"/>
        </w:rPr>
      </w:pPr>
      <w:r>
        <w:rPr>
          <w:rFonts w:hint="eastAsia" w:ascii="宋体" w:hAnsi="宋体" w:eastAsia="宋体" w:cs="宋体"/>
          <w:b/>
          <w:bCs/>
          <w:kern w:val="0"/>
          <w:szCs w:val="24"/>
          <w:highlight w:val="none"/>
        </w:rPr>
        <w:t>第十条  争议解决</w:t>
      </w:r>
    </w:p>
    <w:p w14:paraId="72A78620">
      <w:pPr>
        <w:keepNext w:val="0"/>
        <w:keepLines w:val="0"/>
        <w:pageBreakBefore w:val="0"/>
        <w:widowControl/>
        <w:kinsoku/>
        <w:wordWrap/>
        <w:overflowPunct/>
        <w:topLinePunct w:val="0"/>
        <w:bidi w:val="0"/>
        <w:spacing w:line="360" w:lineRule="auto"/>
        <w:ind w:firstLine="480" w:firstLineChars="200"/>
        <w:textAlignment w:val="auto"/>
        <w:outlineLvl w:val="9"/>
        <w:rPr>
          <w:rFonts w:hint="eastAsia" w:ascii="宋体" w:hAnsi="宋体" w:eastAsia="宋体" w:cs="宋体"/>
          <w:kern w:val="0"/>
          <w:szCs w:val="24"/>
          <w:highlight w:val="none"/>
        </w:rPr>
      </w:pPr>
      <w:r>
        <w:rPr>
          <w:rFonts w:hint="eastAsia" w:ascii="宋体" w:hAnsi="宋体" w:eastAsia="宋体" w:cs="宋体"/>
          <w:kern w:val="0"/>
          <w:szCs w:val="24"/>
          <w:highlight w:val="none"/>
        </w:rPr>
        <w:t>合同履行过程发生争议，甲乙双方及时协商解决。双方未达成一致的，可向人民法院起诉。</w:t>
      </w:r>
    </w:p>
    <w:p w14:paraId="0D396853">
      <w:pPr>
        <w:keepNext w:val="0"/>
        <w:keepLines w:val="0"/>
        <w:pageBreakBefore w:val="0"/>
        <w:widowControl/>
        <w:kinsoku/>
        <w:wordWrap/>
        <w:overflowPunct/>
        <w:topLinePunct w:val="0"/>
        <w:bidi w:val="0"/>
        <w:spacing w:line="360" w:lineRule="auto"/>
        <w:ind w:firstLine="482" w:firstLineChars="200"/>
        <w:textAlignment w:val="auto"/>
        <w:outlineLvl w:val="9"/>
        <w:rPr>
          <w:rFonts w:hint="eastAsia" w:ascii="宋体" w:hAnsi="宋体" w:eastAsia="宋体" w:cs="宋体"/>
          <w:b/>
          <w:bCs/>
          <w:kern w:val="0"/>
          <w:szCs w:val="24"/>
          <w:highlight w:val="none"/>
        </w:rPr>
      </w:pPr>
      <w:r>
        <w:rPr>
          <w:rFonts w:hint="eastAsia" w:ascii="宋体" w:hAnsi="宋体" w:eastAsia="宋体" w:cs="宋体"/>
          <w:b/>
          <w:bCs/>
          <w:kern w:val="0"/>
          <w:szCs w:val="24"/>
          <w:highlight w:val="none"/>
        </w:rPr>
        <w:t>第十一条  合同生效及其他</w:t>
      </w:r>
    </w:p>
    <w:p w14:paraId="2B34AB37">
      <w:pPr>
        <w:keepNext w:val="0"/>
        <w:keepLines w:val="0"/>
        <w:pageBreakBefore w:val="0"/>
        <w:widowControl/>
        <w:kinsoku/>
        <w:wordWrap/>
        <w:overflowPunct/>
        <w:topLinePunct w:val="0"/>
        <w:bidi w:val="0"/>
        <w:spacing w:line="360" w:lineRule="auto"/>
        <w:ind w:firstLine="480" w:firstLineChars="200"/>
        <w:textAlignment w:val="auto"/>
        <w:outlineLvl w:val="9"/>
        <w:rPr>
          <w:rFonts w:hint="eastAsia" w:ascii="宋体" w:hAnsi="宋体" w:eastAsia="宋体" w:cs="宋体"/>
          <w:kern w:val="0"/>
          <w:szCs w:val="24"/>
          <w:highlight w:val="none"/>
        </w:rPr>
      </w:pPr>
      <w:r>
        <w:rPr>
          <w:rFonts w:hint="eastAsia" w:ascii="宋体" w:hAnsi="宋体" w:eastAsia="宋体" w:cs="宋体"/>
          <w:kern w:val="0"/>
          <w:szCs w:val="24"/>
          <w:highlight w:val="none"/>
        </w:rPr>
        <w:t>11.1  本合同签约，双方签字盖章即生效，一式</w:t>
      </w:r>
      <w:r>
        <w:rPr>
          <w:rFonts w:hint="eastAsia" w:ascii="宋体" w:hAnsi="宋体" w:eastAsia="宋体" w:cs="宋体"/>
          <w:kern w:val="0"/>
          <w:szCs w:val="24"/>
          <w:highlight w:val="none"/>
          <w:lang w:eastAsia="zh-CN"/>
        </w:rPr>
        <w:t>肆</w:t>
      </w:r>
      <w:r>
        <w:rPr>
          <w:rFonts w:hint="eastAsia" w:ascii="宋体" w:hAnsi="宋体" w:eastAsia="宋体" w:cs="宋体"/>
          <w:kern w:val="0"/>
          <w:szCs w:val="24"/>
          <w:highlight w:val="none"/>
        </w:rPr>
        <w:t>份，甲方</w:t>
      </w:r>
      <w:r>
        <w:rPr>
          <w:rFonts w:hint="eastAsia" w:ascii="宋体" w:hAnsi="宋体" w:eastAsia="宋体" w:cs="宋体"/>
          <w:kern w:val="0"/>
          <w:szCs w:val="24"/>
          <w:highlight w:val="none"/>
          <w:lang w:eastAsia="zh-CN"/>
        </w:rPr>
        <w:t>贰</w:t>
      </w:r>
      <w:r>
        <w:rPr>
          <w:rFonts w:hint="eastAsia" w:ascii="宋体" w:hAnsi="宋体" w:eastAsia="宋体" w:cs="宋体"/>
          <w:kern w:val="0"/>
          <w:szCs w:val="24"/>
          <w:highlight w:val="none"/>
        </w:rPr>
        <w:t>份，乙方</w:t>
      </w:r>
      <w:r>
        <w:rPr>
          <w:rFonts w:hint="eastAsia" w:ascii="宋体" w:hAnsi="宋体" w:eastAsia="宋体" w:cs="宋体"/>
          <w:kern w:val="0"/>
          <w:szCs w:val="24"/>
          <w:highlight w:val="none"/>
          <w:lang w:eastAsia="zh-CN"/>
        </w:rPr>
        <w:t>贰</w:t>
      </w:r>
      <w:r>
        <w:rPr>
          <w:rFonts w:hint="eastAsia" w:ascii="宋体" w:hAnsi="宋体" w:eastAsia="宋体" w:cs="宋体"/>
          <w:kern w:val="0"/>
          <w:szCs w:val="24"/>
          <w:highlight w:val="none"/>
        </w:rPr>
        <w:t xml:space="preserve">份， </w:t>
      </w:r>
    </w:p>
    <w:p w14:paraId="6AA74525">
      <w:pPr>
        <w:keepNext w:val="0"/>
        <w:keepLines w:val="0"/>
        <w:pageBreakBefore w:val="0"/>
        <w:widowControl/>
        <w:kinsoku/>
        <w:wordWrap/>
        <w:overflowPunct/>
        <w:topLinePunct w:val="0"/>
        <w:bidi w:val="0"/>
        <w:spacing w:line="360" w:lineRule="auto"/>
        <w:ind w:firstLine="480" w:firstLineChars="200"/>
        <w:textAlignment w:val="auto"/>
        <w:outlineLvl w:val="9"/>
        <w:rPr>
          <w:rFonts w:hint="eastAsia" w:ascii="宋体" w:hAnsi="宋体" w:eastAsia="宋体" w:cs="宋体"/>
          <w:kern w:val="0"/>
          <w:szCs w:val="24"/>
          <w:highlight w:val="none"/>
        </w:rPr>
      </w:pPr>
      <w:r>
        <w:rPr>
          <w:rFonts w:hint="eastAsia" w:ascii="宋体" w:hAnsi="宋体" w:eastAsia="宋体" w:cs="宋体"/>
          <w:kern w:val="0"/>
          <w:szCs w:val="24"/>
          <w:highlight w:val="none"/>
        </w:rPr>
        <w:t>11.2  由于不可抗力因素致使合同无法履行时，双方应及时协商解决。</w:t>
      </w:r>
    </w:p>
    <w:p w14:paraId="1D599F2B">
      <w:pPr>
        <w:keepNext w:val="0"/>
        <w:keepLines w:val="0"/>
        <w:pageBreakBefore w:val="0"/>
        <w:widowControl/>
        <w:kinsoku/>
        <w:wordWrap/>
        <w:overflowPunct/>
        <w:topLinePunct w:val="0"/>
        <w:bidi w:val="0"/>
        <w:spacing w:line="360" w:lineRule="auto"/>
        <w:ind w:firstLine="480" w:firstLineChars="200"/>
        <w:textAlignment w:val="auto"/>
        <w:outlineLvl w:val="9"/>
        <w:rPr>
          <w:rFonts w:hint="eastAsia" w:ascii="宋体" w:hAnsi="宋体" w:eastAsia="宋体" w:cs="宋体"/>
          <w:kern w:val="0"/>
          <w:szCs w:val="24"/>
          <w:highlight w:val="none"/>
        </w:rPr>
      </w:pPr>
      <w:r>
        <w:rPr>
          <w:rFonts w:hint="eastAsia" w:ascii="宋体" w:hAnsi="宋体" w:eastAsia="宋体" w:cs="宋体"/>
          <w:kern w:val="0"/>
          <w:szCs w:val="24"/>
          <w:highlight w:val="none"/>
        </w:rPr>
        <w:t>11.3  未尽事宜，经双方协商一致，签订补充协议，补充协议与本合同具有同等效力。</w:t>
      </w:r>
    </w:p>
    <w:p w14:paraId="5E8A60E9">
      <w:pPr>
        <w:keepNext w:val="0"/>
        <w:pageBreakBefore w:val="0"/>
        <w:widowControl/>
        <w:overflowPunct/>
        <w:bidi w:val="0"/>
        <w:spacing w:line="360" w:lineRule="auto"/>
        <w:outlineLvl w:val="9"/>
        <w:rPr>
          <w:rFonts w:hint="eastAsia" w:ascii="宋体" w:hAnsi="宋体" w:eastAsia="宋体" w:cs="宋体"/>
          <w:b/>
          <w:bCs/>
          <w:kern w:val="0"/>
          <w:szCs w:val="24"/>
          <w:highlight w:val="none"/>
        </w:rPr>
      </w:pPr>
    </w:p>
    <w:p w14:paraId="533DD27F">
      <w:pPr>
        <w:keepNext w:val="0"/>
        <w:pageBreakBefore w:val="0"/>
        <w:widowControl/>
        <w:overflowPunct/>
        <w:bidi w:val="0"/>
        <w:spacing w:line="360" w:lineRule="auto"/>
        <w:outlineLvl w:val="9"/>
        <w:rPr>
          <w:rFonts w:hint="eastAsia" w:ascii="宋体" w:hAnsi="宋体" w:eastAsia="宋体" w:cs="宋体"/>
          <w:b/>
          <w:bCs/>
          <w:kern w:val="0"/>
          <w:szCs w:val="24"/>
          <w:highlight w:val="none"/>
          <w:u w:val="single"/>
        </w:rPr>
      </w:pPr>
      <w:r>
        <w:rPr>
          <w:rFonts w:hint="eastAsia" w:ascii="宋体" w:hAnsi="宋体" w:eastAsia="宋体" w:cs="宋体"/>
          <w:b/>
          <w:bCs/>
          <w:kern w:val="0"/>
          <w:szCs w:val="24"/>
          <w:highlight w:val="none"/>
        </w:rPr>
        <w:t>甲方：                                 乙方：</w:t>
      </w:r>
    </w:p>
    <w:p w14:paraId="27347037">
      <w:pPr>
        <w:keepNext w:val="0"/>
        <w:pageBreakBefore w:val="0"/>
        <w:widowControl/>
        <w:overflowPunct/>
        <w:bidi w:val="0"/>
        <w:spacing w:line="360" w:lineRule="auto"/>
        <w:outlineLvl w:val="9"/>
        <w:rPr>
          <w:rFonts w:hint="eastAsia" w:ascii="宋体" w:hAnsi="宋体" w:eastAsia="宋体" w:cs="宋体"/>
          <w:kern w:val="0"/>
          <w:szCs w:val="24"/>
          <w:highlight w:val="none"/>
          <w:u w:val="single"/>
        </w:rPr>
      </w:pPr>
      <w:r>
        <w:rPr>
          <w:rFonts w:hint="eastAsia" w:ascii="宋体" w:hAnsi="宋体" w:eastAsia="宋体" w:cs="宋体"/>
          <w:b/>
          <w:bCs/>
          <w:kern w:val="0"/>
          <w:szCs w:val="24"/>
          <w:highlight w:val="none"/>
        </w:rPr>
        <w:t>单位负责人（签字）：                   单位负责人（签字）：</w:t>
      </w:r>
    </w:p>
    <w:p w14:paraId="48DE38F4">
      <w:pPr>
        <w:keepNext w:val="0"/>
        <w:pageBreakBefore w:val="0"/>
        <w:widowControl/>
        <w:overflowPunct/>
        <w:bidi w:val="0"/>
        <w:spacing w:line="360" w:lineRule="auto"/>
        <w:outlineLvl w:val="9"/>
        <w:rPr>
          <w:rFonts w:hint="eastAsia" w:ascii="宋体" w:hAnsi="宋体" w:eastAsia="宋体" w:cs="宋体"/>
          <w:kern w:val="0"/>
          <w:szCs w:val="24"/>
          <w:highlight w:val="none"/>
          <w:u w:val="single"/>
        </w:rPr>
      </w:pPr>
      <w:r>
        <w:rPr>
          <w:rFonts w:hint="eastAsia" w:ascii="宋体" w:hAnsi="宋体" w:eastAsia="宋体" w:cs="宋体"/>
          <w:b/>
          <w:bCs/>
          <w:kern w:val="0"/>
          <w:szCs w:val="24"/>
          <w:highlight w:val="none"/>
        </w:rPr>
        <w:t>电  话：                               电   话</w:t>
      </w:r>
      <w:r>
        <w:rPr>
          <w:rFonts w:hint="eastAsia" w:ascii="宋体" w:hAnsi="宋体" w:eastAsia="宋体" w:cs="宋体"/>
          <w:kern w:val="0"/>
          <w:szCs w:val="24"/>
          <w:highlight w:val="none"/>
        </w:rPr>
        <w:t>：</w:t>
      </w:r>
    </w:p>
    <w:p w14:paraId="73E21E21">
      <w:pPr>
        <w:keepNext w:val="0"/>
        <w:pageBreakBefore w:val="0"/>
        <w:widowControl/>
        <w:overflowPunct/>
        <w:bidi w:val="0"/>
        <w:spacing w:line="360" w:lineRule="auto"/>
        <w:outlineLvl w:val="9"/>
        <w:rPr>
          <w:rFonts w:hint="eastAsia" w:ascii="宋体" w:hAnsi="宋体" w:eastAsia="宋体" w:cs="宋体"/>
          <w:kern w:val="0"/>
          <w:szCs w:val="24"/>
          <w:highlight w:val="none"/>
        </w:rPr>
      </w:pPr>
      <w:r>
        <w:rPr>
          <w:rFonts w:hint="eastAsia" w:ascii="宋体" w:hAnsi="宋体" w:eastAsia="宋体" w:cs="宋体"/>
          <w:b/>
          <w:bCs/>
          <w:kern w:val="0"/>
          <w:szCs w:val="24"/>
          <w:highlight w:val="none"/>
        </w:rPr>
        <w:t>年    月    日                         年    月    日</w:t>
      </w:r>
    </w:p>
    <w:p w14:paraId="4D9F7ADF">
      <w:pPr>
        <w:keepNext w:val="0"/>
        <w:pageBreakBefore w:val="0"/>
        <w:widowControl/>
        <w:overflowPunct/>
        <w:bidi w:val="0"/>
        <w:spacing w:line="360" w:lineRule="auto"/>
        <w:outlineLvl w:val="9"/>
        <w:rPr>
          <w:rFonts w:hint="eastAsia" w:ascii="宋体" w:hAnsi="宋体" w:eastAsia="宋体" w:cs="宋体"/>
          <w:kern w:val="0"/>
          <w:szCs w:val="24"/>
          <w:highlight w:val="none"/>
        </w:rPr>
      </w:pPr>
    </w:p>
    <w:p w14:paraId="399446BB">
      <w:pPr>
        <w:keepNext w:val="0"/>
        <w:pageBreakBefore w:val="0"/>
        <w:widowControl/>
        <w:overflowPunct/>
        <w:bidi w:val="0"/>
        <w:spacing w:line="360" w:lineRule="auto"/>
        <w:outlineLvl w:val="9"/>
        <w:rPr>
          <w:rFonts w:hint="eastAsia" w:ascii="宋体" w:hAnsi="宋体" w:eastAsia="宋体" w:cs="宋体"/>
          <w:kern w:val="0"/>
          <w:szCs w:val="24"/>
          <w:highlight w:val="none"/>
        </w:rPr>
      </w:pPr>
    </w:p>
    <w:p w14:paraId="32E321F7">
      <w:pPr>
        <w:keepNext w:val="0"/>
        <w:pageBreakBefore w:val="0"/>
        <w:widowControl/>
        <w:overflowPunct/>
        <w:bidi w:val="0"/>
        <w:spacing w:line="360" w:lineRule="auto"/>
        <w:outlineLvl w:val="9"/>
        <w:rPr>
          <w:rFonts w:hint="eastAsia" w:ascii="宋体" w:hAnsi="宋体" w:eastAsia="宋体" w:cs="宋体"/>
          <w:kern w:val="0"/>
          <w:szCs w:val="24"/>
          <w:highlight w:val="none"/>
        </w:rPr>
      </w:pPr>
      <w:r>
        <w:rPr>
          <w:rFonts w:hint="eastAsia" w:ascii="宋体" w:hAnsi="宋体" w:eastAsia="宋体" w:cs="宋体"/>
          <w:b/>
          <w:bCs/>
          <w:kern w:val="0"/>
          <w:szCs w:val="24"/>
          <w:highlight w:val="none"/>
        </w:rPr>
        <w:t>注：本合同仅供参考</w:t>
      </w:r>
    </w:p>
    <w:p w14:paraId="0455A100">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z w:val="32"/>
          <w:szCs w:val="32"/>
          <w:highlight w:val="none"/>
        </w:rPr>
      </w:pPr>
      <w:r>
        <w:rPr>
          <w:rFonts w:hint="eastAsia" w:ascii="宋体" w:hAnsi="宋体" w:eastAsia="宋体" w:cs="宋体"/>
          <w:sz w:val="30"/>
          <w:szCs w:val="30"/>
          <w:highlight w:val="none"/>
        </w:rPr>
        <w:br w:type="page"/>
      </w:r>
      <w:bookmarkStart w:id="53" w:name="_GoBack"/>
      <w:bookmarkEnd w:id="53"/>
      <w:bookmarkStart w:id="18" w:name="_Toc4697"/>
      <w:bookmarkStart w:id="19" w:name="_Toc23381"/>
      <w:r>
        <w:rPr>
          <w:rFonts w:hint="eastAsia" w:ascii="宋体" w:hAnsi="宋体" w:eastAsia="宋体" w:cs="宋体"/>
          <w:b/>
          <w:w w:val="100"/>
          <w:kern w:val="2"/>
          <w:sz w:val="36"/>
          <w:szCs w:val="36"/>
          <w:highlight w:val="none"/>
        </w:rPr>
        <w:t>第五章  评审标准</w:t>
      </w:r>
      <w:bookmarkEnd w:id="18"/>
      <w:bookmarkEnd w:id="19"/>
    </w:p>
    <w:tbl>
      <w:tblPr>
        <w:tblStyle w:val="17"/>
        <w:tblW w:w="9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005"/>
        <w:gridCol w:w="3070"/>
        <w:gridCol w:w="4961"/>
      </w:tblGrid>
      <w:tr w14:paraId="5874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gridSpan w:val="2"/>
            <w:tcBorders>
              <w:top w:val="single" w:color="auto" w:sz="4" w:space="0"/>
              <w:left w:val="single" w:color="auto" w:sz="4" w:space="0"/>
              <w:bottom w:val="single" w:color="auto" w:sz="4" w:space="0"/>
              <w:right w:val="single" w:color="auto" w:sz="4" w:space="0"/>
            </w:tcBorders>
            <w:noWrap w:val="0"/>
            <w:vAlign w:val="center"/>
          </w:tcPr>
          <w:p w14:paraId="695DE4DD">
            <w:pPr>
              <w:keepNext w:val="0"/>
              <w:pageBreakBefore w:val="0"/>
              <w:overflowPunct/>
              <w:bidi w:val="0"/>
              <w:spacing w:line="360" w:lineRule="auto"/>
              <w:ind w:firstLine="472" w:firstLineChars="196"/>
              <w:outlineLvl w:val="9"/>
              <w:rPr>
                <w:rFonts w:hint="eastAsia" w:ascii="宋体" w:hAnsi="宋体" w:eastAsia="宋体" w:cs="宋体"/>
                <w:b/>
                <w:szCs w:val="24"/>
                <w:highlight w:val="none"/>
              </w:rPr>
            </w:pPr>
            <w:r>
              <w:rPr>
                <w:rFonts w:hint="eastAsia" w:ascii="宋体" w:hAnsi="宋体" w:eastAsia="宋体" w:cs="宋体"/>
                <w:b/>
                <w:szCs w:val="24"/>
                <w:highlight w:val="none"/>
              </w:rPr>
              <w:t>条款号</w:t>
            </w:r>
          </w:p>
        </w:tc>
        <w:tc>
          <w:tcPr>
            <w:tcW w:w="3070" w:type="dxa"/>
            <w:tcBorders>
              <w:top w:val="single" w:color="auto" w:sz="4" w:space="0"/>
              <w:left w:val="single" w:color="auto" w:sz="4" w:space="0"/>
              <w:bottom w:val="single" w:color="auto" w:sz="4" w:space="0"/>
              <w:right w:val="single" w:color="auto" w:sz="4" w:space="0"/>
            </w:tcBorders>
            <w:noWrap w:val="0"/>
            <w:vAlign w:val="center"/>
          </w:tcPr>
          <w:p w14:paraId="2A84B2A0">
            <w:pPr>
              <w:keepNext w:val="0"/>
              <w:pageBreakBefore w:val="0"/>
              <w:overflowPunct/>
              <w:bidi w:val="0"/>
              <w:spacing w:line="360" w:lineRule="auto"/>
              <w:jc w:val="center"/>
              <w:outlineLvl w:val="9"/>
              <w:rPr>
                <w:rFonts w:hint="eastAsia" w:ascii="宋体" w:hAnsi="宋体" w:eastAsia="宋体" w:cs="宋体"/>
                <w:b/>
                <w:szCs w:val="24"/>
                <w:highlight w:val="none"/>
              </w:rPr>
            </w:pPr>
            <w:r>
              <w:rPr>
                <w:rFonts w:hint="eastAsia" w:ascii="宋体" w:hAnsi="宋体" w:eastAsia="宋体" w:cs="宋体"/>
                <w:b/>
                <w:szCs w:val="24"/>
                <w:highlight w:val="none"/>
              </w:rPr>
              <w:t>评审因素</w:t>
            </w:r>
          </w:p>
        </w:tc>
        <w:tc>
          <w:tcPr>
            <w:tcW w:w="4961" w:type="dxa"/>
            <w:tcBorders>
              <w:top w:val="single" w:color="auto" w:sz="4" w:space="0"/>
              <w:left w:val="single" w:color="auto" w:sz="4" w:space="0"/>
              <w:bottom w:val="single" w:color="auto" w:sz="4" w:space="0"/>
              <w:right w:val="single" w:color="auto" w:sz="4" w:space="0"/>
            </w:tcBorders>
            <w:noWrap w:val="0"/>
            <w:vAlign w:val="center"/>
          </w:tcPr>
          <w:p w14:paraId="69244D15">
            <w:pPr>
              <w:keepNext w:val="0"/>
              <w:pageBreakBefore w:val="0"/>
              <w:overflowPunct/>
              <w:bidi w:val="0"/>
              <w:spacing w:line="360" w:lineRule="auto"/>
              <w:jc w:val="center"/>
              <w:outlineLvl w:val="9"/>
              <w:rPr>
                <w:rFonts w:hint="eastAsia" w:ascii="宋体" w:hAnsi="宋体" w:eastAsia="宋体" w:cs="宋体"/>
                <w:b/>
                <w:szCs w:val="24"/>
                <w:highlight w:val="none"/>
              </w:rPr>
            </w:pPr>
            <w:r>
              <w:rPr>
                <w:rFonts w:hint="eastAsia" w:ascii="宋体" w:hAnsi="宋体" w:eastAsia="宋体" w:cs="宋体"/>
                <w:b/>
                <w:szCs w:val="24"/>
                <w:highlight w:val="none"/>
              </w:rPr>
              <w:t>评审标准</w:t>
            </w:r>
          </w:p>
        </w:tc>
      </w:tr>
      <w:tr w14:paraId="77852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4" w:type="dxa"/>
            <w:vMerge w:val="restart"/>
            <w:tcBorders>
              <w:top w:val="single" w:color="auto" w:sz="4" w:space="0"/>
              <w:left w:val="single" w:color="auto" w:sz="4" w:space="0"/>
              <w:right w:val="single" w:color="auto" w:sz="4" w:space="0"/>
            </w:tcBorders>
            <w:noWrap w:val="0"/>
            <w:vAlign w:val="center"/>
          </w:tcPr>
          <w:p w14:paraId="1D86814C">
            <w:pPr>
              <w:keepNext w:val="0"/>
              <w:pageBreakBefore w:val="0"/>
              <w:overflowPunct/>
              <w:bidi w:val="0"/>
              <w:spacing w:line="360" w:lineRule="auto"/>
              <w:jc w:val="center"/>
              <w:outlineLvl w:val="9"/>
              <w:rPr>
                <w:rFonts w:hint="default" w:ascii="宋体" w:hAnsi="宋体" w:eastAsia="宋体" w:cs="宋体"/>
                <w:bCs/>
                <w:szCs w:val="24"/>
                <w:highlight w:val="none"/>
                <w:lang w:val="en-US" w:eastAsia="zh-CN"/>
              </w:rPr>
            </w:pPr>
            <w:r>
              <w:rPr>
                <w:rFonts w:hint="eastAsia" w:ascii="宋体" w:hAnsi="宋体" w:cs="宋体"/>
                <w:bCs/>
                <w:szCs w:val="24"/>
                <w:highlight w:val="none"/>
                <w:lang w:val="en-US" w:eastAsia="zh-CN"/>
              </w:rPr>
              <w:t>2.1.1</w:t>
            </w:r>
          </w:p>
        </w:tc>
        <w:tc>
          <w:tcPr>
            <w:tcW w:w="1005" w:type="dxa"/>
            <w:vMerge w:val="restart"/>
            <w:tcBorders>
              <w:top w:val="single" w:color="auto" w:sz="4" w:space="0"/>
              <w:left w:val="single" w:color="auto" w:sz="4" w:space="0"/>
              <w:right w:val="single" w:color="auto" w:sz="4" w:space="0"/>
            </w:tcBorders>
            <w:noWrap w:val="0"/>
            <w:vAlign w:val="center"/>
          </w:tcPr>
          <w:p w14:paraId="6BF6EE4E">
            <w:pPr>
              <w:keepNext w:val="0"/>
              <w:pageBreakBefore w:val="0"/>
              <w:overflowPunct/>
              <w:bidi w:val="0"/>
              <w:spacing w:line="360" w:lineRule="auto"/>
              <w:jc w:val="center"/>
              <w:outlineLvl w:val="9"/>
              <w:rPr>
                <w:rFonts w:hint="eastAsia" w:ascii="宋体" w:hAnsi="宋体" w:eastAsia="宋体" w:cs="宋体"/>
                <w:szCs w:val="24"/>
                <w:highlight w:val="none"/>
                <w:lang w:eastAsia="zh-CN"/>
              </w:rPr>
            </w:pPr>
            <w:r>
              <w:rPr>
                <w:rFonts w:hint="eastAsia" w:ascii="宋体" w:hAnsi="宋体" w:cs="宋体"/>
                <w:szCs w:val="24"/>
                <w:highlight w:val="none"/>
                <w:lang w:eastAsia="zh-CN"/>
              </w:rPr>
              <w:t>符合性审查标准</w:t>
            </w:r>
          </w:p>
        </w:tc>
        <w:tc>
          <w:tcPr>
            <w:tcW w:w="3070" w:type="dxa"/>
            <w:tcBorders>
              <w:top w:val="single" w:color="auto" w:sz="4" w:space="0"/>
              <w:left w:val="single" w:color="auto" w:sz="4" w:space="0"/>
              <w:right w:val="single" w:color="auto" w:sz="4" w:space="0"/>
            </w:tcBorders>
            <w:noWrap w:val="0"/>
            <w:vAlign w:val="center"/>
          </w:tcPr>
          <w:p w14:paraId="5C6454A7">
            <w:pPr>
              <w:pStyle w:val="8"/>
              <w:keepNext w:val="0"/>
              <w:pageBreakBefore w:val="0"/>
              <w:overflowPunct/>
              <w:bidi w:val="0"/>
              <w:spacing w:line="360" w:lineRule="auto"/>
              <w:ind w:left="0" w:leftChars="0" w:right="0" w:rightChars="0"/>
              <w:jc w:val="center"/>
              <w:rPr>
                <w:rFonts w:hint="eastAsia" w:ascii="宋体" w:hAnsi="宋体" w:eastAsia="宋体" w:cs="宋体"/>
                <w:highlight w:val="none"/>
              </w:rPr>
            </w:pPr>
            <w:r>
              <w:rPr>
                <w:rFonts w:hint="eastAsia" w:hAnsi="宋体"/>
                <w:color w:val="000000"/>
                <w:sz w:val="24"/>
                <w:szCs w:val="24"/>
                <w:highlight w:val="none"/>
                <w:lang w:eastAsia="zh-CN"/>
              </w:rPr>
              <w:t>供应商</w:t>
            </w:r>
            <w:r>
              <w:rPr>
                <w:rFonts w:hint="eastAsia" w:hAnsi="宋体"/>
                <w:color w:val="000000"/>
                <w:sz w:val="24"/>
                <w:szCs w:val="24"/>
                <w:highlight w:val="none"/>
              </w:rPr>
              <w:t>名称</w:t>
            </w:r>
          </w:p>
        </w:tc>
        <w:tc>
          <w:tcPr>
            <w:tcW w:w="4961" w:type="dxa"/>
            <w:tcBorders>
              <w:top w:val="single" w:color="auto" w:sz="4" w:space="0"/>
              <w:left w:val="single" w:color="auto" w:sz="4" w:space="0"/>
              <w:right w:val="single" w:color="auto" w:sz="4" w:space="0"/>
            </w:tcBorders>
            <w:noWrap w:val="0"/>
            <w:vAlign w:val="center"/>
          </w:tcPr>
          <w:p w14:paraId="67F6B319">
            <w:pPr>
              <w:pStyle w:val="8"/>
              <w:keepNext w:val="0"/>
              <w:pageBreakBefore w:val="0"/>
              <w:overflowPunct/>
              <w:bidi w:val="0"/>
              <w:spacing w:line="360" w:lineRule="auto"/>
              <w:ind w:left="0" w:leftChars="0" w:right="0" w:rightChars="0"/>
              <w:jc w:val="center"/>
              <w:rPr>
                <w:rFonts w:hint="eastAsia" w:ascii="宋体" w:hAnsi="宋体" w:eastAsia="宋体" w:cs="宋体"/>
                <w:szCs w:val="24"/>
                <w:highlight w:val="none"/>
              </w:rPr>
            </w:pPr>
            <w:r>
              <w:rPr>
                <w:rFonts w:hint="eastAsia" w:hAnsi="宋体"/>
                <w:color w:val="000000"/>
                <w:sz w:val="24"/>
                <w:szCs w:val="24"/>
                <w:highlight w:val="none"/>
              </w:rPr>
              <w:t>与营业执照</w:t>
            </w:r>
            <w:r>
              <w:rPr>
                <w:rFonts w:hint="eastAsia" w:hAnsi="宋体"/>
                <w:color w:val="000000"/>
                <w:sz w:val="24"/>
                <w:szCs w:val="24"/>
                <w:highlight w:val="none"/>
                <w:lang w:eastAsia="zh-CN"/>
              </w:rPr>
              <w:t>、</w:t>
            </w:r>
            <w:r>
              <w:rPr>
                <w:rFonts w:hint="eastAsia" w:hAnsi="宋体"/>
                <w:color w:val="000000"/>
                <w:sz w:val="24"/>
                <w:szCs w:val="24"/>
                <w:highlight w:val="none"/>
                <w:lang w:val="en-US" w:eastAsia="zh-CN"/>
              </w:rPr>
              <w:t>资质证书</w:t>
            </w:r>
            <w:r>
              <w:rPr>
                <w:rFonts w:hint="eastAsia" w:hAnsi="宋体"/>
                <w:color w:val="000000"/>
                <w:sz w:val="24"/>
                <w:szCs w:val="24"/>
                <w:highlight w:val="none"/>
              </w:rPr>
              <w:t>一致</w:t>
            </w:r>
          </w:p>
        </w:tc>
      </w:tr>
      <w:tr w14:paraId="4FF9D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4" w:type="dxa"/>
            <w:vMerge w:val="continue"/>
            <w:tcBorders>
              <w:left w:val="single" w:color="auto" w:sz="4" w:space="0"/>
              <w:right w:val="single" w:color="auto" w:sz="4" w:space="0"/>
            </w:tcBorders>
            <w:noWrap w:val="0"/>
            <w:vAlign w:val="center"/>
          </w:tcPr>
          <w:p w14:paraId="788A4B26">
            <w:pPr>
              <w:keepNext w:val="0"/>
              <w:pageBreakBefore w:val="0"/>
              <w:overflowPunct/>
              <w:bidi w:val="0"/>
              <w:spacing w:line="360" w:lineRule="auto"/>
              <w:jc w:val="center"/>
              <w:outlineLvl w:val="9"/>
              <w:rPr>
                <w:rFonts w:hint="eastAsia" w:ascii="宋体" w:hAnsi="宋体" w:cs="宋体"/>
                <w:bCs/>
                <w:szCs w:val="24"/>
                <w:highlight w:val="none"/>
                <w:lang w:val="en-US" w:eastAsia="zh-CN"/>
              </w:rPr>
            </w:pPr>
          </w:p>
        </w:tc>
        <w:tc>
          <w:tcPr>
            <w:tcW w:w="1005" w:type="dxa"/>
            <w:vMerge w:val="continue"/>
            <w:tcBorders>
              <w:left w:val="single" w:color="auto" w:sz="4" w:space="0"/>
              <w:right w:val="single" w:color="auto" w:sz="4" w:space="0"/>
            </w:tcBorders>
            <w:noWrap w:val="0"/>
            <w:vAlign w:val="center"/>
          </w:tcPr>
          <w:p w14:paraId="14F30F7C">
            <w:pPr>
              <w:keepNext w:val="0"/>
              <w:pageBreakBefore w:val="0"/>
              <w:overflowPunct/>
              <w:bidi w:val="0"/>
              <w:spacing w:line="360" w:lineRule="auto"/>
              <w:jc w:val="center"/>
              <w:outlineLvl w:val="9"/>
              <w:rPr>
                <w:rFonts w:hint="eastAsia" w:ascii="宋体" w:hAnsi="宋体" w:cs="宋体"/>
                <w:szCs w:val="24"/>
                <w:highlight w:val="none"/>
                <w:lang w:eastAsia="zh-CN"/>
              </w:rPr>
            </w:pPr>
          </w:p>
        </w:tc>
        <w:tc>
          <w:tcPr>
            <w:tcW w:w="3070" w:type="dxa"/>
            <w:tcBorders>
              <w:top w:val="single" w:color="auto" w:sz="4" w:space="0"/>
              <w:left w:val="single" w:color="auto" w:sz="4" w:space="0"/>
              <w:right w:val="single" w:color="auto" w:sz="4" w:space="0"/>
            </w:tcBorders>
            <w:noWrap w:val="0"/>
            <w:vAlign w:val="center"/>
          </w:tcPr>
          <w:p w14:paraId="7204E836">
            <w:pPr>
              <w:pStyle w:val="8"/>
              <w:keepNext w:val="0"/>
              <w:pageBreakBefore w:val="0"/>
              <w:overflowPunct/>
              <w:bidi w:val="0"/>
              <w:spacing w:line="360" w:lineRule="auto"/>
              <w:ind w:left="0" w:leftChars="0" w:right="0" w:rightChars="0"/>
              <w:jc w:val="center"/>
              <w:rPr>
                <w:rFonts w:hint="eastAsia" w:ascii="宋体" w:hAnsi="宋体" w:eastAsia="宋体" w:cs="宋体"/>
                <w:highlight w:val="none"/>
              </w:rPr>
            </w:pPr>
            <w:r>
              <w:rPr>
                <w:rFonts w:hint="eastAsia" w:hAnsi="宋体"/>
                <w:color w:val="000000"/>
                <w:sz w:val="24"/>
                <w:szCs w:val="24"/>
                <w:highlight w:val="none"/>
                <w:lang w:eastAsia="zh-CN"/>
              </w:rPr>
              <w:t>磋商函</w:t>
            </w:r>
            <w:r>
              <w:rPr>
                <w:rFonts w:hint="eastAsia" w:hAnsi="宋体"/>
                <w:color w:val="000000"/>
                <w:sz w:val="24"/>
                <w:szCs w:val="24"/>
                <w:highlight w:val="none"/>
              </w:rPr>
              <w:t>签字盖章</w:t>
            </w:r>
          </w:p>
        </w:tc>
        <w:tc>
          <w:tcPr>
            <w:tcW w:w="4961" w:type="dxa"/>
            <w:tcBorders>
              <w:top w:val="single" w:color="auto" w:sz="4" w:space="0"/>
              <w:left w:val="single" w:color="auto" w:sz="4" w:space="0"/>
              <w:right w:val="single" w:color="auto" w:sz="4" w:space="0"/>
            </w:tcBorders>
            <w:noWrap w:val="0"/>
            <w:vAlign w:val="center"/>
          </w:tcPr>
          <w:p w14:paraId="0533E04C">
            <w:pPr>
              <w:pStyle w:val="8"/>
              <w:keepNext w:val="0"/>
              <w:pageBreakBefore w:val="0"/>
              <w:overflowPunct/>
              <w:bidi w:val="0"/>
              <w:spacing w:line="360" w:lineRule="auto"/>
              <w:ind w:left="0" w:leftChars="0" w:right="0" w:rightChars="0"/>
              <w:jc w:val="center"/>
              <w:rPr>
                <w:rFonts w:hint="eastAsia" w:ascii="宋体" w:hAnsi="宋体" w:eastAsia="宋体" w:cs="宋体"/>
                <w:szCs w:val="24"/>
                <w:highlight w:val="none"/>
              </w:rPr>
            </w:pPr>
            <w:r>
              <w:rPr>
                <w:rFonts w:hint="eastAsia" w:hAnsi="宋体"/>
                <w:color w:val="000000"/>
                <w:sz w:val="24"/>
                <w:szCs w:val="24"/>
                <w:highlight w:val="none"/>
              </w:rPr>
              <w:t>有单位及法定代表人</w:t>
            </w:r>
            <w:r>
              <w:rPr>
                <w:rFonts w:hint="eastAsia" w:hAnsi="宋体"/>
                <w:color w:val="000000"/>
                <w:sz w:val="24"/>
                <w:szCs w:val="24"/>
                <w:highlight w:val="none"/>
                <w:lang w:eastAsia="zh-CN"/>
              </w:rPr>
              <w:t>签</w:t>
            </w:r>
            <w:r>
              <w:rPr>
                <w:rFonts w:hint="eastAsia" w:hAnsi="宋体"/>
                <w:color w:val="000000"/>
                <w:sz w:val="24"/>
                <w:szCs w:val="24"/>
                <w:highlight w:val="none"/>
              </w:rPr>
              <w:t>电子章</w:t>
            </w:r>
          </w:p>
        </w:tc>
      </w:tr>
      <w:tr w14:paraId="4816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4" w:type="dxa"/>
            <w:vMerge w:val="continue"/>
            <w:tcBorders>
              <w:left w:val="single" w:color="auto" w:sz="4" w:space="0"/>
              <w:right w:val="single" w:color="auto" w:sz="4" w:space="0"/>
            </w:tcBorders>
            <w:noWrap w:val="0"/>
            <w:vAlign w:val="center"/>
          </w:tcPr>
          <w:p w14:paraId="29ACBFE7">
            <w:pPr>
              <w:keepNext w:val="0"/>
              <w:pageBreakBefore w:val="0"/>
              <w:overflowPunct/>
              <w:bidi w:val="0"/>
              <w:spacing w:line="360" w:lineRule="auto"/>
              <w:jc w:val="center"/>
              <w:outlineLvl w:val="9"/>
              <w:rPr>
                <w:rFonts w:hint="eastAsia" w:ascii="宋体" w:hAnsi="宋体" w:cs="宋体"/>
                <w:bCs/>
                <w:szCs w:val="24"/>
                <w:highlight w:val="none"/>
                <w:lang w:val="en-US" w:eastAsia="zh-CN"/>
              </w:rPr>
            </w:pPr>
          </w:p>
        </w:tc>
        <w:tc>
          <w:tcPr>
            <w:tcW w:w="1005" w:type="dxa"/>
            <w:vMerge w:val="continue"/>
            <w:tcBorders>
              <w:left w:val="single" w:color="auto" w:sz="4" w:space="0"/>
              <w:right w:val="single" w:color="auto" w:sz="4" w:space="0"/>
            </w:tcBorders>
            <w:noWrap w:val="0"/>
            <w:vAlign w:val="center"/>
          </w:tcPr>
          <w:p w14:paraId="727DC91F">
            <w:pPr>
              <w:keepNext w:val="0"/>
              <w:pageBreakBefore w:val="0"/>
              <w:overflowPunct/>
              <w:bidi w:val="0"/>
              <w:spacing w:line="360" w:lineRule="auto"/>
              <w:jc w:val="center"/>
              <w:outlineLvl w:val="9"/>
              <w:rPr>
                <w:rFonts w:hint="eastAsia" w:ascii="宋体" w:hAnsi="宋体" w:cs="宋体"/>
                <w:szCs w:val="24"/>
                <w:highlight w:val="none"/>
                <w:lang w:eastAsia="zh-CN"/>
              </w:rPr>
            </w:pPr>
          </w:p>
        </w:tc>
        <w:tc>
          <w:tcPr>
            <w:tcW w:w="3070" w:type="dxa"/>
            <w:tcBorders>
              <w:top w:val="single" w:color="auto" w:sz="4" w:space="0"/>
              <w:left w:val="single" w:color="auto" w:sz="4" w:space="0"/>
              <w:right w:val="single" w:color="auto" w:sz="4" w:space="0"/>
            </w:tcBorders>
            <w:noWrap w:val="0"/>
            <w:vAlign w:val="center"/>
          </w:tcPr>
          <w:p w14:paraId="5A0E32D6">
            <w:pPr>
              <w:pStyle w:val="8"/>
              <w:keepNext w:val="0"/>
              <w:pageBreakBefore w:val="0"/>
              <w:overflowPunct/>
              <w:bidi w:val="0"/>
              <w:spacing w:line="360" w:lineRule="auto"/>
              <w:ind w:left="0" w:leftChars="0" w:right="0" w:rightChars="0"/>
              <w:jc w:val="center"/>
              <w:rPr>
                <w:rFonts w:hint="eastAsia" w:ascii="宋体" w:hAnsi="宋体" w:eastAsia="宋体" w:cs="宋体"/>
                <w:highlight w:val="none"/>
              </w:rPr>
            </w:pPr>
            <w:r>
              <w:rPr>
                <w:rFonts w:hint="eastAsia" w:hAnsi="宋体"/>
                <w:color w:val="000000"/>
                <w:sz w:val="24"/>
                <w:szCs w:val="24"/>
                <w:highlight w:val="none"/>
              </w:rPr>
              <w:t>报价唯一</w:t>
            </w:r>
          </w:p>
        </w:tc>
        <w:tc>
          <w:tcPr>
            <w:tcW w:w="4961" w:type="dxa"/>
            <w:tcBorders>
              <w:top w:val="single" w:color="auto" w:sz="4" w:space="0"/>
              <w:left w:val="single" w:color="auto" w:sz="4" w:space="0"/>
              <w:right w:val="single" w:color="auto" w:sz="4" w:space="0"/>
            </w:tcBorders>
            <w:noWrap w:val="0"/>
            <w:vAlign w:val="center"/>
          </w:tcPr>
          <w:p w14:paraId="6D43A063">
            <w:pPr>
              <w:pStyle w:val="8"/>
              <w:keepNext w:val="0"/>
              <w:pageBreakBefore w:val="0"/>
              <w:overflowPunct/>
              <w:bidi w:val="0"/>
              <w:spacing w:line="360" w:lineRule="auto"/>
              <w:ind w:left="0" w:leftChars="0" w:right="0" w:rightChars="0"/>
              <w:jc w:val="center"/>
              <w:rPr>
                <w:rFonts w:hint="eastAsia" w:ascii="宋体" w:hAnsi="宋体" w:eastAsia="宋体" w:cs="宋体"/>
                <w:szCs w:val="24"/>
                <w:highlight w:val="none"/>
              </w:rPr>
            </w:pPr>
            <w:r>
              <w:rPr>
                <w:rFonts w:hint="eastAsia" w:hAnsi="宋体"/>
                <w:color w:val="000000"/>
                <w:sz w:val="24"/>
                <w:szCs w:val="24"/>
                <w:highlight w:val="none"/>
              </w:rPr>
              <w:t>响应文件中只能有一个有效报价，且不超过控制价</w:t>
            </w:r>
          </w:p>
        </w:tc>
      </w:tr>
      <w:tr w14:paraId="65E5A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4" w:type="dxa"/>
            <w:vMerge w:val="restart"/>
            <w:tcBorders>
              <w:top w:val="single" w:color="auto" w:sz="4" w:space="0"/>
              <w:left w:val="single" w:color="auto" w:sz="4" w:space="0"/>
              <w:right w:val="single" w:color="auto" w:sz="4" w:space="0"/>
            </w:tcBorders>
            <w:noWrap w:val="0"/>
            <w:vAlign w:val="center"/>
          </w:tcPr>
          <w:p w14:paraId="63CAFD2F">
            <w:pPr>
              <w:keepNext w:val="0"/>
              <w:pageBreakBefore w:val="0"/>
              <w:overflowPunct/>
              <w:bidi w:val="0"/>
              <w:spacing w:line="360" w:lineRule="auto"/>
              <w:jc w:val="center"/>
              <w:outlineLvl w:val="9"/>
              <w:rPr>
                <w:rFonts w:hint="eastAsia" w:ascii="宋体" w:hAnsi="宋体" w:eastAsia="宋体" w:cs="宋体"/>
                <w:bCs/>
                <w:szCs w:val="24"/>
                <w:highlight w:val="none"/>
              </w:rPr>
            </w:pPr>
            <w:r>
              <w:rPr>
                <w:rFonts w:hint="eastAsia" w:ascii="宋体" w:hAnsi="宋体" w:eastAsia="宋体" w:cs="宋体"/>
                <w:bCs/>
                <w:szCs w:val="24"/>
                <w:highlight w:val="none"/>
              </w:rPr>
              <w:t>2.1.1</w:t>
            </w:r>
          </w:p>
        </w:tc>
        <w:tc>
          <w:tcPr>
            <w:tcW w:w="1005" w:type="dxa"/>
            <w:vMerge w:val="restart"/>
            <w:tcBorders>
              <w:top w:val="single" w:color="auto" w:sz="4" w:space="0"/>
              <w:left w:val="single" w:color="auto" w:sz="4" w:space="0"/>
              <w:right w:val="single" w:color="auto" w:sz="4" w:space="0"/>
            </w:tcBorders>
            <w:noWrap w:val="0"/>
            <w:vAlign w:val="center"/>
          </w:tcPr>
          <w:p w14:paraId="54742C81">
            <w:pPr>
              <w:keepNext w:val="0"/>
              <w:pageBreakBefore w:val="0"/>
              <w:overflowPunct/>
              <w:bidi w:val="0"/>
              <w:spacing w:line="360" w:lineRule="auto"/>
              <w:jc w:val="center"/>
              <w:outlineLvl w:val="9"/>
              <w:rPr>
                <w:rFonts w:hint="eastAsia" w:ascii="宋体" w:hAnsi="宋体" w:eastAsia="宋体" w:cs="宋体"/>
                <w:szCs w:val="24"/>
                <w:highlight w:val="none"/>
              </w:rPr>
            </w:pPr>
            <w:r>
              <w:rPr>
                <w:rFonts w:hint="eastAsia" w:ascii="宋体" w:hAnsi="宋体" w:eastAsia="宋体" w:cs="宋体"/>
                <w:szCs w:val="24"/>
                <w:highlight w:val="none"/>
              </w:rPr>
              <w:t>资格性</w:t>
            </w:r>
          </w:p>
          <w:p w14:paraId="189F9540">
            <w:pPr>
              <w:keepNext w:val="0"/>
              <w:pageBreakBefore w:val="0"/>
              <w:overflowPunct/>
              <w:bidi w:val="0"/>
              <w:spacing w:line="360" w:lineRule="auto"/>
              <w:jc w:val="center"/>
              <w:outlineLvl w:val="9"/>
              <w:rPr>
                <w:rFonts w:hint="eastAsia" w:ascii="宋体" w:hAnsi="宋体" w:eastAsia="宋体" w:cs="宋体"/>
                <w:szCs w:val="24"/>
                <w:highlight w:val="none"/>
              </w:rPr>
            </w:pPr>
            <w:r>
              <w:rPr>
                <w:rFonts w:hint="eastAsia" w:ascii="宋体" w:hAnsi="宋体" w:eastAsia="宋体" w:cs="宋体"/>
                <w:szCs w:val="24"/>
                <w:highlight w:val="none"/>
              </w:rPr>
              <w:t>审查</w:t>
            </w:r>
          </w:p>
          <w:p w14:paraId="7673C441">
            <w:pPr>
              <w:keepNext w:val="0"/>
              <w:pageBreakBefore w:val="0"/>
              <w:overflowPunct/>
              <w:bidi w:val="0"/>
              <w:spacing w:line="360" w:lineRule="auto"/>
              <w:jc w:val="center"/>
              <w:outlineLvl w:val="9"/>
              <w:rPr>
                <w:rFonts w:hint="eastAsia" w:ascii="宋体" w:hAnsi="宋体" w:eastAsia="宋体" w:cs="宋体"/>
                <w:szCs w:val="24"/>
                <w:highlight w:val="none"/>
              </w:rPr>
            </w:pPr>
            <w:r>
              <w:rPr>
                <w:rFonts w:hint="eastAsia" w:ascii="宋体" w:hAnsi="宋体" w:eastAsia="宋体" w:cs="宋体"/>
                <w:szCs w:val="24"/>
                <w:highlight w:val="none"/>
              </w:rPr>
              <w:t>标准</w:t>
            </w:r>
          </w:p>
        </w:tc>
        <w:tc>
          <w:tcPr>
            <w:tcW w:w="3070" w:type="dxa"/>
            <w:tcBorders>
              <w:top w:val="single" w:color="auto" w:sz="4" w:space="0"/>
              <w:left w:val="single" w:color="auto" w:sz="4" w:space="0"/>
              <w:right w:val="single" w:color="auto" w:sz="4" w:space="0"/>
            </w:tcBorders>
            <w:noWrap w:val="0"/>
            <w:vAlign w:val="center"/>
          </w:tcPr>
          <w:p w14:paraId="5A188C2E">
            <w:pPr>
              <w:keepNext w:val="0"/>
              <w:pageBreakBefore w:val="0"/>
              <w:overflowPunct/>
              <w:bidi w:val="0"/>
              <w:spacing w:line="360" w:lineRule="auto"/>
              <w:jc w:val="center"/>
              <w:outlineLvl w:val="9"/>
              <w:rPr>
                <w:rFonts w:hint="eastAsia" w:ascii="宋体" w:hAnsi="宋体" w:eastAsia="宋体" w:cs="宋体"/>
                <w:b/>
                <w:szCs w:val="24"/>
                <w:highlight w:val="none"/>
              </w:rPr>
            </w:pPr>
            <w:r>
              <w:rPr>
                <w:rFonts w:hint="eastAsia" w:ascii="宋体" w:hAnsi="宋体" w:eastAsia="宋体" w:cs="宋体"/>
                <w:highlight w:val="none"/>
              </w:rPr>
              <w:t>满足《中华人民共和国政府采购法》第二十二条规定</w:t>
            </w:r>
          </w:p>
        </w:tc>
        <w:tc>
          <w:tcPr>
            <w:tcW w:w="4961" w:type="dxa"/>
            <w:tcBorders>
              <w:top w:val="single" w:color="auto" w:sz="4" w:space="0"/>
              <w:left w:val="single" w:color="auto" w:sz="4" w:space="0"/>
              <w:right w:val="single" w:color="auto" w:sz="4" w:space="0"/>
            </w:tcBorders>
            <w:noWrap w:val="0"/>
            <w:vAlign w:val="center"/>
          </w:tcPr>
          <w:p w14:paraId="13A4C5F9">
            <w:pPr>
              <w:keepNext w:val="0"/>
              <w:pageBreakBefore w:val="0"/>
              <w:overflowPunct/>
              <w:bidi w:val="0"/>
              <w:spacing w:line="360" w:lineRule="auto"/>
              <w:jc w:val="center"/>
              <w:outlineLvl w:val="9"/>
              <w:rPr>
                <w:rFonts w:hint="eastAsia" w:ascii="宋体" w:hAnsi="宋体" w:eastAsia="宋体" w:cs="宋体"/>
                <w:b/>
                <w:szCs w:val="24"/>
                <w:highlight w:val="none"/>
              </w:rPr>
            </w:pPr>
            <w:r>
              <w:rPr>
                <w:rFonts w:hint="eastAsia" w:ascii="宋体" w:hAnsi="宋体" w:eastAsia="宋体" w:cs="宋体"/>
                <w:highlight w:val="none"/>
              </w:rPr>
              <w:t>供应商在投标（响应）时，提供相关承诺函，无需提供上述证明材料；采购人有权在签订合同前要求成交供应商提供相关证明材料以核实成交供应商承诺事项的真实性。</w:t>
            </w:r>
          </w:p>
        </w:tc>
      </w:tr>
      <w:tr w14:paraId="6D15B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4" w:type="dxa"/>
            <w:vMerge w:val="continue"/>
            <w:tcBorders>
              <w:top w:val="single" w:color="auto" w:sz="4" w:space="0"/>
              <w:left w:val="single" w:color="auto" w:sz="4" w:space="0"/>
              <w:right w:val="single" w:color="auto" w:sz="4" w:space="0"/>
            </w:tcBorders>
            <w:noWrap w:val="0"/>
            <w:vAlign w:val="center"/>
          </w:tcPr>
          <w:p w14:paraId="05ABC960">
            <w:pPr>
              <w:keepNext w:val="0"/>
              <w:pageBreakBefore w:val="0"/>
              <w:overflowPunct/>
              <w:bidi w:val="0"/>
              <w:spacing w:line="360" w:lineRule="auto"/>
              <w:jc w:val="center"/>
              <w:outlineLvl w:val="9"/>
              <w:rPr>
                <w:rFonts w:hint="eastAsia" w:ascii="宋体" w:hAnsi="宋体" w:eastAsia="宋体" w:cs="宋体"/>
                <w:bCs/>
                <w:szCs w:val="24"/>
                <w:highlight w:val="none"/>
              </w:rPr>
            </w:pPr>
          </w:p>
        </w:tc>
        <w:tc>
          <w:tcPr>
            <w:tcW w:w="1005" w:type="dxa"/>
            <w:vMerge w:val="continue"/>
            <w:tcBorders>
              <w:top w:val="single" w:color="auto" w:sz="4" w:space="0"/>
              <w:left w:val="single" w:color="auto" w:sz="4" w:space="0"/>
              <w:right w:val="single" w:color="auto" w:sz="4" w:space="0"/>
            </w:tcBorders>
            <w:noWrap w:val="0"/>
            <w:vAlign w:val="center"/>
          </w:tcPr>
          <w:p w14:paraId="2832E4C8">
            <w:pPr>
              <w:keepNext w:val="0"/>
              <w:pageBreakBefore w:val="0"/>
              <w:overflowPunct/>
              <w:bidi w:val="0"/>
              <w:spacing w:line="360" w:lineRule="auto"/>
              <w:jc w:val="center"/>
              <w:outlineLvl w:val="9"/>
              <w:rPr>
                <w:rFonts w:hint="eastAsia" w:ascii="宋体" w:hAnsi="宋体" w:eastAsia="宋体" w:cs="宋体"/>
                <w:szCs w:val="24"/>
                <w:highlight w:val="none"/>
              </w:rPr>
            </w:pPr>
          </w:p>
        </w:tc>
        <w:tc>
          <w:tcPr>
            <w:tcW w:w="3070" w:type="dxa"/>
            <w:tcBorders>
              <w:top w:val="single" w:color="auto" w:sz="4" w:space="0"/>
              <w:left w:val="single" w:color="auto" w:sz="4" w:space="0"/>
              <w:right w:val="single" w:color="auto" w:sz="4" w:space="0"/>
            </w:tcBorders>
            <w:noWrap w:val="0"/>
            <w:vAlign w:val="center"/>
          </w:tcPr>
          <w:p w14:paraId="404061FD">
            <w:pPr>
              <w:keepNext w:val="0"/>
              <w:pageBreakBefore w:val="0"/>
              <w:overflowPunct/>
              <w:bidi w:val="0"/>
              <w:spacing w:line="360" w:lineRule="auto"/>
              <w:jc w:val="center"/>
              <w:outlineLvl w:val="9"/>
              <w:rPr>
                <w:rFonts w:hint="default" w:ascii="宋体" w:hAnsi="宋体" w:eastAsia="宋体" w:cs="宋体"/>
                <w:highlight w:val="none"/>
                <w:lang w:val="en-US" w:eastAsia="zh-CN"/>
              </w:rPr>
            </w:pPr>
            <w:r>
              <w:rPr>
                <w:rFonts w:hint="eastAsia" w:ascii="宋体" w:hAnsi="宋体" w:cs="宋体"/>
                <w:highlight w:val="none"/>
                <w:lang w:val="en-US" w:eastAsia="zh-CN"/>
              </w:rPr>
              <w:t>营业执照</w:t>
            </w:r>
          </w:p>
        </w:tc>
        <w:tc>
          <w:tcPr>
            <w:tcW w:w="4961" w:type="dxa"/>
            <w:tcBorders>
              <w:top w:val="single" w:color="auto" w:sz="4" w:space="0"/>
              <w:left w:val="single" w:color="auto" w:sz="4" w:space="0"/>
              <w:right w:val="single" w:color="auto" w:sz="4" w:space="0"/>
            </w:tcBorders>
            <w:noWrap w:val="0"/>
            <w:vAlign w:val="center"/>
          </w:tcPr>
          <w:p w14:paraId="61323D13">
            <w:pPr>
              <w:keepNext w:val="0"/>
              <w:pageBreakBefore w:val="0"/>
              <w:overflowPunct/>
              <w:bidi w:val="0"/>
              <w:spacing w:line="360" w:lineRule="auto"/>
              <w:jc w:val="center"/>
              <w:outlineLvl w:val="9"/>
              <w:rPr>
                <w:rFonts w:hint="eastAsia" w:ascii="宋体" w:hAnsi="宋体" w:eastAsia="宋体" w:cs="宋体"/>
                <w:szCs w:val="24"/>
                <w:highlight w:val="none"/>
                <w:lang w:eastAsia="zh-CN"/>
              </w:rPr>
            </w:pPr>
            <w:r>
              <w:rPr>
                <w:rFonts w:hint="eastAsia" w:ascii="宋体" w:hAnsi="宋体" w:eastAsia="宋体" w:cs="宋体"/>
                <w:szCs w:val="24"/>
                <w:highlight w:val="none"/>
              </w:rPr>
              <w:t>供应商须具有独立法人资格，具有有效的营业执照</w:t>
            </w:r>
            <w:r>
              <w:rPr>
                <w:rFonts w:hint="eastAsia" w:ascii="宋体" w:hAnsi="宋体" w:cs="宋体"/>
                <w:szCs w:val="24"/>
                <w:highlight w:val="none"/>
                <w:lang w:eastAsia="zh-CN"/>
              </w:rPr>
              <w:t>。</w:t>
            </w:r>
          </w:p>
        </w:tc>
      </w:tr>
      <w:tr w14:paraId="0EE8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4" w:type="dxa"/>
            <w:vMerge w:val="continue"/>
            <w:tcBorders>
              <w:top w:val="single" w:color="auto" w:sz="4" w:space="0"/>
              <w:left w:val="single" w:color="auto" w:sz="4" w:space="0"/>
              <w:right w:val="single" w:color="auto" w:sz="4" w:space="0"/>
            </w:tcBorders>
            <w:noWrap w:val="0"/>
            <w:vAlign w:val="center"/>
          </w:tcPr>
          <w:p w14:paraId="2F45CF85">
            <w:pPr>
              <w:keepNext w:val="0"/>
              <w:pageBreakBefore w:val="0"/>
              <w:overflowPunct/>
              <w:bidi w:val="0"/>
              <w:spacing w:line="360" w:lineRule="auto"/>
              <w:jc w:val="center"/>
              <w:outlineLvl w:val="9"/>
              <w:rPr>
                <w:rFonts w:hint="eastAsia" w:ascii="宋体" w:hAnsi="宋体" w:eastAsia="宋体" w:cs="宋体"/>
                <w:bCs/>
                <w:szCs w:val="24"/>
                <w:highlight w:val="none"/>
              </w:rPr>
            </w:pPr>
          </w:p>
        </w:tc>
        <w:tc>
          <w:tcPr>
            <w:tcW w:w="1005" w:type="dxa"/>
            <w:vMerge w:val="continue"/>
            <w:tcBorders>
              <w:top w:val="single" w:color="auto" w:sz="4" w:space="0"/>
              <w:left w:val="single" w:color="auto" w:sz="4" w:space="0"/>
              <w:right w:val="single" w:color="auto" w:sz="4" w:space="0"/>
            </w:tcBorders>
            <w:noWrap w:val="0"/>
            <w:vAlign w:val="center"/>
          </w:tcPr>
          <w:p w14:paraId="3AC76EE5">
            <w:pPr>
              <w:keepNext w:val="0"/>
              <w:pageBreakBefore w:val="0"/>
              <w:overflowPunct/>
              <w:bidi w:val="0"/>
              <w:spacing w:line="360" w:lineRule="auto"/>
              <w:jc w:val="center"/>
              <w:outlineLvl w:val="9"/>
              <w:rPr>
                <w:rFonts w:hint="eastAsia" w:ascii="宋体" w:hAnsi="宋体" w:eastAsia="宋体" w:cs="宋体"/>
                <w:szCs w:val="24"/>
                <w:highlight w:val="none"/>
              </w:rPr>
            </w:pPr>
          </w:p>
        </w:tc>
        <w:tc>
          <w:tcPr>
            <w:tcW w:w="3070" w:type="dxa"/>
            <w:tcBorders>
              <w:top w:val="single" w:color="auto" w:sz="4" w:space="0"/>
              <w:left w:val="single" w:color="auto" w:sz="4" w:space="0"/>
              <w:right w:val="single" w:color="auto" w:sz="4" w:space="0"/>
            </w:tcBorders>
            <w:noWrap w:val="0"/>
            <w:vAlign w:val="center"/>
          </w:tcPr>
          <w:p w14:paraId="604388EB">
            <w:pPr>
              <w:keepNext w:val="0"/>
              <w:pageBreakBefore w:val="0"/>
              <w:overflowPunct/>
              <w:bidi w:val="0"/>
              <w:spacing w:line="360" w:lineRule="auto"/>
              <w:jc w:val="center"/>
              <w:outlineLvl w:val="9"/>
              <w:rPr>
                <w:rFonts w:hint="eastAsia" w:ascii="宋体" w:hAnsi="宋体" w:eastAsia="宋体" w:cs="宋体"/>
                <w:highlight w:val="none"/>
                <w:lang w:val="en-US" w:eastAsia="zh-CN"/>
              </w:rPr>
            </w:pPr>
            <w:r>
              <w:rPr>
                <w:rFonts w:hint="eastAsia" w:ascii="宋体" w:hAnsi="宋体" w:eastAsia="宋体" w:cs="宋体"/>
                <w:highlight w:val="none"/>
              </w:rPr>
              <w:t>资质</w:t>
            </w:r>
            <w:r>
              <w:rPr>
                <w:rFonts w:hint="eastAsia" w:ascii="宋体" w:hAnsi="宋体" w:eastAsia="宋体" w:cs="宋体"/>
                <w:highlight w:val="none"/>
                <w:lang w:val="en-US" w:eastAsia="zh-CN"/>
              </w:rPr>
              <w:t>证书</w:t>
            </w:r>
          </w:p>
        </w:tc>
        <w:tc>
          <w:tcPr>
            <w:tcW w:w="4961" w:type="dxa"/>
            <w:tcBorders>
              <w:top w:val="single" w:color="auto" w:sz="4" w:space="0"/>
              <w:left w:val="single" w:color="auto" w:sz="4" w:space="0"/>
              <w:right w:val="single" w:color="auto" w:sz="4" w:space="0"/>
            </w:tcBorders>
            <w:noWrap w:val="0"/>
            <w:vAlign w:val="center"/>
          </w:tcPr>
          <w:p w14:paraId="05888671">
            <w:pPr>
              <w:keepNext w:val="0"/>
              <w:pageBreakBefore w:val="0"/>
              <w:overflowPunct/>
              <w:bidi w:val="0"/>
              <w:spacing w:line="360" w:lineRule="auto"/>
              <w:jc w:val="center"/>
              <w:outlineLvl w:val="9"/>
              <w:rPr>
                <w:rFonts w:hint="eastAsia" w:ascii="宋体" w:hAnsi="宋体" w:eastAsia="宋体" w:cs="宋体"/>
                <w:szCs w:val="24"/>
                <w:highlight w:val="none"/>
              </w:rPr>
            </w:pPr>
            <w:r>
              <w:rPr>
                <w:rFonts w:hint="eastAsia" w:ascii="宋体" w:hAnsi="宋体" w:cs="宋体"/>
                <w:szCs w:val="24"/>
                <w:highlight w:val="none"/>
                <w:lang w:eastAsia="zh-CN"/>
              </w:rPr>
              <w:t>供应商须具备行政主管部门颁发的测绘乙级及以上资质并在有效期内（专业范围须包含界线与不动产测绘、地理信息系统工程）</w:t>
            </w:r>
            <w:r>
              <w:rPr>
                <w:rFonts w:hint="eastAsia" w:ascii="宋体" w:hAnsi="宋体" w:eastAsia="宋体" w:cs="宋体"/>
                <w:szCs w:val="24"/>
                <w:highlight w:val="none"/>
              </w:rPr>
              <w:t>。</w:t>
            </w:r>
          </w:p>
        </w:tc>
      </w:tr>
      <w:tr w14:paraId="1EDF7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4" w:type="dxa"/>
            <w:vMerge w:val="continue"/>
            <w:tcBorders>
              <w:top w:val="single" w:color="auto" w:sz="4" w:space="0"/>
              <w:left w:val="single" w:color="auto" w:sz="4" w:space="0"/>
              <w:right w:val="single" w:color="auto" w:sz="4" w:space="0"/>
            </w:tcBorders>
            <w:noWrap w:val="0"/>
            <w:vAlign w:val="center"/>
          </w:tcPr>
          <w:p w14:paraId="59221213">
            <w:pPr>
              <w:keepNext w:val="0"/>
              <w:pageBreakBefore w:val="0"/>
              <w:overflowPunct/>
              <w:bidi w:val="0"/>
              <w:spacing w:line="360" w:lineRule="auto"/>
              <w:jc w:val="center"/>
              <w:outlineLvl w:val="9"/>
              <w:rPr>
                <w:rFonts w:hint="eastAsia" w:ascii="宋体" w:hAnsi="宋体" w:eastAsia="宋体" w:cs="宋体"/>
                <w:bCs/>
                <w:szCs w:val="24"/>
                <w:highlight w:val="none"/>
              </w:rPr>
            </w:pPr>
          </w:p>
        </w:tc>
        <w:tc>
          <w:tcPr>
            <w:tcW w:w="1005" w:type="dxa"/>
            <w:vMerge w:val="continue"/>
            <w:tcBorders>
              <w:top w:val="single" w:color="auto" w:sz="4" w:space="0"/>
              <w:left w:val="single" w:color="auto" w:sz="4" w:space="0"/>
              <w:right w:val="single" w:color="auto" w:sz="4" w:space="0"/>
            </w:tcBorders>
            <w:noWrap w:val="0"/>
            <w:vAlign w:val="center"/>
          </w:tcPr>
          <w:p w14:paraId="4B12A95D">
            <w:pPr>
              <w:keepNext w:val="0"/>
              <w:pageBreakBefore w:val="0"/>
              <w:overflowPunct/>
              <w:bidi w:val="0"/>
              <w:spacing w:line="360" w:lineRule="auto"/>
              <w:jc w:val="center"/>
              <w:outlineLvl w:val="9"/>
              <w:rPr>
                <w:rFonts w:hint="eastAsia" w:ascii="宋体" w:hAnsi="宋体" w:eastAsia="宋体" w:cs="宋体"/>
                <w:szCs w:val="24"/>
                <w:highlight w:val="none"/>
              </w:rPr>
            </w:pPr>
          </w:p>
        </w:tc>
        <w:tc>
          <w:tcPr>
            <w:tcW w:w="3070" w:type="dxa"/>
            <w:tcBorders>
              <w:top w:val="single" w:color="auto" w:sz="4" w:space="0"/>
              <w:left w:val="single" w:color="auto" w:sz="4" w:space="0"/>
              <w:right w:val="single" w:color="auto" w:sz="4" w:space="0"/>
            </w:tcBorders>
            <w:noWrap w:val="0"/>
            <w:vAlign w:val="center"/>
          </w:tcPr>
          <w:p w14:paraId="6AEA89D7">
            <w:pPr>
              <w:keepNext w:val="0"/>
              <w:pageBreakBefore w:val="0"/>
              <w:overflowPunct/>
              <w:bidi w:val="0"/>
              <w:spacing w:line="360" w:lineRule="auto"/>
              <w:jc w:val="center"/>
              <w:outlineLvl w:val="9"/>
              <w:rPr>
                <w:rFonts w:hint="eastAsia" w:ascii="宋体" w:hAnsi="宋体" w:eastAsia="宋体" w:cs="宋体"/>
                <w:highlight w:val="none"/>
              </w:rPr>
            </w:pPr>
            <w:r>
              <w:rPr>
                <w:rFonts w:hint="eastAsia" w:ascii="宋体" w:hAnsi="宋体" w:eastAsia="宋体" w:cs="宋体"/>
                <w:szCs w:val="24"/>
                <w:highlight w:val="none"/>
              </w:rPr>
              <w:t>项目负责人</w:t>
            </w:r>
          </w:p>
        </w:tc>
        <w:tc>
          <w:tcPr>
            <w:tcW w:w="4961" w:type="dxa"/>
            <w:tcBorders>
              <w:top w:val="single" w:color="auto" w:sz="4" w:space="0"/>
              <w:left w:val="single" w:color="auto" w:sz="4" w:space="0"/>
              <w:right w:val="single" w:color="auto" w:sz="4" w:space="0"/>
            </w:tcBorders>
            <w:noWrap w:val="0"/>
            <w:vAlign w:val="center"/>
          </w:tcPr>
          <w:p w14:paraId="5AC0F817">
            <w:pPr>
              <w:keepNext w:val="0"/>
              <w:pageBreakBefore w:val="0"/>
              <w:overflowPunct/>
              <w:bidi w:val="0"/>
              <w:spacing w:line="360" w:lineRule="auto"/>
              <w:jc w:val="center"/>
              <w:outlineLvl w:val="9"/>
              <w:rPr>
                <w:rFonts w:hint="eastAsia" w:ascii="宋体" w:hAnsi="宋体" w:eastAsia="宋体" w:cs="宋体"/>
                <w:szCs w:val="24"/>
                <w:highlight w:val="none"/>
              </w:rPr>
            </w:pPr>
            <w:r>
              <w:rPr>
                <w:rFonts w:hint="eastAsia" w:ascii="宋体" w:hAnsi="宋体" w:eastAsia="宋体" w:cs="宋体"/>
                <w:szCs w:val="24"/>
                <w:highlight w:val="none"/>
              </w:rPr>
              <w:t>项目负责人须具备测绘及</w:t>
            </w:r>
            <w:r>
              <w:rPr>
                <w:rFonts w:hint="eastAsia" w:ascii="宋体" w:hAnsi="宋体" w:cs="宋体"/>
                <w:szCs w:val="24"/>
                <w:highlight w:val="none"/>
                <w:lang w:eastAsia="zh-CN"/>
              </w:rPr>
              <w:t>相关专业</w:t>
            </w:r>
            <w:r>
              <w:rPr>
                <w:rFonts w:hint="eastAsia" w:ascii="宋体" w:hAnsi="宋体" w:eastAsia="宋体" w:cs="宋体"/>
                <w:szCs w:val="24"/>
                <w:highlight w:val="none"/>
              </w:rPr>
              <w:t>中级及以上技术职称。（供应商须提供项目负责人的身份证、职称证书及提供缴纳单位养老保险缴费证明）</w:t>
            </w:r>
          </w:p>
        </w:tc>
      </w:tr>
      <w:tr w14:paraId="077A6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4" w:type="dxa"/>
            <w:vMerge w:val="continue"/>
            <w:tcBorders>
              <w:left w:val="single" w:color="auto" w:sz="4" w:space="0"/>
              <w:right w:val="single" w:color="auto" w:sz="4" w:space="0"/>
            </w:tcBorders>
            <w:noWrap w:val="0"/>
            <w:vAlign w:val="center"/>
          </w:tcPr>
          <w:p w14:paraId="0E0EF05B">
            <w:pPr>
              <w:keepNext w:val="0"/>
              <w:pageBreakBefore w:val="0"/>
              <w:overflowPunct/>
              <w:bidi w:val="0"/>
              <w:spacing w:line="360" w:lineRule="auto"/>
              <w:jc w:val="center"/>
              <w:outlineLvl w:val="9"/>
              <w:rPr>
                <w:rFonts w:hint="eastAsia" w:ascii="宋体" w:hAnsi="宋体" w:eastAsia="宋体" w:cs="宋体"/>
                <w:bCs/>
                <w:szCs w:val="24"/>
                <w:highlight w:val="none"/>
              </w:rPr>
            </w:pPr>
          </w:p>
        </w:tc>
        <w:tc>
          <w:tcPr>
            <w:tcW w:w="1005" w:type="dxa"/>
            <w:vMerge w:val="continue"/>
            <w:tcBorders>
              <w:left w:val="single" w:color="auto" w:sz="4" w:space="0"/>
              <w:right w:val="single" w:color="auto" w:sz="4" w:space="0"/>
            </w:tcBorders>
            <w:noWrap w:val="0"/>
            <w:vAlign w:val="center"/>
          </w:tcPr>
          <w:p w14:paraId="1E8A8258">
            <w:pPr>
              <w:keepNext w:val="0"/>
              <w:pageBreakBefore w:val="0"/>
              <w:overflowPunct/>
              <w:bidi w:val="0"/>
              <w:spacing w:line="360" w:lineRule="auto"/>
              <w:jc w:val="center"/>
              <w:outlineLvl w:val="9"/>
              <w:rPr>
                <w:rFonts w:hint="eastAsia" w:ascii="宋体" w:hAnsi="宋体" w:eastAsia="宋体" w:cs="宋体"/>
                <w:szCs w:val="24"/>
                <w:highlight w:val="none"/>
              </w:rPr>
            </w:pPr>
          </w:p>
        </w:tc>
        <w:tc>
          <w:tcPr>
            <w:tcW w:w="3070" w:type="dxa"/>
            <w:tcBorders>
              <w:top w:val="single" w:color="auto" w:sz="4" w:space="0"/>
              <w:left w:val="single" w:color="auto" w:sz="4" w:space="0"/>
              <w:right w:val="single" w:color="auto" w:sz="4" w:space="0"/>
            </w:tcBorders>
            <w:noWrap w:val="0"/>
            <w:vAlign w:val="center"/>
          </w:tcPr>
          <w:p w14:paraId="0D11A90B">
            <w:pPr>
              <w:keepNext w:val="0"/>
              <w:pageBreakBefore w:val="0"/>
              <w:overflowPunct/>
              <w:bidi w:val="0"/>
              <w:spacing w:line="360" w:lineRule="auto"/>
              <w:jc w:val="center"/>
              <w:outlineLvl w:val="9"/>
              <w:rPr>
                <w:rFonts w:hint="eastAsia" w:ascii="宋体" w:hAnsi="宋体" w:eastAsia="宋体" w:cs="宋体"/>
                <w:szCs w:val="24"/>
                <w:highlight w:val="none"/>
              </w:rPr>
            </w:pPr>
            <w:r>
              <w:rPr>
                <w:rFonts w:hint="eastAsia" w:ascii="宋体" w:hAnsi="宋体" w:eastAsia="宋体" w:cs="宋体"/>
                <w:szCs w:val="24"/>
                <w:highlight w:val="none"/>
              </w:rPr>
              <w:t>无商业贿赂和不正当竞争行为</w:t>
            </w:r>
          </w:p>
        </w:tc>
        <w:tc>
          <w:tcPr>
            <w:tcW w:w="4961" w:type="dxa"/>
            <w:tcBorders>
              <w:top w:val="single" w:color="auto" w:sz="4" w:space="0"/>
              <w:left w:val="single" w:color="auto" w:sz="4" w:space="0"/>
              <w:right w:val="single" w:color="auto" w:sz="4" w:space="0"/>
            </w:tcBorders>
            <w:noWrap w:val="0"/>
            <w:vAlign w:val="center"/>
          </w:tcPr>
          <w:p w14:paraId="0B46AF51">
            <w:pPr>
              <w:keepNext w:val="0"/>
              <w:pageBreakBefore w:val="0"/>
              <w:overflowPunct/>
              <w:bidi w:val="0"/>
              <w:spacing w:line="360" w:lineRule="auto"/>
              <w:jc w:val="center"/>
              <w:outlineLvl w:val="9"/>
              <w:rPr>
                <w:rFonts w:hint="eastAsia" w:ascii="宋体" w:hAnsi="宋体" w:eastAsia="宋体" w:cs="宋体"/>
                <w:szCs w:val="24"/>
                <w:highlight w:val="none"/>
              </w:rPr>
            </w:pPr>
            <w:r>
              <w:rPr>
                <w:rFonts w:hint="eastAsia" w:ascii="宋体" w:hAnsi="宋体" w:eastAsia="宋体" w:cs="宋体"/>
                <w:szCs w:val="24"/>
                <w:highlight w:val="none"/>
              </w:rPr>
              <w:t>供应商须承诺本企业无商业贿赂和不正当竞争行为。</w:t>
            </w:r>
          </w:p>
        </w:tc>
      </w:tr>
      <w:tr w14:paraId="3BC5A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4" w:type="dxa"/>
            <w:vMerge w:val="continue"/>
            <w:tcBorders>
              <w:left w:val="single" w:color="auto" w:sz="4" w:space="0"/>
              <w:right w:val="single" w:color="auto" w:sz="4" w:space="0"/>
            </w:tcBorders>
            <w:noWrap w:val="0"/>
            <w:vAlign w:val="center"/>
          </w:tcPr>
          <w:p w14:paraId="3E45C4A7">
            <w:pPr>
              <w:keepNext w:val="0"/>
              <w:pageBreakBefore w:val="0"/>
              <w:overflowPunct/>
              <w:bidi w:val="0"/>
              <w:spacing w:line="360" w:lineRule="auto"/>
              <w:jc w:val="center"/>
              <w:outlineLvl w:val="9"/>
              <w:rPr>
                <w:rFonts w:hint="eastAsia" w:ascii="宋体" w:hAnsi="宋体" w:eastAsia="宋体" w:cs="宋体"/>
                <w:bCs/>
                <w:szCs w:val="24"/>
                <w:highlight w:val="none"/>
              </w:rPr>
            </w:pPr>
          </w:p>
        </w:tc>
        <w:tc>
          <w:tcPr>
            <w:tcW w:w="1005" w:type="dxa"/>
            <w:vMerge w:val="continue"/>
            <w:tcBorders>
              <w:left w:val="single" w:color="auto" w:sz="4" w:space="0"/>
              <w:right w:val="single" w:color="auto" w:sz="4" w:space="0"/>
            </w:tcBorders>
            <w:noWrap w:val="0"/>
            <w:vAlign w:val="center"/>
          </w:tcPr>
          <w:p w14:paraId="5CF3DD2D">
            <w:pPr>
              <w:keepNext w:val="0"/>
              <w:pageBreakBefore w:val="0"/>
              <w:overflowPunct/>
              <w:bidi w:val="0"/>
              <w:spacing w:line="360" w:lineRule="auto"/>
              <w:jc w:val="center"/>
              <w:outlineLvl w:val="9"/>
              <w:rPr>
                <w:rFonts w:hint="eastAsia" w:ascii="宋体" w:hAnsi="宋体" w:eastAsia="宋体" w:cs="宋体"/>
                <w:szCs w:val="24"/>
                <w:highlight w:val="none"/>
              </w:rPr>
            </w:pPr>
          </w:p>
        </w:tc>
        <w:tc>
          <w:tcPr>
            <w:tcW w:w="3070" w:type="dxa"/>
            <w:tcBorders>
              <w:top w:val="single" w:color="auto" w:sz="4" w:space="0"/>
              <w:left w:val="single" w:color="auto" w:sz="4" w:space="0"/>
              <w:right w:val="single" w:color="auto" w:sz="4" w:space="0"/>
            </w:tcBorders>
            <w:noWrap w:val="0"/>
            <w:vAlign w:val="center"/>
          </w:tcPr>
          <w:p w14:paraId="3CFBE131">
            <w:pPr>
              <w:keepNext w:val="0"/>
              <w:pageBreakBefore w:val="0"/>
              <w:overflowPunct/>
              <w:bidi w:val="0"/>
              <w:spacing w:line="360" w:lineRule="auto"/>
              <w:jc w:val="center"/>
              <w:outlineLvl w:val="9"/>
              <w:rPr>
                <w:rFonts w:hint="eastAsia" w:ascii="宋体" w:hAnsi="宋体" w:eastAsia="宋体" w:cs="宋体"/>
                <w:szCs w:val="24"/>
                <w:highlight w:val="none"/>
              </w:rPr>
            </w:pPr>
            <w:r>
              <w:rPr>
                <w:rFonts w:hint="eastAsia" w:ascii="宋体" w:hAnsi="宋体" w:eastAsia="宋体" w:cs="宋体"/>
                <w:szCs w:val="24"/>
                <w:highlight w:val="none"/>
              </w:rPr>
              <w:t>信用查询</w:t>
            </w:r>
          </w:p>
        </w:tc>
        <w:tc>
          <w:tcPr>
            <w:tcW w:w="4961" w:type="dxa"/>
            <w:tcBorders>
              <w:top w:val="single" w:color="auto" w:sz="4" w:space="0"/>
              <w:left w:val="single" w:color="auto" w:sz="4" w:space="0"/>
              <w:right w:val="single" w:color="auto" w:sz="4" w:space="0"/>
            </w:tcBorders>
            <w:noWrap w:val="0"/>
            <w:vAlign w:val="center"/>
          </w:tcPr>
          <w:p w14:paraId="622312C3">
            <w:pPr>
              <w:keepNext w:val="0"/>
              <w:pageBreakBefore w:val="0"/>
              <w:overflowPunct/>
              <w:bidi w:val="0"/>
              <w:spacing w:line="360" w:lineRule="auto"/>
              <w:jc w:val="center"/>
              <w:outlineLvl w:val="9"/>
              <w:rPr>
                <w:rFonts w:hint="eastAsia" w:ascii="宋体" w:hAnsi="宋体" w:eastAsia="宋体" w:cs="宋体"/>
                <w:szCs w:val="24"/>
                <w:highlight w:val="none"/>
              </w:rPr>
            </w:pPr>
            <w:r>
              <w:rPr>
                <w:rFonts w:hint="eastAsia" w:ascii="宋体" w:hAnsi="宋体" w:eastAsia="宋体" w:cs="宋体"/>
                <w:szCs w:val="24"/>
                <w:highlight w:val="none"/>
              </w:rPr>
              <w:t>根据《关于在政府采购活动中查询及使用信用记录有关问题的通知》（财库[2016]125号）和豫财购【2016】15号的规定，企业没有被列入“中国执行信息公开网”网站的“失信被执行人”、“信用中国”网站的“重大税收违法失信主体”、“政府采购严重违法失信行为记录名单”及“中国政府采购网”网站的“政府采购严重违法失信行为记录名单”，查询渠道：“中国执行信息公开网”网站（http</w:t>
            </w:r>
            <w:r>
              <w:rPr>
                <w:rFonts w:hint="eastAsia" w:ascii="宋体" w:hAnsi="宋体" w:cs="宋体"/>
                <w:szCs w:val="24"/>
                <w:highlight w:val="none"/>
                <w:lang w:eastAsia="zh-CN"/>
              </w:rPr>
              <w:t>：</w:t>
            </w:r>
            <w:r>
              <w:rPr>
                <w:rFonts w:hint="eastAsia" w:ascii="宋体" w:hAnsi="宋体" w:eastAsia="宋体" w:cs="宋体"/>
                <w:szCs w:val="24"/>
                <w:highlight w:val="none"/>
              </w:rPr>
              <w:t>//zxgk.court.gov.cn/shixin）“信用中国”网站（www.creditchina.gov.cn）、中国政府采购网（www.ccgp.gov.cn）；（提供“中国执行信息公开网”、“信用中国”和“中国政府采购网”网站的查询信息截图，同时网页查询需包含查询日期，查询日期自公告发布之日至投标截止之日）。</w:t>
            </w:r>
          </w:p>
        </w:tc>
      </w:tr>
      <w:tr w14:paraId="27F40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4" w:type="dxa"/>
            <w:vMerge w:val="continue"/>
            <w:tcBorders>
              <w:left w:val="single" w:color="auto" w:sz="4" w:space="0"/>
              <w:right w:val="single" w:color="auto" w:sz="4" w:space="0"/>
            </w:tcBorders>
            <w:noWrap w:val="0"/>
            <w:vAlign w:val="center"/>
          </w:tcPr>
          <w:p w14:paraId="49BEB069">
            <w:pPr>
              <w:keepNext w:val="0"/>
              <w:pageBreakBefore w:val="0"/>
              <w:overflowPunct/>
              <w:bidi w:val="0"/>
              <w:spacing w:line="360" w:lineRule="auto"/>
              <w:jc w:val="center"/>
              <w:outlineLvl w:val="9"/>
              <w:rPr>
                <w:rFonts w:hint="eastAsia" w:ascii="宋体" w:hAnsi="宋体" w:eastAsia="宋体" w:cs="宋体"/>
                <w:bCs/>
                <w:szCs w:val="24"/>
                <w:highlight w:val="none"/>
              </w:rPr>
            </w:pPr>
          </w:p>
        </w:tc>
        <w:tc>
          <w:tcPr>
            <w:tcW w:w="1005" w:type="dxa"/>
            <w:vMerge w:val="continue"/>
            <w:tcBorders>
              <w:left w:val="single" w:color="auto" w:sz="4" w:space="0"/>
              <w:right w:val="single" w:color="auto" w:sz="4" w:space="0"/>
            </w:tcBorders>
            <w:noWrap w:val="0"/>
            <w:vAlign w:val="center"/>
          </w:tcPr>
          <w:p w14:paraId="4BAC91F2">
            <w:pPr>
              <w:keepNext w:val="0"/>
              <w:pageBreakBefore w:val="0"/>
              <w:overflowPunct/>
              <w:bidi w:val="0"/>
              <w:spacing w:line="360" w:lineRule="auto"/>
              <w:jc w:val="center"/>
              <w:outlineLvl w:val="9"/>
              <w:rPr>
                <w:rFonts w:hint="eastAsia" w:ascii="宋体" w:hAnsi="宋体" w:eastAsia="宋体" w:cs="宋体"/>
                <w:szCs w:val="24"/>
                <w:highlight w:val="none"/>
              </w:rPr>
            </w:pPr>
          </w:p>
        </w:tc>
        <w:tc>
          <w:tcPr>
            <w:tcW w:w="3070" w:type="dxa"/>
            <w:tcBorders>
              <w:top w:val="single" w:color="auto" w:sz="4" w:space="0"/>
              <w:left w:val="single" w:color="auto" w:sz="4" w:space="0"/>
              <w:right w:val="single" w:color="auto" w:sz="4" w:space="0"/>
            </w:tcBorders>
            <w:noWrap w:val="0"/>
            <w:vAlign w:val="center"/>
          </w:tcPr>
          <w:p w14:paraId="70F051D7">
            <w:pPr>
              <w:keepNext w:val="0"/>
              <w:pageBreakBefore w:val="0"/>
              <w:overflowPunct/>
              <w:bidi w:val="0"/>
              <w:spacing w:line="360" w:lineRule="auto"/>
              <w:jc w:val="center"/>
              <w:outlineLvl w:val="9"/>
              <w:rPr>
                <w:rFonts w:hint="eastAsia" w:ascii="宋体" w:hAnsi="宋体" w:eastAsia="宋体" w:cs="宋体"/>
                <w:highlight w:val="none"/>
              </w:rPr>
            </w:pPr>
            <w:r>
              <w:rPr>
                <w:rFonts w:hint="eastAsia" w:ascii="宋体" w:hAnsi="宋体" w:eastAsia="宋体" w:cs="宋体"/>
                <w:highlight w:val="none"/>
              </w:rPr>
              <w:t>“国家企业信用信息公示系统”查询</w:t>
            </w:r>
          </w:p>
        </w:tc>
        <w:tc>
          <w:tcPr>
            <w:tcW w:w="4961" w:type="dxa"/>
            <w:tcBorders>
              <w:top w:val="single" w:color="auto" w:sz="4" w:space="0"/>
              <w:left w:val="single" w:color="auto" w:sz="4" w:space="0"/>
              <w:right w:val="single" w:color="auto" w:sz="4" w:space="0"/>
            </w:tcBorders>
            <w:noWrap w:val="0"/>
            <w:vAlign w:val="center"/>
          </w:tcPr>
          <w:p w14:paraId="6A3004BF">
            <w:pPr>
              <w:keepNext w:val="0"/>
              <w:pageBreakBefore w:val="0"/>
              <w:overflowPunct/>
              <w:bidi w:val="0"/>
              <w:spacing w:line="360" w:lineRule="auto"/>
              <w:jc w:val="center"/>
              <w:outlineLvl w:val="9"/>
              <w:rPr>
                <w:rFonts w:hint="eastAsia" w:ascii="宋体" w:hAnsi="宋体" w:eastAsia="宋体" w:cs="宋体"/>
                <w:szCs w:val="24"/>
                <w:highlight w:val="none"/>
              </w:rPr>
            </w:pPr>
            <w:r>
              <w:rPr>
                <w:rFonts w:hint="eastAsia" w:ascii="宋体" w:hAnsi="宋体" w:cs="宋体"/>
                <w:sz w:val="24"/>
                <w:lang w:bidi="ar"/>
              </w:rPr>
              <w:t>单位负责人为同一人或者存在控股、管理关系的不同单位，不得参加同一标段投标或者未划分标段的同一招标项目投标（以“国家企业信用信息公示系统”查询为准，需包含公司基本信息、股东信息及股权变更信息等内容</w:t>
            </w:r>
            <w:r>
              <w:rPr>
                <w:rFonts w:hint="eastAsia" w:ascii="宋体" w:hAnsi="宋体" w:cs="宋体"/>
                <w:sz w:val="24"/>
                <w:lang w:eastAsia="zh-CN" w:bidi="ar"/>
              </w:rPr>
              <w:t>）。</w:t>
            </w:r>
          </w:p>
        </w:tc>
      </w:tr>
      <w:tr w14:paraId="43F1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4" w:type="dxa"/>
            <w:vMerge w:val="continue"/>
            <w:tcBorders>
              <w:left w:val="single" w:color="auto" w:sz="4" w:space="0"/>
              <w:right w:val="single" w:color="auto" w:sz="4" w:space="0"/>
            </w:tcBorders>
            <w:noWrap w:val="0"/>
            <w:vAlign w:val="center"/>
          </w:tcPr>
          <w:p w14:paraId="56702B5B">
            <w:pPr>
              <w:keepNext w:val="0"/>
              <w:pageBreakBefore w:val="0"/>
              <w:overflowPunct/>
              <w:bidi w:val="0"/>
              <w:spacing w:line="360" w:lineRule="auto"/>
              <w:jc w:val="center"/>
              <w:outlineLvl w:val="9"/>
              <w:rPr>
                <w:rFonts w:hint="eastAsia" w:ascii="宋体" w:hAnsi="宋体" w:eastAsia="宋体" w:cs="宋体"/>
                <w:bCs/>
                <w:szCs w:val="24"/>
                <w:highlight w:val="none"/>
              </w:rPr>
            </w:pPr>
          </w:p>
        </w:tc>
        <w:tc>
          <w:tcPr>
            <w:tcW w:w="1005" w:type="dxa"/>
            <w:vMerge w:val="continue"/>
            <w:tcBorders>
              <w:left w:val="single" w:color="auto" w:sz="4" w:space="0"/>
              <w:right w:val="single" w:color="auto" w:sz="4" w:space="0"/>
            </w:tcBorders>
            <w:noWrap w:val="0"/>
            <w:vAlign w:val="center"/>
          </w:tcPr>
          <w:p w14:paraId="0F80CF98">
            <w:pPr>
              <w:keepNext w:val="0"/>
              <w:pageBreakBefore w:val="0"/>
              <w:overflowPunct/>
              <w:bidi w:val="0"/>
              <w:spacing w:line="360" w:lineRule="auto"/>
              <w:jc w:val="center"/>
              <w:outlineLvl w:val="9"/>
              <w:rPr>
                <w:rFonts w:hint="eastAsia" w:ascii="宋体" w:hAnsi="宋体" w:eastAsia="宋体" w:cs="宋体"/>
                <w:szCs w:val="24"/>
                <w:highlight w:val="none"/>
              </w:rPr>
            </w:pPr>
          </w:p>
        </w:tc>
        <w:tc>
          <w:tcPr>
            <w:tcW w:w="3070" w:type="dxa"/>
            <w:tcBorders>
              <w:top w:val="single" w:color="auto" w:sz="4" w:space="0"/>
              <w:left w:val="single" w:color="auto" w:sz="4" w:space="0"/>
              <w:right w:val="single" w:color="auto" w:sz="4" w:space="0"/>
            </w:tcBorders>
            <w:noWrap w:val="0"/>
            <w:vAlign w:val="center"/>
          </w:tcPr>
          <w:p w14:paraId="5136D18C">
            <w:pPr>
              <w:keepNext w:val="0"/>
              <w:pageBreakBefore w:val="0"/>
              <w:overflowPunct/>
              <w:bidi w:val="0"/>
              <w:spacing w:line="360" w:lineRule="auto"/>
              <w:jc w:val="center"/>
              <w:outlineLvl w:val="9"/>
              <w:rPr>
                <w:rFonts w:hint="eastAsia" w:ascii="宋体" w:hAnsi="宋体" w:eastAsia="宋体" w:cs="宋体"/>
                <w:szCs w:val="24"/>
                <w:highlight w:val="none"/>
              </w:rPr>
            </w:pPr>
            <w:r>
              <w:rPr>
                <w:rFonts w:hint="eastAsia" w:ascii="宋体" w:hAnsi="宋体" w:eastAsia="宋体" w:cs="宋体"/>
                <w:highlight w:val="none"/>
              </w:rPr>
              <w:t>联合体投标</w:t>
            </w:r>
          </w:p>
        </w:tc>
        <w:tc>
          <w:tcPr>
            <w:tcW w:w="4961" w:type="dxa"/>
            <w:tcBorders>
              <w:top w:val="single" w:color="auto" w:sz="4" w:space="0"/>
              <w:left w:val="single" w:color="auto" w:sz="4" w:space="0"/>
              <w:right w:val="single" w:color="auto" w:sz="4" w:space="0"/>
            </w:tcBorders>
            <w:noWrap w:val="0"/>
            <w:vAlign w:val="center"/>
          </w:tcPr>
          <w:p w14:paraId="19B1C05B">
            <w:pPr>
              <w:keepNext w:val="0"/>
              <w:pageBreakBefore w:val="0"/>
              <w:overflowPunct/>
              <w:bidi w:val="0"/>
              <w:spacing w:line="360" w:lineRule="auto"/>
              <w:jc w:val="center"/>
              <w:outlineLvl w:val="9"/>
              <w:rPr>
                <w:rFonts w:hint="eastAsia" w:ascii="宋体" w:hAnsi="宋体" w:eastAsia="宋体" w:cs="宋体"/>
                <w:szCs w:val="24"/>
                <w:highlight w:val="none"/>
                <w:lang w:eastAsia="zh-CN"/>
              </w:rPr>
            </w:pPr>
            <w:r>
              <w:rPr>
                <w:rFonts w:hint="eastAsia" w:ascii="宋体" w:hAnsi="宋体" w:eastAsia="宋体" w:cs="宋体"/>
                <w:szCs w:val="24"/>
                <w:highlight w:val="none"/>
              </w:rPr>
              <w:t>本项目不接受联合体磋商</w:t>
            </w:r>
            <w:r>
              <w:rPr>
                <w:rFonts w:hint="eastAsia" w:ascii="宋体" w:hAnsi="宋体" w:cs="宋体"/>
                <w:szCs w:val="24"/>
                <w:highlight w:val="none"/>
                <w:lang w:eastAsia="zh-CN"/>
              </w:rPr>
              <w:t>（</w:t>
            </w:r>
            <w:r>
              <w:rPr>
                <w:rFonts w:hint="eastAsia" w:ascii="宋体" w:hAnsi="宋体" w:cs="宋体"/>
                <w:szCs w:val="24"/>
                <w:highlight w:val="none"/>
                <w:lang w:val="en-US" w:eastAsia="zh-CN"/>
              </w:rPr>
              <w:t>提供承诺书，格式自拟</w:t>
            </w:r>
            <w:r>
              <w:rPr>
                <w:rFonts w:hint="eastAsia" w:ascii="宋体" w:hAnsi="宋体" w:cs="宋体"/>
                <w:szCs w:val="24"/>
                <w:highlight w:val="none"/>
                <w:lang w:eastAsia="zh-CN"/>
              </w:rPr>
              <w:t>）</w:t>
            </w:r>
          </w:p>
        </w:tc>
      </w:tr>
      <w:tr w14:paraId="0AF71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4" w:type="dxa"/>
            <w:vMerge w:val="restart"/>
            <w:tcBorders>
              <w:top w:val="single" w:color="auto" w:sz="4" w:space="0"/>
              <w:left w:val="single" w:color="auto" w:sz="4" w:space="0"/>
              <w:right w:val="single" w:color="auto" w:sz="4" w:space="0"/>
            </w:tcBorders>
            <w:noWrap w:val="0"/>
            <w:vAlign w:val="center"/>
          </w:tcPr>
          <w:p w14:paraId="2CA8A360">
            <w:pPr>
              <w:keepNext w:val="0"/>
              <w:pageBreakBefore w:val="0"/>
              <w:overflowPunct/>
              <w:bidi w:val="0"/>
              <w:spacing w:line="360" w:lineRule="auto"/>
              <w:jc w:val="center"/>
              <w:outlineLvl w:val="9"/>
              <w:rPr>
                <w:rFonts w:hint="eastAsia" w:ascii="宋体" w:hAnsi="宋体" w:eastAsia="宋体" w:cs="宋体"/>
                <w:szCs w:val="24"/>
                <w:highlight w:val="none"/>
              </w:rPr>
            </w:pPr>
            <w:r>
              <w:rPr>
                <w:rFonts w:hint="eastAsia" w:ascii="宋体" w:hAnsi="宋体" w:eastAsia="宋体" w:cs="宋体"/>
                <w:szCs w:val="24"/>
                <w:highlight w:val="none"/>
              </w:rPr>
              <w:t>2.1.2</w:t>
            </w:r>
          </w:p>
        </w:tc>
        <w:tc>
          <w:tcPr>
            <w:tcW w:w="1005" w:type="dxa"/>
            <w:vMerge w:val="restart"/>
            <w:tcBorders>
              <w:top w:val="single" w:color="auto" w:sz="4" w:space="0"/>
              <w:left w:val="single" w:color="auto" w:sz="4" w:space="0"/>
              <w:right w:val="single" w:color="auto" w:sz="4" w:space="0"/>
            </w:tcBorders>
            <w:noWrap w:val="0"/>
            <w:vAlign w:val="center"/>
          </w:tcPr>
          <w:p w14:paraId="0F5B01AF">
            <w:pPr>
              <w:keepNext w:val="0"/>
              <w:pageBreakBefore w:val="0"/>
              <w:overflowPunct/>
              <w:bidi w:val="0"/>
              <w:spacing w:line="360" w:lineRule="auto"/>
              <w:jc w:val="center"/>
              <w:outlineLvl w:val="9"/>
              <w:rPr>
                <w:rFonts w:hint="eastAsia" w:ascii="宋体" w:hAnsi="宋体" w:eastAsia="宋体" w:cs="宋体"/>
                <w:szCs w:val="24"/>
                <w:highlight w:val="none"/>
              </w:rPr>
            </w:pPr>
            <w:r>
              <w:rPr>
                <w:rFonts w:hint="eastAsia" w:ascii="宋体" w:hAnsi="宋体" w:cs="宋体"/>
                <w:bCs/>
                <w:szCs w:val="24"/>
                <w:highlight w:val="none"/>
                <w:lang w:eastAsia="zh-CN"/>
              </w:rPr>
              <w:t>实质响应性</w:t>
            </w:r>
            <w:r>
              <w:rPr>
                <w:rFonts w:hint="eastAsia" w:ascii="宋体" w:hAnsi="宋体" w:eastAsia="宋体" w:cs="宋体"/>
                <w:bCs/>
                <w:szCs w:val="24"/>
                <w:highlight w:val="none"/>
              </w:rPr>
              <w:t>审查标准</w:t>
            </w:r>
          </w:p>
        </w:tc>
        <w:tc>
          <w:tcPr>
            <w:tcW w:w="3070" w:type="dxa"/>
            <w:tcBorders>
              <w:top w:val="single" w:color="auto" w:sz="4" w:space="0"/>
              <w:left w:val="single" w:color="auto" w:sz="4" w:space="0"/>
              <w:right w:val="single" w:color="auto" w:sz="4" w:space="0"/>
            </w:tcBorders>
            <w:shd w:val="clear" w:color="auto" w:fill="auto"/>
            <w:noWrap w:val="0"/>
            <w:vAlign w:val="center"/>
          </w:tcPr>
          <w:p w14:paraId="3F214854">
            <w:pPr>
              <w:keepNext w:val="0"/>
              <w:pageBreakBefore w:val="0"/>
              <w:overflowPunct/>
              <w:bidi w:val="0"/>
              <w:spacing w:line="360" w:lineRule="auto"/>
              <w:jc w:val="center"/>
              <w:outlineLvl w:val="9"/>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采购范围</w:t>
            </w:r>
          </w:p>
        </w:tc>
        <w:tc>
          <w:tcPr>
            <w:tcW w:w="4961" w:type="dxa"/>
            <w:tcBorders>
              <w:top w:val="single" w:color="auto" w:sz="4" w:space="0"/>
              <w:left w:val="single" w:color="auto" w:sz="4" w:space="0"/>
              <w:right w:val="single" w:color="auto" w:sz="4" w:space="0"/>
            </w:tcBorders>
            <w:shd w:val="clear" w:color="auto" w:fill="auto"/>
            <w:noWrap w:val="0"/>
            <w:vAlign w:val="center"/>
          </w:tcPr>
          <w:p w14:paraId="05EC79F2">
            <w:pPr>
              <w:keepNext w:val="0"/>
              <w:pageBreakBefore w:val="0"/>
              <w:overflowPunct/>
              <w:bidi w:val="0"/>
              <w:spacing w:line="360" w:lineRule="auto"/>
              <w:jc w:val="center"/>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详见第二章“供应商须知前附表”</w:t>
            </w:r>
            <w:r>
              <w:rPr>
                <w:rFonts w:hint="eastAsia" w:ascii="宋体" w:hAnsi="宋体" w:cs="宋体"/>
                <w:kern w:val="2"/>
                <w:sz w:val="24"/>
                <w:szCs w:val="24"/>
                <w:highlight w:val="none"/>
                <w:lang w:val="en-US" w:eastAsia="zh-CN" w:bidi="ar-SA"/>
              </w:rPr>
              <w:t>第</w:t>
            </w:r>
            <w:r>
              <w:rPr>
                <w:rFonts w:hint="eastAsia" w:ascii="宋体" w:hAnsi="宋体" w:eastAsia="宋体" w:cs="宋体"/>
                <w:kern w:val="2"/>
                <w:sz w:val="24"/>
                <w:szCs w:val="24"/>
                <w:highlight w:val="none"/>
                <w:lang w:val="en-US" w:eastAsia="zh-CN" w:bidi="ar-SA"/>
              </w:rPr>
              <w:t>4项要求</w:t>
            </w:r>
          </w:p>
        </w:tc>
      </w:tr>
      <w:tr w14:paraId="66FC0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4" w:type="dxa"/>
            <w:vMerge w:val="continue"/>
            <w:tcBorders>
              <w:left w:val="single" w:color="auto" w:sz="4" w:space="0"/>
              <w:right w:val="single" w:color="auto" w:sz="4" w:space="0"/>
            </w:tcBorders>
            <w:noWrap w:val="0"/>
            <w:vAlign w:val="center"/>
          </w:tcPr>
          <w:p w14:paraId="1AD7D8A0">
            <w:pPr>
              <w:keepNext w:val="0"/>
              <w:pageBreakBefore w:val="0"/>
              <w:overflowPunct/>
              <w:bidi w:val="0"/>
              <w:spacing w:line="360" w:lineRule="auto"/>
              <w:jc w:val="center"/>
              <w:outlineLvl w:val="9"/>
              <w:rPr>
                <w:rFonts w:hint="eastAsia" w:ascii="宋体" w:hAnsi="宋体" w:eastAsia="宋体" w:cs="宋体"/>
                <w:szCs w:val="24"/>
                <w:highlight w:val="none"/>
              </w:rPr>
            </w:pPr>
          </w:p>
        </w:tc>
        <w:tc>
          <w:tcPr>
            <w:tcW w:w="1005" w:type="dxa"/>
            <w:vMerge w:val="continue"/>
            <w:tcBorders>
              <w:left w:val="single" w:color="auto" w:sz="4" w:space="0"/>
              <w:right w:val="single" w:color="auto" w:sz="4" w:space="0"/>
            </w:tcBorders>
            <w:noWrap w:val="0"/>
            <w:vAlign w:val="center"/>
          </w:tcPr>
          <w:p w14:paraId="20299328">
            <w:pPr>
              <w:keepNext w:val="0"/>
              <w:pageBreakBefore w:val="0"/>
              <w:overflowPunct/>
              <w:bidi w:val="0"/>
              <w:spacing w:line="360" w:lineRule="auto"/>
              <w:jc w:val="center"/>
              <w:outlineLvl w:val="9"/>
              <w:rPr>
                <w:rFonts w:hint="eastAsia" w:ascii="宋体" w:hAnsi="宋体" w:cs="宋体"/>
                <w:bCs/>
                <w:szCs w:val="24"/>
                <w:highlight w:val="none"/>
                <w:lang w:eastAsia="zh-CN"/>
              </w:rPr>
            </w:pPr>
          </w:p>
        </w:tc>
        <w:tc>
          <w:tcPr>
            <w:tcW w:w="3070" w:type="dxa"/>
            <w:tcBorders>
              <w:top w:val="single" w:color="auto" w:sz="4" w:space="0"/>
              <w:left w:val="single" w:color="auto" w:sz="4" w:space="0"/>
              <w:right w:val="single" w:color="auto" w:sz="4" w:space="0"/>
            </w:tcBorders>
            <w:shd w:val="clear" w:color="auto" w:fill="auto"/>
            <w:noWrap w:val="0"/>
            <w:vAlign w:val="center"/>
          </w:tcPr>
          <w:p w14:paraId="1D32B735">
            <w:pPr>
              <w:keepNext w:val="0"/>
              <w:pageBreakBefore w:val="0"/>
              <w:overflowPunct/>
              <w:bidi w:val="0"/>
              <w:spacing w:line="360" w:lineRule="auto"/>
              <w:jc w:val="center"/>
              <w:outlineLvl w:val="9"/>
              <w:rPr>
                <w:rFonts w:hint="default" w:ascii="宋体" w:hAnsi="宋体" w:eastAsia="宋体" w:cs="宋体"/>
                <w:kern w:val="2"/>
                <w:sz w:val="24"/>
                <w:szCs w:val="24"/>
                <w:highlight w:val="none"/>
                <w:lang w:val="en-US" w:eastAsia="zh-CN" w:bidi="ar-SA"/>
              </w:rPr>
            </w:pPr>
            <w:r>
              <w:rPr>
                <w:rFonts w:hint="eastAsia" w:ascii="宋体" w:hAnsi="宋体" w:cs="宋体"/>
                <w:szCs w:val="24"/>
                <w:highlight w:val="none"/>
                <w:lang w:val="en-US" w:eastAsia="zh-CN"/>
              </w:rPr>
              <w:t>服务周期</w:t>
            </w:r>
          </w:p>
        </w:tc>
        <w:tc>
          <w:tcPr>
            <w:tcW w:w="4961" w:type="dxa"/>
            <w:tcBorders>
              <w:top w:val="single" w:color="auto" w:sz="4" w:space="0"/>
              <w:left w:val="single" w:color="auto" w:sz="4" w:space="0"/>
              <w:right w:val="single" w:color="auto" w:sz="4" w:space="0"/>
            </w:tcBorders>
            <w:shd w:val="clear" w:color="auto" w:fill="auto"/>
            <w:noWrap w:val="0"/>
            <w:vAlign w:val="center"/>
          </w:tcPr>
          <w:p w14:paraId="2375F619">
            <w:pPr>
              <w:keepNext w:val="0"/>
              <w:pageBreakBefore w:val="0"/>
              <w:overflowPunct/>
              <w:bidi w:val="0"/>
              <w:spacing w:line="360" w:lineRule="auto"/>
              <w:jc w:val="center"/>
              <w:outlineLvl w:val="9"/>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签订合同之日起至2026年11月30日，具体日期要求根据采购方项目实施进度要求执行。</w:t>
            </w:r>
          </w:p>
        </w:tc>
      </w:tr>
      <w:tr w14:paraId="369F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4" w:type="dxa"/>
            <w:vMerge w:val="continue"/>
            <w:tcBorders>
              <w:left w:val="single" w:color="auto" w:sz="4" w:space="0"/>
              <w:right w:val="single" w:color="auto" w:sz="4" w:space="0"/>
            </w:tcBorders>
            <w:noWrap w:val="0"/>
            <w:vAlign w:val="center"/>
          </w:tcPr>
          <w:p w14:paraId="28351675">
            <w:pPr>
              <w:keepNext w:val="0"/>
              <w:pageBreakBefore w:val="0"/>
              <w:overflowPunct/>
              <w:bidi w:val="0"/>
              <w:spacing w:line="360" w:lineRule="auto"/>
              <w:outlineLvl w:val="9"/>
              <w:rPr>
                <w:rFonts w:hint="eastAsia" w:ascii="宋体" w:hAnsi="宋体" w:eastAsia="宋体" w:cs="宋体"/>
                <w:szCs w:val="24"/>
                <w:highlight w:val="none"/>
              </w:rPr>
            </w:pPr>
          </w:p>
        </w:tc>
        <w:tc>
          <w:tcPr>
            <w:tcW w:w="1005" w:type="dxa"/>
            <w:vMerge w:val="continue"/>
            <w:tcBorders>
              <w:left w:val="single" w:color="auto" w:sz="4" w:space="0"/>
              <w:right w:val="single" w:color="auto" w:sz="4" w:space="0"/>
            </w:tcBorders>
            <w:noWrap w:val="0"/>
            <w:vAlign w:val="center"/>
          </w:tcPr>
          <w:p w14:paraId="10E760C6">
            <w:pPr>
              <w:keepNext w:val="0"/>
              <w:pageBreakBefore w:val="0"/>
              <w:overflowPunct/>
              <w:bidi w:val="0"/>
              <w:spacing w:line="360" w:lineRule="auto"/>
              <w:outlineLvl w:val="9"/>
              <w:rPr>
                <w:rFonts w:hint="eastAsia" w:ascii="宋体" w:hAnsi="宋体" w:eastAsia="宋体" w:cs="宋体"/>
                <w:szCs w:val="24"/>
                <w:highlight w:val="none"/>
              </w:rPr>
            </w:pPr>
          </w:p>
        </w:tc>
        <w:tc>
          <w:tcPr>
            <w:tcW w:w="30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830959">
            <w:pPr>
              <w:keepNext w:val="0"/>
              <w:pageBreakBefore w:val="0"/>
              <w:overflowPunct/>
              <w:bidi w:val="0"/>
              <w:spacing w:line="360" w:lineRule="auto"/>
              <w:jc w:val="center"/>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szCs w:val="24"/>
                <w:highlight w:val="none"/>
              </w:rPr>
              <w:t>服务要求</w:t>
            </w:r>
          </w:p>
        </w:tc>
        <w:tc>
          <w:tcPr>
            <w:tcW w:w="49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347DF7">
            <w:pPr>
              <w:keepNext w:val="0"/>
              <w:pageBreakBefore w:val="0"/>
              <w:overflowPunct/>
              <w:bidi w:val="0"/>
              <w:spacing w:line="360" w:lineRule="auto"/>
              <w:jc w:val="center"/>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szCs w:val="24"/>
                <w:highlight w:val="none"/>
              </w:rPr>
              <w:t>达到国家相关规范规定的合格标准，满足采购人需求</w:t>
            </w:r>
          </w:p>
        </w:tc>
      </w:tr>
      <w:tr w14:paraId="1422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4" w:type="dxa"/>
            <w:vMerge w:val="continue"/>
            <w:tcBorders>
              <w:left w:val="single" w:color="auto" w:sz="4" w:space="0"/>
              <w:right w:val="single" w:color="auto" w:sz="4" w:space="0"/>
            </w:tcBorders>
            <w:noWrap w:val="0"/>
            <w:vAlign w:val="center"/>
          </w:tcPr>
          <w:p w14:paraId="4BC94F87">
            <w:pPr>
              <w:keepNext w:val="0"/>
              <w:pageBreakBefore w:val="0"/>
              <w:overflowPunct/>
              <w:bidi w:val="0"/>
              <w:spacing w:line="360" w:lineRule="auto"/>
              <w:outlineLvl w:val="9"/>
              <w:rPr>
                <w:rFonts w:hint="eastAsia" w:ascii="宋体" w:hAnsi="宋体" w:eastAsia="宋体" w:cs="宋体"/>
                <w:szCs w:val="24"/>
                <w:highlight w:val="none"/>
              </w:rPr>
            </w:pPr>
          </w:p>
        </w:tc>
        <w:tc>
          <w:tcPr>
            <w:tcW w:w="1005" w:type="dxa"/>
            <w:vMerge w:val="continue"/>
            <w:tcBorders>
              <w:left w:val="single" w:color="auto" w:sz="4" w:space="0"/>
              <w:right w:val="single" w:color="auto" w:sz="4" w:space="0"/>
            </w:tcBorders>
            <w:noWrap w:val="0"/>
            <w:vAlign w:val="center"/>
          </w:tcPr>
          <w:p w14:paraId="7B075CF5">
            <w:pPr>
              <w:keepNext w:val="0"/>
              <w:pageBreakBefore w:val="0"/>
              <w:overflowPunct/>
              <w:bidi w:val="0"/>
              <w:spacing w:line="360" w:lineRule="auto"/>
              <w:outlineLvl w:val="9"/>
              <w:rPr>
                <w:rFonts w:hint="eastAsia" w:ascii="宋体" w:hAnsi="宋体" w:eastAsia="宋体" w:cs="宋体"/>
                <w:szCs w:val="24"/>
                <w:highlight w:val="none"/>
              </w:rPr>
            </w:pPr>
          </w:p>
        </w:tc>
        <w:tc>
          <w:tcPr>
            <w:tcW w:w="3070" w:type="dxa"/>
            <w:tcBorders>
              <w:top w:val="single" w:color="auto" w:sz="4" w:space="0"/>
              <w:left w:val="single" w:color="auto" w:sz="4" w:space="0"/>
              <w:right w:val="single" w:color="auto" w:sz="4" w:space="0"/>
            </w:tcBorders>
            <w:shd w:val="clear" w:color="auto" w:fill="auto"/>
            <w:noWrap w:val="0"/>
            <w:vAlign w:val="center"/>
          </w:tcPr>
          <w:p w14:paraId="2E2E96D9">
            <w:pPr>
              <w:keepNext w:val="0"/>
              <w:pageBreakBefore w:val="0"/>
              <w:overflowPunct/>
              <w:bidi w:val="0"/>
              <w:spacing w:line="360" w:lineRule="auto"/>
              <w:jc w:val="center"/>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szCs w:val="24"/>
                <w:highlight w:val="none"/>
              </w:rPr>
              <w:t>磋商有效期</w:t>
            </w:r>
          </w:p>
        </w:tc>
        <w:tc>
          <w:tcPr>
            <w:tcW w:w="49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C21757">
            <w:pPr>
              <w:keepNext w:val="0"/>
              <w:pageBreakBefore w:val="0"/>
              <w:overflowPunct/>
              <w:bidi w:val="0"/>
              <w:spacing w:line="360" w:lineRule="auto"/>
              <w:jc w:val="center"/>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szCs w:val="24"/>
                <w:highlight w:val="none"/>
              </w:rPr>
              <w:t>60日历天(从磋商截止之日算起)</w:t>
            </w:r>
          </w:p>
        </w:tc>
      </w:tr>
      <w:tr w14:paraId="3ABFC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4" w:type="dxa"/>
            <w:vMerge w:val="continue"/>
            <w:tcBorders>
              <w:left w:val="single" w:color="auto" w:sz="4" w:space="0"/>
              <w:right w:val="single" w:color="auto" w:sz="4" w:space="0"/>
            </w:tcBorders>
            <w:noWrap w:val="0"/>
            <w:vAlign w:val="center"/>
          </w:tcPr>
          <w:p w14:paraId="5E4B0D28">
            <w:pPr>
              <w:keepNext w:val="0"/>
              <w:pageBreakBefore w:val="0"/>
              <w:overflowPunct/>
              <w:bidi w:val="0"/>
              <w:spacing w:line="360" w:lineRule="auto"/>
              <w:outlineLvl w:val="9"/>
              <w:rPr>
                <w:rFonts w:hint="eastAsia" w:ascii="宋体" w:hAnsi="宋体" w:eastAsia="宋体" w:cs="宋体"/>
                <w:szCs w:val="24"/>
                <w:highlight w:val="none"/>
              </w:rPr>
            </w:pPr>
          </w:p>
        </w:tc>
        <w:tc>
          <w:tcPr>
            <w:tcW w:w="1005" w:type="dxa"/>
            <w:vMerge w:val="continue"/>
            <w:tcBorders>
              <w:left w:val="single" w:color="auto" w:sz="4" w:space="0"/>
              <w:right w:val="single" w:color="auto" w:sz="4" w:space="0"/>
            </w:tcBorders>
            <w:noWrap w:val="0"/>
            <w:vAlign w:val="center"/>
          </w:tcPr>
          <w:p w14:paraId="65050247">
            <w:pPr>
              <w:keepNext w:val="0"/>
              <w:pageBreakBefore w:val="0"/>
              <w:overflowPunct/>
              <w:bidi w:val="0"/>
              <w:spacing w:line="360" w:lineRule="auto"/>
              <w:outlineLvl w:val="9"/>
              <w:rPr>
                <w:rFonts w:hint="eastAsia" w:ascii="宋体" w:hAnsi="宋体" w:eastAsia="宋体" w:cs="宋体"/>
                <w:szCs w:val="24"/>
                <w:highlight w:val="none"/>
              </w:rPr>
            </w:pPr>
          </w:p>
        </w:tc>
        <w:tc>
          <w:tcPr>
            <w:tcW w:w="30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D5C6A3">
            <w:pPr>
              <w:keepNext w:val="0"/>
              <w:pageBreakBefore w:val="0"/>
              <w:overflowPunct/>
              <w:bidi w:val="0"/>
              <w:spacing w:line="360" w:lineRule="auto"/>
              <w:jc w:val="center"/>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szCs w:val="24"/>
                <w:highlight w:val="none"/>
              </w:rPr>
              <w:t>磋商报价</w:t>
            </w:r>
          </w:p>
        </w:tc>
        <w:tc>
          <w:tcPr>
            <w:tcW w:w="49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CB92D4">
            <w:pPr>
              <w:keepNext w:val="0"/>
              <w:pageBreakBefore w:val="0"/>
              <w:overflowPunct/>
              <w:bidi w:val="0"/>
              <w:spacing w:line="360" w:lineRule="auto"/>
              <w:jc w:val="center"/>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szCs w:val="24"/>
                <w:highlight w:val="none"/>
              </w:rPr>
              <w:t>响应人磋商总报价不得高于采购人的预算价，否则其投标将予否决。</w:t>
            </w:r>
          </w:p>
        </w:tc>
      </w:tr>
    </w:tbl>
    <w:p w14:paraId="4DF2668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szCs w:val="21"/>
          <w:highlight w:val="none"/>
        </w:rPr>
      </w:pPr>
      <w:r>
        <w:rPr>
          <w:rFonts w:hint="eastAsia" w:ascii="宋体" w:hAnsi="宋体" w:eastAsia="宋体" w:cs="宋体"/>
          <w:b/>
          <w:bCs/>
          <w:szCs w:val="21"/>
          <w:highlight w:val="none"/>
        </w:rPr>
        <w:br w:type="page"/>
      </w:r>
      <w:r>
        <w:rPr>
          <w:rFonts w:hint="eastAsia" w:ascii="宋体" w:hAnsi="宋体" w:eastAsia="宋体" w:cs="宋体"/>
          <w:b/>
          <w:szCs w:val="21"/>
          <w:highlight w:val="none"/>
        </w:rPr>
        <w:t>1. 磋商文件的评审、比较和否决</w:t>
      </w:r>
    </w:p>
    <w:p w14:paraId="2824D673">
      <w:pPr>
        <w:keepNext w:val="0"/>
        <w:pageBreakBefore w:val="0"/>
        <w:overflowPunct/>
        <w:bidi w:val="0"/>
        <w:spacing w:line="360" w:lineRule="auto"/>
        <w:ind w:firstLine="480"/>
        <w:outlineLvl w:val="9"/>
        <w:rPr>
          <w:rFonts w:hint="eastAsia" w:ascii="宋体" w:hAnsi="宋体" w:eastAsia="宋体" w:cs="宋体"/>
          <w:szCs w:val="21"/>
          <w:highlight w:val="none"/>
        </w:rPr>
      </w:pPr>
      <w:r>
        <w:rPr>
          <w:rFonts w:hint="eastAsia" w:ascii="宋体" w:hAnsi="宋体" w:eastAsia="宋体" w:cs="宋体"/>
          <w:b/>
          <w:szCs w:val="21"/>
          <w:highlight w:val="none"/>
        </w:rPr>
        <w:t>1.1</w:t>
      </w:r>
      <w:r>
        <w:rPr>
          <w:rFonts w:hint="eastAsia" w:ascii="宋体" w:hAnsi="宋体" w:eastAsia="宋体" w:cs="宋体"/>
          <w:szCs w:val="21"/>
          <w:highlight w:val="none"/>
        </w:rPr>
        <w:t>磋商小组将按照竞争性磋商文件的规定，仅对在实质上响应竞争性磋商文件要求的响应文件进行评估和比较。</w:t>
      </w:r>
    </w:p>
    <w:p w14:paraId="4A7C5C93">
      <w:pPr>
        <w:keepNext w:val="0"/>
        <w:pageBreakBefore w:val="0"/>
        <w:overflowPunct/>
        <w:bidi w:val="0"/>
        <w:spacing w:line="360" w:lineRule="auto"/>
        <w:ind w:firstLine="480"/>
        <w:outlineLvl w:val="9"/>
        <w:rPr>
          <w:rFonts w:hint="eastAsia" w:ascii="宋体" w:hAnsi="宋体" w:eastAsia="宋体" w:cs="宋体"/>
          <w:szCs w:val="21"/>
          <w:highlight w:val="none"/>
        </w:rPr>
      </w:pPr>
      <w:r>
        <w:rPr>
          <w:rFonts w:hint="eastAsia" w:ascii="宋体" w:hAnsi="宋体" w:eastAsia="宋体" w:cs="宋体"/>
          <w:b/>
          <w:szCs w:val="21"/>
          <w:highlight w:val="none"/>
        </w:rPr>
        <w:t>1.2</w:t>
      </w:r>
      <w:r>
        <w:rPr>
          <w:rFonts w:hint="eastAsia" w:ascii="宋体" w:hAnsi="宋体" w:eastAsia="宋体" w:cs="宋体"/>
          <w:szCs w:val="21"/>
          <w:highlight w:val="none"/>
        </w:rPr>
        <w:t>根据相关法律法规及有关磋商文件规定，结合本项目具体情况，制定本次采购磋商办法。并按照“公平、公正、科学、择优”的原则进行磋商。采用百分制综合评估法进行评比。</w:t>
      </w:r>
    </w:p>
    <w:p w14:paraId="678DAD42">
      <w:pPr>
        <w:keepNext w:val="0"/>
        <w:pageBreakBefore w:val="0"/>
        <w:overflowPunct/>
        <w:bidi w:val="0"/>
        <w:spacing w:line="360" w:lineRule="auto"/>
        <w:ind w:firstLine="480"/>
        <w:outlineLvl w:val="9"/>
        <w:rPr>
          <w:rFonts w:hint="eastAsia" w:ascii="宋体" w:hAnsi="宋体" w:eastAsia="宋体" w:cs="宋体"/>
          <w:szCs w:val="21"/>
          <w:highlight w:val="none"/>
        </w:rPr>
      </w:pPr>
      <w:r>
        <w:rPr>
          <w:rFonts w:hint="eastAsia" w:ascii="宋体" w:hAnsi="宋体" w:eastAsia="宋体" w:cs="宋体"/>
          <w:b/>
          <w:szCs w:val="21"/>
          <w:highlight w:val="none"/>
        </w:rPr>
        <w:t>1.3</w:t>
      </w:r>
      <w:r>
        <w:rPr>
          <w:rFonts w:hint="eastAsia" w:ascii="宋体" w:hAnsi="宋体" w:eastAsia="宋体" w:cs="宋体"/>
          <w:szCs w:val="21"/>
          <w:highlight w:val="none"/>
        </w:rPr>
        <w:t>在磋商过程中，磋商小组可以以书面形式要求磋商供应商就响应文件中含义不明确的内容进行书面说明并提供相关材料；</w:t>
      </w:r>
      <w:r>
        <w:rPr>
          <w:rFonts w:hint="eastAsia" w:ascii="宋体" w:hAnsi="宋体" w:eastAsia="宋体" w:cs="宋体"/>
          <w:spacing w:val="-12"/>
          <w:szCs w:val="21"/>
          <w:highlight w:val="none"/>
        </w:rPr>
        <w:t>凡遇到响应文件中无界定或界定不清、前后不一致使评委会成员</w:t>
      </w:r>
      <w:r>
        <w:rPr>
          <w:rFonts w:hint="eastAsia" w:ascii="宋体" w:hAnsi="宋体" w:eastAsia="宋体" w:cs="宋体"/>
          <w:szCs w:val="21"/>
          <w:highlight w:val="none"/>
        </w:rPr>
        <w:t>意见</w:t>
      </w:r>
      <w:r>
        <w:rPr>
          <w:rFonts w:hint="eastAsia" w:ascii="宋体" w:hAnsi="宋体" w:eastAsia="宋体" w:cs="宋体"/>
          <w:spacing w:val="-12"/>
          <w:szCs w:val="21"/>
          <w:highlight w:val="none"/>
        </w:rPr>
        <w:t>有分歧且又难于协商一致的问题，均由评委会予以表决，获半数以上同意的即为通过，未获半数同意的即为否决</w:t>
      </w:r>
      <w:r>
        <w:rPr>
          <w:rFonts w:hint="eastAsia" w:ascii="宋体" w:hAnsi="宋体" w:eastAsia="宋体" w:cs="宋体"/>
          <w:szCs w:val="21"/>
          <w:highlight w:val="none"/>
        </w:rPr>
        <w:t>。</w:t>
      </w:r>
    </w:p>
    <w:p w14:paraId="68684072">
      <w:pPr>
        <w:keepNext w:val="0"/>
        <w:pageBreakBefore w:val="0"/>
        <w:overflowPunct/>
        <w:bidi w:val="0"/>
        <w:spacing w:line="360" w:lineRule="auto"/>
        <w:ind w:firstLine="480"/>
        <w:outlineLvl w:val="9"/>
        <w:rPr>
          <w:rFonts w:hint="eastAsia" w:ascii="宋体" w:hAnsi="宋体" w:eastAsia="宋体" w:cs="宋体"/>
          <w:szCs w:val="21"/>
          <w:highlight w:val="none"/>
        </w:rPr>
      </w:pPr>
      <w:r>
        <w:rPr>
          <w:rFonts w:hint="eastAsia" w:ascii="宋体" w:hAnsi="宋体" w:eastAsia="宋体" w:cs="宋体"/>
          <w:b/>
          <w:szCs w:val="21"/>
          <w:highlight w:val="none"/>
        </w:rPr>
        <w:t>1.4</w:t>
      </w:r>
      <w:r>
        <w:rPr>
          <w:rFonts w:hint="eastAsia" w:ascii="宋体" w:hAnsi="宋体" w:eastAsia="宋体" w:cs="宋体"/>
          <w:szCs w:val="21"/>
          <w:highlight w:val="none"/>
        </w:rPr>
        <w:t>磋商时，磋商报价是磋商的重要依据，但不是唯一依据，采购人不承诺将合同授予报价最低或最高的磋商供应商。</w:t>
      </w:r>
    </w:p>
    <w:p w14:paraId="1DD73355">
      <w:pPr>
        <w:keepNext w:val="0"/>
        <w:pageBreakBefore w:val="0"/>
        <w:overflowPunct/>
        <w:bidi w:val="0"/>
        <w:spacing w:line="360" w:lineRule="auto"/>
        <w:ind w:firstLine="480"/>
        <w:outlineLvl w:val="9"/>
        <w:rPr>
          <w:rFonts w:hint="eastAsia" w:ascii="宋体" w:hAnsi="宋体" w:eastAsia="宋体" w:cs="宋体"/>
          <w:szCs w:val="21"/>
          <w:highlight w:val="none"/>
        </w:rPr>
      </w:pPr>
      <w:r>
        <w:rPr>
          <w:rFonts w:hint="eastAsia" w:ascii="宋体" w:hAnsi="宋体" w:eastAsia="宋体" w:cs="宋体"/>
          <w:b/>
          <w:szCs w:val="21"/>
          <w:highlight w:val="none"/>
        </w:rPr>
        <w:t>1.5</w:t>
      </w:r>
      <w:r>
        <w:rPr>
          <w:rFonts w:hint="eastAsia" w:ascii="宋体" w:hAnsi="宋体" w:eastAsia="宋体" w:cs="宋体"/>
          <w:szCs w:val="21"/>
          <w:highlight w:val="none"/>
        </w:rPr>
        <w:t>磋商小组依据竞争性磋商文件中规定的磋商标准和方法，对响应文件进行评审和比较，向采购人提出书面磋商报告，并推荐合格的成交候选人。采购人根据磋商小组提出的书面磋商报告和推荐的成交候选人按序确定成交人。</w:t>
      </w:r>
    </w:p>
    <w:p w14:paraId="566CD687">
      <w:pPr>
        <w:keepNext w:val="0"/>
        <w:pageBreakBefore w:val="0"/>
        <w:overflowPunct/>
        <w:bidi w:val="0"/>
        <w:spacing w:line="360" w:lineRule="auto"/>
        <w:ind w:firstLine="480"/>
        <w:outlineLvl w:val="9"/>
        <w:rPr>
          <w:rFonts w:hint="eastAsia" w:ascii="宋体" w:hAnsi="宋体" w:eastAsia="宋体" w:cs="宋体"/>
          <w:szCs w:val="21"/>
          <w:highlight w:val="none"/>
        </w:rPr>
      </w:pPr>
      <w:r>
        <w:rPr>
          <w:rFonts w:hint="eastAsia" w:ascii="宋体" w:hAnsi="宋体" w:eastAsia="宋体" w:cs="宋体"/>
          <w:b/>
          <w:szCs w:val="21"/>
          <w:highlight w:val="none"/>
        </w:rPr>
        <w:t>2. 磋商程序</w:t>
      </w:r>
    </w:p>
    <w:p w14:paraId="3FC10E12">
      <w:pPr>
        <w:keepNext w:val="0"/>
        <w:pageBreakBefore w:val="0"/>
        <w:overflowPunct/>
        <w:bidi w:val="0"/>
        <w:spacing w:line="360" w:lineRule="auto"/>
        <w:ind w:firstLine="480"/>
        <w:outlineLvl w:val="9"/>
        <w:rPr>
          <w:rFonts w:hint="eastAsia" w:ascii="宋体" w:hAnsi="宋体" w:eastAsia="宋体" w:cs="宋体"/>
          <w:szCs w:val="21"/>
          <w:highlight w:val="none"/>
        </w:rPr>
      </w:pPr>
      <w:r>
        <w:rPr>
          <w:rFonts w:hint="eastAsia" w:ascii="宋体" w:hAnsi="宋体" w:eastAsia="宋体" w:cs="宋体"/>
          <w:szCs w:val="21"/>
          <w:highlight w:val="none"/>
        </w:rPr>
        <w:t>2.1 资格审查</w:t>
      </w:r>
    </w:p>
    <w:p w14:paraId="452B8CEE">
      <w:pPr>
        <w:keepNext w:val="0"/>
        <w:pageBreakBefore w:val="0"/>
        <w:overflowPunct/>
        <w:bidi w:val="0"/>
        <w:spacing w:line="360" w:lineRule="auto"/>
        <w:ind w:firstLine="480"/>
        <w:outlineLvl w:val="9"/>
        <w:rPr>
          <w:rFonts w:hint="eastAsia" w:ascii="宋体" w:hAnsi="宋体" w:eastAsia="宋体" w:cs="宋体"/>
          <w:szCs w:val="21"/>
          <w:highlight w:val="none"/>
        </w:rPr>
      </w:pPr>
      <w:r>
        <w:rPr>
          <w:rFonts w:hint="eastAsia" w:ascii="宋体" w:hAnsi="宋体" w:eastAsia="宋体" w:cs="宋体"/>
          <w:szCs w:val="21"/>
          <w:highlight w:val="none"/>
        </w:rPr>
        <w:t>本项目采用资格后审</w:t>
      </w:r>
    </w:p>
    <w:p w14:paraId="176DF726">
      <w:pPr>
        <w:keepNext w:val="0"/>
        <w:pageBreakBefore w:val="0"/>
        <w:overflowPunct/>
        <w:bidi w:val="0"/>
        <w:spacing w:line="360" w:lineRule="auto"/>
        <w:ind w:firstLine="480"/>
        <w:outlineLvl w:val="9"/>
        <w:rPr>
          <w:rFonts w:hint="eastAsia" w:ascii="宋体" w:hAnsi="宋体" w:eastAsia="宋体" w:cs="宋体"/>
          <w:szCs w:val="21"/>
          <w:highlight w:val="none"/>
        </w:rPr>
      </w:pPr>
      <w:r>
        <w:rPr>
          <w:rFonts w:hint="eastAsia" w:ascii="宋体" w:hAnsi="宋体" w:eastAsia="宋体" w:cs="宋体"/>
          <w:szCs w:val="21"/>
          <w:highlight w:val="none"/>
        </w:rPr>
        <w:t>磋商小组按照竞争性磋商文件供应商资格要求，对磋商供应商的响应文件进行资格和符合性审查，有一项不符合的，按废标处理，符合的进入下一磋商程序。</w:t>
      </w:r>
    </w:p>
    <w:p w14:paraId="7B5830E2">
      <w:pPr>
        <w:keepNext w:val="0"/>
        <w:pageBreakBefore w:val="0"/>
        <w:overflowPunct/>
        <w:bidi w:val="0"/>
        <w:spacing w:line="360" w:lineRule="auto"/>
        <w:ind w:firstLine="480"/>
        <w:outlineLvl w:val="9"/>
        <w:rPr>
          <w:rFonts w:hint="eastAsia" w:ascii="宋体" w:hAnsi="宋体" w:eastAsia="宋体" w:cs="宋体"/>
          <w:b/>
          <w:szCs w:val="21"/>
          <w:highlight w:val="none"/>
        </w:rPr>
      </w:pPr>
      <w:r>
        <w:rPr>
          <w:rFonts w:hint="eastAsia" w:ascii="宋体" w:hAnsi="宋体" w:eastAsia="宋体" w:cs="宋体"/>
          <w:b/>
          <w:szCs w:val="21"/>
          <w:highlight w:val="none"/>
        </w:rPr>
        <w:t>3.磋商具体方法和标准</w:t>
      </w:r>
    </w:p>
    <w:p w14:paraId="04A02B0A">
      <w:pPr>
        <w:keepNext w:val="0"/>
        <w:pageBreakBefore w:val="0"/>
        <w:overflowPunct/>
        <w:bidi w:val="0"/>
        <w:spacing w:line="360" w:lineRule="auto"/>
        <w:ind w:firstLine="480"/>
        <w:outlineLvl w:val="9"/>
        <w:rPr>
          <w:rFonts w:hint="eastAsia" w:ascii="宋体" w:hAnsi="宋体" w:eastAsia="宋体" w:cs="宋体"/>
          <w:szCs w:val="21"/>
          <w:highlight w:val="none"/>
        </w:rPr>
      </w:pPr>
      <w:r>
        <w:rPr>
          <w:rFonts w:hint="eastAsia" w:ascii="宋体" w:hAnsi="宋体" w:eastAsia="宋体" w:cs="宋体"/>
          <w:szCs w:val="21"/>
          <w:highlight w:val="none"/>
        </w:rPr>
        <w:t>磋商小组根据磋商原则和办法对所有响应文件进行集中审核，分别评价。</w:t>
      </w:r>
    </w:p>
    <w:p w14:paraId="3E49A58B">
      <w:pPr>
        <w:keepNext w:val="0"/>
        <w:pageBreakBefore w:val="0"/>
        <w:overflowPunct/>
        <w:bidi w:val="0"/>
        <w:spacing w:line="360" w:lineRule="auto"/>
        <w:outlineLvl w:val="9"/>
        <w:rPr>
          <w:rFonts w:hint="eastAsia" w:ascii="宋体" w:hAnsi="宋体" w:eastAsia="宋体" w:cs="宋体"/>
          <w:b/>
          <w:color w:val="000000"/>
          <w:highlight w:val="none"/>
        </w:rPr>
      </w:pPr>
    </w:p>
    <w:p w14:paraId="5A6F34E3">
      <w:pPr>
        <w:keepNext w:val="0"/>
        <w:pageBreakBefore w:val="0"/>
        <w:overflowPunct/>
        <w:bidi w:val="0"/>
        <w:spacing w:line="360" w:lineRule="auto"/>
        <w:outlineLvl w:val="9"/>
        <w:rPr>
          <w:rFonts w:hint="eastAsia" w:ascii="宋体" w:hAnsi="宋体" w:eastAsia="宋体" w:cs="宋体"/>
          <w:b/>
          <w:color w:val="000000"/>
          <w:highlight w:val="none"/>
        </w:rPr>
      </w:pPr>
    </w:p>
    <w:p w14:paraId="31B79C76">
      <w:pPr>
        <w:keepNext w:val="0"/>
        <w:pageBreakBefore w:val="0"/>
        <w:overflowPunct/>
        <w:bidi w:val="0"/>
        <w:spacing w:line="360" w:lineRule="auto"/>
        <w:outlineLvl w:val="9"/>
        <w:rPr>
          <w:rFonts w:hint="eastAsia" w:ascii="宋体" w:hAnsi="宋体" w:eastAsia="宋体" w:cs="宋体"/>
          <w:b/>
          <w:color w:val="000000"/>
          <w:highlight w:val="none"/>
        </w:rPr>
      </w:pPr>
    </w:p>
    <w:p w14:paraId="1EEFE532">
      <w:pPr>
        <w:keepNext w:val="0"/>
        <w:pageBreakBefore w:val="0"/>
        <w:overflowPunct/>
        <w:bidi w:val="0"/>
        <w:spacing w:line="360" w:lineRule="auto"/>
        <w:outlineLvl w:val="9"/>
        <w:rPr>
          <w:rFonts w:hint="eastAsia" w:ascii="宋体" w:hAnsi="宋体" w:eastAsia="宋体" w:cs="宋体"/>
          <w:b/>
          <w:color w:val="000000"/>
          <w:highlight w:val="none"/>
        </w:rPr>
      </w:pPr>
    </w:p>
    <w:p w14:paraId="3CA7BDAF">
      <w:pPr>
        <w:keepNext w:val="0"/>
        <w:pageBreakBefore w:val="0"/>
        <w:overflowPunct/>
        <w:bidi w:val="0"/>
        <w:spacing w:line="360" w:lineRule="auto"/>
        <w:outlineLvl w:val="9"/>
        <w:rPr>
          <w:rFonts w:hint="eastAsia" w:ascii="宋体" w:hAnsi="宋体" w:eastAsia="宋体" w:cs="宋体"/>
          <w:b/>
          <w:color w:val="000000"/>
          <w:highlight w:val="none"/>
        </w:rPr>
      </w:pPr>
    </w:p>
    <w:p w14:paraId="5B064B24">
      <w:pPr>
        <w:pStyle w:val="32"/>
        <w:keepNext w:val="0"/>
        <w:pageBreakBefore w:val="0"/>
        <w:overflowPunct/>
        <w:bidi w:val="0"/>
        <w:spacing w:line="360" w:lineRule="auto"/>
        <w:ind w:firstLine="241"/>
        <w:outlineLvl w:val="9"/>
        <w:rPr>
          <w:rFonts w:hint="eastAsia" w:ascii="宋体" w:hAnsi="宋体" w:eastAsia="宋体" w:cs="宋体"/>
          <w:b/>
          <w:color w:val="000000"/>
          <w:highlight w:val="none"/>
        </w:rPr>
      </w:pPr>
    </w:p>
    <w:p w14:paraId="271436EB">
      <w:pPr>
        <w:pStyle w:val="32"/>
        <w:keepNext w:val="0"/>
        <w:pageBreakBefore w:val="0"/>
        <w:overflowPunct/>
        <w:bidi w:val="0"/>
        <w:spacing w:line="360" w:lineRule="auto"/>
        <w:ind w:firstLine="241"/>
        <w:outlineLvl w:val="9"/>
        <w:rPr>
          <w:rFonts w:hint="eastAsia" w:ascii="宋体" w:hAnsi="宋体" w:eastAsia="宋体" w:cs="宋体"/>
          <w:b/>
          <w:color w:val="000000"/>
          <w:highlight w:val="none"/>
        </w:rPr>
      </w:pPr>
    </w:p>
    <w:tbl>
      <w:tblPr>
        <w:tblStyle w:val="17"/>
        <w:tblW w:w="9255"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302"/>
        <w:gridCol w:w="5812"/>
        <w:gridCol w:w="986"/>
      </w:tblGrid>
      <w:tr w14:paraId="203D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55" w:type="dxa"/>
            <w:noWrap w:val="0"/>
            <w:vAlign w:val="center"/>
          </w:tcPr>
          <w:p w14:paraId="5E9097E7">
            <w:pPr>
              <w:keepNext w:val="0"/>
              <w:pageBreakBefore w:val="0"/>
              <w:widowControl/>
              <w:overflowPunct/>
              <w:bidi w:val="0"/>
              <w:spacing w:line="360" w:lineRule="auto"/>
              <w:ind w:left="0"/>
              <w:jc w:val="center"/>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评标</w:t>
            </w:r>
          </w:p>
          <w:p w14:paraId="513EAD37">
            <w:pPr>
              <w:keepNext w:val="0"/>
              <w:pageBreakBefore w:val="0"/>
              <w:widowControl/>
              <w:overflowPunct/>
              <w:bidi w:val="0"/>
              <w:spacing w:line="360" w:lineRule="auto"/>
              <w:ind w:left="0"/>
              <w:jc w:val="center"/>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项目</w:t>
            </w:r>
          </w:p>
        </w:tc>
        <w:tc>
          <w:tcPr>
            <w:tcW w:w="7114" w:type="dxa"/>
            <w:gridSpan w:val="2"/>
            <w:noWrap w:val="0"/>
            <w:vAlign w:val="center"/>
          </w:tcPr>
          <w:p w14:paraId="56D1DC2C">
            <w:pPr>
              <w:keepNext w:val="0"/>
              <w:pageBreakBefore w:val="0"/>
              <w:widowControl/>
              <w:overflowPunct/>
              <w:bidi w:val="0"/>
              <w:spacing w:line="360" w:lineRule="auto"/>
              <w:ind w:left="0"/>
              <w:jc w:val="center"/>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评标分项及分值</w:t>
            </w:r>
          </w:p>
        </w:tc>
        <w:tc>
          <w:tcPr>
            <w:tcW w:w="986" w:type="dxa"/>
            <w:noWrap w:val="0"/>
            <w:vAlign w:val="center"/>
          </w:tcPr>
          <w:p w14:paraId="2A570C99">
            <w:pPr>
              <w:keepNext w:val="0"/>
              <w:pageBreakBefore w:val="0"/>
              <w:widowControl/>
              <w:overflowPunct/>
              <w:bidi w:val="0"/>
              <w:spacing w:line="360" w:lineRule="auto"/>
              <w:ind w:left="0"/>
              <w:jc w:val="center"/>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分值</w:t>
            </w:r>
          </w:p>
        </w:tc>
      </w:tr>
      <w:tr w14:paraId="357CB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55" w:type="dxa"/>
            <w:noWrap w:val="0"/>
            <w:vAlign w:val="center"/>
          </w:tcPr>
          <w:p w14:paraId="39AE95F8">
            <w:pPr>
              <w:keepNext w:val="0"/>
              <w:pageBreakBefore w:val="0"/>
              <w:widowControl/>
              <w:overflowPunct/>
              <w:bidi w:val="0"/>
              <w:spacing w:line="360" w:lineRule="auto"/>
              <w:ind w:left="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磋商</w:t>
            </w:r>
          </w:p>
          <w:p w14:paraId="63FFB81D">
            <w:pPr>
              <w:keepNext w:val="0"/>
              <w:pageBreakBefore w:val="0"/>
              <w:widowControl/>
              <w:overflowPunct/>
              <w:bidi w:val="0"/>
              <w:spacing w:line="360" w:lineRule="auto"/>
              <w:ind w:left="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报价</w:t>
            </w:r>
          </w:p>
          <w:p w14:paraId="72417BE5">
            <w:pPr>
              <w:keepNext w:val="0"/>
              <w:pageBreakBefore w:val="0"/>
              <w:widowControl/>
              <w:overflowPunct/>
              <w:bidi w:val="0"/>
              <w:spacing w:line="360" w:lineRule="auto"/>
              <w:ind w:left="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（30分）</w:t>
            </w:r>
          </w:p>
        </w:tc>
        <w:tc>
          <w:tcPr>
            <w:tcW w:w="1302" w:type="dxa"/>
            <w:noWrap w:val="0"/>
            <w:vAlign w:val="center"/>
          </w:tcPr>
          <w:p w14:paraId="1A8E6453">
            <w:pPr>
              <w:keepNext w:val="0"/>
              <w:pageBreakBefore w:val="0"/>
              <w:widowControl/>
              <w:overflowPunct/>
              <w:bidi w:val="0"/>
              <w:spacing w:line="360" w:lineRule="auto"/>
              <w:ind w:left="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磋商报价</w:t>
            </w:r>
          </w:p>
        </w:tc>
        <w:tc>
          <w:tcPr>
            <w:tcW w:w="5812" w:type="dxa"/>
            <w:noWrap w:val="0"/>
            <w:vAlign w:val="center"/>
          </w:tcPr>
          <w:p w14:paraId="42E11F13">
            <w:pPr>
              <w:keepNext w:val="0"/>
              <w:pageBreakBefore w:val="0"/>
              <w:widowControl w:val="0"/>
              <w:overflowPunct/>
              <w:bidi w:val="0"/>
              <w:snapToGrid w:val="0"/>
              <w:spacing w:line="360" w:lineRule="auto"/>
              <w:ind w:left="0" w:firstLine="420"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本项目磋商报价超出预算价的，采购人不予接受，且磋商为无效标。磋商报价得分：价格分采用低价优先法计算，即满足竞争性磋商文件要求且磋商价格最低的磋商报价为评标基准价，得30分，其他磋商供应商的价格分按照下列公式计算：</w:t>
            </w:r>
          </w:p>
          <w:p w14:paraId="75A83C89">
            <w:pPr>
              <w:keepNext w:val="0"/>
              <w:pageBreakBefore w:val="0"/>
              <w:widowControl w:val="0"/>
              <w:overflowPunct/>
              <w:bidi w:val="0"/>
              <w:spacing w:line="360" w:lineRule="auto"/>
              <w:ind w:left="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报价得分=（评标基准价/磋商报价）×30×100%</w:t>
            </w:r>
          </w:p>
          <w:p w14:paraId="7F886E39">
            <w:pPr>
              <w:keepNext w:val="0"/>
              <w:pageBreakBefore w:val="0"/>
              <w:widowControl/>
              <w:overflowPunct/>
              <w:bidi w:val="0"/>
              <w:spacing w:line="360" w:lineRule="auto"/>
              <w:ind w:left="0"/>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价格扣除：</w:t>
            </w:r>
          </w:p>
          <w:p w14:paraId="5243678F">
            <w:pPr>
              <w:keepNext w:val="0"/>
              <w:pageBreakBefore w:val="0"/>
              <w:widowControl/>
              <w:overflowPunct/>
              <w:bidi w:val="0"/>
              <w:spacing w:line="360" w:lineRule="auto"/>
              <w:ind w:left="0"/>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例：所投中小微企业产品报价=所投中小微企业产品报价合计×（1-20%）</w:t>
            </w:r>
          </w:p>
          <w:p w14:paraId="5CBF6424">
            <w:pPr>
              <w:keepNext w:val="0"/>
              <w:pageBreakBefore w:val="0"/>
              <w:widowControl/>
              <w:overflowPunct/>
              <w:bidi w:val="0"/>
              <w:spacing w:line="360" w:lineRule="auto"/>
              <w:ind w:left="0"/>
              <w:outlineLvl w:val="9"/>
              <w:rPr>
                <w:rFonts w:hint="eastAsia" w:ascii="宋体" w:hAnsi="宋体" w:eastAsia="宋体" w:cs="宋体"/>
                <w:color w:val="FF0000"/>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注：1.本项目对小微企业、监狱企业、残疾人福利性企业给予20%的扣除，同一供应商中小微企业产品、监狱企业产品、残疾人福利性单位产品的价格扣除优惠只享受一次，不得重复享受。</w:t>
            </w:r>
          </w:p>
        </w:tc>
        <w:tc>
          <w:tcPr>
            <w:tcW w:w="986" w:type="dxa"/>
            <w:noWrap w:val="0"/>
            <w:vAlign w:val="center"/>
          </w:tcPr>
          <w:p w14:paraId="7E4500EB">
            <w:pPr>
              <w:keepNext w:val="0"/>
              <w:pageBreakBefore w:val="0"/>
              <w:widowControl/>
              <w:overflowPunct/>
              <w:bidi w:val="0"/>
              <w:spacing w:line="360" w:lineRule="auto"/>
              <w:ind w:left="0"/>
              <w:jc w:val="center"/>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30分</w:t>
            </w:r>
          </w:p>
        </w:tc>
      </w:tr>
      <w:tr w14:paraId="20268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55" w:type="dxa"/>
            <w:vMerge w:val="restart"/>
            <w:noWrap w:val="0"/>
            <w:vAlign w:val="center"/>
          </w:tcPr>
          <w:p w14:paraId="42582002">
            <w:pPr>
              <w:keepNext w:val="0"/>
              <w:pageBreakBefore w:val="0"/>
              <w:widowControl/>
              <w:overflowPunct/>
              <w:bidi w:val="0"/>
              <w:spacing w:line="360" w:lineRule="auto"/>
              <w:ind w:lef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技术标</w:t>
            </w:r>
          </w:p>
          <w:p w14:paraId="7AE5F78E">
            <w:pPr>
              <w:keepNext w:val="0"/>
              <w:pageBreakBefore w:val="0"/>
              <w:widowControl/>
              <w:overflowPunct/>
              <w:bidi w:val="0"/>
              <w:spacing w:line="360" w:lineRule="auto"/>
              <w:ind w:lef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（50分）</w:t>
            </w:r>
          </w:p>
        </w:tc>
        <w:tc>
          <w:tcPr>
            <w:tcW w:w="1302" w:type="dxa"/>
            <w:noWrap w:val="0"/>
            <w:vAlign w:val="center"/>
          </w:tcPr>
          <w:p w14:paraId="69145855">
            <w:pPr>
              <w:keepNext w:val="0"/>
              <w:pageBreakBefore w:val="0"/>
              <w:widowControl w:val="0"/>
              <w:overflowPunct/>
              <w:bidi w:val="0"/>
              <w:spacing w:line="360" w:lineRule="auto"/>
              <w:ind w:left="0"/>
              <w:jc w:val="center"/>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项目整体理解</w:t>
            </w:r>
          </w:p>
        </w:tc>
        <w:tc>
          <w:tcPr>
            <w:tcW w:w="5812" w:type="dxa"/>
            <w:noWrap w:val="0"/>
            <w:vAlign w:val="center"/>
          </w:tcPr>
          <w:p w14:paraId="22C3F69D">
            <w:pPr>
              <w:keepNext w:val="0"/>
              <w:pageBreakBefore w:val="0"/>
              <w:widowControl w:val="0"/>
              <w:overflowPunct/>
              <w:autoSpaceDE w:val="0"/>
              <w:autoSpaceDN w:val="0"/>
              <w:bidi w:val="0"/>
              <w:spacing w:line="360" w:lineRule="auto"/>
              <w:ind w:left="0"/>
              <w:jc w:val="left"/>
              <w:outlineLvl w:val="9"/>
              <w:rPr>
                <w:rFonts w:hint="eastAsia" w:ascii="宋体" w:hAnsi="宋体" w:eastAsia="宋体" w:cs="宋体"/>
                <w:kern w:val="0"/>
                <w:sz w:val="21"/>
                <w:szCs w:val="21"/>
                <w:highlight w:val="none"/>
                <w:lang w:val="en-US" w:eastAsia="zh-CN" w:bidi="zh-CN"/>
              </w:rPr>
            </w:pPr>
            <w:r>
              <w:rPr>
                <w:rFonts w:hint="eastAsia" w:ascii="宋体" w:hAnsi="宋体" w:eastAsia="宋体" w:cs="宋体"/>
                <w:kern w:val="0"/>
                <w:sz w:val="21"/>
                <w:szCs w:val="21"/>
                <w:highlight w:val="none"/>
                <w:lang w:val="en-US" w:eastAsia="zh-CN" w:bidi="zh-CN"/>
              </w:rPr>
              <w:t>根据响应单位对本项目提供的项目整体理解内容评定，最高10分。方案内容完整、分析清晰合理，有很强的针对性，完全符合项目情况，得10分；内容较完整、分析较清晰合理、针对性较强，基本符合项目情况，得7分；内容完整性一般，分析清晰合理度一般、针对性一般；得4分；内容有涉及但存在明显缺项、针对性较弱，得1分；其他情况不得分。</w:t>
            </w:r>
          </w:p>
        </w:tc>
        <w:tc>
          <w:tcPr>
            <w:tcW w:w="986" w:type="dxa"/>
            <w:noWrap w:val="0"/>
            <w:vAlign w:val="center"/>
          </w:tcPr>
          <w:p w14:paraId="5B32E02C">
            <w:pPr>
              <w:keepNext w:val="0"/>
              <w:pageBreakBefore w:val="0"/>
              <w:widowControl w:val="0"/>
              <w:overflowPunct/>
              <w:bidi w:val="0"/>
              <w:snapToGrid w:val="0"/>
              <w:spacing w:line="360" w:lineRule="auto"/>
              <w:ind w:lef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10分</w:t>
            </w:r>
          </w:p>
        </w:tc>
      </w:tr>
      <w:tr w14:paraId="6A43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155" w:type="dxa"/>
            <w:vMerge w:val="continue"/>
            <w:noWrap w:val="0"/>
            <w:vAlign w:val="center"/>
          </w:tcPr>
          <w:p w14:paraId="030D2165">
            <w:pPr>
              <w:keepNext w:val="0"/>
              <w:pageBreakBefore w:val="0"/>
              <w:widowControl/>
              <w:overflowPunct/>
              <w:bidi w:val="0"/>
              <w:spacing w:line="360" w:lineRule="auto"/>
              <w:ind w:left="0"/>
              <w:jc w:val="center"/>
              <w:rPr>
                <w:rFonts w:hint="eastAsia" w:ascii="宋体" w:hAnsi="宋体" w:eastAsia="宋体" w:cs="宋体"/>
                <w:kern w:val="2"/>
                <w:sz w:val="21"/>
                <w:szCs w:val="21"/>
                <w:highlight w:val="none"/>
                <w:lang w:val="en-US" w:eastAsia="zh-CN" w:bidi="ar-SA"/>
              </w:rPr>
            </w:pPr>
          </w:p>
        </w:tc>
        <w:tc>
          <w:tcPr>
            <w:tcW w:w="1302" w:type="dxa"/>
            <w:noWrap w:val="0"/>
            <w:vAlign w:val="center"/>
          </w:tcPr>
          <w:p w14:paraId="2D67C058">
            <w:pPr>
              <w:keepNext w:val="0"/>
              <w:pageBreakBefore w:val="0"/>
              <w:widowControl w:val="0"/>
              <w:overflowPunct/>
              <w:autoSpaceDE w:val="0"/>
              <w:autoSpaceDN w:val="0"/>
              <w:bidi w:val="0"/>
              <w:adjustRightInd w:val="0"/>
              <w:spacing w:line="360" w:lineRule="auto"/>
              <w:ind w:left="0"/>
              <w:jc w:val="center"/>
              <w:outlineLvl w:val="9"/>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项目现状分析</w:t>
            </w:r>
          </w:p>
        </w:tc>
        <w:tc>
          <w:tcPr>
            <w:tcW w:w="5812" w:type="dxa"/>
            <w:noWrap w:val="0"/>
            <w:vAlign w:val="center"/>
          </w:tcPr>
          <w:p w14:paraId="49928EB9">
            <w:pPr>
              <w:keepNext w:val="0"/>
              <w:pageBreakBefore w:val="0"/>
              <w:widowControl w:val="0"/>
              <w:overflowPunct/>
              <w:autoSpaceDE w:val="0"/>
              <w:autoSpaceDN w:val="0"/>
              <w:bidi w:val="0"/>
              <w:spacing w:line="360" w:lineRule="auto"/>
              <w:ind w:left="0"/>
              <w:jc w:val="left"/>
              <w:outlineLvl w:val="9"/>
              <w:rPr>
                <w:rFonts w:hint="eastAsia" w:ascii="宋体" w:hAnsi="宋体" w:eastAsia="宋体" w:cs="宋体"/>
                <w:kern w:val="0"/>
                <w:sz w:val="21"/>
                <w:szCs w:val="21"/>
                <w:highlight w:val="none"/>
                <w:lang w:val="zh-CN" w:eastAsia="zh-CN" w:bidi="zh-CN"/>
              </w:rPr>
            </w:pPr>
            <w:r>
              <w:rPr>
                <w:rFonts w:hint="eastAsia" w:ascii="宋体" w:hAnsi="宋体" w:eastAsia="宋体" w:cs="宋体"/>
                <w:kern w:val="0"/>
                <w:sz w:val="21"/>
                <w:szCs w:val="21"/>
                <w:highlight w:val="none"/>
                <w:lang w:val="zh-CN" w:eastAsia="zh-CN" w:bidi="zh-CN"/>
              </w:rPr>
              <w:t>根据响应单位对本项目现状的熟悉程度进行评定，最高10分。方案内容丰富、科学合理，可行性强，且有很强的针对性，完全符合项目需要，得10分；内容较丰富、科学合理性、可行性较强，针对性较强，基本符合项目需要，得7分；内容丰富程度一般，科学合理性一般、可行性一般、针对性一般，得4分；内容有涉及但存在明显缺项、针对性较弱，得1分；其他情况不得分。</w:t>
            </w:r>
          </w:p>
        </w:tc>
        <w:tc>
          <w:tcPr>
            <w:tcW w:w="986" w:type="dxa"/>
            <w:noWrap w:val="0"/>
            <w:vAlign w:val="center"/>
          </w:tcPr>
          <w:p w14:paraId="66D8B069">
            <w:pPr>
              <w:keepNext w:val="0"/>
              <w:pageBreakBefore w:val="0"/>
              <w:widowControl w:val="0"/>
              <w:overflowPunct/>
              <w:bidi w:val="0"/>
              <w:snapToGrid w:val="0"/>
              <w:spacing w:line="360" w:lineRule="auto"/>
              <w:ind w:lef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10分</w:t>
            </w:r>
          </w:p>
        </w:tc>
      </w:tr>
      <w:tr w14:paraId="12901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55" w:type="dxa"/>
            <w:vMerge w:val="continue"/>
            <w:noWrap w:val="0"/>
            <w:vAlign w:val="center"/>
          </w:tcPr>
          <w:p w14:paraId="4F2AF2C3">
            <w:pPr>
              <w:keepNext w:val="0"/>
              <w:pageBreakBefore w:val="0"/>
              <w:widowControl/>
              <w:overflowPunct/>
              <w:bidi w:val="0"/>
              <w:spacing w:line="360" w:lineRule="auto"/>
              <w:ind w:left="0"/>
              <w:jc w:val="center"/>
              <w:rPr>
                <w:rFonts w:hint="eastAsia" w:ascii="宋体" w:hAnsi="宋体" w:eastAsia="宋体" w:cs="宋体"/>
                <w:kern w:val="2"/>
                <w:sz w:val="21"/>
                <w:szCs w:val="21"/>
                <w:highlight w:val="none"/>
                <w:lang w:val="en-US" w:eastAsia="zh-CN" w:bidi="ar-SA"/>
              </w:rPr>
            </w:pPr>
          </w:p>
        </w:tc>
        <w:tc>
          <w:tcPr>
            <w:tcW w:w="1302" w:type="dxa"/>
            <w:noWrap w:val="0"/>
            <w:vAlign w:val="center"/>
          </w:tcPr>
          <w:p w14:paraId="2F21A7F8">
            <w:pPr>
              <w:keepNext w:val="0"/>
              <w:pageBreakBefore w:val="0"/>
              <w:widowControl w:val="0"/>
              <w:overflowPunct/>
              <w:bidi w:val="0"/>
              <w:spacing w:line="360" w:lineRule="auto"/>
              <w:ind w:left="0"/>
              <w:jc w:val="center"/>
              <w:outlineLvl w:val="9"/>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rPr>
              <w:t>数据生产技术方案</w:t>
            </w:r>
          </w:p>
        </w:tc>
        <w:tc>
          <w:tcPr>
            <w:tcW w:w="5812" w:type="dxa"/>
            <w:noWrap w:val="0"/>
            <w:vAlign w:val="center"/>
          </w:tcPr>
          <w:p w14:paraId="55FE6CE8">
            <w:pPr>
              <w:keepNext w:val="0"/>
              <w:pageBreakBefore w:val="0"/>
              <w:widowControl w:val="0"/>
              <w:overflowPunct/>
              <w:bidi w:val="0"/>
              <w:spacing w:line="360" w:lineRule="auto"/>
              <w:ind w:left="0"/>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根据响应单位对本项目制定技术方案，以及各项工作任务及其子项等工作内容的技术方案评定，最高10分。</w:t>
            </w:r>
          </w:p>
          <w:p w14:paraId="7BB965FB">
            <w:pPr>
              <w:keepNext w:val="0"/>
              <w:pageBreakBefore w:val="0"/>
              <w:widowControl w:val="0"/>
              <w:overflowPunct/>
              <w:bidi w:val="0"/>
              <w:spacing w:line="360" w:lineRule="auto"/>
              <w:ind w:left="0"/>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技术路径完整清晰，内容全面细致、科学合理，可行性强，且有很强的针对性，完全符合项目需要，得10分；技术路径较为完整清晰，内容较全面细致程度，较为科学合理，可行性较强，比较符合项目需要，得7分；提供了常规、通用的工作方案，基本符合项目需要，得4分；技术方案内容有涉及但存在明显缺项、不太符合项目需要，得1分；其他情况不得分。</w:t>
            </w:r>
          </w:p>
        </w:tc>
        <w:tc>
          <w:tcPr>
            <w:tcW w:w="986" w:type="dxa"/>
            <w:noWrap w:val="0"/>
            <w:vAlign w:val="center"/>
          </w:tcPr>
          <w:p w14:paraId="517AE330">
            <w:pPr>
              <w:keepNext w:val="0"/>
              <w:pageBreakBefore w:val="0"/>
              <w:widowControl w:val="0"/>
              <w:overflowPunct/>
              <w:bidi w:val="0"/>
              <w:snapToGrid w:val="0"/>
              <w:spacing w:line="360" w:lineRule="auto"/>
              <w:ind w:left="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10分</w:t>
            </w:r>
          </w:p>
        </w:tc>
      </w:tr>
      <w:tr w14:paraId="57BB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155" w:type="dxa"/>
            <w:vMerge w:val="continue"/>
            <w:noWrap w:val="0"/>
            <w:vAlign w:val="center"/>
          </w:tcPr>
          <w:p w14:paraId="73338F11">
            <w:pPr>
              <w:keepNext w:val="0"/>
              <w:pageBreakBefore w:val="0"/>
              <w:widowControl/>
              <w:overflowPunct/>
              <w:bidi w:val="0"/>
              <w:spacing w:line="360" w:lineRule="auto"/>
              <w:ind w:left="0"/>
              <w:jc w:val="center"/>
              <w:rPr>
                <w:rFonts w:hint="eastAsia" w:ascii="宋体" w:hAnsi="宋体" w:eastAsia="宋体" w:cs="宋体"/>
                <w:kern w:val="2"/>
                <w:sz w:val="21"/>
                <w:szCs w:val="21"/>
                <w:highlight w:val="none"/>
                <w:lang w:val="en-US" w:eastAsia="zh-CN" w:bidi="ar-SA"/>
              </w:rPr>
            </w:pPr>
          </w:p>
        </w:tc>
        <w:tc>
          <w:tcPr>
            <w:tcW w:w="1302" w:type="dxa"/>
            <w:noWrap w:val="0"/>
            <w:vAlign w:val="center"/>
          </w:tcPr>
          <w:p w14:paraId="560DFDDF">
            <w:pPr>
              <w:keepNext w:val="0"/>
              <w:pageBreakBefore w:val="0"/>
              <w:widowControl w:val="0"/>
              <w:overflowPunct/>
              <w:bidi w:val="0"/>
              <w:spacing w:line="360" w:lineRule="auto"/>
              <w:ind w:left="0"/>
              <w:jc w:val="center"/>
              <w:outlineLvl w:val="9"/>
              <w:rPr>
                <w:rFonts w:hint="eastAsia" w:ascii="宋体" w:hAnsi="宋体" w:eastAsia="宋体" w:cs="宋体"/>
                <w:kern w:val="2"/>
                <w:sz w:val="21"/>
                <w:szCs w:val="21"/>
                <w:highlight w:val="none"/>
                <w:lang w:val="en-US" w:eastAsia="zh-CN" w:bidi="ar-SA"/>
              </w:rPr>
            </w:pPr>
            <w:r>
              <w:rPr>
                <w:rFonts w:hint="eastAsia" w:ascii="宋体" w:hAnsi="宋体" w:cs="宋体"/>
                <w:sz w:val="21"/>
                <w:szCs w:val="21"/>
              </w:rPr>
              <w:t>数据安全保护方案</w:t>
            </w:r>
          </w:p>
        </w:tc>
        <w:tc>
          <w:tcPr>
            <w:tcW w:w="5812" w:type="dxa"/>
            <w:noWrap w:val="0"/>
            <w:vAlign w:val="center"/>
          </w:tcPr>
          <w:p w14:paraId="0D6B69C3">
            <w:pPr>
              <w:keepNext w:val="0"/>
              <w:pageBreakBefore w:val="0"/>
              <w:widowControl w:val="0"/>
              <w:overflowPunct/>
              <w:bidi w:val="0"/>
              <w:spacing w:line="360" w:lineRule="auto"/>
              <w:ind w:left="0"/>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数据安全保护方案科学合理，可行性强，且有很强的针对性，得5分；方案科学合理，可行性较强，针对性较强，得3分；方案科学合理性一般、可行性一般、针对性一般，得1分；其他情况不得分。</w:t>
            </w:r>
          </w:p>
        </w:tc>
        <w:tc>
          <w:tcPr>
            <w:tcW w:w="986" w:type="dxa"/>
            <w:noWrap w:val="0"/>
            <w:vAlign w:val="center"/>
          </w:tcPr>
          <w:p w14:paraId="6AB7035E">
            <w:pPr>
              <w:keepNext w:val="0"/>
              <w:pageBreakBefore w:val="0"/>
              <w:widowControl w:val="0"/>
              <w:overflowPunct/>
              <w:bidi w:val="0"/>
              <w:snapToGrid w:val="0"/>
              <w:spacing w:line="360" w:lineRule="auto"/>
              <w:ind w:lef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5分</w:t>
            </w:r>
          </w:p>
        </w:tc>
      </w:tr>
      <w:tr w14:paraId="1A1A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155" w:type="dxa"/>
            <w:vMerge w:val="continue"/>
            <w:noWrap w:val="0"/>
            <w:vAlign w:val="center"/>
          </w:tcPr>
          <w:p w14:paraId="0ABBE927">
            <w:pPr>
              <w:keepNext w:val="0"/>
              <w:pageBreakBefore w:val="0"/>
              <w:widowControl/>
              <w:overflowPunct/>
              <w:bidi w:val="0"/>
              <w:spacing w:line="360" w:lineRule="auto"/>
              <w:ind w:left="0"/>
              <w:jc w:val="center"/>
              <w:rPr>
                <w:rFonts w:hint="eastAsia" w:ascii="宋体" w:hAnsi="宋体" w:eastAsia="宋体" w:cs="宋体"/>
                <w:kern w:val="2"/>
                <w:sz w:val="21"/>
                <w:szCs w:val="21"/>
                <w:highlight w:val="none"/>
                <w:lang w:val="en-US" w:eastAsia="zh-CN" w:bidi="ar-SA"/>
              </w:rPr>
            </w:pPr>
          </w:p>
        </w:tc>
        <w:tc>
          <w:tcPr>
            <w:tcW w:w="1302" w:type="dxa"/>
            <w:noWrap w:val="0"/>
            <w:vAlign w:val="center"/>
          </w:tcPr>
          <w:p w14:paraId="05E54F97">
            <w:pPr>
              <w:keepNext w:val="0"/>
              <w:pageBreakBefore w:val="0"/>
              <w:widowControl w:val="0"/>
              <w:overflowPunct/>
              <w:bidi w:val="0"/>
              <w:spacing w:line="360" w:lineRule="auto"/>
              <w:ind w:left="0"/>
              <w:jc w:val="center"/>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组织保障与质量控制</w:t>
            </w:r>
          </w:p>
        </w:tc>
        <w:tc>
          <w:tcPr>
            <w:tcW w:w="5812" w:type="dxa"/>
            <w:noWrap w:val="0"/>
            <w:vAlign w:val="center"/>
          </w:tcPr>
          <w:p w14:paraId="72201350">
            <w:pPr>
              <w:keepNext w:val="0"/>
              <w:pageBreakBefore w:val="0"/>
              <w:widowControl w:val="0"/>
              <w:overflowPunct/>
              <w:autoSpaceDE w:val="0"/>
              <w:autoSpaceDN w:val="0"/>
              <w:bidi w:val="0"/>
              <w:spacing w:line="360" w:lineRule="auto"/>
              <w:ind w:left="0"/>
              <w:jc w:val="left"/>
              <w:outlineLvl w:val="9"/>
              <w:rPr>
                <w:rFonts w:hint="eastAsia" w:ascii="宋体" w:hAnsi="宋体" w:eastAsia="宋体" w:cs="宋体"/>
                <w:kern w:val="0"/>
                <w:sz w:val="21"/>
                <w:szCs w:val="21"/>
                <w:highlight w:val="none"/>
                <w:shd w:val="clear" w:color="auto" w:fill="FFFFFF"/>
                <w:lang w:val="zh-CN" w:eastAsia="zh-CN" w:bidi="zh-CN"/>
              </w:rPr>
            </w:pPr>
            <w:r>
              <w:rPr>
                <w:rFonts w:hint="eastAsia" w:ascii="宋体" w:hAnsi="宋体" w:eastAsia="宋体" w:cs="宋体"/>
                <w:kern w:val="0"/>
                <w:sz w:val="21"/>
                <w:szCs w:val="21"/>
                <w:highlight w:val="none"/>
                <w:shd w:val="clear" w:color="auto" w:fill="FFFFFF"/>
                <w:lang w:val="zh-CN" w:eastAsia="zh-CN" w:bidi="zh-CN"/>
              </w:rPr>
              <w:t>包括项目管理机构图、内部实施人员的职责分工、质量控制等。方案内容的科学性和合理性强的，得5分；方案内容的科学合理性较强的，得3分；方案内容的科学合理性一般的，得1分；其他情况不得分。</w:t>
            </w:r>
          </w:p>
        </w:tc>
        <w:tc>
          <w:tcPr>
            <w:tcW w:w="986" w:type="dxa"/>
            <w:noWrap w:val="0"/>
            <w:vAlign w:val="center"/>
          </w:tcPr>
          <w:p w14:paraId="119BFE61">
            <w:pPr>
              <w:keepNext w:val="0"/>
              <w:pageBreakBefore w:val="0"/>
              <w:widowControl w:val="0"/>
              <w:overflowPunct/>
              <w:bidi w:val="0"/>
              <w:snapToGrid w:val="0"/>
              <w:spacing w:line="360" w:lineRule="auto"/>
              <w:ind w:lef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5分</w:t>
            </w:r>
          </w:p>
        </w:tc>
      </w:tr>
      <w:tr w14:paraId="7041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155" w:type="dxa"/>
            <w:vMerge w:val="continue"/>
            <w:noWrap w:val="0"/>
            <w:vAlign w:val="center"/>
          </w:tcPr>
          <w:p w14:paraId="4618163F">
            <w:pPr>
              <w:keepNext w:val="0"/>
              <w:pageBreakBefore w:val="0"/>
              <w:widowControl/>
              <w:overflowPunct/>
              <w:bidi w:val="0"/>
              <w:spacing w:line="360" w:lineRule="auto"/>
              <w:ind w:left="0"/>
              <w:jc w:val="center"/>
              <w:rPr>
                <w:rFonts w:hint="eastAsia" w:ascii="宋体" w:hAnsi="宋体" w:eastAsia="宋体" w:cs="宋体"/>
                <w:kern w:val="2"/>
                <w:sz w:val="21"/>
                <w:szCs w:val="21"/>
                <w:highlight w:val="none"/>
                <w:lang w:val="en-US" w:eastAsia="zh-CN" w:bidi="ar-SA"/>
              </w:rPr>
            </w:pPr>
          </w:p>
        </w:tc>
        <w:tc>
          <w:tcPr>
            <w:tcW w:w="1302" w:type="dxa"/>
            <w:noWrap w:val="0"/>
            <w:vAlign w:val="center"/>
          </w:tcPr>
          <w:p w14:paraId="05F6320C">
            <w:pPr>
              <w:keepNext w:val="0"/>
              <w:pageBreakBefore w:val="0"/>
              <w:widowControl w:val="0"/>
              <w:overflowPunct/>
              <w:bidi w:val="0"/>
              <w:spacing w:line="360" w:lineRule="auto"/>
              <w:ind w:left="0"/>
              <w:jc w:val="center"/>
              <w:outlineLvl w:val="9"/>
              <w:rPr>
                <w:rFonts w:hint="eastAsia" w:ascii="宋体" w:hAnsi="宋体" w:eastAsia="宋体" w:cs="宋体"/>
                <w:kern w:val="2"/>
                <w:sz w:val="21"/>
                <w:szCs w:val="21"/>
                <w:highlight w:val="none"/>
                <w:lang w:val="en-US" w:eastAsia="zh-CN" w:bidi="ar-SA"/>
              </w:rPr>
            </w:pPr>
            <w:r>
              <w:rPr>
                <w:rFonts w:hint="eastAsia" w:ascii="宋体" w:hAnsi="宋体" w:cs="宋体"/>
                <w:sz w:val="21"/>
                <w:szCs w:val="21"/>
              </w:rPr>
              <w:t>进度与安全保障</w:t>
            </w:r>
          </w:p>
        </w:tc>
        <w:tc>
          <w:tcPr>
            <w:tcW w:w="5812" w:type="dxa"/>
            <w:noWrap w:val="0"/>
            <w:vAlign w:val="center"/>
          </w:tcPr>
          <w:p w14:paraId="3E1091FD">
            <w:pPr>
              <w:keepNext w:val="0"/>
              <w:pageBreakBefore w:val="0"/>
              <w:widowControl w:val="0"/>
              <w:overflowPunct/>
              <w:autoSpaceDE w:val="0"/>
              <w:autoSpaceDN w:val="0"/>
              <w:bidi w:val="0"/>
              <w:spacing w:line="360" w:lineRule="auto"/>
              <w:ind w:left="0"/>
              <w:jc w:val="left"/>
              <w:outlineLvl w:val="9"/>
              <w:rPr>
                <w:rFonts w:hint="eastAsia" w:ascii="宋体" w:hAnsi="宋体" w:eastAsia="宋体" w:cs="宋体"/>
                <w:kern w:val="0"/>
                <w:sz w:val="21"/>
                <w:szCs w:val="21"/>
                <w:highlight w:val="none"/>
                <w:shd w:val="clear" w:color="auto" w:fill="FFFFFF"/>
                <w:lang w:val="zh-CN" w:eastAsia="zh-CN" w:bidi="zh-CN"/>
              </w:rPr>
            </w:pPr>
            <w:r>
              <w:rPr>
                <w:rFonts w:hint="eastAsia" w:ascii="宋体" w:hAnsi="宋体" w:eastAsia="宋体" w:cs="宋体"/>
                <w:kern w:val="0"/>
                <w:sz w:val="21"/>
                <w:szCs w:val="21"/>
                <w:highlight w:val="none"/>
                <w:shd w:val="clear" w:color="auto" w:fill="FFFFFF"/>
                <w:lang w:val="zh-CN" w:eastAsia="zh-CN" w:bidi="zh-CN"/>
              </w:rPr>
              <w:t>对</w:t>
            </w:r>
            <w:r>
              <w:rPr>
                <w:rFonts w:hint="eastAsia" w:ascii="宋体" w:hAnsi="宋体" w:eastAsia="宋体" w:cs="宋体"/>
                <w:kern w:val="0"/>
                <w:sz w:val="21"/>
                <w:szCs w:val="21"/>
                <w:highlight w:val="none"/>
                <w:shd w:val="clear" w:color="auto" w:fill="FFFFFF"/>
                <w:lang w:val="en-US" w:eastAsia="zh-CN" w:bidi="zh-CN"/>
              </w:rPr>
              <w:t>响应单位</w:t>
            </w:r>
            <w:r>
              <w:rPr>
                <w:rFonts w:hint="eastAsia" w:ascii="宋体" w:hAnsi="宋体" w:eastAsia="宋体" w:cs="宋体"/>
                <w:kern w:val="0"/>
                <w:sz w:val="21"/>
                <w:szCs w:val="21"/>
                <w:highlight w:val="none"/>
                <w:shd w:val="clear" w:color="auto" w:fill="FFFFFF"/>
                <w:lang w:val="zh-CN" w:eastAsia="zh-CN" w:bidi="zh-CN"/>
              </w:rPr>
              <w:t>的进度保障和安全保障方案安排的合理性、可实施性评分。进度保障和安全保障方案严密合理性强、科学规范且可实施性强的，得5分；进度保障和安全保障方案较为合理，可实施性较强的，得3分；进度保障和安全保障方案一般的，得1分；其他情况不得分。</w:t>
            </w:r>
          </w:p>
        </w:tc>
        <w:tc>
          <w:tcPr>
            <w:tcW w:w="986" w:type="dxa"/>
            <w:noWrap w:val="0"/>
            <w:vAlign w:val="center"/>
          </w:tcPr>
          <w:p w14:paraId="18CC3693">
            <w:pPr>
              <w:keepNext w:val="0"/>
              <w:pageBreakBefore w:val="0"/>
              <w:widowControl w:val="0"/>
              <w:overflowPunct/>
              <w:bidi w:val="0"/>
              <w:snapToGrid w:val="0"/>
              <w:spacing w:line="360" w:lineRule="auto"/>
              <w:ind w:lef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5分</w:t>
            </w:r>
          </w:p>
        </w:tc>
      </w:tr>
      <w:tr w14:paraId="3BDDA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155" w:type="dxa"/>
            <w:vMerge w:val="continue"/>
            <w:noWrap w:val="0"/>
            <w:vAlign w:val="center"/>
          </w:tcPr>
          <w:p w14:paraId="653408D5">
            <w:pPr>
              <w:keepNext w:val="0"/>
              <w:pageBreakBefore w:val="0"/>
              <w:widowControl/>
              <w:overflowPunct/>
              <w:bidi w:val="0"/>
              <w:spacing w:line="360" w:lineRule="auto"/>
              <w:ind w:left="0"/>
              <w:jc w:val="center"/>
              <w:rPr>
                <w:rFonts w:hint="eastAsia" w:ascii="宋体" w:hAnsi="宋体" w:eastAsia="宋体" w:cs="宋体"/>
                <w:kern w:val="2"/>
                <w:sz w:val="21"/>
                <w:szCs w:val="21"/>
                <w:highlight w:val="none"/>
                <w:lang w:val="en-US" w:eastAsia="zh-CN" w:bidi="ar-SA"/>
              </w:rPr>
            </w:pPr>
          </w:p>
        </w:tc>
        <w:tc>
          <w:tcPr>
            <w:tcW w:w="1302" w:type="dxa"/>
            <w:noWrap w:val="0"/>
            <w:vAlign w:val="center"/>
          </w:tcPr>
          <w:p w14:paraId="7789AFA9">
            <w:pPr>
              <w:keepNext w:val="0"/>
              <w:pageBreakBefore w:val="0"/>
              <w:widowControl w:val="0"/>
              <w:overflowPunct/>
              <w:bidi w:val="0"/>
              <w:spacing w:line="360" w:lineRule="auto"/>
              <w:ind w:left="0"/>
              <w:jc w:val="center"/>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售后服务措施</w:t>
            </w:r>
          </w:p>
        </w:tc>
        <w:tc>
          <w:tcPr>
            <w:tcW w:w="5812" w:type="dxa"/>
            <w:noWrap w:val="0"/>
            <w:vAlign w:val="center"/>
          </w:tcPr>
          <w:p w14:paraId="799D8380">
            <w:pPr>
              <w:keepNext w:val="0"/>
              <w:pageBreakBefore w:val="0"/>
              <w:widowControl w:val="0"/>
              <w:overflowPunct/>
              <w:autoSpaceDE w:val="0"/>
              <w:autoSpaceDN w:val="0"/>
              <w:bidi w:val="0"/>
              <w:adjustRightInd w:val="0"/>
              <w:spacing w:before="50" w:line="360" w:lineRule="auto"/>
              <w:ind w:left="0" w:right="97"/>
              <w:jc w:val="left"/>
              <w:outlineLvl w:val="9"/>
              <w:rPr>
                <w:rFonts w:hint="eastAsia" w:ascii="宋体" w:hAnsi="宋体" w:eastAsia="宋体" w:cs="宋体"/>
                <w:kern w:val="0"/>
                <w:sz w:val="21"/>
                <w:szCs w:val="21"/>
                <w:highlight w:val="none"/>
                <w:lang w:val="zh-CN" w:eastAsia="zh-CN" w:bidi="zh-CN"/>
              </w:rPr>
            </w:pPr>
            <w:r>
              <w:rPr>
                <w:rFonts w:hint="eastAsia" w:ascii="宋体" w:hAnsi="宋体" w:eastAsia="宋体" w:cs="宋体"/>
                <w:kern w:val="0"/>
                <w:sz w:val="21"/>
                <w:szCs w:val="21"/>
                <w:highlight w:val="none"/>
                <w:lang w:val="zh-CN" w:eastAsia="zh-CN" w:bidi="zh-CN"/>
              </w:rPr>
              <w:t>包括售后服务体系、服务内容、应急处理方案、响应时间、专业技术人员保障等。售后服务方案详细完整、可操作性强的，得5分；售后服务方案较为完整详细、可操作性较强的，得3分；售后服务方案完整性和可操作性一般的，得1分；其他情况不得分。</w:t>
            </w:r>
          </w:p>
        </w:tc>
        <w:tc>
          <w:tcPr>
            <w:tcW w:w="986" w:type="dxa"/>
            <w:noWrap w:val="0"/>
            <w:vAlign w:val="center"/>
          </w:tcPr>
          <w:p w14:paraId="026E99FF">
            <w:pPr>
              <w:keepNext w:val="0"/>
              <w:pageBreakBefore w:val="0"/>
              <w:widowControl w:val="0"/>
              <w:overflowPunct/>
              <w:bidi w:val="0"/>
              <w:snapToGrid w:val="0"/>
              <w:spacing w:line="360" w:lineRule="auto"/>
              <w:ind w:lef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5分</w:t>
            </w:r>
          </w:p>
        </w:tc>
      </w:tr>
      <w:tr w14:paraId="2428E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155" w:type="dxa"/>
            <w:vMerge w:val="restart"/>
            <w:noWrap w:val="0"/>
            <w:vAlign w:val="center"/>
          </w:tcPr>
          <w:p w14:paraId="221A7A7A">
            <w:pPr>
              <w:keepNext w:val="0"/>
              <w:pageBreakBefore w:val="0"/>
              <w:widowControl w:val="0"/>
              <w:overflowPunct/>
              <w:bidi w:val="0"/>
              <w:spacing w:line="360" w:lineRule="auto"/>
              <w:ind w:left="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商务标（20分）</w:t>
            </w:r>
          </w:p>
        </w:tc>
        <w:tc>
          <w:tcPr>
            <w:tcW w:w="1302" w:type="dxa"/>
            <w:noWrap w:val="0"/>
            <w:vAlign w:val="center"/>
          </w:tcPr>
          <w:p w14:paraId="467160D8">
            <w:pPr>
              <w:keepNext w:val="0"/>
              <w:pageBreakBefore w:val="0"/>
              <w:widowControl w:val="0"/>
              <w:overflowPunct/>
              <w:bidi w:val="0"/>
              <w:spacing w:line="360" w:lineRule="auto"/>
              <w:ind w:lef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业 绩</w:t>
            </w:r>
          </w:p>
        </w:tc>
        <w:tc>
          <w:tcPr>
            <w:tcW w:w="5812" w:type="dxa"/>
            <w:noWrap w:val="0"/>
            <w:vAlign w:val="center"/>
          </w:tcPr>
          <w:p w14:paraId="62F80171">
            <w:pPr>
              <w:keepNext w:val="0"/>
              <w:pageBreakBefore w:val="0"/>
              <w:widowControl w:val="0"/>
              <w:overflowPunct/>
              <w:bidi w:val="0"/>
              <w:spacing w:line="360" w:lineRule="auto"/>
              <w:rPr>
                <w:rFonts w:hint="eastAsia" w:ascii="宋体" w:hAnsi="宋体" w:eastAsia="宋体" w:cs="宋体"/>
                <w:spacing w:val="-8"/>
                <w:kern w:val="2"/>
                <w:sz w:val="21"/>
                <w:szCs w:val="21"/>
                <w:highlight w:val="none"/>
                <w:lang w:val="en-US" w:eastAsia="zh-CN" w:bidi="ar-SA"/>
              </w:rPr>
            </w:pPr>
            <w:r>
              <w:rPr>
                <w:rFonts w:hint="eastAsia" w:ascii="宋体" w:hAnsi="宋体" w:eastAsia="宋体" w:cs="宋体"/>
                <w:spacing w:val="-8"/>
                <w:kern w:val="2"/>
                <w:sz w:val="21"/>
                <w:szCs w:val="21"/>
                <w:highlight w:val="none"/>
                <w:lang w:val="en-US" w:eastAsia="zh-CN" w:bidi="ar-SA"/>
              </w:rPr>
              <w:t>2022年1月1日以来承担过</w:t>
            </w:r>
            <w:r>
              <w:rPr>
                <w:rFonts w:hint="eastAsia" w:ascii="宋体" w:hAnsi="宋体" w:cs="宋体"/>
                <w:spacing w:val="-8"/>
                <w:kern w:val="2"/>
                <w:sz w:val="21"/>
                <w:szCs w:val="21"/>
                <w:highlight w:val="none"/>
                <w:lang w:val="en-US" w:eastAsia="zh-CN" w:bidi="ar-SA"/>
              </w:rPr>
              <w:t>类似</w:t>
            </w:r>
            <w:r>
              <w:rPr>
                <w:rFonts w:hint="eastAsia" w:ascii="宋体" w:hAnsi="宋体" w:eastAsia="宋体" w:cs="宋体"/>
                <w:spacing w:val="-8"/>
                <w:kern w:val="2"/>
                <w:sz w:val="21"/>
                <w:szCs w:val="21"/>
                <w:highlight w:val="none"/>
                <w:lang w:val="en-US" w:eastAsia="zh-CN" w:bidi="ar-SA"/>
              </w:rPr>
              <w:t>项目的</w:t>
            </w:r>
            <w:r>
              <w:rPr>
                <w:rFonts w:hint="eastAsia" w:ascii="宋体" w:hAnsi="宋体" w:cs="宋体"/>
                <w:spacing w:val="-8"/>
                <w:kern w:val="2"/>
                <w:sz w:val="21"/>
                <w:szCs w:val="21"/>
                <w:highlight w:val="none"/>
                <w:lang w:val="en-US" w:eastAsia="zh-CN" w:bidi="ar-SA"/>
              </w:rPr>
              <w:t>业绩</w:t>
            </w:r>
            <w:r>
              <w:rPr>
                <w:rFonts w:hint="eastAsia" w:ascii="宋体" w:hAnsi="宋体" w:eastAsia="宋体" w:cs="宋体"/>
                <w:spacing w:val="-8"/>
                <w:kern w:val="2"/>
                <w:sz w:val="21"/>
                <w:szCs w:val="21"/>
                <w:highlight w:val="none"/>
                <w:lang w:val="en-US" w:eastAsia="zh-CN" w:bidi="ar-SA"/>
              </w:rPr>
              <w:t>，每一项得2分，此项可累计最多得6分。（提供成交通知书</w:t>
            </w:r>
            <w:r>
              <w:rPr>
                <w:rFonts w:hint="eastAsia" w:ascii="宋体" w:hAnsi="宋体" w:cs="宋体"/>
                <w:spacing w:val="-8"/>
                <w:kern w:val="2"/>
                <w:sz w:val="21"/>
                <w:szCs w:val="21"/>
                <w:highlight w:val="none"/>
                <w:lang w:val="en-US" w:eastAsia="zh-CN" w:bidi="ar-SA"/>
              </w:rPr>
              <w:t>和</w:t>
            </w:r>
            <w:r>
              <w:rPr>
                <w:rFonts w:hint="eastAsia" w:ascii="宋体" w:hAnsi="宋体" w:eastAsia="宋体" w:cs="宋体"/>
                <w:spacing w:val="-8"/>
                <w:kern w:val="2"/>
                <w:sz w:val="21"/>
                <w:szCs w:val="21"/>
                <w:highlight w:val="none"/>
                <w:lang w:val="en-US" w:eastAsia="zh-CN" w:bidi="ar-SA"/>
              </w:rPr>
              <w:t>合同协议书的原件扫描件，</w:t>
            </w:r>
            <w:r>
              <w:rPr>
                <w:rFonts w:hint="eastAsia" w:ascii="宋体" w:hAnsi="宋体" w:eastAsia="宋体" w:cs="宋体"/>
                <w:color w:val="000000"/>
                <w:kern w:val="0"/>
                <w:sz w:val="21"/>
                <w:szCs w:val="21"/>
                <w:highlight w:val="none"/>
                <w:lang w:val="en-US" w:eastAsia="zh-CN" w:bidi="ar-SA"/>
              </w:rPr>
              <w:t>响应文件内附证书原件扫描件</w:t>
            </w:r>
            <w:r>
              <w:rPr>
                <w:rFonts w:hint="eastAsia" w:ascii="宋体" w:hAnsi="宋体" w:eastAsia="宋体" w:cs="宋体"/>
                <w:spacing w:val="-8"/>
                <w:kern w:val="2"/>
                <w:sz w:val="21"/>
                <w:szCs w:val="21"/>
                <w:highlight w:val="none"/>
                <w:lang w:val="en-US" w:eastAsia="zh-CN" w:bidi="ar-SA"/>
              </w:rPr>
              <w:t>）</w:t>
            </w:r>
          </w:p>
        </w:tc>
        <w:tc>
          <w:tcPr>
            <w:tcW w:w="986" w:type="dxa"/>
            <w:noWrap w:val="0"/>
            <w:vAlign w:val="center"/>
          </w:tcPr>
          <w:p w14:paraId="13E5E574">
            <w:pPr>
              <w:keepNext w:val="0"/>
              <w:pageBreakBefore w:val="0"/>
              <w:widowControl w:val="0"/>
              <w:overflowPunct/>
              <w:bidi w:val="0"/>
              <w:snapToGrid w:val="0"/>
              <w:spacing w:line="360" w:lineRule="auto"/>
              <w:ind w:left="0"/>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6分</w:t>
            </w:r>
          </w:p>
        </w:tc>
      </w:tr>
      <w:tr w14:paraId="447DB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5" w:type="dxa"/>
            <w:vMerge w:val="continue"/>
            <w:noWrap w:val="0"/>
            <w:vAlign w:val="center"/>
          </w:tcPr>
          <w:p w14:paraId="4B90BDD9">
            <w:pPr>
              <w:keepNext w:val="0"/>
              <w:pageBreakBefore w:val="0"/>
              <w:widowControl/>
              <w:overflowPunct/>
              <w:bidi w:val="0"/>
              <w:spacing w:line="360" w:lineRule="auto"/>
              <w:ind w:left="0"/>
              <w:jc w:val="center"/>
              <w:rPr>
                <w:rFonts w:hint="eastAsia" w:ascii="宋体" w:hAnsi="宋体" w:eastAsia="宋体" w:cs="宋体"/>
                <w:kern w:val="0"/>
                <w:sz w:val="21"/>
                <w:szCs w:val="21"/>
                <w:highlight w:val="none"/>
                <w:lang w:val="en-US" w:eastAsia="zh-CN" w:bidi="ar-SA"/>
              </w:rPr>
            </w:pPr>
          </w:p>
        </w:tc>
        <w:tc>
          <w:tcPr>
            <w:tcW w:w="1302" w:type="dxa"/>
            <w:noWrap w:val="0"/>
            <w:vAlign w:val="center"/>
          </w:tcPr>
          <w:p w14:paraId="460D65FC">
            <w:pPr>
              <w:keepNext w:val="0"/>
              <w:pageBreakBefore w:val="0"/>
              <w:widowControl w:val="0"/>
              <w:overflowPunct/>
              <w:bidi w:val="0"/>
              <w:spacing w:line="360" w:lineRule="auto"/>
              <w:ind w:left="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服务团队</w:t>
            </w:r>
          </w:p>
        </w:tc>
        <w:tc>
          <w:tcPr>
            <w:tcW w:w="5812" w:type="dxa"/>
            <w:noWrap w:val="0"/>
            <w:vAlign w:val="center"/>
          </w:tcPr>
          <w:p w14:paraId="5FB266B7">
            <w:pPr>
              <w:keepNext w:val="0"/>
              <w:pageBreakBefore w:val="0"/>
              <w:widowControl w:val="0"/>
              <w:overflowPunct/>
              <w:bidi w:val="0"/>
              <w:spacing w:line="360" w:lineRule="auto"/>
              <w:rPr>
                <w:rFonts w:hint="eastAsia" w:ascii="宋体" w:hAnsi="宋体" w:eastAsia="宋体" w:cs="宋体"/>
                <w:spacing w:val="-8"/>
                <w:kern w:val="2"/>
                <w:sz w:val="21"/>
                <w:szCs w:val="21"/>
                <w:highlight w:val="none"/>
                <w:lang w:val="en-US" w:eastAsia="zh-CN" w:bidi="ar-SA"/>
              </w:rPr>
            </w:pPr>
            <w:r>
              <w:rPr>
                <w:rFonts w:hint="eastAsia" w:ascii="宋体" w:hAnsi="宋体" w:eastAsia="宋体" w:cs="宋体"/>
                <w:spacing w:val="-8"/>
                <w:kern w:val="2"/>
                <w:sz w:val="21"/>
                <w:szCs w:val="21"/>
                <w:highlight w:val="none"/>
                <w:lang w:val="en-US" w:eastAsia="zh-CN" w:bidi="ar-SA"/>
              </w:rPr>
              <w:t>投入本项目专业技术人员中（不含项目负责人）具有测绘</w:t>
            </w:r>
            <w:r>
              <w:rPr>
                <w:rFonts w:hint="eastAsia" w:ascii="宋体" w:hAnsi="宋体" w:cs="宋体"/>
                <w:spacing w:val="-8"/>
                <w:kern w:val="2"/>
                <w:sz w:val="21"/>
                <w:szCs w:val="21"/>
                <w:highlight w:val="none"/>
                <w:lang w:val="en-US" w:eastAsia="zh-CN" w:bidi="ar-SA"/>
              </w:rPr>
              <w:t>及相关</w:t>
            </w:r>
            <w:r>
              <w:rPr>
                <w:rFonts w:hint="eastAsia" w:ascii="宋体" w:hAnsi="宋体" w:eastAsia="宋体" w:cs="宋体"/>
                <w:spacing w:val="-8"/>
                <w:kern w:val="2"/>
                <w:sz w:val="21"/>
                <w:szCs w:val="21"/>
                <w:highlight w:val="none"/>
                <w:lang w:val="en-US" w:eastAsia="zh-CN" w:bidi="ar-SA"/>
              </w:rPr>
              <w:t>专业中级职称的，每提供一个得1分，最多得2分。</w:t>
            </w:r>
          </w:p>
          <w:p w14:paraId="5B66CF78">
            <w:pPr>
              <w:keepNext w:val="0"/>
              <w:pageBreakBefore w:val="0"/>
              <w:widowControl w:val="0"/>
              <w:overflowPunct/>
              <w:bidi w:val="0"/>
              <w:spacing w:line="360" w:lineRule="auto"/>
              <w:rPr>
                <w:rFonts w:hint="eastAsia" w:ascii="宋体" w:hAnsi="宋体" w:eastAsia="宋体" w:cs="宋体"/>
                <w:spacing w:val="-8"/>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注：以上人员须提供相应证书复印件，并提供本单位为其缴纳社会养老保险缴费证明。</w:t>
            </w:r>
          </w:p>
        </w:tc>
        <w:tc>
          <w:tcPr>
            <w:tcW w:w="986" w:type="dxa"/>
            <w:noWrap w:val="0"/>
            <w:vAlign w:val="center"/>
          </w:tcPr>
          <w:p w14:paraId="42AF8979">
            <w:pPr>
              <w:keepNext w:val="0"/>
              <w:pageBreakBefore w:val="0"/>
              <w:widowControl/>
              <w:overflowPunct/>
              <w:bidi w:val="0"/>
              <w:spacing w:line="360" w:lineRule="auto"/>
              <w:jc w:val="center"/>
              <w:rPr>
                <w:rFonts w:hint="default"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2分</w:t>
            </w:r>
          </w:p>
        </w:tc>
      </w:tr>
      <w:tr w14:paraId="2387C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5" w:type="dxa"/>
            <w:vMerge w:val="continue"/>
            <w:noWrap w:val="0"/>
            <w:vAlign w:val="center"/>
          </w:tcPr>
          <w:p w14:paraId="365D2118">
            <w:pPr>
              <w:keepNext w:val="0"/>
              <w:pageBreakBefore w:val="0"/>
              <w:widowControl/>
              <w:overflowPunct/>
              <w:bidi w:val="0"/>
              <w:spacing w:line="360" w:lineRule="auto"/>
              <w:ind w:left="0"/>
              <w:jc w:val="center"/>
              <w:rPr>
                <w:rFonts w:hint="eastAsia" w:ascii="宋体" w:hAnsi="宋体" w:eastAsia="宋体" w:cs="宋体"/>
                <w:kern w:val="0"/>
                <w:sz w:val="21"/>
                <w:szCs w:val="21"/>
                <w:highlight w:val="none"/>
                <w:lang w:val="en-US" w:eastAsia="zh-CN" w:bidi="ar-SA"/>
              </w:rPr>
            </w:pPr>
          </w:p>
        </w:tc>
        <w:tc>
          <w:tcPr>
            <w:tcW w:w="1302" w:type="dxa"/>
            <w:shd w:val="clear" w:color="auto" w:fill="auto"/>
            <w:noWrap w:val="0"/>
            <w:vAlign w:val="center"/>
          </w:tcPr>
          <w:p w14:paraId="117C34B8">
            <w:pPr>
              <w:keepNext w:val="0"/>
              <w:pageBreakBefore w:val="0"/>
              <w:widowControl w:val="0"/>
              <w:overflowPunct/>
              <w:bidi w:val="0"/>
              <w:spacing w:line="360" w:lineRule="auto"/>
              <w:ind w:left="0" w:leftChars="0"/>
              <w:jc w:val="center"/>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企业荣誉</w:t>
            </w:r>
          </w:p>
        </w:tc>
        <w:tc>
          <w:tcPr>
            <w:tcW w:w="5812" w:type="dxa"/>
            <w:shd w:val="clear" w:color="auto" w:fill="auto"/>
            <w:noWrap w:val="0"/>
            <w:vAlign w:val="center"/>
          </w:tcPr>
          <w:p w14:paraId="7DF85D5C">
            <w:pPr>
              <w:keepNext w:val="0"/>
              <w:pageBreakBefore w:val="0"/>
              <w:widowControl w:val="0"/>
              <w:overflowPunct/>
              <w:bidi w:val="0"/>
              <w:spacing w:line="360" w:lineRule="auto"/>
              <w:rPr>
                <w:rFonts w:hint="eastAsia" w:ascii="宋体" w:hAnsi="宋体" w:eastAsia="宋体" w:cs="宋体"/>
                <w:spacing w:val="-8"/>
                <w:kern w:val="2"/>
                <w:sz w:val="21"/>
                <w:szCs w:val="21"/>
                <w:highlight w:val="none"/>
                <w:lang w:val="en-US" w:eastAsia="zh-CN" w:bidi="ar-SA"/>
              </w:rPr>
            </w:pPr>
            <w:r>
              <w:rPr>
                <w:rFonts w:hint="eastAsia" w:ascii="宋体" w:hAnsi="宋体" w:cs="宋体"/>
                <w:spacing w:val="-8"/>
                <w:kern w:val="2"/>
                <w:sz w:val="21"/>
                <w:szCs w:val="21"/>
                <w:highlight w:val="none"/>
                <w:lang w:val="en-US" w:eastAsia="zh-CN" w:bidi="ar-SA"/>
              </w:rPr>
              <w:t>响应单位承担过的类似业绩获得过主管部门或行业协会颁发的荣誉奖项，省级及以上荣誉得3分，市级荣誉得2分，区县级荣誉得1分，最高得3分。（提供荣誉证书复印件，同一项目获多个荣誉的以最高荣誉计，限评一项）</w:t>
            </w:r>
          </w:p>
        </w:tc>
        <w:tc>
          <w:tcPr>
            <w:tcW w:w="986" w:type="dxa"/>
            <w:shd w:val="clear" w:color="auto" w:fill="auto"/>
            <w:noWrap w:val="0"/>
            <w:vAlign w:val="center"/>
          </w:tcPr>
          <w:p w14:paraId="1F816B73">
            <w:pPr>
              <w:keepNext w:val="0"/>
              <w:pageBreakBefore w:val="0"/>
              <w:widowControl/>
              <w:overflowPunct/>
              <w:bidi w:val="0"/>
              <w:spacing w:line="360" w:lineRule="auto"/>
              <w:jc w:val="center"/>
              <w:rPr>
                <w:rFonts w:hint="eastAsia" w:ascii="宋体" w:hAnsi="宋体" w:eastAsia="宋体" w:cs="宋体"/>
                <w:bCs/>
                <w:kern w:val="0"/>
                <w:sz w:val="21"/>
                <w:szCs w:val="21"/>
                <w:highlight w:val="none"/>
                <w:lang w:val="en-US" w:eastAsia="zh-CN" w:bidi="ar-SA"/>
              </w:rPr>
            </w:pPr>
            <w:r>
              <w:rPr>
                <w:rFonts w:hint="eastAsia" w:ascii="宋体" w:hAnsi="宋体" w:eastAsia="宋体" w:cs="宋体"/>
                <w:kern w:val="2"/>
                <w:sz w:val="21"/>
                <w:szCs w:val="21"/>
                <w:highlight w:val="none"/>
                <w:lang w:val="en-US" w:eastAsia="zh-CN" w:bidi="ar-SA"/>
              </w:rPr>
              <w:t>3分</w:t>
            </w:r>
          </w:p>
        </w:tc>
      </w:tr>
      <w:tr w14:paraId="15C2F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5" w:type="dxa"/>
            <w:vMerge w:val="continue"/>
            <w:noWrap w:val="0"/>
            <w:vAlign w:val="center"/>
          </w:tcPr>
          <w:p w14:paraId="1D166B2D">
            <w:pPr>
              <w:keepNext w:val="0"/>
              <w:pageBreakBefore w:val="0"/>
              <w:widowControl/>
              <w:overflowPunct/>
              <w:bidi w:val="0"/>
              <w:spacing w:line="360" w:lineRule="auto"/>
              <w:ind w:left="0"/>
              <w:jc w:val="center"/>
              <w:rPr>
                <w:rFonts w:hint="eastAsia" w:ascii="宋体" w:hAnsi="宋体" w:eastAsia="宋体" w:cs="宋体"/>
                <w:kern w:val="0"/>
                <w:sz w:val="21"/>
                <w:szCs w:val="21"/>
                <w:highlight w:val="none"/>
                <w:lang w:val="en-US" w:eastAsia="zh-CN" w:bidi="ar-SA"/>
              </w:rPr>
            </w:pPr>
          </w:p>
        </w:tc>
        <w:tc>
          <w:tcPr>
            <w:tcW w:w="1302" w:type="dxa"/>
            <w:noWrap w:val="0"/>
            <w:vAlign w:val="center"/>
          </w:tcPr>
          <w:p w14:paraId="0F97E64A">
            <w:pPr>
              <w:keepNext w:val="0"/>
              <w:pageBreakBefore w:val="0"/>
              <w:widowControl w:val="0"/>
              <w:overflowPunct/>
              <w:bidi w:val="0"/>
              <w:spacing w:line="360" w:lineRule="auto"/>
              <w:ind w:left="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服务承诺</w:t>
            </w:r>
          </w:p>
        </w:tc>
        <w:tc>
          <w:tcPr>
            <w:tcW w:w="5812" w:type="dxa"/>
            <w:noWrap w:val="0"/>
            <w:vAlign w:val="top"/>
          </w:tcPr>
          <w:p w14:paraId="5295720F">
            <w:pPr>
              <w:keepNext w:val="0"/>
              <w:pageBreakBefore w:val="0"/>
              <w:widowControl w:val="0"/>
              <w:overflowPunct/>
              <w:bidi w:val="0"/>
              <w:spacing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服从工作承诺：服从采购人的工作计划安排，并积极配合工作方面的承诺（工作计划安排非常合理，积极配合工作的得3分，工作计划有安排，能够配合工作的得2分，工作计划一般，配合工作一般的得1分）。</w:t>
            </w:r>
          </w:p>
          <w:p w14:paraId="57B0EE4A">
            <w:pPr>
              <w:keepNext w:val="0"/>
              <w:pageBreakBefore w:val="0"/>
              <w:widowControl w:val="0"/>
              <w:overflowPunct/>
              <w:bidi w:val="0"/>
              <w:spacing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（2）质量承诺：响应人在成果质量管理上有服务承诺及充分合理保证措施（质量管理上服务承诺及充分合理保证措施，做得详细且具体的得3分，做得合理的得2分，做得一般的得1分）。</w:t>
            </w:r>
          </w:p>
          <w:p w14:paraId="676BB903">
            <w:pPr>
              <w:keepNext w:val="0"/>
              <w:pageBreakBefore w:val="0"/>
              <w:widowControl w:val="0"/>
              <w:overflowPunct/>
              <w:bidi w:val="0"/>
              <w:spacing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（3）后续服务承诺：（后续服务方案具体、详细的得3分，后续服务方案合理的得2分，后续服务一般的得1分）</w:t>
            </w:r>
          </w:p>
        </w:tc>
        <w:tc>
          <w:tcPr>
            <w:tcW w:w="986" w:type="dxa"/>
            <w:noWrap w:val="0"/>
            <w:vAlign w:val="center"/>
          </w:tcPr>
          <w:p w14:paraId="77DF3B10">
            <w:pPr>
              <w:keepNext w:val="0"/>
              <w:pageBreakBefore w:val="0"/>
              <w:widowControl/>
              <w:overflowPunct/>
              <w:bidi w:val="0"/>
              <w:spacing w:line="360" w:lineRule="auto"/>
              <w:ind w:left="0" w:firstLine="105" w:firstLineChars="5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9分</w:t>
            </w:r>
          </w:p>
        </w:tc>
      </w:tr>
      <w:tr w14:paraId="1BAF6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255" w:type="dxa"/>
            <w:gridSpan w:val="4"/>
            <w:noWrap w:val="0"/>
            <w:vAlign w:val="center"/>
          </w:tcPr>
          <w:p w14:paraId="13B6E9AE">
            <w:pPr>
              <w:keepNext w:val="0"/>
              <w:pageBreakBefore w:val="0"/>
              <w:widowControl/>
              <w:overflowPunct/>
              <w:bidi w:val="0"/>
              <w:spacing w:line="360" w:lineRule="auto"/>
              <w:ind w:left="0" w:firstLine="105" w:firstLineChars="50"/>
              <w:jc w:val="center"/>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以上项目若有缺项的，该项为0分；不缺项的，不低于最低分。</w:t>
            </w:r>
          </w:p>
        </w:tc>
      </w:tr>
    </w:tbl>
    <w:p w14:paraId="03F88D77">
      <w:pPr>
        <w:keepNext w:val="0"/>
        <w:pageBreakBefore w:val="0"/>
        <w:widowControl/>
        <w:overflowPunct/>
        <w:bidi w:val="0"/>
        <w:spacing w:line="360" w:lineRule="auto"/>
        <w:outlineLvl w:val="9"/>
        <w:rPr>
          <w:rFonts w:hint="eastAsia" w:ascii="宋体" w:hAnsi="宋体" w:eastAsia="宋体" w:cs="宋体"/>
          <w:bCs/>
          <w:color w:val="000000"/>
          <w:kern w:val="0"/>
          <w:szCs w:val="21"/>
          <w:highlight w:val="none"/>
        </w:rPr>
      </w:pPr>
    </w:p>
    <w:p w14:paraId="64D1374C">
      <w:pPr>
        <w:keepNext w:val="0"/>
        <w:pageBreakBefore w:val="0"/>
        <w:widowControl/>
        <w:overflowPunct/>
        <w:bidi w:val="0"/>
        <w:spacing w:line="360" w:lineRule="auto"/>
        <w:ind w:firstLine="480"/>
        <w:outlineLvl w:val="9"/>
        <w:rPr>
          <w:rFonts w:hint="eastAsia" w:ascii="宋体" w:hAnsi="宋体" w:eastAsia="宋体" w:cs="宋体"/>
          <w:bCs/>
          <w:color w:val="000000"/>
          <w:kern w:val="0"/>
          <w:szCs w:val="21"/>
          <w:highlight w:val="none"/>
        </w:rPr>
      </w:pPr>
      <w:r>
        <w:rPr>
          <w:rFonts w:hint="eastAsia" w:ascii="宋体" w:hAnsi="宋体" w:eastAsia="宋体" w:cs="宋体"/>
          <w:bCs/>
          <w:color w:val="000000"/>
          <w:kern w:val="0"/>
          <w:szCs w:val="21"/>
          <w:highlight w:val="none"/>
        </w:rPr>
        <w:t>注：</w:t>
      </w:r>
    </w:p>
    <w:p w14:paraId="3A906D33">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9"/>
        <w:rPr>
          <w:rFonts w:hint="eastAsia" w:ascii="宋体" w:hAnsi="宋体" w:eastAsia="宋体" w:cs="宋体"/>
          <w:bCs/>
          <w:szCs w:val="21"/>
          <w:highlight w:val="none"/>
        </w:rPr>
      </w:pPr>
      <w:r>
        <w:rPr>
          <w:rFonts w:hint="eastAsia" w:ascii="宋体" w:hAnsi="宋体" w:eastAsia="宋体" w:cs="宋体"/>
          <w:bCs/>
          <w:kern w:val="0"/>
          <w:sz w:val="24"/>
          <w:szCs w:val="21"/>
          <w:highlight w:val="none"/>
          <w:lang w:val="en-US" w:eastAsia="zh-CN" w:bidi="ar-SA"/>
        </w:rPr>
        <w:t>1.</w:t>
      </w:r>
      <w:r>
        <w:rPr>
          <w:rFonts w:hint="eastAsia" w:ascii="宋体" w:hAnsi="宋体" w:eastAsia="宋体" w:cs="宋体"/>
          <w:bCs/>
          <w:szCs w:val="21"/>
          <w:highlight w:val="none"/>
        </w:rPr>
        <w:t>如磋商小组一致认为磋商报价明显低于其他通过符合性审查磋商供应商的报价，有可能影响产品质量或者不能诚信履约的，应当要求其在评标现场合理的时间内提供说明资料，必要时提交相关证明材料；磋商供应商不能证明其报价合理性的，经磋商小组取得一致意见后，磋商小组应当将其作为无效投标处理。</w:t>
      </w:r>
    </w:p>
    <w:p w14:paraId="4EE994F5">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jc w:val="both"/>
        <w:textAlignment w:val="auto"/>
        <w:outlineLvl w:val="9"/>
        <w:rPr>
          <w:rFonts w:hint="eastAsia" w:ascii="宋体" w:hAnsi="宋体" w:eastAsia="宋体" w:cs="宋体"/>
          <w:highlight w:val="none"/>
        </w:rPr>
      </w:pPr>
      <w:r>
        <w:rPr>
          <w:rFonts w:hint="eastAsia" w:ascii="宋体" w:hAnsi="宋体" w:eastAsia="宋体" w:cs="宋体"/>
          <w:b/>
          <w:bCs/>
          <w:szCs w:val="21"/>
          <w:highlight w:val="none"/>
        </w:rPr>
        <w:t>2.</w:t>
      </w:r>
      <w:r>
        <w:rPr>
          <w:rFonts w:hint="eastAsia" w:ascii="宋体" w:hAnsi="宋体" w:eastAsia="宋体" w:cs="宋体"/>
          <w:highlight w:val="none"/>
        </w:rPr>
        <w:t>本项目实行资格后审，审查内容以</w:t>
      </w:r>
      <w:r>
        <w:rPr>
          <w:rFonts w:hint="eastAsia" w:cs="宋体"/>
          <w:highlight w:val="none"/>
          <w:lang w:eastAsia="zh-CN"/>
        </w:rPr>
        <w:t>响应文件</w:t>
      </w:r>
      <w:r>
        <w:rPr>
          <w:rFonts w:hint="eastAsia" w:ascii="宋体" w:hAnsi="宋体" w:eastAsia="宋体" w:cs="宋体"/>
          <w:highlight w:val="none"/>
        </w:rPr>
        <w:t>为准，其上传资料真实性由供应商自行承担，同时，供应商请完善主体库。</w:t>
      </w:r>
    </w:p>
    <w:p w14:paraId="10D75F91">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9"/>
        <w:rPr>
          <w:rFonts w:hint="eastAsia" w:ascii="宋体" w:hAnsi="宋体" w:eastAsia="宋体" w:cs="宋体"/>
          <w:highlight w:val="none"/>
        </w:rPr>
      </w:pPr>
      <w:r>
        <w:rPr>
          <w:rFonts w:hint="eastAsia" w:ascii="宋体" w:hAnsi="宋体" w:eastAsia="宋体" w:cs="宋体"/>
          <w:highlight w:val="none"/>
        </w:rPr>
        <w:t>3.评标打分部分：评标打分部分仍按照100分制原则进行，涉及到资格审查、企业荣誉、企业业绩等计分部分时，以投标单位自行上传到磋商响应文件中的相应内容为准。</w:t>
      </w:r>
    </w:p>
    <w:p w14:paraId="3757A768">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9"/>
        <w:rPr>
          <w:rFonts w:hint="eastAsia" w:ascii="宋体" w:hAnsi="宋体" w:eastAsia="宋体" w:cs="宋体"/>
          <w:highlight w:val="none"/>
        </w:rPr>
      </w:pPr>
      <w:r>
        <w:rPr>
          <w:rFonts w:hint="eastAsia" w:ascii="宋体" w:hAnsi="宋体" w:eastAsia="宋体" w:cs="宋体"/>
          <w:highlight w:val="none"/>
        </w:rPr>
        <w:t>4.在竞争性磋商文件中要求投标人按照磋商响应文件格式进行磋商响应文件编制，在磋商响应文件编制时，应明确将供应商企业基本情况、人员情况、财务情况、业绩情况编入磋商响应文件，便于进行资格审查及评标打分。</w:t>
      </w:r>
    </w:p>
    <w:p w14:paraId="7BED87B7">
      <w:pPr>
        <w:keepNext w:val="0"/>
        <w:pageBreakBefore w:val="0"/>
        <w:widowControl/>
        <w:overflowPunct/>
        <w:bidi w:val="0"/>
        <w:spacing w:line="360" w:lineRule="auto"/>
        <w:ind w:firstLine="480"/>
        <w:outlineLvl w:val="9"/>
        <w:rPr>
          <w:rFonts w:hint="eastAsia" w:ascii="宋体" w:hAnsi="宋体" w:eastAsia="宋体" w:cs="宋体"/>
          <w:b/>
          <w:bCs/>
          <w:szCs w:val="21"/>
          <w:highlight w:val="none"/>
        </w:rPr>
      </w:pPr>
    </w:p>
    <w:p w14:paraId="13CAF734">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outlineLvl w:val="0"/>
        <w:rPr>
          <w:rFonts w:hint="eastAsia" w:ascii="宋体" w:hAnsi="宋体" w:eastAsia="宋体" w:cs="宋体"/>
          <w:b/>
          <w:sz w:val="32"/>
          <w:szCs w:val="32"/>
          <w:highlight w:val="none"/>
        </w:rPr>
      </w:pPr>
      <w:r>
        <w:rPr>
          <w:rFonts w:hint="eastAsia" w:ascii="宋体" w:hAnsi="宋体" w:eastAsia="宋体" w:cs="宋体"/>
          <w:b/>
          <w:color w:val="000000"/>
          <w:sz w:val="28"/>
          <w:szCs w:val="28"/>
          <w:highlight w:val="none"/>
        </w:rPr>
        <w:br w:type="page"/>
      </w:r>
      <w:bookmarkStart w:id="20" w:name="_Toc23848"/>
      <w:bookmarkStart w:id="21" w:name="_Toc4762"/>
      <w:r>
        <w:rPr>
          <w:rFonts w:hint="eastAsia" w:ascii="宋体" w:hAnsi="宋体" w:eastAsia="宋体" w:cs="宋体"/>
          <w:b/>
          <w:sz w:val="36"/>
          <w:szCs w:val="36"/>
          <w:highlight w:val="none"/>
        </w:rPr>
        <w:t>第六章  磋商文件格式</w:t>
      </w:r>
      <w:bookmarkEnd w:id="20"/>
      <w:bookmarkEnd w:id="21"/>
    </w:p>
    <w:p w14:paraId="10579A69">
      <w:pPr>
        <w:keepNext w:val="0"/>
        <w:pageBreakBefore w:val="0"/>
        <w:overflowPunct/>
        <w:bidi w:val="0"/>
        <w:spacing w:line="360" w:lineRule="auto"/>
        <w:outlineLvl w:val="9"/>
        <w:rPr>
          <w:rFonts w:hint="eastAsia" w:ascii="宋体" w:hAnsi="宋体" w:eastAsia="宋体" w:cs="宋体"/>
          <w:b/>
          <w:sz w:val="32"/>
          <w:szCs w:val="32"/>
          <w:highlight w:val="none"/>
        </w:rPr>
      </w:pPr>
      <w:r>
        <w:rPr>
          <w:rFonts w:hint="eastAsia" w:ascii="宋体" w:hAnsi="宋体" w:eastAsia="宋体" w:cs="宋体"/>
          <w:b/>
          <w:sz w:val="32"/>
          <w:szCs w:val="32"/>
          <w:highlight w:val="none"/>
        </w:rPr>
        <w:t>封面</w:t>
      </w:r>
    </w:p>
    <w:p w14:paraId="3AD20618">
      <w:pPr>
        <w:keepNext w:val="0"/>
        <w:pageBreakBefore w:val="0"/>
        <w:overflowPunct/>
        <w:bidi w:val="0"/>
        <w:spacing w:line="360" w:lineRule="auto"/>
        <w:jc w:val="center"/>
        <w:outlineLvl w:val="9"/>
        <w:rPr>
          <w:rFonts w:hint="eastAsia" w:ascii="宋体" w:hAnsi="宋体" w:eastAsia="宋体" w:cs="宋体"/>
          <w:b/>
          <w:sz w:val="48"/>
          <w:szCs w:val="48"/>
          <w:highlight w:val="none"/>
        </w:rPr>
      </w:pPr>
    </w:p>
    <w:p w14:paraId="0A067C98">
      <w:pPr>
        <w:pStyle w:val="15"/>
        <w:keepNext w:val="0"/>
        <w:pageBreakBefore w:val="0"/>
        <w:overflowPunct/>
        <w:bidi w:val="0"/>
        <w:spacing w:line="360" w:lineRule="auto"/>
        <w:ind w:firstLine="0" w:firstLineChars="0"/>
        <w:jc w:val="center"/>
        <w:outlineLvl w:val="9"/>
        <w:rPr>
          <w:rFonts w:hint="eastAsia" w:ascii="宋体" w:hAnsi="宋体" w:eastAsia="宋体" w:cs="宋体"/>
          <w:b/>
          <w:bCs/>
          <w:iCs/>
          <w:sz w:val="40"/>
          <w:szCs w:val="40"/>
          <w:highlight w:val="none"/>
          <w:lang w:eastAsia="zh-CN"/>
        </w:rPr>
      </w:pPr>
      <w:r>
        <w:rPr>
          <w:rFonts w:hint="eastAsia" w:ascii="宋体" w:hAnsi="宋体" w:cs="宋体"/>
          <w:b/>
          <w:bCs/>
          <w:iCs/>
          <w:sz w:val="40"/>
          <w:szCs w:val="40"/>
          <w:highlight w:val="none"/>
          <w:lang w:eastAsia="zh-CN"/>
        </w:rPr>
        <w:t>陕州区国有建设用地地籍图成果更新汇交项目</w:t>
      </w:r>
    </w:p>
    <w:p w14:paraId="439E372D">
      <w:pPr>
        <w:keepNext w:val="0"/>
        <w:pageBreakBefore w:val="0"/>
        <w:overflowPunct/>
        <w:bidi w:val="0"/>
        <w:spacing w:line="360" w:lineRule="auto"/>
        <w:outlineLvl w:val="9"/>
        <w:rPr>
          <w:rFonts w:hint="eastAsia" w:ascii="宋体" w:hAnsi="宋体" w:eastAsia="宋体" w:cs="宋体"/>
          <w:b/>
          <w:bCs/>
          <w:sz w:val="44"/>
          <w:szCs w:val="44"/>
          <w:highlight w:val="none"/>
        </w:rPr>
      </w:pPr>
    </w:p>
    <w:p w14:paraId="78A65144">
      <w:pPr>
        <w:keepNext w:val="0"/>
        <w:pageBreakBefore w:val="0"/>
        <w:overflowPunct/>
        <w:bidi w:val="0"/>
        <w:spacing w:line="360" w:lineRule="auto"/>
        <w:jc w:val="center"/>
        <w:outlineLvl w:val="9"/>
        <w:rPr>
          <w:rFonts w:hint="eastAsia" w:ascii="宋体" w:hAnsi="宋体" w:eastAsia="宋体" w:cs="宋体"/>
          <w:b/>
          <w:bCs/>
          <w:sz w:val="44"/>
          <w:szCs w:val="44"/>
          <w:highlight w:val="none"/>
        </w:rPr>
      </w:pPr>
    </w:p>
    <w:p w14:paraId="6B9936BE">
      <w:pPr>
        <w:pStyle w:val="15"/>
        <w:keepNext w:val="0"/>
        <w:pageBreakBefore w:val="0"/>
        <w:overflowPunct/>
        <w:bidi w:val="0"/>
        <w:spacing w:line="360" w:lineRule="auto"/>
        <w:ind w:firstLine="240"/>
        <w:outlineLvl w:val="9"/>
        <w:rPr>
          <w:rFonts w:hint="eastAsia" w:ascii="宋体" w:hAnsi="宋体" w:eastAsia="宋体" w:cs="宋体"/>
          <w:b/>
          <w:bCs/>
          <w:highlight w:val="none"/>
        </w:rPr>
      </w:pPr>
    </w:p>
    <w:p w14:paraId="49BDE821">
      <w:pPr>
        <w:keepNext w:val="0"/>
        <w:pageBreakBefore w:val="0"/>
        <w:overflowPunct/>
        <w:bidi w:val="0"/>
        <w:spacing w:line="360" w:lineRule="auto"/>
        <w:jc w:val="center"/>
        <w:outlineLvl w:val="9"/>
        <w:rPr>
          <w:rFonts w:hint="eastAsia" w:ascii="宋体" w:hAnsi="宋体" w:eastAsia="宋体" w:cs="宋体"/>
          <w:b/>
          <w:bCs/>
          <w:sz w:val="44"/>
          <w:szCs w:val="44"/>
          <w:highlight w:val="none"/>
        </w:rPr>
      </w:pPr>
    </w:p>
    <w:p w14:paraId="7B1D128F">
      <w:pPr>
        <w:keepNext w:val="0"/>
        <w:pageBreakBefore w:val="0"/>
        <w:overflowPunct/>
        <w:bidi w:val="0"/>
        <w:spacing w:line="360" w:lineRule="auto"/>
        <w:jc w:val="center"/>
        <w:rPr>
          <w:rFonts w:hint="eastAsia" w:ascii="宋体" w:hAnsi="宋体" w:eastAsia="宋体" w:cs="宋体"/>
          <w:b/>
          <w:bCs/>
          <w:sz w:val="36"/>
          <w:szCs w:val="36"/>
          <w:highlight w:val="none"/>
        </w:rPr>
      </w:pPr>
      <w:r>
        <w:rPr>
          <w:rFonts w:hint="eastAsia" w:ascii="宋体" w:hAnsi="宋体" w:eastAsia="宋体" w:cs="宋体"/>
          <w:b/>
          <w:bCs/>
          <w:sz w:val="84"/>
          <w:szCs w:val="84"/>
          <w:highlight w:val="none"/>
          <w:lang w:eastAsia="zh-CN"/>
        </w:rPr>
        <w:t>响</w:t>
      </w:r>
      <w:r>
        <w:rPr>
          <w:rFonts w:hint="eastAsia" w:ascii="宋体" w:hAnsi="宋体" w:eastAsia="宋体" w:cs="宋体"/>
          <w:b/>
          <w:bCs/>
          <w:sz w:val="84"/>
          <w:szCs w:val="84"/>
          <w:highlight w:val="none"/>
          <w:lang w:val="en-US" w:eastAsia="zh-CN"/>
        </w:rPr>
        <w:t xml:space="preserve"> </w:t>
      </w:r>
      <w:r>
        <w:rPr>
          <w:rFonts w:hint="eastAsia" w:ascii="宋体" w:hAnsi="宋体" w:eastAsia="宋体" w:cs="宋体"/>
          <w:b/>
          <w:bCs/>
          <w:sz w:val="84"/>
          <w:szCs w:val="84"/>
          <w:highlight w:val="none"/>
          <w:lang w:eastAsia="zh-CN"/>
        </w:rPr>
        <w:t>应</w:t>
      </w:r>
      <w:r>
        <w:rPr>
          <w:rFonts w:hint="eastAsia" w:ascii="宋体" w:hAnsi="宋体" w:eastAsia="宋体" w:cs="宋体"/>
          <w:b/>
          <w:bCs/>
          <w:sz w:val="84"/>
          <w:szCs w:val="84"/>
          <w:highlight w:val="none"/>
          <w:lang w:val="en-US" w:eastAsia="zh-CN"/>
        </w:rPr>
        <w:t xml:space="preserve"> </w:t>
      </w:r>
      <w:r>
        <w:rPr>
          <w:rFonts w:hint="eastAsia" w:ascii="宋体" w:hAnsi="宋体" w:eastAsia="宋体" w:cs="宋体"/>
          <w:b/>
          <w:bCs/>
          <w:sz w:val="84"/>
          <w:szCs w:val="84"/>
          <w:highlight w:val="none"/>
        </w:rPr>
        <w:t>文</w:t>
      </w:r>
      <w:r>
        <w:rPr>
          <w:rFonts w:hint="eastAsia" w:ascii="宋体" w:hAnsi="宋体" w:eastAsia="宋体" w:cs="宋体"/>
          <w:b/>
          <w:bCs/>
          <w:sz w:val="84"/>
          <w:szCs w:val="84"/>
          <w:highlight w:val="none"/>
          <w:lang w:val="en-US" w:eastAsia="zh-CN"/>
        </w:rPr>
        <w:t xml:space="preserve"> </w:t>
      </w:r>
      <w:r>
        <w:rPr>
          <w:rFonts w:hint="eastAsia" w:ascii="宋体" w:hAnsi="宋体" w:eastAsia="宋体" w:cs="宋体"/>
          <w:b/>
          <w:bCs/>
          <w:sz w:val="84"/>
          <w:szCs w:val="84"/>
          <w:highlight w:val="none"/>
        </w:rPr>
        <w:t>件</w:t>
      </w:r>
    </w:p>
    <w:p w14:paraId="19B5AA5B">
      <w:pPr>
        <w:keepNext w:val="0"/>
        <w:pageBreakBefore w:val="0"/>
        <w:overflowPunct/>
        <w:bidi w:val="0"/>
        <w:spacing w:line="360" w:lineRule="auto"/>
        <w:jc w:val="center"/>
        <w:outlineLvl w:val="9"/>
        <w:rPr>
          <w:rFonts w:hint="eastAsia" w:ascii="宋体" w:hAnsi="宋体" w:eastAsia="宋体" w:cs="宋体"/>
          <w:b/>
          <w:bCs/>
          <w:color w:val="000000"/>
          <w:sz w:val="28"/>
          <w:szCs w:val="28"/>
          <w:highlight w:val="none"/>
        </w:rPr>
      </w:pPr>
      <w:r>
        <w:rPr>
          <w:rFonts w:hint="eastAsia" w:ascii="宋体" w:hAnsi="宋体" w:eastAsia="宋体" w:cs="宋体"/>
          <w:b/>
          <w:bCs/>
          <w:color w:val="000000"/>
          <w:sz w:val="32"/>
          <w:szCs w:val="32"/>
          <w:highlight w:val="none"/>
        </w:rPr>
        <w:t>项目编号：</w:t>
      </w:r>
    </w:p>
    <w:p w14:paraId="3CD22827">
      <w:pPr>
        <w:keepNext w:val="0"/>
        <w:pageBreakBefore w:val="0"/>
        <w:overflowPunct/>
        <w:bidi w:val="0"/>
        <w:spacing w:line="360" w:lineRule="auto"/>
        <w:outlineLvl w:val="9"/>
        <w:rPr>
          <w:rFonts w:hint="eastAsia" w:ascii="宋体" w:hAnsi="宋体" w:eastAsia="宋体" w:cs="宋体"/>
          <w:b/>
          <w:bCs/>
          <w:color w:val="000000"/>
          <w:sz w:val="28"/>
          <w:szCs w:val="28"/>
          <w:highlight w:val="none"/>
        </w:rPr>
      </w:pPr>
    </w:p>
    <w:p w14:paraId="767C41DB">
      <w:pPr>
        <w:keepNext w:val="0"/>
        <w:pageBreakBefore w:val="0"/>
        <w:widowControl/>
        <w:overflowPunct/>
        <w:bidi w:val="0"/>
        <w:spacing w:line="360" w:lineRule="auto"/>
        <w:ind w:firstLine="1400" w:firstLineChars="500"/>
        <w:rPr>
          <w:rFonts w:hint="eastAsia" w:ascii="宋体" w:hAnsi="宋体" w:eastAsia="宋体" w:cs="宋体"/>
          <w:color w:val="000000"/>
          <w:kern w:val="0"/>
          <w:sz w:val="28"/>
          <w:szCs w:val="28"/>
          <w:highlight w:val="none"/>
        </w:rPr>
      </w:pPr>
    </w:p>
    <w:p w14:paraId="56D8CAC6">
      <w:pPr>
        <w:keepNext w:val="0"/>
        <w:pageBreakBefore w:val="0"/>
        <w:widowControl/>
        <w:overflowPunct/>
        <w:bidi w:val="0"/>
        <w:spacing w:line="360" w:lineRule="auto"/>
        <w:ind w:firstLine="1400" w:firstLineChars="500"/>
        <w:rPr>
          <w:rFonts w:hint="eastAsia" w:ascii="宋体" w:hAnsi="宋体" w:eastAsia="宋体" w:cs="宋体"/>
          <w:color w:val="000000"/>
          <w:kern w:val="0"/>
          <w:sz w:val="28"/>
          <w:szCs w:val="28"/>
          <w:highlight w:val="none"/>
        </w:rPr>
      </w:pPr>
    </w:p>
    <w:p w14:paraId="73C13A8F">
      <w:pPr>
        <w:keepNext w:val="0"/>
        <w:pageBreakBefore w:val="0"/>
        <w:widowControl/>
        <w:overflowPunct/>
        <w:bidi w:val="0"/>
        <w:spacing w:line="360" w:lineRule="auto"/>
        <w:ind w:firstLine="1400" w:firstLineChars="500"/>
        <w:rPr>
          <w:rFonts w:hint="eastAsia" w:ascii="宋体" w:hAnsi="宋体" w:eastAsia="宋体" w:cs="宋体"/>
          <w:color w:val="000000"/>
          <w:kern w:val="0"/>
          <w:sz w:val="28"/>
          <w:szCs w:val="28"/>
          <w:highlight w:val="none"/>
        </w:rPr>
      </w:pPr>
    </w:p>
    <w:p w14:paraId="72A65340">
      <w:pPr>
        <w:keepNext w:val="0"/>
        <w:pageBreakBefore w:val="0"/>
        <w:widowControl/>
        <w:overflowPunct/>
        <w:bidi w:val="0"/>
        <w:spacing w:line="360" w:lineRule="auto"/>
        <w:ind w:firstLine="1400" w:firstLineChars="500"/>
        <w:rPr>
          <w:rFonts w:hint="eastAsia" w:ascii="宋体" w:hAnsi="宋体" w:eastAsia="宋体" w:cs="宋体"/>
          <w:color w:val="000000"/>
          <w:kern w:val="0"/>
          <w:sz w:val="28"/>
          <w:szCs w:val="28"/>
          <w:highlight w:val="none"/>
        </w:rPr>
      </w:pPr>
    </w:p>
    <w:p w14:paraId="0139020F">
      <w:pPr>
        <w:pStyle w:val="8"/>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Ansi="宋体" w:eastAsia="宋体" w:cs="宋体"/>
          <w:b/>
          <w:bCs/>
          <w:sz w:val="28"/>
          <w:szCs w:val="28"/>
          <w:highlight w:val="none"/>
          <w:lang w:val="en-US"/>
        </w:rPr>
      </w:pPr>
      <w:r>
        <w:rPr>
          <w:rFonts w:hint="eastAsia" w:hAnsi="宋体" w:eastAsia="宋体" w:cs="宋体"/>
          <w:b/>
          <w:bCs/>
          <w:sz w:val="28"/>
          <w:szCs w:val="28"/>
          <w:highlight w:val="none"/>
          <w:lang w:eastAsia="zh-CN"/>
        </w:rPr>
        <w:t>供应商</w:t>
      </w:r>
      <w:r>
        <w:rPr>
          <w:rFonts w:hAnsi="宋体" w:eastAsia="宋体" w:cs="宋体"/>
          <w:b/>
          <w:bCs/>
          <w:sz w:val="28"/>
          <w:szCs w:val="28"/>
          <w:highlight w:val="none"/>
          <w:lang w:eastAsia="zh-CN"/>
        </w:rPr>
        <w:t>（盖章）：</w:t>
      </w:r>
      <w:r>
        <w:rPr>
          <w:rFonts w:hAnsi="宋体" w:eastAsia="宋体" w:cs="宋体"/>
          <w:b/>
          <w:bCs/>
          <w:sz w:val="28"/>
          <w:szCs w:val="28"/>
          <w:highlight w:val="none"/>
          <w:u w:val="single"/>
          <w:lang w:val="en-US"/>
        </w:rPr>
        <w:t xml:space="preserve">                    </w:t>
      </w:r>
      <w:r>
        <w:rPr>
          <w:rFonts w:hint="eastAsia" w:hAnsi="宋体" w:eastAsia="宋体" w:cs="宋体"/>
          <w:b/>
          <w:bCs/>
          <w:sz w:val="28"/>
          <w:szCs w:val="28"/>
          <w:highlight w:val="none"/>
          <w:u w:val="single"/>
          <w:lang w:val="en-US" w:eastAsia="zh-CN"/>
        </w:rPr>
        <w:t xml:space="preserve">           </w:t>
      </w:r>
      <w:r>
        <w:rPr>
          <w:rFonts w:hAnsi="宋体" w:eastAsia="宋体" w:cs="宋体"/>
          <w:b/>
          <w:bCs/>
          <w:sz w:val="28"/>
          <w:szCs w:val="28"/>
          <w:highlight w:val="none"/>
          <w:u w:val="single"/>
          <w:lang w:val="en-US"/>
        </w:rPr>
        <w:t xml:space="preserve">   </w:t>
      </w:r>
    </w:p>
    <w:p w14:paraId="7DF50379">
      <w:pPr>
        <w:pStyle w:val="8"/>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eastAsia" w:hAnsi="宋体" w:eastAsia="宋体" w:cs="宋体"/>
          <w:b/>
          <w:bCs/>
          <w:sz w:val="28"/>
          <w:szCs w:val="28"/>
          <w:highlight w:val="none"/>
          <w:u w:val="single"/>
          <w:lang w:val="en-US" w:eastAsia="zh-CN"/>
        </w:rPr>
      </w:pPr>
      <w:r>
        <w:rPr>
          <w:rFonts w:hAnsi="宋体" w:eastAsia="宋体" w:cs="宋体"/>
          <w:b/>
          <w:bCs/>
          <w:sz w:val="28"/>
          <w:szCs w:val="28"/>
          <w:highlight w:val="none"/>
          <w:lang w:eastAsia="zh-CN"/>
        </w:rPr>
        <w:t>法定代表人</w:t>
      </w:r>
      <w:r>
        <w:rPr>
          <w:rFonts w:hint="eastAsia" w:hAnsi="宋体" w:eastAsia="宋体" w:cs="宋体"/>
          <w:b/>
          <w:bCs/>
          <w:sz w:val="28"/>
          <w:szCs w:val="28"/>
          <w:highlight w:val="none"/>
          <w:lang w:eastAsia="zh-CN"/>
        </w:rPr>
        <w:t>或委托代理人</w:t>
      </w:r>
      <w:r>
        <w:rPr>
          <w:rFonts w:hAnsi="宋体" w:eastAsia="宋体" w:cs="宋体"/>
          <w:b/>
          <w:bCs/>
          <w:sz w:val="28"/>
          <w:szCs w:val="28"/>
          <w:highlight w:val="none"/>
          <w:lang w:eastAsia="zh-CN"/>
        </w:rPr>
        <w:t>（签字或盖章）：</w:t>
      </w:r>
      <w:r>
        <w:rPr>
          <w:rFonts w:hAnsi="宋体" w:eastAsia="宋体" w:cs="宋体"/>
          <w:b/>
          <w:bCs/>
          <w:sz w:val="28"/>
          <w:szCs w:val="28"/>
          <w:highlight w:val="none"/>
          <w:u w:val="single"/>
          <w:lang w:val="en-US"/>
        </w:rPr>
        <w:t xml:space="preserve">           </w:t>
      </w:r>
      <w:r>
        <w:rPr>
          <w:rFonts w:hint="eastAsia" w:hAnsi="宋体" w:eastAsia="宋体" w:cs="宋体"/>
          <w:b/>
          <w:bCs/>
          <w:sz w:val="28"/>
          <w:szCs w:val="28"/>
          <w:highlight w:val="none"/>
          <w:u w:val="single"/>
          <w:lang w:val="en-US" w:eastAsia="zh-CN"/>
        </w:rPr>
        <w:t xml:space="preserve"> </w:t>
      </w:r>
    </w:p>
    <w:p w14:paraId="0A0F85BA">
      <w:pPr>
        <w:pStyle w:val="8"/>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highlight w:val="none"/>
          <w:lang w:val="en-US"/>
        </w:rPr>
      </w:pPr>
      <w:r>
        <w:rPr>
          <w:rFonts w:hint="eastAsia" w:ascii="宋体" w:hAnsi="宋体" w:eastAsia="宋体" w:cs="宋体"/>
          <w:b/>
          <w:bCs/>
          <w:sz w:val="28"/>
          <w:szCs w:val="28"/>
          <w:highlight w:val="none"/>
          <w:lang w:eastAsia="zh-CN"/>
        </w:rPr>
        <w:t>日</w:t>
      </w:r>
      <w:r>
        <w:rPr>
          <w:rFonts w:hint="eastAsia" w:ascii="宋体" w:hAnsi="宋体" w:eastAsia="宋体" w:cs="宋体"/>
          <w:b/>
          <w:bCs/>
          <w:sz w:val="28"/>
          <w:szCs w:val="28"/>
          <w:highlight w:val="none"/>
          <w:lang w:val="en-US"/>
        </w:rPr>
        <w:t xml:space="preserve">  </w:t>
      </w:r>
      <w:r>
        <w:rPr>
          <w:rFonts w:hint="eastAsia" w:ascii="宋体" w:hAnsi="宋体" w:eastAsia="宋体" w:cs="宋体"/>
          <w:b/>
          <w:bCs/>
          <w:sz w:val="28"/>
          <w:szCs w:val="28"/>
          <w:highlight w:val="none"/>
          <w:lang w:eastAsia="zh-CN"/>
        </w:rPr>
        <w:t>期：</w:t>
      </w:r>
      <w:r>
        <w:rPr>
          <w:rFonts w:hint="eastAsia" w:ascii="宋体" w:hAnsi="宋体" w:eastAsia="宋体" w:cs="宋体"/>
          <w:sz w:val="28"/>
          <w:szCs w:val="28"/>
          <w:highlight w:val="none"/>
          <w:u w:val="single"/>
          <w:lang w:val="en-US"/>
        </w:rPr>
        <w:t xml:space="preserve">    </w:t>
      </w:r>
      <w:r>
        <w:rPr>
          <w:rFonts w:hint="eastAsia" w:ascii="宋体" w:hAnsi="宋体" w:eastAsia="宋体" w:cs="宋体"/>
          <w:sz w:val="28"/>
          <w:szCs w:val="28"/>
          <w:highlight w:val="none"/>
          <w:lang w:eastAsia="zh-CN"/>
        </w:rPr>
        <w:t>年</w:t>
      </w:r>
      <w:r>
        <w:rPr>
          <w:rFonts w:hint="eastAsia" w:ascii="宋体" w:hAnsi="宋体" w:eastAsia="宋体" w:cs="宋体"/>
          <w:sz w:val="28"/>
          <w:szCs w:val="28"/>
          <w:highlight w:val="none"/>
          <w:u w:val="single"/>
          <w:lang w:val="en-US"/>
        </w:rPr>
        <w:t xml:space="preserve">   </w:t>
      </w:r>
      <w:r>
        <w:rPr>
          <w:rFonts w:hint="eastAsia"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eastAsia="zh-CN"/>
        </w:rPr>
        <w:t>月</w:t>
      </w:r>
      <w:r>
        <w:rPr>
          <w:rFonts w:hint="eastAsia" w:ascii="宋体" w:hAnsi="宋体" w:eastAsia="宋体" w:cs="宋体"/>
          <w:sz w:val="28"/>
          <w:szCs w:val="28"/>
          <w:highlight w:val="none"/>
          <w:u w:val="single"/>
          <w:lang w:val="en-US"/>
        </w:rPr>
        <w:t xml:space="preserve">    </w:t>
      </w:r>
      <w:r>
        <w:rPr>
          <w:rFonts w:hint="eastAsia" w:ascii="宋体" w:hAnsi="宋体" w:eastAsia="宋体" w:cs="宋体"/>
          <w:sz w:val="28"/>
          <w:szCs w:val="28"/>
          <w:highlight w:val="none"/>
          <w:lang w:eastAsia="zh-CN"/>
        </w:rPr>
        <w:t>日</w:t>
      </w:r>
    </w:p>
    <w:p w14:paraId="50AC2E58">
      <w:pPr>
        <w:keepNext w:val="0"/>
        <w:pageBreakBefore w:val="0"/>
        <w:overflowPunct/>
        <w:bidi w:val="0"/>
        <w:spacing w:line="360" w:lineRule="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br w:type="page"/>
      </w:r>
      <w:bookmarkStart w:id="22" w:name="_Toc26702"/>
    </w:p>
    <w:p w14:paraId="3679B669">
      <w:pPr>
        <w:keepNext w:val="0"/>
        <w:pageBreakBefore w:val="0"/>
        <w:overflowPunct/>
        <w:bidi w:val="0"/>
        <w:spacing w:line="360" w:lineRule="auto"/>
        <w:jc w:val="center"/>
        <w:rPr>
          <w:rFonts w:hint="eastAsia" w:ascii="宋体" w:hAnsi="宋体" w:eastAsia="宋体" w:cs="宋体"/>
          <w:b/>
          <w:bCs/>
          <w:kern w:val="0"/>
          <w:sz w:val="32"/>
          <w:szCs w:val="32"/>
          <w:highlight w:val="none"/>
          <w:lang w:val="en-US" w:eastAsia="zh-CN"/>
        </w:rPr>
      </w:pPr>
      <w:r>
        <w:rPr>
          <w:rFonts w:hint="eastAsia" w:ascii="宋体" w:hAnsi="宋体" w:cs="宋体"/>
          <w:b/>
          <w:bCs/>
          <w:kern w:val="0"/>
          <w:sz w:val="32"/>
          <w:szCs w:val="32"/>
          <w:highlight w:val="none"/>
          <w:lang w:val="en-US" w:eastAsia="zh-CN"/>
        </w:rPr>
        <w:t>目  录</w:t>
      </w:r>
    </w:p>
    <w:p w14:paraId="04F245D6">
      <w:pPr>
        <w:keepNext w:val="0"/>
        <w:pageBreakBefore w:val="0"/>
        <w:overflowPunct/>
        <w:bidi w:val="0"/>
        <w:spacing w:line="360" w:lineRule="auto"/>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格式自拟</w:t>
      </w:r>
      <w:r>
        <w:rPr>
          <w:rFonts w:hint="eastAsia" w:ascii="宋体" w:hAnsi="宋体" w:cs="宋体"/>
          <w:kern w:val="0"/>
          <w:sz w:val="24"/>
          <w:szCs w:val="24"/>
          <w:highlight w:val="none"/>
          <w:lang w:eastAsia="zh-CN"/>
        </w:rPr>
        <w:t>）</w:t>
      </w:r>
    </w:p>
    <w:p w14:paraId="5446DCD1">
      <w:pPr>
        <w:keepNext w:val="0"/>
        <w:pageBreakBefore w:val="0"/>
        <w:overflowPunct/>
        <w:bidi w:val="0"/>
        <w:spacing w:line="360" w:lineRule="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br w:type="page"/>
      </w:r>
    </w:p>
    <w:p w14:paraId="2DFADC4C">
      <w:pPr>
        <w:keepNext w:val="0"/>
        <w:pageBreakBefore w:val="0"/>
        <w:widowControl/>
        <w:overflowPunct/>
        <w:bidi w:val="0"/>
        <w:spacing w:line="360" w:lineRule="auto"/>
        <w:ind w:firstLine="482"/>
        <w:jc w:val="center"/>
        <w:outlineLvl w:val="1"/>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一、法定代表人身份证明</w:t>
      </w:r>
      <w:bookmarkEnd w:id="22"/>
    </w:p>
    <w:p w14:paraId="66731F3C">
      <w:pPr>
        <w:keepNext w:val="0"/>
        <w:keepLines w:val="0"/>
        <w:pageBreakBefore w:val="0"/>
        <w:widowControl w:val="0"/>
        <w:suppressLineNumbers w:val="0"/>
        <w:kinsoku/>
        <w:wordWrap/>
        <w:overflowPunct/>
        <w:bidi w:val="0"/>
        <w:spacing w:before="0" w:beforeAutospacing="0" w:after="0" w:afterAutospacing="0" w:line="360" w:lineRule="auto"/>
        <w:ind w:left="0" w:right="0" w:firstLine="612"/>
        <w:jc w:val="both"/>
        <w:rPr>
          <w:rFonts w:hint="default"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单位名称：</w:t>
      </w:r>
      <w:r>
        <w:rPr>
          <w:rFonts w:hint="eastAsia" w:ascii="宋体" w:hAnsi="宋体" w:eastAsia="宋体" w:cs="宋体"/>
          <w:kern w:val="2"/>
          <w:sz w:val="24"/>
          <w:szCs w:val="24"/>
          <w:highlight w:val="none"/>
          <w:u w:val="single"/>
          <w:lang w:val="en-US" w:eastAsia="zh-CN" w:bidi="ar"/>
        </w:rPr>
        <w:t xml:space="preserve">                                  </w:t>
      </w:r>
    </w:p>
    <w:p w14:paraId="2BC37245">
      <w:pPr>
        <w:keepNext w:val="0"/>
        <w:keepLines w:val="0"/>
        <w:pageBreakBefore w:val="0"/>
        <w:widowControl w:val="0"/>
        <w:suppressLineNumbers w:val="0"/>
        <w:kinsoku/>
        <w:wordWrap/>
        <w:overflowPunct/>
        <w:bidi w:val="0"/>
        <w:spacing w:before="0" w:beforeAutospacing="0" w:after="0" w:afterAutospacing="0" w:line="360" w:lineRule="auto"/>
        <w:ind w:left="0" w:right="0" w:firstLine="610"/>
        <w:jc w:val="both"/>
        <w:rPr>
          <w:rFonts w:hint="eastAsia" w:ascii="宋体" w:hAnsi="宋体" w:eastAsia="宋体" w:cs="宋体"/>
          <w:kern w:val="2"/>
          <w:sz w:val="24"/>
          <w:szCs w:val="24"/>
          <w:highlight w:val="none"/>
          <w:u w:val="single"/>
          <w:lang w:val="en-US" w:eastAsia="zh-CN" w:bidi="ar"/>
        </w:rPr>
      </w:pPr>
      <w:r>
        <w:rPr>
          <w:rFonts w:hint="eastAsia" w:ascii="宋体" w:hAnsi="宋体" w:eastAsia="宋体" w:cs="宋体"/>
          <w:kern w:val="2"/>
          <w:sz w:val="24"/>
          <w:szCs w:val="24"/>
          <w:highlight w:val="none"/>
          <w:lang w:val="en-US" w:eastAsia="zh-CN" w:bidi="ar"/>
        </w:rPr>
        <w:t>单位性质：</w:t>
      </w:r>
      <w:r>
        <w:rPr>
          <w:rFonts w:hint="eastAsia" w:ascii="宋体" w:hAnsi="宋体" w:eastAsia="宋体" w:cs="宋体"/>
          <w:kern w:val="2"/>
          <w:sz w:val="24"/>
          <w:szCs w:val="24"/>
          <w:highlight w:val="none"/>
          <w:u w:val="single"/>
          <w:lang w:val="en-US" w:eastAsia="zh-CN" w:bidi="ar"/>
        </w:rPr>
        <w:t xml:space="preserve">                                  </w:t>
      </w:r>
    </w:p>
    <w:p w14:paraId="50737ACA">
      <w:pPr>
        <w:keepNext w:val="0"/>
        <w:keepLines w:val="0"/>
        <w:pageBreakBefore w:val="0"/>
        <w:widowControl w:val="0"/>
        <w:suppressLineNumbers w:val="0"/>
        <w:kinsoku/>
        <w:wordWrap/>
        <w:overflowPunct/>
        <w:bidi w:val="0"/>
        <w:spacing w:before="0" w:beforeAutospacing="0" w:after="0" w:afterAutospacing="0" w:line="360" w:lineRule="auto"/>
        <w:ind w:left="0" w:right="0" w:firstLine="610"/>
        <w:jc w:val="both"/>
        <w:rPr>
          <w:rFonts w:hint="eastAsia" w:ascii="宋体" w:hAnsi="宋体" w:eastAsia="宋体" w:cs="宋体"/>
          <w:sz w:val="24"/>
          <w:szCs w:val="24"/>
          <w:highlight w:val="none"/>
          <w:u w:val="single"/>
          <w:lang w:val="en-US"/>
        </w:rPr>
      </w:pPr>
      <w:r>
        <w:rPr>
          <w:rFonts w:hint="eastAsia" w:ascii="宋体" w:hAnsi="宋体" w:eastAsia="宋体" w:cs="宋体"/>
          <w:kern w:val="2"/>
          <w:sz w:val="24"/>
          <w:szCs w:val="24"/>
          <w:highlight w:val="none"/>
          <w:lang w:val="en-US" w:eastAsia="zh-CN" w:bidi="ar"/>
        </w:rPr>
        <w:t>地    址：</w:t>
      </w:r>
      <w:r>
        <w:rPr>
          <w:rFonts w:hint="eastAsia" w:ascii="宋体" w:hAnsi="宋体" w:eastAsia="宋体" w:cs="宋体"/>
          <w:kern w:val="2"/>
          <w:sz w:val="24"/>
          <w:szCs w:val="24"/>
          <w:highlight w:val="none"/>
          <w:u w:val="single"/>
          <w:lang w:val="en-US" w:eastAsia="zh-CN" w:bidi="ar"/>
        </w:rPr>
        <w:t xml:space="preserve">                                  </w:t>
      </w:r>
    </w:p>
    <w:p w14:paraId="5C4AD7D3">
      <w:pPr>
        <w:keepNext w:val="0"/>
        <w:keepLines w:val="0"/>
        <w:pageBreakBefore w:val="0"/>
        <w:widowControl w:val="0"/>
        <w:suppressLineNumbers w:val="0"/>
        <w:kinsoku/>
        <w:wordWrap/>
        <w:overflowPunct/>
        <w:bidi w:val="0"/>
        <w:spacing w:before="0" w:beforeAutospacing="0" w:after="0" w:afterAutospacing="0" w:line="360" w:lineRule="auto"/>
        <w:ind w:left="0" w:right="0" w:firstLine="61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成立时间：</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年</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月</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日</w:t>
      </w:r>
    </w:p>
    <w:p w14:paraId="7CED7B5E">
      <w:pPr>
        <w:keepNext w:val="0"/>
        <w:keepLines w:val="0"/>
        <w:pageBreakBefore w:val="0"/>
        <w:widowControl w:val="0"/>
        <w:suppressLineNumbers w:val="0"/>
        <w:kinsoku/>
        <w:wordWrap/>
        <w:overflowPunct/>
        <w:bidi w:val="0"/>
        <w:spacing w:before="0" w:beforeAutospacing="0" w:after="0" w:afterAutospacing="0" w:line="360" w:lineRule="auto"/>
        <w:ind w:left="0" w:right="0" w:firstLine="610"/>
        <w:jc w:val="both"/>
        <w:rPr>
          <w:rFonts w:hint="default" w:ascii="宋体" w:hAnsi="宋体" w:eastAsia="宋体" w:cs="宋体"/>
          <w:sz w:val="24"/>
          <w:szCs w:val="24"/>
          <w:highlight w:val="none"/>
          <w:u w:val="single"/>
          <w:lang w:val="en-US"/>
        </w:rPr>
      </w:pPr>
      <w:r>
        <w:rPr>
          <w:rFonts w:hint="eastAsia" w:ascii="宋体" w:hAnsi="宋体" w:eastAsia="宋体" w:cs="宋体"/>
          <w:kern w:val="2"/>
          <w:sz w:val="24"/>
          <w:szCs w:val="24"/>
          <w:highlight w:val="none"/>
          <w:lang w:val="en-US" w:eastAsia="zh-CN" w:bidi="ar"/>
        </w:rPr>
        <w:t>经营期限：</w:t>
      </w:r>
      <w:r>
        <w:rPr>
          <w:rFonts w:hint="eastAsia" w:ascii="宋体" w:hAnsi="宋体" w:eastAsia="宋体" w:cs="宋体"/>
          <w:kern w:val="2"/>
          <w:sz w:val="24"/>
          <w:szCs w:val="24"/>
          <w:highlight w:val="none"/>
          <w:u w:val="single"/>
          <w:lang w:val="en-US" w:eastAsia="zh-CN" w:bidi="ar"/>
        </w:rPr>
        <w:t xml:space="preserve">                                  </w:t>
      </w:r>
    </w:p>
    <w:p w14:paraId="7704010F">
      <w:pPr>
        <w:keepNext w:val="0"/>
        <w:keepLines w:val="0"/>
        <w:pageBreakBefore w:val="0"/>
        <w:widowControl w:val="0"/>
        <w:suppressLineNumbers w:val="0"/>
        <w:kinsoku/>
        <w:wordWrap/>
        <w:overflowPunct/>
        <w:bidi w:val="0"/>
        <w:spacing w:before="0" w:beforeAutospacing="0" w:after="0" w:afterAutospacing="0" w:line="360" w:lineRule="auto"/>
        <w:ind w:left="0" w:right="0" w:firstLine="610"/>
        <w:jc w:val="both"/>
        <w:rPr>
          <w:rFonts w:hint="eastAsia" w:ascii="宋体" w:hAnsi="宋体" w:eastAsia="宋体" w:cs="宋体"/>
          <w:kern w:val="2"/>
          <w:sz w:val="24"/>
          <w:szCs w:val="24"/>
          <w:highlight w:val="none"/>
          <w:u w:val="single"/>
          <w:lang w:val="en-US" w:eastAsia="zh-CN" w:bidi="ar"/>
        </w:rPr>
      </w:pPr>
      <w:r>
        <w:rPr>
          <w:rFonts w:hint="eastAsia" w:ascii="宋体" w:hAnsi="宋体" w:eastAsia="宋体" w:cs="宋体"/>
          <w:kern w:val="2"/>
          <w:sz w:val="24"/>
          <w:szCs w:val="24"/>
          <w:highlight w:val="none"/>
          <w:lang w:val="en-US" w:eastAsia="zh-CN" w:bidi="ar"/>
        </w:rPr>
        <w:t>姓    名：</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 xml:space="preserve"> 性    别：</w:t>
      </w:r>
      <w:r>
        <w:rPr>
          <w:rFonts w:hint="eastAsia" w:ascii="宋体" w:hAnsi="宋体" w:eastAsia="宋体" w:cs="宋体"/>
          <w:kern w:val="2"/>
          <w:sz w:val="24"/>
          <w:szCs w:val="24"/>
          <w:highlight w:val="none"/>
          <w:u w:val="single"/>
          <w:lang w:val="en-US" w:eastAsia="zh-CN" w:bidi="ar"/>
        </w:rPr>
        <w:t xml:space="preserve">           </w:t>
      </w:r>
    </w:p>
    <w:p w14:paraId="0877384E">
      <w:pPr>
        <w:keepNext w:val="0"/>
        <w:keepLines w:val="0"/>
        <w:pageBreakBefore w:val="0"/>
        <w:widowControl w:val="0"/>
        <w:suppressLineNumbers w:val="0"/>
        <w:kinsoku/>
        <w:wordWrap/>
        <w:overflowPunct/>
        <w:bidi w:val="0"/>
        <w:spacing w:before="0" w:beforeAutospacing="0" w:after="0" w:afterAutospacing="0" w:line="360" w:lineRule="auto"/>
        <w:ind w:left="0" w:right="0" w:firstLine="610"/>
        <w:jc w:val="both"/>
        <w:rPr>
          <w:rFonts w:hint="eastAsia" w:ascii="宋体" w:hAnsi="宋体" w:eastAsia="宋体" w:cs="宋体"/>
          <w:sz w:val="24"/>
          <w:szCs w:val="24"/>
          <w:highlight w:val="none"/>
          <w:u w:val="single"/>
          <w:lang w:val="en-US"/>
        </w:rPr>
      </w:pPr>
      <w:r>
        <w:rPr>
          <w:rFonts w:hint="eastAsia" w:ascii="宋体" w:hAnsi="宋体" w:eastAsia="宋体" w:cs="宋体"/>
          <w:kern w:val="2"/>
          <w:sz w:val="24"/>
          <w:szCs w:val="24"/>
          <w:highlight w:val="none"/>
          <w:lang w:val="en-US" w:eastAsia="zh-CN" w:bidi="ar"/>
        </w:rPr>
        <w:t>年    龄：</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 xml:space="preserve"> 职    务：</w:t>
      </w:r>
      <w:r>
        <w:rPr>
          <w:rFonts w:hint="eastAsia" w:ascii="宋体" w:hAnsi="宋体" w:eastAsia="宋体" w:cs="宋体"/>
          <w:kern w:val="2"/>
          <w:sz w:val="24"/>
          <w:szCs w:val="24"/>
          <w:highlight w:val="none"/>
          <w:u w:val="single"/>
          <w:lang w:val="en-US" w:eastAsia="zh-CN" w:bidi="ar"/>
        </w:rPr>
        <w:t xml:space="preserve">           </w:t>
      </w:r>
    </w:p>
    <w:p w14:paraId="4304ED4E">
      <w:pPr>
        <w:keepNext w:val="0"/>
        <w:keepLines w:val="0"/>
        <w:pageBreakBefore w:val="0"/>
        <w:widowControl w:val="0"/>
        <w:suppressLineNumbers w:val="0"/>
        <w:kinsoku/>
        <w:wordWrap/>
        <w:overflowPunct/>
        <w:bidi w:val="0"/>
        <w:spacing w:before="0" w:beforeAutospacing="0" w:after="0" w:afterAutospacing="0" w:line="360" w:lineRule="auto"/>
        <w:ind w:left="0" w:right="0" w:firstLine="61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系</w:t>
      </w:r>
      <w:r>
        <w:rPr>
          <w:rFonts w:hint="eastAsia" w:ascii="宋体" w:hAnsi="宋体" w:eastAsia="宋体" w:cs="宋体"/>
          <w:kern w:val="2"/>
          <w:sz w:val="24"/>
          <w:szCs w:val="24"/>
          <w:highlight w:val="none"/>
          <w:u w:val="single"/>
          <w:lang w:val="en-US" w:eastAsia="zh-CN" w:bidi="ar"/>
        </w:rPr>
        <w:t xml:space="preserve">              （供应商名称）</w:t>
      </w:r>
      <w:r>
        <w:rPr>
          <w:rFonts w:hint="eastAsia" w:ascii="宋体" w:hAnsi="宋体" w:eastAsia="宋体" w:cs="宋体"/>
          <w:kern w:val="2"/>
          <w:sz w:val="24"/>
          <w:szCs w:val="24"/>
          <w:highlight w:val="none"/>
          <w:lang w:val="en-US" w:eastAsia="zh-CN" w:bidi="ar"/>
        </w:rPr>
        <w:t>的法定代表人。</w:t>
      </w:r>
    </w:p>
    <w:p w14:paraId="1187BEB6">
      <w:pPr>
        <w:keepNext w:val="0"/>
        <w:keepLines w:val="0"/>
        <w:pageBreakBefore w:val="0"/>
        <w:widowControl w:val="0"/>
        <w:suppressLineNumbers w:val="0"/>
        <w:kinsoku/>
        <w:wordWrap/>
        <w:overflowPunct/>
        <w:bidi w:val="0"/>
        <w:spacing w:before="0" w:beforeAutospacing="0" w:after="0" w:afterAutospacing="0" w:line="360" w:lineRule="auto"/>
        <w:ind w:left="0" w:right="0" w:firstLine="61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特此证明</w:t>
      </w:r>
    </w:p>
    <w:p w14:paraId="3DE6A81C">
      <w:pPr>
        <w:keepNext w:val="0"/>
        <w:keepLines w:val="0"/>
        <w:pageBreakBefore w:val="0"/>
        <w:widowControl w:val="0"/>
        <w:suppressLineNumbers w:val="0"/>
        <w:tabs>
          <w:tab w:val="left" w:pos="720"/>
          <w:tab w:val="left" w:pos="900"/>
        </w:tabs>
        <w:kinsoku/>
        <w:wordWrap/>
        <w:overflowPunct/>
        <w:bidi w:val="0"/>
        <w:spacing w:before="0" w:beforeAutospacing="0" w:after="0" w:afterAutospacing="0" w:line="360" w:lineRule="auto"/>
        <w:ind w:left="0" w:right="0" w:firstLine="5040" w:firstLineChars="2100"/>
        <w:jc w:val="both"/>
        <w:rPr>
          <w:rFonts w:hint="eastAsia" w:ascii="宋体" w:hAnsi="宋体" w:eastAsia="宋体" w:cs="宋体"/>
          <w:kern w:val="2"/>
          <w:sz w:val="24"/>
          <w:szCs w:val="22"/>
          <w:highlight w:val="none"/>
          <w:lang w:val="en-US" w:eastAsia="zh-CN" w:bidi="ar"/>
        </w:rPr>
      </w:pPr>
    </w:p>
    <w:p w14:paraId="7BD2B39A">
      <w:pPr>
        <w:keepNext w:val="0"/>
        <w:keepLines w:val="0"/>
        <w:pageBreakBefore w:val="0"/>
        <w:widowControl w:val="0"/>
        <w:suppressLineNumbers w:val="0"/>
        <w:kinsoku/>
        <w:wordWrap/>
        <w:overflowPunct/>
        <w:bidi w:val="0"/>
        <w:spacing w:before="0" w:beforeAutospacing="0" w:after="0" w:afterAutospacing="0" w:line="360" w:lineRule="auto"/>
        <w:ind w:left="0" w:right="0" w:firstLine="4140" w:firstLineChars="1725"/>
        <w:jc w:val="both"/>
        <w:rPr>
          <w:sz w:val="24"/>
          <w:szCs w:val="24"/>
          <w:highlight w:val="none"/>
          <w:lang w:val="en-US"/>
        </w:rPr>
      </w:pPr>
      <w:r>
        <w:rPr>
          <w:rFonts w:hint="eastAsia" w:ascii="Times New Roman" w:hAnsi="Times New Roman" w:eastAsia="宋体" w:cs="宋体"/>
          <w:kern w:val="2"/>
          <w:sz w:val="24"/>
          <w:szCs w:val="24"/>
          <w:highlight w:val="none"/>
          <w:lang w:val="en-US" w:eastAsia="zh-CN" w:bidi="ar"/>
        </w:rPr>
        <w:t>供应商：</w:t>
      </w:r>
      <w:r>
        <w:rPr>
          <w:rFonts w:hint="default" w:ascii="Times New Roman" w:hAnsi="Times New Roman" w:eastAsia="宋体" w:cs="Times New Roman"/>
          <w:kern w:val="2"/>
          <w:sz w:val="24"/>
          <w:szCs w:val="24"/>
          <w:highlight w:val="none"/>
          <w:u w:val="single"/>
          <w:lang w:val="en-US" w:eastAsia="zh-CN" w:bidi="ar"/>
        </w:rPr>
        <w:t xml:space="preserve">                </w:t>
      </w:r>
      <w:r>
        <w:rPr>
          <w:rFonts w:hint="eastAsia" w:ascii="Times New Roman" w:hAnsi="Times New Roman" w:eastAsia="宋体" w:cs="Times New Roman"/>
          <w:kern w:val="2"/>
          <w:sz w:val="24"/>
          <w:szCs w:val="24"/>
          <w:highlight w:val="none"/>
          <w:u w:val="single"/>
          <w:lang w:val="en-US" w:eastAsia="zh-CN" w:bidi="ar"/>
        </w:rPr>
        <w:t xml:space="preserve">   </w:t>
      </w:r>
      <w:r>
        <w:rPr>
          <w:rFonts w:hint="default" w:ascii="Times New Roman" w:hAnsi="Times New Roman" w:eastAsia="宋体" w:cs="Times New Roman"/>
          <w:kern w:val="2"/>
          <w:sz w:val="24"/>
          <w:szCs w:val="24"/>
          <w:highlight w:val="none"/>
          <w:u w:val="single"/>
          <w:lang w:val="en-US" w:eastAsia="zh-CN" w:bidi="ar"/>
        </w:rPr>
        <w:t xml:space="preserve"> </w:t>
      </w:r>
      <w:r>
        <w:rPr>
          <w:rFonts w:hint="eastAsia" w:ascii="Times New Roman" w:hAnsi="Times New Roman" w:eastAsia="宋体" w:cs="宋体"/>
          <w:kern w:val="2"/>
          <w:sz w:val="24"/>
          <w:szCs w:val="24"/>
          <w:highlight w:val="none"/>
          <w:lang w:val="en-US" w:eastAsia="zh-CN" w:bidi="ar"/>
        </w:rPr>
        <w:t>（盖章）</w:t>
      </w:r>
    </w:p>
    <w:p w14:paraId="546A31BD">
      <w:pPr>
        <w:keepNext w:val="0"/>
        <w:keepLines w:val="0"/>
        <w:pageBreakBefore w:val="0"/>
        <w:widowControl w:val="0"/>
        <w:suppressLineNumbers w:val="0"/>
        <w:kinsoku/>
        <w:wordWrap/>
        <w:overflowPunct/>
        <w:bidi w:val="0"/>
        <w:spacing w:before="0" w:beforeAutospacing="0" w:after="0" w:afterAutospacing="0" w:line="360" w:lineRule="auto"/>
        <w:ind w:left="0" w:right="0"/>
        <w:jc w:val="right"/>
        <w:rPr>
          <w:sz w:val="24"/>
          <w:szCs w:val="24"/>
          <w:highlight w:val="none"/>
          <w:lang w:val="en-US"/>
        </w:rPr>
      </w:pPr>
      <w:r>
        <w:rPr>
          <w:rFonts w:hint="default" w:ascii="Times New Roman" w:hAnsi="Times New Roman" w:eastAsia="宋体" w:cs="Times New Roman"/>
          <w:kern w:val="2"/>
          <w:sz w:val="24"/>
          <w:szCs w:val="24"/>
          <w:highlight w:val="none"/>
          <w:u w:val="single"/>
          <w:lang w:val="en-US" w:eastAsia="zh-CN" w:bidi="ar"/>
        </w:rPr>
        <w:t xml:space="preserve">    </w:t>
      </w:r>
      <w:r>
        <w:rPr>
          <w:rFonts w:hint="eastAsia" w:ascii="Times New Roman" w:hAnsi="Times New Roman" w:eastAsia="宋体" w:cs="宋体"/>
          <w:kern w:val="2"/>
          <w:sz w:val="24"/>
          <w:szCs w:val="24"/>
          <w:highlight w:val="none"/>
          <w:lang w:val="en-US" w:eastAsia="zh-CN" w:bidi="ar"/>
        </w:rPr>
        <w:t>年</w:t>
      </w:r>
      <w:r>
        <w:rPr>
          <w:rFonts w:hint="default" w:ascii="Times New Roman" w:hAnsi="Times New Roman" w:eastAsia="宋体" w:cs="Times New Roman"/>
          <w:kern w:val="2"/>
          <w:sz w:val="24"/>
          <w:szCs w:val="24"/>
          <w:highlight w:val="none"/>
          <w:u w:val="single"/>
          <w:lang w:val="en-US" w:eastAsia="zh-CN" w:bidi="ar"/>
        </w:rPr>
        <w:t xml:space="preserve">    </w:t>
      </w:r>
      <w:r>
        <w:rPr>
          <w:rFonts w:hint="eastAsia" w:ascii="Times New Roman" w:hAnsi="Times New Roman" w:eastAsia="宋体" w:cs="宋体"/>
          <w:kern w:val="2"/>
          <w:sz w:val="24"/>
          <w:szCs w:val="24"/>
          <w:highlight w:val="none"/>
          <w:lang w:val="en-US" w:eastAsia="zh-CN" w:bidi="ar"/>
        </w:rPr>
        <w:t>月</w:t>
      </w:r>
      <w:r>
        <w:rPr>
          <w:rFonts w:hint="default" w:ascii="Times New Roman" w:hAnsi="Times New Roman" w:eastAsia="宋体" w:cs="Times New Roman"/>
          <w:kern w:val="2"/>
          <w:sz w:val="24"/>
          <w:szCs w:val="24"/>
          <w:highlight w:val="none"/>
          <w:u w:val="single"/>
          <w:lang w:val="en-US" w:eastAsia="zh-CN" w:bidi="ar"/>
        </w:rPr>
        <w:t xml:space="preserve">    </w:t>
      </w:r>
      <w:r>
        <w:rPr>
          <w:rFonts w:hint="eastAsia" w:ascii="Times New Roman" w:hAnsi="Times New Roman" w:eastAsia="宋体" w:cs="宋体"/>
          <w:kern w:val="2"/>
          <w:sz w:val="24"/>
          <w:szCs w:val="24"/>
          <w:highlight w:val="none"/>
          <w:lang w:val="en-US" w:eastAsia="zh-CN" w:bidi="ar"/>
        </w:rPr>
        <w:t>日</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8"/>
      </w:tblGrid>
      <w:tr w14:paraId="266AB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jc w:val="center"/>
        </w:trPr>
        <w:tc>
          <w:tcPr>
            <w:tcW w:w="8488" w:type="dxa"/>
            <w:tcBorders>
              <w:top w:val="single" w:color="auto" w:sz="4" w:space="0"/>
              <w:left w:val="single" w:color="auto" w:sz="4" w:space="0"/>
              <w:bottom w:val="single" w:color="auto" w:sz="4" w:space="0"/>
              <w:right w:val="single" w:color="auto" w:sz="4" w:space="0"/>
            </w:tcBorders>
            <w:noWrap w:val="0"/>
            <w:vAlign w:val="center"/>
          </w:tcPr>
          <w:p w14:paraId="6580D74F">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法定代表人身份证扫描件</w:t>
            </w:r>
          </w:p>
          <w:p w14:paraId="2A59B7FA">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（证件扫描件正、反面）</w:t>
            </w:r>
          </w:p>
        </w:tc>
      </w:tr>
    </w:tbl>
    <w:p w14:paraId="15FF5273">
      <w:pPr>
        <w:keepNext w:val="0"/>
        <w:pageBreakBefore w:val="0"/>
        <w:widowControl/>
        <w:overflowPunct/>
        <w:bidi w:val="0"/>
        <w:spacing w:line="360" w:lineRule="auto"/>
        <w:jc w:val="center"/>
        <w:outlineLvl w:val="1"/>
        <w:rPr>
          <w:rFonts w:hint="eastAsia" w:ascii="宋体" w:hAnsi="宋体" w:eastAsia="宋体" w:cs="宋体"/>
          <w:b/>
          <w:kern w:val="0"/>
          <w:sz w:val="28"/>
          <w:szCs w:val="28"/>
          <w:highlight w:val="none"/>
        </w:rPr>
      </w:pPr>
      <w:r>
        <w:rPr>
          <w:rFonts w:hint="eastAsia" w:ascii="宋体" w:hAnsi="宋体" w:eastAsia="宋体" w:cs="宋体"/>
          <w:kern w:val="0"/>
          <w:sz w:val="28"/>
          <w:szCs w:val="28"/>
          <w:highlight w:val="none"/>
        </w:rPr>
        <w:br w:type="page"/>
      </w:r>
      <w:bookmarkStart w:id="23" w:name="_Toc22012"/>
      <w:r>
        <w:rPr>
          <w:rFonts w:hint="eastAsia" w:ascii="宋体" w:hAnsi="宋体" w:eastAsia="宋体" w:cs="宋体"/>
          <w:b/>
          <w:kern w:val="0"/>
          <w:sz w:val="28"/>
          <w:szCs w:val="28"/>
          <w:highlight w:val="none"/>
        </w:rPr>
        <w:t>二、授权委托书</w:t>
      </w:r>
      <w:bookmarkEnd w:id="23"/>
    </w:p>
    <w:p w14:paraId="10DA6BDC">
      <w:pPr>
        <w:keepNext w:val="0"/>
        <w:keepLines w:val="0"/>
        <w:pageBreakBefore w:val="0"/>
        <w:widowControl w:val="0"/>
        <w:suppressLineNumbers w:val="0"/>
        <w:kinsoku/>
        <w:wordWrap/>
        <w:overflowPunct/>
        <w:bidi w:val="0"/>
        <w:spacing w:before="0" w:beforeAutospacing="0" w:after="0" w:afterAutospacing="0" w:line="360" w:lineRule="auto"/>
        <w:ind w:left="0" w:right="0" w:firstLine="480"/>
        <w:jc w:val="both"/>
        <w:rPr>
          <w:rFonts w:hint="eastAsia" w:ascii="宋体" w:hAnsi="宋体" w:eastAsia="宋体" w:cs="宋体"/>
          <w:sz w:val="24"/>
          <w:szCs w:val="22"/>
          <w:highlight w:val="none"/>
          <w:lang w:val="en-US"/>
        </w:rPr>
      </w:pPr>
      <w:r>
        <w:rPr>
          <w:rFonts w:hint="eastAsia" w:ascii="宋体" w:hAnsi="宋体" w:eastAsia="宋体" w:cs="宋体"/>
          <w:kern w:val="2"/>
          <w:sz w:val="24"/>
          <w:szCs w:val="22"/>
          <w:highlight w:val="none"/>
          <w:lang w:val="en-US" w:eastAsia="zh-CN" w:bidi="ar"/>
        </w:rPr>
        <w:t>本人</w:t>
      </w:r>
      <w:r>
        <w:rPr>
          <w:rFonts w:hint="eastAsia" w:ascii="宋体" w:hAnsi="宋体" w:eastAsia="宋体" w:cs="宋体"/>
          <w:kern w:val="2"/>
          <w:sz w:val="24"/>
          <w:szCs w:val="22"/>
          <w:highlight w:val="none"/>
          <w:u w:val="single"/>
          <w:lang w:val="en-US" w:eastAsia="zh-CN" w:bidi="ar"/>
        </w:rPr>
        <w:t xml:space="preserve">        </w:t>
      </w:r>
      <w:r>
        <w:rPr>
          <w:rFonts w:hint="eastAsia" w:ascii="宋体" w:hAnsi="宋体" w:eastAsia="宋体" w:cs="宋体"/>
          <w:kern w:val="2"/>
          <w:sz w:val="24"/>
          <w:szCs w:val="22"/>
          <w:highlight w:val="none"/>
          <w:lang w:val="en-US" w:eastAsia="zh-CN" w:bidi="ar"/>
        </w:rPr>
        <w:t>（姓名）系</w:t>
      </w:r>
      <w:r>
        <w:rPr>
          <w:rFonts w:hint="eastAsia" w:ascii="宋体" w:hAnsi="宋体" w:eastAsia="宋体" w:cs="宋体"/>
          <w:kern w:val="2"/>
          <w:sz w:val="24"/>
          <w:szCs w:val="22"/>
          <w:highlight w:val="none"/>
          <w:u w:val="single"/>
          <w:lang w:val="en-US" w:eastAsia="zh-CN" w:bidi="ar"/>
        </w:rPr>
        <w:t xml:space="preserve">                     </w:t>
      </w:r>
      <w:r>
        <w:rPr>
          <w:rFonts w:hint="eastAsia" w:ascii="宋体" w:hAnsi="宋体" w:eastAsia="宋体" w:cs="宋体"/>
          <w:kern w:val="2"/>
          <w:sz w:val="24"/>
          <w:szCs w:val="22"/>
          <w:highlight w:val="none"/>
          <w:lang w:val="en-US" w:eastAsia="zh-CN" w:bidi="ar"/>
        </w:rPr>
        <w:t>（供应商名称）的法定代表人，现委托</w:t>
      </w:r>
      <w:r>
        <w:rPr>
          <w:rFonts w:hint="eastAsia" w:ascii="宋体" w:hAnsi="宋体" w:eastAsia="宋体" w:cs="宋体"/>
          <w:kern w:val="2"/>
          <w:sz w:val="24"/>
          <w:szCs w:val="22"/>
          <w:highlight w:val="none"/>
          <w:u w:val="single"/>
          <w:lang w:val="en-US" w:eastAsia="zh-CN" w:bidi="ar"/>
        </w:rPr>
        <w:t xml:space="preserve">        </w:t>
      </w:r>
      <w:r>
        <w:rPr>
          <w:rFonts w:hint="eastAsia" w:ascii="宋体" w:hAnsi="宋体" w:eastAsia="宋体" w:cs="宋体"/>
          <w:kern w:val="2"/>
          <w:sz w:val="24"/>
          <w:szCs w:val="22"/>
          <w:highlight w:val="none"/>
          <w:lang w:val="en-US" w:eastAsia="zh-CN" w:bidi="ar"/>
        </w:rPr>
        <w:t>（姓名）为我方代理人。代理人根据授权，以我方名义签署、澄清、说明、补正、递交、撤回、修改</w:t>
      </w:r>
      <w:r>
        <w:rPr>
          <w:rFonts w:hint="eastAsia" w:ascii="宋体" w:hAnsi="宋体" w:eastAsia="宋体" w:cs="宋体"/>
          <w:kern w:val="2"/>
          <w:sz w:val="24"/>
          <w:szCs w:val="22"/>
          <w:highlight w:val="none"/>
          <w:u w:val="single"/>
          <w:lang w:val="en-US" w:eastAsia="zh-CN" w:bidi="ar"/>
        </w:rPr>
        <w:t xml:space="preserve">                       </w:t>
      </w:r>
      <w:r>
        <w:rPr>
          <w:rFonts w:hint="eastAsia" w:ascii="宋体" w:hAnsi="宋体" w:eastAsia="宋体" w:cs="宋体"/>
          <w:kern w:val="2"/>
          <w:sz w:val="24"/>
          <w:szCs w:val="22"/>
          <w:highlight w:val="none"/>
          <w:lang w:val="en-US" w:eastAsia="zh-CN" w:bidi="ar"/>
        </w:rPr>
        <w:t>（项目名称）响应文件、签订合同和处理有关事宜，其法律后果由我方承担。</w:t>
      </w:r>
    </w:p>
    <w:p w14:paraId="29DEEC83">
      <w:pPr>
        <w:keepNext w:val="0"/>
        <w:keepLines w:val="0"/>
        <w:pageBreakBefore w:val="0"/>
        <w:widowControl w:val="0"/>
        <w:suppressLineNumbers w:val="0"/>
        <w:kinsoku/>
        <w:wordWrap/>
        <w:overflowPunct/>
        <w:bidi w:val="0"/>
        <w:spacing w:before="0" w:beforeAutospacing="0" w:after="0" w:afterAutospacing="0" w:line="360" w:lineRule="auto"/>
        <w:ind w:left="0" w:right="0" w:firstLine="480"/>
        <w:jc w:val="both"/>
        <w:rPr>
          <w:rFonts w:hint="eastAsia" w:ascii="宋体" w:hAnsi="宋体" w:eastAsia="宋体" w:cs="宋体"/>
          <w:sz w:val="24"/>
          <w:szCs w:val="22"/>
          <w:highlight w:val="none"/>
          <w:lang w:val="en-US"/>
        </w:rPr>
      </w:pPr>
      <w:r>
        <w:rPr>
          <w:rFonts w:hint="eastAsia" w:ascii="宋体" w:hAnsi="宋体" w:eastAsia="宋体" w:cs="宋体"/>
          <w:kern w:val="2"/>
          <w:sz w:val="24"/>
          <w:szCs w:val="22"/>
          <w:highlight w:val="none"/>
          <w:lang w:val="en-US" w:eastAsia="zh-CN" w:bidi="ar"/>
        </w:rPr>
        <w:t>代理人无转委托权。</w:t>
      </w:r>
    </w:p>
    <w:p w14:paraId="5443BA82">
      <w:pPr>
        <w:keepNext w:val="0"/>
        <w:keepLines w:val="0"/>
        <w:pageBreakBefore w:val="0"/>
        <w:widowControl w:val="0"/>
        <w:suppressLineNumbers w:val="0"/>
        <w:kinsoku/>
        <w:wordWrap/>
        <w:overflowPunct/>
        <w:bidi w:val="0"/>
        <w:spacing w:before="0" w:beforeAutospacing="0" w:after="0" w:afterAutospacing="0" w:line="360" w:lineRule="auto"/>
        <w:ind w:left="0" w:right="0" w:firstLine="480"/>
        <w:jc w:val="both"/>
        <w:rPr>
          <w:rFonts w:hint="eastAsia" w:ascii="宋体" w:hAnsi="宋体" w:eastAsia="宋体" w:cs="宋体"/>
          <w:sz w:val="24"/>
          <w:szCs w:val="22"/>
          <w:highlight w:val="none"/>
          <w:lang w:val="en-US"/>
        </w:rPr>
      </w:pPr>
    </w:p>
    <w:p w14:paraId="147209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2400" w:firstLineChars="1000"/>
        <w:jc w:val="both"/>
        <w:textAlignment w:val="auto"/>
        <w:rPr>
          <w:rFonts w:hint="eastAsia" w:ascii="宋体" w:hAnsi="宋体" w:eastAsia="宋体" w:cs="宋体"/>
          <w:sz w:val="24"/>
          <w:szCs w:val="22"/>
          <w:highlight w:val="none"/>
          <w:lang w:val="en-US"/>
        </w:rPr>
      </w:pPr>
      <w:r>
        <w:rPr>
          <w:rFonts w:hint="eastAsia" w:ascii="宋体" w:hAnsi="宋体" w:eastAsia="宋体" w:cs="宋体"/>
          <w:kern w:val="2"/>
          <w:sz w:val="24"/>
          <w:szCs w:val="22"/>
          <w:highlight w:val="none"/>
          <w:lang w:val="en-US" w:eastAsia="zh-CN" w:bidi="ar"/>
        </w:rPr>
        <w:t>供应商：</w:t>
      </w:r>
      <w:r>
        <w:rPr>
          <w:rFonts w:hint="eastAsia" w:ascii="宋体" w:hAnsi="宋体" w:eastAsia="宋体" w:cs="宋体"/>
          <w:kern w:val="2"/>
          <w:sz w:val="24"/>
          <w:szCs w:val="22"/>
          <w:highlight w:val="none"/>
          <w:u w:val="single"/>
          <w:lang w:val="en-US" w:eastAsia="zh-CN" w:bidi="ar"/>
        </w:rPr>
        <w:t xml:space="preserve">                        </w:t>
      </w:r>
      <w:r>
        <w:rPr>
          <w:rFonts w:hint="eastAsia" w:ascii="宋体" w:hAnsi="宋体" w:eastAsia="宋体" w:cs="宋体"/>
          <w:kern w:val="2"/>
          <w:sz w:val="24"/>
          <w:szCs w:val="22"/>
          <w:highlight w:val="none"/>
          <w:lang w:val="en-US" w:eastAsia="zh-CN" w:bidi="ar"/>
        </w:rPr>
        <w:t>（盖章）</w:t>
      </w:r>
    </w:p>
    <w:p w14:paraId="06C79B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2400" w:firstLineChars="1000"/>
        <w:jc w:val="both"/>
        <w:textAlignment w:val="auto"/>
        <w:rPr>
          <w:rFonts w:hint="eastAsia" w:ascii="宋体" w:hAnsi="宋体" w:eastAsia="宋体" w:cs="宋体"/>
          <w:sz w:val="24"/>
          <w:szCs w:val="22"/>
          <w:highlight w:val="none"/>
          <w:lang w:val="en-US"/>
        </w:rPr>
      </w:pPr>
      <w:r>
        <w:rPr>
          <w:rFonts w:hint="eastAsia" w:ascii="宋体" w:hAnsi="宋体" w:eastAsia="宋体" w:cs="宋体"/>
          <w:kern w:val="2"/>
          <w:sz w:val="24"/>
          <w:szCs w:val="22"/>
          <w:highlight w:val="none"/>
          <w:lang w:val="en-US" w:eastAsia="zh-CN" w:bidi="ar"/>
        </w:rPr>
        <w:t>法定代表人：</w:t>
      </w:r>
      <w:r>
        <w:rPr>
          <w:rFonts w:hint="eastAsia" w:ascii="宋体" w:hAnsi="宋体" w:eastAsia="宋体" w:cs="宋体"/>
          <w:kern w:val="2"/>
          <w:sz w:val="24"/>
          <w:szCs w:val="22"/>
          <w:highlight w:val="none"/>
          <w:u w:val="single"/>
          <w:lang w:val="en-US" w:eastAsia="zh-CN" w:bidi="ar"/>
        </w:rPr>
        <w:t xml:space="preserve">                    </w:t>
      </w:r>
      <w:r>
        <w:rPr>
          <w:rFonts w:hint="eastAsia" w:ascii="宋体" w:hAnsi="宋体" w:eastAsia="宋体" w:cs="宋体"/>
          <w:kern w:val="2"/>
          <w:sz w:val="24"/>
          <w:szCs w:val="22"/>
          <w:highlight w:val="none"/>
          <w:lang w:val="en-US" w:eastAsia="zh-CN" w:bidi="ar"/>
        </w:rPr>
        <w:t>（签字或盖章）</w:t>
      </w:r>
    </w:p>
    <w:p w14:paraId="668C0D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2400" w:firstLineChars="1000"/>
        <w:jc w:val="both"/>
        <w:textAlignment w:val="auto"/>
        <w:rPr>
          <w:rFonts w:hint="eastAsia" w:ascii="宋体" w:hAnsi="宋体" w:eastAsia="宋体" w:cs="宋体"/>
          <w:sz w:val="24"/>
          <w:szCs w:val="22"/>
          <w:highlight w:val="none"/>
          <w:u w:val="single"/>
          <w:lang w:val="en-US"/>
        </w:rPr>
      </w:pPr>
      <w:r>
        <w:rPr>
          <w:rFonts w:hint="eastAsia" w:ascii="宋体" w:hAnsi="宋体" w:eastAsia="宋体" w:cs="宋体"/>
          <w:kern w:val="2"/>
          <w:sz w:val="24"/>
          <w:szCs w:val="22"/>
          <w:highlight w:val="none"/>
          <w:lang w:val="en-US" w:eastAsia="zh-CN" w:bidi="ar"/>
        </w:rPr>
        <w:t>身份证号码：</w:t>
      </w:r>
      <w:r>
        <w:rPr>
          <w:rFonts w:hint="eastAsia" w:ascii="宋体" w:hAnsi="宋体" w:eastAsia="宋体" w:cs="宋体"/>
          <w:kern w:val="2"/>
          <w:sz w:val="24"/>
          <w:szCs w:val="22"/>
          <w:highlight w:val="none"/>
          <w:u w:val="single"/>
          <w:lang w:val="en-US" w:eastAsia="zh-CN" w:bidi="ar"/>
        </w:rPr>
        <w:t xml:space="preserve">                    </w:t>
      </w:r>
    </w:p>
    <w:p w14:paraId="602D95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2400" w:firstLineChars="1000"/>
        <w:jc w:val="both"/>
        <w:textAlignment w:val="auto"/>
        <w:rPr>
          <w:rFonts w:hint="eastAsia" w:ascii="宋体" w:hAnsi="宋体" w:eastAsia="宋体" w:cs="宋体"/>
          <w:kern w:val="2"/>
          <w:sz w:val="24"/>
          <w:szCs w:val="22"/>
          <w:highlight w:val="none"/>
          <w:lang w:val="en-US" w:eastAsia="zh-CN" w:bidi="ar"/>
        </w:rPr>
      </w:pPr>
      <w:r>
        <w:rPr>
          <w:rFonts w:hint="eastAsia" w:ascii="宋体" w:hAnsi="宋体" w:eastAsia="宋体" w:cs="宋体"/>
          <w:kern w:val="2"/>
          <w:sz w:val="24"/>
          <w:szCs w:val="22"/>
          <w:highlight w:val="none"/>
          <w:lang w:val="en-US" w:eastAsia="zh-CN" w:bidi="ar"/>
        </w:rPr>
        <w:t>委托代理人：</w:t>
      </w:r>
      <w:r>
        <w:rPr>
          <w:rFonts w:hint="eastAsia" w:ascii="宋体" w:hAnsi="宋体" w:eastAsia="宋体" w:cs="宋体"/>
          <w:kern w:val="2"/>
          <w:sz w:val="24"/>
          <w:szCs w:val="22"/>
          <w:highlight w:val="none"/>
          <w:u w:val="single"/>
          <w:lang w:val="en-US" w:eastAsia="zh-CN" w:bidi="ar"/>
        </w:rPr>
        <w:t xml:space="preserve">          </w:t>
      </w:r>
      <w:r>
        <w:rPr>
          <w:rFonts w:hint="eastAsia" w:ascii="宋体" w:hAnsi="宋体" w:eastAsia="宋体" w:cs="宋体"/>
          <w:kern w:val="2"/>
          <w:sz w:val="24"/>
          <w:szCs w:val="22"/>
          <w:highlight w:val="none"/>
          <w:lang w:val="en-US" w:eastAsia="zh-CN" w:bidi="ar"/>
        </w:rPr>
        <w:t>（签字或法定代表人签章）</w:t>
      </w:r>
    </w:p>
    <w:p w14:paraId="796C4F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2400" w:firstLineChars="1000"/>
        <w:jc w:val="both"/>
        <w:textAlignment w:val="auto"/>
        <w:rPr>
          <w:rFonts w:hint="eastAsia" w:ascii="宋体" w:hAnsi="宋体" w:eastAsia="宋体" w:cs="宋体"/>
          <w:sz w:val="24"/>
          <w:szCs w:val="22"/>
          <w:highlight w:val="none"/>
          <w:u w:val="single"/>
          <w:lang w:val="en-US"/>
        </w:rPr>
      </w:pPr>
      <w:r>
        <w:rPr>
          <w:rFonts w:hint="eastAsia" w:ascii="宋体" w:hAnsi="宋体" w:eastAsia="宋体" w:cs="宋体"/>
          <w:kern w:val="2"/>
          <w:sz w:val="24"/>
          <w:szCs w:val="22"/>
          <w:highlight w:val="none"/>
          <w:lang w:val="en-US" w:eastAsia="zh-CN" w:bidi="ar"/>
        </w:rPr>
        <w:t>身份证号码：</w:t>
      </w:r>
      <w:r>
        <w:rPr>
          <w:rFonts w:hint="eastAsia" w:ascii="宋体" w:hAnsi="宋体" w:eastAsia="宋体" w:cs="宋体"/>
          <w:kern w:val="2"/>
          <w:sz w:val="24"/>
          <w:szCs w:val="22"/>
          <w:highlight w:val="none"/>
          <w:u w:val="single"/>
          <w:lang w:val="en-US" w:eastAsia="zh-CN" w:bidi="ar"/>
        </w:rPr>
        <w:t xml:space="preserve">                    </w:t>
      </w:r>
    </w:p>
    <w:p w14:paraId="09EC97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2400" w:firstLineChars="1000"/>
        <w:jc w:val="left"/>
        <w:textAlignment w:val="auto"/>
        <w:rPr>
          <w:rFonts w:hint="eastAsia" w:ascii="宋体" w:hAnsi="宋体" w:eastAsia="宋体" w:cs="宋体"/>
          <w:sz w:val="24"/>
          <w:szCs w:val="22"/>
          <w:highlight w:val="none"/>
          <w:u w:val="single"/>
          <w:lang w:val="en-US"/>
        </w:rPr>
      </w:pPr>
      <w:r>
        <w:rPr>
          <w:rFonts w:hint="eastAsia" w:ascii="宋体" w:hAnsi="宋体" w:eastAsia="宋体" w:cs="宋体"/>
          <w:kern w:val="2"/>
          <w:sz w:val="24"/>
          <w:szCs w:val="22"/>
          <w:highlight w:val="none"/>
          <w:lang w:val="en-US" w:eastAsia="zh-CN" w:bidi="ar"/>
        </w:rPr>
        <w:t>委托代理人</w:t>
      </w:r>
      <w:r>
        <w:rPr>
          <w:rFonts w:hint="eastAsia" w:ascii="宋体" w:hAnsi="宋体" w:cs="宋体"/>
          <w:kern w:val="2"/>
          <w:sz w:val="24"/>
          <w:szCs w:val="22"/>
          <w:highlight w:val="none"/>
          <w:lang w:val="en-US" w:eastAsia="zh-CN" w:bidi="ar"/>
        </w:rPr>
        <w:t>联系方式</w:t>
      </w:r>
      <w:r>
        <w:rPr>
          <w:rFonts w:hint="eastAsia" w:ascii="宋体" w:hAnsi="宋体" w:eastAsia="宋体" w:cs="宋体"/>
          <w:kern w:val="2"/>
          <w:sz w:val="24"/>
          <w:szCs w:val="22"/>
          <w:highlight w:val="none"/>
          <w:lang w:val="en-US" w:eastAsia="zh-CN" w:bidi="ar"/>
        </w:rPr>
        <w:t>：</w:t>
      </w:r>
      <w:r>
        <w:rPr>
          <w:rFonts w:hint="eastAsia" w:ascii="宋体" w:hAnsi="宋体" w:eastAsia="宋体" w:cs="宋体"/>
          <w:kern w:val="2"/>
          <w:sz w:val="24"/>
          <w:szCs w:val="22"/>
          <w:highlight w:val="none"/>
          <w:u w:val="single"/>
          <w:lang w:val="en-US" w:eastAsia="zh-CN" w:bidi="ar"/>
        </w:rPr>
        <w:t xml:space="preserve">            </w:t>
      </w:r>
    </w:p>
    <w:p w14:paraId="17057D17">
      <w:pPr>
        <w:keepNext w:val="0"/>
        <w:keepLines w:val="0"/>
        <w:pageBreakBefore w:val="0"/>
        <w:widowControl w:val="0"/>
        <w:suppressLineNumbers w:val="0"/>
        <w:kinsoku/>
        <w:wordWrap/>
        <w:overflowPunct/>
        <w:bidi w:val="0"/>
        <w:spacing w:before="0" w:beforeAutospacing="0" w:after="0" w:afterAutospacing="0" w:line="360" w:lineRule="auto"/>
        <w:ind w:left="0" w:right="0"/>
        <w:jc w:val="right"/>
        <w:rPr>
          <w:rFonts w:hint="eastAsia" w:ascii="宋体" w:hAnsi="宋体" w:eastAsia="宋体" w:cs="宋体"/>
          <w:sz w:val="24"/>
          <w:szCs w:val="22"/>
          <w:highlight w:val="none"/>
          <w:lang w:val="en-US"/>
        </w:rPr>
      </w:pPr>
      <w:r>
        <w:rPr>
          <w:rFonts w:hint="eastAsia" w:ascii="宋体" w:hAnsi="宋体" w:eastAsia="宋体" w:cs="宋体"/>
          <w:kern w:val="2"/>
          <w:sz w:val="24"/>
          <w:szCs w:val="22"/>
          <w:highlight w:val="none"/>
          <w:lang w:val="en-US" w:eastAsia="zh-CN" w:bidi="ar"/>
        </w:rPr>
        <w:t>年   月   日</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222F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jc w:val="center"/>
        </w:trPr>
        <w:tc>
          <w:tcPr>
            <w:tcW w:w="8364" w:type="dxa"/>
            <w:tcBorders>
              <w:top w:val="single" w:color="auto" w:sz="4" w:space="0"/>
              <w:left w:val="single" w:color="auto" w:sz="4" w:space="0"/>
              <w:bottom w:val="single" w:color="auto" w:sz="4" w:space="0"/>
              <w:right w:val="single" w:color="auto" w:sz="4" w:space="0"/>
            </w:tcBorders>
            <w:noWrap w:val="0"/>
            <w:vAlign w:val="center"/>
          </w:tcPr>
          <w:p w14:paraId="26CD6062">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委托人身份证扫描件</w:t>
            </w:r>
          </w:p>
          <w:p w14:paraId="6F40DD42">
            <w:pPr>
              <w:keepNext w:val="0"/>
              <w:keepLines w:val="0"/>
              <w:pageBreakBefore w:val="0"/>
              <w:widowControl w:val="0"/>
              <w:suppressLineNumbers w:val="0"/>
              <w:kinsoku/>
              <w:wordWrap/>
              <w:overflowPunct/>
              <w:bidi w:val="0"/>
              <w:spacing w:before="0" w:beforeAutospacing="0" w:after="0" w:afterAutospacing="0" w:line="360" w:lineRule="auto"/>
              <w:ind w:left="0" w:right="0"/>
              <w:jc w:val="center"/>
              <w:rPr>
                <w:rFonts w:hint="eastAsia" w:ascii="宋体" w:hAnsi="宋体" w:eastAsia="宋体" w:cs="宋体"/>
                <w:szCs w:val="21"/>
                <w:highlight w:val="none"/>
                <w:lang w:val="en-US"/>
              </w:rPr>
            </w:pPr>
            <w:r>
              <w:rPr>
                <w:rFonts w:hint="eastAsia" w:ascii="宋体" w:hAnsi="宋体" w:eastAsia="宋体" w:cs="宋体"/>
                <w:kern w:val="2"/>
                <w:sz w:val="24"/>
                <w:szCs w:val="24"/>
                <w:highlight w:val="none"/>
                <w:lang w:val="en-US" w:eastAsia="zh-CN" w:bidi="ar"/>
              </w:rPr>
              <w:t>（证件扫描正、反面）</w:t>
            </w:r>
          </w:p>
        </w:tc>
      </w:tr>
    </w:tbl>
    <w:p w14:paraId="4897E90C">
      <w:pPr>
        <w:keepNext w:val="0"/>
        <w:keepLines w:val="0"/>
        <w:pageBreakBefore w:val="0"/>
        <w:widowControl w:val="0"/>
        <w:suppressLineNumbers w:val="0"/>
        <w:kinsoku/>
        <w:wordWrap/>
        <w:overflowPunct/>
        <w:bidi w:val="0"/>
        <w:spacing w:before="0" w:beforeAutospacing="0" w:after="0" w:afterAutospacing="0" w:line="360" w:lineRule="auto"/>
        <w:ind w:left="0" w:right="0"/>
        <w:jc w:val="both"/>
        <w:rPr>
          <w:highlight w:val="none"/>
          <w:lang w:val="en-US"/>
        </w:rPr>
      </w:pPr>
    </w:p>
    <w:p w14:paraId="26F8ED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bCs/>
          <w:sz w:val="24"/>
          <w:szCs w:val="24"/>
          <w:highlight w:val="none"/>
          <w:lang w:val="en-US"/>
        </w:rPr>
      </w:pPr>
      <w:r>
        <w:rPr>
          <w:rFonts w:hint="eastAsia" w:ascii="宋体" w:hAnsi="Times New Roman" w:eastAsia="宋体" w:cs="宋体"/>
          <w:b/>
          <w:bCs/>
          <w:kern w:val="2"/>
          <w:sz w:val="24"/>
          <w:szCs w:val="22"/>
          <w:highlight w:val="none"/>
          <w:lang w:val="en-US" w:eastAsia="zh-CN" w:bidi="ar"/>
        </w:rPr>
        <w:t>因本项目为电子标，委托代理人无法手写签字，可以电脑打印字体为准或以法定代表人签章为准。</w:t>
      </w:r>
    </w:p>
    <w:p w14:paraId="2B0ECEA2">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kern w:val="0"/>
          <w:sz w:val="32"/>
          <w:szCs w:val="32"/>
          <w:highlight w:val="none"/>
        </w:rPr>
      </w:pPr>
      <w:r>
        <w:rPr>
          <w:rFonts w:hint="eastAsia" w:ascii="宋体" w:hAnsi="宋体" w:eastAsia="宋体" w:cs="宋体"/>
          <w:szCs w:val="21"/>
          <w:highlight w:val="none"/>
        </w:rPr>
        <w:br w:type="page"/>
      </w:r>
      <w:bookmarkStart w:id="24" w:name="_Toc10752"/>
      <w:bookmarkStart w:id="25" w:name="_Toc438305223"/>
      <w:r>
        <w:rPr>
          <w:rFonts w:hint="eastAsia" w:ascii="宋体" w:hAnsi="宋体" w:eastAsia="宋体" w:cs="宋体"/>
          <w:b/>
          <w:kern w:val="0"/>
          <w:sz w:val="28"/>
          <w:szCs w:val="28"/>
          <w:highlight w:val="none"/>
        </w:rPr>
        <w:t>三、磋 商 函</w:t>
      </w:r>
      <w:bookmarkEnd w:id="24"/>
    </w:p>
    <w:p w14:paraId="11F5C407">
      <w:pPr>
        <w:keepNext w:val="0"/>
        <w:pageBreakBefore w:val="0"/>
        <w:widowControl/>
        <w:overflowPunct/>
        <w:bidi w:val="0"/>
        <w:spacing w:line="360" w:lineRule="auto"/>
        <w:jc w:val="left"/>
        <w:rPr>
          <w:rFonts w:hint="eastAsia" w:ascii="宋体" w:hAnsi="宋体" w:eastAsia="宋体" w:cs="宋体"/>
          <w:kern w:val="0"/>
          <w:szCs w:val="24"/>
          <w:highlight w:val="none"/>
        </w:rPr>
      </w:pPr>
      <w:bookmarkStart w:id="26" w:name="OLE_LINK11"/>
      <w:bookmarkEnd w:id="26"/>
      <w:bookmarkStart w:id="27" w:name="OLE_LINK7"/>
      <w:r>
        <w:rPr>
          <w:rFonts w:hint="eastAsia" w:ascii="宋体" w:hAnsi="宋体" w:eastAsia="宋体" w:cs="宋体"/>
          <w:spacing w:val="46"/>
          <w:kern w:val="0"/>
          <w:szCs w:val="24"/>
          <w:highlight w:val="none"/>
        </w:rPr>
        <w:t>致</w:t>
      </w:r>
      <w:bookmarkEnd w:id="27"/>
      <w:r>
        <w:rPr>
          <w:rFonts w:hint="eastAsia" w:ascii="宋体" w:hAnsi="宋体" w:eastAsia="宋体" w:cs="宋体"/>
          <w:spacing w:val="46"/>
          <w:kern w:val="0"/>
          <w:szCs w:val="24"/>
          <w:highlight w:val="none"/>
          <w:u w:val="single"/>
        </w:rPr>
        <w:t>（采购人）</w:t>
      </w:r>
      <w:r>
        <w:rPr>
          <w:rFonts w:hint="eastAsia" w:ascii="宋体" w:hAnsi="宋体" w:eastAsia="宋体" w:cs="宋体"/>
          <w:spacing w:val="46"/>
          <w:kern w:val="0"/>
          <w:szCs w:val="24"/>
          <w:highlight w:val="none"/>
        </w:rPr>
        <w:t>：</w:t>
      </w:r>
    </w:p>
    <w:p w14:paraId="3DD5D931">
      <w:pPr>
        <w:keepNext w:val="0"/>
        <w:pageBreakBefore w:val="0"/>
        <w:widowControl/>
        <w:overflowPunct/>
        <w:bidi w:val="0"/>
        <w:spacing w:line="360" w:lineRule="auto"/>
        <w:ind w:firstLine="530" w:firstLineChars="221"/>
        <w:jc w:val="left"/>
        <w:rPr>
          <w:rFonts w:hint="eastAsia" w:ascii="宋体" w:hAnsi="宋体" w:eastAsia="宋体" w:cs="宋体"/>
          <w:kern w:val="0"/>
          <w:szCs w:val="24"/>
          <w:highlight w:val="none"/>
        </w:rPr>
      </w:pPr>
      <w:r>
        <w:rPr>
          <w:rFonts w:hint="eastAsia" w:ascii="宋体" w:hAnsi="宋体" w:eastAsia="宋体" w:cs="宋体"/>
          <w:kern w:val="0"/>
          <w:szCs w:val="24"/>
          <w:highlight w:val="none"/>
        </w:rPr>
        <w:t>根据已收到贵方的</w:t>
      </w:r>
      <w:r>
        <w:rPr>
          <w:rFonts w:hint="eastAsia" w:ascii="宋体" w:hAnsi="宋体" w:eastAsia="宋体" w:cs="宋体"/>
          <w:kern w:val="0"/>
          <w:szCs w:val="24"/>
          <w:highlight w:val="none"/>
          <w:u w:val="single"/>
        </w:rPr>
        <w:t xml:space="preserve">                       </w:t>
      </w:r>
      <w:r>
        <w:rPr>
          <w:rFonts w:hint="eastAsia" w:ascii="宋体" w:hAnsi="宋体" w:eastAsia="宋体" w:cs="宋体"/>
          <w:kern w:val="0"/>
          <w:szCs w:val="24"/>
          <w:highlight w:val="none"/>
        </w:rPr>
        <w:t>（项目名称）竞争性磋商文件，遵照《中华人民共和国政府采购法》等有关规定，我单位经考察现场和研究上述竞争性磋商文件的供应商须知、合同条款、技术规范及其它有关文件后，我方愿以人民币</w:t>
      </w:r>
      <w:r>
        <w:rPr>
          <w:rFonts w:hint="eastAsia" w:ascii="宋体" w:hAnsi="宋体" w:eastAsia="宋体" w:cs="宋体"/>
          <w:color w:val="000000"/>
          <w:kern w:val="0"/>
          <w:szCs w:val="24"/>
          <w:highlight w:val="none"/>
        </w:rPr>
        <w:t>（大写）</w:t>
      </w:r>
      <w:r>
        <w:rPr>
          <w:rFonts w:hint="eastAsia" w:ascii="宋体" w:hAnsi="宋体" w:eastAsia="宋体" w:cs="宋体"/>
          <w:color w:val="000000"/>
          <w:kern w:val="0"/>
          <w:szCs w:val="24"/>
          <w:highlight w:val="none"/>
          <w:u w:val="single"/>
        </w:rPr>
        <w:t xml:space="preserve">         </w:t>
      </w:r>
      <w:r>
        <w:rPr>
          <w:rFonts w:hint="eastAsia" w:ascii="宋体" w:hAnsi="宋体" w:eastAsia="宋体" w:cs="宋体"/>
          <w:color w:val="000000"/>
          <w:kern w:val="0"/>
          <w:szCs w:val="24"/>
          <w:highlight w:val="none"/>
        </w:rPr>
        <w:t>（小写：</w:t>
      </w:r>
      <w:r>
        <w:rPr>
          <w:rFonts w:hint="eastAsia" w:ascii="宋体" w:hAnsi="宋体" w:eastAsia="宋体" w:cs="宋体"/>
          <w:color w:val="000000"/>
          <w:kern w:val="0"/>
          <w:szCs w:val="24"/>
          <w:highlight w:val="none"/>
          <w:u w:val="single"/>
        </w:rPr>
        <w:t xml:space="preserve">             </w:t>
      </w:r>
      <w:r>
        <w:rPr>
          <w:rFonts w:hint="eastAsia" w:ascii="宋体" w:hAnsi="宋体" w:eastAsia="宋体" w:cs="宋体"/>
          <w:color w:val="000000"/>
          <w:kern w:val="0"/>
          <w:szCs w:val="24"/>
          <w:highlight w:val="none"/>
        </w:rPr>
        <w:t>元）</w:t>
      </w:r>
      <w:r>
        <w:rPr>
          <w:rFonts w:hint="eastAsia" w:ascii="宋体" w:hAnsi="宋体" w:eastAsia="宋体" w:cs="宋体"/>
          <w:kern w:val="0"/>
          <w:szCs w:val="24"/>
          <w:highlight w:val="none"/>
        </w:rPr>
        <w:t>的磋商报价；承包上述项目的工作。</w:t>
      </w:r>
    </w:p>
    <w:p w14:paraId="0D4C6558">
      <w:pPr>
        <w:keepNext w:val="0"/>
        <w:pageBreakBefore w:val="0"/>
        <w:widowControl/>
        <w:overflowPunct/>
        <w:bidi w:val="0"/>
        <w:spacing w:line="360" w:lineRule="auto"/>
        <w:ind w:firstLine="420"/>
        <w:jc w:val="left"/>
        <w:rPr>
          <w:rFonts w:hint="eastAsia" w:ascii="宋体" w:hAnsi="宋体" w:eastAsia="宋体" w:cs="宋体"/>
          <w:kern w:val="0"/>
          <w:szCs w:val="24"/>
          <w:highlight w:val="none"/>
        </w:rPr>
      </w:pPr>
      <w:r>
        <w:rPr>
          <w:rFonts w:hint="eastAsia" w:ascii="宋体" w:hAnsi="宋体" w:eastAsia="宋体" w:cs="宋体"/>
          <w:kern w:val="0"/>
          <w:szCs w:val="24"/>
          <w:highlight w:val="none"/>
        </w:rPr>
        <w:t>1、我方已详细审阅全部竞争性磋商文件，包括修改文件（如果有的话），及有关附件，我方完全知道必须放弃提出含糊不清或误解的权力。</w:t>
      </w:r>
    </w:p>
    <w:p w14:paraId="1139B9CB">
      <w:pPr>
        <w:keepNext w:val="0"/>
        <w:pageBreakBefore w:val="0"/>
        <w:widowControl/>
        <w:overflowPunct/>
        <w:bidi w:val="0"/>
        <w:spacing w:line="360" w:lineRule="auto"/>
        <w:ind w:firstLine="420"/>
        <w:jc w:val="left"/>
        <w:rPr>
          <w:rFonts w:hint="eastAsia" w:ascii="宋体" w:hAnsi="宋体" w:eastAsia="宋体" w:cs="宋体"/>
          <w:kern w:val="0"/>
          <w:szCs w:val="24"/>
          <w:highlight w:val="none"/>
        </w:rPr>
      </w:pPr>
      <w:r>
        <w:rPr>
          <w:rFonts w:hint="eastAsia" w:ascii="宋体" w:hAnsi="宋体" w:eastAsia="宋体" w:cs="宋体"/>
          <w:kern w:val="0"/>
          <w:szCs w:val="24"/>
          <w:highlight w:val="none"/>
        </w:rPr>
        <w:t>2、一旦我方成交，我们将按照</w:t>
      </w:r>
      <w:r>
        <w:rPr>
          <w:rFonts w:hint="eastAsia" w:ascii="宋体" w:hAnsi="宋体" w:eastAsia="宋体" w:cs="宋体"/>
          <w:szCs w:val="24"/>
          <w:highlight w:val="none"/>
        </w:rPr>
        <w:t>竞争性磋商文件</w:t>
      </w:r>
      <w:r>
        <w:rPr>
          <w:rFonts w:hint="eastAsia" w:ascii="宋体" w:hAnsi="宋体" w:eastAsia="宋体" w:cs="宋体"/>
          <w:kern w:val="0"/>
          <w:szCs w:val="24"/>
          <w:highlight w:val="none"/>
        </w:rPr>
        <w:t>中规定的各项要求和我们的响应文件中的表述和承诺，按期、按质、按量完成。</w:t>
      </w:r>
    </w:p>
    <w:p w14:paraId="5881D5B7">
      <w:pPr>
        <w:keepNext w:val="0"/>
        <w:pageBreakBefore w:val="0"/>
        <w:widowControl/>
        <w:overflowPunct/>
        <w:bidi w:val="0"/>
        <w:spacing w:line="360" w:lineRule="auto"/>
        <w:ind w:firstLine="420"/>
        <w:jc w:val="left"/>
        <w:rPr>
          <w:rFonts w:hint="eastAsia" w:ascii="宋体" w:hAnsi="宋体" w:eastAsia="宋体" w:cs="宋体"/>
          <w:kern w:val="0"/>
          <w:szCs w:val="24"/>
          <w:highlight w:val="none"/>
        </w:rPr>
      </w:pPr>
      <w:r>
        <w:rPr>
          <w:rFonts w:hint="eastAsia" w:ascii="宋体" w:hAnsi="宋体" w:eastAsia="宋体" w:cs="宋体"/>
          <w:kern w:val="0"/>
          <w:szCs w:val="24"/>
          <w:highlight w:val="none"/>
        </w:rPr>
        <w:t>3、我方同意所递交的响应文件在</w:t>
      </w:r>
      <w:r>
        <w:rPr>
          <w:rFonts w:hint="eastAsia" w:ascii="宋体" w:hAnsi="宋体" w:eastAsia="宋体" w:cs="宋体"/>
          <w:szCs w:val="24"/>
          <w:highlight w:val="none"/>
        </w:rPr>
        <w:t>竞争性磋商文件</w:t>
      </w:r>
      <w:r>
        <w:rPr>
          <w:rFonts w:hint="eastAsia" w:ascii="宋体" w:hAnsi="宋体" w:eastAsia="宋体" w:cs="宋体"/>
          <w:kern w:val="0"/>
          <w:szCs w:val="24"/>
          <w:highlight w:val="none"/>
        </w:rPr>
        <w:t>规定的磋商有效期</w:t>
      </w:r>
      <w:r>
        <w:rPr>
          <w:rFonts w:hint="eastAsia" w:ascii="宋体" w:hAnsi="宋体" w:eastAsia="宋体" w:cs="宋体"/>
          <w:kern w:val="0"/>
          <w:szCs w:val="24"/>
          <w:highlight w:val="none"/>
          <w:u w:val="single"/>
        </w:rPr>
        <w:t xml:space="preserve">   </w:t>
      </w:r>
      <w:r>
        <w:rPr>
          <w:rFonts w:hint="eastAsia" w:ascii="宋体" w:hAnsi="宋体" w:eastAsia="宋体" w:cs="宋体"/>
          <w:spacing w:val="6"/>
          <w:szCs w:val="24"/>
          <w:highlight w:val="none"/>
        </w:rPr>
        <w:t>日历天</w:t>
      </w:r>
      <w:r>
        <w:rPr>
          <w:rFonts w:hint="eastAsia" w:ascii="宋体" w:hAnsi="宋体" w:eastAsia="宋体" w:cs="宋体"/>
          <w:kern w:val="0"/>
          <w:szCs w:val="24"/>
          <w:highlight w:val="none"/>
        </w:rPr>
        <w:t>内有效，在此期间我方有可能成交，我方将受此约束。</w:t>
      </w:r>
    </w:p>
    <w:p w14:paraId="0AAF4497">
      <w:pPr>
        <w:keepNext w:val="0"/>
        <w:pageBreakBefore w:val="0"/>
        <w:widowControl/>
        <w:overflowPunct/>
        <w:bidi w:val="0"/>
        <w:spacing w:line="360" w:lineRule="auto"/>
        <w:ind w:firstLine="420"/>
        <w:jc w:val="left"/>
        <w:rPr>
          <w:rFonts w:hint="eastAsia" w:ascii="宋体" w:hAnsi="宋体" w:eastAsia="宋体" w:cs="宋体"/>
          <w:kern w:val="0"/>
          <w:szCs w:val="24"/>
          <w:highlight w:val="none"/>
        </w:rPr>
      </w:pPr>
      <w:r>
        <w:rPr>
          <w:rFonts w:hint="eastAsia" w:ascii="宋体" w:hAnsi="宋体" w:eastAsia="宋体" w:cs="宋体"/>
          <w:kern w:val="0"/>
          <w:szCs w:val="24"/>
          <w:highlight w:val="none"/>
        </w:rPr>
        <w:t>4、除非另外达成协议并生效，贵方的成交通知书和本响应文件将构成约束我们双方的合同。</w:t>
      </w:r>
    </w:p>
    <w:p w14:paraId="5BA4115A">
      <w:pPr>
        <w:keepNext w:val="0"/>
        <w:keepLines w:val="0"/>
        <w:pageBreakBefore w:val="0"/>
        <w:widowControl w:val="0"/>
        <w:suppressLineNumbers w:val="0"/>
        <w:kinsoku/>
        <w:wordWrap/>
        <w:overflowPunct/>
        <w:bidi w:val="0"/>
        <w:spacing w:before="0" w:beforeAutospacing="0" w:after="0" w:afterAutospacing="0" w:line="360" w:lineRule="auto"/>
        <w:ind w:left="0" w:right="0" w:firstLine="4140" w:firstLineChars="1725"/>
        <w:jc w:val="both"/>
        <w:rPr>
          <w:rFonts w:hint="eastAsia" w:ascii="宋体" w:hAnsi="宋体" w:eastAsia="宋体" w:cs="宋体"/>
          <w:kern w:val="2"/>
          <w:sz w:val="24"/>
          <w:szCs w:val="22"/>
          <w:highlight w:val="none"/>
          <w:lang w:val="en-US" w:eastAsia="zh-CN" w:bidi="ar"/>
        </w:rPr>
      </w:pPr>
    </w:p>
    <w:p w14:paraId="70220403">
      <w:pPr>
        <w:keepNext w:val="0"/>
        <w:keepLines w:val="0"/>
        <w:pageBreakBefore w:val="0"/>
        <w:widowControl w:val="0"/>
        <w:suppressLineNumbers w:val="0"/>
        <w:kinsoku/>
        <w:wordWrap/>
        <w:overflowPunct/>
        <w:bidi w:val="0"/>
        <w:spacing w:before="0" w:beforeAutospacing="0" w:after="0" w:afterAutospacing="0" w:line="360" w:lineRule="auto"/>
        <w:ind w:left="0" w:right="0" w:firstLine="4140" w:firstLineChars="1725"/>
        <w:jc w:val="both"/>
        <w:rPr>
          <w:rFonts w:hint="eastAsia" w:ascii="宋体" w:hAnsi="宋体" w:eastAsia="宋体" w:cs="宋体"/>
          <w:kern w:val="2"/>
          <w:sz w:val="24"/>
          <w:szCs w:val="22"/>
          <w:highlight w:val="none"/>
          <w:lang w:val="en-US" w:eastAsia="zh-CN" w:bidi="ar"/>
        </w:rPr>
      </w:pPr>
    </w:p>
    <w:p w14:paraId="44A863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2"/>
          <w:highlight w:val="none"/>
          <w:lang w:val="en-US"/>
        </w:rPr>
      </w:pPr>
      <w:r>
        <w:rPr>
          <w:rFonts w:hint="eastAsia" w:ascii="宋体" w:hAnsi="宋体" w:eastAsia="宋体" w:cs="宋体"/>
          <w:kern w:val="2"/>
          <w:sz w:val="24"/>
          <w:szCs w:val="22"/>
          <w:highlight w:val="none"/>
          <w:lang w:val="en-US" w:eastAsia="zh-CN" w:bidi="ar"/>
        </w:rPr>
        <w:t>供应商（盖章）：</w:t>
      </w:r>
    </w:p>
    <w:p w14:paraId="2F27AD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2"/>
          <w:highlight w:val="none"/>
          <w:lang w:val="en-US"/>
        </w:rPr>
      </w:pPr>
      <w:r>
        <w:rPr>
          <w:rFonts w:hint="eastAsia" w:ascii="宋体" w:hAnsi="宋体" w:eastAsia="宋体" w:cs="宋体"/>
          <w:kern w:val="2"/>
          <w:sz w:val="24"/>
          <w:szCs w:val="22"/>
          <w:highlight w:val="none"/>
          <w:lang w:val="en-US" w:eastAsia="zh-CN" w:bidi="ar"/>
        </w:rPr>
        <w:t>法人代表或委托代理人（签字或盖章）：</w:t>
      </w:r>
    </w:p>
    <w:p w14:paraId="42A88F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2"/>
          <w:highlight w:val="none"/>
          <w:lang w:val="en-US"/>
        </w:rPr>
      </w:pPr>
      <w:r>
        <w:rPr>
          <w:rFonts w:hint="eastAsia" w:ascii="宋体" w:hAnsi="宋体" w:eastAsia="宋体" w:cs="宋体"/>
          <w:kern w:val="2"/>
          <w:sz w:val="24"/>
          <w:szCs w:val="22"/>
          <w:highlight w:val="none"/>
          <w:lang w:val="en-US" w:eastAsia="zh-CN" w:bidi="ar"/>
        </w:rPr>
        <w:t>日期：</w:t>
      </w:r>
      <w:r>
        <w:rPr>
          <w:rFonts w:hint="eastAsia" w:ascii="宋体" w:hAnsi="宋体" w:eastAsia="宋体" w:cs="宋体"/>
          <w:kern w:val="2"/>
          <w:sz w:val="24"/>
          <w:szCs w:val="22"/>
          <w:highlight w:val="none"/>
          <w:u w:val="single"/>
          <w:lang w:val="en-US" w:eastAsia="zh-CN" w:bidi="ar"/>
        </w:rPr>
        <w:t xml:space="preserve">         </w:t>
      </w:r>
      <w:r>
        <w:rPr>
          <w:rFonts w:hint="eastAsia" w:ascii="宋体" w:hAnsi="宋体" w:eastAsia="宋体" w:cs="宋体"/>
          <w:kern w:val="2"/>
          <w:sz w:val="24"/>
          <w:szCs w:val="22"/>
          <w:highlight w:val="none"/>
          <w:lang w:val="en-US" w:eastAsia="zh-CN" w:bidi="ar"/>
        </w:rPr>
        <w:t>年</w:t>
      </w:r>
      <w:r>
        <w:rPr>
          <w:rFonts w:hint="eastAsia" w:ascii="宋体" w:hAnsi="宋体" w:eastAsia="宋体" w:cs="宋体"/>
          <w:kern w:val="2"/>
          <w:sz w:val="24"/>
          <w:szCs w:val="22"/>
          <w:highlight w:val="none"/>
          <w:u w:val="single"/>
          <w:lang w:val="en-US" w:eastAsia="zh-CN" w:bidi="ar"/>
        </w:rPr>
        <w:t xml:space="preserve">      </w:t>
      </w:r>
      <w:r>
        <w:rPr>
          <w:rFonts w:hint="eastAsia" w:ascii="宋体" w:hAnsi="宋体" w:eastAsia="宋体" w:cs="宋体"/>
          <w:kern w:val="2"/>
          <w:sz w:val="24"/>
          <w:szCs w:val="22"/>
          <w:highlight w:val="none"/>
          <w:lang w:val="en-US" w:eastAsia="zh-CN" w:bidi="ar"/>
        </w:rPr>
        <w:t>月</w:t>
      </w:r>
      <w:r>
        <w:rPr>
          <w:rFonts w:hint="eastAsia" w:ascii="宋体" w:hAnsi="宋体" w:eastAsia="宋体" w:cs="宋体"/>
          <w:kern w:val="2"/>
          <w:sz w:val="24"/>
          <w:szCs w:val="22"/>
          <w:highlight w:val="none"/>
          <w:u w:val="single"/>
          <w:lang w:val="en-US" w:eastAsia="zh-CN" w:bidi="ar"/>
        </w:rPr>
        <w:t xml:space="preserve">      </w:t>
      </w:r>
      <w:r>
        <w:rPr>
          <w:rFonts w:hint="eastAsia" w:ascii="宋体" w:hAnsi="宋体" w:eastAsia="宋体" w:cs="宋体"/>
          <w:kern w:val="2"/>
          <w:sz w:val="24"/>
          <w:szCs w:val="22"/>
          <w:highlight w:val="none"/>
          <w:lang w:val="en-US" w:eastAsia="zh-CN" w:bidi="ar"/>
        </w:rPr>
        <w:t>日</w:t>
      </w:r>
    </w:p>
    <w:p w14:paraId="61BA258D">
      <w:pPr>
        <w:keepNext w:val="0"/>
        <w:keepLines w:val="0"/>
        <w:pageBreakBefore w:val="0"/>
        <w:widowControl w:val="0"/>
        <w:kinsoku/>
        <w:wordWrap/>
        <w:overflowPunct/>
        <w:topLinePunct w:val="0"/>
        <w:autoSpaceDE/>
        <w:autoSpaceDN/>
        <w:bidi w:val="0"/>
        <w:adjustRightInd/>
        <w:snapToGrid/>
        <w:spacing w:before="44" w:line="360" w:lineRule="auto"/>
        <w:ind w:left="788" w:right="788"/>
        <w:jc w:val="center"/>
        <w:textAlignment w:val="auto"/>
        <w:outlineLvl w:val="1"/>
        <w:rPr>
          <w:rFonts w:hint="eastAsia" w:ascii="宋体" w:hAnsi="宋体" w:eastAsia="宋体" w:cs="宋体"/>
          <w:b/>
          <w:sz w:val="28"/>
          <w:szCs w:val="28"/>
          <w:highlight w:val="none"/>
        </w:rPr>
      </w:pPr>
      <w:r>
        <w:rPr>
          <w:rFonts w:hint="eastAsia" w:ascii="宋体" w:hAnsi="宋体" w:eastAsia="宋体" w:cs="宋体"/>
          <w:bCs/>
          <w:szCs w:val="21"/>
          <w:highlight w:val="none"/>
        </w:rPr>
        <w:br w:type="page"/>
      </w:r>
      <w:bookmarkStart w:id="28" w:name="_Toc23164"/>
      <w:r>
        <w:rPr>
          <w:rFonts w:hint="eastAsia" w:ascii="宋体" w:hAnsi="宋体" w:eastAsia="宋体" w:cs="宋体"/>
          <w:b/>
          <w:kern w:val="0"/>
          <w:sz w:val="28"/>
          <w:szCs w:val="28"/>
          <w:highlight w:val="none"/>
        </w:rPr>
        <w:t>四、</w:t>
      </w:r>
      <w:bookmarkEnd w:id="25"/>
      <w:bookmarkStart w:id="29" w:name="_Toc25552"/>
      <w:r>
        <w:rPr>
          <w:rFonts w:hint="eastAsia" w:ascii="宋体" w:hAnsi="宋体" w:eastAsia="宋体" w:cs="宋体"/>
          <w:b/>
          <w:sz w:val="28"/>
          <w:szCs w:val="28"/>
          <w:highlight w:val="none"/>
        </w:rPr>
        <w:t>首次报价一览表</w:t>
      </w:r>
      <w:bookmarkEnd w:id="28"/>
    </w:p>
    <w:tbl>
      <w:tblPr>
        <w:tblStyle w:val="17"/>
        <w:tblW w:w="86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15"/>
        <w:gridCol w:w="1131"/>
        <w:gridCol w:w="2169"/>
        <w:gridCol w:w="1650"/>
        <w:gridCol w:w="1082"/>
      </w:tblGrid>
      <w:tr w14:paraId="32C93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jc w:val="center"/>
        </w:trPr>
        <w:tc>
          <w:tcPr>
            <w:tcW w:w="2615" w:type="dxa"/>
            <w:noWrap w:val="0"/>
            <w:vAlign w:val="center"/>
          </w:tcPr>
          <w:p w14:paraId="4B646A73">
            <w:pPr>
              <w:keepNext w:val="0"/>
              <w:keepLines w:val="0"/>
              <w:pageBreakBefore w:val="0"/>
              <w:widowControl w:val="0"/>
              <w:kinsoku/>
              <w:wordWrap/>
              <w:overflowPunct/>
              <w:topLinePunct w:val="0"/>
              <w:autoSpaceDE w:val="0"/>
              <w:autoSpaceDN w:val="0"/>
              <w:bidi w:val="0"/>
              <w:adjustRightInd/>
              <w:snapToGrid/>
              <w:spacing w:before="171" w:line="360" w:lineRule="auto"/>
              <w:ind w:right="263"/>
              <w:jc w:val="center"/>
              <w:textAlignment w:val="auto"/>
              <w:outlineLvl w:val="9"/>
              <w:rPr>
                <w:rFonts w:hint="eastAsia" w:ascii="宋体" w:hAnsi="宋体" w:eastAsia="宋体" w:cs="宋体"/>
                <w:kern w:val="0"/>
                <w:szCs w:val="24"/>
                <w:highlight w:val="none"/>
                <w:lang w:val="zh-CN" w:eastAsia="en-US" w:bidi="zh-CN"/>
              </w:rPr>
            </w:pPr>
            <w:r>
              <w:rPr>
                <w:rFonts w:hint="eastAsia" w:ascii="宋体" w:hAnsi="宋体" w:eastAsia="宋体" w:cs="宋体"/>
                <w:kern w:val="0"/>
                <w:szCs w:val="24"/>
                <w:highlight w:val="none"/>
                <w:lang w:val="zh-CN" w:eastAsia="en-US" w:bidi="zh-CN"/>
              </w:rPr>
              <w:t>项目名称</w:t>
            </w:r>
          </w:p>
        </w:tc>
        <w:tc>
          <w:tcPr>
            <w:tcW w:w="6032" w:type="dxa"/>
            <w:gridSpan w:val="4"/>
            <w:noWrap w:val="0"/>
            <w:vAlign w:val="center"/>
          </w:tcPr>
          <w:p w14:paraId="09A79B6B">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eastAsia="宋体" w:cs="宋体"/>
                <w:kern w:val="0"/>
                <w:szCs w:val="24"/>
                <w:highlight w:val="none"/>
                <w:lang w:val="zh-CN" w:eastAsia="en-US" w:bidi="zh-CN"/>
              </w:rPr>
            </w:pPr>
          </w:p>
        </w:tc>
      </w:tr>
      <w:tr w14:paraId="0A6D8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2615" w:type="dxa"/>
            <w:noWrap w:val="0"/>
            <w:vAlign w:val="center"/>
          </w:tcPr>
          <w:p w14:paraId="19FB2330">
            <w:pPr>
              <w:keepNext w:val="0"/>
              <w:keepLines w:val="0"/>
              <w:pageBreakBefore w:val="0"/>
              <w:widowControl w:val="0"/>
              <w:kinsoku/>
              <w:wordWrap/>
              <w:overflowPunct/>
              <w:topLinePunct w:val="0"/>
              <w:autoSpaceDE w:val="0"/>
              <w:autoSpaceDN w:val="0"/>
              <w:bidi w:val="0"/>
              <w:adjustRightInd/>
              <w:snapToGrid/>
              <w:spacing w:before="171" w:line="360" w:lineRule="auto"/>
              <w:ind w:right="263"/>
              <w:jc w:val="center"/>
              <w:textAlignment w:val="auto"/>
              <w:outlineLvl w:val="9"/>
              <w:rPr>
                <w:rFonts w:hint="eastAsia" w:ascii="宋体" w:hAnsi="宋体" w:eastAsia="宋体" w:cs="宋体"/>
                <w:kern w:val="0"/>
                <w:szCs w:val="24"/>
                <w:highlight w:val="none"/>
                <w:lang w:val="zh-CN" w:eastAsia="en-US" w:bidi="zh-CN"/>
              </w:rPr>
            </w:pPr>
            <w:r>
              <w:rPr>
                <w:rFonts w:hint="eastAsia" w:ascii="宋体" w:hAnsi="宋体" w:eastAsia="宋体" w:cs="宋体"/>
                <w:kern w:val="0"/>
                <w:szCs w:val="24"/>
                <w:highlight w:val="none"/>
                <w:lang w:val="zh-CN" w:eastAsia="en-US" w:bidi="zh-CN"/>
              </w:rPr>
              <w:t>供应商</w:t>
            </w:r>
          </w:p>
        </w:tc>
        <w:tc>
          <w:tcPr>
            <w:tcW w:w="6032" w:type="dxa"/>
            <w:gridSpan w:val="4"/>
            <w:noWrap w:val="0"/>
            <w:vAlign w:val="center"/>
          </w:tcPr>
          <w:p w14:paraId="6A1AA6AA">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eastAsia="宋体" w:cs="宋体"/>
                <w:kern w:val="0"/>
                <w:szCs w:val="24"/>
                <w:highlight w:val="none"/>
                <w:lang w:val="zh-CN" w:eastAsia="en-US" w:bidi="zh-CN"/>
              </w:rPr>
            </w:pPr>
          </w:p>
        </w:tc>
      </w:tr>
      <w:tr w14:paraId="637C1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2615" w:type="dxa"/>
            <w:noWrap w:val="0"/>
            <w:vAlign w:val="center"/>
          </w:tcPr>
          <w:p w14:paraId="6900FE2E">
            <w:pPr>
              <w:keepNext w:val="0"/>
              <w:keepLines w:val="0"/>
              <w:pageBreakBefore w:val="0"/>
              <w:widowControl w:val="0"/>
              <w:kinsoku/>
              <w:wordWrap/>
              <w:overflowPunct/>
              <w:topLinePunct w:val="0"/>
              <w:autoSpaceDE w:val="0"/>
              <w:autoSpaceDN w:val="0"/>
              <w:bidi w:val="0"/>
              <w:adjustRightInd/>
              <w:snapToGrid/>
              <w:spacing w:before="171" w:line="360" w:lineRule="auto"/>
              <w:ind w:right="263"/>
              <w:jc w:val="center"/>
              <w:textAlignment w:val="auto"/>
              <w:outlineLvl w:val="9"/>
              <w:rPr>
                <w:rFonts w:hint="eastAsia" w:ascii="宋体" w:hAnsi="宋体" w:eastAsia="宋体" w:cs="宋体"/>
                <w:kern w:val="0"/>
                <w:szCs w:val="24"/>
                <w:highlight w:val="none"/>
                <w:lang w:val="zh-CN" w:eastAsia="en-US" w:bidi="zh-CN"/>
              </w:rPr>
            </w:pPr>
            <w:r>
              <w:rPr>
                <w:rFonts w:hint="eastAsia" w:ascii="宋体" w:hAnsi="宋体" w:eastAsia="宋体" w:cs="宋体"/>
                <w:kern w:val="0"/>
                <w:szCs w:val="24"/>
                <w:highlight w:val="none"/>
                <w:lang w:val="zh-CN" w:eastAsia="en-US" w:bidi="zh-CN"/>
              </w:rPr>
              <w:t>磋商报价</w:t>
            </w:r>
          </w:p>
        </w:tc>
        <w:tc>
          <w:tcPr>
            <w:tcW w:w="6032" w:type="dxa"/>
            <w:gridSpan w:val="4"/>
            <w:noWrap w:val="0"/>
            <w:vAlign w:val="center"/>
          </w:tcPr>
          <w:p w14:paraId="751C8023">
            <w:pPr>
              <w:keepNext w:val="0"/>
              <w:keepLines w:val="0"/>
              <w:pageBreakBefore w:val="0"/>
              <w:widowControl w:val="0"/>
              <w:tabs>
                <w:tab w:val="left" w:pos="5579"/>
              </w:tabs>
              <w:kinsoku/>
              <w:wordWrap/>
              <w:overflowPunct/>
              <w:topLinePunct w:val="0"/>
              <w:autoSpaceDE w:val="0"/>
              <w:autoSpaceDN w:val="0"/>
              <w:bidi w:val="0"/>
              <w:adjustRightInd/>
              <w:snapToGrid/>
              <w:spacing w:before="228" w:line="360" w:lineRule="auto"/>
              <w:ind w:right="884"/>
              <w:jc w:val="both"/>
              <w:textAlignment w:val="auto"/>
              <w:outlineLvl w:val="9"/>
              <w:rPr>
                <w:rFonts w:hint="eastAsia" w:ascii="宋体" w:hAnsi="宋体" w:eastAsia="宋体" w:cs="宋体"/>
                <w:kern w:val="0"/>
                <w:szCs w:val="24"/>
                <w:highlight w:val="none"/>
                <w:lang w:val="zh-CN" w:bidi="zh-CN"/>
              </w:rPr>
            </w:pPr>
            <w:r>
              <w:rPr>
                <w:rFonts w:hint="eastAsia" w:ascii="宋体" w:hAnsi="宋体" w:eastAsia="宋体" w:cs="宋体"/>
                <w:spacing w:val="-1"/>
                <w:kern w:val="0"/>
                <w:szCs w:val="24"/>
                <w:highlight w:val="none"/>
                <w:lang w:val="zh-CN" w:bidi="zh-CN"/>
              </w:rPr>
              <w:t>人</w:t>
            </w:r>
            <w:r>
              <w:rPr>
                <w:rFonts w:hint="eastAsia" w:ascii="宋体" w:hAnsi="宋体" w:eastAsia="宋体" w:cs="宋体"/>
                <w:kern w:val="0"/>
                <w:szCs w:val="24"/>
                <w:highlight w:val="none"/>
                <w:lang w:val="zh-CN" w:bidi="zh-CN"/>
              </w:rPr>
              <w:t>民币（大写）：</w:t>
            </w:r>
          </w:p>
          <w:p w14:paraId="082DF144">
            <w:pPr>
              <w:keepNext w:val="0"/>
              <w:keepLines w:val="0"/>
              <w:pageBreakBefore w:val="0"/>
              <w:widowControl w:val="0"/>
              <w:tabs>
                <w:tab w:val="left" w:pos="4859"/>
              </w:tabs>
              <w:kinsoku/>
              <w:wordWrap/>
              <w:overflowPunct/>
              <w:topLinePunct w:val="0"/>
              <w:autoSpaceDE w:val="0"/>
              <w:autoSpaceDN w:val="0"/>
              <w:bidi w:val="0"/>
              <w:adjustRightInd/>
              <w:snapToGrid/>
              <w:spacing w:before="192" w:line="360" w:lineRule="auto"/>
              <w:ind w:right="745" w:firstLine="714" w:firstLineChars="300"/>
              <w:jc w:val="both"/>
              <w:textAlignment w:val="auto"/>
              <w:outlineLvl w:val="9"/>
              <w:rPr>
                <w:rFonts w:hint="eastAsia" w:ascii="宋体" w:hAnsi="宋体" w:eastAsia="宋体" w:cs="宋体"/>
                <w:kern w:val="0"/>
                <w:szCs w:val="24"/>
                <w:highlight w:val="none"/>
                <w:lang w:val="zh-CN" w:bidi="zh-CN"/>
              </w:rPr>
            </w:pPr>
            <w:r>
              <w:rPr>
                <w:rFonts w:hint="eastAsia" w:ascii="宋体" w:hAnsi="宋体" w:eastAsia="宋体" w:cs="宋体"/>
                <w:spacing w:val="-1"/>
                <w:kern w:val="0"/>
                <w:szCs w:val="24"/>
                <w:highlight w:val="none"/>
                <w:lang w:val="zh-CN" w:bidi="zh-CN"/>
              </w:rPr>
              <w:t>（</w:t>
            </w:r>
            <w:r>
              <w:rPr>
                <w:rFonts w:hint="eastAsia" w:ascii="宋体" w:hAnsi="宋体" w:eastAsia="宋体" w:cs="宋体"/>
                <w:kern w:val="0"/>
                <w:szCs w:val="24"/>
                <w:highlight w:val="none"/>
                <w:lang w:val="zh-CN" w:bidi="zh-CN"/>
              </w:rPr>
              <w:t>小写）：￥</w:t>
            </w:r>
          </w:p>
        </w:tc>
      </w:tr>
      <w:tr w14:paraId="543A6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2615" w:type="dxa"/>
            <w:vMerge w:val="restart"/>
            <w:noWrap w:val="0"/>
            <w:vAlign w:val="center"/>
          </w:tcPr>
          <w:p w14:paraId="2B19A3C2">
            <w:pPr>
              <w:keepNext w:val="0"/>
              <w:keepLines w:val="0"/>
              <w:pageBreakBefore w:val="0"/>
              <w:widowControl w:val="0"/>
              <w:kinsoku/>
              <w:wordWrap/>
              <w:overflowPunct/>
              <w:topLinePunct w:val="0"/>
              <w:autoSpaceDE w:val="0"/>
              <w:autoSpaceDN w:val="0"/>
              <w:bidi w:val="0"/>
              <w:adjustRightInd/>
              <w:snapToGrid/>
              <w:spacing w:before="171" w:line="360" w:lineRule="auto"/>
              <w:ind w:right="263"/>
              <w:jc w:val="center"/>
              <w:textAlignment w:val="auto"/>
              <w:outlineLvl w:val="9"/>
              <w:rPr>
                <w:rFonts w:hint="eastAsia" w:ascii="宋体" w:hAnsi="宋体" w:eastAsia="宋体" w:cs="宋体"/>
                <w:kern w:val="0"/>
                <w:szCs w:val="24"/>
                <w:highlight w:val="none"/>
                <w:lang w:val="zh-CN" w:eastAsia="en-US" w:bidi="zh-CN"/>
              </w:rPr>
            </w:pPr>
            <w:r>
              <w:rPr>
                <w:rFonts w:hint="eastAsia" w:ascii="宋体" w:hAnsi="宋体" w:eastAsia="宋体" w:cs="宋体"/>
                <w:kern w:val="0"/>
                <w:szCs w:val="24"/>
                <w:highlight w:val="none"/>
                <w:lang w:val="zh-CN" w:eastAsia="en-US" w:bidi="zh-CN"/>
              </w:rPr>
              <w:t>项目负责人</w:t>
            </w:r>
          </w:p>
        </w:tc>
        <w:tc>
          <w:tcPr>
            <w:tcW w:w="1131" w:type="dxa"/>
            <w:vMerge w:val="restart"/>
            <w:noWrap w:val="0"/>
            <w:vAlign w:val="center"/>
          </w:tcPr>
          <w:p w14:paraId="00501B19">
            <w:pPr>
              <w:keepNext w:val="0"/>
              <w:keepLines w:val="0"/>
              <w:pageBreakBefore w:val="0"/>
              <w:widowControl w:val="0"/>
              <w:kinsoku/>
              <w:wordWrap/>
              <w:overflowPunct/>
              <w:topLinePunct w:val="0"/>
              <w:autoSpaceDE w:val="0"/>
              <w:autoSpaceDN w:val="0"/>
              <w:bidi w:val="0"/>
              <w:adjustRightInd/>
              <w:snapToGrid/>
              <w:spacing w:before="171" w:line="360" w:lineRule="auto"/>
              <w:ind w:right="263"/>
              <w:jc w:val="center"/>
              <w:textAlignment w:val="auto"/>
              <w:outlineLvl w:val="9"/>
              <w:rPr>
                <w:rFonts w:hint="eastAsia" w:ascii="宋体" w:hAnsi="宋体" w:eastAsia="宋体" w:cs="宋体"/>
                <w:kern w:val="0"/>
                <w:szCs w:val="24"/>
                <w:highlight w:val="none"/>
                <w:lang w:val="zh-CN" w:eastAsia="en-US" w:bidi="zh-CN"/>
              </w:rPr>
            </w:pPr>
            <w:r>
              <w:rPr>
                <w:rFonts w:hint="eastAsia" w:ascii="宋体" w:hAnsi="宋体" w:eastAsia="宋体" w:cs="宋体"/>
                <w:kern w:val="0"/>
                <w:szCs w:val="24"/>
                <w:highlight w:val="none"/>
                <w:lang w:val="zh-CN" w:eastAsia="en-US" w:bidi="zh-CN"/>
              </w:rPr>
              <w:t>姓名</w:t>
            </w:r>
          </w:p>
        </w:tc>
        <w:tc>
          <w:tcPr>
            <w:tcW w:w="2169" w:type="dxa"/>
            <w:vMerge w:val="restart"/>
            <w:noWrap w:val="0"/>
            <w:vAlign w:val="center"/>
          </w:tcPr>
          <w:p w14:paraId="2654447F">
            <w:pPr>
              <w:keepNext w:val="0"/>
              <w:keepLines w:val="0"/>
              <w:pageBreakBefore w:val="0"/>
              <w:widowControl w:val="0"/>
              <w:kinsoku/>
              <w:wordWrap/>
              <w:overflowPunct/>
              <w:topLinePunct w:val="0"/>
              <w:autoSpaceDE w:val="0"/>
              <w:autoSpaceDN w:val="0"/>
              <w:bidi w:val="0"/>
              <w:adjustRightInd/>
              <w:snapToGrid/>
              <w:spacing w:before="171" w:line="360" w:lineRule="auto"/>
              <w:ind w:right="263"/>
              <w:jc w:val="center"/>
              <w:textAlignment w:val="auto"/>
              <w:outlineLvl w:val="9"/>
              <w:rPr>
                <w:rFonts w:hint="eastAsia" w:ascii="宋体" w:hAnsi="宋体" w:eastAsia="宋体" w:cs="宋体"/>
                <w:kern w:val="0"/>
                <w:szCs w:val="24"/>
                <w:highlight w:val="none"/>
                <w:lang w:val="zh-CN" w:eastAsia="en-US" w:bidi="zh-CN"/>
              </w:rPr>
            </w:pPr>
          </w:p>
        </w:tc>
        <w:tc>
          <w:tcPr>
            <w:tcW w:w="1650" w:type="dxa"/>
            <w:noWrap w:val="0"/>
            <w:vAlign w:val="center"/>
          </w:tcPr>
          <w:p w14:paraId="33A765C9">
            <w:pPr>
              <w:keepNext w:val="0"/>
              <w:keepLines w:val="0"/>
              <w:pageBreakBefore w:val="0"/>
              <w:widowControl w:val="0"/>
              <w:kinsoku/>
              <w:wordWrap/>
              <w:overflowPunct/>
              <w:topLinePunct w:val="0"/>
              <w:autoSpaceDE w:val="0"/>
              <w:autoSpaceDN w:val="0"/>
              <w:bidi w:val="0"/>
              <w:adjustRightInd/>
              <w:snapToGrid/>
              <w:spacing w:before="171" w:line="360" w:lineRule="auto"/>
              <w:ind w:right="263"/>
              <w:jc w:val="center"/>
              <w:textAlignment w:val="auto"/>
              <w:outlineLvl w:val="9"/>
              <w:rPr>
                <w:rFonts w:hint="eastAsia" w:ascii="宋体" w:hAnsi="宋体" w:eastAsia="宋体" w:cs="宋体"/>
                <w:kern w:val="0"/>
                <w:szCs w:val="24"/>
                <w:highlight w:val="none"/>
                <w:lang w:val="zh-CN" w:eastAsia="en-US" w:bidi="zh-CN"/>
              </w:rPr>
            </w:pPr>
            <w:r>
              <w:rPr>
                <w:rFonts w:hint="eastAsia" w:ascii="宋体" w:hAnsi="宋体" w:eastAsia="宋体" w:cs="宋体"/>
                <w:kern w:val="0"/>
                <w:szCs w:val="24"/>
                <w:highlight w:val="none"/>
                <w:lang w:val="zh-CN" w:eastAsia="en-US" w:bidi="zh-CN"/>
              </w:rPr>
              <w:t>职称</w:t>
            </w:r>
          </w:p>
        </w:tc>
        <w:tc>
          <w:tcPr>
            <w:tcW w:w="1082" w:type="dxa"/>
            <w:noWrap w:val="0"/>
            <w:vAlign w:val="center"/>
          </w:tcPr>
          <w:p w14:paraId="61E97BFB">
            <w:pPr>
              <w:keepNext w:val="0"/>
              <w:keepLines w:val="0"/>
              <w:pageBreakBefore w:val="0"/>
              <w:widowControl w:val="0"/>
              <w:kinsoku/>
              <w:wordWrap/>
              <w:overflowPunct/>
              <w:topLinePunct w:val="0"/>
              <w:autoSpaceDE w:val="0"/>
              <w:autoSpaceDN w:val="0"/>
              <w:bidi w:val="0"/>
              <w:adjustRightInd/>
              <w:snapToGrid/>
              <w:spacing w:before="171" w:line="360" w:lineRule="auto"/>
              <w:ind w:right="263"/>
              <w:jc w:val="center"/>
              <w:textAlignment w:val="auto"/>
              <w:outlineLvl w:val="9"/>
              <w:rPr>
                <w:rFonts w:hint="eastAsia" w:ascii="宋体" w:hAnsi="宋体" w:eastAsia="宋体" w:cs="宋体"/>
                <w:kern w:val="0"/>
                <w:szCs w:val="24"/>
                <w:highlight w:val="none"/>
                <w:lang w:val="zh-CN" w:eastAsia="en-US" w:bidi="zh-CN"/>
              </w:rPr>
            </w:pPr>
          </w:p>
        </w:tc>
      </w:tr>
      <w:tr w14:paraId="0C6D2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2615" w:type="dxa"/>
            <w:vMerge w:val="continue"/>
            <w:tcBorders>
              <w:top w:val="nil"/>
            </w:tcBorders>
            <w:noWrap w:val="0"/>
            <w:vAlign w:val="center"/>
          </w:tcPr>
          <w:p w14:paraId="40E81899">
            <w:pPr>
              <w:keepNext w:val="0"/>
              <w:keepLines w:val="0"/>
              <w:pageBreakBefore w:val="0"/>
              <w:widowControl w:val="0"/>
              <w:kinsoku/>
              <w:wordWrap/>
              <w:overflowPunct/>
              <w:topLinePunct w:val="0"/>
              <w:autoSpaceDE w:val="0"/>
              <w:autoSpaceDN w:val="0"/>
              <w:bidi w:val="0"/>
              <w:adjustRightInd/>
              <w:snapToGrid/>
              <w:spacing w:before="171" w:line="360" w:lineRule="auto"/>
              <w:ind w:right="263"/>
              <w:jc w:val="center"/>
              <w:textAlignment w:val="auto"/>
              <w:outlineLvl w:val="9"/>
              <w:rPr>
                <w:rFonts w:hint="eastAsia" w:ascii="宋体" w:hAnsi="宋体" w:eastAsia="宋体" w:cs="宋体"/>
                <w:kern w:val="0"/>
                <w:szCs w:val="24"/>
                <w:highlight w:val="none"/>
                <w:lang w:val="zh-CN" w:eastAsia="en-US" w:bidi="zh-CN"/>
              </w:rPr>
            </w:pPr>
          </w:p>
        </w:tc>
        <w:tc>
          <w:tcPr>
            <w:tcW w:w="1131" w:type="dxa"/>
            <w:vMerge w:val="continue"/>
            <w:tcBorders>
              <w:top w:val="nil"/>
            </w:tcBorders>
            <w:noWrap w:val="0"/>
            <w:vAlign w:val="center"/>
          </w:tcPr>
          <w:p w14:paraId="33886989">
            <w:pPr>
              <w:keepNext w:val="0"/>
              <w:keepLines w:val="0"/>
              <w:pageBreakBefore w:val="0"/>
              <w:widowControl w:val="0"/>
              <w:kinsoku/>
              <w:wordWrap/>
              <w:overflowPunct/>
              <w:topLinePunct w:val="0"/>
              <w:autoSpaceDE w:val="0"/>
              <w:autoSpaceDN w:val="0"/>
              <w:bidi w:val="0"/>
              <w:adjustRightInd/>
              <w:snapToGrid/>
              <w:spacing w:before="171" w:line="360" w:lineRule="auto"/>
              <w:ind w:right="263"/>
              <w:jc w:val="center"/>
              <w:textAlignment w:val="auto"/>
              <w:outlineLvl w:val="9"/>
              <w:rPr>
                <w:rFonts w:hint="eastAsia" w:ascii="宋体" w:hAnsi="宋体" w:eastAsia="宋体" w:cs="宋体"/>
                <w:kern w:val="0"/>
                <w:szCs w:val="24"/>
                <w:highlight w:val="none"/>
                <w:lang w:val="zh-CN" w:eastAsia="en-US" w:bidi="zh-CN"/>
              </w:rPr>
            </w:pPr>
          </w:p>
        </w:tc>
        <w:tc>
          <w:tcPr>
            <w:tcW w:w="2169" w:type="dxa"/>
            <w:vMerge w:val="continue"/>
            <w:tcBorders>
              <w:top w:val="nil"/>
            </w:tcBorders>
            <w:noWrap w:val="0"/>
            <w:vAlign w:val="center"/>
          </w:tcPr>
          <w:p w14:paraId="0C1DFF13">
            <w:pPr>
              <w:keepNext w:val="0"/>
              <w:keepLines w:val="0"/>
              <w:pageBreakBefore w:val="0"/>
              <w:widowControl w:val="0"/>
              <w:kinsoku/>
              <w:wordWrap/>
              <w:overflowPunct/>
              <w:topLinePunct w:val="0"/>
              <w:autoSpaceDE w:val="0"/>
              <w:autoSpaceDN w:val="0"/>
              <w:bidi w:val="0"/>
              <w:adjustRightInd/>
              <w:snapToGrid/>
              <w:spacing w:before="171" w:line="360" w:lineRule="auto"/>
              <w:ind w:right="263"/>
              <w:jc w:val="center"/>
              <w:textAlignment w:val="auto"/>
              <w:outlineLvl w:val="9"/>
              <w:rPr>
                <w:rFonts w:hint="eastAsia" w:ascii="宋体" w:hAnsi="宋体" w:eastAsia="宋体" w:cs="宋体"/>
                <w:kern w:val="0"/>
                <w:szCs w:val="24"/>
                <w:highlight w:val="none"/>
                <w:lang w:val="zh-CN" w:eastAsia="en-US" w:bidi="zh-CN"/>
              </w:rPr>
            </w:pPr>
          </w:p>
        </w:tc>
        <w:tc>
          <w:tcPr>
            <w:tcW w:w="1650" w:type="dxa"/>
            <w:noWrap w:val="0"/>
            <w:vAlign w:val="center"/>
          </w:tcPr>
          <w:p w14:paraId="12AA5D79">
            <w:pPr>
              <w:keepNext w:val="0"/>
              <w:keepLines w:val="0"/>
              <w:pageBreakBefore w:val="0"/>
              <w:widowControl w:val="0"/>
              <w:kinsoku/>
              <w:wordWrap/>
              <w:overflowPunct/>
              <w:topLinePunct w:val="0"/>
              <w:autoSpaceDE w:val="0"/>
              <w:autoSpaceDN w:val="0"/>
              <w:bidi w:val="0"/>
              <w:adjustRightInd/>
              <w:snapToGrid/>
              <w:spacing w:before="171" w:line="360" w:lineRule="auto"/>
              <w:ind w:right="263"/>
              <w:jc w:val="center"/>
              <w:textAlignment w:val="auto"/>
              <w:outlineLvl w:val="9"/>
              <w:rPr>
                <w:rFonts w:hint="eastAsia" w:ascii="宋体" w:hAnsi="宋体" w:eastAsia="宋体" w:cs="宋体"/>
                <w:kern w:val="0"/>
                <w:szCs w:val="24"/>
                <w:highlight w:val="none"/>
                <w:lang w:val="zh-CN" w:eastAsia="en-US" w:bidi="zh-CN"/>
              </w:rPr>
            </w:pPr>
            <w:r>
              <w:rPr>
                <w:rFonts w:hint="eastAsia" w:ascii="宋体" w:hAnsi="宋体" w:eastAsia="宋体" w:cs="宋体"/>
                <w:kern w:val="0"/>
                <w:szCs w:val="24"/>
                <w:highlight w:val="none"/>
                <w:lang w:val="zh-CN" w:eastAsia="en-US" w:bidi="zh-CN"/>
              </w:rPr>
              <w:t>专业</w:t>
            </w:r>
          </w:p>
        </w:tc>
        <w:tc>
          <w:tcPr>
            <w:tcW w:w="1082" w:type="dxa"/>
            <w:noWrap w:val="0"/>
            <w:vAlign w:val="center"/>
          </w:tcPr>
          <w:p w14:paraId="26875ECF">
            <w:pPr>
              <w:keepNext w:val="0"/>
              <w:keepLines w:val="0"/>
              <w:pageBreakBefore w:val="0"/>
              <w:widowControl w:val="0"/>
              <w:kinsoku/>
              <w:wordWrap/>
              <w:overflowPunct/>
              <w:topLinePunct w:val="0"/>
              <w:autoSpaceDE w:val="0"/>
              <w:autoSpaceDN w:val="0"/>
              <w:bidi w:val="0"/>
              <w:adjustRightInd/>
              <w:snapToGrid/>
              <w:spacing w:before="171" w:line="360" w:lineRule="auto"/>
              <w:ind w:right="263"/>
              <w:jc w:val="center"/>
              <w:textAlignment w:val="auto"/>
              <w:outlineLvl w:val="9"/>
              <w:rPr>
                <w:rFonts w:hint="eastAsia" w:ascii="宋体" w:hAnsi="宋体" w:eastAsia="宋体" w:cs="宋体"/>
                <w:kern w:val="0"/>
                <w:szCs w:val="24"/>
                <w:highlight w:val="none"/>
                <w:lang w:val="zh-CN" w:eastAsia="en-US" w:bidi="zh-CN"/>
              </w:rPr>
            </w:pPr>
          </w:p>
        </w:tc>
      </w:tr>
      <w:tr w14:paraId="3B8A7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jc w:val="center"/>
        </w:trPr>
        <w:tc>
          <w:tcPr>
            <w:tcW w:w="2615" w:type="dxa"/>
            <w:noWrap w:val="0"/>
            <w:vAlign w:val="center"/>
          </w:tcPr>
          <w:p w14:paraId="0735CB97">
            <w:pPr>
              <w:keepNext w:val="0"/>
              <w:keepLines w:val="0"/>
              <w:pageBreakBefore w:val="0"/>
              <w:widowControl w:val="0"/>
              <w:kinsoku/>
              <w:wordWrap/>
              <w:overflowPunct/>
              <w:topLinePunct w:val="0"/>
              <w:autoSpaceDE w:val="0"/>
              <w:autoSpaceDN w:val="0"/>
              <w:bidi w:val="0"/>
              <w:adjustRightInd/>
              <w:snapToGrid/>
              <w:spacing w:before="171" w:line="360" w:lineRule="auto"/>
              <w:ind w:right="263"/>
              <w:jc w:val="center"/>
              <w:textAlignment w:val="auto"/>
              <w:outlineLvl w:val="9"/>
              <w:rPr>
                <w:rFonts w:hint="eastAsia" w:ascii="宋体" w:hAnsi="宋体" w:eastAsia="宋体" w:cs="宋体"/>
                <w:kern w:val="0"/>
                <w:szCs w:val="24"/>
                <w:highlight w:val="none"/>
                <w:lang w:val="zh-CN" w:eastAsia="en-US" w:bidi="zh-CN"/>
              </w:rPr>
            </w:pPr>
            <w:r>
              <w:rPr>
                <w:rFonts w:hint="eastAsia" w:ascii="宋体" w:hAnsi="宋体" w:eastAsia="宋体" w:cs="宋体"/>
                <w:kern w:val="0"/>
                <w:szCs w:val="24"/>
                <w:highlight w:val="none"/>
                <w:lang w:val="zh-CN" w:eastAsia="en-US" w:bidi="zh-CN"/>
              </w:rPr>
              <w:t>服务要求</w:t>
            </w:r>
          </w:p>
        </w:tc>
        <w:tc>
          <w:tcPr>
            <w:tcW w:w="6032" w:type="dxa"/>
            <w:gridSpan w:val="4"/>
            <w:noWrap w:val="0"/>
            <w:vAlign w:val="center"/>
          </w:tcPr>
          <w:p w14:paraId="5D069E1C">
            <w:pPr>
              <w:keepNext w:val="0"/>
              <w:keepLines w:val="0"/>
              <w:pageBreakBefore w:val="0"/>
              <w:widowControl w:val="0"/>
              <w:kinsoku/>
              <w:wordWrap/>
              <w:overflowPunct/>
              <w:topLinePunct w:val="0"/>
              <w:autoSpaceDE w:val="0"/>
              <w:autoSpaceDN w:val="0"/>
              <w:bidi w:val="0"/>
              <w:adjustRightInd/>
              <w:snapToGrid/>
              <w:spacing w:before="171" w:line="360" w:lineRule="auto"/>
              <w:ind w:right="263"/>
              <w:jc w:val="center"/>
              <w:textAlignment w:val="auto"/>
              <w:outlineLvl w:val="9"/>
              <w:rPr>
                <w:rFonts w:hint="eastAsia" w:ascii="宋体" w:hAnsi="宋体" w:eastAsia="宋体" w:cs="宋体"/>
                <w:kern w:val="0"/>
                <w:szCs w:val="24"/>
                <w:highlight w:val="none"/>
                <w:lang w:val="zh-CN" w:eastAsia="en-US" w:bidi="zh-CN"/>
              </w:rPr>
            </w:pPr>
          </w:p>
        </w:tc>
      </w:tr>
      <w:tr w14:paraId="54B5F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jc w:val="center"/>
        </w:trPr>
        <w:tc>
          <w:tcPr>
            <w:tcW w:w="2615" w:type="dxa"/>
            <w:noWrap w:val="0"/>
            <w:vAlign w:val="center"/>
          </w:tcPr>
          <w:p w14:paraId="4CF76F03">
            <w:pPr>
              <w:keepNext w:val="0"/>
              <w:keepLines w:val="0"/>
              <w:pageBreakBefore w:val="0"/>
              <w:widowControl w:val="0"/>
              <w:kinsoku/>
              <w:wordWrap/>
              <w:overflowPunct/>
              <w:topLinePunct w:val="0"/>
              <w:autoSpaceDE w:val="0"/>
              <w:autoSpaceDN w:val="0"/>
              <w:bidi w:val="0"/>
              <w:adjustRightInd/>
              <w:snapToGrid/>
              <w:spacing w:before="171" w:line="360" w:lineRule="auto"/>
              <w:ind w:right="263"/>
              <w:jc w:val="center"/>
              <w:textAlignment w:val="auto"/>
              <w:outlineLvl w:val="9"/>
              <w:rPr>
                <w:rFonts w:hint="default" w:ascii="宋体" w:hAnsi="宋体" w:eastAsia="宋体" w:cs="宋体"/>
                <w:kern w:val="0"/>
                <w:szCs w:val="24"/>
                <w:highlight w:val="none"/>
                <w:lang w:val="en-US" w:eastAsia="en-US" w:bidi="zh-CN"/>
              </w:rPr>
            </w:pPr>
            <w:r>
              <w:rPr>
                <w:rFonts w:hint="eastAsia" w:ascii="宋体" w:hAnsi="宋体" w:cs="宋体"/>
                <w:kern w:val="0"/>
                <w:szCs w:val="24"/>
                <w:highlight w:val="none"/>
                <w:lang w:val="en-US" w:eastAsia="en-US" w:bidi="zh-CN"/>
              </w:rPr>
              <w:t>服务周期</w:t>
            </w:r>
          </w:p>
        </w:tc>
        <w:tc>
          <w:tcPr>
            <w:tcW w:w="6032" w:type="dxa"/>
            <w:gridSpan w:val="4"/>
            <w:noWrap w:val="0"/>
            <w:vAlign w:val="center"/>
          </w:tcPr>
          <w:p w14:paraId="47F80539">
            <w:pPr>
              <w:keepNext w:val="0"/>
              <w:keepLines w:val="0"/>
              <w:pageBreakBefore w:val="0"/>
              <w:widowControl w:val="0"/>
              <w:kinsoku/>
              <w:wordWrap/>
              <w:overflowPunct/>
              <w:topLinePunct w:val="0"/>
              <w:autoSpaceDE w:val="0"/>
              <w:autoSpaceDN w:val="0"/>
              <w:bidi w:val="0"/>
              <w:adjustRightInd/>
              <w:snapToGrid/>
              <w:spacing w:before="171" w:line="360" w:lineRule="auto"/>
              <w:ind w:right="263"/>
              <w:jc w:val="center"/>
              <w:textAlignment w:val="auto"/>
              <w:outlineLvl w:val="9"/>
              <w:rPr>
                <w:rFonts w:hint="eastAsia" w:ascii="宋体" w:hAnsi="宋体" w:eastAsia="宋体" w:cs="宋体"/>
                <w:kern w:val="0"/>
                <w:szCs w:val="24"/>
                <w:highlight w:val="none"/>
                <w:lang w:val="zh-CN" w:eastAsia="en-US" w:bidi="zh-CN"/>
              </w:rPr>
            </w:pPr>
          </w:p>
        </w:tc>
      </w:tr>
      <w:tr w14:paraId="6E5FD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jc w:val="center"/>
        </w:trPr>
        <w:tc>
          <w:tcPr>
            <w:tcW w:w="2615" w:type="dxa"/>
            <w:noWrap w:val="0"/>
            <w:vAlign w:val="center"/>
          </w:tcPr>
          <w:p w14:paraId="0FC1BFC0">
            <w:pPr>
              <w:keepNext w:val="0"/>
              <w:keepLines w:val="0"/>
              <w:pageBreakBefore w:val="0"/>
              <w:widowControl w:val="0"/>
              <w:kinsoku/>
              <w:wordWrap/>
              <w:overflowPunct/>
              <w:topLinePunct w:val="0"/>
              <w:autoSpaceDE w:val="0"/>
              <w:autoSpaceDN w:val="0"/>
              <w:bidi w:val="0"/>
              <w:adjustRightInd/>
              <w:snapToGrid/>
              <w:spacing w:before="171" w:line="360" w:lineRule="auto"/>
              <w:ind w:right="263"/>
              <w:jc w:val="center"/>
              <w:textAlignment w:val="auto"/>
              <w:outlineLvl w:val="9"/>
              <w:rPr>
                <w:rFonts w:hint="eastAsia" w:ascii="宋体" w:hAnsi="宋体" w:eastAsia="宋体" w:cs="宋体"/>
                <w:kern w:val="0"/>
                <w:szCs w:val="24"/>
                <w:highlight w:val="none"/>
                <w:lang w:val="zh-CN" w:eastAsia="en-US" w:bidi="zh-CN"/>
              </w:rPr>
            </w:pPr>
            <w:r>
              <w:rPr>
                <w:rFonts w:hint="eastAsia" w:ascii="宋体" w:hAnsi="宋体" w:eastAsia="宋体" w:cs="宋体"/>
                <w:kern w:val="0"/>
                <w:szCs w:val="24"/>
                <w:highlight w:val="none"/>
                <w:lang w:val="zh-CN" w:eastAsia="en-US" w:bidi="zh-CN"/>
              </w:rPr>
              <w:t>备注</w:t>
            </w:r>
          </w:p>
        </w:tc>
        <w:tc>
          <w:tcPr>
            <w:tcW w:w="6032" w:type="dxa"/>
            <w:gridSpan w:val="4"/>
            <w:noWrap w:val="0"/>
            <w:vAlign w:val="center"/>
          </w:tcPr>
          <w:p w14:paraId="28252109">
            <w:pPr>
              <w:keepNext w:val="0"/>
              <w:keepLines w:val="0"/>
              <w:pageBreakBefore w:val="0"/>
              <w:widowControl w:val="0"/>
              <w:kinsoku/>
              <w:wordWrap/>
              <w:overflowPunct/>
              <w:topLinePunct w:val="0"/>
              <w:autoSpaceDE w:val="0"/>
              <w:autoSpaceDN w:val="0"/>
              <w:bidi w:val="0"/>
              <w:adjustRightInd/>
              <w:snapToGrid/>
              <w:spacing w:before="171" w:line="360" w:lineRule="auto"/>
              <w:ind w:right="263"/>
              <w:jc w:val="center"/>
              <w:textAlignment w:val="auto"/>
              <w:outlineLvl w:val="9"/>
              <w:rPr>
                <w:rFonts w:hint="eastAsia" w:ascii="宋体" w:hAnsi="宋体" w:eastAsia="宋体" w:cs="宋体"/>
                <w:kern w:val="0"/>
                <w:szCs w:val="24"/>
                <w:highlight w:val="none"/>
                <w:lang w:val="zh-CN" w:eastAsia="en-US" w:bidi="zh-CN"/>
              </w:rPr>
            </w:pPr>
          </w:p>
        </w:tc>
      </w:tr>
    </w:tbl>
    <w:p w14:paraId="51AAFCC5">
      <w:pPr>
        <w:keepNext w:val="0"/>
        <w:pageBreakBefore w:val="0"/>
        <w:overflowPunct/>
        <w:bidi w:val="0"/>
        <w:spacing w:line="360" w:lineRule="auto"/>
        <w:rPr>
          <w:rFonts w:hint="eastAsia" w:ascii="宋体" w:hAnsi="宋体" w:eastAsia="宋体" w:cs="宋体"/>
          <w:b/>
          <w:kern w:val="0"/>
          <w:sz w:val="28"/>
          <w:szCs w:val="28"/>
          <w:highlight w:val="none"/>
        </w:rPr>
      </w:pPr>
    </w:p>
    <w:p w14:paraId="3BB4311B">
      <w:pPr>
        <w:keepNext w:val="0"/>
        <w:pageBreakBefore w:val="0"/>
        <w:overflowPunct/>
        <w:bidi w:val="0"/>
        <w:spacing w:line="360" w:lineRule="auto"/>
        <w:rPr>
          <w:rFonts w:hint="eastAsia" w:ascii="宋体" w:hAnsi="宋体" w:eastAsia="宋体" w:cs="宋体"/>
          <w:kern w:val="0"/>
          <w:szCs w:val="24"/>
          <w:highlight w:val="none"/>
        </w:rPr>
      </w:pPr>
      <w:r>
        <w:rPr>
          <w:rFonts w:hint="eastAsia" w:ascii="宋体" w:hAnsi="宋体" w:eastAsia="宋体" w:cs="宋体"/>
          <w:kern w:val="0"/>
          <w:szCs w:val="24"/>
          <w:highlight w:val="none"/>
        </w:rPr>
        <w:t>注：服务费应包含人员工资、社会保险、管理费、利润、税金等所有内容。</w:t>
      </w:r>
    </w:p>
    <w:p w14:paraId="54EAAE99">
      <w:pPr>
        <w:keepNext w:val="0"/>
        <w:pageBreakBefore w:val="0"/>
        <w:overflowPunct/>
        <w:bidi w:val="0"/>
        <w:spacing w:before="3" w:line="360" w:lineRule="auto"/>
        <w:rPr>
          <w:rFonts w:hint="eastAsia" w:ascii="宋体" w:hAnsi="宋体" w:eastAsia="宋体" w:cs="宋体"/>
          <w:b/>
          <w:kern w:val="0"/>
          <w:sz w:val="28"/>
          <w:szCs w:val="28"/>
          <w:highlight w:val="none"/>
        </w:rPr>
      </w:pPr>
    </w:p>
    <w:p w14:paraId="6FCC47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2"/>
          <w:highlight w:val="none"/>
          <w:lang w:val="en-US"/>
        </w:rPr>
      </w:pPr>
      <w:r>
        <w:rPr>
          <w:rFonts w:hint="eastAsia" w:ascii="宋体" w:hAnsi="宋体" w:eastAsia="宋体" w:cs="宋体"/>
          <w:kern w:val="2"/>
          <w:sz w:val="24"/>
          <w:szCs w:val="22"/>
          <w:highlight w:val="none"/>
          <w:lang w:val="en-US" w:eastAsia="zh-CN" w:bidi="ar"/>
        </w:rPr>
        <w:t>供应商（盖章）：</w:t>
      </w:r>
    </w:p>
    <w:p w14:paraId="1381FE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2"/>
          <w:highlight w:val="none"/>
          <w:lang w:val="en-US"/>
        </w:rPr>
      </w:pPr>
      <w:r>
        <w:rPr>
          <w:rFonts w:hint="eastAsia" w:ascii="宋体" w:hAnsi="宋体" w:eastAsia="宋体" w:cs="宋体"/>
          <w:kern w:val="2"/>
          <w:sz w:val="24"/>
          <w:szCs w:val="22"/>
          <w:highlight w:val="none"/>
          <w:lang w:val="en-US" w:eastAsia="zh-CN" w:bidi="ar"/>
        </w:rPr>
        <w:t>法人代表或委托代理人（签字或盖章）：</w:t>
      </w:r>
    </w:p>
    <w:p w14:paraId="56E8C4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2"/>
          <w:highlight w:val="none"/>
          <w:lang w:val="en-US"/>
        </w:rPr>
      </w:pPr>
      <w:r>
        <w:rPr>
          <w:rFonts w:hint="eastAsia" w:ascii="宋体" w:hAnsi="宋体" w:eastAsia="宋体" w:cs="宋体"/>
          <w:kern w:val="2"/>
          <w:sz w:val="24"/>
          <w:szCs w:val="22"/>
          <w:highlight w:val="none"/>
          <w:lang w:val="en-US" w:eastAsia="zh-CN" w:bidi="ar"/>
        </w:rPr>
        <w:t>日期：</w:t>
      </w:r>
      <w:r>
        <w:rPr>
          <w:rFonts w:hint="eastAsia" w:ascii="宋体" w:hAnsi="宋体" w:eastAsia="宋体" w:cs="宋体"/>
          <w:kern w:val="2"/>
          <w:sz w:val="24"/>
          <w:szCs w:val="22"/>
          <w:highlight w:val="none"/>
          <w:u w:val="single"/>
          <w:lang w:val="en-US" w:eastAsia="zh-CN" w:bidi="ar"/>
        </w:rPr>
        <w:t xml:space="preserve">         </w:t>
      </w:r>
      <w:r>
        <w:rPr>
          <w:rFonts w:hint="eastAsia" w:ascii="宋体" w:hAnsi="宋体" w:eastAsia="宋体" w:cs="宋体"/>
          <w:kern w:val="2"/>
          <w:sz w:val="24"/>
          <w:szCs w:val="22"/>
          <w:highlight w:val="none"/>
          <w:lang w:val="en-US" w:eastAsia="zh-CN" w:bidi="ar"/>
        </w:rPr>
        <w:t>年</w:t>
      </w:r>
      <w:r>
        <w:rPr>
          <w:rFonts w:hint="eastAsia" w:ascii="宋体" w:hAnsi="宋体" w:eastAsia="宋体" w:cs="宋体"/>
          <w:kern w:val="2"/>
          <w:sz w:val="24"/>
          <w:szCs w:val="22"/>
          <w:highlight w:val="none"/>
          <w:u w:val="single"/>
          <w:lang w:val="en-US" w:eastAsia="zh-CN" w:bidi="ar"/>
        </w:rPr>
        <w:t xml:space="preserve">      </w:t>
      </w:r>
      <w:r>
        <w:rPr>
          <w:rFonts w:hint="eastAsia" w:ascii="宋体" w:hAnsi="宋体" w:eastAsia="宋体" w:cs="宋体"/>
          <w:kern w:val="2"/>
          <w:sz w:val="24"/>
          <w:szCs w:val="22"/>
          <w:highlight w:val="none"/>
          <w:lang w:val="en-US" w:eastAsia="zh-CN" w:bidi="ar"/>
        </w:rPr>
        <w:t>月</w:t>
      </w:r>
      <w:r>
        <w:rPr>
          <w:rFonts w:hint="eastAsia" w:ascii="宋体" w:hAnsi="宋体" w:eastAsia="宋体" w:cs="宋体"/>
          <w:kern w:val="2"/>
          <w:sz w:val="24"/>
          <w:szCs w:val="22"/>
          <w:highlight w:val="none"/>
          <w:u w:val="single"/>
          <w:lang w:val="en-US" w:eastAsia="zh-CN" w:bidi="ar"/>
        </w:rPr>
        <w:t xml:space="preserve">      </w:t>
      </w:r>
      <w:r>
        <w:rPr>
          <w:rFonts w:hint="eastAsia" w:ascii="宋体" w:hAnsi="宋体" w:eastAsia="宋体" w:cs="宋体"/>
          <w:kern w:val="2"/>
          <w:sz w:val="24"/>
          <w:szCs w:val="22"/>
          <w:highlight w:val="none"/>
          <w:lang w:val="en-US" w:eastAsia="zh-CN" w:bidi="ar"/>
        </w:rPr>
        <w:t>日</w:t>
      </w:r>
    </w:p>
    <w:p w14:paraId="380FDB4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bCs/>
          <w:sz w:val="28"/>
          <w:szCs w:val="28"/>
          <w:highlight w:val="none"/>
        </w:rPr>
      </w:pPr>
      <w:r>
        <w:rPr>
          <w:rFonts w:hint="eastAsia" w:ascii="宋体" w:hAnsi="宋体" w:eastAsia="宋体" w:cs="宋体"/>
          <w:kern w:val="0"/>
          <w:sz w:val="28"/>
          <w:szCs w:val="28"/>
          <w:highlight w:val="none"/>
        </w:rPr>
        <w:br w:type="page"/>
      </w:r>
      <w:bookmarkStart w:id="30" w:name="_Toc30815"/>
      <w:r>
        <w:rPr>
          <w:rFonts w:hint="eastAsia" w:ascii="宋体" w:hAnsi="宋体" w:eastAsia="宋体" w:cs="宋体"/>
          <w:b/>
          <w:kern w:val="2"/>
          <w:sz w:val="28"/>
          <w:szCs w:val="28"/>
          <w:highlight w:val="none"/>
        </w:rPr>
        <w:t>五、</w:t>
      </w:r>
      <w:r>
        <w:rPr>
          <w:rFonts w:hint="eastAsia" w:ascii="宋体" w:hAnsi="宋体" w:eastAsia="宋体" w:cs="宋体"/>
          <w:b/>
          <w:bCs w:val="0"/>
          <w:sz w:val="28"/>
          <w:szCs w:val="28"/>
          <w:highlight w:val="none"/>
        </w:rPr>
        <w:t>供应商基本情况表</w:t>
      </w:r>
      <w:bookmarkEnd w:id="30"/>
    </w:p>
    <w:tbl>
      <w:tblPr>
        <w:tblStyle w:val="17"/>
        <w:tblW w:w="8764" w:type="dxa"/>
        <w:jc w:val="center"/>
        <w:tblLayout w:type="fixed"/>
        <w:tblCellMar>
          <w:top w:w="0" w:type="dxa"/>
          <w:left w:w="108" w:type="dxa"/>
          <w:bottom w:w="0" w:type="dxa"/>
          <w:right w:w="108" w:type="dxa"/>
        </w:tblCellMar>
      </w:tblPr>
      <w:tblGrid>
        <w:gridCol w:w="1535"/>
        <w:gridCol w:w="1004"/>
        <w:gridCol w:w="842"/>
        <w:gridCol w:w="838"/>
        <w:gridCol w:w="419"/>
        <w:gridCol w:w="312"/>
        <w:gridCol w:w="1077"/>
        <w:gridCol w:w="487"/>
        <w:gridCol w:w="858"/>
        <w:gridCol w:w="1392"/>
      </w:tblGrid>
      <w:tr w14:paraId="252F139B">
        <w:tblPrEx>
          <w:tblCellMar>
            <w:top w:w="0" w:type="dxa"/>
            <w:left w:w="108" w:type="dxa"/>
            <w:bottom w:w="0" w:type="dxa"/>
            <w:right w:w="108" w:type="dxa"/>
          </w:tblCellMar>
        </w:tblPrEx>
        <w:trPr>
          <w:trHeight w:val="532"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14:paraId="7A16A958">
            <w:pPr>
              <w:keepNext w:val="0"/>
              <w:pageBreakBefore w:val="0"/>
              <w:overflowPunct/>
              <w:topLinePunct/>
              <w:bidi w:val="0"/>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供应商名称</w:t>
            </w:r>
          </w:p>
        </w:tc>
        <w:tc>
          <w:tcPr>
            <w:tcW w:w="7229" w:type="dxa"/>
            <w:gridSpan w:val="9"/>
            <w:tcBorders>
              <w:top w:val="single" w:color="auto" w:sz="4" w:space="0"/>
              <w:left w:val="nil"/>
              <w:bottom w:val="single" w:color="auto" w:sz="4" w:space="0"/>
              <w:right w:val="single" w:color="auto" w:sz="4" w:space="0"/>
            </w:tcBorders>
            <w:noWrap w:val="0"/>
            <w:vAlign w:val="center"/>
          </w:tcPr>
          <w:p w14:paraId="5F54D018">
            <w:pPr>
              <w:keepNext w:val="0"/>
              <w:pageBreakBefore w:val="0"/>
              <w:overflowPunct/>
              <w:topLinePunct/>
              <w:bidi w:val="0"/>
              <w:spacing w:line="360" w:lineRule="auto"/>
              <w:jc w:val="center"/>
              <w:rPr>
                <w:rFonts w:hint="eastAsia" w:ascii="宋体" w:hAnsi="宋体" w:eastAsia="宋体" w:cs="宋体"/>
                <w:szCs w:val="24"/>
                <w:highlight w:val="none"/>
              </w:rPr>
            </w:pPr>
          </w:p>
        </w:tc>
      </w:tr>
      <w:tr w14:paraId="521C42C2">
        <w:tblPrEx>
          <w:tblCellMar>
            <w:top w:w="0" w:type="dxa"/>
            <w:left w:w="108" w:type="dxa"/>
            <w:bottom w:w="0" w:type="dxa"/>
            <w:right w:w="108" w:type="dxa"/>
          </w:tblCellMar>
        </w:tblPrEx>
        <w:trPr>
          <w:trHeight w:val="579"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14:paraId="500D2FDF">
            <w:pPr>
              <w:keepNext w:val="0"/>
              <w:pageBreakBefore w:val="0"/>
              <w:overflowPunct/>
              <w:topLinePunct/>
              <w:bidi w:val="0"/>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注册地址</w:t>
            </w:r>
          </w:p>
        </w:tc>
        <w:tc>
          <w:tcPr>
            <w:tcW w:w="3415" w:type="dxa"/>
            <w:gridSpan w:val="5"/>
            <w:tcBorders>
              <w:top w:val="single" w:color="auto" w:sz="4" w:space="0"/>
              <w:left w:val="nil"/>
              <w:bottom w:val="single" w:color="auto" w:sz="4" w:space="0"/>
              <w:right w:val="single" w:color="auto" w:sz="4" w:space="0"/>
            </w:tcBorders>
            <w:noWrap w:val="0"/>
            <w:vAlign w:val="center"/>
          </w:tcPr>
          <w:p w14:paraId="5FF56A7E">
            <w:pPr>
              <w:keepNext w:val="0"/>
              <w:pageBreakBefore w:val="0"/>
              <w:overflowPunct/>
              <w:topLinePunct/>
              <w:bidi w:val="0"/>
              <w:spacing w:line="360" w:lineRule="auto"/>
              <w:jc w:val="center"/>
              <w:rPr>
                <w:rFonts w:hint="eastAsia" w:ascii="宋体" w:hAnsi="宋体" w:eastAsia="宋体" w:cs="宋体"/>
                <w:szCs w:val="24"/>
                <w:highlight w:val="none"/>
              </w:rPr>
            </w:pPr>
          </w:p>
        </w:tc>
        <w:tc>
          <w:tcPr>
            <w:tcW w:w="1077" w:type="dxa"/>
            <w:tcBorders>
              <w:top w:val="single" w:color="auto" w:sz="4" w:space="0"/>
              <w:left w:val="nil"/>
              <w:bottom w:val="single" w:color="auto" w:sz="4" w:space="0"/>
              <w:right w:val="single" w:color="auto" w:sz="4" w:space="0"/>
            </w:tcBorders>
            <w:noWrap w:val="0"/>
            <w:vAlign w:val="center"/>
          </w:tcPr>
          <w:p w14:paraId="6A90BA69">
            <w:pPr>
              <w:keepNext w:val="0"/>
              <w:pageBreakBefore w:val="0"/>
              <w:overflowPunct/>
              <w:topLinePunct/>
              <w:bidi w:val="0"/>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邮政编码</w:t>
            </w:r>
          </w:p>
        </w:tc>
        <w:tc>
          <w:tcPr>
            <w:tcW w:w="2737" w:type="dxa"/>
            <w:gridSpan w:val="3"/>
            <w:tcBorders>
              <w:top w:val="single" w:color="auto" w:sz="4" w:space="0"/>
              <w:left w:val="nil"/>
              <w:bottom w:val="single" w:color="auto" w:sz="4" w:space="0"/>
              <w:right w:val="single" w:color="auto" w:sz="4" w:space="0"/>
            </w:tcBorders>
            <w:noWrap w:val="0"/>
            <w:vAlign w:val="center"/>
          </w:tcPr>
          <w:p w14:paraId="121963FB">
            <w:pPr>
              <w:keepNext w:val="0"/>
              <w:pageBreakBefore w:val="0"/>
              <w:overflowPunct/>
              <w:topLinePunct/>
              <w:bidi w:val="0"/>
              <w:spacing w:line="360" w:lineRule="auto"/>
              <w:jc w:val="center"/>
              <w:rPr>
                <w:rFonts w:hint="eastAsia" w:ascii="宋体" w:hAnsi="宋体" w:eastAsia="宋体" w:cs="宋体"/>
                <w:szCs w:val="24"/>
                <w:highlight w:val="none"/>
              </w:rPr>
            </w:pPr>
          </w:p>
        </w:tc>
      </w:tr>
      <w:tr w14:paraId="24F9D409">
        <w:tblPrEx>
          <w:tblCellMar>
            <w:top w:w="0" w:type="dxa"/>
            <w:left w:w="108" w:type="dxa"/>
            <w:bottom w:w="0" w:type="dxa"/>
            <w:right w:w="108" w:type="dxa"/>
          </w:tblCellMar>
        </w:tblPrEx>
        <w:trPr>
          <w:cantSplit/>
          <w:trHeight w:val="573" w:hRule="atLeast"/>
          <w:jc w:val="center"/>
        </w:trPr>
        <w:tc>
          <w:tcPr>
            <w:tcW w:w="1535" w:type="dxa"/>
            <w:vMerge w:val="restart"/>
            <w:tcBorders>
              <w:top w:val="nil"/>
              <w:left w:val="single" w:color="auto" w:sz="4" w:space="0"/>
              <w:bottom w:val="single" w:color="auto" w:sz="4" w:space="0"/>
              <w:right w:val="single" w:color="auto" w:sz="4" w:space="0"/>
            </w:tcBorders>
            <w:noWrap w:val="0"/>
            <w:vAlign w:val="center"/>
          </w:tcPr>
          <w:p w14:paraId="0E405ABE">
            <w:pPr>
              <w:keepNext w:val="0"/>
              <w:pageBreakBefore w:val="0"/>
              <w:overflowPunct/>
              <w:topLinePunct/>
              <w:bidi w:val="0"/>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联系方式</w:t>
            </w:r>
          </w:p>
        </w:tc>
        <w:tc>
          <w:tcPr>
            <w:tcW w:w="1004" w:type="dxa"/>
            <w:tcBorders>
              <w:top w:val="single" w:color="auto" w:sz="4" w:space="0"/>
              <w:left w:val="nil"/>
              <w:bottom w:val="single" w:color="auto" w:sz="4" w:space="0"/>
              <w:right w:val="single" w:color="auto" w:sz="4" w:space="0"/>
            </w:tcBorders>
            <w:noWrap w:val="0"/>
            <w:vAlign w:val="center"/>
          </w:tcPr>
          <w:p w14:paraId="2509CF14">
            <w:pPr>
              <w:keepNext w:val="0"/>
              <w:pageBreakBefore w:val="0"/>
              <w:overflowPunct/>
              <w:topLinePunct/>
              <w:bidi w:val="0"/>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联系人</w:t>
            </w:r>
          </w:p>
        </w:tc>
        <w:tc>
          <w:tcPr>
            <w:tcW w:w="2411" w:type="dxa"/>
            <w:gridSpan w:val="4"/>
            <w:tcBorders>
              <w:top w:val="single" w:color="auto" w:sz="4" w:space="0"/>
              <w:left w:val="nil"/>
              <w:bottom w:val="single" w:color="auto" w:sz="4" w:space="0"/>
              <w:right w:val="single" w:color="auto" w:sz="4" w:space="0"/>
            </w:tcBorders>
            <w:noWrap w:val="0"/>
            <w:vAlign w:val="center"/>
          </w:tcPr>
          <w:p w14:paraId="08B06849">
            <w:pPr>
              <w:keepNext w:val="0"/>
              <w:pageBreakBefore w:val="0"/>
              <w:overflowPunct/>
              <w:topLinePunct/>
              <w:bidi w:val="0"/>
              <w:spacing w:line="360" w:lineRule="auto"/>
              <w:jc w:val="center"/>
              <w:rPr>
                <w:rFonts w:hint="eastAsia" w:ascii="宋体" w:hAnsi="宋体" w:eastAsia="宋体" w:cs="宋体"/>
                <w:szCs w:val="24"/>
                <w:highlight w:val="none"/>
              </w:rPr>
            </w:pPr>
          </w:p>
        </w:tc>
        <w:tc>
          <w:tcPr>
            <w:tcW w:w="1077" w:type="dxa"/>
            <w:tcBorders>
              <w:top w:val="single" w:color="auto" w:sz="4" w:space="0"/>
              <w:left w:val="nil"/>
              <w:bottom w:val="single" w:color="auto" w:sz="4" w:space="0"/>
              <w:right w:val="single" w:color="auto" w:sz="4" w:space="0"/>
            </w:tcBorders>
            <w:noWrap w:val="0"/>
            <w:vAlign w:val="center"/>
          </w:tcPr>
          <w:p w14:paraId="769C33BC">
            <w:pPr>
              <w:keepNext w:val="0"/>
              <w:pageBreakBefore w:val="0"/>
              <w:overflowPunct/>
              <w:topLinePunct/>
              <w:bidi w:val="0"/>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电 话</w:t>
            </w:r>
          </w:p>
        </w:tc>
        <w:tc>
          <w:tcPr>
            <w:tcW w:w="2737" w:type="dxa"/>
            <w:gridSpan w:val="3"/>
            <w:tcBorders>
              <w:top w:val="single" w:color="auto" w:sz="4" w:space="0"/>
              <w:left w:val="nil"/>
              <w:bottom w:val="single" w:color="auto" w:sz="4" w:space="0"/>
              <w:right w:val="single" w:color="auto" w:sz="4" w:space="0"/>
            </w:tcBorders>
            <w:noWrap w:val="0"/>
            <w:vAlign w:val="center"/>
          </w:tcPr>
          <w:p w14:paraId="3DDBB572">
            <w:pPr>
              <w:keepNext w:val="0"/>
              <w:pageBreakBefore w:val="0"/>
              <w:overflowPunct/>
              <w:topLinePunct/>
              <w:bidi w:val="0"/>
              <w:spacing w:line="360" w:lineRule="auto"/>
              <w:jc w:val="center"/>
              <w:rPr>
                <w:rFonts w:hint="eastAsia" w:ascii="宋体" w:hAnsi="宋体" w:eastAsia="宋体" w:cs="宋体"/>
                <w:szCs w:val="24"/>
                <w:highlight w:val="none"/>
              </w:rPr>
            </w:pPr>
          </w:p>
        </w:tc>
      </w:tr>
      <w:tr w14:paraId="695E360A">
        <w:tblPrEx>
          <w:tblCellMar>
            <w:top w:w="0" w:type="dxa"/>
            <w:left w:w="108" w:type="dxa"/>
            <w:bottom w:w="0" w:type="dxa"/>
            <w:right w:w="108" w:type="dxa"/>
          </w:tblCellMar>
        </w:tblPrEx>
        <w:trPr>
          <w:cantSplit/>
          <w:trHeight w:val="581" w:hRule="atLeast"/>
          <w:jc w:val="center"/>
        </w:trPr>
        <w:tc>
          <w:tcPr>
            <w:tcW w:w="1535" w:type="dxa"/>
            <w:vMerge w:val="continue"/>
            <w:tcBorders>
              <w:top w:val="nil"/>
              <w:left w:val="single" w:color="auto" w:sz="4" w:space="0"/>
              <w:bottom w:val="single" w:color="auto" w:sz="4" w:space="0"/>
              <w:right w:val="single" w:color="auto" w:sz="4" w:space="0"/>
            </w:tcBorders>
            <w:noWrap w:val="0"/>
            <w:vAlign w:val="center"/>
          </w:tcPr>
          <w:p w14:paraId="5485585C">
            <w:pPr>
              <w:keepNext w:val="0"/>
              <w:pageBreakBefore w:val="0"/>
              <w:widowControl/>
              <w:overflowPunct/>
              <w:bidi w:val="0"/>
              <w:spacing w:line="360" w:lineRule="auto"/>
              <w:jc w:val="left"/>
              <w:outlineLvl w:val="9"/>
              <w:rPr>
                <w:rFonts w:hint="eastAsia" w:ascii="宋体" w:hAnsi="宋体" w:eastAsia="宋体" w:cs="宋体"/>
                <w:szCs w:val="24"/>
                <w:highlight w:val="none"/>
              </w:rPr>
            </w:pPr>
          </w:p>
        </w:tc>
        <w:tc>
          <w:tcPr>
            <w:tcW w:w="1004" w:type="dxa"/>
            <w:tcBorders>
              <w:top w:val="single" w:color="auto" w:sz="4" w:space="0"/>
              <w:left w:val="nil"/>
              <w:bottom w:val="single" w:color="auto" w:sz="4" w:space="0"/>
              <w:right w:val="single" w:color="auto" w:sz="4" w:space="0"/>
            </w:tcBorders>
            <w:noWrap w:val="0"/>
            <w:vAlign w:val="center"/>
          </w:tcPr>
          <w:p w14:paraId="0E96E055">
            <w:pPr>
              <w:keepNext w:val="0"/>
              <w:pageBreakBefore w:val="0"/>
              <w:overflowPunct/>
              <w:topLinePunct/>
              <w:bidi w:val="0"/>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传 真</w:t>
            </w:r>
          </w:p>
        </w:tc>
        <w:tc>
          <w:tcPr>
            <w:tcW w:w="2411" w:type="dxa"/>
            <w:gridSpan w:val="4"/>
            <w:tcBorders>
              <w:top w:val="single" w:color="auto" w:sz="4" w:space="0"/>
              <w:left w:val="nil"/>
              <w:bottom w:val="single" w:color="auto" w:sz="4" w:space="0"/>
              <w:right w:val="single" w:color="auto" w:sz="4" w:space="0"/>
            </w:tcBorders>
            <w:noWrap w:val="0"/>
            <w:vAlign w:val="center"/>
          </w:tcPr>
          <w:p w14:paraId="5AB0FEFE">
            <w:pPr>
              <w:keepNext w:val="0"/>
              <w:pageBreakBefore w:val="0"/>
              <w:overflowPunct/>
              <w:topLinePunct/>
              <w:bidi w:val="0"/>
              <w:spacing w:line="360" w:lineRule="auto"/>
              <w:jc w:val="center"/>
              <w:rPr>
                <w:rFonts w:hint="eastAsia" w:ascii="宋体" w:hAnsi="宋体" w:eastAsia="宋体" w:cs="宋体"/>
                <w:szCs w:val="24"/>
                <w:highlight w:val="none"/>
              </w:rPr>
            </w:pPr>
          </w:p>
        </w:tc>
        <w:tc>
          <w:tcPr>
            <w:tcW w:w="1077" w:type="dxa"/>
            <w:tcBorders>
              <w:top w:val="single" w:color="auto" w:sz="4" w:space="0"/>
              <w:left w:val="nil"/>
              <w:bottom w:val="single" w:color="auto" w:sz="4" w:space="0"/>
              <w:right w:val="single" w:color="auto" w:sz="4" w:space="0"/>
            </w:tcBorders>
            <w:noWrap w:val="0"/>
            <w:vAlign w:val="center"/>
          </w:tcPr>
          <w:p w14:paraId="77626CEE">
            <w:pPr>
              <w:keepNext w:val="0"/>
              <w:pageBreakBefore w:val="0"/>
              <w:overflowPunct/>
              <w:topLinePunct/>
              <w:bidi w:val="0"/>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网 址</w:t>
            </w:r>
          </w:p>
        </w:tc>
        <w:tc>
          <w:tcPr>
            <w:tcW w:w="2737" w:type="dxa"/>
            <w:gridSpan w:val="3"/>
            <w:tcBorders>
              <w:top w:val="single" w:color="auto" w:sz="4" w:space="0"/>
              <w:left w:val="nil"/>
              <w:bottom w:val="single" w:color="auto" w:sz="4" w:space="0"/>
              <w:right w:val="single" w:color="auto" w:sz="4" w:space="0"/>
            </w:tcBorders>
            <w:noWrap w:val="0"/>
            <w:vAlign w:val="center"/>
          </w:tcPr>
          <w:p w14:paraId="02166C11">
            <w:pPr>
              <w:keepNext w:val="0"/>
              <w:pageBreakBefore w:val="0"/>
              <w:overflowPunct/>
              <w:topLinePunct/>
              <w:bidi w:val="0"/>
              <w:spacing w:line="360" w:lineRule="auto"/>
              <w:jc w:val="center"/>
              <w:rPr>
                <w:rFonts w:hint="eastAsia" w:ascii="宋体" w:hAnsi="宋体" w:eastAsia="宋体" w:cs="宋体"/>
                <w:szCs w:val="24"/>
                <w:highlight w:val="none"/>
              </w:rPr>
            </w:pPr>
          </w:p>
        </w:tc>
      </w:tr>
      <w:tr w14:paraId="621B138A">
        <w:tblPrEx>
          <w:tblCellMar>
            <w:top w:w="0" w:type="dxa"/>
            <w:left w:w="108" w:type="dxa"/>
            <w:bottom w:w="0" w:type="dxa"/>
            <w:right w:w="108" w:type="dxa"/>
          </w:tblCellMar>
        </w:tblPrEx>
        <w:trPr>
          <w:trHeight w:val="582"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14:paraId="0AF6070B">
            <w:pPr>
              <w:keepNext w:val="0"/>
              <w:pageBreakBefore w:val="0"/>
              <w:overflowPunct/>
              <w:topLinePunct/>
              <w:bidi w:val="0"/>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组织结构</w:t>
            </w:r>
          </w:p>
        </w:tc>
        <w:tc>
          <w:tcPr>
            <w:tcW w:w="7229" w:type="dxa"/>
            <w:gridSpan w:val="9"/>
            <w:tcBorders>
              <w:top w:val="single" w:color="auto" w:sz="4" w:space="0"/>
              <w:left w:val="nil"/>
              <w:bottom w:val="single" w:color="auto" w:sz="4" w:space="0"/>
              <w:right w:val="single" w:color="auto" w:sz="4" w:space="0"/>
            </w:tcBorders>
            <w:noWrap w:val="0"/>
            <w:vAlign w:val="center"/>
          </w:tcPr>
          <w:p w14:paraId="4EE8A508">
            <w:pPr>
              <w:keepNext w:val="0"/>
              <w:pageBreakBefore w:val="0"/>
              <w:overflowPunct/>
              <w:topLinePunct/>
              <w:bidi w:val="0"/>
              <w:spacing w:line="360" w:lineRule="auto"/>
              <w:jc w:val="center"/>
              <w:rPr>
                <w:rFonts w:hint="eastAsia" w:ascii="宋体" w:hAnsi="宋体" w:eastAsia="宋体" w:cs="宋体"/>
                <w:szCs w:val="24"/>
                <w:highlight w:val="none"/>
              </w:rPr>
            </w:pPr>
          </w:p>
        </w:tc>
      </w:tr>
      <w:tr w14:paraId="027E1468">
        <w:tblPrEx>
          <w:tblCellMar>
            <w:top w:w="0" w:type="dxa"/>
            <w:left w:w="108" w:type="dxa"/>
            <w:bottom w:w="0" w:type="dxa"/>
            <w:right w:w="108" w:type="dxa"/>
          </w:tblCellMar>
        </w:tblPrEx>
        <w:trPr>
          <w:trHeight w:val="576"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14:paraId="643835A1">
            <w:pPr>
              <w:keepNext w:val="0"/>
              <w:pageBreakBefore w:val="0"/>
              <w:overflowPunct/>
              <w:topLinePunct/>
              <w:bidi w:val="0"/>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法定代表人</w:t>
            </w:r>
          </w:p>
        </w:tc>
        <w:tc>
          <w:tcPr>
            <w:tcW w:w="1004" w:type="dxa"/>
            <w:tcBorders>
              <w:top w:val="single" w:color="auto" w:sz="4" w:space="0"/>
              <w:left w:val="nil"/>
              <w:bottom w:val="single" w:color="auto" w:sz="4" w:space="0"/>
              <w:right w:val="single" w:color="auto" w:sz="4" w:space="0"/>
            </w:tcBorders>
            <w:noWrap w:val="0"/>
            <w:vAlign w:val="center"/>
          </w:tcPr>
          <w:p w14:paraId="18567A3A">
            <w:pPr>
              <w:keepNext w:val="0"/>
              <w:pageBreakBefore w:val="0"/>
              <w:overflowPunct/>
              <w:topLinePunct/>
              <w:bidi w:val="0"/>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姓名</w:t>
            </w:r>
          </w:p>
        </w:tc>
        <w:tc>
          <w:tcPr>
            <w:tcW w:w="842" w:type="dxa"/>
            <w:tcBorders>
              <w:top w:val="single" w:color="auto" w:sz="4" w:space="0"/>
              <w:left w:val="nil"/>
              <w:bottom w:val="single" w:color="auto" w:sz="4" w:space="0"/>
              <w:right w:val="single" w:color="auto" w:sz="4" w:space="0"/>
            </w:tcBorders>
            <w:noWrap w:val="0"/>
            <w:vAlign w:val="center"/>
          </w:tcPr>
          <w:p w14:paraId="622DAC4A">
            <w:pPr>
              <w:keepNext w:val="0"/>
              <w:pageBreakBefore w:val="0"/>
              <w:overflowPunct/>
              <w:topLinePunct/>
              <w:bidi w:val="0"/>
              <w:spacing w:line="360" w:lineRule="auto"/>
              <w:jc w:val="center"/>
              <w:rPr>
                <w:rFonts w:hint="eastAsia" w:ascii="宋体" w:hAnsi="宋体" w:eastAsia="宋体" w:cs="宋体"/>
                <w:szCs w:val="24"/>
                <w:highlight w:val="none"/>
              </w:rPr>
            </w:pPr>
          </w:p>
        </w:tc>
        <w:tc>
          <w:tcPr>
            <w:tcW w:w="1257" w:type="dxa"/>
            <w:gridSpan w:val="2"/>
            <w:tcBorders>
              <w:top w:val="single" w:color="auto" w:sz="4" w:space="0"/>
              <w:left w:val="nil"/>
              <w:bottom w:val="single" w:color="auto" w:sz="4" w:space="0"/>
              <w:right w:val="single" w:color="auto" w:sz="4" w:space="0"/>
            </w:tcBorders>
            <w:noWrap w:val="0"/>
            <w:vAlign w:val="center"/>
          </w:tcPr>
          <w:p w14:paraId="3F89D8C2">
            <w:pPr>
              <w:keepNext w:val="0"/>
              <w:pageBreakBefore w:val="0"/>
              <w:overflowPunct/>
              <w:topLinePunct/>
              <w:bidi w:val="0"/>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技术职称</w:t>
            </w:r>
          </w:p>
        </w:tc>
        <w:tc>
          <w:tcPr>
            <w:tcW w:w="1876" w:type="dxa"/>
            <w:gridSpan w:val="3"/>
            <w:tcBorders>
              <w:top w:val="single" w:color="auto" w:sz="4" w:space="0"/>
              <w:left w:val="nil"/>
              <w:bottom w:val="single" w:color="auto" w:sz="4" w:space="0"/>
              <w:right w:val="single" w:color="auto" w:sz="4" w:space="0"/>
            </w:tcBorders>
            <w:noWrap w:val="0"/>
            <w:vAlign w:val="center"/>
          </w:tcPr>
          <w:p w14:paraId="6B1C3C9E">
            <w:pPr>
              <w:keepNext w:val="0"/>
              <w:pageBreakBefore w:val="0"/>
              <w:overflowPunct/>
              <w:topLinePunct/>
              <w:bidi w:val="0"/>
              <w:spacing w:line="360" w:lineRule="auto"/>
              <w:jc w:val="center"/>
              <w:rPr>
                <w:rFonts w:hint="eastAsia" w:ascii="宋体" w:hAnsi="宋体" w:eastAsia="宋体" w:cs="宋体"/>
                <w:szCs w:val="24"/>
                <w:highlight w:val="none"/>
              </w:rPr>
            </w:pPr>
          </w:p>
        </w:tc>
        <w:tc>
          <w:tcPr>
            <w:tcW w:w="858" w:type="dxa"/>
            <w:tcBorders>
              <w:top w:val="single" w:color="auto" w:sz="4" w:space="0"/>
              <w:left w:val="nil"/>
              <w:bottom w:val="single" w:color="auto" w:sz="4" w:space="0"/>
              <w:right w:val="single" w:color="auto" w:sz="4" w:space="0"/>
            </w:tcBorders>
            <w:noWrap w:val="0"/>
            <w:vAlign w:val="center"/>
          </w:tcPr>
          <w:p w14:paraId="4393F23C">
            <w:pPr>
              <w:keepNext w:val="0"/>
              <w:pageBreakBefore w:val="0"/>
              <w:overflowPunct/>
              <w:topLinePunct/>
              <w:bidi w:val="0"/>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电话</w:t>
            </w:r>
          </w:p>
        </w:tc>
        <w:tc>
          <w:tcPr>
            <w:tcW w:w="1392" w:type="dxa"/>
            <w:tcBorders>
              <w:top w:val="single" w:color="auto" w:sz="4" w:space="0"/>
              <w:left w:val="nil"/>
              <w:bottom w:val="single" w:color="auto" w:sz="4" w:space="0"/>
              <w:right w:val="single" w:color="auto" w:sz="4" w:space="0"/>
            </w:tcBorders>
            <w:noWrap w:val="0"/>
            <w:vAlign w:val="center"/>
          </w:tcPr>
          <w:p w14:paraId="5F729CCF">
            <w:pPr>
              <w:keepNext w:val="0"/>
              <w:pageBreakBefore w:val="0"/>
              <w:overflowPunct/>
              <w:topLinePunct/>
              <w:bidi w:val="0"/>
              <w:spacing w:line="360" w:lineRule="auto"/>
              <w:jc w:val="center"/>
              <w:rPr>
                <w:rFonts w:hint="eastAsia" w:ascii="宋体" w:hAnsi="宋体" w:eastAsia="宋体" w:cs="宋体"/>
                <w:szCs w:val="24"/>
                <w:highlight w:val="none"/>
              </w:rPr>
            </w:pPr>
          </w:p>
        </w:tc>
      </w:tr>
      <w:tr w14:paraId="5470C5E7">
        <w:tblPrEx>
          <w:tblCellMar>
            <w:top w:w="0" w:type="dxa"/>
            <w:left w:w="108" w:type="dxa"/>
            <w:bottom w:w="0" w:type="dxa"/>
            <w:right w:w="108" w:type="dxa"/>
          </w:tblCellMar>
        </w:tblPrEx>
        <w:trPr>
          <w:trHeight w:val="570"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14:paraId="17DC8E31">
            <w:pPr>
              <w:keepNext w:val="0"/>
              <w:pageBreakBefore w:val="0"/>
              <w:overflowPunct/>
              <w:topLinePunct/>
              <w:bidi w:val="0"/>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技术负责人</w:t>
            </w:r>
          </w:p>
        </w:tc>
        <w:tc>
          <w:tcPr>
            <w:tcW w:w="1004" w:type="dxa"/>
            <w:tcBorders>
              <w:top w:val="single" w:color="auto" w:sz="4" w:space="0"/>
              <w:left w:val="nil"/>
              <w:bottom w:val="single" w:color="auto" w:sz="4" w:space="0"/>
              <w:right w:val="single" w:color="auto" w:sz="4" w:space="0"/>
            </w:tcBorders>
            <w:noWrap w:val="0"/>
            <w:vAlign w:val="center"/>
          </w:tcPr>
          <w:p w14:paraId="489BA0A7">
            <w:pPr>
              <w:keepNext w:val="0"/>
              <w:pageBreakBefore w:val="0"/>
              <w:overflowPunct/>
              <w:topLinePunct/>
              <w:bidi w:val="0"/>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姓名</w:t>
            </w:r>
          </w:p>
        </w:tc>
        <w:tc>
          <w:tcPr>
            <w:tcW w:w="842" w:type="dxa"/>
            <w:tcBorders>
              <w:top w:val="single" w:color="auto" w:sz="4" w:space="0"/>
              <w:left w:val="nil"/>
              <w:bottom w:val="single" w:color="auto" w:sz="4" w:space="0"/>
              <w:right w:val="single" w:color="auto" w:sz="4" w:space="0"/>
            </w:tcBorders>
            <w:noWrap w:val="0"/>
            <w:vAlign w:val="center"/>
          </w:tcPr>
          <w:p w14:paraId="2C092758">
            <w:pPr>
              <w:keepNext w:val="0"/>
              <w:pageBreakBefore w:val="0"/>
              <w:overflowPunct/>
              <w:topLinePunct/>
              <w:bidi w:val="0"/>
              <w:spacing w:line="360" w:lineRule="auto"/>
              <w:jc w:val="center"/>
              <w:rPr>
                <w:rFonts w:hint="eastAsia" w:ascii="宋体" w:hAnsi="宋体" w:eastAsia="宋体" w:cs="宋体"/>
                <w:szCs w:val="24"/>
                <w:highlight w:val="none"/>
              </w:rPr>
            </w:pPr>
          </w:p>
        </w:tc>
        <w:tc>
          <w:tcPr>
            <w:tcW w:w="1257" w:type="dxa"/>
            <w:gridSpan w:val="2"/>
            <w:tcBorders>
              <w:top w:val="single" w:color="auto" w:sz="4" w:space="0"/>
              <w:left w:val="nil"/>
              <w:bottom w:val="single" w:color="auto" w:sz="4" w:space="0"/>
              <w:right w:val="single" w:color="auto" w:sz="4" w:space="0"/>
            </w:tcBorders>
            <w:noWrap w:val="0"/>
            <w:vAlign w:val="center"/>
          </w:tcPr>
          <w:p w14:paraId="1DAC1FEE">
            <w:pPr>
              <w:keepNext w:val="0"/>
              <w:pageBreakBefore w:val="0"/>
              <w:overflowPunct/>
              <w:topLinePunct/>
              <w:bidi w:val="0"/>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技术职称</w:t>
            </w:r>
          </w:p>
        </w:tc>
        <w:tc>
          <w:tcPr>
            <w:tcW w:w="1876" w:type="dxa"/>
            <w:gridSpan w:val="3"/>
            <w:tcBorders>
              <w:top w:val="single" w:color="auto" w:sz="4" w:space="0"/>
              <w:left w:val="nil"/>
              <w:bottom w:val="single" w:color="auto" w:sz="4" w:space="0"/>
              <w:right w:val="single" w:color="auto" w:sz="4" w:space="0"/>
            </w:tcBorders>
            <w:noWrap w:val="0"/>
            <w:vAlign w:val="center"/>
          </w:tcPr>
          <w:p w14:paraId="74975563">
            <w:pPr>
              <w:keepNext w:val="0"/>
              <w:pageBreakBefore w:val="0"/>
              <w:overflowPunct/>
              <w:topLinePunct/>
              <w:bidi w:val="0"/>
              <w:spacing w:line="360" w:lineRule="auto"/>
              <w:jc w:val="center"/>
              <w:rPr>
                <w:rFonts w:hint="eastAsia" w:ascii="宋体" w:hAnsi="宋体" w:eastAsia="宋体" w:cs="宋体"/>
                <w:szCs w:val="24"/>
                <w:highlight w:val="none"/>
              </w:rPr>
            </w:pPr>
          </w:p>
        </w:tc>
        <w:tc>
          <w:tcPr>
            <w:tcW w:w="858" w:type="dxa"/>
            <w:tcBorders>
              <w:top w:val="single" w:color="auto" w:sz="4" w:space="0"/>
              <w:left w:val="nil"/>
              <w:bottom w:val="single" w:color="auto" w:sz="4" w:space="0"/>
              <w:right w:val="single" w:color="auto" w:sz="4" w:space="0"/>
            </w:tcBorders>
            <w:noWrap w:val="0"/>
            <w:vAlign w:val="center"/>
          </w:tcPr>
          <w:p w14:paraId="7A3849CA">
            <w:pPr>
              <w:keepNext w:val="0"/>
              <w:pageBreakBefore w:val="0"/>
              <w:overflowPunct/>
              <w:topLinePunct/>
              <w:bidi w:val="0"/>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电话</w:t>
            </w:r>
          </w:p>
        </w:tc>
        <w:tc>
          <w:tcPr>
            <w:tcW w:w="1392" w:type="dxa"/>
            <w:tcBorders>
              <w:top w:val="single" w:color="auto" w:sz="4" w:space="0"/>
              <w:left w:val="nil"/>
              <w:bottom w:val="single" w:color="auto" w:sz="4" w:space="0"/>
              <w:right w:val="single" w:color="auto" w:sz="4" w:space="0"/>
            </w:tcBorders>
            <w:noWrap w:val="0"/>
            <w:vAlign w:val="center"/>
          </w:tcPr>
          <w:p w14:paraId="3F1CD063">
            <w:pPr>
              <w:keepNext w:val="0"/>
              <w:pageBreakBefore w:val="0"/>
              <w:overflowPunct/>
              <w:topLinePunct/>
              <w:bidi w:val="0"/>
              <w:spacing w:line="360" w:lineRule="auto"/>
              <w:jc w:val="center"/>
              <w:rPr>
                <w:rFonts w:hint="eastAsia" w:ascii="宋体" w:hAnsi="宋体" w:eastAsia="宋体" w:cs="宋体"/>
                <w:szCs w:val="24"/>
                <w:highlight w:val="none"/>
              </w:rPr>
            </w:pPr>
          </w:p>
        </w:tc>
      </w:tr>
      <w:tr w14:paraId="6E4EADD2">
        <w:tblPrEx>
          <w:tblCellMar>
            <w:top w:w="0" w:type="dxa"/>
            <w:left w:w="108" w:type="dxa"/>
            <w:bottom w:w="0" w:type="dxa"/>
            <w:right w:w="108" w:type="dxa"/>
          </w:tblCellMar>
        </w:tblPrEx>
        <w:trPr>
          <w:trHeight w:val="592"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14:paraId="7C7CD0D9">
            <w:pPr>
              <w:keepNext w:val="0"/>
              <w:pageBreakBefore w:val="0"/>
              <w:overflowPunct/>
              <w:topLinePunct/>
              <w:bidi w:val="0"/>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成立时间</w:t>
            </w:r>
          </w:p>
        </w:tc>
        <w:tc>
          <w:tcPr>
            <w:tcW w:w="1846" w:type="dxa"/>
            <w:gridSpan w:val="2"/>
            <w:tcBorders>
              <w:top w:val="single" w:color="auto" w:sz="4" w:space="0"/>
              <w:left w:val="nil"/>
              <w:bottom w:val="single" w:color="auto" w:sz="4" w:space="0"/>
              <w:right w:val="single" w:color="auto" w:sz="4" w:space="0"/>
            </w:tcBorders>
            <w:noWrap w:val="0"/>
            <w:vAlign w:val="center"/>
          </w:tcPr>
          <w:p w14:paraId="618C219C">
            <w:pPr>
              <w:keepNext w:val="0"/>
              <w:pageBreakBefore w:val="0"/>
              <w:overflowPunct/>
              <w:topLinePunct/>
              <w:bidi w:val="0"/>
              <w:spacing w:line="360" w:lineRule="auto"/>
              <w:jc w:val="center"/>
              <w:rPr>
                <w:rFonts w:hint="eastAsia" w:ascii="宋体" w:hAnsi="宋体" w:eastAsia="宋体" w:cs="宋体"/>
                <w:szCs w:val="24"/>
                <w:highlight w:val="none"/>
              </w:rPr>
            </w:pPr>
          </w:p>
        </w:tc>
        <w:tc>
          <w:tcPr>
            <w:tcW w:w="5383" w:type="dxa"/>
            <w:gridSpan w:val="7"/>
            <w:tcBorders>
              <w:top w:val="single" w:color="auto" w:sz="4" w:space="0"/>
              <w:left w:val="nil"/>
              <w:bottom w:val="single" w:color="auto" w:sz="4" w:space="0"/>
              <w:right w:val="single" w:color="auto" w:sz="4" w:space="0"/>
            </w:tcBorders>
            <w:noWrap w:val="0"/>
            <w:vAlign w:val="center"/>
          </w:tcPr>
          <w:p w14:paraId="11B5EE1F">
            <w:pPr>
              <w:keepNext w:val="0"/>
              <w:pageBreakBefore w:val="0"/>
              <w:overflowPunct/>
              <w:topLinePunct/>
              <w:bidi w:val="0"/>
              <w:spacing w:line="360" w:lineRule="auto"/>
              <w:ind w:firstLine="120" w:firstLineChars="50"/>
              <w:jc w:val="center"/>
              <w:rPr>
                <w:rFonts w:hint="eastAsia" w:ascii="宋体" w:hAnsi="宋体" w:eastAsia="宋体" w:cs="宋体"/>
                <w:szCs w:val="24"/>
                <w:highlight w:val="none"/>
              </w:rPr>
            </w:pPr>
            <w:r>
              <w:rPr>
                <w:rFonts w:hint="eastAsia" w:ascii="宋体" w:hAnsi="宋体" w:eastAsia="宋体" w:cs="宋体"/>
                <w:szCs w:val="24"/>
                <w:highlight w:val="none"/>
              </w:rPr>
              <w:t>员工总人数：</w:t>
            </w:r>
          </w:p>
        </w:tc>
      </w:tr>
      <w:tr w14:paraId="7F5211CE">
        <w:tblPrEx>
          <w:tblCellMar>
            <w:top w:w="0" w:type="dxa"/>
            <w:left w:w="108" w:type="dxa"/>
            <w:bottom w:w="0" w:type="dxa"/>
            <w:right w:w="108" w:type="dxa"/>
          </w:tblCellMar>
        </w:tblPrEx>
        <w:trPr>
          <w:cantSplit/>
          <w:trHeight w:val="624"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14:paraId="3D9C66C1">
            <w:pPr>
              <w:keepNext w:val="0"/>
              <w:pageBreakBefore w:val="0"/>
              <w:overflowPunct/>
              <w:topLinePunct/>
              <w:bidi w:val="0"/>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企业资质等级</w:t>
            </w:r>
          </w:p>
        </w:tc>
        <w:tc>
          <w:tcPr>
            <w:tcW w:w="1846" w:type="dxa"/>
            <w:gridSpan w:val="2"/>
            <w:tcBorders>
              <w:top w:val="single" w:color="auto" w:sz="4" w:space="0"/>
              <w:left w:val="nil"/>
              <w:bottom w:val="single" w:color="auto" w:sz="4" w:space="0"/>
              <w:right w:val="single" w:color="auto" w:sz="4" w:space="0"/>
            </w:tcBorders>
            <w:noWrap w:val="0"/>
            <w:vAlign w:val="center"/>
          </w:tcPr>
          <w:p w14:paraId="594E2E65">
            <w:pPr>
              <w:keepNext w:val="0"/>
              <w:pageBreakBefore w:val="0"/>
              <w:overflowPunct/>
              <w:topLinePunct/>
              <w:bidi w:val="0"/>
              <w:spacing w:line="360" w:lineRule="auto"/>
              <w:jc w:val="center"/>
              <w:rPr>
                <w:rFonts w:hint="eastAsia" w:ascii="宋体" w:hAnsi="宋体" w:eastAsia="宋体" w:cs="宋体"/>
                <w:szCs w:val="24"/>
                <w:highlight w:val="none"/>
              </w:rPr>
            </w:pPr>
          </w:p>
        </w:tc>
        <w:tc>
          <w:tcPr>
            <w:tcW w:w="838" w:type="dxa"/>
            <w:vMerge w:val="restart"/>
            <w:tcBorders>
              <w:top w:val="nil"/>
              <w:left w:val="nil"/>
              <w:bottom w:val="single" w:color="auto" w:sz="4" w:space="0"/>
              <w:right w:val="single" w:color="auto" w:sz="4" w:space="0"/>
            </w:tcBorders>
            <w:noWrap w:val="0"/>
            <w:vAlign w:val="center"/>
          </w:tcPr>
          <w:p w14:paraId="693293EB">
            <w:pPr>
              <w:keepNext w:val="0"/>
              <w:pageBreakBefore w:val="0"/>
              <w:overflowPunct/>
              <w:topLinePunct/>
              <w:bidi w:val="0"/>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其中</w:t>
            </w:r>
          </w:p>
        </w:tc>
        <w:tc>
          <w:tcPr>
            <w:tcW w:w="2295" w:type="dxa"/>
            <w:gridSpan w:val="4"/>
            <w:tcBorders>
              <w:top w:val="single" w:color="auto" w:sz="4" w:space="0"/>
              <w:left w:val="nil"/>
              <w:bottom w:val="single" w:color="auto" w:sz="4" w:space="0"/>
              <w:right w:val="single" w:color="auto" w:sz="4" w:space="0"/>
            </w:tcBorders>
            <w:noWrap w:val="0"/>
            <w:vAlign w:val="center"/>
          </w:tcPr>
          <w:p w14:paraId="3D7EC6E7">
            <w:pPr>
              <w:keepNext w:val="0"/>
              <w:pageBreakBefore w:val="0"/>
              <w:overflowPunct/>
              <w:topLinePunct/>
              <w:bidi w:val="0"/>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项目负责人</w:t>
            </w:r>
          </w:p>
        </w:tc>
        <w:tc>
          <w:tcPr>
            <w:tcW w:w="2250" w:type="dxa"/>
            <w:gridSpan w:val="2"/>
            <w:tcBorders>
              <w:top w:val="single" w:color="auto" w:sz="4" w:space="0"/>
              <w:left w:val="nil"/>
              <w:bottom w:val="single" w:color="auto" w:sz="4" w:space="0"/>
              <w:right w:val="single" w:color="auto" w:sz="4" w:space="0"/>
            </w:tcBorders>
            <w:noWrap w:val="0"/>
            <w:vAlign w:val="center"/>
          </w:tcPr>
          <w:p w14:paraId="4DB117B4">
            <w:pPr>
              <w:keepNext w:val="0"/>
              <w:pageBreakBefore w:val="0"/>
              <w:overflowPunct/>
              <w:topLinePunct/>
              <w:bidi w:val="0"/>
              <w:spacing w:line="360" w:lineRule="auto"/>
              <w:jc w:val="center"/>
              <w:rPr>
                <w:rFonts w:hint="eastAsia" w:ascii="宋体" w:hAnsi="宋体" w:eastAsia="宋体" w:cs="宋体"/>
                <w:szCs w:val="24"/>
                <w:highlight w:val="none"/>
              </w:rPr>
            </w:pPr>
          </w:p>
        </w:tc>
      </w:tr>
      <w:tr w14:paraId="7695DF46">
        <w:tblPrEx>
          <w:tblCellMar>
            <w:top w:w="0" w:type="dxa"/>
            <w:left w:w="108" w:type="dxa"/>
            <w:bottom w:w="0" w:type="dxa"/>
            <w:right w:w="108" w:type="dxa"/>
          </w:tblCellMar>
        </w:tblPrEx>
        <w:trPr>
          <w:cantSplit/>
          <w:trHeight w:val="578"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14:paraId="4C5B0EFE">
            <w:pPr>
              <w:keepNext w:val="0"/>
              <w:pageBreakBefore w:val="0"/>
              <w:overflowPunct/>
              <w:topLinePunct/>
              <w:bidi w:val="0"/>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法人证书或</w:t>
            </w:r>
          </w:p>
          <w:p w14:paraId="1477A415">
            <w:pPr>
              <w:keepNext w:val="0"/>
              <w:pageBreakBefore w:val="0"/>
              <w:overflowPunct/>
              <w:topLinePunct/>
              <w:bidi w:val="0"/>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营业执照号</w:t>
            </w:r>
          </w:p>
        </w:tc>
        <w:tc>
          <w:tcPr>
            <w:tcW w:w="1846" w:type="dxa"/>
            <w:gridSpan w:val="2"/>
            <w:tcBorders>
              <w:top w:val="single" w:color="auto" w:sz="4" w:space="0"/>
              <w:left w:val="nil"/>
              <w:bottom w:val="single" w:color="auto" w:sz="4" w:space="0"/>
              <w:right w:val="single" w:color="auto" w:sz="4" w:space="0"/>
            </w:tcBorders>
            <w:noWrap w:val="0"/>
            <w:vAlign w:val="center"/>
          </w:tcPr>
          <w:p w14:paraId="022DA3EA">
            <w:pPr>
              <w:keepNext w:val="0"/>
              <w:pageBreakBefore w:val="0"/>
              <w:overflowPunct/>
              <w:topLinePunct/>
              <w:bidi w:val="0"/>
              <w:spacing w:line="360" w:lineRule="auto"/>
              <w:jc w:val="center"/>
              <w:rPr>
                <w:rFonts w:hint="eastAsia" w:ascii="宋体" w:hAnsi="宋体" w:eastAsia="宋体" w:cs="宋体"/>
                <w:szCs w:val="24"/>
                <w:highlight w:val="none"/>
              </w:rPr>
            </w:pPr>
          </w:p>
        </w:tc>
        <w:tc>
          <w:tcPr>
            <w:tcW w:w="838" w:type="dxa"/>
            <w:vMerge w:val="continue"/>
            <w:tcBorders>
              <w:top w:val="nil"/>
              <w:left w:val="nil"/>
              <w:bottom w:val="single" w:color="auto" w:sz="4" w:space="0"/>
              <w:right w:val="single" w:color="auto" w:sz="4" w:space="0"/>
            </w:tcBorders>
            <w:noWrap w:val="0"/>
            <w:vAlign w:val="center"/>
          </w:tcPr>
          <w:p w14:paraId="5B209A54">
            <w:pPr>
              <w:keepNext w:val="0"/>
              <w:pageBreakBefore w:val="0"/>
              <w:widowControl/>
              <w:overflowPunct/>
              <w:bidi w:val="0"/>
              <w:spacing w:line="360" w:lineRule="auto"/>
              <w:jc w:val="left"/>
              <w:outlineLvl w:val="9"/>
              <w:rPr>
                <w:rFonts w:hint="eastAsia" w:ascii="宋体" w:hAnsi="宋体" w:eastAsia="宋体" w:cs="宋体"/>
                <w:szCs w:val="24"/>
                <w:highlight w:val="none"/>
              </w:rPr>
            </w:pPr>
          </w:p>
        </w:tc>
        <w:tc>
          <w:tcPr>
            <w:tcW w:w="2295" w:type="dxa"/>
            <w:gridSpan w:val="4"/>
            <w:tcBorders>
              <w:top w:val="single" w:color="auto" w:sz="4" w:space="0"/>
              <w:left w:val="nil"/>
              <w:bottom w:val="single" w:color="auto" w:sz="4" w:space="0"/>
              <w:right w:val="single" w:color="auto" w:sz="4" w:space="0"/>
            </w:tcBorders>
            <w:noWrap w:val="0"/>
            <w:vAlign w:val="center"/>
          </w:tcPr>
          <w:p w14:paraId="38322A0A">
            <w:pPr>
              <w:keepNext w:val="0"/>
              <w:pageBreakBefore w:val="0"/>
              <w:overflowPunct/>
              <w:topLinePunct/>
              <w:bidi w:val="0"/>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高级职称人员</w:t>
            </w:r>
          </w:p>
        </w:tc>
        <w:tc>
          <w:tcPr>
            <w:tcW w:w="2250" w:type="dxa"/>
            <w:gridSpan w:val="2"/>
            <w:tcBorders>
              <w:top w:val="single" w:color="auto" w:sz="4" w:space="0"/>
              <w:left w:val="nil"/>
              <w:bottom w:val="single" w:color="auto" w:sz="4" w:space="0"/>
              <w:right w:val="single" w:color="auto" w:sz="4" w:space="0"/>
            </w:tcBorders>
            <w:noWrap w:val="0"/>
            <w:vAlign w:val="center"/>
          </w:tcPr>
          <w:p w14:paraId="636475E9">
            <w:pPr>
              <w:keepNext w:val="0"/>
              <w:pageBreakBefore w:val="0"/>
              <w:overflowPunct/>
              <w:topLinePunct/>
              <w:bidi w:val="0"/>
              <w:spacing w:line="360" w:lineRule="auto"/>
              <w:jc w:val="center"/>
              <w:rPr>
                <w:rFonts w:hint="eastAsia" w:ascii="宋体" w:hAnsi="宋体" w:eastAsia="宋体" w:cs="宋体"/>
                <w:szCs w:val="24"/>
                <w:highlight w:val="none"/>
              </w:rPr>
            </w:pPr>
          </w:p>
        </w:tc>
      </w:tr>
      <w:tr w14:paraId="3D2E6D41">
        <w:tblPrEx>
          <w:tblCellMar>
            <w:top w:w="0" w:type="dxa"/>
            <w:left w:w="108" w:type="dxa"/>
            <w:bottom w:w="0" w:type="dxa"/>
            <w:right w:w="108" w:type="dxa"/>
          </w:tblCellMar>
        </w:tblPrEx>
        <w:trPr>
          <w:cantSplit/>
          <w:trHeight w:val="572"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14:paraId="20976ABF">
            <w:pPr>
              <w:keepNext w:val="0"/>
              <w:pageBreakBefore w:val="0"/>
              <w:overflowPunct/>
              <w:topLinePunct/>
              <w:bidi w:val="0"/>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注册资金</w:t>
            </w:r>
          </w:p>
        </w:tc>
        <w:tc>
          <w:tcPr>
            <w:tcW w:w="1846" w:type="dxa"/>
            <w:gridSpan w:val="2"/>
            <w:tcBorders>
              <w:top w:val="single" w:color="auto" w:sz="4" w:space="0"/>
              <w:left w:val="nil"/>
              <w:bottom w:val="single" w:color="auto" w:sz="4" w:space="0"/>
              <w:right w:val="single" w:color="auto" w:sz="4" w:space="0"/>
            </w:tcBorders>
            <w:noWrap w:val="0"/>
            <w:vAlign w:val="center"/>
          </w:tcPr>
          <w:p w14:paraId="23779693">
            <w:pPr>
              <w:keepNext w:val="0"/>
              <w:pageBreakBefore w:val="0"/>
              <w:overflowPunct/>
              <w:topLinePunct/>
              <w:bidi w:val="0"/>
              <w:spacing w:line="360" w:lineRule="auto"/>
              <w:jc w:val="center"/>
              <w:rPr>
                <w:rFonts w:hint="eastAsia" w:ascii="宋体" w:hAnsi="宋体" w:eastAsia="宋体" w:cs="宋体"/>
                <w:szCs w:val="24"/>
                <w:highlight w:val="none"/>
              </w:rPr>
            </w:pPr>
          </w:p>
        </w:tc>
        <w:tc>
          <w:tcPr>
            <w:tcW w:w="838" w:type="dxa"/>
            <w:vMerge w:val="continue"/>
            <w:tcBorders>
              <w:top w:val="nil"/>
              <w:left w:val="nil"/>
              <w:bottom w:val="single" w:color="auto" w:sz="4" w:space="0"/>
              <w:right w:val="single" w:color="auto" w:sz="4" w:space="0"/>
            </w:tcBorders>
            <w:noWrap w:val="0"/>
            <w:vAlign w:val="center"/>
          </w:tcPr>
          <w:p w14:paraId="5DE82DDF">
            <w:pPr>
              <w:keepNext w:val="0"/>
              <w:pageBreakBefore w:val="0"/>
              <w:widowControl/>
              <w:overflowPunct/>
              <w:bidi w:val="0"/>
              <w:spacing w:line="360" w:lineRule="auto"/>
              <w:jc w:val="left"/>
              <w:outlineLvl w:val="9"/>
              <w:rPr>
                <w:rFonts w:hint="eastAsia" w:ascii="宋体" w:hAnsi="宋体" w:eastAsia="宋体" w:cs="宋体"/>
                <w:szCs w:val="24"/>
                <w:highlight w:val="none"/>
              </w:rPr>
            </w:pPr>
          </w:p>
        </w:tc>
        <w:tc>
          <w:tcPr>
            <w:tcW w:w="2295" w:type="dxa"/>
            <w:gridSpan w:val="4"/>
            <w:tcBorders>
              <w:top w:val="single" w:color="auto" w:sz="4" w:space="0"/>
              <w:left w:val="nil"/>
              <w:bottom w:val="single" w:color="auto" w:sz="4" w:space="0"/>
              <w:right w:val="single" w:color="auto" w:sz="4" w:space="0"/>
            </w:tcBorders>
            <w:noWrap w:val="0"/>
            <w:vAlign w:val="center"/>
          </w:tcPr>
          <w:p w14:paraId="269D4B67">
            <w:pPr>
              <w:keepNext w:val="0"/>
              <w:pageBreakBefore w:val="0"/>
              <w:overflowPunct/>
              <w:topLinePunct/>
              <w:bidi w:val="0"/>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中级职称人员</w:t>
            </w:r>
          </w:p>
        </w:tc>
        <w:tc>
          <w:tcPr>
            <w:tcW w:w="2250" w:type="dxa"/>
            <w:gridSpan w:val="2"/>
            <w:tcBorders>
              <w:top w:val="single" w:color="auto" w:sz="4" w:space="0"/>
              <w:left w:val="nil"/>
              <w:bottom w:val="single" w:color="auto" w:sz="4" w:space="0"/>
              <w:right w:val="single" w:color="auto" w:sz="4" w:space="0"/>
            </w:tcBorders>
            <w:noWrap w:val="0"/>
            <w:vAlign w:val="center"/>
          </w:tcPr>
          <w:p w14:paraId="0CF73F5C">
            <w:pPr>
              <w:keepNext w:val="0"/>
              <w:pageBreakBefore w:val="0"/>
              <w:overflowPunct/>
              <w:topLinePunct/>
              <w:bidi w:val="0"/>
              <w:spacing w:line="360" w:lineRule="auto"/>
              <w:jc w:val="center"/>
              <w:rPr>
                <w:rFonts w:hint="eastAsia" w:ascii="宋体" w:hAnsi="宋体" w:eastAsia="宋体" w:cs="宋体"/>
                <w:szCs w:val="24"/>
                <w:highlight w:val="none"/>
              </w:rPr>
            </w:pPr>
          </w:p>
        </w:tc>
      </w:tr>
      <w:tr w14:paraId="3040AE12">
        <w:tblPrEx>
          <w:tblCellMar>
            <w:top w:w="0" w:type="dxa"/>
            <w:left w:w="108" w:type="dxa"/>
            <w:bottom w:w="0" w:type="dxa"/>
            <w:right w:w="108" w:type="dxa"/>
          </w:tblCellMar>
        </w:tblPrEx>
        <w:trPr>
          <w:cantSplit/>
          <w:trHeight w:val="594"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14:paraId="0143E387">
            <w:pPr>
              <w:keepNext w:val="0"/>
              <w:pageBreakBefore w:val="0"/>
              <w:overflowPunct/>
              <w:topLinePunct/>
              <w:bidi w:val="0"/>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开户银行</w:t>
            </w:r>
          </w:p>
        </w:tc>
        <w:tc>
          <w:tcPr>
            <w:tcW w:w="1846" w:type="dxa"/>
            <w:gridSpan w:val="2"/>
            <w:tcBorders>
              <w:top w:val="single" w:color="auto" w:sz="4" w:space="0"/>
              <w:left w:val="nil"/>
              <w:bottom w:val="single" w:color="auto" w:sz="4" w:space="0"/>
              <w:right w:val="single" w:color="auto" w:sz="4" w:space="0"/>
            </w:tcBorders>
            <w:noWrap w:val="0"/>
            <w:vAlign w:val="center"/>
          </w:tcPr>
          <w:p w14:paraId="4537918D">
            <w:pPr>
              <w:keepNext w:val="0"/>
              <w:pageBreakBefore w:val="0"/>
              <w:overflowPunct/>
              <w:topLinePunct/>
              <w:bidi w:val="0"/>
              <w:spacing w:line="360" w:lineRule="auto"/>
              <w:jc w:val="center"/>
              <w:rPr>
                <w:rFonts w:hint="eastAsia" w:ascii="宋体" w:hAnsi="宋体" w:eastAsia="宋体" w:cs="宋体"/>
                <w:szCs w:val="24"/>
                <w:highlight w:val="none"/>
              </w:rPr>
            </w:pPr>
          </w:p>
        </w:tc>
        <w:tc>
          <w:tcPr>
            <w:tcW w:w="838" w:type="dxa"/>
            <w:vMerge w:val="continue"/>
            <w:tcBorders>
              <w:top w:val="nil"/>
              <w:left w:val="nil"/>
              <w:bottom w:val="single" w:color="auto" w:sz="4" w:space="0"/>
              <w:right w:val="single" w:color="auto" w:sz="4" w:space="0"/>
            </w:tcBorders>
            <w:noWrap w:val="0"/>
            <w:vAlign w:val="center"/>
          </w:tcPr>
          <w:p w14:paraId="5A24CA21">
            <w:pPr>
              <w:keepNext w:val="0"/>
              <w:pageBreakBefore w:val="0"/>
              <w:widowControl/>
              <w:overflowPunct/>
              <w:bidi w:val="0"/>
              <w:spacing w:line="360" w:lineRule="auto"/>
              <w:jc w:val="left"/>
              <w:outlineLvl w:val="9"/>
              <w:rPr>
                <w:rFonts w:hint="eastAsia" w:ascii="宋体" w:hAnsi="宋体" w:eastAsia="宋体" w:cs="宋体"/>
                <w:szCs w:val="24"/>
                <w:highlight w:val="none"/>
              </w:rPr>
            </w:pPr>
          </w:p>
        </w:tc>
        <w:tc>
          <w:tcPr>
            <w:tcW w:w="2295" w:type="dxa"/>
            <w:gridSpan w:val="4"/>
            <w:tcBorders>
              <w:top w:val="single" w:color="auto" w:sz="4" w:space="0"/>
              <w:left w:val="nil"/>
              <w:bottom w:val="single" w:color="auto" w:sz="4" w:space="0"/>
              <w:right w:val="single" w:color="auto" w:sz="4" w:space="0"/>
            </w:tcBorders>
            <w:noWrap w:val="0"/>
            <w:vAlign w:val="center"/>
          </w:tcPr>
          <w:p w14:paraId="26D00E70">
            <w:pPr>
              <w:keepNext w:val="0"/>
              <w:pageBreakBefore w:val="0"/>
              <w:overflowPunct/>
              <w:topLinePunct/>
              <w:bidi w:val="0"/>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初级职称人员</w:t>
            </w:r>
          </w:p>
        </w:tc>
        <w:tc>
          <w:tcPr>
            <w:tcW w:w="2250" w:type="dxa"/>
            <w:gridSpan w:val="2"/>
            <w:tcBorders>
              <w:top w:val="single" w:color="auto" w:sz="4" w:space="0"/>
              <w:left w:val="nil"/>
              <w:bottom w:val="single" w:color="auto" w:sz="4" w:space="0"/>
              <w:right w:val="single" w:color="auto" w:sz="4" w:space="0"/>
            </w:tcBorders>
            <w:noWrap w:val="0"/>
            <w:vAlign w:val="center"/>
          </w:tcPr>
          <w:p w14:paraId="31C12DFD">
            <w:pPr>
              <w:keepNext w:val="0"/>
              <w:pageBreakBefore w:val="0"/>
              <w:overflowPunct/>
              <w:topLinePunct/>
              <w:bidi w:val="0"/>
              <w:spacing w:line="360" w:lineRule="auto"/>
              <w:jc w:val="center"/>
              <w:rPr>
                <w:rFonts w:hint="eastAsia" w:ascii="宋体" w:hAnsi="宋体" w:eastAsia="宋体" w:cs="宋体"/>
                <w:szCs w:val="24"/>
                <w:highlight w:val="none"/>
              </w:rPr>
            </w:pPr>
          </w:p>
        </w:tc>
      </w:tr>
      <w:tr w14:paraId="44E69266">
        <w:tblPrEx>
          <w:tblCellMar>
            <w:top w:w="0" w:type="dxa"/>
            <w:left w:w="108" w:type="dxa"/>
            <w:bottom w:w="0" w:type="dxa"/>
            <w:right w:w="108" w:type="dxa"/>
          </w:tblCellMar>
        </w:tblPrEx>
        <w:trPr>
          <w:cantSplit/>
          <w:trHeight w:val="574"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14:paraId="485B10FD">
            <w:pPr>
              <w:keepNext w:val="0"/>
              <w:pageBreakBefore w:val="0"/>
              <w:overflowPunct/>
              <w:topLinePunct/>
              <w:bidi w:val="0"/>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账号</w:t>
            </w:r>
          </w:p>
        </w:tc>
        <w:tc>
          <w:tcPr>
            <w:tcW w:w="1846" w:type="dxa"/>
            <w:gridSpan w:val="2"/>
            <w:tcBorders>
              <w:top w:val="single" w:color="auto" w:sz="4" w:space="0"/>
              <w:left w:val="nil"/>
              <w:bottom w:val="single" w:color="auto" w:sz="4" w:space="0"/>
              <w:right w:val="single" w:color="auto" w:sz="4" w:space="0"/>
            </w:tcBorders>
            <w:noWrap w:val="0"/>
            <w:vAlign w:val="center"/>
          </w:tcPr>
          <w:p w14:paraId="7C02D1E6">
            <w:pPr>
              <w:keepNext w:val="0"/>
              <w:pageBreakBefore w:val="0"/>
              <w:overflowPunct/>
              <w:topLinePunct/>
              <w:bidi w:val="0"/>
              <w:spacing w:line="360" w:lineRule="auto"/>
              <w:jc w:val="center"/>
              <w:rPr>
                <w:rFonts w:hint="eastAsia" w:ascii="宋体" w:hAnsi="宋体" w:eastAsia="宋体" w:cs="宋体"/>
                <w:szCs w:val="24"/>
                <w:highlight w:val="none"/>
              </w:rPr>
            </w:pPr>
          </w:p>
        </w:tc>
        <w:tc>
          <w:tcPr>
            <w:tcW w:w="838" w:type="dxa"/>
            <w:vMerge w:val="continue"/>
            <w:tcBorders>
              <w:top w:val="nil"/>
              <w:left w:val="nil"/>
              <w:bottom w:val="single" w:color="auto" w:sz="4" w:space="0"/>
              <w:right w:val="single" w:color="auto" w:sz="4" w:space="0"/>
            </w:tcBorders>
            <w:noWrap w:val="0"/>
            <w:vAlign w:val="center"/>
          </w:tcPr>
          <w:p w14:paraId="5DEB9BAB">
            <w:pPr>
              <w:keepNext w:val="0"/>
              <w:pageBreakBefore w:val="0"/>
              <w:widowControl/>
              <w:overflowPunct/>
              <w:bidi w:val="0"/>
              <w:spacing w:line="360" w:lineRule="auto"/>
              <w:jc w:val="left"/>
              <w:outlineLvl w:val="9"/>
              <w:rPr>
                <w:rFonts w:hint="eastAsia" w:ascii="宋体" w:hAnsi="宋体" w:eastAsia="宋体" w:cs="宋体"/>
                <w:szCs w:val="24"/>
                <w:highlight w:val="none"/>
              </w:rPr>
            </w:pPr>
          </w:p>
        </w:tc>
        <w:tc>
          <w:tcPr>
            <w:tcW w:w="2295" w:type="dxa"/>
            <w:gridSpan w:val="4"/>
            <w:tcBorders>
              <w:top w:val="single" w:color="auto" w:sz="4" w:space="0"/>
              <w:left w:val="nil"/>
              <w:bottom w:val="single" w:color="auto" w:sz="4" w:space="0"/>
              <w:right w:val="single" w:color="auto" w:sz="4" w:space="0"/>
            </w:tcBorders>
            <w:noWrap w:val="0"/>
            <w:vAlign w:val="center"/>
          </w:tcPr>
          <w:p w14:paraId="2972481C">
            <w:pPr>
              <w:keepNext w:val="0"/>
              <w:pageBreakBefore w:val="0"/>
              <w:overflowPunct/>
              <w:topLinePunct/>
              <w:bidi w:val="0"/>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w:t>
            </w:r>
          </w:p>
        </w:tc>
        <w:tc>
          <w:tcPr>
            <w:tcW w:w="2250" w:type="dxa"/>
            <w:gridSpan w:val="2"/>
            <w:tcBorders>
              <w:top w:val="single" w:color="auto" w:sz="4" w:space="0"/>
              <w:left w:val="nil"/>
              <w:bottom w:val="single" w:color="auto" w:sz="4" w:space="0"/>
              <w:right w:val="single" w:color="auto" w:sz="4" w:space="0"/>
            </w:tcBorders>
            <w:noWrap w:val="0"/>
            <w:vAlign w:val="center"/>
          </w:tcPr>
          <w:p w14:paraId="061250DA">
            <w:pPr>
              <w:keepNext w:val="0"/>
              <w:pageBreakBefore w:val="0"/>
              <w:overflowPunct/>
              <w:topLinePunct/>
              <w:bidi w:val="0"/>
              <w:spacing w:line="360" w:lineRule="auto"/>
              <w:rPr>
                <w:rFonts w:hint="eastAsia" w:ascii="宋体" w:hAnsi="宋体" w:eastAsia="宋体" w:cs="宋体"/>
                <w:szCs w:val="24"/>
                <w:highlight w:val="none"/>
              </w:rPr>
            </w:pPr>
            <w:r>
              <w:rPr>
                <w:rFonts w:hint="eastAsia" w:ascii="宋体" w:hAnsi="宋体" w:eastAsia="宋体" w:cs="宋体"/>
                <w:szCs w:val="24"/>
                <w:highlight w:val="none"/>
              </w:rPr>
              <w:t>/</w:t>
            </w:r>
          </w:p>
        </w:tc>
      </w:tr>
      <w:tr w14:paraId="166BBDC4">
        <w:tblPrEx>
          <w:tblCellMar>
            <w:top w:w="0" w:type="dxa"/>
            <w:left w:w="108" w:type="dxa"/>
            <w:bottom w:w="0" w:type="dxa"/>
            <w:right w:w="108" w:type="dxa"/>
          </w:tblCellMar>
        </w:tblPrEx>
        <w:trPr>
          <w:trHeight w:val="1783" w:hRule="atLeast"/>
          <w:jc w:val="center"/>
        </w:trPr>
        <w:tc>
          <w:tcPr>
            <w:tcW w:w="1535" w:type="dxa"/>
            <w:tcBorders>
              <w:top w:val="single" w:color="auto" w:sz="4" w:space="0"/>
              <w:left w:val="single" w:color="auto" w:sz="4" w:space="0"/>
              <w:bottom w:val="nil"/>
              <w:right w:val="single" w:color="auto" w:sz="4" w:space="0"/>
            </w:tcBorders>
            <w:noWrap w:val="0"/>
            <w:vAlign w:val="center"/>
          </w:tcPr>
          <w:p w14:paraId="52D5238C">
            <w:pPr>
              <w:keepNext w:val="0"/>
              <w:pageBreakBefore w:val="0"/>
              <w:overflowPunct/>
              <w:topLinePunct/>
              <w:bidi w:val="0"/>
              <w:spacing w:line="360" w:lineRule="auto"/>
              <w:ind w:firstLine="240" w:firstLineChars="100"/>
              <w:jc w:val="center"/>
              <w:rPr>
                <w:rFonts w:hint="eastAsia" w:ascii="宋体" w:hAnsi="宋体" w:eastAsia="宋体" w:cs="宋体"/>
                <w:szCs w:val="24"/>
                <w:highlight w:val="none"/>
              </w:rPr>
            </w:pPr>
            <w:r>
              <w:rPr>
                <w:rFonts w:hint="eastAsia" w:ascii="宋体" w:hAnsi="宋体" w:eastAsia="宋体" w:cs="宋体"/>
                <w:szCs w:val="24"/>
                <w:highlight w:val="none"/>
              </w:rPr>
              <w:t>经营范围</w:t>
            </w:r>
          </w:p>
        </w:tc>
        <w:tc>
          <w:tcPr>
            <w:tcW w:w="7229" w:type="dxa"/>
            <w:gridSpan w:val="9"/>
            <w:tcBorders>
              <w:top w:val="single" w:color="auto" w:sz="4" w:space="0"/>
              <w:left w:val="nil"/>
              <w:bottom w:val="nil"/>
              <w:right w:val="single" w:color="auto" w:sz="4" w:space="0"/>
            </w:tcBorders>
            <w:noWrap w:val="0"/>
            <w:vAlign w:val="center"/>
          </w:tcPr>
          <w:p w14:paraId="5E4C7578">
            <w:pPr>
              <w:keepNext w:val="0"/>
              <w:pageBreakBefore w:val="0"/>
              <w:overflowPunct/>
              <w:topLinePunct/>
              <w:bidi w:val="0"/>
              <w:spacing w:line="360" w:lineRule="auto"/>
              <w:jc w:val="center"/>
              <w:rPr>
                <w:rFonts w:hint="eastAsia" w:ascii="宋体" w:hAnsi="宋体" w:eastAsia="宋体" w:cs="宋体"/>
                <w:szCs w:val="24"/>
                <w:highlight w:val="none"/>
              </w:rPr>
            </w:pPr>
          </w:p>
          <w:p w14:paraId="4AC3186D">
            <w:pPr>
              <w:keepNext w:val="0"/>
              <w:pageBreakBefore w:val="0"/>
              <w:overflowPunct/>
              <w:topLinePunct/>
              <w:bidi w:val="0"/>
              <w:spacing w:line="360" w:lineRule="auto"/>
              <w:jc w:val="center"/>
              <w:rPr>
                <w:rFonts w:hint="eastAsia" w:ascii="宋体" w:hAnsi="宋体" w:eastAsia="宋体" w:cs="宋体"/>
                <w:szCs w:val="24"/>
                <w:highlight w:val="none"/>
              </w:rPr>
            </w:pPr>
          </w:p>
          <w:p w14:paraId="0DC38935">
            <w:pPr>
              <w:keepNext w:val="0"/>
              <w:pageBreakBefore w:val="0"/>
              <w:overflowPunct/>
              <w:topLinePunct/>
              <w:bidi w:val="0"/>
              <w:spacing w:line="360" w:lineRule="auto"/>
              <w:jc w:val="center"/>
              <w:rPr>
                <w:rFonts w:hint="eastAsia" w:ascii="宋体" w:hAnsi="宋体" w:eastAsia="宋体" w:cs="宋体"/>
                <w:szCs w:val="24"/>
                <w:highlight w:val="none"/>
              </w:rPr>
            </w:pPr>
          </w:p>
          <w:p w14:paraId="6CC863C5">
            <w:pPr>
              <w:keepNext w:val="0"/>
              <w:pageBreakBefore w:val="0"/>
              <w:overflowPunct/>
              <w:topLinePunct/>
              <w:bidi w:val="0"/>
              <w:spacing w:line="360" w:lineRule="auto"/>
              <w:jc w:val="center"/>
              <w:rPr>
                <w:rFonts w:hint="eastAsia" w:ascii="宋体" w:hAnsi="宋体" w:eastAsia="宋体" w:cs="宋体"/>
                <w:szCs w:val="24"/>
                <w:highlight w:val="none"/>
              </w:rPr>
            </w:pPr>
          </w:p>
          <w:p w14:paraId="37EBAD56">
            <w:pPr>
              <w:keepNext w:val="0"/>
              <w:pageBreakBefore w:val="0"/>
              <w:overflowPunct/>
              <w:topLinePunct/>
              <w:bidi w:val="0"/>
              <w:spacing w:line="360" w:lineRule="auto"/>
              <w:rPr>
                <w:rFonts w:hint="eastAsia" w:ascii="宋体" w:hAnsi="宋体" w:eastAsia="宋体" w:cs="宋体"/>
                <w:szCs w:val="24"/>
                <w:highlight w:val="none"/>
              </w:rPr>
            </w:pPr>
          </w:p>
        </w:tc>
      </w:tr>
      <w:tr w14:paraId="5F185979">
        <w:tblPrEx>
          <w:tblCellMar>
            <w:top w:w="0" w:type="dxa"/>
            <w:left w:w="108" w:type="dxa"/>
            <w:bottom w:w="0" w:type="dxa"/>
            <w:right w:w="108" w:type="dxa"/>
          </w:tblCellMar>
        </w:tblPrEx>
        <w:trPr>
          <w:trHeight w:val="583"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14:paraId="64AB46FC">
            <w:pPr>
              <w:keepNext w:val="0"/>
              <w:pageBreakBefore w:val="0"/>
              <w:overflowPunct/>
              <w:topLinePunct/>
              <w:bidi w:val="0"/>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备注</w:t>
            </w:r>
          </w:p>
        </w:tc>
        <w:tc>
          <w:tcPr>
            <w:tcW w:w="7229" w:type="dxa"/>
            <w:gridSpan w:val="9"/>
            <w:tcBorders>
              <w:top w:val="single" w:color="auto" w:sz="4" w:space="0"/>
              <w:left w:val="nil"/>
              <w:bottom w:val="single" w:color="auto" w:sz="4" w:space="0"/>
              <w:right w:val="single" w:color="auto" w:sz="4" w:space="0"/>
            </w:tcBorders>
            <w:noWrap w:val="0"/>
            <w:vAlign w:val="center"/>
          </w:tcPr>
          <w:p w14:paraId="78FA3454">
            <w:pPr>
              <w:keepNext w:val="0"/>
              <w:pageBreakBefore w:val="0"/>
              <w:overflowPunct/>
              <w:topLinePunct/>
              <w:bidi w:val="0"/>
              <w:spacing w:line="360" w:lineRule="auto"/>
              <w:jc w:val="center"/>
              <w:rPr>
                <w:rFonts w:hint="eastAsia" w:ascii="宋体" w:hAnsi="宋体" w:eastAsia="宋体" w:cs="宋体"/>
                <w:szCs w:val="24"/>
                <w:highlight w:val="none"/>
              </w:rPr>
            </w:pPr>
          </w:p>
        </w:tc>
      </w:tr>
    </w:tbl>
    <w:p w14:paraId="31F5B29C">
      <w:pPr>
        <w:keepNext w:val="0"/>
        <w:pageBreakBefore w:val="0"/>
        <w:overflowPunct/>
        <w:topLinePunct/>
        <w:bidi w:val="0"/>
        <w:spacing w:line="360" w:lineRule="auto"/>
        <w:ind w:firstLine="241" w:firstLineChars="100"/>
        <w:jc w:val="both"/>
        <w:rPr>
          <w:rFonts w:hint="eastAsia" w:ascii="宋体" w:hAnsi="宋体" w:eastAsia="宋体" w:cs="宋体"/>
          <w:b/>
          <w:bCs/>
          <w:szCs w:val="21"/>
          <w:highlight w:val="none"/>
        </w:rPr>
      </w:pPr>
      <w:r>
        <w:rPr>
          <w:rFonts w:hint="eastAsia" w:ascii="宋体" w:hAnsi="宋体" w:eastAsia="宋体" w:cs="宋体"/>
          <w:b/>
          <w:bCs/>
          <w:szCs w:val="21"/>
          <w:highlight w:val="none"/>
        </w:rPr>
        <w:t>注：后附供应商事业单位法人证书或营业执照副本、资质证书副本、税务登记证副本、组织机构代码证、采购人要求的其他证明材料等复印件。</w:t>
      </w:r>
    </w:p>
    <w:p w14:paraId="33A9D011">
      <w:pPr>
        <w:keepNext w:val="0"/>
        <w:keepLines w:val="0"/>
        <w:pageBreakBefore w:val="0"/>
        <w:widowControl w:val="0"/>
        <w:kinsoku/>
        <w:wordWrap/>
        <w:overflowPunct/>
        <w:topLinePunct/>
        <w:autoSpaceDE/>
        <w:autoSpaceDN/>
        <w:bidi w:val="0"/>
        <w:adjustRightInd/>
        <w:snapToGrid/>
        <w:spacing w:line="360" w:lineRule="auto"/>
        <w:jc w:val="center"/>
        <w:textAlignment w:val="auto"/>
        <w:outlineLvl w:val="1"/>
        <w:rPr>
          <w:rFonts w:hint="eastAsia" w:ascii="宋体" w:hAnsi="宋体" w:eastAsia="宋体" w:cs="宋体"/>
          <w:b/>
          <w:bCs/>
          <w:sz w:val="28"/>
          <w:szCs w:val="28"/>
          <w:highlight w:val="none"/>
        </w:rPr>
      </w:pPr>
      <w:r>
        <w:rPr>
          <w:rFonts w:hint="eastAsia" w:ascii="宋体" w:hAnsi="宋体" w:eastAsia="宋体" w:cs="宋体"/>
          <w:b/>
          <w:bCs/>
          <w:kern w:val="2"/>
          <w:szCs w:val="21"/>
          <w:highlight w:val="none"/>
        </w:rPr>
        <w:br w:type="page"/>
      </w:r>
      <w:bookmarkStart w:id="31" w:name="_Toc12771"/>
      <w:r>
        <w:rPr>
          <w:rFonts w:hint="eastAsia" w:ascii="宋体" w:hAnsi="宋体" w:eastAsia="宋体" w:cs="宋体"/>
          <w:b/>
          <w:kern w:val="0"/>
          <w:sz w:val="28"/>
          <w:szCs w:val="28"/>
          <w:highlight w:val="none"/>
        </w:rPr>
        <w:t>六、</w:t>
      </w:r>
      <w:r>
        <w:rPr>
          <w:rFonts w:hint="eastAsia" w:ascii="宋体" w:hAnsi="宋体" w:eastAsia="宋体" w:cs="宋体"/>
          <w:b/>
          <w:bCs/>
          <w:sz w:val="28"/>
          <w:szCs w:val="28"/>
          <w:highlight w:val="none"/>
        </w:rPr>
        <w:t>项目业绩表</w:t>
      </w:r>
      <w:bookmarkEnd w:id="31"/>
    </w:p>
    <w:tbl>
      <w:tblPr>
        <w:tblStyle w:val="17"/>
        <w:tblW w:w="9000" w:type="dxa"/>
        <w:jc w:val="center"/>
        <w:tblLayout w:type="fixed"/>
        <w:tblCellMar>
          <w:top w:w="0" w:type="dxa"/>
          <w:left w:w="108" w:type="dxa"/>
          <w:bottom w:w="0" w:type="dxa"/>
          <w:right w:w="108" w:type="dxa"/>
        </w:tblCellMar>
      </w:tblPr>
      <w:tblGrid>
        <w:gridCol w:w="3070"/>
        <w:gridCol w:w="1548"/>
        <w:gridCol w:w="2188"/>
        <w:gridCol w:w="2194"/>
      </w:tblGrid>
      <w:tr w14:paraId="6B5F3F9A">
        <w:tblPrEx>
          <w:tblCellMar>
            <w:top w:w="0" w:type="dxa"/>
            <w:left w:w="108" w:type="dxa"/>
            <w:bottom w:w="0" w:type="dxa"/>
            <w:right w:w="108" w:type="dxa"/>
          </w:tblCellMar>
        </w:tblPrEx>
        <w:trPr>
          <w:trHeight w:val="1019" w:hRule="atLeast"/>
          <w:jc w:val="center"/>
        </w:trPr>
        <w:tc>
          <w:tcPr>
            <w:tcW w:w="3070" w:type="dxa"/>
            <w:tcBorders>
              <w:top w:val="single" w:color="auto" w:sz="4" w:space="0"/>
              <w:left w:val="single" w:color="auto" w:sz="4" w:space="0"/>
              <w:bottom w:val="single" w:color="auto" w:sz="4" w:space="0"/>
              <w:right w:val="single" w:color="auto" w:sz="4" w:space="0"/>
            </w:tcBorders>
            <w:noWrap w:val="0"/>
            <w:vAlign w:val="center"/>
          </w:tcPr>
          <w:p w14:paraId="76F041F4">
            <w:pPr>
              <w:keepNext w:val="0"/>
              <w:pageBreakBefore w:val="0"/>
              <w:overflowPunct/>
              <w:bidi w:val="0"/>
              <w:spacing w:line="360" w:lineRule="auto"/>
              <w:jc w:val="center"/>
              <w:outlineLvl w:val="9"/>
              <w:rPr>
                <w:rFonts w:hint="eastAsia" w:ascii="宋体" w:hAnsi="宋体" w:eastAsia="宋体" w:cs="宋体"/>
                <w:szCs w:val="24"/>
                <w:highlight w:val="none"/>
              </w:rPr>
            </w:pPr>
            <w:r>
              <w:rPr>
                <w:rFonts w:hint="eastAsia" w:ascii="宋体" w:hAnsi="宋体" w:eastAsia="宋体" w:cs="宋体"/>
                <w:szCs w:val="24"/>
                <w:highlight w:val="none"/>
              </w:rPr>
              <w:t>项目名称</w:t>
            </w:r>
          </w:p>
        </w:tc>
        <w:tc>
          <w:tcPr>
            <w:tcW w:w="1548" w:type="dxa"/>
            <w:tcBorders>
              <w:top w:val="single" w:color="auto" w:sz="4" w:space="0"/>
              <w:left w:val="nil"/>
              <w:bottom w:val="single" w:color="auto" w:sz="4" w:space="0"/>
              <w:right w:val="single" w:color="auto" w:sz="4" w:space="0"/>
            </w:tcBorders>
            <w:noWrap w:val="0"/>
            <w:vAlign w:val="center"/>
          </w:tcPr>
          <w:p w14:paraId="2E12D4A0">
            <w:pPr>
              <w:keepNext w:val="0"/>
              <w:pageBreakBefore w:val="0"/>
              <w:overflowPunct/>
              <w:bidi w:val="0"/>
              <w:spacing w:line="360" w:lineRule="auto"/>
              <w:jc w:val="center"/>
              <w:outlineLvl w:val="9"/>
              <w:rPr>
                <w:rFonts w:hint="eastAsia" w:ascii="宋体" w:hAnsi="宋体" w:eastAsia="宋体" w:cs="宋体"/>
                <w:szCs w:val="24"/>
                <w:highlight w:val="none"/>
              </w:rPr>
            </w:pPr>
            <w:r>
              <w:rPr>
                <w:rFonts w:hint="eastAsia" w:ascii="宋体" w:hAnsi="宋体" w:eastAsia="宋体" w:cs="宋体"/>
                <w:szCs w:val="24"/>
                <w:highlight w:val="none"/>
              </w:rPr>
              <w:t>项目性质</w:t>
            </w:r>
          </w:p>
        </w:tc>
        <w:tc>
          <w:tcPr>
            <w:tcW w:w="2188" w:type="dxa"/>
            <w:tcBorders>
              <w:top w:val="single" w:color="auto" w:sz="4" w:space="0"/>
              <w:left w:val="nil"/>
              <w:bottom w:val="single" w:color="auto" w:sz="4" w:space="0"/>
              <w:right w:val="single" w:color="auto" w:sz="4" w:space="0"/>
            </w:tcBorders>
            <w:noWrap w:val="0"/>
            <w:vAlign w:val="center"/>
          </w:tcPr>
          <w:p w14:paraId="133EFC22">
            <w:pPr>
              <w:keepNext w:val="0"/>
              <w:pageBreakBefore w:val="0"/>
              <w:overflowPunct/>
              <w:bidi w:val="0"/>
              <w:spacing w:line="360" w:lineRule="auto"/>
              <w:jc w:val="center"/>
              <w:outlineLvl w:val="9"/>
              <w:rPr>
                <w:rFonts w:hint="eastAsia" w:ascii="宋体" w:hAnsi="宋体" w:eastAsia="宋体" w:cs="宋体"/>
                <w:szCs w:val="24"/>
                <w:highlight w:val="none"/>
              </w:rPr>
            </w:pPr>
            <w:r>
              <w:rPr>
                <w:rFonts w:hint="eastAsia" w:ascii="宋体" w:hAnsi="宋体" w:eastAsia="宋体" w:cs="宋体"/>
                <w:szCs w:val="24"/>
                <w:highlight w:val="none"/>
              </w:rPr>
              <w:t>金额</w:t>
            </w:r>
          </w:p>
        </w:tc>
        <w:tc>
          <w:tcPr>
            <w:tcW w:w="2194" w:type="dxa"/>
            <w:tcBorders>
              <w:top w:val="single" w:color="auto" w:sz="4" w:space="0"/>
              <w:left w:val="nil"/>
              <w:bottom w:val="single" w:color="auto" w:sz="4" w:space="0"/>
              <w:right w:val="single" w:color="auto" w:sz="4" w:space="0"/>
            </w:tcBorders>
            <w:noWrap w:val="0"/>
            <w:vAlign w:val="center"/>
          </w:tcPr>
          <w:p w14:paraId="7EC6B3E7">
            <w:pPr>
              <w:keepNext w:val="0"/>
              <w:pageBreakBefore w:val="0"/>
              <w:overflowPunct/>
              <w:bidi w:val="0"/>
              <w:spacing w:line="360" w:lineRule="auto"/>
              <w:jc w:val="center"/>
              <w:outlineLvl w:val="9"/>
              <w:rPr>
                <w:rFonts w:hint="eastAsia" w:ascii="宋体" w:hAnsi="宋体" w:eastAsia="宋体" w:cs="宋体"/>
                <w:szCs w:val="24"/>
                <w:highlight w:val="none"/>
              </w:rPr>
            </w:pPr>
            <w:r>
              <w:rPr>
                <w:rFonts w:hint="eastAsia" w:ascii="宋体" w:hAnsi="宋体" w:eastAsia="宋体" w:cs="宋体"/>
                <w:kern w:val="2"/>
                <w:szCs w:val="24"/>
                <w:highlight w:val="none"/>
              </w:rPr>
              <w:t>负责人</w:t>
            </w:r>
          </w:p>
        </w:tc>
      </w:tr>
      <w:tr w14:paraId="2DB6EB79">
        <w:tblPrEx>
          <w:tblCellMar>
            <w:top w:w="0" w:type="dxa"/>
            <w:left w:w="108" w:type="dxa"/>
            <w:bottom w:w="0" w:type="dxa"/>
            <w:right w:w="108" w:type="dxa"/>
          </w:tblCellMar>
        </w:tblPrEx>
        <w:trPr>
          <w:trHeight w:val="906" w:hRule="atLeast"/>
          <w:jc w:val="center"/>
        </w:trPr>
        <w:tc>
          <w:tcPr>
            <w:tcW w:w="3070" w:type="dxa"/>
            <w:tcBorders>
              <w:top w:val="single" w:color="auto" w:sz="4" w:space="0"/>
              <w:left w:val="single" w:color="auto" w:sz="4" w:space="0"/>
              <w:bottom w:val="single" w:color="auto" w:sz="4" w:space="0"/>
              <w:right w:val="single" w:color="auto" w:sz="4" w:space="0"/>
            </w:tcBorders>
            <w:noWrap w:val="0"/>
            <w:vAlign w:val="top"/>
          </w:tcPr>
          <w:p w14:paraId="47054977">
            <w:pPr>
              <w:keepNext w:val="0"/>
              <w:pageBreakBefore w:val="0"/>
              <w:overflowPunct/>
              <w:bidi w:val="0"/>
              <w:spacing w:line="360" w:lineRule="auto"/>
              <w:jc w:val="center"/>
              <w:outlineLvl w:val="9"/>
              <w:rPr>
                <w:rFonts w:hint="eastAsia" w:ascii="宋体" w:hAnsi="宋体" w:eastAsia="宋体" w:cs="宋体"/>
                <w:szCs w:val="24"/>
                <w:highlight w:val="none"/>
              </w:rPr>
            </w:pPr>
          </w:p>
        </w:tc>
        <w:tc>
          <w:tcPr>
            <w:tcW w:w="1548" w:type="dxa"/>
            <w:tcBorders>
              <w:top w:val="single" w:color="auto" w:sz="4" w:space="0"/>
              <w:left w:val="nil"/>
              <w:bottom w:val="single" w:color="auto" w:sz="4" w:space="0"/>
              <w:right w:val="single" w:color="auto" w:sz="4" w:space="0"/>
            </w:tcBorders>
            <w:noWrap w:val="0"/>
            <w:vAlign w:val="top"/>
          </w:tcPr>
          <w:p w14:paraId="3140062D">
            <w:pPr>
              <w:keepNext w:val="0"/>
              <w:pageBreakBefore w:val="0"/>
              <w:overflowPunct/>
              <w:bidi w:val="0"/>
              <w:spacing w:line="360" w:lineRule="auto"/>
              <w:jc w:val="center"/>
              <w:outlineLvl w:val="9"/>
              <w:rPr>
                <w:rFonts w:hint="eastAsia" w:ascii="宋体" w:hAnsi="宋体" w:eastAsia="宋体" w:cs="宋体"/>
                <w:szCs w:val="24"/>
                <w:highlight w:val="none"/>
              </w:rPr>
            </w:pPr>
          </w:p>
        </w:tc>
        <w:tc>
          <w:tcPr>
            <w:tcW w:w="2188" w:type="dxa"/>
            <w:tcBorders>
              <w:top w:val="single" w:color="auto" w:sz="4" w:space="0"/>
              <w:left w:val="nil"/>
              <w:bottom w:val="single" w:color="auto" w:sz="4" w:space="0"/>
              <w:right w:val="single" w:color="auto" w:sz="4" w:space="0"/>
            </w:tcBorders>
            <w:noWrap w:val="0"/>
            <w:vAlign w:val="top"/>
          </w:tcPr>
          <w:p w14:paraId="73569568">
            <w:pPr>
              <w:keepNext w:val="0"/>
              <w:pageBreakBefore w:val="0"/>
              <w:overflowPunct/>
              <w:bidi w:val="0"/>
              <w:spacing w:line="360" w:lineRule="auto"/>
              <w:jc w:val="center"/>
              <w:outlineLvl w:val="9"/>
              <w:rPr>
                <w:rFonts w:hint="eastAsia" w:ascii="宋体" w:hAnsi="宋体" w:eastAsia="宋体" w:cs="宋体"/>
                <w:szCs w:val="24"/>
                <w:highlight w:val="none"/>
              </w:rPr>
            </w:pPr>
          </w:p>
        </w:tc>
        <w:tc>
          <w:tcPr>
            <w:tcW w:w="2194" w:type="dxa"/>
            <w:tcBorders>
              <w:top w:val="single" w:color="auto" w:sz="4" w:space="0"/>
              <w:left w:val="nil"/>
              <w:bottom w:val="single" w:color="auto" w:sz="4" w:space="0"/>
              <w:right w:val="single" w:color="auto" w:sz="4" w:space="0"/>
            </w:tcBorders>
            <w:noWrap w:val="0"/>
            <w:vAlign w:val="top"/>
          </w:tcPr>
          <w:p w14:paraId="0912DE49">
            <w:pPr>
              <w:keepNext w:val="0"/>
              <w:pageBreakBefore w:val="0"/>
              <w:overflowPunct/>
              <w:bidi w:val="0"/>
              <w:spacing w:line="360" w:lineRule="auto"/>
              <w:jc w:val="center"/>
              <w:outlineLvl w:val="9"/>
              <w:rPr>
                <w:rFonts w:hint="eastAsia" w:ascii="宋体" w:hAnsi="宋体" w:eastAsia="宋体" w:cs="宋体"/>
                <w:szCs w:val="24"/>
                <w:highlight w:val="none"/>
              </w:rPr>
            </w:pPr>
          </w:p>
        </w:tc>
      </w:tr>
      <w:tr w14:paraId="71256565">
        <w:tblPrEx>
          <w:tblCellMar>
            <w:top w:w="0" w:type="dxa"/>
            <w:left w:w="108" w:type="dxa"/>
            <w:bottom w:w="0" w:type="dxa"/>
            <w:right w:w="108" w:type="dxa"/>
          </w:tblCellMar>
        </w:tblPrEx>
        <w:trPr>
          <w:trHeight w:val="906" w:hRule="atLeast"/>
          <w:jc w:val="center"/>
        </w:trPr>
        <w:tc>
          <w:tcPr>
            <w:tcW w:w="3070" w:type="dxa"/>
            <w:tcBorders>
              <w:top w:val="single" w:color="auto" w:sz="4" w:space="0"/>
              <w:left w:val="single" w:color="auto" w:sz="4" w:space="0"/>
              <w:bottom w:val="single" w:color="auto" w:sz="4" w:space="0"/>
              <w:right w:val="single" w:color="auto" w:sz="4" w:space="0"/>
            </w:tcBorders>
            <w:noWrap w:val="0"/>
            <w:vAlign w:val="top"/>
          </w:tcPr>
          <w:p w14:paraId="6FCDCD59">
            <w:pPr>
              <w:keepNext w:val="0"/>
              <w:pageBreakBefore w:val="0"/>
              <w:overflowPunct/>
              <w:bidi w:val="0"/>
              <w:spacing w:line="360" w:lineRule="auto"/>
              <w:jc w:val="center"/>
              <w:outlineLvl w:val="9"/>
              <w:rPr>
                <w:rFonts w:hint="eastAsia" w:ascii="宋体" w:hAnsi="宋体" w:eastAsia="宋体" w:cs="宋体"/>
                <w:szCs w:val="24"/>
                <w:highlight w:val="none"/>
              </w:rPr>
            </w:pPr>
          </w:p>
        </w:tc>
        <w:tc>
          <w:tcPr>
            <w:tcW w:w="1548" w:type="dxa"/>
            <w:tcBorders>
              <w:top w:val="single" w:color="auto" w:sz="4" w:space="0"/>
              <w:left w:val="nil"/>
              <w:bottom w:val="single" w:color="auto" w:sz="4" w:space="0"/>
              <w:right w:val="single" w:color="auto" w:sz="4" w:space="0"/>
            </w:tcBorders>
            <w:noWrap w:val="0"/>
            <w:vAlign w:val="top"/>
          </w:tcPr>
          <w:p w14:paraId="19237790">
            <w:pPr>
              <w:keepNext w:val="0"/>
              <w:pageBreakBefore w:val="0"/>
              <w:overflowPunct/>
              <w:bidi w:val="0"/>
              <w:spacing w:line="360" w:lineRule="auto"/>
              <w:jc w:val="center"/>
              <w:outlineLvl w:val="9"/>
              <w:rPr>
                <w:rFonts w:hint="eastAsia" w:ascii="宋体" w:hAnsi="宋体" w:eastAsia="宋体" w:cs="宋体"/>
                <w:szCs w:val="24"/>
                <w:highlight w:val="none"/>
              </w:rPr>
            </w:pPr>
          </w:p>
        </w:tc>
        <w:tc>
          <w:tcPr>
            <w:tcW w:w="2188" w:type="dxa"/>
            <w:tcBorders>
              <w:top w:val="single" w:color="auto" w:sz="4" w:space="0"/>
              <w:left w:val="nil"/>
              <w:bottom w:val="single" w:color="auto" w:sz="4" w:space="0"/>
              <w:right w:val="single" w:color="auto" w:sz="4" w:space="0"/>
            </w:tcBorders>
            <w:noWrap w:val="0"/>
            <w:vAlign w:val="top"/>
          </w:tcPr>
          <w:p w14:paraId="35FCEFBF">
            <w:pPr>
              <w:keepNext w:val="0"/>
              <w:pageBreakBefore w:val="0"/>
              <w:overflowPunct/>
              <w:bidi w:val="0"/>
              <w:spacing w:line="360" w:lineRule="auto"/>
              <w:jc w:val="center"/>
              <w:outlineLvl w:val="9"/>
              <w:rPr>
                <w:rFonts w:hint="eastAsia" w:ascii="宋体" w:hAnsi="宋体" w:eastAsia="宋体" w:cs="宋体"/>
                <w:szCs w:val="24"/>
                <w:highlight w:val="none"/>
              </w:rPr>
            </w:pPr>
          </w:p>
        </w:tc>
        <w:tc>
          <w:tcPr>
            <w:tcW w:w="2194" w:type="dxa"/>
            <w:tcBorders>
              <w:top w:val="single" w:color="auto" w:sz="4" w:space="0"/>
              <w:left w:val="nil"/>
              <w:bottom w:val="single" w:color="auto" w:sz="4" w:space="0"/>
              <w:right w:val="single" w:color="auto" w:sz="4" w:space="0"/>
            </w:tcBorders>
            <w:noWrap w:val="0"/>
            <w:vAlign w:val="top"/>
          </w:tcPr>
          <w:p w14:paraId="5A9C142B">
            <w:pPr>
              <w:keepNext w:val="0"/>
              <w:pageBreakBefore w:val="0"/>
              <w:overflowPunct/>
              <w:bidi w:val="0"/>
              <w:spacing w:line="360" w:lineRule="auto"/>
              <w:jc w:val="center"/>
              <w:outlineLvl w:val="9"/>
              <w:rPr>
                <w:rFonts w:hint="eastAsia" w:ascii="宋体" w:hAnsi="宋体" w:eastAsia="宋体" w:cs="宋体"/>
                <w:szCs w:val="24"/>
                <w:highlight w:val="none"/>
              </w:rPr>
            </w:pPr>
          </w:p>
        </w:tc>
      </w:tr>
      <w:tr w14:paraId="124506DC">
        <w:tblPrEx>
          <w:tblCellMar>
            <w:top w:w="0" w:type="dxa"/>
            <w:left w:w="108" w:type="dxa"/>
            <w:bottom w:w="0" w:type="dxa"/>
            <w:right w:w="108" w:type="dxa"/>
          </w:tblCellMar>
        </w:tblPrEx>
        <w:trPr>
          <w:trHeight w:val="906" w:hRule="atLeast"/>
          <w:jc w:val="center"/>
        </w:trPr>
        <w:tc>
          <w:tcPr>
            <w:tcW w:w="3070" w:type="dxa"/>
            <w:tcBorders>
              <w:top w:val="single" w:color="auto" w:sz="4" w:space="0"/>
              <w:left w:val="single" w:color="auto" w:sz="4" w:space="0"/>
              <w:bottom w:val="single" w:color="auto" w:sz="4" w:space="0"/>
              <w:right w:val="single" w:color="auto" w:sz="4" w:space="0"/>
            </w:tcBorders>
            <w:noWrap w:val="0"/>
            <w:vAlign w:val="top"/>
          </w:tcPr>
          <w:p w14:paraId="49E391B8">
            <w:pPr>
              <w:keepNext w:val="0"/>
              <w:pageBreakBefore w:val="0"/>
              <w:overflowPunct/>
              <w:bidi w:val="0"/>
              <w:spacing w:line="360" w:lineRule="auto"/>
              <w:jc w:val="center"/>
              <w:outlineLvl w:val="9"/>
              <w:rPr>
                <w:rFonts w:hint="eastAsia" w:ascii="宋体" w:hAnsi="宋体" w:eastAsia="宋体" w:cs="宋体"/>
                <w:szCs w:val="24"/>
                <w:highlight w:val="none"/>
              </w:rPr>
            </w:pPr>
          </w:p>
        </w:tc>
        <w:tc>
          <w:tcPr>
            <w:tcW w:w="1548" w:type="dxa"/>
            <w:tcBorders>
              <w:top w:val="single" w:color="auto" w:sz="4" w:space="0"/>
              <w:left w:val="nil"/>
              <w:bottom w:val="single" w:color="auto" w:sz="4" w:space="0"/>
              <w:right w:val="single" w:color="auto" w:sz="4" w:space="0"/>
            </w:tcBorders>
            <w:noWrap w:val="0"/>
            <w:vAlign w:val="top"/>
          </w:tcPr>
          <w:p w14:paraId="4F90E09E">
            <w:pPr>
              <w:keepNext w:val="0"/>
              <w:pageBreakBefore w:val="0"/>
              <w:overflowPunct/>
              <w:bidi w:val="0"/>
              <w:spacing w:line="360" w:lineRule="auto"/>
              <w:jc w:val="center"/>
              <w:outlineLvl w:val="9"/>
              <w:rPr>
                <w:rFonts w:hint="eastAsia" w:ascii="宋体" w:hAnsi="宋体" w:eastAsia="宋体" w:cs="宋体"/>
                <w:szCs w:val="24"/>
                <w:highlight w:val="none"/>
              </w:rPr>
            </w:pPr>
          </w:p>
        </w:tc>
        <w:tc>
          <w:tcPr>
            <w:tcW w:w="2188" w:type="dxa"/>
            <w:tcBorders>
              <w:top w:val="single" w:color="auto" w:sz="4" w:space="0"/>
              <w:left w:val="nil"/>
              <w:bottom w:val="single" w:color="auto" w:sz="4" w:space="0"/>
              <w:right w:val="single" w:color="auto" w:sz="4" w:space="0"/>
            </w:tcBorders>
            <w:noWrap w:val="0"/>
            <w:vAlign w:val="top"/>
          </w:tcPr>
          <w:p w14:paraId="7D1A9254">
            <w:pPr>
              <w:keepNext w:val="0"/>
              <w:pageBreakBefore w:val="0"/>
              <w:overflowPunct/>
              <w:bidi w:val="0"/>
              <w:spacing w:line="360" w:lineRule="auto"/>
              <w:jc w:val="center"/>
              <w:outlineLvl w:val="9"/>
              <w:rPr>
                <w:rFonts w:hint="eastAsia" w:ascii="宋体" w:hAnsi="宋体" w:eastAsia="宋体" w:cs="宋体"/>
                <w:szCs w:val="24"/>
                <w:highlight w:val="none"/>
              </w:rPr>
            </w:pPr>
          </w:p>
        </w:tc>
        <w:tc>
          <w:tcPr>
            <w:tcW w:w="2194" w:type="dxa"/>
            <w:tcBorders>
              <w:top w:val="single" w:color="auto" w:sz="4" w:space="0"/>
              <w:left w:val="nil"/>
              <w:bottom w:val="single" w:color="auto" w:sz="4" w:space="0"/>
              <w:right w:val="single" w:color="auto" w:sz="4" w:space="0"/>
            </w:tcBorders>
            <w:noWrap w:val="0"/>
            <w:vAlign w:val="top"/>
          </w:tcPr>
          <w:p w14:paraId="5D754FF2">
            <w:pPr>
              <w:keepNext w:val="0"/>
              <w:pageBreakBefore w:val="0"/>
              <w:overflowPunct/>
              <w:bidi w:val="0"/>
              <w:spacing w:line="360" w:lineRule="auto"/>
              <w:jc w:val="center"/>
              <w:outlineLvl w:val="9"/>
              <w:rPr>
                <w:rFonts w:hint="eastAsia" w:ascii="宋体" w:hAnsi="宋体" w:eastAsia="宋体" w:cs="宋体"/>
                <w:szCs w:val="24"/>
                <w:highlight w:val="none"/>
              </w:rPr>
            </w:pPr>
          </w:p>
        </w:tc>
      </w:tr>
      <w:tr w14:paraId="5AB23B5A">
        <w:tblPrEx>
          <w:tblCellMar>
            <w:top w:w="0" w:type="dxa"/>
            <w:left w:w="108" w:type="dxa"/>
            <w:bottom w:w="0" w:type="dxa"/>
            <w:right w:w="108" w:type="dxa"/>
          </w:tblCellMar>
        </w:tblPrEx>
        <w:trPr>
          <w:trHeight w:val="906" w:hRule="atLeast"/>
          <w:jc w:val="center"/>
        </w:trPr>
        <w:tc>
          <w:tcPr>
            <w:tcW w:w="3070" w:type="dxa"/>
            <w:tcBorders>
              <w:top w:val="single" w:color="auto" w:sz="4" w:space="0"/>
              <w:left w:val="single" w:color="auto" w:sz="4" w:space="0"/>
              <w:bottom w:val="single" w:color="auto" w:sz="4" w:space="0"/>
              <w:right w:val="single" w:color="auto" w:sz="4" w:space="0"/>
            </w:tcBorders>
            <w:noWrap w:val="0"/>
            <w:vAlign w:val="top"/>
          </w:tcPr>
          <w:p w14:paraId="2A9A4F53">
            <w:pPr>
              <w:keepNext w:val="0"/>
              <w:pageBreakBefore w:val="0"/>
              <w:overflowPunct/>
              <w:bidi w:val="0"/>
              <w:spacing w:line="360" w:lineRule="auto"/>
              <w:jc w:val="center"/>
              <w:outlineLvl w:val="9"/>
              <w:rPr>
                <w:rFonts w:hint="eastAsia" w:ascii="宋体" w:hAnsi="宋体" w:eastAsia="宋体" w:cs="宋体"/>
                <w:szCs w:val="24"/>
                <w:highlight w:val="none"/>
              </w:rPr>
            </w:pPr>
          </w:p>
        </w:tc>
        <w:tc>
          <w:tcPr>
            <w:tcW w:w="1548" w:type="dxa"/>
            <w:tcBorders>
              <w:top w:val="single" w:color="auto" w:sz="4" w:space="0"/>
              <w:left w:val="nil"/>
              <w:bottom w:val="single" w:color="auto" w:sz="4" w:space="0"/>
              <w:right w:val="single" w:color="auto" w:sz="4" w:space="0"/>
            </w:tcBorders>
            <w:noWrap w:val="0"/>
            <w:vAlign w:val="top"/>
          </w:tcPr>
          <w:p w14:paraId="5798E84B">
            <w:pPr>
              <w:keepNext w:val="0"/>
              <w:pageBreakBefore w:val="0"/>
              <w:overflowPunct/>
              <w:bidi w:val="0"/>
              <w:spacing w:line="360" w:lineRule="auto"/>
              <w:jc w:val="center"/>
              <w:outlineLvl w:val="9"/>
              <w:rPr>
                <w:rFonts w:hint="eastAsia" w:ascii="宋体" w:hAnsi="宋体" w:eastAsia="宋体" w:cs="宋体"/>
                <w:szCs w:val="24"/>
                <w:highlight w:val="none"/>
              </w:rPr>
            </w:pPr>
          </w:p>
        </w:tc>
        <w:tc>
          <w:tcPr>
            <w:tcW w:w="2188" w:type="dxa"/>
            <w:tcBorders>
              <w:top w:val="single" w:color="auto" w:sz="4" w:space="0"/>
              <w:left w:val="nil"/>
              <w:bottom w:val="single" w:color="auto" w:sz="4" w:space="0"/>
              <w:right w:val="single" w:color="auto" w:sz="4" w:space="0"/>
            </w:tcBorders>
            <w:noWrap w:val="0"/>
            <w:vAlign w:val="top"/>
          </w:tcPr>
          <w:p w14:paraId="11035E1E">
            <w:pPr>
              <w:keepNext w:val="0"/>
              <w:pageBreakBefore w:val="0"/>
              <w:overflowPunct/>
              <w:bidi w:val="0"/>
              <w:spacing w:line="360" w:lineRule="auto"/>
              <w:jc w:val="center"/>
              <w:outlineLvl w:val="9"/>
              <w:rPr>
                <w:rFonts w:hint="eastAsia" w:ascii="宋体" w:hAnsi="宋体" w:eastAsia="宋体" w:cs="宋体"/>
                <w:szCs w:val="24"/>
                <w:highlight w:val="none"/>
              </w:rPr>
            </w:pPr>
          </w:p>
        </w:tc>
        <w:tc>
          <w:tcPr>
            <w:tcW w:w="2194" w:type="dxa"/>
            <w:tcBorders>
              <w:top w:val="single" w:color="auto" w:sz="4" w:space="0"/>
              <w:left w:val="nil"/>
              <w:bottom w:val="single" w:color="auto" w:sz="4" w:space="0"/>
              <w:right w:val="single" w:color="auto" w:sz="4" w:space="0"/>
            </w:tcBorders>
            <w:noWrap w:val="0"/>
            <w:vAlign w:val="top"/>
          </w:tcPr>
          <w:p w14:paraId="779351D6">
            <w:pPr>
              <w:keepNext w:val="0"/>
              <w:pageBreakBefore w:val="0"/>
              <w:overflowPunct/>
              <w:bidi w:val="0"/>
              <w:spacing w:line="360" w:lineRule="auto"/>
              <w:jc w:val="center"/>
              <w:outlineLvl w:val="9"/>
              <w:rPr>
                <w:rFonts w:hint="eastAsia" w:ascii="宋体" w:hAnsi="宋体" w:eastAsia="宋体" w:cs="宋体"/>
                <w:szCs w:val="24"/>
                <w:highlight w:val="none"/>
              </w:rPr>
            </w:pPr>
          </w:p>
        </w:tc>
      </w:tr>
      <w:tr w14:paraId="6071A9B7">
        <w:tblPrEx>
          <w:tblCellMar>
            <w:top w:w="0" w:type="dxa"/>
            <w:left w:w="108" w:type="dxa"/>
            <w:bottom w:w="0" w:type="dxa"/>
            <w:right w:w="108" w:type="dxa"/>
          </w:tblCellMar>
        </w:tblPrEx>
        <w:trPr>
          <w:trHeight w:val="906" w:hRule="atLeast"/>
          <w:jc w:val="center"/>
        </w:trPr>
        <w:tc>
          <w:tcPr>
            <w:tcW w:w="3070" w:type="dxa"/>
            <w:tcBorders>
              <w:top w:val="single" w:color="auto" w:sz="4" w:space="0"/>
              <w:left w:val="single" w:color="auto" w:sz="4" w:space="0"/>
              <w:bottom w:val="single" w:color="auto" w:sz="4" w:space="0"/>
              <w:right w:val="single" w:color="auto" w:sz="4" w:space="0"/>
            </w:tcBorders>
            <w:noWrap w:val="0"/>
            <w:vAlign w:val="top"/>
          </w:tcPr>
          <w:p w14:paraId="7EBC529A">
            <w:pPr>
              <w:keepNext w:val="0"/>
              <w:pageBreakBefore w:val="0"/>
              <w:overflowPunct/>
              <w:bidi w:val="0"/>
              <w:spacing w:line="360" w:lineRule="auto"/>
              <w:jc w:val="center"/>
              <w:outlineLvl w:val="9"/>
              <w:rPr>
                <w:rFonts w:hint="eastAsia" w:ascii="宋体" w:hAnsi="宋体" w:eastAsia="宋体" w:cs="宋体"/>
                <w:szCs w:val="24"/>
                <w:highlight w:val="none"/>
              </w:rPr>
            </w:pPr>
          </w:p>
        </w:tc>
        <w:tc>
          <w:tcPr>
            <w:tcW w:w="1548" w:type="dxa"/>
            <w:tcBorders>
              <w:top w:val="single" w:color="auto" w:sz="4" w:space="0"/>
              <w:left w:val="nil"/>
              <w:bottom w:val="single" w:color="auto" w:sz="4" w:space="0"/>
              <w:right w:val="single" w:color="auto" w:sz="4" w:space="0"/>
            </w:tcBorders>
            <w:noWrap w:val="0"/>
            <w:vAlign w:val="top"/>
          </w:tcPr>
          <w:p w14:paraId="4287F499">
            <w:pPr>
              <w:keepNext w:val="0"/>
              <w:pageBreakBefore w:val="0"/>
              <w:overflowPunct/>
              <w:bidi w:val="0"/>
              <w:spacing w:line="360" w:lineRule="auto"/>
              <w:jc w:val="center"/>
              <w:outlineLvl w:val="9"/>
              <w:rPr>
                <w:rFonts w:hint="eastAsia" w:ascii="宋体" w:hAnsi="宋体" w:eastAsia="宋体" w:cs="宋体"/>
                <w:szCs w:val="24"/>
                <w:highlight w:val="none"/>
              </w:rPr>
            </w:pPr>
          </w:p>
        </w:tc>
        <w:tc>
          <w:tcPr>
            <w:tcW w:w="2188" w:type="dxa"/>
            <w:tcBorders>
              <w:top w:val="single" w:color="auto" w:sz="4" w:space="0"/>
              <w:left w:val="nil"/>
              <w:bottom w:val="single" w:color="auto" w:sz="4" w:space="0"/>
              <w:right w:val="single" w:color="auto" w:sz="4" w:space="0"/>
            </w:tcBorders>
            <w:noWrap w:val="0"/>
            <w:vAlign w:val="top"/>
          </w:tcPr>
          <w:p w14:paraId="43722EAA">
            <w:pPr>
              <w:keepNext w:val="0"/>
              <w:pageBreakBefore w:val="0"/>
              <w:overflowPunct/>
              <w:bidi w:val="0"/>
              <w:spacing w:line="360" w:lineRule="auto"/>
              <w:jc w:val="center"/>
              <w:outlineLvl w:val="9"/>
              <w:rPr>
                <w:rFonts w:hint="eastAsia" w:ascii="宋体" w:hAnsi="宋体" w:eastAsia="宋体" w:cs="宋体"/>
                <w:szCs w:val="24"/>
                <w:highlight w:val="none"/>
              </w:rPr>
            </w:pPr>
          </w:p>
        </w:tc>
        <w:tc>
          <w:tcPr>
            <w:tcW w:w="2194" w:type="dxa"/>
            <w:tcBorders>
              <w:top w:val="single" w:color="auto" w:sz="4" w:space="0"/>
              <w:left w:val="nil"/>
              <w:bottom w:val="single" w:color="auto" w:sz="4" w:space="0"/>
              <w:right w:val="single" w:color="auto" w:sz="4" w:space="0"/>
            </w:tcBorders>
            <w:noWrap w:val="0"/>
            <w:vAlign w:val="top"/>
          </w:tcPr>
          <w:p w14:paraId="25C0A11C">
            <w:pPr>
              <w:keepNext w:val="0"/>
              <w:pageBreakBefore w:val="0"/>
              <w:overflowPunct/>
              <w:bidi w:val="0"/>
              <w:spacing w:line="360" w:lineRule="auto"/>
              <w:jc w:val="center"/>
              <w:outlineLvl w:val="9"/>
              <w:rPr>
                <w:rFonts w:hint="eastAsia" w:ascii="宋体" w:hAnsi="宋体" w:eastAsia="宋体" w:cs="宋体"/>
                <w:szCs w:val="24"/>
                <w:highlight w:val="none"/>
              </w:rPr>
            </w:pPr>
          </w:p>
        </w:tc>
      </w:tr>
      <w:tr w14:paraId="26849B85">
        <w:tblPrEx>
          <w:tblCellMar>
            <w:top w:w="0" w:type="dxa"/>
            <w:left w:w="108" w:type="dxa"/>
            <w:bottom w:w="0" w:type="dxa"/>
            <w:right w:w="108" w:type="dxa"/>
          </w:tblCellMar>
        </w:tblPrEx>
        <w:trPr>
          <w:trHeight w:val="906" w:hRule="atLeast"/>
          <w:jc w:val="center"/>
        </w:trPr>
        <w:tc>
          <w:tcPr>
            <w:tcW w:w="3070" w:type="dxa"/>
            <w:tcBorders>
              <w:top w:val="single" w:color="auto" w:sz="4" w:space="0"/>
              <w:left w:val="single" w:color="auto" w:sz="4" w:space="0"/>
              <w:bottom w:val="single" w:color="auto" w:sz="4" w:space="0"/>
              <w:right w:val="single" w:color="auto" w:sz="4" w:space="0"/>
            </w:tcBorders>
            <w:noWrap w:val="0"/>
            <w:vAlign w:val="top"/>
          </w:tcPr>
          <w:p w14:paraId="489E97DE">
            <w:pPr>
              <w:keepNext w:val="0"/>
              <w:pageBreakBefore w:val="0"/>
              <w:overflowPunct/>
              <w:bidi w:val="0"/>
              <w:spacing w:line="360" w:lineRule="auto"/>
              <w:jc w:val="center"/>
              <w:outlineLvl w:val="9"/>
              <w:rPr>
                <w:rFonts w:hint="eastAsia" w:ascii="宋体" w:hAnsi="宋体" w:eastAsia="宋体" w:cs="宋体"/>
                <w:szCs w:val="24"/>
                <w:highlight w:val="none"/>
              </w:rPr>
            </w:pPr>
          </w:p>
        </w:tc>
        <w:tc>
          <w:tcPr>
            <w:tcW w:w="1548" w:type="dxa"/>
            <w:tcBorders>
              <w:top w:val="single" w:color="auto" w:sz="4" w:space="0"/>
              <w:left w:val="nil"/>
              <w:bottom w:val="single" w:color="auto" w:sz="4" w:space="0"/>
              <w:right w:val="single" w:color="auto" w:sz="4" w:space="0"/>
            </w:tcBorders>
            <w:noWrap w:val="0"/>
            <w:vAlign w:val="top"/>
          </w:tcPr>
          <w:p w14:paraId="44EF2A4A">
            <w:pPr>
              <w:keepNext w:val="0"/>
              <w:pageBreakBefore w:val="0"/>
              <w:overflowPunct/>
              <w:bidi w:val="0"/>
              <w:spacing w:line="360" w:lineRule="auto"/>
              <w:jc w:val="center"/>
              <w:outlineLvl w:val="9"/>
              <w:rPr>
                <w:rFonts w:hint="eastAsia" w:ascii="宋体" w:hAnsi="宋体" w:eastAsia="宋体" w:cs="宋体"/>
                <w:szCs w:val="24"/>
                <w:highlight w:val="none"/>
              </w:rPr>
            </w:pPr>
          </w:p>
        </w:tc>
        <w:tc>
          <w:tcPr>
            <w:tcW w:w="2188" w:type="dxa"/>
            <w:tcBorders>
              <w:top w:val="single" w:color="auto" w:sz="4" w:space="0"/>
              <w:left w:val="nil"/>
              <w:bottom w:val="single" w:color="auto" w:sz="4" w:space="0"/>
              <w:right w:val="single" w:color="auto" w:sz="4" w:space="0"/>
            </w:tcBorders>
            <w:noWrap w:val="0"/>
            <w:vAlign w:val="top"/>
          </w:tcPr>
          <w:p w14:paraId="4E41CC8D">
            <w:pPr>
              <w:keepNext w:val="0"/>
              <w:pageBreakBefore w:val="0"/>
              <w:overflowPunct/>
              <w:bidi w:val="0"/>
              <w:spacing w:line="360" w:lineRule="auto"/>
              <w:jc w:val="center"/>
              <w:outlineLvl w:val="9"/>
              <w:rPr>
                <w:rFonts w:hint="eastAsia" w:ascii="宋体" w:hAnsi="宋体" w:eastAsia="宋体" w:cs="宋体"/>
                <w:szCs w:val="24"/>
                <w:highlight w:val="none"/>
              </w:rPr>
            </w:pPr>
          </w:p>
        </w:tc>
        <w:tc>
          <w:tcPr>
            <w:tcW w:w="2194" w:type="dxa"/>
            <w:tcBorders>
              <w:top w:val="single" w:color="auto" w:sz="4" w:space="0"/>
              <w:left w:val="nil"/>
              <w:bottom w:val="single" w:color="auto" w:sz="4" w:space="0"/>
              <w:right w:val="single" w:color="auto" w:sz="4" w:space="0"/>
            </w:tcBorders>
            <w:noWrap w:val="0"/>
            <w:vAlign w:val="top"/>
          </w:tcPr>
          <w:p w14:paraId="6B741D3B">
            <w:pPr>
              <w:keepNext w:val="0"/>
              <w:pageBreakBefore w:val="0"/>
              <w:overflowPunct/>
              <w:bidi w:val="0"/>
              <w:spacing w:line="360" w:lineRule="auto"/>
              <w:jc w:val="center"/>
              <w:outlineLvl w:val="9"/>
              <w:rPr>
                <w:rFonts w:hint="eastAsia" w:ascii="宋体" w:hAnsi="宋体" w:eastAsia="宋体" w:cs="宋体"/>
                <w:szCs w:val="24"/>
                <w:highlight w:val="none"/>
              </w:rPr>
            </w:pPr>
          </w:p>
        </w:tc>
      </w:tr>
      <w:tr w14:paraId="3977766D">
        <w:tblPrEx>
          <w:tblCellMar>
            <w:top w:w="0" w:type="dxa"/>
            <w:left w:w="108" w:type="dxa"/>
            <w:bottom w:w="0" w:type="dxa"/>
            <w:right w:w="108" w:type="dxa"/>
          </w:tblCellMar>
        </w:tblPrEx>
        <w:trPr>
          <w:trHeight w:val="906" w:hRule="atLeast"/>
          <w:jc w:val="center"/>
        </w:trPr>
        <w:tc>
          <w:tcPr>
            <w:tcW w:w="3070" w:type="dxa"/>
            <w:tcBorders>
              <w:top w:val="single" w:color="auto" w:sz="4" w:space="0"/>
              <w:left w:val="single" w:color="auto" w:sz="4" w:space="0"/>
              <w:bottom w:val="single" w:color="auto" w:sz="4" w:space="0"/>
              <w:right w:val="single" w:color="auto" w:sz="4" w:space="0"/>
            </w:tcBorders>
            <w:noWrap w:val="0"/>
            <w:vAlign w:val="top"/>
          </w:tcPr>
          <w:p w14:paraId="67705BFE">
            <w:pPr>
              <w:keepNext w:val="0"/>
              <w:pageBreakBefore w:val="0"/>
              <w:overflowPunct/>
              <w:bidi w:val="0"/>
              <w:spacing w:line="360" w:lineRule="auto"/>
              <w:jc w:val="center"/>
              <w:outlineLvl w:val="9"/>
              <w:rPr>
                <w:rFonts w:hint="eastAsia" w:ascii="宋体" w:hAnsi="宋体" w:eastAsia="宋体" w:cs="宋体"/>
                <w:szCs w:val="24"/>
                <w:highlight w:val="none"/>
              </w:rPr>
            </w:pPr>
          </w:p>
        </w:tc>
        <w:tc>
          <w:tcPr>
            <w:tcW w:w="1548" w:type="dxa"/>
            <w:tcBorders>
              <w:top w:val="single" w:color="auto" w:sz="4" w:space="0"/>
              <w:left w:val="nil"/>
              <w:bottom w:val="single" w:color="auto" w:sz="4" w:space="0"/>
              <w:right w:val="single" w:color="auto" w:sz="4" w:space="0"/>
            </w:tcBorders>
            <w:noWrap w:val="0"/>
            <w:vAlign w:val="top"/>
          </w:tcPr>
          <w:p w14:paraId="5BC1FEA9">
            <w:pPr>
              <w:keepNext w:val="0"/>
              <w:pageBreakBefore w:val="0"/>
              <w:overflowPunct/>
              <w:bidi w:val="0"/>
              <w:spacing w:line="360" w:lineRule="auto"/>
              <w:jc w:val="center"/>
              <w:outlineLvl w:val="9"/>
              <w:rPr>
                <w:rFonts w:hint="eastAsia" w:ascii="宋体" w:hAnsi="宋体" w:eastAsia="宋体" w:cs="宋体"/>
                <w:szCs w:val="24"/>
                <w:highlight w:val="none"/>
              </w:rPr>
            </w:pPr>
          </w:p>
        </w:tc>
        <w:tc>
          <w:tcPr>
            <w:tcW w:w="2188" w:type="dxa"/>
            <w:tcBorders>
              <w:top w:val="single" w:color="auto" w:sz="4" w:space="0"/>
              <w:left w:val="nil"/>
              <w:bottom w:val="single" w:color="auto" w:sz="4" w:space="0"/>
              <w:right w:val="single" w:color="auto" w:sz="4" w:space="0"/>
            </w:tcBorders>
            <w:noWrap w:val="0"/>
            <w:vAlign w:val="top"/>
          </w:tcPr>
          <w:p w14:paraId="0AA62958">
            <w:pPr>
              <w:keepNext w:val="0"/>
              <w:pageBreakBefore w:val="0"/>
              <w:overflowPunct/>
              <w:bidi w:val="0"/>
              <w:spacing w:line="360" w:lineRule="auto"/>
              <w:jc w:val="center"/>
              <w:outlineLvl w:val="9"/>
              <w:rPr>
                <w:rFonts w:hint="eastAsia" w:ascii="宋体" w:hAnsi="宋体" w:eastAsia="宋体" w:cs="宋体"/>
                <w:szCs w:val="24"/>
                <w:highlight w:val="none"/>
              </w:rPr>
            </w:pPr>
          </w:p>
        </w:tc>
        <w:tc>
          <w:tcPr>
            <w:tcW w:w="2194" w:type="dxa"/>
            <w:tcBorders>
              <w:top w:val="single" w:color="auto" w:sz="4" w:space="0"/>
              <w:left w:val="nil"/>
              <w:bottom w:val="single" w:color="auto" w:sz="4" w:space="0"/>
              <w:right w:val="single" w:color="auto" w:sz="4" w:space="0"/>
            </w:tcBorders>
            <w:noWrap w:val="0"/>
            <w:vAlign w:val="top"/>
          </w:tcPr>
          <w:p w14:paraId="3B51EBCC">
            <w:pPr>
              <w:keepNext w:val="0"/>
              <w:pageBreakBefore w:val="0"/>
              <w:overflowPunct/>
              <w:bidi w:val="0"/>
              <w:spacing w:line="360" w:lineRule="auto"/>
              <w:jc w:val="center"/>
              <w:outlineLvl w:val="9"/>
              <w:rPr>
                <w:rFonts w:hint="eastAsia" w:ascii="宋体" w:hAnsi="宋体" w:eastAsia="宋体" w:cs="宋体"/>
                <w:szCs w:val="24"/>
                <w:highlight w:val="none"/>
              </w:rPr>
            </w:pPr>
          </w:p>
        </w:tc>
      </w:tr>
      <w:tr w14:paraId="1123804E">
        <w:tblPrEx>
          <w:tblCellMar>
            <w:top w:w="0" w:type="dxa"/>
            <w:left w:w="108" w:type="dxa"/>
            <w:bottom w:w="0" w:type="dxa"/>
            <w:right w:w="108" w:type="dxa"/>
          </w:tblCellMar>
        </w:tblPrEx>
        <w:trPr>
          <w:trHeight w:val="906" w:hRule="atLeast"/>
          <w:jc w:val="center"/>
        </w:trPr>
        <w:tc>
          <w:tcPr>
            <w:tcW w:w="3070" w:type="dxa"/>
            <w:tcBorders>
              <w:top w:val="single" w:color="auto" w:sz="4" w:space="0"/>
              <w:left w:val="single" w:color="auto" w:sz="4" w:space="0"/>
              <w:bottom w:val="single" w:color="auto" w:sz="4" w:space="0"/>
              <w:right w:val="single" w:color="auto" w:sz="4" w:space="0"/>
            </w:tcBorders>
            <w:noWrap w:val="0"/>
            <w:vAlign w:val="top"/>
          </w:tcPr>
          <w:p w14:paraId="1C2A9F6B">
            <w:pPr>
              <w:keepNext w:val="0"/>
              <w:pageBreakBefore w:val="0"/>
              <w:overflowPunct/>
              <w:bidi w:val="0"/>
              <w:spacing w:line="360" w:lineRule="auto"/>
              <w:jc w:val="center"/>
              <w:outlineLvl w:val="9"/>
              <w:rPr>
                <w:rFonts w:hint="eastAsia" w:ascii="宋体" w:hAnsi="宋体" w:eastAsia="宋体" w:cs="宋体"/>
                <w:szCs w:val="24"/>
                <w:highlight w:val="none"/>
              </w:rPr>
            </w:pPr>
          </w:p>
        </w:tc>
        <w:tc>
          <w:tcPr>
            <w:tcW w:w="1548" w:type="dxa"/>
            <w:tcBorders>
              <w:top w:val="single" w:color="auto" w:sz="4" w:space="0"/>
              <w:left w:val="nil"/>
              <w:bottom w:val="single" w:color="auto" w:sz="4" w:space="0"/>
              <w:right w:val="single" w:color="auto" w:sz="4" w:space="0"/>
            </w:tcBorders>
            <w:noWrap w:val="0"/>
            <w:vAlign w:val="top"/>
          </w:tcPr>
          <w:p w14:paraId="50B4C069">
            <w:pPr>
              <w:keepNext w:val="0"/>
              <w:pageBreakBefore w:val="0"/>
              <w:overflowPunct/>
              <w:bidi w:val="0"/>
              <w:spacing w:line="360" w:lineRule="auto"/>
              <w:jc w:val="center"/>
              <w:outlineLvl w:val="9"/>
              <w:rPr>
                <w:rFonts w:hint="eastAsia" w:ascii="宋体" w:hAnsi="宋体" w:eastAsia="宋体" w:cs="宋体"/>
                <w:szCs w:val="24"/>
                <w:highlight w:val="none"/>
              </w:rPr>
            </w:pPr>
          </w:p>
        </w:tc>
        <w:tc>
          <w:tcPr>
            <w:tcW w:w="2188" w:type="dxa"/>
            <w:tcBorders>
              <w:top w:val="single" w:color="auto" w:sz="4" w:space="0"/>
              <w:left w:val="nil"/>
              <w:bottom w:val="single" w:color="auto" w:sz="4" w:space="0"/>
              <w:right w:val="single" w:color="auto" w:sz="4" w:space="0"/>
            </w:tcBorders>
            <w:noWrap w:val="0"/>
            <w:vAlign w:val="top"/>
          </w:tcPr>
          <w:p w14:paraId="2E9197AF">
            <w:pPr>
              <w:keepNext w:val="0"/>
              <w:pageBreakBefore w:val="0"/>
              <w:overflowPunct/>
              <w:bidi w:val="0"/>
              <w:spacing w:line="360" w:lineRule="auto"/>
              <w:jc w:val="center"/>
              <w:outlineLvl w:val="9"/>
              <w:rPr>
                <w:rFonts w:hint="eastAsia" w:ascii="宋体" w:hAnsi="宋体" w:eastAsia="宋体" w:cs="宋体"/>
                <w:szCs w:val="24"/>
                <w:highlight w:val="none"/>
              </w:rPr>
            </w:pPr>
          </w:p>
        </w:tc>
        <w:tc>
          <w:tcPr>
            <w:tcW w:w="2194" w:type="dxa"/>
            <w:tcBorders>
              <w:top w:val="single" w:color="auto" w:sz="4" w:space="0"/>
              <w:left w:val="nil"/>
              <w:bottom w:val="single" w:color="auto" w:sz="4" w:space="0"/>
              <w:right w:val="single" w:color="auto" w:sz="4" w:space="0"/>
            </w:tcBorders>
            <w:noWrap w:val="0"/>
            <w:vAlign w:val="top"/>
          </w:tcPr>
          <w:p w14:paraId="5C5CED3F">
            <w:pPr>
              <w:keepNext w:val="0"/>
              <w:pageBreakBefore w:val="0"/>
              <w:overflowPunct/>
              <w:bidi w:val="0"/>
              <w:spacing w:line="360" w:lineRule="auto"/>
              <w:jc w:val="center"/>
              <w:outlineLvl w:val="9"/>
              <w:rPr>
                <w:rFonts w:hint="eastAsia" w:ascii="宋体" w:hAnsi="宋体" w:eastAsia="宋体" w:cs="宋体"/>
                <w:szCs w:val="24"/>
                <w:highlight w:val="none"/>
              </w:rPr>
            </w:pPr>
          </w:p>
        </w:tc>
      </w:tr>
      <w:tr w14:paraId="5BBF4D92">
        <w:tblPrEx>
          <w:tblCellMar>
            <w:top w:w="0" w:type="dxa"/>
            <w:left w:w="108" w:type="dxa"/>
            <w:bottom w:w="0" w:type="dxa"/>
            <w:right w:w="108" w:type="dxa"/>
          </w:tblCellMar>
        </w:tblPrEx>
        <w:trPr>
          <w:trHeight w:val="906" w:hRule="atLeast"/>
          <w:jc w:val="center"/>
        </w:trPr>
        <w:tc>
          <w:tcPr>
            <w:tcW w:w="3070" w:type="dxa"/>
            <w:tcBorders>
              <w:top w:val="single" w:color="auto" w:sz="4" w:space="0"/>
              <w:left w:val="single" w:color="auto" w:sz="4" w:space="0"/>
              <w:bottom w:val="single" w:color="auto" w:sz="4" w:space="0"/>
              <w:right w:val="single" w:color="auto" w:sz="4" w:space="0"/>
            </w:tcBorders>
            <w:noWrap w:val="0"/>
            <w:vAlign w:val="top"/>
          </w:tcPr>
          <w:p w14:paraId="16EF0DE9">
            <w:pPr>
              <w:keepNext w:val="0"/>
              <w:pageBreakBefore w:val="0"/>
              <w:overflowPunct/>
              <w:bidi w:val="0"/>
              <w:spacing w:line="360" w:lineRule="auto"/>
              <w:jc w:val="center"/>
              <w:outlineLvl w:val="9"/>
              <w:rPr>
                <w:rFonts w:hint="eastAsia" w:ascii="宋体" w:hAnsi="宋体" w:eastAsia="宋体" w:cs="宋体"/>
                <w:szCs w:val="24"/>
                <w:highlight w:val="none"/>
              </w:rPr>
            </w:pPr>
          </w:p>
        </w:tc>
        <w:tc>
          <w:tcPr>
            <w:tcW w:w="1548" w:type="dxa"/>
            <w:tcBorders>
              <w:top w:val="single" w:color="auto" w:sz="4" w:space="0"/>
              <w:left w:val="nil"/>
              <w:bottom w:val="single" w:color="auto" w:sz="4" w:space="0"/>
              <w:right w:val="single" w:color="auto" w:sz="4" w:space="0"/>
            </w:tcBorders>
            <w:noWrap w:val="0"/>
            <w:vAlign w:val="top"/>
          </w:tcPr>
          <w:p w14:paraId="70D049CC">
            <w:pPr>
              <w:keepNext w:val="0"/>
              <w:pageBreakBefore w:val="0"/>
              <w:overflowPunct/>
              <w:bidi w:val="0"/>
              <w:spacing w:line="360" w:lineRule="auto"/>
              <w:jc w:val="center"/>
              <w:outlineLvl w:val="9"/>
              <w:rPr>
                <w:rFonts w:hint="eastAsia" w:ascii="宋体" w:hAnsi="宋体" w:eastAsia="宋体" w:cs="宋体"/>
                <w:szCs w:val="24"/>
                <w:highlight w:val="none"/>
              </w:rPr>
            </w:pPr>
          </w:p>
        </w:tc>
        <w:tc>
          <w:tcPr>
            <w:tcW w:w="2188" w:type="dxa"/>
            <w:tcBorders>
              <w:top w:val="single" w:color="auto" w:sz="4" w:space="0"/>
              <w:left w:val="nil"/>
              <w:bottom w:val="single" w:color="auto" w:sz="4" w:space="0"/>
              <w:right w:val="single" w:color="auto" w:sz="4" w:space="0"/>
            </w:tcBorders>
            <w:noWrap w:val="0"/>
            <w:vAlign w:val="top"/>
          </w:tcPr>
          <w:p w14:paraId="7CAB8CC7">
            <w:pPr>
              <w:keepNext w:val="0"/>
              <w:pageBreakBefore w:val="0"/>
              <w:overflowPunct/>
              <w:bidi w:val="0"/>
              <w:spacing w:line="360" w:lineRule="auto"/>
              <w:jc w:val="center"/>
              <w:outlineLvl w:val="9"/>
              <w:rPr>
                <w:rFonts w:hint="eastAsia" w:ascii="宋体" w:hAnsi="宋体" w:eastAsia="宋体" w:cs="宋体"/>
                <w:szCs w:val="24"/>
                <w:highlight w:val="none"/>
              </w:rPr>
            </w:pPr>
          </w:p>
        </w:tc>
        <w:tc>
          <w:tcPr>
            <w:tcW w:w="2194" w:type="dxa"/>
            <w:tcBorders>
              <w:top w:val="single" w:color="auto" w:sz="4" w:space="0"/>
              <w:left w:val="nil"/>
              <w:bottom w:val="single" w:color="auto" w:sz="4" w:space="0"/>
              <w:right w:val="single" w:color="auto" w:sz="4" w:space="0"/>
            </w:tcBorders>
            <w:noWrap w:val="0"/>
            <w:vAlign w:val="top"/>
          </w:tcPr>
          <w:p w14:paraId="2E3DEAAE">
            <w:pPr>
              <w:keepNext w:val="0"/>
              <w:pageBreakBefore w:val="0"/>
              <w:overflowPunct/>
              <w:bidi w:val="0"/>
              <w:spacing w:line="360" w:lineRule="auto"/>
              <w:jc w:val="center"/>
              <w:outlineLvl w:val="9"/>
              <w:rPr>
                <w:rFonts w:hint="eastAsia" w:ascii="宋体" w:hAnsi="宋体" w:eastAsia="宋体" w:cs="宋体"/>
                <w:szCs w:val="24"/>
                <w:highlight w:val="none"/>
              </w:rPr>
            </w:pPr>
          </w:p>
        </w:tc>
      </w:tr>
    </w:tbl>
    <w:p w14:paraId="7D64197D">
      <w:pPr>
        <w:keepNext w:val="0"/>
        <w:pageBreakBefore w:val="0"/>
        <w:overflowPunct/>
        <w:bidi w:val="0"/>
        <w:spacing w:line="360" w:lineRule="auto"/>
        <w:outlineLvl w:val="9"/>
        <w:rPr>
          <w:rFonts w:hint="eastAsia" w:ascii="宋体" w:hAnsi="宋体" w:eastAsia="宋体" w:cs="宋体"/>
          <w:b/>
          <w:bCs/>
          <w:szCs w:val="21"/>
          <w:highlight w:val="none"/>
        </w:rPr>
      </w:pPr>
    </w:p>
    <w:p w14:paraId="0E259189">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bCs/>
          <w:sz w:val="28"/>
          <w:szCs w:val="28"/>
          <w:highlight w:val="none"/>
        </w:rPr>
      </w:pPr>
      <w:r>
        <w:rPr>
          <w:rFonts w:hint="eastAsia" w:ascii="宋体" w:hAnsi="宋体" w:eastAsia="宋体" w:cs="宋体"/>
          <w:kern w:val="0"/>
          <w:sz w:val="28"/>
          <w:szCs w:val="28"/>
          <w:highlight w:val="none"/>
        </w:rPr>
        <w:br w:type="page"/>
      </w:r>
      <w:bookmarkStart w:id="32" w:name="_Toc10306"/>
      <w:r>
        <w:rPr>
          <w:rFonts w:hint="eastAsia" w:ascii="宋体" w:hAnsi="宋体" w:eastAsia="宋体" w:cs="宋体"/>
          <w:b/>
          <w:bCs/>
          <w:sz w:val="28"/>
          <w:szCs w:val="28"/>
          <w:highlight w:val="none"/>
        </w:rPr>
        <w:t>七、拟投入本项目主要人员情况汇总表</w:t>
      </w:r>
      <w:bookmarkEnd w:id="32"/>
    </w:p>
    <w:tbl>
      <w:tblPr>
        <w:tblStyle w:val="17"/>
        <w:tblW w:w="9252" w:type="dxa"/>
        <w:jc w:val="center"/>
        <w:tblLayout w:type="fixed"/>
        <w:tblCellMar>
          <w:top w:w="0" w:type="dxa"/>
          <w:left w:w="108" w:type="dxa"/>
          <w:bottom w:w="0" w:type="dxa"/>
          <w:right w:w="108" w:type="dxa"/>
        </w:tblCellMar>
      </w:tblPr>
      <w:tblGrid>
        <w:gridCol w:w="1156"/>
        <w:gridCol w:w="1156"/>
        <w:gridCol w:w="1156"/>
        <w:gridCol w:w="1156"/>
        <w:gridCol w:w="1157"/>
        <w:gridCol w:w="1157"/>
        <w:gridCol w:w="1157"/>
        <w:gridCol w:w="1157"/>
      </w:tblGrid>
      <w:tr w14:paraId="01A14706">
        <w:tblPrEx>
          <w:tblCellMar>
            <w:top w:w="0" w:type="dxa"/>
            <w:left w:w="108" w:type="dxa"/>
            <w:bottom w:w="0" w:type="dxa"/>
            <w:right w:w="108" w:type="dxa"/>
          </w:tblCellMar>
        </w:tblPrEx>
        <w:trPr>
          <w:trHeight w:val="1218" w:hRule="atLeast"/>
          <w:jc w:val="center"/>
        </w:trPr>
        <w:tc>
          <w:tcPr>
            <w:tcW w:w="1156" w:type="dxa"/>
            <w:tcBorders>
              <w:top w:val="single" w:color="auto" w:sz="4" w:space="0"/>
              <w:left w:val="single" w:color="auto" w:sz="4" w:space="0"/>
              <w:bottom w:val="single" w:color="auto" w:sz="4" w:space="0"/>
              <w:right w:val="single" w:color="auto" w:sz="4" w:space="0"/>
            </w:tcBorders>
            <w:noWrap w:val="0"/>
            <w:vAlign w:val="center"/>
          </w:tcPr>
          <w:p w14:paraId="3C693C8F">
            <w:pPr>
              <w:keepNext w:val="0"/>
              <w:pageBreakBefore w:val="0"/>
              <w:overflowPunct/>
              <w:autoSpaceDE w:val="0"/>
              <w:autoSpaceDN w:val="0"/>
              <w:bidi w:val="0"/>
              <w:adjustRightInd w:val="0"/>
              <w:spacing w:before="50" w:line="360" w:lineRule="auto"/>
              <w:ind w:right="97" w:firstLine="67" w:firstLineChars="28"/>
              <w:jc w:val="center"/>
              <w:outlineLvl w:val="9"/>
              <w:rPr>
                <w:rFonts w:hint="eastAsia" w:ascii="宋体" w:hAnsi="宋体" w:eastAsia="宋体" w:cs="宋体"/>
                <w:spacing w:val="1"/>
                <w:kern w:val="0"/>
                <w:szCs w:val="24"/>
                <w:highlight w:val="none"/>
              </w:rPr>
            </w:pPr>
            <w:r>
              <w:rPr>
                <w:rFonts w:hint="eastAsia" w:ascii="宋体" w:hAnsi="宋体" w:eastAsia="宋体" w:cs="宋体"/>
                <w:spacing w:val="1"/>
                <w:kern w:val="0"/>
                <w:szCs w:val="24"/>
                <w:highlight w:val="none"/>
              </w:rPr>
              <w:t>序号</w:t>
            </w:r>
          </w:p>
        </w:tc>
        <w:tc>
          <w:tcPr>
            <w:tcW w:w="1156" w:type="dxa"/>
            <w:tcBorders>
              <w:top w:val="single" w:color="auto" w:sz="4" w:space="0"/>
              <w:left w:val="nil"/>
              <w:bottom w:val="single" w:color="auto" w:sz="4" w:space="0"/>
              <w:right w:val="single" w:color="auto" w:sz="4" w:space="0"/>
            </w:tcBorders>
            <w:noWrap w:val="0"/>
            <w:vAlign w:val="center"/>
          </w:tcPr>
          <w:p w14:paraId="66A6A0DF">
            <w:pPr>
              <w:keepNext w:val="0"/>
              <w:pageBreakBefore w:val="0"/>
              <w:overflowPunct/>
              <w:autoSpaceDE w:val="0"/>
              <w:autoSpaceDN w:val="0"/>
              <w:bidi w:val="0"/>
              <w:adjustRightInd w:val="0"/>
              <w:spacing w:before="50" w:line="360" w:lineRule="auto"/>
              <w:ind w:right="97" w:firstLine="67" w:firstLineChars="28"/>
              <w:jc w:val="center"/>
              <w:outlineLvl w:val="9"/>
              <w:rPr>
                <w:rFonts w:hint="eastAsia" w:ascii="宋体" w:hAnsi="宋体" w:eastAsia="宋体" w:cs="宋体"/>
                <w:spacing w:val="1"/>
                <w:kern w:val="0"/>
                <w:szCs w:val="24"/>
                <w:highlight w:val="none"/>
              </w:rPr>
            </w:pPr>
            <w:r>
              <w:rPr>
                <w:rFonts w:hint="eastAsia" w:ascii="宋体" w:hAnsi="宋体" w:eastAsia="宋体" w:cs="宋体"/>
                <w:spacing w:val="1"/>
                <w:kern w:val="0"/>
                <w:szCs w:val="24"/>
                <w:highlight w:val="none"/>
              </w:rPr>
              <w:t>姓名</w:t>
            </w:r>
          </w:p>
        </w:tc>
        <w:tc>
          <w:tcPr>
            <w:tcW w:w="1156" w:type="dxa"/>
            <w:tcBorders>
              <w:top w:val="single" w:color="auto" w:sz="4" w:space="0"/>
              <w:left w:val="nil"/>
              <w:bottom w:val="single" w:color="auto" w:sz="4" w:space="0"/>
              <w:right w:val="single" w:color="auto" w:sz="4" w:space="0"/>
            </w:tcBorders>
            <w:noWrap w:val="0"/>
            <w:vAlign w:val="center"/>
          </w:tcPr>
          <w:p w14:paraId="0A586B21">
            <w:pPr>
              <w:keepNext w:val="0"/>
              <w:pageBreakBefore w:val="0"/>
              <w:overflowPunct/>
              <w:autoSpaceDE w:val="0"/>
              <w:autoSpaceDN w:val="0"/>
              <w:bidi w:val="0"/>
              <w:adjustRightInd w:val="0"/>
              <w:spacing w:before="50" w:line="360" w:lineRule="auto"/>
              <w:ind w:right="97" w:firstLine="67" w:firstLineChars="28"/>
              <w:jc w:val="center"/>
              <w:outlineLvl w:val="9"/>
              <w:rPr>
                <w:rFonts w:hint="eastAsia" w:ascii="宋体" w:hAnsi="宋体" w:eastAsia="宋体" w:cs="宋体"/>
                <w:spacing w:val="1"/>
                <w:kern w:val="0"/>
                <w:szCs w:val="24"/>
                <w:highlight w:val="none"/>
              </w:rPr>
            </w:pPr>
            <w:r>
              <w:rPr>
                <w:rFonts w:hint="eastAsia" w:ascii="宋体" w:hAnsi="宋体" w:eastAsia="宋体" w:cs="宋体"/>
                <w:spacing w:val="1"/>
                <w:kern w:val="0"/>
                <w:szCs w:val="24"/>
                <w:highlight w:val="none"/>
              </w:rPr>
              <w:t>性别</w:t>
            </w:r>
          </w:p>
        </w:tc>
        <w:tc>
          <w:tcPr>
            <w:tcW w:w="1156" w:type="dxa"/>
            <w:tcBorders>
              <w:top w:val="single" w:color="auto" w:sz="4" w:space="0"/>
              <w:left w:val="nil"/>
              <w:bottom w:val="single" w:color="auto" w:sz="4" w:space="0"/>
              <w:right w:val="single" w:color="auto" w:sz="4" w:space="0"/>
            </w:tcBorders>
            <w:noWrap w:val="0"/>
            <w:vAlign w:val="center"/>
          </w:tcPr>
          <w:p w14:paraId="266B1C37">
            <w:pPr>
              <w:keepNext w:val="0"/>
              <w:pageBreakBefore w:val="0"/>
              <w:overflowPunct/>
              <w:autoSpaceDE w:val="0"/>
              <w:autoSpaceDN w:val="0"/>
              <w:bidi w:val="0"/>
              <w:adjustRightInd w:val="0"/>
              <w:spacing w:before="50" w:line="360" w:lineRule="auto"/>
              <w:ind w:right="97" w:firstLine="67" w:firstLineChars="28"/>
              <w:jc w:val="center"/>
              <w:outlineLvl w:val="9"/>
              <w:rPr>
                <w:rFonts w:hint="eastAsia" w:ascii="宋体" w:hAnsi="宋体" w:eastAsia="宋体" w:cs="宋体"/>
                <w:spacing w:val="1"/>
                <w:kern w:val="0"/>
                <w:szCs w:val="24"/>
                <w:highlight w:val="none"/>
              </w:rPr>
            </w:pPr>
            <w:r>
              <w:rPr>
                <w:rFonts w:hint="eastAsia" w:ascii="宋体" w:hAnsi="宋体" w:eastAsia="宋体" w:cs="宋体"/>
                <w:spacing w:val="1"/>
                <w:kern w:val="0"/>
                <w:szCs w:val="24"/>
                <w:highlight w:val="none"/>
              </w:rPr>
              <w:t>出生</w:t>
            </w:r>
          </w:p>
          <w:p w14:paraId="22C1D3F3">
            <w:pPr>
              <w:keepNext w:val="0"/>
              <w:pageBreakBefore w:val="0"/>
              <w:overflowPunct/>
              <w:autoSpaceDE w:val="0"/>
              <w:autoSpaceDN w:val="0"/>
              <w:bidi w:val="0"/>
              <w:adjustRightInd w:val="0"/>
              <w:spacing w:before="50" w:line="360" w:lineRule="auto"/>
              <w:ind w:right="97" w:firstLine="67" w:firstLineChars="28"/>
              <w:jc w:val="center"/>
              <w:outlineLvl w:val="9"/>
              <w:rPr>
                <w:rFonts w:hint="eastAsia" w:ascii="宋体" w:hAnsi="宋体" w:eastAsia="宋体" w:cs="宋体"/>
                <w:spacing w:val="1"/>
                <w:kern w:val="0"/>
                <w:szCs w:val="24"/>
                <w:highlight w:val="none"/>
              </w:rPr>
            </w:pPr>
            <w:r>
              <w:rPr>
                <w:rFonts w:hint="eastAsia" w:ascii="宋体" w:hAnsi="宋体" w:eastAsia="宋体" w:cs="宋体"/>
                <w:spacing w:val="1"/>
                <w:kern w:val="0"/>
                <w:szCs w:val="24"/>
                <w:highlight w:val="none"/>
              </w:rPr>
              <w:t>日期</w:t>
            </w:r>
          </w:p>
        </w:tc>
        <w:tc>
          <w:tcPr>
            <w:tcW w:w="1157" w:type="dxa"/>
            <w:tcBorders>
              <w:top w:val="single" w:color="auto" w:sz="4" w:space="0"/>
              <w:left w:val="nil"/>
              <w:bottom w:val="single" w:color="auto" w:sz="4" w:space="0"/>
              <w:right w:val="single" w:color="auto" w:sz="4" w:space="0"/>
            </w:tcBorders>
            <w:noWrap w:val="0"/>
            <w:vAlign w:val="center"/>
          </w:tcPr>
          <w:p w14:paraId="06EC8CBE">
            <w:pPr>
              <w:keepNext w:val="0"/>
              <w:pageBreakBefore w:val="0"/>
              <w:overflowPunct/>
              <w:autoSpaceDE w:val="0"/>
              <w:autoSpaceDN w:val="0"/>
              <w:bidi w:val="0"/>
              <w:adjustRightInd w:val="0"/>
              <w:spacing w:before="50" w:line="360" w:lineRule="auto"/>
              <w:ind w:right="97" w:firstLine="67" w:firstLineChars="28"/>
              <w:jc w:val="center"/>
              <w:outlineLvl w:val="9"/>
              <w:rPr>
                <w:rFonts w:hint="eastAsia" w:ascii="宋体" w:hAnsi="宋体" w:eastAsia="宋体" w:cs="宋体"/>
                <w:spacing w:val="1"/>
                <w:kern w:val="0"/>
                <w:szCs w:val="24"/>
                <w:highlight w:val="none"/>
              </w:rPr>
            </w:pPr>
            <w:r>
              <w:rPr>
                <w:rFonts w:hint="eastAsia" w:ascii="宋体" w:hAnsi="宋体" w:eastAsia="宋体" w:cs="宋体"/>
                <w:spacing w:val="1"/>
                <w:kern w:val="0"/>
                <w:szCs w:val="24"/>
                <w:highlight w:val="none"/>
              </w:rPr>
              <w:t>学历</w:t>
            </w:r>
          </w:p>
        </w:tc>
        <w:tc>
          <w:tcPr>
            <w:tcW w:w="1157" w:type="dxa"/>
            <w:tcBorders>
              <w:top w:val="single" w:color="auto" w:sz="4" w:space="0"/>
              <w:left w:val="nil"/>
              <w:bottom w:val="single" w:color="auto" w:sz="4" w:space="0"/>
              <w:right w:val="single" w:color="auto" w:sz="4" w:space="0"/>
            </w:tcBorders>
            <w:noWrap w:val="0"/>
            <w:vAlign w:val="center"/>
          </w:tcPr>
          <w:p w14:paraId="4CB067F1">
            <w:pPr>
              <w:keepNext w:val="0"/>
              <w:pageBreakBefore w:val="0"/>
              <w:overflowPunct/>
              <w:autoSpaceDE w:val="0"/>
              <w:autoSpaceDN w:val="0"/>
              <w:bidi w:val="0"/>
              <w:adjustRightInd w:val="0"/>
              <w:spacing w:before="49" w:line="360" w:lineRule="auto"/>
              <w:ind w:right="97" w:firstLine="67" w:firstLineChars="28"/>
              <w:jc w:val="center"/>
              <w:outlineLvl w:val="9"/>
              <w:rPr>
                <w:rFonts w:hint="eastAsia" w:ascii="宋体" w:hAnsi="宋体" w:eastAsia="宋体" w:cs="宋体"/>
                <w:spacing w:val="1"/>
                <w:kern w:val="0"/>
                <w:szCs w:val="24"/>
                <w:highlight w:val="none"/>
              </w:rPr>
            </w:pPr>
            <w:r>
              <w:rPr>
                <w:rFonts w:hint="eastAsia" w:ascii="宋体" w:hAnsi="宋体" w:eastAsia="宋体" w:cs="宋体"/>
                <w:spacing w:val="1"/>
                <w:kern w:val="0"/>
                <w:szCs w:val="24"/>
                <w:highlight w:val="none"/>
              </w:rPr>
              <w:t>专业</w:t>
            </w:r>
          </w:p>
        </w:tc>
        <w:tc>
          <w:tcPr>
            <w:tcW w:w="1157" w:type="dxa"/>
            <w:tcBorders>
              <w:top w:val="single" w:color="auto" w:sz="4" w:space="0"/>
              <w:left w:val="nil"/>
              <w:bottom w:val="single" w:color="auto" w:sz="4" w:space="0"/>
              <w:right w:val="single" w:color="auto" w:sz="4" w:space="0"/>
            </w:tcBorders>
            <w:noWrap w:val="0"/>
            <w:vAlign w:val="center"/>
          </w:tcPr>
          <w:p w14:paraId="68BA176F">
            <w:pPr>
              <w:keepNext w:val="0"/>
              <w:pageBreakBefore w:val="0"/>
              <w:overflowPunct/>
              <w:autoSpaceDE w:val="0"/>
              <w:autoSpaceDN w:val="0"/>
              <w:bidi w:val="0"/>
              <w:adjustRightInd w:val="0"/>
              <w:spacing w:before="50" w:line="360" w:lineRule="auto"/>
              <w:ind w:right="97" w:firstLine="67" w:firstLineChars="28"/>
              <w:jc w:val="center"/>
              <w:outlineLvl w:val="9"/>
              <w:rPr>
                <w:rFonts w:hint="eastAsia" w:ascii="宋体" w:hAnsi="宋体" w:eastAsia="宋体" w:cs="宋体"/>
                <w:spacing w:val="1"/>
                <w:kern w:val="0"/>
                <w:szCs w:val="24"/>
                <w:highlight w:val="none"/>
              </w:rPr>
            </w:pPr>
            <w:r>
              <w:rPr>
                <w:rFonts w:hint="eastAsia" w:ascii="宋体" w:hAnsi="宋体" w:eastAsia="宋体" w:cs="宋体"/>
                <w:spacing w:val="1"/>
                <w:kern w:val="0"/>
                <w:szCs w:val="24"/>
                <w:highlight w:val="none"/>
              </w:rPr>
              <w:t>技术</w:t>
            </w:r>
          </w:p>
          <w:p w14:paraId="36AB86FE">
            <w:pPr>
              <w:keepNext w:val="0"/>
              <w:pageBreakBefore w:val="0"/>
              <w:overflowPunct/>
              <w:autoSpaceDE w:val="0"/>
              <w:autoSpaceDN w:val="0"/>
              <w:bidi w:val="0"/>
              <w:adjustRightInd w:val="0"/>
              <w:spacing w:before="50" w:line="360" w:lineRule="auto"/>
              <w:ind w:right="97" w:firstLine="67" w:firstLineChars="28"/>
              <w:jc w:val="center"/>
              <w:outlineLvl w:val="9"/>
              <w:rPr>
                <w:rFonts w:hint="eastAsia" w:ascii="宋体" w:hAnsi="宋体" w:eastAsia="宋体" w:cs="宋体"/>
                <w:spacing w:val="1"/>
                <w:kern w:val="0"/>
                <w:szCs w:val="24"/>
                <w:highlight w:val="none"/>
              </w:rPr>
            </w:pPr>
            <w:r>
              <w:rPr>
                <w:rFonts w:hint="eastAsia" w:ascii="宋体" w:hAnsi="宋体" w:eastAsia="宋体" w:cs="宋体"/>
                <w:spacing w:val="1"/>
                <w:kern w:val="0"/>
                <w:szCs w:val="24"/>
                <w:highlight w:val="none"/>
              </w:rPr>
              <w:t>职称</w:t>
            </w:r>
          </w:p>
        </w:tc>
        <w:tc>
          <w:tcPr>
            <w:tcW w:w="1157" w:type="dxa"/>
            <w:tcBorders>
              <w:top w:val="single" w:color="auto" w:sz="4" w:space="0"/>
              <w:left w:val="nil"/>
              <w:bottom w:val="single" w:color="auto" w:sz="4" w:space="0"/>
              <w:right w:val="single" w:color="auto" w:sz="4" w:space="0"/>
            </w:tcBorders>
            <w:noWrap w:val="0"/>
            <w:vAlign w:val="center"/>
          </w:tcPr>
          <w:p w14:paraId="667B3917">
            <w:pPr>
              <w:keepNext w:val="0"/>
              <w:pageBreakBefore w:val="0"/>
              <w:overflowPunct/>
              <w:autoSpaceDE w:val="0"/>
              <w:autoSpaceDN w:val="0"/>
              <w:bidi w:val="0"/>
              <w:adjustRightInd w:val="0"/>
              <w:spacing w:line="360" w:lineRule="auto"/>
              <w:ind w:right="97" w:firstLine="67" w:firstLineChars="28"/>
              <w:jc w:val="center"/>
              <w:outlineLvl w:val="9"/>
              <w:rPr>
                <w:rFonts w:hint="eastAsia" w:ascii="宋体" w:hAnsi="宋体" w:eastAsia="宋体" w:cs="宋体"/>
                <w:spacing w:val="1"/>
                <w:kern w:val="0"/>
                <w:szCs w:val="24"/>
                <w:highlight w:val="none"/>
              </w:rPr>
            </w:pPr>
            <w:r>
              <w:rPr>
                <w:rFonts w:hint="eastAsia" w:ascii="宋体" w:hAnsi="宋体" w:eastAsia="宋体" w:cs="宋体"/>
                <w:spacing w:val="1"/>
                <w:kern w:val="0"/>
                <w:szCs w:val="24"/>
                <w:highlight w:val="none"/>
              </w:rPr>
              <w:t>拟在本项目担任职务</w:t>
            </w:r>
          </w:p>
        </w:tc>
      </w:tr>
      <w:tr w14:paraId="5618EE84">
        <w:tblPrEx>
          <w:tblCellMar>
            <w:top w:w="0" w:type="dxa"/>
            <w:left w:w="108" w:type="dxa"/>
            <w:bottom w:w="0" w:type="dxa"/>
            <w:right w:w="108" w:type="dxa"/>
          </w:tblCellMar>
        </w:tblPrEx>
        <w:trPr>
          <w:trHeight w:val="779" w:hRule="atLeast"/>
          <w:jc w:val="center"/>
        </w:trPr>
        <w:tc>
          <w:tcPr>
            <w:tcW w:w="1156" w:type="dxa"/>
            <w:tcBorders>
              <w:top w:val="single" w:color="auto" w:sz="4" w:space="0"/>
              <w:left w:val="single" w:color="auto" w:sz="4" w:space="0"/>
              <w:bottom w:val="single" w:color="auto" w:sz="4" w:space="0"/>
              <w:right w:val="single" w:color="auto" w:sz="4" w:space="0"/>
            </w:tcBorders>
            <w:noWrap w:val="0"/>
            <w:vAlign w:val="top"/>
          </w:tcPr>
          <w:p w14:paraId="5A017533">
            <w:pPr>
              <w:keepNext w:val="0"/>
              <w:pageBreakBefore w:val="0"/>
              <w:overflowPunct/>
              <w:bidi w:val="0"/>
              <w:spacing w:line="360" w:lineRule="auto"/>
              <w:jc w:val="center"/>
              <w:rPr>
                <w:rFonts w:hint="eastAsia" w:ascii="宋体" w:hAnsi="宋体" w:eastAsia="宋体" w:cs="宋体"/>
                <w:b/>
                <w:bCs/>
                <w:szCs w:val="21"/>
                <w:highlight w:val="none"/>
              </w:rPr>
            </w:pPr>
          </w:p>
        </w:tc>
        <w:tc>
          <w:tcPr>
            <w:tcW w:w="1156" w:type="dxa"/>
            <w:tcBorders>
              <w:top w:val="single" w:color="auto" w:sz="4" w:space="0"/>
              <w:left w:val="nil"/>
              <w:bottom w:val="single" w:color="auto" w:sz="4" w:space="0"/>
              <w:right w:val="single" w:color="auto" w:sz="4" w:space="0"/>
            </w:tcBorders>
            <w:noWrap w:val="0"/>
            <w:vAlign w:val="top"/>
          </w:tcPr>
          <w:p w14:paraId="68B4D6DA">
            <w:pPr>
              <w:keepNext w:val="0"/>
              <w:pageBreakBefore w:val="0"/>
              <w:overflowPunct/>
              <w:bidi w:val="0"/>
              <w:spacing w:line="360" w:lineRule="auto"/>
              <w:jc w:val="center"/>
              <w:rPr>
                <w:rFonts w:hint="eastAsia" w:ascii="宋体" w:hAnsi="宋体" w:eastAsia="宋体" w:cs="宋体"/>
                <w:b/>
                <w:bCs/>
                <w:szCs w:val="21"/>
                <w:highlight w:val="none"/>
              </w:rPr>
            </w:pPr>
          </w:p>
        </w:tc>
        <w:tc>
          <w:tcPr>
            <w:tcW w:w="1156" w:type="dxa"/>
            <w:tcBorders>
              <w:top w:val="single" w:color="auto" w:sz="4" w:space="0"/>
              <w:left w:val="nil"/>
              <w:bottom w:val="single" w:color="auto" w:sz="4" w:space="0"/>
              <w:right w:val="single" w:color="auto" w:sz="4" w:space="0"/>
            </w:tcBorders>
            <w:noWrap w:val="0"/>
            <w:vAlign w:val="top"/>
          </w:tcPr>
          <w:p w14:paraId="58CA5C64">
            <w:pPr>
              <w:keepNext w:val="0"/>
              <w:pageBreakBefore w:val="0"/>
              <w:overflowPunct/>
              <w:bidi w:val="0"/>
              <w:spacing w:line="360" w:lineRule="auto"/>
              <w:jc w:val="center"/>
              <w:rPr>
                <w:rFonts w:hint="eastAsia" w:ascii="宋体" w:hAnsi="宋体" w:eastAsia="宋体" w:cs="宋体"/>
                <w:b/>
                <w:bCs/>
                <w:szCs w:val="21"/>
                <w:highlight w:val="none"/>
              </w:rPr>
            </w:pPr>
          </w:p>
        </w:tc>
        <w:tc>
          <w:tcPr>
            <w:tcW w:w="1156" w:type="dxa"/>
            <w:tcBorders>
              <w:top w:val="single" w:color="auto" w:sz="4" w:space="0"/>
              <w:left w:val="nil"/>
              <w:bottom w:val="single" w:color="auto" w:sz="4" w:space="0"/>
              <w:right w:val="single" w:color="auto" w:sz="4" w:space="0"/>
            </w:tcBorders>
            <w:noWrap w:val="0"/>
            <w:vAlign w:val="top"/>
          </w:tcPr>
          <w:p w14:paraId="41696244">
            <w:pPr>
              <w:keepNext w:val="0"/>
              <w:pageBreakBefore w:val="0"/>
              <w:overflowPunct/>
              <w:bidi w:val="0"/>
              <w:spacing w:line="360" w:lineRule="auto"/>
              <w:jc w:val="center"/>
              <w:rPr>
                <w:rFonts w:hint="eastAsia" w:ascii="宋体" w:hAnsi="宋体" w:eastAsia="宋体" w:cs="宋体"/>
                <w:b/>
                <w:bCs/>
                <w:szCs w:val="21"/>
                <w:highlight w:val="none"/>
              </w:rPr>
            </w:pPr>
          </w:p>
        </w:tc>
        <w:tc>
          <w:tcPr>
            <w:tcW w:w="1157" w:type="dxa"/>
            <w:tcBorders>
              <w:top w:val="single" w:color="auto" w:sz="4" w:space="0"/>
              <w:left w:val="nil"/>
              <w:bottom w:val="single" w:color="auto" w:sz="4" w:space="0"/>
              <w:right w:val="single" w:color="auto" w:sz="4" w:space="0"/>
            </w:tcBorders>
            <w:noWrap w:val="0"/>
            <w:vAlign w:val="top"/>
          </w:tcPr>
          <w:p w14:paraId="5456BF19">
            <w:pPr>
              <w:keepNext w:val="0"/>
              <w:pageBreakBefore w:val="0"/>
              <w:overflowPunct/>
              <w:bidi w:val="0"/>
              <w:spacing w:line="360" w:lineRule="auto"/>
              <w:jc w:val="center"/>
              <w:rPr>
                <w:rFonts w:hint="eastAsia" w:ascii="宋体" w:hAnsi="宋体" w:eastAsia="宋体" w:cs="宋体"/>
                <w:b/>
                <w:bCs/>
                <w:szCs w:val="21"/>
                <w:highlight w:val="none"/>
              </w:rPr>
            </w:pPr>
          </w:p>
        </w:tc>
        <w:tc>
          <w:tcPr>
            <w:tcW w:w="1157" w:type="dxa"/>
            <w:tcBorders>
              <w:top w:val="single" w:color="auto" w:sz="4" w:space="0"/>
              <w:left w:val="nil"/>
              <w:bottom w:val="single" w:color="auto" w:sz="4" w:space="0"/>
              <w:right w:val="single" w:color="auto" w:sz="4" w:space="0"/>
            </w:tcBorders>
            <w:noWrap w:val="0"/>
            <w:vAlign w:val="top"/>
          </w:tcPr>
          <w:p w14:paraId="45F44B8C">
            <w:pPr>
              <w:keepNext w:val="0"/>
              <w:pageBreakBefore w:val="0"/>
              <w:overflowPunct/>
              <w:bidi w:val="0"/>
              <w:spacing w:line="360" w:lineRule="auto"/>
              <w:jc w:val="center"/>
              <w:rPr>
                <w:rFonts w:hint="eastAsia" w:ascii="宋体" w:hAnsi="宋体" w:eastAsia="宋体" w:cs="宋体"/>
                <w:b/>
                <w:bCs/>
                <w:szCs w:val="21"/>
                <w:highlight w:val="none"/>
              </w:rPr>
            </w:pPr>
          </w:p>
        </w:tc>
        <w:tc>
          <w:tcPr>
            <w:tcW w:w="1157" w:type="dxa"/>
            <w:tcBorders>
              <w:top w:val="single" w:color="auto" w:sz="4" w:space="0"/>
              <w:left w:val="nil"/>
              <w:bottom w:val="single" w:color="auto" w:sz="4" w:space="0"/>
              <w:right w:val="single" w:color="auto" w:sz="4" w:space="0"/>
            </w:tcBorders>
            <w:noWrap w:val="0"/>
            <w:vAlign w:val="top"/>
          </w:tcPr>
          <w:p w14:paraId="525004CD">
            <w:pPr>
              <w:keepNext w:val="0"/>
              <w:pageBreakBefore w:val="0"/>
              <w:overflowPunct/>
              <w:bidi w:val="0"/>
              <w:spacing w:line="360" w:lineRule="auto"/>
              <w:jc w:val="center"/>
              <w:rPr>
                <w:rFonts w:hint="eastAsia" w:ascii="宋体" w:hAnsi="宋体" w:eastAsia="宋体" w:cs="宋体"/>
                <w:b/>
                <w:bCs/>
                <w:szCs w:val="21"/>
                <w:highlight w:val="none"/>
              </w:rPr>
            </w:pPr>
          </w:p>
        </w:tc>
        <w:tc>
          <w:tcPr>
            <w:tcW w:w="1157" w:type="dxa"/>
            <w:tcBorders>
              <w:top w:val="single" w:color="auto" w:sz="4" w:space="0"/>
              <w:left w:val="nil"/>
              <w:bottom w:val="single" w:color="auto" w:sz="4" w:space="0"/>
              <w:right w:val="single" w:color="auto" w:sz="4" w:space="0"/>
            </w:tcBorders>
            <w:noWrap w:val="0"/>
            <w:vAlign w:val="top"/>
          </w:tcPr>
          <w:p w14:paraId="4E0DD11C">
            <w:pPr>
              <w:keepNext w:val="0"/>
              <w:pageBreakBefore w:val="0"/>
              <w:overflowPunct/>
              <w:bidi w:val="0"/>
              <w:spacing w:line="360" w:lineRule="auto"/>
              <w:jc w:val="center"/>
              <w:rPr>
                <w:rFonts w:hint="eastAsia" w:ascii="宋体" w:hAnsi="宋体" w:eastAsia="宋体" w:cs="宋体"/>
                <w:b/>
                <w:bCs/>
                <w:szCs w:val="21"/>
                <w:highlight w:val="none"/>
              </w:rPr>
            </w:pPr>
          </w:p>
        </w:tc>
      </w:tr>
      <w:tr w14:paraId="27401BB4">
        <w:tblPrEx>
          <w:tblCellMar>
            <w:top w:w="0" w:type="dxa"/>
            <w:left w:w="108" w:type="dxa"/>
            <w:bottom w:w="0" w:type="dxa"/>
            <w:right w:w="108" w:type="dxa"/>
          </w:tblCellMar>
        </w:tblPrEx>
        <w:trPr>
          <w:trHeight w:val="779" w:hRule="atLeast"/>
          <w:jc w:val="center"/>
        </w:trPr>
        <w:tc>
          <w:tcPr>
            <w:tcW w:w="1156" w:type="dxa"/>
            <w:tcBorders>
              <w:top w:val="single" w:color="auto" w:sz="4" w:space="0"/>
              <w:left w:val="single" w:color="auto" w:sz="4" w:space="0"/>
              <w:bottom w:val="single" w:color="auto" w:sz="4" w:space="0"/>
              <w:right w:val="single" w:color="auto" w:sz="4" w:space="0"/>
            </w:tcBorders>
            <w:noWrap w:val="0"/>
            <w:vAlign w:val="top"/>
          </w:tcPr>
          <w:p w14:paraId="208C8C8E">
            <w:pPr>
              <w:keepNext w:val="0"/>
              <w:pageBreakBefore w:val="0"/>
              <w:overflowPunct/>
              <w:bidi w:val="0"/>
              <w:spacing w:line="360" w:lineRule="auto"/>
              <w:jc w:val="center"/>
              <w:rPr>
                <w:rFonts w:hint="eastAsia" w:ascii="宋体" w:hAnsi="宋体" w:eastAsia="宋体" w:cs="宋体"/>
                <w:b/>
                <w:bCs/>
                <w:szCs w:val="21"/>
                <w:highlight w:val="none"/>
              </w:rPr>
            </w:pPr>
          </w:p>
        </w:tc>
        <w:tc>
          <w:tcPr>
            <w:tcW w:w="1156" w:type="dxa"/>
            <w:tcBorders>
              <w:top w:val="single" w:color="auto" w:sz="4" w:space="0"/>
              <w:left w:val="nil"/>
              <w:bottom w:val="single" w:color="auto" w:sz="4" w:space="0"/>
              <w:right w:val="single" w:color="auto" w:sz="4" w:space="0"/>
            </w:tcBorders>
            <w:noWrap w:val="0"/>
            <w:vAlign w:val="top"/>
          </w:tcPr>
          <w:p w14:paraId="6F446A05">
            <w:pPr>
              <w:keepNext w:val="0"/>
              <w:pageBreakBefore w:val="0"/>
              <w:overflowPunct/>
              <w:bidi w:val="0"/>
              <w:spacing w:line="360" w:lineRule="auto"/>
              <w:jc w:val="center"/>
              <w:rPr>
                <w:rFonts w:hint="eastAsia" w:ascii="宋体" w:hAnsi="宋体" w:eastAsia="宋体" w:cs="宋体"/>
                <w:b/>
                <w:bCs/>
                <w:szCs w:val="21"/>
                <w:highlight w:val="none"/>
              </w:rPr>
            </w:pPr>
          </w:p>
        </w:tc>
        <w:tc>
          <w:tcPr>
            <w:tcW w:w="1156" w:type="dxa"/>
            <w:tcBorders>
              <w:top w:val="single" w:color="auto" w:sz="4" w:space="0"/>
              <w:left w:val="nil"/>
              <w:bottom w:val="single" w:color="auto" w:sz="4" w:space="0"/>
              <w:right w:val="single" w:color="auto" w:sz="4" w:space="0"/>
            </w:tcBorders>
            <w:noWrap w:val="0"/>
            <w:vAlign w:val="top"/>
          </w:tcPr>
          <w:p w14:paraId="357057F7">
            <w:pPr>
              <w:keepNext w:val="0"/>
              <w:pageBreakBefore w:val="0"/>
              <w:overflowPunct/>
              <w:bidi w:val="0"/>
              <w:spacing w:line="360" w:lineRule="auto"/>
              <w:jc w:val="center"/>
              <w:rPr>
                <w:rFonts w:hint="eastAsia" w:ascii="宋体" w:hAnsi="宋体" w:eastAsia="宋体" w:cs="宋体"/>
                <w:b/>
                <w:bCs/>
                <w:szCs w:val="21"/>
                <w:highlight w:val="none"/>
              </w:rPr>
            </w:pPr>
          </w:p>
        </w:tc>
        <w:tc>
          <w:tcPr>
            <w:tcW w:w="1156" w:type="dxa"/>
            <w:tcBorders>
              <w:top w:val="single" w:color="auto" w:sz="4" w:space="0"/>
              <w:left w:val="nil"/>
              <w:bottom w:val="single" w:color="auto" w:sz="4" w:space="0"/>
              <w:right w:val="single" w:color="auto" w:sz="4" w:space="0"/>
            </w:tcBorders>
            <w:noWrap w:val="0"/>
            <w:vAlign w:val="top"/>
          </w:tcPr>
          <w:p w14:paraId="58514336">
            <w:pPr>
              <w:keepNext w:val="0"/>
              <w:pageBreakBefore w:val="0"/>
              <w:overflowPunct/>
              <w:bidi w:val="0"/>
              <w:spacing w:line="360" w:lineRule="auto"/>
              <w:jc w:val="center"/>
              <w:rPr>
                <w:rFonts w:hint="eastAsia" w:ascii="宋体" w:hAnsi="宋体" w:eastAsia="宋体" w:cs="宋体"/>
                <w:b/>
                <w:bCs/>
                <w:szCs w:val="21"/>
                <w:highlight w:val="none"/>
              </w:rPr>
            </w:pPr>
          </w:p>
        </w:tc>
        <w:tc>
          <w:tcPr>
            <w:tcW w:w="1157" w:type="dxa"/>
            <w:tcBorders>
              <w:top w:val="single" w:color="auto" w:sz="4" w:space="0"/>
              <w:left w:val="nil"/>
              <w:bottom w:val="single" w:color="auto" w:sz="4" w:space="0"/>
              <w:right w:val="single" w:color="auto" w:sz="4" w:space="0"/>
            </w:tcBorders>
            <w:noWrap w:val="0"/>
            <w:vAlign w:val="top"/>
          </w:tcPr>
          <w:p w14:paraId="1C4B4334">
            <w:pPr>
              <w:keepNext w:val="0"/>
              <w:pageBreakBefore w:val="0"/>
              <w:overflowPunct/>
              <w:bidi w:val="0"/>
              <w:spacing w:line="360" w:lineRule="auto"/>
              <w:jc w:val="center"/>
              <w:rPr>
                <w:rFonts w:hint="eastAsia" w:ascii="宋体" w:hAnsi="宋体" w:eastAsia="宋体" w:cs="宋体"/>
                <w:b/>
                <w:bCs/>
                <w:szCs w:val="21"/>
                <w:highlight w:val="none"/>
              </w:rPr>
            </w:pPr>
          </w:p>
        </w:tc>
        <w:tc>
          <w:tcPr>
            <w:tcW w:w="1157" w:type="dxa"/>
            <w:tcBorders>
              <w:top w:val="single" w:color="auto" w:sz="4" w:space="0"/>
              <w:left w:val="nil"/>
              <w:bottom w:val="single" w:color="auto" w:sz="4" w:space="0"/>
              <w:right w:val="single" w:color="auto" w:sz="4" w:space="0"/>
            </w:tcBorders>
            <w:noWrap w:val="0"/>
            <w:vAlign w:val="top"/>
          </w:tcPr>
          <w:p w14:paraId="51639CFE">
            <w:pPr>
              <w:keepNext w:val="0"/>
              <w:pageBreakBefore w:val="0"/>
              <w:overflowPunct/>
              <w:bidi w:val="0"/>
              <w:spacing w:line="360" w:lineRule="auto"/>
              <w:jc w:val="center"/>
              <w:rPr>
                <w:rFonts w:hint="eastAsia" w:ascii="宋体" w:hAnsi="宋体" w:eastAsia="宋体" w:cs="宋体"/>
                <w:b/>
                <w:bCs/>
                <w:szCs w:val="21"/>
                <w:highlight w:val="none"/>
              </w:rPr>
            </w:pPr>
          </w:p>
        </w:tc>
        <w:tc>
          <w:tcPr>
            <w:tcW w:w="1157" w:type="dxa"/>
            <w:tcBorders>
              <w:top w:val="single" w:color="auto" w:sz="4" w:space="0"/>
              <w:left w:val="nil"/>
              <w:bottom w:val="single" w:color="auto" w:sz="4" w:space="0"/>
              <w:right w:val="single" w:color="auto" w:sz="4" w:space="0"/>
            </w:tcBorders>
            <w:noWrap w:val="0"/>
            <w:vAlign w:val="top"/>
          </w:tcPr>
          <w:p w14:paraId="1F797E87">
            <w:pPr>
              <w:keepNext w:val="0"/>
              <w:pageBreakBefore w:val="0"/>
              <w:overflowPunct/>
              <w:bidi w:val="0"/>
              <w:spacing w:line="360" w:lineRule="auto"/>
              <w:jc w:val="center"/>
              <w:rPr>
                <w:rFonts w:hint="eastAsia" w:ascii="宋体" w:hAnsi="宋体" w:eastAsia="宋体" w:cs="宋体"/>
                <w:b/>
                <w:bCs/>
                <w:szCs w:val="21"/>
                <w:highlight w:val="none"/>
              </w:rPr>
            </w:pPr>
          </w:p>
        </w:tc>
        <w:tc>
          <w:tcPr>
            <w:tcW w:w="1157" w:type="dxa"/>
            <w:tcBorders>
              <w:top w:val="single" w:color="auto" w:sz="4" w:space="0"/>
              <w:left w:val="nil"/>
              <w:bottom w:val="single" w:color="auto" w:sz="4" w:space="0"/>
              <w:right w:val="single" w:color="auto" w:sz="4" w:space="0"/>
            </w:tcBorders>
            <w:noWrap w:val="0"/>
            <w:vAlign w:val="top"/>
          </w:tcPr>
          <w:p w14:paraId="79FA88E4">
            <w:pPr>
              <w:keepNext w:val="0"/>
              <w:pageBreakBefore w:val="0"/>
              <w:overflowPunct/>
              <w:bidi w:val="0"/>
              <w:spacing w:line="360" w:lineRule="auto"/>
              <w:jc w:val="center"/>
              <w:rPr>
                <w:rFonts w:hint="eastAsia" w:ascii="宋体" w:hAnsi="宋体" w:eastAsia="宋体" w:cs="宋体"/>
                <w:b/>
                <w:bCs/>
                <w:szCs w:val="21"/>
                <w:highlight w:val="none"/>
              </w:rPr>
            </w:pPr>
          </w:p>
        </w:tc>
      </w:tr>
      <w:tr w14:paraId="783D3721">
        <w:tblPrEx>
          <w:tblCellMar>
            <w:top w:w="0" w:type="dxa"/>
            <w:left w:w="108" w:type="dxa"/>
            <w:bottom w:w="0" w:type="dxa"/>
            <w:right w:w="108" w:type="dxa"/>
          </w:tblCellMar>
        </w:tblPrEx>
        <w:trPr>
          <w:trHeight w:val="779" w:hRule="atLeast"/>
          <w:jc w:val="center"/>
        </w:trPr>
        <w:tc>
          <w:tcPr>
            <w:tcW w:w="1156" w:type="dxa"/>
            <w:tcBorders>
              <w:top w:val="single" w:color="auto" w:sz="4" w:space="0"/>
              <w:left w:val="single" w:color="auto" w:sz="4" w:space="0"/>
              <w:bottom w:val="single" w:color="auto" w:sz="4" w:space="0"/>
              <w:right w:val="single" w:color="auto" w:sz="4" w:space="0"/>
            </w:tcBorders>
            <w:noWrap w:val="0"/>
            <w:vAlign w:val="top"/>
          </w:tcPr>
          <w:p w14:paraId="12530702">
            <w:pPr>
              <w:keepNext w:val="0"/>
              <w:pageBreakBefore w:val="0"/>
              <w:overflowPunct/>
              <w:bidi w:val="0"/>
              <w:spacing w:line="360" w:lineRule="auto"/>
              <w:jc w:val="center"/>
              <w:rPr>
                <w:rFonts w:hint="eastAsia" w:ascii="宋体" w:hAnsi="宋体" w:eastAsia="宋体" w:cs="宋体"/>
                <w:b/>
                <w:bCs/>
                <w:szCs w:val="21"/>
                <w:highlight w:val="none"/>
              </w:rPr>
            </w:pPr>
          </w:p>
        </w:tc>
        <w:tc>
          <w:tcPr>
            <w:tcW w:w="1156" w:type="dxa"/>
            <w:tcBorders>
              <w:top w:val="single" w:color="auto" w:sz="4" w:space="0"/>
              <w:left w:val="nil"/>
              <w:bottom w:val="single" w:color="auto" w:sz="4" w:space="0"/>
              <w:right w:val="single" w:color="auto" w:sz="4" w:space="0"/>
            </w:tcBorders>
            <w:noWrap w:val="0"/>
            <w:vAlign w:val="top"/>
          </w:tcPr>
          <w:p w14:paraId="5A384F27">
            <w:pPr>
              <w:keepNext w:val="0"/>
              <w:pageBreakBefore w:val="0"/>
              <w:overflowPunct/>
              <w:bidi w:val="0"/>
              <w:spacing w:line="360" w:lineRule="auto"/>
              <w:jc w:val="center"/>
              <w:rPr>
                <w:rFonts w:hint="eastAsia" w:ascii="宋体" w:hAnsi="宋体" w:eastAsia="宋体" w:cs="宋体"/>
                <w:b/>
                <w:bCs/>
                <w:szCs w:val="21"/>
                <w:highlight w:val="none"/>
              </w:rPr>
            </w:pPr>
          </w:p>
        </w:tc>
        <w:tc>
          <w:tcPr>
            <w:tcW w:w="1156" w:type="dxa"/>
            <w:tcBorders>
              <w:top w:val="single" w:color="auto" w:sz="4" w:space="0"/>
              <w:left w:val="nil"/>
              <w:bottom w:val="single" w:color="auto" w:sz="4" w:space="0"/>
              <w:right w:val="single" w:color="auto" w:sz="4" w:space="0"/>
            </w:tcBorders>
            <w:noWrap w:val="0"/>
            <w:vAlign w:val="top"/>
          </w:tcPr>
          <w:p w14:paraId="255E52B5">
            <w:pPr>
              <w:keepNext w:val="0"/>
              <w:pageBreakBefore w:val="0"/>
              <w:overflowPunct/>
              <w:bidi w:val="0"/>
              <w:spacing w:line="360" w:lineRule="auto"/>
              <w:jc w:val="center"/>
              <w:rPr>
                <w:rFonts w:hint="eastAsia" w:ascii="宋体" w:hAnsi="宋体" w:eastAsia="宋体" w:cs="宋体"/>
                <w:b/>
                <w:bCs/>
                <w:szCs w:val="21"/>
                <w:highlight w:val="none"/>
              </w:rPr>
            </w:pPr>
          </w:p>
        </w:tc>
        <w:tc>
          <w:tcPr>
            <w:tcW w:w="1156" w:type="dxa"/>
            <w:tcBorders>
              <w:top w:val="single" w:color="auto" w:sz="4" w:space="0"/>
              <w:left w:val="nil"/>
              <w:bottom w:val="single" w:color="auto" w:sz="4" w:space="0"/>
              <w:right w:val="single" w:color="auto" w:sz="4" w:space="0"/>
            </w:tcBorders>
            <w:noWrap w:val="0"/>
            <w:vAlign w:val="top"/>
          </w:tcPr>
          <w:p w14:paraId="24FFFB4C">
            <w:pPr>
              <w:keepNext w:val="0"/>
              <w:pageBreakBefore w:val="0"/>
              <w:overflowPunct/>
              <w:bidi w:val="0"/>
              <w:spacing w:line="360" w:lineRule="auto"/>
              <w:jc w:val="center"/>
              <w:rPr>
                <w:rFonts w:hint="eastAsia" w:ascii="宋体" w:hAnsi="宋体" w:eastAsia="宋体" w:cs="宋体"/>
                <w:b/>
                <w:bCs/>
                <w:szCs w:val="21"/>
                <w:highlight w:val="none"/>
              </w:rPr>
            </w:pPr>
          </w:p>
        </w:tc>
        <w:tc>
          <w:tcPr>
            <w:tcW w:w="1157" w:type="dxa"/>
            <w:tcBorders>
              <w:top w:val="single" w:color="auto" w:sz="4" w:space="0"/>
              <w:left w:val="nil"/>
              <w:bottom w:val="single" w:color="auto" w:sz="4" w:space="0"/>
              <w:right w:val="single" w:color="auto" w:sz="4" w:space="0"/>
            </w:tcBorders>
            <w:noWrap w:val="0"/>
            <w:vAlign w:val="top"/>
          </w:tcPr>
          <w:p w14:paraId="6D1CF201">
            <w:pPr>
              <w:keepNext w:val="0"/>
              <w:pageBreakBefore w:val="0"/>
              <w:overflowPunct/>
              <w:bidi w:val="0"/>
              <w:spacing w:line="360" w:lineRule="auto"/>
              <w:jc w:val="center"/>
              <w:rPr>
                <w:rFonts w:hint="eastAsia" w:ascii="宋体" w:hAnsi="宋体" w:eastAsia="宋体" w:cs="宋体"/>
                <w:b/>
                <w:bCs/>
                <w:szCs w:val="21"/>
                <w:highlight w:val="none"/>
              </w:rPr>
            </w:pPr>
          </w:p>
        </w:tc>
        <w:tc>
          <w:tcPr>
            <w:tcW w:w="1157" w:type="dxa"/>
            <w:tcBorders>
              <w:top w:val="single" w:color="auto" w:sz="4" w:space="0"/>
              <w:left w:val="nil"/>
              <w:bottom w:val="single" w:color="auto" w:sz="4" w:space="0"/>
              <w:right w:val="single" w:color="auto" w:sz="4" w:space="0"/>
            </w:tcBorders>
            <w:noWrap w:val="0"/>
            <w:vAlign w:val="top"/>
          </w:tcPr>
          <w:p w14:paraId="5937FF7A">
            <w:pPr>
              <w:keepNext w:val="0"/>
              <w:pageBreakBefore w:val="0"/>
              <w:overflowPunct/>
              <w:bidi w:val="0"/>
              <w:spacing w:line="360" w:lineRule="auto"/>
              <w:jc w:val="center"/>
              <w:rPr>
                <w:rFonts w:hint="eastAsia" w:ascii="宋体" w:hAnsi="宋体" w:eastAsia="宋体" w:cs="宋体"/>
                <w:b/>
                <w:bCs/>
                <w:szCs w:val="21"/>
                <w:highlight w:val="none"/>
              </w:rPr>
            </w:pPr>
          </w:p>
        </w:tc>
        <w:tc>
          <w:tcPr>
            <w:tcW w:w="1157" w:type="dxa"/>
            <w:tcBorders>
              <w:top w:val="single" w:color="auto" w:sz="4" w:space="0"/>
              <w:left w:val="nil"/>
              <w:bottom w:val="single" w:color="auto" w:sz="4" w:space="0"/>
              <w:right w:val="single" w:color="auto" w:sz="4" w:space="0"/>
            </w:tcBorders>
            <w:noWrap w:val="0"/>
            <w:vAlign w:val="top"/>
          </w:tcPr>
          <w:p w14:paraId="7FDAD7A2">
            <w:pPr>
              <w:keepNext w:val="0"/>
              <w:pageBreakBefore w:val="0"/>
              <w:overflowPunct/>
              <w:bidi w:val="0"/>
              <w:spacing w:line="360" w:lineRule="auto"/>
              <w:jc w:val="center"/>
              <w:rPr>
                <w:rFonts w:hint="eastAsia" w:ascii="宋体" w:hAnsi="宋体" w:eastAsia="宋体" w:cs="宋体"/>
                <w:b/>
                <w:bCs/>
                <w:szCs w:val="21"/>
                <w:highlight w:val="none"/>
              </w:rPr>
            </w:pPr>
          </w:p>
        </w:tc>
        <w:tc>
          <w:tcPr>
            <w:tcW w:w="1157" w:type="dxa"/>
            <w:tcBorders>
              <w:top w:val="single" w:color="auto" w:sz="4" w:space="0"/>
              <w:left w:val="nil"/>
              <w:bottom w:val="single" w:color="auto" w:sz="4" w:space="0"/>
              <w:right w:val="single" w:color="auto" w:sz="4" w:space="0"/>
            </w:tcBorders>
            <w:noWrap w:val="0"/>
            <w:vAlign w:val="top"/>
          </w:tcPr>
          <w:p w14:paraId="1A29057F">
            <w:pPr>
              <w:keepNext w:val="0"/>
              <w:pageBreakBefore w:val="0"/>
              <w:overflowPunct/>
              <w:bidi w:val="0"/>
              <w:spacing w:line="360" w:lineRule="auto"/>
              <w:jc w:val="center"/>
              <w:rPr>
                <w:rFonts w:hint="eastAsia" w:ascii="宋体" w:hAnsi="宋体" w:eastAsia="宋体" w:cs="宋体"/>
                <w:b/>
                <w:bCs/>
                <w:szCs w:val="21"/>
                <w:highlight w:val="none"/>
              </w:rPr>
            </w:pPr>
          </w:p>
        </w:tc>
      </w:tr>
      <w:tr w14:paraId="0C47AEE4">
        <w:tblPrEx>
          <w:tblCellMar>
            <w:top w:w="0" w:type="dxa"/>
            <w:left w:w="108" w:type="dxa"/>
            <w:bottom w:w="0" w:type="dxa"/>
            <w:right w:w="108" w:type="dxa"/>
          </w:tblCellMar>
        </w:tblPrEx>
        <w:trPr>
          <w:trHeight w:val="779" w:hRule="atLeast"/>
          <w:jc w:val="center"/>
        </w:trPr>
        <w:tc>
          <w:tcPr>
            <w:tcW w:w="1156" w:type="dxa"/>
            <w:tcBorders>
              <w:top w:val="single" w:color="auto" w:sz="4" w:space="0"/>
              <w:left w:val="single" w:color="auto" w:sz="4" w:space="0"/>
              <w:bottom w:val="single" w:color="auto" w:sz="4" w:space="0"/>
              <w:right w:val="single" w:color="auto" w:sz="4" w:space="0"/>
            </w:tcBorders>
            <w:noWrap w:val="0"/>
            <w:vAlign w:val="top"/>
          </w:tcPr>
          <w:p w14:paraId="15323041">
            <w:pPr>
              <w:keepNext w:val="0"/>
              <w:pageBreakBefore w:val="0"/>
              <w:overflowPunct/>
              <w:bidi w:val="0"/>
              <w:spacing w:line="360" w:lineRule="auto"/>
              <w:jc w:val="center"/>
              <w:rPr>
                <w:rFonts w:hint="eastAsia" w:ascii="宋体" w:hAnsi="宋体" w:eastAsia="宋体" w:cs="宋体"/>
                <w:b/>
                <w:bCs/>
                <w:szCs w:val="21"/>
                <w:highlight w:val="none"/>
              </w:rPr>
            </w:pPr>
          </w:p>
        </w:tc>
        <w:tc>
          <w:tcPr>
            <w:tcW w:w="1156" w:type="dxa"/>
            <w:tcBorders>
              <w:top w:val="single" w:color="auto" w:sz="4" w:space="0"/>
              <w:left w:val="nil"/>
              <w:bottom w:val="single" w:color="auto" w:sz="4" w:space="0"/>
              <w:right w:val="single" w:color="auto" w:sz="4" w:space="0"/>
            </w:tcBorders>
            <w:noWrap w:val="0"/>
            <w:vAlign w:val="top"/>
          </w:tcPr>
          <w:p w14:paraId="3A49E4C2">
            <w:pPr>
              <w:keepNext w:val="0"/>
              <w:pageBreakBefore w:val="0"/>
              <w:overflowPunct/>
              <w:bidi w:val="0"/>
              <w:spacing w:line="360" w:lineRule="auto"/>
              <w:jc w:val="center"/>
              <w:rPr>
                <w:rFonts w:hint="eastAsia" w:ascii="宋体" w:hAnsi="宋体" w:eastAsia="宋体" w:cs="宋体"/>
                <w:b/>
                <w:bCs/>
                <w:szCs w:val="21"/>
                <w:highlight w:val="none"/>
              </w:rPr>
            </w:pPr>
          </w:p>
        </w:tc>
        <w:tc>
          <w:tcPr>
            <w:tcW w:w="1156" w:type="dxa"/>
            <w:tcBorders>
              <w:top w:val="single" w:color="auto" w:sz="4" w:space="0"/>
              <w:left w:val="nil"/>
              <w:bottom w:val="single" w:color="auto" w:sz="4" w:space="0"/>
              <w:right w:val="single" w:color="auto" w:sz="4" w:space="0"/>
            </w:tcBorders>
            <w:noWrap w:val="0"/>
            <w:vAlign w:val="top"/>
          </w:tcPr>
          <w:p w14:paraId="2D098109">
            <w:pPr>
              <w:keepNext w:val="0"/>
              <w:pageBreakBefore w:val="0"/>
              <w:overflowPunct/>
              <w:bidi w:val="0"/>
              <w:spacing w:line="360" w:lineRule="auto"/>
              <w:jc w:val="center"/>
              <w:rPr>
                <w:rFonts w:hint="eastAsia" w:ascii="宋体" w:hAnsi="宋体" w:eastAsia="宋体" w:cs="宋体"/>
                <w:b/>
                <w:bCs/>
                <w:szCs w:val="21"/>
                <w:highlight w:val="none"/>
              </w:rPr>
            </w:pPr>
          </w:p>
        </w:tc>
        <w:tc>
          <w:tcPr>
            <w:tcW w:w="1156" w:type="dxa"/>
            <w:tcBorders>
              <w:top w:val="single" w:color="auto" w:sz="4" w:space="0"/>
              <w:left w:val="nil"/>
              <w:bottom w:val="single" w:color="auto" w:sz="4" w:space="0"/>
              <w:right w:val="single" w:color="auto" w:sz="4" w:space="0"/>
            </w:tcBorders>
            <w:noWrap w:val="0"/>
            <w:vAlign w:val="top"/>
          </w:tcPr>
          <w:p w14:paraId="78430DFC">
            <w:pPr>
              <w:keepNext w:val="0"/>
              <w:pageBreakBefore w:val="0"/>
              <w:overflowPunct/>
              <w:bidi w:val="0"/>
              <w:spacing w:line="360" w:lineRule="auto"/>
              <w:jc w:val="center"/>
              <w:rPr>
                <w:rFonts w:hint="eastAsia" w:ascii="宋体" w:hAnsi="宋体" w:eastAsia="宋体" w:cs="宋体"/>
                <w:b/>
                <w:bCs/>
                <w:szCs w:val="21"/>
                <w:highlight w:val="none"/>
              </w:rPr>
            </w:pPr>
          </w:p>
        </w:tc>
        <w:tc>
          <w:tcPr>
            <w:tcW w:w="1157" w:type="dxa"/>
            <w:tcBorders>
              <w:top w:val="single" w:color="auto" w:sz="4" w:space="0"/>
              <w:left w:val="nil"/>
              <w:bottom w:val="single" w:color="auto" w:sz="4" w:space="0"/>
              <w:right w:val="single" w:color="auto" w:sz="4" w:space="0"/>
            </w:tcBorders>
            <w:noWrap w:val="0"/>
            <w:vAlign w:val="top"/>
          </w:tcPr>
          <w:p w14:paraId="798DCF0F">
            <w:pPr>
              <w:keepNext w:val="0"/>
              <w:pageBreakBefore w:val="0"/>
              <w:overflowPunct/>
              <w:bidi w:val="0"/>
              <w:spacing w:line="360" w:lineRule="auto"/>
              <w:jc w:val="center"/>
              <w:rPr>
                <w:rFonts w:hint="eastAsia" w:ascii="宋体" w:hAnsi="宋体" w:eastAsia="宋体" w:cs="宋体"/>
                <w:b/>
                <w:bCs/>
                <w:szCs w:val="21"/>
                <w:highlight w:val="none"/>
              </w:rPr>
            </w:pPr>
          </w:p>
        </w:tc>
        <w:tc>
          <w:tcPr>
            <w:tcW w:w="1157" w:type="dxa"/>
            <w:tcBorders>
              <w:top w:val="single" w:color="auto" w:sz="4" w:space="0"/>
              <w:left w:val="nil"/>
              <w:bottom w:val="single" w:color="auto" w:sz="4" w:space="0"/>
              <w:right w:val="single" w:color="auto" w:sz="4" w:space="0"/>
            </w:tcBorders>
            <w:noWrap w:val="0"/>
            <w:vAlign w:val="top"/>
          </w:tcPr>
          <w:p w14:paraId="5C85EC61">
            <w:pPr>
              <w:keepNext w:val="0"/>
              <w:pageBreakBefore w:val="0"/>
              <w:overflowPunct/>
              <w:bidi w:val="0"/>
              <w:spacing w:line="360" w:lineRule="auto"/>
              <w:jc w:val="center"/>
              <w:rPr>
                <w:rFonts w:hint="eastAsia" w:ascii="宋体" w:hAnsi="宋体" w:eastAsia="宋体" w:cs="宋体"/>
                <w:b/>
                <w:bCs/>
                <w:szCs w:val="21"/>
                <w:highlight w:val="none"/>
              </w:rPr>
            </w:pPr>
          </w:p>
        </w:tc>
        <w:tc>
          <w:tcPr>
            <w:tcW w:w="1157" w:type="dxa"/>
            <w:tcBorders>
              <w:top w:val="single" w:color="auto" w:sz="4" w:space="0"/>
              <w:left w:val="nil"/>
              <w:bottom w:val="single" w:color="auto" w:sz="4" w:space="0"/>
              <w:right w:val="single" w:color="auto" w:sz="4" w:space="0"/>
            </w:tcBorders>
            <w:noWrap w:val="0"/>
            <w:vAlign w:val="top"/>
          </w:tcPr>
          <w:p w14:paraId="4E8049A8">
            <w:pPr>
              <w:keepNext w:val="0"/>
              <w:pageBreakBefore w:val="0"/>
              <w:overflowPunct/>
              <w:bidi w:val="0"/>
              <w:spacing w:line="360" w:lineRule="auto"/>
              <w:jc w:val="center"/>
              <w:rPr>
                <w:rFonts w:hint="eastAsia" w:ascii="宋体" w:hAnsi="宋体" w:eastAsia="宋体" w:cs="宋体"/>
                <w:b/>
                <w:bCs/>
                <w:szCs w:val="21"/>
                <w:highlight w:val="none"/>
              </w:rPr>
            </w:pPr>
          </w:p>
        </w:tc>
        <w:tc>
          <w:tcPr>
            <w:tcW w:w="1157" w:type="dxa"/>
            <w:tcBorders>
              <w:top w:val="single" w:color="auto" w:sz="4" w:space="0"/>
              <w:left w:val="nil"/>
              <w:bottom w:val="single" w:color="auto" w:sz="4" w:space="0"/>
              <w:right w:val="single" w:color="auto" w:sz="4" w:space="0"/>
            </w:tcBorders>
            <w:noWrap w:val="0"/>
            <w:vAlign w:val="top"/>
          </w:tcPr>
          <w:p w14:paraId="72F8D1AD">
            <w:pPr>
              <w:keepNext w:val="0"/>
              <w:pageBreakBefore w:val="0"/>
              <w:overflowPunct/>
              <w:bidi w:val="0"/>
              <w:spacing w:line="360" w:lineRule="auto"/>
              <w:jc w:val="center"/>
              <w:rPr>
                <w:rFonts w:hint="eastAsia" w:ascii="宋体" w:hAnsi="宋体" w:eastAsia="宋体" w:cs="宋体"/>
                <w:b/>
                <w:bCs/>
                <w:szCs w:val="21"/>
                <w:highlight w:val="none"/>
              </w:rPr>
            </w:pPr>
          </w:p>
        </w:tc>
      </w:tr>
      <w:tr w14:paraId="7143D535">
        <w:tblPrEx>
          <w:tblCellMar>
            <w:top w:w="0" w:type="dxa"/>
            <w:left w:w="108" w:type="dxa"/>
            <w:bottom w:w="0" w:type="dxa"/>
            <w:right w:w="108" w:type="dxa"/>
          </w:tblCellMar>
        </w:tblPrEx>
        <w:trPr>
          <w:trHeight w:val="779" w:hRule="atLeast"/>
          <w:jc w:val="center"/>
        </w:trPr>
        <w:tc>
          <w:tcPr>
            <w:tcW w:w="1156" w:type="dxa"/>
            <w:tcBorders>
              <w:top w:val="single" w:color="auto" w:sz="4" w:space="0"/>
              <w:left w:val="single" w:color="auto" w:sz="4" w:space="0"/>
              <w:bottom w:val="single" w:color="auto" w:sz="4" w:space="0"/>
              <w:right w:val="single" w:color="auto" w:sz="4" w:space="0"/>
            </w:tcBorders>
            <w:noWrap w:val="0"/>
            <w:vAlign w:val="top"/>
          </w:tcPr>
          <w:p w14:paraId="4ABF76D5">
            <w:pPr>
              <w:keepNext w:val="0"/>
              <w:pageBreakBefore w:val="0"/>
              <w:overflowPunct/>
              <w:bidi w:val="0"/>
              <w:spacing w:line="360" w:lineRule="auto"/>
              <w:jc w:val="center"/>
              <w:rPr>
                <w:rFonts w:hint="eastAsia" w:ascii="宋体" w:hAnsi="宋体" w:eastAsia="宋体" w:cs="宋体"/>
                <w:b/>
                <w:bCs/>
                <w:szCs w:val="21"/>
                <w:highlight w:val="none"/>
              </w:rPr>
            </w:pPr>
          </w:p>
        </w:tc>
        <w:tc>
          <w:tcPr>
            <w:tcW w:w="1156" w:type="dxa"/>
            <w:tcBorders>
              <w:top w:val="single" w:color="auto" w:sz="4" w:space="0"/>
              <w:left w:val="nil"/>
              <w:bottom w:val="single" w:color="auto" w:sz="4" w:space="0"/>
              <w:right w:val="single" w:color="auto" w:sz="4" w:space="0"/>
            </w:tcBorders>
            <w:noWrap w:val="0"/>
            <w:vAlign w:val="top"/>
          </w:tcPr>
          <w:p w14:paraId="202B560F">
            <w:pPr>
              <w:keepNext w:val="0"/>
              <w:pageBreakBefore w:val="0"/>
              <w:overflowPunct/>
              <w:bidi w:val="0"/>
              <w:spacing w:line="360" w:lineRule="auto"/>
              <w:jc w:val="center"/>
              <w:rPr>
                <w:rFonts w:hint="eastAsia" w:ascii="宋体" w:hAnsi="宋体" w:eastAsia="宋体" w:cs="宋体"/>
                <w:b/>
                <w:bCs/>
                <w:szCs w:val="21"/>
                <w:highlight w:val="none"/>
              </w:rPr>
            </w:pPr>
          </w:p>
        </w:tc>
        <w:tc>
          <w:tcPr>
            <w:tcW w:w="1156" w:type="dxa"/>
            <w:tcBorders>
              <w:top w:val="single" w:color="auto" w:sz="4" w:space="0"/>
              <w:left w:val="nil"/>
              <w:bottom w:val="single" w:color="auto" w:sz="4" w:space="0"/>
              <w:right w:val="single" w:color="auto" w:sz="4" w:space="0"/>
            </w:tcBorders>
            <w:noWrap w:val="0"/>
            <w:vAlign w:val="top"/>
          </w:tcPr>
          <w:p w14:paraId="5BB9C67C">
            <w:pPr>
              <w:keepNext w:val="0"/>
              <w:pageBreakBefore w:val="0"/>
              <w:overflowPunct/>
              <w:bidi w:val="0"/>
              <w:spacing w:line="360" w:lineRule="auto"/>
              <w:jc w:val="center"/>
              <w:rPr>
                <w:rFonts w:hint="eastAsia" w:ascii="宋体" w:hAnsi="宋体" w:eastAsia="宋体" w:cs="宋体"/>
                <w:b/>
                <w:bCs/>
                <w:szCs w:val="21"/>
                <w:highlight w:val="none"/>
              </w:rPr>
            </w:pPr>
          </w:p>
        </w:tc>
        <w:tc>
          <w:tcPr>
            <w:tcW w:w="1156" w:type="dxa"/>
            <w:tcBorders>
              <w:top w:val="single" w:color="auto" w:sz="4" w:space="0"/>
              <w:left w:val="nil"/>
              <w:bottom w:val="single" w:color="auto" w:sz="4" w:space="0"/>
              <w:right w:val="single" w:color="auto" w:sz="4" w:space="0"/>
            </w:tcBorders>
            <w:noWrap w:val="0"/>
            <w:vAlign w:val="top"/>
          </w:tcPr>
          <w:p w14:paraId="506DB435">
            <w:pPr>
              <w:keepNext w:val="0"/>
              <w:pageBreakBefore w:val="0"/>
              <w:overflowPunct/>
              <w:bidi w:val="0"/>
              <w:spacing w:line="360" w:lineRule="auto"/>
              <w:jc w:val="center"/>
              <w:rPr>
                <w:rFonts w:hint="eastAsia" w:ascii="宋体" w:hAnsi="宋体" w:eastAsia="宋体" w:cs="宋体"/>
                <w:b/>
                <w:bCs/>
                <w:szCs w:val="21"/>
                <w:highlight w:val="none"/>
              </w:rPr>
            </w:pPr>
          </w:p>
        </w:tc>
        <w:tc>
          <w:tcPr>
            <w:tcW w:w="1157" w:type="dxa"/>
            <w:tcBorders>
              <w:top w:val="single" w:color="auto" w:sz="4" w:space="0"/>
              <w:left w:val="nil"/>
              <w:bottom w:val="single" w:color="auto" w:sz="4" w:space="0"/>
              <w:right w:val="single" w:color="auto" w:sz="4" w:space="0"/>
            </w:tcBorders>
            <w:noWrap w:val="0"/>
            <w:vAlign w:val="top"/>
          </w:tcPr>
          <w:p w14:paraId="629000FB">
            <w:pPr>
              <w:keepNext w:val="0"/>
              <w:pageBreakBefore w:val="0"/>
              <w:overflowPunct/>
              <w:bidi w:val="0"/>
              <w:spacing w:line="360" w:lineRule="auto"/>
              <w:jc w:val="center"/>
              <w:rPr>
                <w:rFonts w:hint="eastAsia" w:ascii="宋体" w:hAnsi="宋体" w:eastAsia="宋体" w:cs="宋体"/>
                <w:b/>
                <w:bCs/>
                <w:szCs w:val="21"/>
                <w:highlight w:val="none"/>
              </w:rPr>
            </w:pPr>
          </w:p>
        </w:tc>
        <w:tc>
          <w:tcPr>
            <w:tcW w:w="1157" w:type="dxa"/>
            <w:tcBorders>
              <w:top w:val="single" w:color="auto" w:sz="4" w:space="0"/>
              <w:left w:val="nil"/>
              <w:bottom w:val="single" w:color="auto" w:sz="4" w:space="0"/>
              <w:right w:val="single" w:color="auto" w:sz="4" w:space="0"/>
            </w:tcBorders>
            <w:noWrap w:val="0"/>
            <w:vAlign w:val="top"/>
          </w:tcPr>
          <w:p w14:paraId="42B08EF3">
            <w:pPr>
              <w:keepNext w:val="0"/>
              <w:pageBreakBefore w:val="0"/>
              <w:overflowPunct/>
              <w:bidi w:val="0"/>
              <w:spacing w:line="360" w:lineRule="auto"/>
              <w:jc w:val="center"/>
              <w:rPr>
                <w:rFonts w:hint="eastAsia" w:ascii="宋体" w:hAnsi="宋体" w:eastAsia="宋体" w:cs="宋体"/>
                <w:b/>
                <w:bCs/>
                <w:szCs w:val="21"/>
                <w:highlight w:val="none"/>
              </w:rPr>
            </w:pPr>
          </w:p>
        </w:tc>
        <w:tc>
          <w:tcPr>
            <w:tcW w:w="1157" w:type="dxa"/>
            <w:tcBorders>
              <w:top w:val="single" w:color="auto" w:sz="4" w:space="0"/>
              <w:left w:val="nil"/>
              <w:bottom w:val="single" w:color="auto" w:sz="4" w:space="0"/>
              <w:right w:val="single" w:color="auto" w:sz="4" w:space="0"/>
            </w:tcBorders>
            <w:noWrap w:val="0"/>
            <w:vAlign w:val="top"/>
          </w:tcPr>
          <w:p w14:paraId="79C58049">
            <w:pPr>
              <w:keepNext w:val="0"/>
              <w:pageBreakBefore w:val="0"/>
              <w:overflowPunct/>
              <w:bidi w:val="0"/>
              <w:spacing w:line="360" w:lineRule="auto"/>
              <w:jc w:val="center"/>
              <w:rPr>
                <w:rFonts w:hint="eastAsia" w:ascii="宋体" w:hAnsi="宋体" w:eastAsia="宋体" w:cs="宋体"/>
                <w:b/>
                <w:bCs/>
                <w:szCs w:val="21"/>
                <w:highlight w:val="none"/>
              </w:rPr>
            </w:pPr>
          </w:p>
        </w:tc>
        <w:tc>
          <w:tcPr>
            <w:tcW w:w="1157" w:type="dxa"/>
            <w:tcBorders>
              <w:top w:val="single" w:color="auto" w:sz="4" w:space="0"/>
              <w:left w:val="nil"/>
              <w:bottom w:val="single" w:color="auto" w:sz="4" w:space="0"/>
              <w:right w:val="single" w:color="auto" w:sz="4" w:space="0"/>
            </w:tcBorders>
            <w:noWrap w:val="0"/>
            <w:vAlign w:val="top"/>
          </w:tcPr>
          <w:p w14:paraId="7E500BD7">
            <w:pPr>
              <w:keepNext w:val="0"/>
              <w:pageBreakBefore w:val="0"/>
              <w:overflowPunct/>
              <w:bidi w:val="0"/>
              <w:spacing w:line="360" w:lineRule="auto"/>
              <w:jc w:val="center"/>
              <w:rPr>
                <w:rFonts w:hint="eastAsia" w:ascii="宋体" w:hAnsi="宋体" w:eastAsia="宋体" w:cs="宋体"/>
                <w:b/>
                <w:bCs/>
                <w:szCs w:val="21"/>
                <w:highlight w:val="none"/>
              </w:rPr>
            </w:pPr>
          </w:p>
        </w:tc>
      </w:tr>
      <w:tr w14:paraId="4CEF42CC">
        <w:tblPrEx>
          <w:tblCellMar>
            <w:top w:w="0" w:type="dxa"/>
            <w:left w:w="108" w:type="dxa"/>
            <w:bottom w:w="0" w:type="dxa"/>
            <w:right w:w="108" w:type="dxa"/>
          </w:tblCellMar>
        </w:tblPrEx>
        <w:trPr>
          <w:trHeight w:val="779" w:hRule="atLeast"/>
          <w:jc w:val="center"/>
        </w:trPr>
        <w:tc>
          <w:tcPr>
            <w:tcW w:w="1156" w:type="dxa"/>
            <w:tcBorders>
              <w:top w:val="single" w:color="auto" w:sz="4" w:space="0"/>
              <w:left w:val="single" w:color="auto" w:sz="4" w:space="0"/>
              <w:bottom w:val="single" w:color="auto" w:sz="4" w:space="0"/>
              <w:right w:val="single" w:color="auto" w:sz="4" w:space="0"/>
            </w:tcBorders>
            <w:noWrap w:val="0"/>
            <w:vAlign w:val="top"/>
          </w:tcPr>
          <w:p w14:paraId="353E73CB">
            <w:pPr>
              <w:keepNext w:val="0"/>
              <w:pageBreakBefore w:val="0"/>
              <w:overflowPunct/>
              <w:bidi w:val="0"/>
              <w:spacing w:line="360" w:lineRule="auto"/>
              <w:jc w:val="center"/>
              <w:rPr>
                <w:rFonts w:hint="eastAsia" w:ascii="宋体" w:hAnsi="宋体" w:eastAsia="宋体" w:cs="宋体"/>
                <w:b/>
                <w:bCs/>
                <w:szCs w:val="21"/>
                <w:highlight w:val="none"/>
              </w:rPr>
            </w:pPr>
          </w:p>
        </w:tc>
        <w:tc>
          <w:tcPr>
            <w:tcW w:w="1156" w:type="dxa"/>
            <w:tcBorders>
              <w:top w:val="single" w:color="auto" w:sz="4" w:space="0"/>
              <w:left w:val="nil"/>
              <w:bottom w:val="single" w:color="auto" w:sz="4" w:space="0"/>
              <w:right w:val="single" w:color="auto" w:sz="4" w:space="0"/>
            </w:tcBorders>
            <w:noWrap w:val="0"/>
            <w:vAlign w:val="top"/>
          </w:tcPr>
          <w:p w14:paraId="5D7EFB45">
            <w:pPr>
              <w:keepNext w:val="0"/>
              <w:pageBreakBefore w:val="0"/>
              <w:overflowPunct/>
              <w:bidi w:val="0"/>
              <w:spacing w:line="360" w:lineRule="auto"/>
              <w:jc w:val="center"/>
              <w:rPr>
                <w:rFonts w:hint="eastAsia" w:ascii="宋体" w:hAnsi="宋体" w:eastAsia="宋体" w:cs="宋体"/>
                <w:b/>
                <w:bCs/>
                <w:szCs w:val="21"/>
                <w:highlight w:val="none"/>
              </w:rPr>
            </w:pPr>
          </w:p>
        </w:tc>
        <w:tc>
          <w:tcPr>
            <w:tcW w:w="1156" w:type="dxa"/>
            <w:tcBorders>
              <w:top w:val="single" w:color="auto" w:sz="4" w:space="0"/>
              <w:left w:val="nil"/>
              <w:bottom w:val="single" w:color="auto" w:sz="4" w:space="0"/>
              <w:right w:val="single" w:color="auto" w:sz="4" w:space="0"/>
            </w:tcBorders>
            <w:noWrap w:val="0"/>
            <w:vAlign w:val="top"/>
          </w:tcPr>
          <w:p w14:paraId="056247DE">
            <w:pPr>
              <w:keepNext w:val="0"/>
              <w:pageBreakBefore w:val="0"/>
              <w:overflowPunct/>
              <w:bidi w:val="0"/>
              <w:spacing w:line="360" w:lineRule="auto"/>
              <w:jc w:val="center"/>
              <w:rPr>
                <w:rFonts w:hint="eastAsia" w:ascii="宋体" w:hAnsi="宋体" w:eastAsia="宋体" w:cs="宋体"/>
                <w:b/>
                <w:bCs/>
                <w:szCs w:val="21"/>
                <w:highlight w:val="none"/>
              </w:rPr>
            </w:pPr>
          </w:p>
        </w:tc>
        <w:tc>
          <w:tcPr>
            <w:tcW w:w="1156" w:type="dxa"/>
            <w:tcBorders>
              <w:top w:val="single" w:color="auto" w:sz="4" w:space="0"/>
              <w:left w:val="nil"/>
              <w:bottom w:val="single" w:color="auto" w:sz="4" w:space="0"/>
              <w:right w:val="single" w:color="auto" w:sz="4" w:space="0"/>
            </w:tcBorders>
            <w:noWrap w:val="0"/>
            <w:vAlign w:val="top"/>
          </w:tcPr>
          <w:p w14:paraId="3F64FA77">
            <w:pPr>
              <w:keepNext w:val="0"/>
              <w:pageBreakBefore w:val="0"/>
              <w:overflowPunct/>
              <w:bidi w:val="0"/>
              <w:spacing w:line="360" w:lineRule="auto"/>
              <w:jc w:val="center"/>
              <w:rPr>
                <w:rFonts w:hint="eastAsia" w:ascii="宋体" w:hAnsi="宋体" w:eastAsia="宋体" w:cs="宋体"/>
                <w:b/>
                <w:bCs/>
                <w:szCs w:val="21"/>
                <w:highlight w:val="none"/>
              </w:rPr>
            </w:pPr>
          </w:p>
        </w:tc>
        <w:tc>
          <w:tcPr>
            <w:tcW w:w="1157" w:type="dxa"/>
            <w:tcBorders>
              <w:top w:val="single" w:color="auto" w:sz="4" w:space="0"/>
              <w:left w:val="nil"/>
              <w:bottom w:val="single" w:color="auto" w:sz="4" w:space="0"/>
              <w:right w:val="single" w:color="auto" w:sz="4" w:space="0"/>
            </w:tcBorders>
            <w:noWrap w:val="0"/>
            <w:vAlign w:val="top"/>
          </w:tcPr>
          <w:p w14:paraId="35593DB8">
            <w:pPr>
              <w:keepNext w:val="0"/>
              <w:pageBreakBefore w:val="0"/>
              <w:overflowPunct/>
              <w:bidi w:val="0"/>
              <w:spacing w:line="360" w:lineRule="auto"/>
              <w:jc w:val="center"/>
              <w:rPr>
                <w:rFonts w:hint="eastAsia" w:ascii="宋体" w:hAnsi="宋体" w:eastAsia="宋体" w:cs="宋体"/>
                <w:b/>
                <w:bCs/>
                <w:szCs w:val="21"/>
                <w:highlight w:val="none"/>
              </w:rPr>
            </w:pPr>
          </w:p>
        </w:tc>
        <w:tc>
          <w:tcPr>
            <w:tcW w:w="1157" w:type="dxa"/>
            <w:tcBorders>
              <w:top w:val="single" w:color="auto" w:sz="4" w:space="0"/>
              <w:left w:val="nil"/>
              <w:bottom w:val="single" w:color="auto" w:sz="4" w:space="0"/>
              <w:right w:val="single" w:color="auto" w:sz="4" w:space="0"/>
            </w:tcBorders>
            <w:noWrap w:val="0"/>
            <w:vAlign w:val="top"/>
          </w:tcPr>
          <w:p w14:paraId="78662274">
            <w:pPr>
              <w:keepNext w:val="0"/>
              <w:pageBreakBefore w:val="0"/>
              <w:overflowPunct/>
              <w:bidi w:val="0"/>
              <w:spacing w:line="360" w:lineRule="auto"/>
              <w:jc w:val="center"/>
              <w:rPr>
                <w:rFonts w:hint="eastAsia" w:ascii="宋体" w:hAnsi="宋体" w:eastAsia="宋体" w:cs="宋体"/>
                <w:b/>
                <w:bCs/>
                <w:szCs w:val="21"/>
                <w:highlight w:val="none"/>
              </w:rPr>
            </w:pPr>
          </w:p>
        </w:tc>
        <w:tc>
          <w:tcPr>
            <w:tcW w:w="1157" w:type="dxa"/>
            <w:tcBorders>
              <w:top w:val="single" w:color="auto" w:sz="4" w:space="0"/>
              <w:left w:val="nil"/>
              <w:bottom w:val="single" w:color="auto" w:sz="4" w:space="0"/>
              <w:right w:val="single" w:color="auto" w:sz="4" w:space="0"/>
            </w:tcBorders>
            <w:noWrap w:val="0"/>
            <w:vAlign w:val="top"/>
          </w:tcPr>
          <w:p w14:paraId="5C6C7902">
            <w:pPr>
              <w:keepNext w:val="0"/>
              <w:pageBreakBefore w:val="0"/>
              <w:overflowPunct/>
              <w:bidi w:val="0"/>
              <w:spacing w:line="360" w:lineRule="auto"/>
              <w:jc w:val="center"/>
              <w:rPr>
                <w:rFonts w:hint="eastAsia" w:ascii="宋体" w:hAnsi="宋体" w:eastAsia="宋体" w:cs="宋体"/>
                <w:b/>
                <w:bCs/>
                <w:szCs w:val="21"/>
                <w:highlight w:val="none"/>
              </w:rPr>
            </w:pPr>
          </w:p>
        </w:tc>
        <w:tc>
          <w:tcPr>
            <w:tcW w:w="1157" w:type="dxa"/>
            <w:tcBorders>
              <w:top w:val="single" w:color="auto" w:sz="4" w:space="0"/>
              <w:left w:val="nil"/>
              <w:bottom w:val="single" w:color="auto" w:sz="4" w:space="0"/>
              <w:right w:val="single" w:color="auto" w:sz="4" w:space="0"/>
            </w:tcBorders>
            <w:noWrap w:val="0"/>
            <w:vAlign w:val="top"/>
          </w:tcPr>
          <w:p w14:paraId="2A6301E4">
            <w:pPr>
              <w:keepNext w:val="0"/>
              <w:pageBreakBefore w:val="0"/>
              <w:overflowPunct/>
              <w:bidi w:val="0"/>
              <w:spacing w:line="360" w:lineRule="auto"/>
              <w:jc w:val="center"/>
              <w:rPr>
                <w:rFonts w:hint="eastAsia" w:ascii="宋体" w:hAnsi="宋体" w:eastAsia="宋体" w:cs="宋体"/>
                <w:b/>
                <w:bCs/>
                <w:szCs w:val="21"/>
                <w:highlight w:val="none"/>
              </w:rPr>
            </w:pPr>
          </w:p>
        </w:tc>
      </w:tr>
      <w:tr w14:paraId="5501CCF0">
        <w:tblPrEx>
          <w:tblCellMar>
            <w:top w:w="0" w:type="dxa"/>
            <w:left w:w="108" w:type="dxa"/>
            <w:bottom w:w="0" w:type="dxa"/>
            <w:right w:w="108" w:type="dxa"/>
          </w:tblCellMar>
        </w:tblPrEx>
        <w:trPr>
          <w:trHeight w:val="779" w:hRule="atLeast"/>
          <w:jc w:val="center"/>
        </w:trPr>
        <w:tc>
          <w:tcPr>
            <w:tcW w:w="1156" w:type="dxa"/>
            <w:tcBorders>
              <w:top w:val="single" w:color="auto" w:sz="4" w:space="0"/>
              <w:left w:val="single" w:color="auto" w:sz="4" w:space="0"/>
              <w:bottom w:val="single" w:color="auto" w:sz="4" w:space="0"/>
              <w:right w:val="single" w:color="auto" w:sz="4" w:space="0"/>
            </w:tcBorders>
            <w:noWrap w:val="0"/>
            <w:vAlign w:val="top"/>
          </w:tcPr>
          <w:p w14:paraId="3B87885C">
            <w:pPr>
              <w:keepNext w:val="0"/>
              <w:pageBreakBefore w:val="0"/>
              <w:overflowPunct/>
              <w:bidi w:val="0"/>
              <w:spacing w:line="360" w:lineRule="auto"/>
              <w:jc w:val="center"/>
              <w:rPr>
                <w:rFonts w:hint="eastAsia" w:ascii="宋体" w:hAnsi="宋体" w:eastAsia="宋体" w:cs="宋体"/>
                <w:b/>
                <w:bCs/>
                <w:szCs w:val="21"/>
                <w:highlight w:val="none"/>
              </w:rPr>
            </w:pPr>
          </w:p>
        </w:tc>
        <w:tc>
          <w:tcPr>
            <w:tcW w:w="1156" w:type="dxa"/>
            <w:tcBorders>
              <w:top w:val="single" w:color="auto" w:sz="4" w:space="0"/>
              <w:left w:val="nil"/>
              <w:bottom w:val="single" w:color="auto" w:sz="4" w:space="0"/>
              <w:right w:val="single" w:color="auto" w:sz="4" w:space="0"/>
            </w:tcBorders>
            <w:noWrap w:val="0"/>
            <w:vAlign w:val="top"/>
          </w:tcPr>
          <w:p w14:paraId="30421E36">
            <w:pPr>
              <w:keepNext w:val="0"/>
              <w:pageBreakBefore w:val="0"/>
              <w:overflowPunct/>
              <w:bidi w:val="0"/>
              <w:spacing w:line="360" w:lineRule="auto"/>
              <w:jc w:val="center"/>
              <w:rPr>
                <w:rFonts w:hint="eastAsia" w:ascii="宋体" w:hAnsi="宋体" w:eastAsia="宋体" w:cs="宋体"/>
                <w:b/>
                <w:bCs/>
                <w:szCs w:val="21"/>
                <w:highlight w:val="none"/>
              </w:rPr>
            </w:pPr>
          </w:p>
        </w:tc>
        <w:tc>
          <w:tcPr>
            <w:tcW w:w="1156" w:type="dxa"/>
            <w:tcBorders>
              <w:top w:val="single" w:color="auto" w:sz="4" w:space="0"/>
              <w:left w:val="nil"/>
              <w:bottom w:val="single" w:color="auto" w:sz="4" w:space="0"/>
              <w:right w:val="single" w:color="auto" w:sz="4" w:space="0"/>
            </w:tcBorders>
            <w:noWrap w:val="0"/>
            <w:vAlign w:val="top"/>
          </w:tcPr>
          <w:p w14:paraId="3B14DD8C">
            <w:pPr>
              <w:keepNext w:val="0"/>
              <w:pageBreakBefore w:val="0"/>
              <w:overflowPunct/>
              <w:bidi w:val="0"/>
              <w:spacing w:line="360" w:lineRule="auto"/>
              <w:jc w:val="center"/>
              <w:rPr>
                <w:rFonts w:hint="eastAsia" w:ascii="宋体" w:hAnsi="宋体" w:eastAsia="宋体" w:cs="宋体"/>
                <w:b/>
                <w:bCs/>
                <w:szCs w:val="21"/>
                <w:highlight w:val="none"/>
              </w:rPr>
            </w:pPr>
          </w:p>
        </w:tc>
        <w:tc>
          <w:tcPr>
            <w:tcW w:w="1156" w:type="dxa"/>
            <w:tcBorders>
              <w:top w:val="single" w:color="auto" w:sz="4" w:space="0"/>
              <w:left w:val="nil"/>
              <w:bottom w:val="single" w:color="auto" w:sz="4" w:space="0"/>
              <w:right w:val="single" w:color="auto" w:sz="4" w:space="0"/>
            </w:tcBorders>
            <w:noWrap w:val="0"/>
            <w:vAlign w:val="top"/>
          </w:tcPr>
          <w:p w14:paraId="0C55247F">
            <w:pPr>
              <w:keepNext w:val="0"/>
              <w:pageBreakBefore w:val="0"/>
              <w:overflowPunct/>
              <w:bidi w:val="0"/>
              <w:spacing w:line="360" w:lineRule="auto"/>
              <w:jc w:val="center"/>
              <w:rPr>
                <w:rFonts w:hint="eastAsia" w:ascii="宋体" w:hAnsi="宋体" w:eastAsia="宋体" w:cs="宋体"/>
                <w:b/>
                <w:bCs/>
                <w:szCs w:val="21"/>
                <w:highlight w:val="none"/>
              </w:rPr>
            </w:pPr>
          </w:p>
        </w:tc>
        <w:tc>
          <w:tcPr>
            <w:tcW w:w="1157" w:type="dxa"/>
            <w:tcBorders>
              <w:top w:val="single" w:color="auto" w:sz="4" w:space="0"/>
              <w:left w:val="nil"/>
              <w:bottom w:val="single" w:color="auto" w:sz="4" w:space="0"/>
              <w:right w:val="single" w:color="auto" w:sz="4" w:space="0"/>
            </w:tcBorders>
            <w:noWrap w:val="0"/>
            <w:vAlign w:val="top"/>
          </w:tcPr>
          <w:p w14:paraId="57566187">
            <w:pPr>
              <w:keepNext w:val="0"/>
              <w:pageBreakBefore w:val="0"/>
              <w:overflowPunct/>
              <w:bidi w:val="0"/>
              <w:spacing w:line="360" w:lineRule="auto"/>
              <w:jc w:val="center"/>
              <w:rPr>
                <w:rFonts w:hint="eastAsia" w:ascii="宋体" w:hAnsi="宋体" w:eastAsia="宋体" w:cs="宋体"/>
                <w:b/>
                <w:bCs/>
                <w:szCs w:val="21"/>
                <w:highlight w:val="none"/>
              </w:rPr>
            </w:pPr>
          </w:p>
        </w:tc>
        <w:tc>
          <w:tcPr>
            <w:tcW w:w="1157" w:type="dxa"/>
            <w:tcBorders>
              <w:top w:val="single" w:color="auto" w:sz="4" w:space="0"/>
              <w:left w:val="nil"/>
              <w:bottom w:val="single" w:color="auto" w:sz="4" w:space="0"/>
              <w:right w:val="single" w:color="auto" w:sz="4" w:space="0"/>
            </w:tcBorders>
            <w:noWrap w:val="0"/>
            <w:vAlign w:val="top"/>
          </w:tcPr>
          <w:p w14:paraId="58346CAE">
            <w:pPr>
              <w:keepNext w:val="0"/>
              <w:pageBreakBefore w:val="0"/>
              <w:overflowPunct/>
              <w:bidi w:val="0"/>
              <w:spacing w:line="360" w:lineRule="auto"/>
              <w:jc w:val="center"/>
              <w:rPr>
                <w:rFonts w:hint="eastAsia" w:ascii="宋体" w:hAnsi="宋体" w:eastAsia="宋体" w:cs="宋体"/>
                <w:b/>
                <w:bCs/>
                <w:szCs w:val="21"/>
                <w:highlight w:val="none"/>
              </w:rPr>
            </w:pPr>
          </w:p>
        </w:tc>
        <w:tc>
          <w:tcPr>
            <w:tcW w:w="1157" w:type="dxa"/>
            <w:tcBorders>
              <w:top w:val="single" w:color="auto" w:sz="4" w:space="0"/>
              <w:left w:val="nil"/>
              <w:bottom w:val="single" w:color="auto" w:sz="4" w:space="0"/>
              <w:right w:val="single" w:color="auto" w:sz="4" w:space="0"/>
            </w:tcBorders>
            <w:noWrap w:val="0"/>
            <w:vAlign w:val="top"/>
          </w:tcPr>
          <w:p w14:paraId="35ABAEA2">
            <w:pPr>
              <w:keepNext w:val="0"/>
              <w:pageBreakBefore w:val="0"/>
              <w:overflowPunct/>
              <w:bidi w:val="0"/>
              <w:spacing w:line="360" w:lineRule="auto"/>
              <w:jc w:val="center"/>
              <w:rPr>
                <w:rFonts w:hint="eastAsia" w:ascii="宋体" w:hAnsi="宋体" w:eastAsia="宋体" w:cs="宋体"/>
                <w:b/>
                <w:bCs/>
                <w:szCs w:val="21"/>
                <w:highlight w:val="none"/>
              </w:rPr>
            </w:pPr>
          </w:p>
        </w:tc>
        <w:tc>
          <w:tcPr>
            <w:tcW w:w="1157" w:type="dxa"/>
            <w:tcBorders>
              <w:top w:val="single" w:color="auto" w:sz="4" w:space="0"/>
              <w:left w:val="nil"/>
              <w:bottom w:val="single" w:color="auto" w:sz="4" w:space="0"/>
              <w:right w:val="single" w:color="auto" w:sz="4" w:space="0"/>
            </w:tcBorders>
            <w:noWrap w:val="0"/>
            <w:vAlign w:val="top"/>
          </w:tcPr>
          <w:p w14:paraId="7D0FAA3C">
            <w:pPr>
              <w:keepNext w:val="0"/>
              <w:pageBreakBefore w:val="0"/>
              <w:overflowPunct/>
              <w:bidi w:val="0"/>
              <w:spacing w:line="360" w:lineRule="auto"/>
              <w:jc w:val="center"/>
              <w:rPr>
                <w:rFonts w:hint="eastAsia" w:ascii="宋体" w:hAnsi="宋体" w:eastAsia="宋体" w:cs="宋体"/>
                <w:b/>
                <w:bCs/>
                <w:szCs w:val="21"/>
                <w:highlight w:val="none"/>
              </w:rPr>
            </w:pPr>
          </w:p>
        </w:tc>
      </w:tr>
      <w:tr w14:paraId="69B538AB">
        <w:tblPrEx>
          <w:tblCellMar>
            <w:top w:w="0" w:type="dxa"/>
            <w:left w:w="108" w:type="dxa"/>
            <w:bottom w:w="0" w:type="dxa"/>
            <w:right w:w="108" w:type="dxa"/>
          </w:tblCellMar>
        </w:tblPrEx>
        <w:trPr>
          <w:trHeight w:val="806" w:hRule="atLeast"/>
          <w:jc w:val="center"/>
        </w:trPr>
        <w:tc>
          <w:tcPr>
            <w:tcW w:w="1156" w:type="dxa"/>
            <w:tcBorders>
              <w:top w:val="single" w:color="auto" w:sz="4" w:space="0"/>
              <w:left w:val="single" w:color="auto" w:sz="4" w:space="0"/>
              <w:bottom w:val="single" w:color="auto" w:sz="4" w:space="0"/>
              <w:right w:val="single" w:color="auto" w:sz="4" w:space="0"/>
            </w:tcBorders>
            <w:noWrap w:val="0"/>
            <w:vAlign w:val="top"/>
          </w:tcPr>
          <w:p w14:paraId="66EE799B">
            <w:pPr>
              <w:keepNext w:val="0"/>
              <w:pageBreakBefore w:val="0"/>
              <w:overflowPunct/>
              <w:bidi w:val="0"/>
              <w:spacing w:line="360" w:lineRule="auto"/>
              <w:jc w:val="center"/>
              <w:rPr>
                <w:rFonts w:hint="eastAsia" w:ascii="宋体" w:hAnsi="宋体" w:eastAsia="宋体" w:cs="宋体"/>
                <w:b/>
                <w:bCs/>
                <w:szCs w:val="21"/>
                <w:highlight w:val="none"/>
              </w:rPr>
            </w:pPr>
          </w:p>
        </w:tc>
        <w:tc>
          <w:tcPr>
            <w:tcW w:w="1156" w:type="dxa"/>
            <w:tcBorders>
              <w:top w:val="single" w:color="auto" w:sz="4" w:space="0"/>
              <w:left w:val="nil"/>
              <w:bottom w:val="single" w:color="auto" w:sz="4" w:space="0"/>
              <w:right w:val="single" w:color="auto" w:sz="4" w:space="0"/>
            </w:tcBorders>
            <w:noWrap w:val="0"/>
            <w:vAlign w:val="top"/>
          </w:tcPr>
          <w:p w14:paraId="5DA3B4A8">
            <w:pPr>
              <w:keepNext w:val="0"/>
              <w:pageBreakBefore w:val="0"/>
              <w:overflowPunct/>
              <w:bidi w:val="0"/>
              <w:spacing w:line="360" w:lineRule="auto"/>
              <w:jc w:val="center"/>
              <w:rPr>
                <w:rFonts w:hint="eastAsia" w:ascii="宋体" w:hAnsi="宋体" w:eastAsia="宋体" w:cs="宋体"/>
                <w:b/>
                <w:bCs/>
                <w:szCs w:val="21"/>
                <w:highlight w:val="none"/>
              </w:rPr>
            </w:pPr>
          </w:p>
        </w:tc>
        <w:tc>
          <w:tcPr>
            <w:tcW w:w="1156" w:type="dxa"/>
            <w:tcBorders>
              <w:top w:val="single" w:color="auto" w:sz="4" w:space="0"/>
              <w:left w:val="nil"/>
              <w:bottom w:val="single" w:color="auto" w:sz="4" w:space="0"/>
              <w:right w:val="single" w:color="auto" w:sz="4" w:space="0"/>
            </w:tcBorders>
            <w:noWrap w:val="0"/>
            <w:vAlign w:val="top"/>
          </w:tcPr>
          <w:p w14:paraId="48784450">
            <w:pPr>
              <w:keepNext w:val="0"/>
              <w:pageBreakBefore w:val="0"/>
              <w:overflowPunct/>
              <w:bidi w:val="0"/>
              <w:spacing w:line="360" w:lineRule="auto"/>
              <w:jc w:val="center"/>
              <w:rPr>
                <w:rFonts w:hint="eastAsia" w:ascii="宋体" w:hAnsi="宋体" w:eastAsia="宋体" w:cs="宋体"/>
                <w:b/>
                <w:bCs/>
                <w:szCs w:val="21"/>
                <w:highlight w:val="none"/>
              </w:rPr>
            </w:pPr>
          </w:p>
        </w:tc>
        <w:tc>
          <w:tcPr>
            <w:tcW w:w="1156" w:type="dxa"/>
            <w:tcBorders>
              <w:top w:val="single" w:color="auto" w:sz="4" w:space="0"/>
              <w:left w:val="nil"/>
              <w:bottom w:val="single" w:color="auto" w:sz="4" w:space="0"/>
              <w:right w:val="single" w:color="auto" w:sz="4" w:space="0"/>
            </w:tcBorders>
            <w:noWrap w:val="0"/>
            <w:vAlign w:val="top"/>
          </w:tcPr>
          <w:p w14:paraId="6489BCD8">
            <w:pPr>
              <w:keepNext w:val="0"/>
              <w:pageBreakBefore w:val="0"/>
              <w:overflowPunct/>
              <w:bidi w:val="0"/>
              <w:spacing w:line="360" w:lineRule="auto"/>
              <w:jc w:val="center"/>
              <w:rPr>
                <w:rFonts w:hint="eastAsia" w:ascii="宋体" w:hAnsi="宋体" w:eastAsia="宋体" w:cs="宋体"/>
                <w:b/>
                <w:bCs/>
                <w:szCs w:val="21"/>
                <w:highlight w:val="none"/>
              </w:rPr>
            </w:pPr>
          </w:p>
        </w:tc>
        <w:tc>
          <w:tcPr>
            <w:tcW w:w="1157" w:type="dxa"/>
            <w:tcBorders>
              <w:top w:val="single" w:color="auto" w:sz="4" w:space="0"/>
              <w:left w:val="nil"/>
              <w:bottom w:val="single" w:color="auto" w:sz="4" w:space="0"/>
              <w:right w:val="single" w:color="auto" w:sz="4" w:space="0"/>
            </w:tcBorders>
            <w:noWrap w:val="0"/>
            <w:vAlign w:val="top"/>
          </w:tcPr>
          <w:p w14:paraId="27DE1474">
            <w:pPr>
              <w:keepNext w:val="0"/>
              <w:pageBreakBefore w:val="0"/>
              <w:overflowPunct/>
              <w:bidi w:val="0"/>
              <w:spacing w:line="360" w:lineRule="auto"/>
              <w:jc w:val="center"/>
              <w:rPr>
                <w:rFonts w:hint="eastAsia" w:ascii="宋体" w:hAnsi="宋体" w:eastAsia="宋体" w:cs="宋体"/>
                <w:b/>
                <w:bCs/>
                <w:szCs w:val="21"/>
                <w:highlight w:val="none"/>
              </w:rPr>
            </w:pPr>
          </w:p>
        </w:tc>
        <w:tc>
          <w:tcPr>
            <w:tcW w:w="1157" w:type="dxa"/>
            <w:tcBorders>
              <w:top w:val="single" w:color="auto" w:sz="4" w:space="0"/>
              <w:left w:val="nil"/>
              <w:bottom w:val="single" w:color="auto" w:sz="4" w:space="0"/>
              <w:right w:val="single" w:color="auto" w:sz="4" w:space="0"/>
            </w:tcBorders>
            <w:noWrap w:val="0"/>
            <w:vAlign w:val="top"/>
          </w:tcPr>
          <w:p w14:paraId="4873F751">
            <w:pPr>
              <w:keepNext w:val="0"/>
              <w:pageBreakBefore w:val="0"/>
              <w:overflowPunct/>
              <w:bidi w:val="0"/>
              <w:spacing w:line="360" w:lineRule="auto"/>
              <w:jc w:val="center"/>
              <w:rPr>
                <w:rFonts w:hint="eastAsia" w:ascii="宋体" w:hAnsi="宋体" w:eastAsia="宋体" w:cs="宋体"/>
                <w:b/>
                <w:bCs/>
                <w:szCs w:val="21"/>
                <w:highlight w:val="none"/>
              </w:rPr>
            </w:pPr>
          </w:p>
        </w:tc>
        <w:tc>
          <w:tcPr>
            <w:tcW w:w="1157" w:type="dxa"/>
            <w:tcBorders>
              <w:top w:val="single" w:color="auto" w:sz="4" w:space="0"/>
              <w:left w:val="nil"/>
              <w:bottom w:val="single" w:color="auto" w:sz="4" w:space="0"/>
              <w:right w:val="single" w:color="auto" w:sz="4" w:space="0"/>
            </w:tcBorders>
            <w:noWrap w:val="0"/>
            <w:vAlign w:val="top"/>
          </w:tcPr>
          <w:p w14:paraId="788ECD76">
            <w:pPr>
              <w:keepNext w:val="0"/>
              <w:pageBreakBefore w:val="0"/>
              <w:overflowPunct/>
              <w:bidi w:val="0"/>
              <w:spacing w:line="360" w:lineRule="auto"/>
              <w:jc w:val="center"/>
              <w:rPr>
                <w:rFonts w:hint="eastAsia" w:ascii="宋体" w:hAnsi="宋体" w:eastAsia="宋体" w:cs="宋体"/>
                <w:b/>
                <w:bCs/>
                <w:szCs w:val="21"/>
                <w:highlight w:val="none"/>
              </w:rPr>
            </w:pPr>
          </w:p>
        </w:tc>
        <w:tc>
          <w:tcPr>
            <w:tcW w:w="1157" w:type="dxa"/>
            <w:tcBorders>
              <w:top w:val="single" w:color="auto" w:sz="4" w:space="0"/>
              <w:left w:val="nil"/>
              <w:bottom w:val="single" w:color="auto" w:sz="4" w:space="0"/>
              <w:right w:val="single" w:color="auto" w:sz="4" w:space="0"/>
            </w:tcBorders>
            <w:noWrap w:val="0"/>
            <w:vAlign w:val="top"/>
          </w:tcPr>
          <w:p w14:paraId="66C9F50F">
            <w:pPr>
              <w:keepNext w:val="0"/>
              <w:pageBreakBefore w:val="0"/>
              <w:overflowPunct/>
              <w:bidi w:val="0"/>
              <w:spacing w:line="360" w:lineRule="auto"/>
              <w:jc w:val="center"/>
              <w:rPr>
                <w:rFonts w:hint="eastAsia" w:ascii="宋体" w:hAnsi="宋体" w:eastAsia="宋体" w:cs="宋体"/>
                <w:b/>
                <w:bCs/>
                <w:szCs w:val="21"/>
                <w:highlight w:val="none"/>
              </w:rPr>
            </w:pPr>
          </w:p>
        </w:tc>
      </w:tr>
    </w:tbl>
    <w:p w14:paraId="028E4552">
      <w:pPr>
        <w:keepNext w:val="0"/>
        <w:pageBreakBefore w:val="0"/>
        <w:widowControl/>
        <w:overflowPunct/>
        <w:bidi w:val="0"/>
        <w:spacing w:line="360" w:lineRule="auto"/>
        <w:jc w:val="center"/>
        <w:rPr>
          <w:rFonts w:hint="eastAsia" w:ascii="宋体" w:hAnsi="宋体" w:eastAsia="宋体" w:cs="宋体"/>
          <w:kern w:val="0"/>
          <w:sz w:val="28"/>
          <w:szCs w:val="28"/>
          <w:highlight w:val="none"/>
        </w:rPr>
      </w:pPr>
    </w:p>
    <w:p w14:paraId="05F067FC">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bCs/>
          <w:sz w:val="28"/>
          <w:szCs w:val="28"/>
          <w:highlight w:val="none"/>
        </w:rPr>
      </w:pPr>
      <w:r>
        <w:rPr>
          <w:rFonts w:hint="eastAsia" w:ascii="宋体" w:hAnsi="宋体" w:eastAsia="宋体" w:cs="宋体"/>
          <w:kern w:val="0"/>
          <w:sz w:val="28"/>
          <w:szCs w:val="28"/>
          <w:highlight w:val="none"/>
        </w:rPr>
        <w:br w:type="page"/>
      </w:r>
      <w:bookmarkStart w:id="33" w:name="_Toc1812"/>
      <w:r>
        <w:rPr>
          <w:rFonts w:hint="eastAsia" w:ascii="宋体" w:hAnsi="宋体" w:eastAsia="宋体" w:cs="宋体"/>
          <w:b/>
          <w:bCs/>
          <w:sz w:val="28"/>
          <w:szCs w:val="28"/>
          <w:highlight w:val="none"/>
        </w:rPr>
        <w:t>八、</w:t>
      </w:r>
      <w:bookmarkEnd w:id="29"/>
      <w:r>
        <w:rPr>
          <w:rFonts w:hint="eastAsia" w:ascii="宋体" w:hAnsi="宋体" w:eastAsia="宋体" w:cs="宋体"/>
          <w:b/>
          <w:bCs/>
          <w:sz w:val="28"/>
          <w:szCs w:val="28"/>
          <w:highlight w:val="none"/>
          <w:lang w:eastAsia="zh-CN"/>
        </w:rPr>
        <w:t>服务方案</w:t>
      </w:r>
      <w:bookmarkEnd w:id="33"/>
    </w:p>
    <w:p w14:paraId="1DE4F466">
      <w:pPr>
        <w:keepNext w:val="0"/>
        <w:pageBreakBefore w:val="0"/>
        <w:widowControl/>
        <w:overflowPunct/>
        <w:bidi w:val="0"/>
        <w:spacing w:line="360" w:lineRule="auto"/>
        <w:jc w:val="center"/>
        <w:rPr>
          <w:rFonts w:hint="eastAsia" w:ascii="宋体" w:hAnsi="宋体" w:eastAsia="宋体" w:cs="宋体"/>
          <w:kern w:val="0"/>
          <w:szCs w:val="24"/>
          <w:highlight w:val="none"/>
        </w:rPr>
      </w:pPr>
    </w:p>
    <w:p w14:paraId="3FF82148">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kern w:val="0"/>
          <w:sz w:val="28"/>
          <w:szCs w:val="28"/>
          <w:highlight w:val="none"/>
        </w:rPr>
      </w:pPr>
      <w:r>
        <w:rPr>
          <w:rFonts w:hint="eastAsia" w:ascii="宋体" w:hAnsi="宋体" w:eastAsia="宋体" w:cs="宋体"/>
          <w:kern w:val="0"/>
          <w:sz w:val="28"/>
          <w:szCs w:val="28"/>
          <w:highlight w:val="none"/>
        </w:rPr>
        <w:br w:type="page"/>
      </w:r>
      <w:bookmarkStart w:id="34" w:name="_Toc25791"/>
      <w:r>
        <w:rPr>
          <w:rFonts w:hint="eastAsia" w:ascii="宋体" w:hAnsi="宋体" w:eastAsia="宋体" w:cs="宋体"/>
          <w:b/>
          <w:kern w:val="0"/>
          <w:sz w:val="28"/>
          <w:szCs w:val="28"/>
          <w:highlight w:val="none"/>
        </w:rPr>
        <w:t>九、</w:t>
      </w:r>
      <w:r>
        <w:rPr>
          <w:rFonts w:hint="eastAsia" w:ascii="宋体" w:hAnsi="宋体" w:eastAsia="宋体" w:cs="宋体"/>
          <w:b/>
          <w:sz w:val="28"/>
          <w:szCs w:val="28"/>
          <w:highlight w:val="none"/>
        </w:rPr>
        <w:t>资格要求</w:t>
      </w:r>
      <w:r>
        <w:rPr>
          <w:rFonts w:hint="eastAsia" w:ascii="宋体" w:hAnsi="宋体" w:eastAsia="宋体" w:cs="宋体"/>
          <w:b/>
          <w:kern w:val="0"/>
          <w:sz w:val="28"/>
          <w:szCs w:val="28"/>
          <w:highlight w:val="none"/>
        </w:rPr>
        <w:t>证明文件</w:t>
      </w:r>
      <w:bookmarkEnd w:id="34"/>
    </w:p>
    <w:p w14:paraId="7ED6761A">
      <w:pPr>
        <w:keepNext w:val="0"/>
        <w:pageBreakBefore w:val="0"/>
        <w:widowControl/>
        <w:overflowPunct/>
        <w:bidi w:val="0"/>
        <w:spacing w:line="360" w:lineRule="auto"/>
        <w:rPr>
          <w:rFonts w:hint="eastAsia" w:ascii="宋体" w:hAnsi="宋体" w:eastAsia="宋体" w:cs="宋体"/>
          <w:sz w:val="28"/>
          <w:szCs w:val="28"/>
          <w:highlight w:val="none"/>
        </w:rPr>
      </w:pPr>
    </w:p>
    <w:p w14:paraId="437D2F7A">
      <w:pPr>
        <w:keepNext w:val="0"/>
        <w:pageBreakBefore w:val="0"/>
        <w:widowControl/>
        <w:overflowPunct/>
        <w:bidi w:val="0"/>
        <w:spacing w:line="360" w:lineRule="auto"/>
        <w:jc w:val="center"/>
        <w:outlineLvl w:val="1"/>
        <w:rPr>
          <w:rFonts w:hint="eastAsia" w:ascii="宋体" w:hAnsi="宋体" w:eastAsia="宋体" w:cs="宋体"/>
          <w:b/>
          <w:sz w:val="28"/>
          <w:szCs w:val="28"/>
          <w:highlight w:val="none"/>
        </w:rPr>
      </w:pPr>
      <w:r>
        <w:rPr>
          <w:rFonts w:hint="eastAsia" w:ascii="宋体" w:hAnsi="宋体" w:eastAsia="宋体" w:cs="宋体"/>
          <w:b/>
          <w:bCs/>
          <w:kern w:val="0"/>
          <w:sz w:val="28"/>
          <w:szCs w:val="28"/>
          <w:highlight w:val="none"/>
        </w:rPr>
        <w:br w:type="page"/>
      </w:r>
      <w:bookmarkStart w:id="35" w:name="_Toc23945"/>
      <w:r>
        <w:rPr>
          <w:rFonts w:hint="eastAsia" w:ascii="宋体" w:hAnsi="宋体" w:eastAsia="宋体" w:cs="宋体"/>
          <w:b/>
          <w:sz w:val="28"/>
          <w:szCs w:val="28"/>
          <w:highlight w:val="none"/>
        </w:rPr>
        <w:t>十、磋商承诺函</w:t>
      </w:r>
      <w:bookmarkEnd w:id="35"/>
    </w:p>
    <w:p w14:paraId="2E7FE754">
      <w:pPr>
        <w:keepNext w:val="0"/>
        <w:pageBreakBefore w:val="0"/>
        <w:widowControl/>
        <w:overflowPunct/>
        <w:bidi w:val="0"/>
        <w:spacing w:line="360" w:lineRule="auto"/>
        <w:rPr>
          <w:rFonts w:hint="eastAsia" w:ascii="宋体" w:hAnsi="宋体" w:eastAsia="宋体" w:cs="宋体"/>
          <w:kern w:val="0"/>
          <w:szCs w:val="24"/>
          <w:highlight w:val="none"/>
        </w:rPr>
      </w:pPr>
      <w:r>
        <w:rPr>
          <w:rFonts w:hint="eastAsia" w:ascii="宋体" w:hAnsi="宋体" w:eastAsia="宋体" w:cs="宋体"/>
          <w:kern w:val="0"/>
          <w:szCs w:val="24"/>
          <w:highlight w:val="none"/>
        </w:rPr>
        <w:t>致：</w:t>
      </w:r>
      <w:r>
        <w:rPr>
          <w:rFonts w:hint="eastAsia" w:ascii="宋体" w:hAnsi="宋体" w:eastAsia="宋体" w:cs="宋体"/>
          <w:kern w:val="0"/>
          <w:szCs w:val="24"/>
          <w:highlight w:val="none"/>
          <w:u w:val="single"/>
        </w:rPr>
        <w:t xml:space="preserve">                      </w:t>
      </w:r>
      <w:r>
        <w:rPr>
          <w:rFonts w:hint="eastAsia" w:ascii="宋体" w:hAnsi="宋体" w:eastAsia="宋体" w:cs="宋体"/>
          <w:kern w:val="0"/>
          <w:szCs w:val="24"/>
          <w:highlight w:val="none"/>
        </w:rPr>
        <w:t>（采购人）</w:t>
      </w:r>
    </w:p>
    <w:p w14:paraId="141C084B">
      <w:pPr>
        <w:keepNext w:val="0"/>
        <w:pageBreakBefore w:val="0"/>
        <w:widowControl/>
        <w:overflowPunct/>
        <w:bidi w:val="0"/>
        <w:spacing w:line="360" w:lineRule="auto"/>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如我单位出现以下情况，并造成采购人经济损失，我单位自觉承担违约责任。</w:t>
      </w:r>
    </w:p>
    <w:p w14:paraId="7AB334B3">
      <w:pPr>
        <w:keepNext w:val="0"/>
        <w:pageBreakBefore w:val="0"/>
        <w:widowControl/>
        <w:overflowPunct/>
        <w:bidi w:val="0"/>
        <w:spacing w:line="360" w:lineRule="auto"/>
        <w:ind w:firstLine="480" w:firstLineChars="200"/>
        <w:rPr>
          <w:rFonts w:hint="eastAsia" w:ascii="宋体" w:hAnsi="宋体" w:eastAsia="宋体" w:cs="宋体"/>
          <w:kern w:val="0"/>
          <w:szCs w:val="24"/>
          <w:highlight w:val="none"/>
          <w:lang w:eastAsia="zh-CN"/>
        </w:rPr>
      </w:pPr>
      <w:r>
        <w:rPr>
          <w:rFonts w:hint="eastAsia" w:ascii="宋体" w:hAnsi="宋体" w:eastAsia="宋体" w:cs="宋体"/>
          <w:kern w:val="0"/>
          <w:szCs w:val="24"/>
          <w:highlight w:val="none"/>
        </w:rPr>
        <w:t>一、在中标通知书规定时间内未签订合同</w:t>
      </w:r>
      <w:r>
        <w:rPr>
          <w:rFonts w:hint="eastAsia" w:ascii="宋体" w:hAnsi="宋体" w:cs="宋体"/>
          <w:kern w:val="0"/>
          <w:szCs w:val="24"/>
          <w:highlight w:val="none"/>
          <w:lang w:eastAsia="zh-CN"/>
        </w:rPr>
        <w:t>；</w:t>
      </w:r>
    </w:p>
    <w:p w14:paraId="53951674">
      <w:pPr>
        <w:keepNext w:val="0"/>
        <w:pageBreakBefore w:val="0"/>
        <w:widowControl/>
        <w:overflowPunct/>
        <w:bidi w:val="0"/>
        <w:spacing w:line="360" w:lineRule="auto"/>
        <w:ind w:firstLine="480" w:firstLineChars="200"/>
        <w:rPr>
          <w:rFonts w:hint="eastAsia" w:ascii="宋体" w:hAnsi="宋体" w:eastAsia="宋体" w:cs="宋体"/>
          <w:kern w:val="0"/>
          <w:szCs w:val="24"/>
          <w:highlight w:val="none"/>
        </w:rPr>
      </w:pPr>
      <w:r>
        <w:rPr>
          <w:rFonts w:hint="eastAsia" w:ascii="宋体" w:hAnsi="宋体" w:eastAsia="宋体" w:cs="宋体"/>
          <w:kern w:val="0"/>
          <w:szCs w:val="24"/>
          <w:highlight w:val="none"/>
        </w:rPr>
        <w:t>二、在投标（响应）文件中提供虚假材料的；</w:t>
      </w:r>
    </w:p>
    <w:p w14:paraId="72DA4151">
      <w:pPr>
        <w:keepNext w:val="0"/>
        <w:pageBreakBefore w:val="0"/>
        <w:widowControl/>
        <w:overflowPunct/>
        <w:bidi w:val="0"/>
        <w:spacing w:line="360" w:lineRule="auto"/>
        <w:ind w:firstLine="480" w:firstLineChars="200"/>
        <w:rPr>
          <w:rFonts w:hint="eastAsia" w:ascii="宋体" w:hAnsi="宋体" w:eastAsia="宋体" w:cs="宋体"/>
          <w:kern w:val="0"/>
          <w:szCs w:val="24"/>
          <w:highlight w:val="none"/>
        </w:rPr>
      </w:pPr>
      <w:r>
        <w:rPr>
          <w:rFonts w:hint="eastAsia" w:ascii="宋体" w:hAnsi="宋体" w:eastAsia="宋体" w:cs="宋体"/>
          <w:kern w:val="0"/>
          <w:szCs w:val="24"/>
          <w:highlight w:val="none"/>
        </w:rPr>
        <w:t>三、供应商与采购、其他供应商或者代理机构恶意串通的；</w:t>
      </w:r>
    </w:p>
    <w:p w14:paraId="09BD9AD1">
      <w:pPr>
        <w:keepNext w:val="0"/>
        <w:pageBreakBefore w:val="0"/>
        <w:widowControl/>
        <w:overflowPunct/>
        <w:bidi w:val="0"/>
        <w:spacing w:line="360" w:lineRule="auto"/>
        <w:ind w:firstLine="480" w:firstLineChars="200"/>
        <w:outlineLvl w:val="9"/>
        <w:rPr>
          <w:rFonts w:hint="eastAsia" w:ascii="宋体" w:hAnsi="宋体" w:eastAsia="宋体" w:cs="宋体"/>
          <w:kern w:val="0"/>
          <w:szCs w:val="24"/>
          <w:highlight w:val="none"/>
        </w:rPr>
      </w:pPr>
    </w:p>
    <w:p w14:paraId="56CFEA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2"/>
          <w:highlight w:val="none"/>
          <w:lang w:val="en-US"/>
        </w:rPr>
      </w:pPr>
      <w:r>
        <w:rPr>
          <w:rFonts w:hint="eastAsia" w:ascii="宋体" w:hAnsi="宋体" w:eastAsia="宋体" w:cs="宋体"/>
          <w:kern w:val="2"/>
          <w:sz w:val="24"/>
          <w:szCs w:val="22"/>
          <w:highlight w:val="none"/>
          <w:lang w:val="en-US" w:eastAsia="zh-CN" w:bidi="ar"/>
        </w:rPr>
        <w:t>供应商（盖章）：</w:t>
      </w:r>
    </w:p>
    <w:p w14:paraId="3E65E3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2"/>
          <w:highlight w:val="none"/>
          <w:lang w:val="en-US"/>
        </w:rPr>
      </w:pPr>
      <w:r>
        <w:rPr>
          <w:rFonts w:hint="eastAsia" w:ascii="宋体" w:hAnsi="宋体" w:eastAsia="宋体" w:cs="宋体"/>
          <w:kern w:val="2"/>
          <w:sz w:val="24"/>
          <w:szCs w:val="22"/>
          <w:highlight w:val="none"/>
          <w:lang w:val="en-US" w:eastAsia="zh-CN" w:bidi="ar"/>
        </w:rPr>
        <w:t>法人代表或委托代理人（签字或盖章）：</w:t>
      </w:r>
    </w:p>
    <w:p w14:paraId="698209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2"/>
          <w:highlight w:val="none"/>
          <w:lang w:val="en-US"/>
        </w:rPr>
      </w:pPr>
      <w:r>
        <w:rPr>
          <w:rFonts w:hint="eastAsia" w:ascii="宋体" w:hAnsi="宋体" w:eastAsia="宋体" w:cs="宋体"/>
          <w:kern w:val="2"/>
          <w:sz w:val="24"/>
          <w:szCs w:val="22"/>
          <w:highlight w:val="none"/>
          <w:lang w:val="en-US" w:eastAsia="zh-CN" w:bidi="ar"/>
        </w:rPr>
        <w:t>日期：</w:t>
      </w:r>
      <w:r>
        <w:rPr>
          <w:rFonts w:hint="eastAsia" w:ascii="宋体" w:hAnsi="宋体" w:eastAsia="宋体" w:cs="宋体"/>
          <w:kern w:val="2"/>
          <w:sz w:val="24"/>
          <w:szCs w:val="22"/>
          <w:highlight w:val="none"/>
          <w:u w:val="single"/>
          <w:lang w:val="en-US" w:eastAsia="zh-CN" w:bidi="ar"/>
        </w:rPr>
        <w:t xml:space="preserve">         </w:t>
      </w:r>
      <w:r>
        <w:rPr>
          <w:rFonts w:hint="eastAsia" w:ascii="宋体" w:hAnsi="宋体" w:eastAsia="宋体" w:cs="宋体"/>
          <w:kern w:val="2"/>
          <w:sz w:val="24"/>
          <w:szCs w:val="22"/>
          <w:highlight w:val="none"/>
          <w:lang w:val="en-US" w:eastAsia="zh-CN" w:bidi="ar"/>
        </w:rPr>
        <w:t>年</w:t>
      </w:r>
      <w:r>
        <w:rPr>
          <w:rFonts w:hint="eastAsia" w:ascii="宋体" w:hAnsi="宋体" w:eastAsia="宋体" w:cs="宋体"/>
          <w:kern w:val="2"/>
          <w:sz w:val="24"/>
          <w:szCs w:val="22"/>
          <w:highlight w:val="none"/>
          <w:u w:val="single"/>
          <w:lang w:val="en-US" w:eastAsia="zh-CN" w:bidi="ar"/>
        </w:rPr>
        <w:t xml:space="preserve">      </w:t>
      </w:r>
      <w:r>
        <w:rPr>
          <w:rFonts w:hint="eastAsia" w:ascii="宋体" w:hAnsi="宋体" w:eastAsia="宋体" w:cs="宋体"/>
          <w:kern w:val="2"/>
          <w:sz w:val="24"/>
          <w:szCs w:val="22"/>
          <w:highlight w:val="none"/>
          <w:lang w:val="en-US" w:eastAsia="zh-CN" w:bidi="ar"/>
        </w:rPr>
        <w:t>月</w:t>
      </w:r>
      <w:r>
        <w:rPr>
          <w:rFonts w:hint="eastAsia" w:ascii="宋体" w:hAnsi="宋体" w:eastAsia="宋体" w:cs="宋体"/>
          <w:kern w:val="2"/>
          <w:sz w:val="24"/>
          <w:szCs w:val="22"/>
          <w:highlight w:val="none"/>
          <w:u w:val="single"/>
          <w:lang w:val="en-US" w:eastAsia="zh-CN" w:bidi="ar"/>
        </w:rPr>
        <w:t xml:space="preserve">      </w:t>
      </w:r>
      <w:r>
        <w:rPr>
          <w:rFonts w:hint="eastAsia" w:ascii="宋体" w:hAnsi="宋体" w:eastAsia="宋体" w:cs="宋体"/>
          <w:kern w:val="2"/>
          <w:sz w:val="24"/>
          <w:szCs w:val="22"/>
          <w:highlight w:val="none"/>
          <w:lang w:val="en-US" w:eastAsia="zh-CN" w:bidi="ar"/>
        </w:rPr>
        <w:t>日</w:t>
      </w:r>
    </w:p>
    <w:p w14:paraId="5AD72A5F">
      <w:pPr>
        <w:keepNext w:val="0"/>
        <w:pageBreakBefore w:val="0"/>
        <w:widowControl/>
        <w:overflowPunct/>
        <w:bidi w:val="0"/>
        <w:spacing w:line="360" w:lineRule="auto"/>
        <w:jc w:val="center"/>
        <w:rPr>
          <w:rFonts w:hint="eastAsia" w:ascii="宋体" w:hAnsi="宋体" w:eastAsia="宋体" w:cs="宋体"/>
          <w:sz w:val="28"/>
          <w:szCs w:val="28"/>
          <w:highlight w:val="none"/>
        </w:rPr>
      </w:pPr>
    </w:p>
    <w:p w14:paraId="48A49318">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kern w:val="0"/>
          <w:sz w:val="28"/>
          <w:szCs w:val="28"/>
          <w:highlight w:val="none"/>
        </w:rPr>
      </w:pPr>
      <w:r>
        <w:rPr>
          <w:rFonts w:hint="eastAsia" w:ascii="宋体" w:hAnsi="宋体" w:eastAsia="宋体" w:cs="宋体"/>
          <w:sz w:val="28"/>
          <w:szCs w:val="28"/>
          <w:highlight w:val="none"/>
        </w:rPr>
        <w:br w:type="page"/>
      </w:r>
      <w:bookmarkStart w:id="36" w:name="_Toc32063"/>
      <w:r>
        <w:rPr>
          <w:rFonts w:hint="eastAsia" w:ascii="宋体" w:hAnsi="宋体" w:eastAsia="宋体" w:cs="宋体"/>
          <w:b/>
          <w:sz w:val="28"/>
          <w:szCs w:val="28"/>
          <w:highlight w:val="none"/>
        </w:rPr>
        <w:t>十</w:t>
      </w:r>
      <w:r>
        <w:rPr>
          <w:rFonts w:hint="eastAsia" w:ascii="宋体" w:hAnsi="宋体" w:eastAsia="宋体" w:cs="宋体"/>
          <w:b/>
          <w:sz w:val="28"/>
          <w:szCs w:val="28"/>
          <w:highlight w:val="none"/>
          <w:lang w:eastAsia="zh-CN"/>
        </w:rPr>
        <w:t>一</w:t>
      </w:r>
      <w:r>
        <w:rPr>
          <w:rFonts w:hint="eastAsia" w:ascii="宋体" w:hAnsi="宋体" w:eastAsia="宋体" w:cs="宋体"/>
          <w:b/>
          <w:sz w:val="28"/>
          <w:szCs w:val="28"/>
          <w:highlight w:val="none"/>
        </w:rPr>
        <w:t>、其他</w:t>
      </w:r>
      <w:r>
        <w:rPr>
          <w:rFonts w:hint="eastAsia" w:ascii="宋体" w:hAnsi="宋体" w:eastAsia="宋体" w:cs="宋体"/>
          <w:b/>
          <w:kern w:val="2"/>
          <w:sz w:val="28"/>
          <w:szCs w:val="28"/>
          <w:highlight w:val="none"/>
        </w:rPr>
        <w:t>证明文件</w:t>
      </w:r>
      <w:bookmarkEnd w:id="36"/>
    </w:p>
    <w:p w14:paraId="367F7E5B">
      <w:pPr>
        <w:pStyle w:val="33"/>
        <w:keepNext w:val="0"/>
        <w:pageBreakBefore w:val="0"/>
        <w:overflowPunct/>
        <w:bidi w:val="0"/>
        <w:spacing w:line="360" w:lineRule="auto"/>
        <w:rPr>
          <w:rFonts w:hint="eastAsia" w:ascii="宋体" w:hAnsi="Times New Roman"/>
          <w:kern w:val="0"/>
          <w:szCs w:val="24"/>
          <w:highlight w:val="none"/>
        </w:rPr>
      </w:pPr>
    </w:p>
    <w:p w14:paraId="43127B0C">
      <w:pPr>
        <w:keepNext w:val="0"/>
        <w:keepLines w:val="0"/>
        <w:pageBreakBefore w:val="0"/>
        <w:widowControl/>
        <w:kinsoku/>
        <w:wordWrap/>
        <w:overflowPunct/>
        <w:topLinePunct w:val="0"/>
        <w:autoSpaceDE/>
        <w:autoSpaceDN/>
        <w:bidi w:val="0"/>
        <w:adjustRightInd w:val="0"/>
        <w:snapToGrid w:val="0"/>
        <w:spacing w:before="120" w:beforeLines="50" w:line="360" w:lineRule="auto"/>
        <w:jc w:val="both"/>
        <w:textAlignment w:val="auto"/>
        <w:rPr>
          <w:rFonts w:hint="eastAsia" w:ascii="宋体" w:hAnsi="宋体" w:eastAsia="宋体" w:cs="宋体"/>
          <w:b/>
          <w:bCs/>
          <w:spacing w:val="6"/>
          <w:kern w:val="0"/>
          <w:sz w:val="24"/>
          <w:szCs w:val="24"/>
          <w:highlight w:val="none"/>
          <w:lang w:val="en-US" w:eastAsia="zh-CN"/>
        </w:rPr>
      </w:pPr>
      <w:r>
        <w:rPr>
          <w:rFonts w:hint="eastAsia" w:ascii="宋体" w:hAnsi="宋体" w:eastAsia="宋体" w:cs="宋体"/>
          <w:sz w:val="28"/>
          <w:szCs w:val="28"/>
          <w:highlight w:val="none"/>
        </w:rPr>
        <w:br w:type="page"/>
      </w:r>
      <w:r>
        <w:rPr>
          <w:rFonts w:hint="eastAsia" w:ascii="宋体" w:hAnsi="宋体" w:eastAsia="宋体" w:cs="宋体"/>
          <w:b/>
          <w:bCs/>
          <w:spacing w:val="6"/>
          <w:kern w:val="0"/>
          <w:sz w:val="24"/>
          <w:szCs w:val="24"/>
          <w:highlight w:val="none"/>
          <w:lang w:val="en-US" w:eastAsia="zh-CN"/>
        </w:rPr>
        <w:t xml:space="preserve">附件1 </w:t>
      </w:r>
    </w:p>
    <w:p w14:paraId="1B340E9A">
      <w:pPr>
        <w:keepNext w:val="0"/>
        <w:keepLines w:val="0"/>
        <w:pageBreakBefore w:val="0"/>
        <w:widowControl/>
        <w:kinsoku/>
        <w:wordWrap/>
        <w:overflowPunct/>
        <w:topLinePunct w:val="0"/>
        <w:autoSpaceDE/>
        <w:autoSpaceDN/>
        <w:bidi w:val="0"/>
        <w:adjustRightInd w:val="0"/>
        <w:snapToGrid w:val="0"/>
        <w:spacing w:before="120" w:beforeLines="50" w:line="360" w:lineRule="auto"/>
        <w:jc w:val="center"/>
        <w:textAlignment w:val="auto"/>
        <w:rPr>
          <w:rFonts w:hint="eastAsia" w:ascii="宋体" w:hAnsi="宋体" w:eastAsia="宋体" w:cs="宋体"/>
          <w:b/>
          <w:bCs/>
          <w:spacing w:val="6"/>
          <w:kern w:val="0"/>
          <w:sz w:val="32"/>
          <w:szCs w:val="32"/>
          <w:highlight w:val="none"/>
        </w:rPr>
      </w:pPr>
      <w:r>
        <w:rPr>
          <w:rFonts w:hint="eastAsia" w:ascii="宋体" w:hAnsi="宋体" w:eastAsia="宋体" w:cs="宋体"/>
          <w:b/>
          <w:bCs/>
          <w:spacing w:val="6"/>
          <w:kern w:val="0"/>
          <w:sz w:val="32"/>
          <w:szCs w:val="32"/>
          <w:highlight w:val="none"/>
        </w:rPr>
        <w:t>中小企业声明函（服务）</w:t>
      </w:r>
    </w:p>
    <w:p w14:paraId="5D3EAB49">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属于中小微企业的填写，不属于的无需提供此项内容</w:t>
      </w:r>
      <w:r>
        <w:rPr>
          <w:rFonts w:hint="eastAsia" w:ascii="宋体" w:hAnsi="宋体" w:eastAsia="宋体" w:cs="宋体"/>
          <w:b/>
          <w:bCs/>
          <w:sz w:val="24"/>
          <w:szCs w:val="24"/>
          <w:highlight w:val="none"/>
          <w:lang w:eastAsia="zh-CN"/>
        </w:rPr>
        <w:t>）</w:t>
      </w:r>
    </w:p>
    <w:p w14:paraId="5D7E98F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本公司（联合体）郑重声明，根据《政府采购促进中小企业发展管理办法》（财库﹝2020﹞46 号）的规定，本公司（联合体）参加</w:t>
      </w:r>
      <w:r>
        <w:rPr>
          <w:rFonts w:hint="eastAsia" w:ascii="宋体" w:hAnsi="宋体" w:eastAsia="宋体" w:cs="宋体"/>
          <w:sz w:val="24"/>
          <w:szCs w:val="24"/>
          <w:highlight w:val="none"/>
          <w:u w:val="single"/>
        </w:rPr>
        <w:t>（单位名称）</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采购活动，服务全部由符合政策要求的中小企业承接。相关企业（含联合体中的中小企业、签订分包意向协议的中小企业）的具体情况如下：</w:t>
      </w:r>
    </w:p>
    <w:p w14:paraId="7968A31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；承建（承接）企业为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万元</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"_bookmark0" </w:instrText>
      </w:r>
      <w:r>
        <w:rPr>
          <w:rFonts w:hint="eastAsia" w:ascii="宋体" w:hAnsi="宋体" w:eastAsia="宋体" w:cs="宋体"/>
          <w:sz w:val="24"/>
          <w:szCs w:val="24"/>
          <w:highlight w:val="none"/>
        </w:rPr>
        <w:fldChar w:fldCharType="separate"/>
      </w:r>
      <w:r>
        <w:rPr>
          <w:rFonts w:hint="eastAsia" w:ascii="宋体" w:hAnsi="宋体" w:eastAsia="宋体" w:cs="宋体"/>
          <w:spacing w:val="-12"/>
          <w:position w:val="16"/>
          <w:sz w:val="24"/>
          <w:szCs w:val="24"/>
          <w:highlight w:val="none"/>
        </w:rPr>
        <w:t>1</w:t>
      </w:r>
      <w:r>
        <w:rPr>
          <w:rFonts w:hint="eastAsia" w:ascii="宋体" w:hAnsi="宋体" w:eastAsia="宋体" w:cs="宋体"/>
          <w:spacing w:val="-12"/>
          <w:position w:val="16"/>
          <w:sz w:val="24"/>
          <w:szCs w:val="24"/>
          <w:highlight w:val="none"/>
        </w:rPr>
        <w:fldChar w:fldCharType="end"/>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14:paraId="2A80574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；承建（承接）企业为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万元</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"_bookmark0" </w:instrText>
      </w:r>
      <w:r>
        <w:rPr>
          <w:rFonts w:hint="eastAsia" w:ascii="宋体" w:hAnsi="宋体" w:eastAsia="宋体" w:cs="宋体"/>
          <w:sz w:val="24"/>
          <w:szCs w:val="24"/>
          <w:highlight w:val="none"/>
        </w:rPr>
        <w:fldChar w:fldCharType="separate"/>
      </w:r>
      <w:r>
        <w:rPr>
          <w:rFonts w:hint="eastAsia" w:ascii="宋体" w:hAnsi="宋体" w:eastAsia="宋体" w:cs="宋体"/>
          <w:spacing w:val="-12"/>
          <w:position w:val="16"/>
          <w:sz w:val="24"/>
          <w:szCs w:val="24"/>
          <w:highlight w:val="none"/>
        </w:rPr>
        <w:t>1</w:t>
      </w:r>
      <w:r>
        <w:rPr>
          <w:rFonts w:hint="eastAsia" w:ascii="宋体" w:hAnsi="宋体" w:eastAsia="宋体" w:cs="宋体"/>
          <w:spacing w:val="-12"/>
          <w:position w:val="16"/>
          <w:sz w:val="24"/>
          <w:szCs w:val="24"/>
          <w:highlight w:val="none"/>
        </w:rPr>
        <w:fldChar w:fldCharType="end"/>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14:paraId="5383A0F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7C668E0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以上企业，不属于大企业的分支机构，不存在控股股东为大企业的情形，也不存在与大企业的负责人为同一人的情形。</w:t>
      </w:r>
    </w:p>
    <w:p w14:paraId="02611AC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14:paraId="71787874">
      <w:pPr>
        <w:pStyle w:val="16"/>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sz w:val="24"/>
          <w:szCs w:val="24"/>
          <w:highlight w:val="none"/>
        </w:rPr>
      </w:pPr>
    </w:p>
    <w:p w14:paraId="54398FCC">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企业名称（</w:t>
      </w:r>
      <w:r>
        <w:rPr>
          <w:rFonts w:hint="eastAsia" w:ascii="宋体" w:hAnsi="宋体" w:eastAsia="宋体" w:cs="宋体"/>
          <w:color w:val="000000"/>
          <w:kern w:val="0"/>
          <w:sz w:val="24"/>
          <w:szCs w:val="24"/>
          <w:highlight w:val="none"/>
          <w:lang w:val="en-US" w:eastAsia="zh-CN"/>
        </w:rPr>
        <w:t>电子签章</w:t>
      </w:r>
      <w:r>
        <w:rPr>
          <w:rFonts w:hint="eastAsia" w:ascii="宋体" w:hAnsi="宋体" w:eastAsia="宋体" w:cs="宋体"/>
          <w:sz w:val="24"/>
          <w:szCs w:val="24"/>
          <w:highlight w:val="none"/>
        </w:rPr>
        <w:t>）：</w:t>
      </w:r>
    </w:p>
    <w:p w14:paraId="7DEAF473">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        期：</w:t>
      </w:r>
    </w:p>
    <w:p w14:paraId="52E794F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pacing w:val="6"/>
          <w:kern w:val="0"/>
          <w:sz w:val="24"/>
          <w:szCs w:val="24"/>
          <w:highlight w:val="none"/>
        </w:rPr>
      </w:pPr>
      <w:r>
        <w:rPr>
          <w:rFonts w:hint="eastAsia" w:ascii="宋体" w:hAnsi="宋体" w:eastAsia="宋体" w:cs="宋体"/>
          <w:spacing w:val="6"/>
          <w:kern w:val="0"/>
          <w:sz w:val="24"/>
          <w:szCs w:val="24"/>
          <w:highlight w:val="none"/>
        </w:rPr>
        <w:t>说明：</w:t>
      </w:r>
    </w:p>
    <w:p w14:paraId="33843A9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pacing w:val="6"/>
          <w:kern w:val="0"/>
          <w:sz w:val="24"/>
          <w:szCs w:val="24"/>
          <w:highlight w:val="none"/>
        </w:rPr>
      </w:pPr>
      <w:r>
        <w:rPr>
          <w:rFonts w:hint="eastAsia" w:ascii="宋体" w:hAnsi="宋体" w:eastAsia="宋体" w:cs="宋体"/>
          <w:spacing w:val="6"/>
          <w:kern w:val="0"/>
          <w:sz w:val="24"/>
          <w:szCs w:val="24"/>
          <w:highlight w:val="none"/>
        </w:rPr>
        <w:t>1、从业人员、营业收入、资产总额填报上一年度数据，无上一年度数据的新成立企业可不填报。</w:t>
      </w:r>
    </w:p>
    <w:p w14:paraId="5D0B23E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pacing w:val="6"/>
          <w:kern w:val="0"/>
          <w:sz w:val="24"/>
          <w:szCs w:val="24"/>
          <w:highlight w:val="none"/>
        </w:rPr>
      </w:pPr>
      <w:r>
        <w:rPr>
          <w:rFonts w:hint="eastAsia" w:ascii="宋体" w:hAnsi="宋体" w:eastAsia="宋体" w:cs="宋体"/>
          <w:spacing w:val="6"/>
          <w:kern w:val="0"/>
          <w:sz w:val="24"/>
          <w:szCs w:val="24"/>
          <w:highlight w:val="none"/>
        </w:rPr>
        <w:t>2、填写前请认真阅读《关于印发中小企业划型标准规定的通知》（工信部联企业[2011]300号）和《关于印发＜</w:t>
      </w:r>
      <w:r>
        <w:rPr>
          <w:rFonts w:hint="eastAsia" w:ascii="宋体" w:hAnsi="宋体" w:eastAsia="宋体" w:cs="宋体"/>
          <w:spacing w:val="-2"/>
          <w:sz w:val="24"/>
          <w:szCs w:val="24"/>
          <w:highlight w:val="none"/>
        </w:rPr>
        <w:t>政府采购促进中小</w:t>
      </w:r>
      <w:r>
        <w:rPr>
          <w:rFonts w:hint="eastAsia" w:ascii="宋体" w:hAnsi="宋体" w:eastAsia="宋体" w:cs="宋体"/>
          <w:spacing w:val="-18"/>
          <w:sz w:val="24"/>
          <w:szCs w:val="24"/>
          <w:highlight w:val="none"/>
        </w:rPr>
        <w:t>企业发展管理办法</w:t>
      </w:r>
      <w:r>
        <w:rPr>
          <w:rFonts w:hint="eastAsia" w:ascii="宋体" w:hAnsi="宋体" w:eastAsia="宋体" w:cs="宋体"/>
          <w:spacing w:val="6"/>
          <w:kern w:val="0"/>
          <w:sz w:val="24"/>
          <w:szCs w:val="24"/>
          <w:highlight w:val="none"/>
        </w:rPr>
        <w:t>＞的通知》</w:t>
      </w:r>
      <w:r>
        <w:rPr>
          <w:rFonts w:hint="eastAsia" w:ascii="宋体" w:hAnsi="宋体" w:eastAsia="宋体" w:cs="宋体"/>
          <w:spacing w:val="6"/>
          <w:kern w:val="0"/>
          <w:sz w:val="24"/>
          <w:szCs w:val="24"/>
          <w:highlight w:val="none"/>
          <w:lang w:eastAsia="zh-CN"/>
        </w:rPr>
        <w:t>（</w:t>
      </w:r>
      <w:r>
        <w:rPr>
          <w:rFonts w:hint="eastAsia" w:ascii="宋体" w:hAnsi="宋体" w:eastAsia="宋体" w:cs="宋体"/>
          <w:spacing w:val="5"/>
          <w:sz w:val="24"/>
          <w:szCs w:val="24"/>
          <w:highlight w:val="none"/>
        </w:rPr>
        <w:t>财库</w:t>
      </w:r>
      <w:r>
        <w:rPr>
          <w:rFonts w:hint="eastAsia" w:ascii="宋体" w:hAnsi="宋体" w:eastAsia="宋体" w:cs="宋体"/>
          <w:sz w:val="24"/>
          <w:szCs w:val="24"/>
          <w:highlight w:val="none"/>
        </w:rPr>
        <w:t>﹝2020﹞46</w:t>
      </w:r>
      <w:r>
        <w:rPr>
          <w:rFonts w:hint="eastAsia" w:ascii="宋体" w:hAnsi="宋体" w:eastAsia="宋体" w:cs="宋体"/>
          <w:spacing w:val="-38"/>
          <w:sz w:val="24"/>
          <w:szCs w:val="24"/>
          <w:highlight w:val="none"/>
        </w:rPr>
        <w:t xml:space="preserve"> 号  </w:t>
      </w:r>
      <w:r>
        <w:rPr>
          <w:rFonts w:hint="eastAsia" w:ascii="宋体" w:hAnsi="宋体" w:eastAsia="宋体" w:cs="宋体"/>
          <w:spacing w:val="6"/>
          <w:kern w:val="0"/>
          <w:sz w:val="24"/>
          <w:szCs w:val="24"/>
          <w:highlight w:val="none"/>
          <w:lang w:eastAsia="zh-CN"/>
        </w:rPr>
        <w:t>）</w:t>
      </w:r>
      <w:r>
        <w:rPr>
          <w:rFonts w:hint="eastAsia" w:ascii="宋体" w:hAnsi="宋体" w:eastAsia="宋体" w:cs="宋体"/>
          <w:spacing w:val="6"/>
          <w:kern w:val="0"/>
          <w:sz w:val="24"/>
          <w:szCs w:val="24"/>
          <w:highlight w:val="none"/>
        </w:rPr>
        <w:t>相关规定。</w:t>
      </w:r>
    </w:p>
    <w:p w14:paraId="3A02CCD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pacing w:val="6"/>
          <w:kern w:val="0"/>
          <w:sz w:val="24"/>
          <w:szCs w:val="24"/>
          <w:highlight w:val="none"/>
        </w:rPr>
      </w:pPr>
      <w:r>
        <w:rPr>
          <w:rFonts w:hint="eastAsia" w:ascii="宋体" w:hAnsi="宋体" w:eastAsia="宋体" w:cs="宋体"/>
          <w:spacing w:val="6"/>
          <w:kern w:val="0"/>
          <w:sz w:val="24"/>
          <w:szCs w:val="24"/>
          <w:highlight w:val="none"/>
        </w:rPr>
        <w:t>3、未按上述要求提供、填写的，评审时不予以考虑。</w:t>
      </w:r>
    </w:p>
    <w:p w14:paraId="07B1BB6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pacing w:val="6"/>
          <w:kern w:val="0"/>
          <w:sz w:val="24"/>
          <w:szCs w:val="24"/>
          <w:highlight w:val="none"/>
        </w:rPr>
      </w:pPr>
    </w:p>
    <w:p w14:paraId="5CED629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pacing w:val="6"/>
          <w:kern w:val="0"/>
          <w:sz w:val="24"/>
          <w:szCs w:val="24"/>
          <w:highlight w:val="none"/>
        </w:rPr>
      </w:pPr>
    </w:p>
    <w:p w14:paraId="16AFDCE7">
      <w:pPr>
        <w:keepNext w:val="0"/>
        <w:keepLines w:val="0"/>
        <w:pageBreakBefore w:val="0"/>
        <w:widowControl/>
        <w:kinsoku/>
        <w:wordWrap/>
        <w:overflowPunct/>
        <w:topLinePunct w:val="0"/>
        <w:autoSpaceDE/>
        <w:autoSpaceDN/>
        <w:bidi w:val="0"/>
        <w:adjustRightInd w:val="0"/>
        <w:snapToGrid w:val="0"/>
        <w:spacing w:before="120" w:beforeLines="50" w:line="360" w:lineRule="auto"/>
        <w:jc w:val="both"/>
        <w:textAlignment w:val="auto"/>
        <w:rPr>
          <w:rFonts w:hint="eastAsia" w:ascii="宋体" w:hAnsi="宋体" w:eastAsia="宋体" w:cs="宋体"/>
          <w:b/>
          <w:bCs/>
          <w:spacing w:val="6"/>
          <w:kern w:val="0"/>
          <w:sz w:val="24"/>
          <w:szCs w:val="24"/>
          <w:highlight w:val="none"/>
          <w:lang w:val="en-US" w:eastAsia="zh-CN"/>
        </w:rPr>
      </w:pPr>
      <w:bookmarkStart w:id="37" w:name="_Toc15388"/>
      <w:bookmarkStart w:id="38" w:name="_Toc18758"/>
      <w:bookmarkStart w:id="39" w:name="OLE_LINK14"/>
      <w:bookmarkStart w:id="40" w:name="_Toc1407"/>
      <w:bookmarkStart w:id="41" w:name="_Toc3686"/>
      <w:bookmarkStart w:id="42" w:name="_Toc7278"/>
      <w:bookmarkStart w:id="43" w:name="_Toc22084"/>
      <w:bookmarkStart w:id="44" w:name="_Toc25719"/>
      <w:bookmarkStart w:id="45" w:name="_Toc10802"/>
      <w:bookmarkStart w:id="46" w:name="_Toc25504"/>
      <w:bookmarkStart w:id="47" w:name="OLE_LINK13"/>
      <w:bookmarkStart w:id="48" w:name="_Toc22816"/>
      <w:bookmarkStart w:id="49" w:name="_Toc14656"/>
      <w:bookmarkStart w:id="50" w:name="_Toc23527"/>
      <w:bookmarkStart w:id="51" w:name="_Toc21261"/>
      <w:bookmarkStart w:id="52" w:name="_Toc14029"/>
      <w:r>
        <w:rPr>
          <w:rFonts w:hint="eastAsia" w:ascii="宋体" w:hAnsi="宋体" w:eastAsia="宋体" w:cs="宋体"/>
          <w:b/>
          <w:bCs/>
          <w:spacing w:val="6"/>
          <w:kern w:val="0"/>
          <w:sz w:val="24"/>
          <w:szCs w:val="24"/>
          <w:highlight w:val="none"/>
          <w:lang w:val="en-US" w:eastAsia="zh-CN"/>
        </w:rPr>
        <w:t xml:space="preserve">附件2 </w:t>
      </w:r>
    </w:p>
    <w:p w14:paraId="11409F7A">
      <w:pPr>
        <w:keepNext w:val="0"/>
        <w:keepLines w:val="0"/>
        <w:pageBreakBefore w:val="0"/>
        <w:widowControl/>
        <w:kinsoku/>
        <w:wordWrap/>
        <w:overflowPunct/>
        <w:topLinePunct w:val="0"/>
        <w:autoSpaceDE/>
        <w:autoSpaceDN/>
        <w:bidi w:val="0"/>
        <w:adjustRightInd w:val="0"/>
        <w:snapToGrid w:val="0"/>
        <w:spacing w:before="120" w:beforeLines="50" w:line="360" w:lineRule="auto"/>
        <w:jc w:val="center"/>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残疾人福利性单位声明函</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3F851041">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属于残疾人福利单位的填写，不属于的无需提供此项内容</w:t>
      </w:r>
      <w:r>
        <w:rPr>
          <w:rFonts w:hint="eastAsia" w:ascii="宋体" w:hAnsi="宋体" w:eastAsia="宋体" w:cs="宋体"/>
          <w:b/>
          <w:bCs/>
          <w:sz w:val="24"/>
          <w:szCs w:val="24"/>
          <w:highlight w:val="none"/>
          <w:lang w:eastAsia="zh-CN"/>
        </w:rPr>
        <w:t>）</w:t>
      </w:r>
    </w:p>
    <w:p w14:paraId="4E3E0773">
      <w:pPr>
        <w:pStyle w:val="5"/>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单位的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项目采购活动提供本单位制造的货物（由本单位承担工程/提供服务），或者提供其他残疾人福利性单位制造的货物（不包括使用非残疾人福利性单位注册商标的货物）。</w:t>
      </w:r>
    </w:p>
    <w:p w14:paraId="5C7D874D">
      <w:pPr>
        <w:pStyle w:val="5"/>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本单位对上述声明的真实性负责。如有虚假，将依法承担相应责任。</w:t>
      </w:r>
    </w:p>
    <w:p w14:paraId="53CDCE8D">
      <w:pPr>
        <w:pStyle w:val="5"/>
        <w:keepNext w:val="0"/>
        <w:keepLines w:val="0"/>
        <w:pageBreakBefore w:val="0"/>
        <w:widowControl w:val="0"/>
        <w:kinsoku/>
        <w:wordWrap/>
        <w:overflowPunct/>
        <w:topLinePunct w:val="0"/>
        <w:autoSpaceDE/>
        <w:autoSpaceDN/>
        <w:bidi w:val="0"/>
        <w:adjustRightInd/>
        <w:snapToGrid/>
        <w:spacing w:line="360" w:lineRule="auto"/>
        <w:ind w:firstLine="2400" w:firstLineChars="10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w:t>
      </w:r>
      <w:r>
        <w:rPr>
          <w:rFonts w:hint="eastAsia" w:ascii="宋体" w:hAnsi="宋体" w:eastAsia="宋体" w:cs="宋体"/>
          <w:color w:val="000000"/>
          <w:kern w:val="0"/>
          <w:sz w:val="24"/>
          <w:szCs w:val="24"/>
          <w:highlight w:val="none"/>
          <w:lang w:val="en-US" w:eastAsia="zh-CN"/>
        </w:rPr>
        <w:t>电子签章</w:t>
      </w:r>
      <w:r>
        <w:rPr>
          <w:rFonts w:hint="eastAsia" w:ascii="宋体" w:hAnsi="宋体" w:eastAsia="宋体" w:cs="宋体"/>
          <w:sz w:val="24"/>
          <w:szCs w:val="24"/>
          <w:highlight w:val="none"/>
        </w:rPr>
        <w:t xml:space="preserve">）：                </w:t>
      </w:r>
    </w:p>
    <w:p w14:paraId="5F3E6AFF">
      <w:pPr>
        <w:pStyle w:val="5"/>
        <w:keepNext w:val="0"/>
        <w:keepLines w:val="0"/>
        <w:pageBreakBefore w:val="0"/>
        <w:widowControl w:val="0"/>
        <w:kinsoku/>
        <w:wordWrap/>
        <w:overflowPunct/>
        <w:topLinePunct w:val="0"/>
        <w:autoSpaceDE/>
        <w:autoSpaceDN/>
        <w:bidi w:val="0"/>
        <w:adjustRightInd/>
        <w:snapToGrid/>
        <w:spacing w:line="360" w:lineRule="auto"/>
        <w:ind w:firstLine="2400" w:firstLineChars="1000"/>
        <w:textAlignment w:val="auto"/>
        <w:rPr>
          <w:rFonts w:hint="eastAsia" w:ascii="宋体" w:hAnsi="宋体" w:eastAsia="宋体" w:cs="宋体"/>
          <w:color w:val="151515"/>
          <w:kern w:val="0"/>
          <w:sz w:val="24"/>
          <w:szCs w:val="24"/>
          <w:highlight w:val="none"/>
          <w:lang w:val="en-US" w:eastAsia="zh-CN" w:bidi="ar"/>
        </w:rPr>
      </w:pPr>
      <w:r>
        <w:rPr>
          <w:rFonts w:hint="eastAsia" w:ascii="宋体" w:hAnsi="宋体" w:eastAsia="宋体" w:cs="宋体"/>
          <w:sz w:val="24"/>
          <w:szCs w:val="24"/>
          <w:highlight w:val="none"/>
        </w:rPr>
        <w:t>日  期：</w:t>
      </w:r>
    </w:p>
    <w:p w14:paraId="3EDCE65E">
      <w:pPr>
        <w:keepNext w:val="0"/>
        <w:keepLines w:val="0"/>
        <w:pageBreakBefore w:val="0"/>
        <w:widowControl/>
        <w:kinsoku/>
        <w:wordWrap/>
        <w:overflowPunct/>
        <w:topLinePunct w:val="0"/>
        <w:autoSpaceDE/>
        <w:autoSpaceDN/>
        <w:bidi w:val="0"/>
        <w:adjustRightInd w:val="0"/>
        <w:snapToGrid w:val="0"/>
        <w:spacing w:before="120" w:beforeLines="50" w:line="360" w:lineRule="auto"/>
        <w:jc w:val="both"/>
        <w:textAlignment w:val="auto"/>
        <w:rPr>
          <w:rFonts w:hint="eastAsia" w:ascii="宋体" w:hAnsi="宋体" w:eastAsia="宋体" w:cs="宋体"/>
          <w:b/>
          <w:bCs/>
          <w:spacing w:val="6"/>
          <w:kern w:val="0"/>
          <w:sz w:val="24"/>
          <w:szCs w:val="24"/>
          <w:highlight w:val="none"/>
          <w:lang w:val="en-US" w:eastAsia="zh-CN"/>
        </w:rPr>
      </w:pPr>
      <w:r>
        <w:rPr>
          <w:rFonts w:hint="eastAsia" w:ascii="宋体" w:hAnsi="宋体" w:eastAsia="宋体" w:cs="宋体"/>
          <w:b/>
          <w:bCs/>
          <w:spacing w:val="6"/>
          <w:kern w:val="0"/>
          <w:sz w:val="24"/>
          <w:szCs w:val="24"/>
          <w:highlight w:val="none"/>
          <w:lang w:val="en-US" w:eastAsia="zh-CN"/>
        </w:rPr>
        <w:br w:type="page"/>
      </w:r>
      <w:r>
        <w:rPr>
          <w:rFonts w:hint="eastAsia" w:ascii="宋体" w:hAnsi="宋体" w:eastAsia="宋体" w:cs="宋体"/>
          <w:b/>
          <w:bCs/>
          <w:spacing w:val="6"/>
          <w:kern w:val="0"/>
          <w:sz w:val="24"/>
          <w:szCs w:val="24"/>
          <w:highlight w:val="none"/>
          <w:lang w:val="en-US" w:eastAsia="zh-CN"/>
        </w:rPr>
        <w:t xml:space="preserve">附件3 </w:t>
      </w:r>
    </w:p>
    <w:p w14:paraId="31A5E9BE">
      <w:pPr>
        <w:keepNext w:val="0"/>
        <w:keepLines w:val="0"/>
        <w:pageBreakBefore w:val="0"/>
        <w:widowControl/>
        <w:kinsoku/>
        <w:wordWrap/>
        <w:overflowPunct/>
        <w:topLinePunct w:val="0"/>
        <w:autoSpaceDE/>
        <w:autoSpaceDN/>
        <w:bidi w:val="0"/>
        <w:adjustRightInd w:val="0"/>
        <w:snapToGrid w:val="0"/>
        <w:spacing w:before="120" w:beforeLines="50" w:line="360" w:lineRule="auto"/>
        <w:jc w:val="center"/>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监狱企业证明文件</w:t>
      </w:r>
    </w:p>
    <w:p w14:paraId="3CFC8D0A">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highlight w:val="none"/>
          <w:lang w:eastAsia="zh-CN"/>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属于监狱企业的提供，不属于的无需提供此项内容</w:t>
      </w:r>
      <w:r>
        <w:rPr>
          <w:rFonts w:hint="eastAsia" w:ascii="宋体" w:hAnsi="宋体" w:eastAsia="宋体" w:cs="宋体"/>
          <w:b/>
          <w:bCs/>
          <w:sz w:val="24"/>
          <w:szCs w:val="24"/>
          <w:highlight w:val="none"/>
          <w:lang w:eastAsia="zh-CN"/>
        </w:rPr>
        <w:t>）</w:t>
      </w:r>
    </w:p>
    <w:p w14:paraId="7DEB9BC9">
      <w:pPr>
        <w:pStyle w:val="5"/>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（监狱企业参加政府采购活动时，应当提供由省级以上监狱管理局、戒毒管理局（含新疆生产建设兵团）出具的属于监狱企业的证明文件。在响应文件中提供原件扫描件。）</w:t>
      </w:r>
    </w:p>
    <w:p w14:paraId="088AD1B9">
      <w:pPr>
        <w:pStyle w:val="5"/>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p>
    <w:p w14:paraId="78E1BB42">
      <w:pPr>
        <w:keepNext w:val="0"/>
        <w:pageBreakBefore w:val="0"/>
        <w:overflowPunct/>
        <w:bidi w:val="0"/>
        <w:spacing w:line="360" w:lineRule="auto"/>
        <w:jc w:val="center"/>
        <w:outlineLvl w:val="9"/>
        <w:rPr>
          <w:rFonts w:hint="eastAsia" w:ascii="宋体" w:hAnsi="宋体" w:eastAsia="宋体" w:cs="宋体"/>
          <w:highlight w:val="none"/>
        </w:rPr>
      </w:pPr>
    </w:p>
    <w:p w14:paraId="5214B5D3">
      <w:pPr>
        <w:keepNext w:val="0"/>
        <w:pageBreakBefore w:val="0"/>
        <w:overflowPunct/>
        <w:bidi w:val="0"/>
        <w:spacing w:line="360" w:lineRule="auto"/>
        <w:rPr>
          <w:highlight w:val="none"/>
        </w:rPr>
      </w:pPr>
    </w:p>
    <w:sectPr>
      <w:footerReference r:id="rId5" w:type="default"/>
      <w:pgSz w:w="11906" w:h="16838"/>
      <w:pgMar w:top="1440" w:right="1701" w:bottom="1440" w:left="170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29F7D">
    <w:pPr>
      <w:pStyle w:val="9"/>
      <w:framePr w:w="343" w:wrap="around" w:vAnchor="text" w:hAnchor="margin" w:xAlign="center" w:y="1"/>
      <w:rPr>
        <w:rStyle w:val="34"/>
      </w:rPr>
    </w:pPr>
    <w:r>
      <w:fldChar w:fldCharType="begin"/>
    </w:r>
    <w:r>
      <w:rPr>
        <w:rStyle w:val="34"/>
      </w:rPr>
      <w:instrText xml:space="preserve">PAGE  </w:instrText>
    </w:r>
    <w:r>
      <w:fldChar w:fldCharType="separate"/>
    </w:r>
    <w:r>
      <w:rPr>
        <w:rStyle w:val="34"/>
      </w:rPr>
      <w:t>1</w:t>
    </w:r>
    <w:r>
      <w:fldChar w:fldCharType="end"/>
    </w:r>
  </w:p>
  <w:p w14:paraId="24AC192C">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75CB7"/>
    <w:rsid w:val="01313F1A"/>
    <w:rsid w:val="099866AB"/>
    <w:rsid w:val="10651D97"/>
    <w:rsid w:val="12D20E80"/>
    <w:rsid w:val="134D4BCD"/>
    <w:rsid w:val="163A1D25"/>
    <w:rsid w:val="18BC3577"/>
    <w:rsid w:val="193208B1"/>
    <w:rsid w:val="1E7E3C6A"/>
    <w:rsid w:val="1EAC38A4"/>
    <w:rsid w:val="20875CB7"/>
    <w:rsid w:val="21814F49"/>
    <w:rsid w:val="228C6309"/>
    <w:rsid w:val="25ED57D7"/>
    <w:rsid w:val="26047BD6"/>
    <w:rsid w:val="26B111EA"/>
    <w:rsid w:val="28416434"/>
    <w:rsid w:val="2C756A8C"/>
    <w:rsid w:val="2D0E4DEE"/>
    <w:rsid w:val="2D5806B3"/>
    <w:rsid w:val="3113353F"/>
    <w:rsid w:val="313E4559"/>
    <w:rsid w:val="32CD7638"/>
    <w:rsid w:val="34CE1893"/>
    <w:rsid w:val="3B23529C"/>
    <w:rsid w:val="41C67BE7"/>
    <w:rsid w:val="4570154D"/>
    <w:rsid w:val="49145453"/>
    <w:rsid w:val="49C6347D"/>
    <w:rsid w:val="4E9832D2"/>
    <w:rsid w:val="511B51C5"/>
    <w:rsid w:val="5437592C"/>
    <w:rsid w:val="55475885"/>
    <w:rsid w:val="55E87173"/>
    <w:rsid w:val="710F15BD"/>
    <w:rsid w:val="74C82F74"/>
    <w:rsid w:val="776273C5"/>
    <w:rsid w:val="7808163D"/>
    <w:rsid w:val="7A006D24"/>
    <w:rsid w:val="7DF03666"/>
    <w:rsid w:val="7FB33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宋体" w:cs="Times New Roman"/>
      <w:kern w:val="2"/>
      <w:sz w:val="24"/>
      <w:szCs w:val="22"/>
      <w:lang w:val="en-US" w:eastAsia="zh-CN" w:bidi="ar-SA"/>
    </w:rPr>
  </w:style>
  <w:style w:type="paragraph" w:styleId="3">
    <w:name w:val="heading 2"/>
    <w:basedOn w:val="1"/>
    <w:next w:val="1"/>
    <w:qFormat/>
    <w:uiPriority w:val="0"/>
    <w:pPr>
      <w:spacing w:before="260" w:after="260" w:line="416" w:lineRule="auto"/>
      <w:ind w:left="576" w:firstLine="24"/>
      <w:outlineLvl w:val="1"/>
    </w:p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lock Text"/>
    <w:basedOn w:val="1"/>
    <w:semiHidden/>
    <w:unhideWhenUsed/>
    <w:qFormat/>
    <w:uiPriority w:val="99"/>
    <w:pPr>
      <w:spacing w:after="120"/>
      <w:ind w:left="1440" w:leftChars="700" w:right="1440" w:rightChars="700"/>
    </w:pPr>
  </w:style>
  <w:style w:type="paragraph" w:styleId="4">
    <w:name w:val="annotation text"/>
    <w:basedOn w:val="1"/>
    <w:qFormat/>
    <w:uiPriority w:val="0"/>
    <w:pPr>
      <w:jc w:val="left"/>
    </w:pPr>
  </w:style>
  <w:style w:type="paragraph" w:styleId="5">
    <w:name w:val="Body Text"/>
    <w:basedOn w:val="1"/>
    <w:next w:val="1"/>
    <w:qFormat/>
    <w:uiPriority w:val="0"/>
    <w:pPr>
      <w:spacing w:after="120" w:afterLines="0" w:afterAutospacing="0"/>
    </w:pPr>
  </w:style>
  <w:style w:type="paragraph" w:styleId="6">
    <w:name w:val="Body Text Indent"/>
    <w:basedOn w:val="1"/>
    <w:next w:val="7"/>
    <w:qFormat/>
    <w:uiPriority w:val="0"/>
    <w:pPr>
      <w:ind w:left="420"/>
    </w:pPr>
    <w:rPr>
      <w:rFonts w:ascii="Times New Roman" w:hAnsi="Times New Roman" w:eastAsia="宋体" w:cs="Times New Roman"/>
      <w:sz w:val="21"/>
      <w:szCs w:val="24"/>
    </w:rPr>
  </w:style>
  <w:style w:type="paragraph" w:styleId="7">
    <w:name w:val="envelope return"/>
    <w:basedOn w:val="1"/>
    <w:qFormat/>
    <w:uiPriority w:val="0"/>
    <w:pPr>
      <w:snapToGrid w:val="0"/>
    </w:pPr>
    <w:rPr>
      <w:rFonts w:ascii="Arial" w:hAnsi="Arial"/>
    </w:rPr>
  </w:style>
  <w:style w:type="paragraph" w:styleId="8">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华文宋体" w:cs="Times New Roman"/>
      <w:kern w:val="0"/>
      <w:sz w:val="28"/>
      <w:szCs w:val="20"/>
      <w:lang w:val="en-US" w:eastAsia="zh-CN" w:bidi="ar"/>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Body Text 2"/>
    <w:basedOn w:val="1"/>
    <w:next w:val="5"/>
    <w:qFormat/>
    <w:uiPriority w:val="0"/>
    <w:pPr>
      <w:spacing w:after="120" w:afterLines="0" w:line="480" w:lineRule="auto"/>
    </w:pPr>
    <w:rPr>
      <w:rFonts w:ascii="Times New Roman" w:eastAsia="宋体"/>
    </w:rPr>
  </w:style>
  <w:style w:type="paragraph" w:styleId="14">
    <w:name w:val="Normal (Web)"/>
    <w:basedOn w:val="1"/>
    <w:unhideWhenUsed/>
    <w:qFormat/>
    <w:uiPriority w:val="99"/>
    <w:pPr>
      <w:widowControl/>
      <w:spacing w:before="100" w:beforeAutospacing="1" w:after="100" w:afterAutospacing="1" w:line="240" w:lineRule="auto"/>
      <w:jc w:val="left"/>
    </w:pPr>
    <w:rPr>
      <w:rFonts w:ascii="宋体" w:hAnsi="宋体" w:cs="宋体"/>
      <w:kern w:val="0"/>
      <w:szCs w:val="24"/>
    </w:rPr>
  </w:style>
  <w:style w:type="paragraph" w:styleId="15">
    <w:name w:val="Body Text First Indent"/>
    <w:basedOn w:val="1"/>
    <w:next w:val="16"/>
    <w:qFormat/>
    <w:uiPriority w:val="99"/>
    <w:pPr>
      <w:ind w:firstLine="420" w:firstLineChars="100"/>
    </w:pPr>
    <w:rPr>
      <w:rFonts w:ascii="Times New Roman" w:hAnsi="Times New Roman"/>
      <w:szCs w:val="24"/>
    </w:rPr>
  </w:style>
  <w:style w:type="paragraph" w:styleId="16">
    <w:name w:val="Body Text First Indent 2"/>
    <w:basedOn w:val="6"/>
    <w:next w:val="5"/>
    <w:qFormat/>
    <w:uiPriority w:val="99"/>
    <w:pPr>
      <w:ind w:firstLine="420" w:firstLineChars="200"/>
    </w:pPr>
  </w:style>
  <w:style w:type="character" w:styleId="19">
    <w:name w:val="Strong"/>
    <w:basedOn w:val="18"/>
    <w:qFormat/>
    <w:uiPriority w:val="0"/>
    <w:rPr>
      <w:b/>
      <w:bCs/>
    </w:rPr>
  </w:style>
  <w:style w:type="character" w:styleId="20">
    <w:name w:val="FollowedHyperlink"/>
    <w:basedOn w:val="18"/>
    <w:qFormat/>
    <w:uiPriority w:val="0"/>
    <w:rPr>
      <w:color w:val="800080"/>
      <w:u w:val="none"/>
    </w:rPr>
  </w:style>
  <w:style w:type="character" w:styleId="21">
    <w:name w:val="Emphasis"/>
    <w:basedOn w:val="18"/>
    <w:qFormat/>
    <w:uiPriority w:val="0"/>
    <w:rPr>
      <w:b/>
      <w:bCs/>
    </w:rPr>
  </w:style>
  <w:style w:type="character" w:styleId="22">
    <w:name w:val="HTML Definition"/>
    <w:basedOn w:val="18"/>
    <w:qFormat/>
    <w:uiPriority w:val="0"/>
  </w:style>
  <w:style w:type="character" w:styleId="23">
    <w:name w:val="HTML Typewriter"/>
    <w:basedOn w:val="18"/>
    <w:qFormat/>
    <w:uiPriority w:val="0"/>
    <w:rPr>
      <w:rFonts w:ascii="monospace" w:hAnsi="monospace" w:eastAsia="monospace" w:cs="monospace"/>
      <w:sz w:val="20"/>
    </w:rPr>
  </w:style>
  <w:style w:type="character" w:styleId="24">
    <w:name w:val="HTML Acronym"/>
    <w:basedOn w:val="18"/>
    <w:qFormat/>
    <w:uiPriority w:val="0"/>
  </w:style>
  <w:style w:type="character" w:styleId="25">
    <w:name w:val="HTML Variable"/>
    <w:basedOn w:val="18"/>
    <w:qFormat/>
    <w:uiPriority w:val="0"/>
  </w:style>
  <w:style w:type="character" w:styleId="26">
    <w:name w:val="Hyperlink"/>
    <w:basedOn w:val="18"/>
    <w:qFormat/>
    <w:uiPriority w:val="0"/>
    <w:rPr>
      <w:color w:val="0000FF"/>
      <w:u w:val="none"/>
    </w:rPr>
  </w:style>
  <w:style w:type="character" w:styleId="27">
    <w:name w:val="HTML Code"/>
    <w:basedOn w:val="18"/>
    <w:qFormat/>
    <w:uiPriority w:val="0"/>
    <w:rPr>
      <w:rFonts w:hint="default" w:ascii="monospace" w:hAnsi="monospace" w:eastAsia="monospace" w:cs="monospace"/>
      <w:sz w:val="20"/>
    </w:rPr>
  </w:style>
  <w:style w:type="character" w:styleId="28">
    <w:name w:val="HTML Cite"/>
    <w:basedOn w:val="18"/>
    <w:qFormat/>
    <w:uiPriority w:val="0"/>
  </w:style>
  <w:style w:type="character" w:styleId="29">
    <w:name w:val="HTML Keyboard"/>
    <w:basedOn w:val="18"/>
    <w:qFormat/>
    <w:uiPriority w:val="0"/>
    <w:rPr>
      <w:rFonts w:hint="default" w:ascii="monospace" w:hAnsi="monospace" w:eastAsia="monospace" w:cs="monospace"/>
      <w:sz w:val="20"/>
    </w:rPr>
  </w:style>
  <w:style w:type="character" w:styleId="30">
    <w:name w:val="HTML Sample"/>
    <w:basedOn w:val="18"/>
    <w:qFormat/>
    <w:uiPriority w:val="0"/>
    <w:rPr>
      <w:rFonts w:hint="default" w:ascii="monospace" w:hAnsi="monospace" w:eastAsia="monospace" w:cs="monospace"/>
    </w:rPr>
  </w:style>
  <w:style w:type="paragraph" w:customStyle="1" w:styleId="31">
    <w:name w:val="Table Paragraph"/>
    <w:basedOn w:val="1"/>
    <w:qFormat/>
    <w:uiPriority w:val="1"/>
    <w:pPr>
      <w:autoSpaceDE w:val="0"/>
      <w:autoSpaceDN w:val="0"/>
      <w:spacing w:line="240" w:lineRule="auto"/>
      <w:jc w:val="left"/>
    </w:pPr>
    <w:rPr>
      <w:rFonts w:ascii="宋体" w:hAnsi="宋体" w:cs="宋体"/>
      <w:kern w:val="0"/>
      <w:sz w:val="22"/>
      <w:lang w:val="zh-CN" w:bidi="zh-CN"/>
    </w:rPr>
  </w:style>
  <w:style w:type="paragraph" w:customStyle="1" w:styleId="32">
    <w:name w:val="Body Text First Indent1"/>
    <w:basedOn w:val="5"/>
    <w:qFormat/>
    <w:uiPriority w:val="0"/>
    <w:pPr>
      <w:spacing w:after="0" w:afterLines="0"/>
      <w:ind w:firstLine="420" w:firstLineChars="100"/>
    </w:pPr>
    <w:rPr>
      <w:rFonts w:ascii="等线" w:hAnsi="等线" w:eastAsia="等线"/>
    </w:rPr>
  </w:style>
  <w:style w:type="paragraph" w:customStyle="1" w:styleId="33">
    <w:name w:val="Default"/>
    <w:next w:val="1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4">
    <w:name w:val="页码1"/>
    <w:qFormat/>
    <w:uiPriority w:val="0"/>
    <w:rPr>
      <w:rFonts w:cs="Times New Roman"/>
    </w:rPr>
  </w:style>
  <w:style w:type="character" w:customStyle="1" w:styleId="35">
    <w:name w:val="hover"/>
    <w:basedOn w:val="18"/>
    <w:qFormat/>
    <w:uiPriority w:val="0"/>
    <w:rPr>
      <w:color w:val="2590EB"/>
    </w:rPr>
  </w:style>
  <w:style w:type="character" w:customStyle="1" w:styleId="36">
    <w:name w:val="hover1"/>
    <w:basedOn w:val="18"/>
    <w:qFormat/>
    <w:uiPriority w:val="0"/>
  </w:style>
  <w:style w:type="character" w:customStyle="1" w:styleId="37">
    <w:name w:val="hover2"/>
    <w:basedOn w:val="18"/>
    <w:qFormat/>
    <w:uiPriority w:val="0"/>
    <w:rPr>
      <w:color w:val="2590EB"/>
    </w:rPr>
  </w:style>
  <w:style w:type="character" w:customStyle="1" w:styleId="38">
    <w:name w:val="mini-outputtext1"/>
    <w:basedOn w:val="1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Pages>
  <Words>19298</Words>
  <Characters>20800</Characters>
  <Lines>0</Lines>
  <Paragraphs>0</Paragraphs>
  <TotalTime>1</TotalTime>
  <ScaleCrop>false</ScaleCrop>
  <LinksUpToDate>false</LinksUpToDate>
  <CharactersWithSpaces>21899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2025-02-20T07:38:00Z</dcterms:created>
  <dc:creator>Administrator</dc:creator>
  <cp:lastModifiedBy>Administrator</cp:lastModifiedBy>
  <cp:lastPrinted>2025-03-31T05:52:00Z</cp:lastPrinted>
  <dcterms:modified xsi:type="dcterms:W3CDTF">2025-09-08T06:00:19Z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E2786196CAE143E8A9D9B02F362320A7_11</vt:lpwstr>
  </property>
  <property fmtid="{D5CDD505-2E9C-101B-9397-08002B2CF9AE}" pid="4" name="KSOTemplateDocerSaveRecord">
    <vt:lpwstr>eyJoZGlkIjoiNGRkODdhMTM3OGE5OTI5ODU3OGZkZjAxMGViZmU5MGEiLCJ1c2VySWQiOiI0NDAxNTk4NzUifQ==</vt:lpwstr>
  </property>
</Properties>
</file>