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C826">
      <w:pPr>
        <w:keepNext w:val="0"/>
        <w:keepLines w:val="0"/>
        <w:pageBreakBefore w:val="0"/>
        <w:widowControl w:val="0"/>
        <w:kinsoku/>
        <w:wordWrap w:val="0"/>
        <w:overflowPunct/>
        <w:topLinePunct w:val="0"/>
        <w:autoSpaceDE w:val="0"/>
        <w:autoSpaceDN w:val="0"/>
        <w:bidi w:val="0"/>
        <w:adjustRightInd/>
        <w:snapToGrid/>
        <w:spacing w:before="268"/>
        <w:jc w:val="center"/>
        <w:textAlignment w:val="auto"/>
        <w:outlineLvl w:val="0"/>
        <w:rPr>
          <w:rFonts w:hint="default"/>
          <w:b/>
          <w:bCs w:val="0"/>
          <w:color w:val="auto"/>
          <w:sz w:val="48"/>
          <w:szCs w:val="48"/>
          <w:lang w:val="en-US" w:eastAsia="zh-CN"/>
        </w:rPr>
      </w:pPr>
      <w:bookmarkStart w:id="0" w:name="_Toc10036"/>
      <w:r>
        <w:rPr>
          <w:rFonts w:hint="eastAsia"/>
          <w:b/>
          <w:bCs w:val="0"/>
          <w:color w:val="auto"/>
          <w:sz w:val="48"/>
          <w:szCs w:val="48"/>
          <w:lang w:val="en-US" w:eastAsia="zh-CN"/>
        </w:rPr>
        <w:t>丹江口库区上游老灌河流域卢氏县水环境综合治理及生态修复项目设计服务</w:t>
      </w:r>
    </w:p>
    <w:p w14:paraId="3956490E">
      <w:pPr>
        <w:wordWrap w:val="0"/>
        <w:spacing w:before="268"/>
        <w:ind w:left="2245"/>
        <w:outlineLvl w:val="0"/>
        <w:rPr>
          <w:b w:val="0"/>
          <w:bCs/>
          <w:color w:val="auto"/>
          <w:sz w:val="72"/>
          <w:szCs w:val="21"/>
        </w:rPr>
      </w:pPr>
      <w:bookmarkStart w:id="375" w:name="_GoBack"/>
      <w:bookmarkEnd w:id="375"/>
      <w:r>
        <w:rPr>
          <w:b/>
          <w:color w:val="auto"/>
          <w:sz w:val="72"/>
          <w:szCs w:val="21"/>
        </w:rPr>
        <w:t>竞争性磋商文件</w:t>
      </w:r>
      <w:bookmarkEnd w:id="0"/>
    </w:p>
    <w:p w14:paraId="0AE54E27">
      <w:pPr>
        <w:pStyle w:val="8"/>
        <w:wordWrap w:val="0"/>
        <w:spacing w:before="6"/>
        <w:ind w:left="0"/>
        <w:jc w:val="center"/>
        <w:rPr>
          <w:rFonts w:hint="eastAsia"/>
          <w:b/>
          <w:color w:val="auto"/>
          <w:sz w:val="32"/>
          <w:szCs w:val="15"/>
          <w:lang w:val="en-US"/>
        </w:rPr>
      </w:pPr>
    </w:p>
    <w:p w14:paraId="342730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color w:val="auto"/>
          <w:sz w:val="28"/>
          <w:szCs w:val="21"/>
          <w:lang w:val="en-US" w:eastAsia="zh-CN"/>
        </w:rPr>
      </w:pPr>
    </w:p>
    <w:p w14:paraId="23C92F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ascii="微软雅黑" w:hAnsi="微软雅黑" w:eastAsia="微软雅黑" w:cs="微软雅黑"/>
          <w:color w:val="3D4B64"/>
          <w:sz w:val="21"/>
          <w:szCs w:val="21"/>
        </w:rPr>
      </w:pPr>
      <w:r>
        <w:rPr>
          <w:rFonts w:hint="eastAsia" w:ascii="宋体" w:hAnsi="宋体" w:eastAsia="宋体" w:cs="宋体"/>
          <w:b/>
          <w:color w:val="auto"/>
          <w:sz w:val="28"/>
          <w:szCs w:val="21"/>
          <w:lang w:val="en-US" w:eastAsia="zh-CN"/>
        </w:rPr>
        <w:t>项目编号：三卢竞磋采购-2025-</w:t>
      </w:r>
      <w:r>
        <w:rPr>
          <w:rFonts w:hint="eastAsia" w:cs="宋体"/>
          <w:b/>
          <w:color w:val="auto"/>
          <w:sz w:val="28"/>
          <w:szCs w:val="21"/>
          <w:lang w:val="en-US" w:eastAsia="zh-CN"/>
        </w:rPr>
        <w:t>95</w:t>
      </w:r>
      <w:r>
        <w:rPr>
          <w:rFonts w:hint="eastAsia" w:ascii="宋体" w:hAnsi="宋体" w:eastAsia="宋体" w:cs="宋体"/>
          <w:b/>
          <w:color w:val="auto"/>
          <w:sz w:val="28"/>
          <w:szCs w:val="21"/>
          <w:lang w:val="en-US" w:eastAsia="zh-CN"/>
        </w:rPr>
        <w:t>、LSGZ[2025]234-ZC160</w:t>
      </w:r>
      <w:r>
        <w:rPr>
          <w:rFonts w:hint="eastAsia" w:cs="宋体"/>
          <w:b/>
          <w:color w:val="auto"/>
          <w:sz w:val="28"/>
          <w:szCs w:val="21"/>
          <w:lang w:val="en-US" w:eastAsia="zh-CN"/>
        </w:rPr>
        <w:t xml:space="preserve"> </w:t>
      </w:r>
    </w:p>
    <w:p w14:paraId="14B3E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宋体" w:cs="宋体"/>
          <w:b/>
          <w:color w:val="FF0000"/>
          <w:sz w:val="28"/>
          <w:szCs w:val="21"/>
          <w:lang w:val="en-US" w:eastAsia="zh-CN"/>
        </w:rPr>
      </w:pPr>
    </w:p>
    <w:p w14:paraId="6B8DEF19">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rPr>
          <w:rFonts w:hint="eastAsia" w:ascii="宋体" w:hAnsi="宋体" w:eastAsia="宋体" w:cs="宋体"/>
          <w:b/>
          <w:color w:val="auto"/>
          <w:sz w:val="32"/>
          <w:lang w:eastAsia="zh-CN"/>
        </w:rPr>
      </w:pPr>
    </w:p>
    <w:p w14:paraId="65DB90B2">
      <w:pPr>
        <w:widowControl/>
        <w:shd w:val="clear" w:color="auto" w:fill="FFFFFF"/>
        <w:spacing w:line="390" w:lineRule="atLeast"/>
        <w:jc w:val="center"/>
        <w:rPr>
          <w:rFonts w:hint="eastAsia" w:ascii="微软雅黑" w:cs="微软雅黑"/>
          <w:color w:val="auto"/>
          <w:sz w:val="21"/>
          <w:szCs w:val="21"/>
          <w:lang w:bidi="ar-SA"/>
        </w:rPr>
      </w:pPr>
    </w:p>
    <w:p w14:paraId="09CD084C">
      <w:pPr>
        <w:pStyle w:val="19"/>
        <w:ind w:left="440" w:firstLine="420"/>
        <w:rPr>
          <w:rFonts w:hint="eastAsia"/>
          <w:color w:val="auto"/>
        </w:rPr>
      </w:pPr>
    </w:p>
    <w:p w14:paraId="52FA2E00">
      <w:pPr>
        <w:pStyle w:val="8"/>
        <w:wordWrap w:val="0"/>
        <w:ind w:left="0"/>
        <w:jc w:val="center"/>
        <w:rPr>
          <w:b/>
          <w:color w:val="auto"/>
          <w:sz w:val="32"/>
          <w:szCs w:val="32"/>
          <w:lang w:val="en-US"/>
        </w:rPr>
      </w:pPr>
    </w:p>
    <w:p w14:paraId="4A44052F">
      <w:pPr>
        <w:tabs>
          <w:tab w:val="left" w:pos="2090"/>
          <w:tab w:val="left" w:pos="3555"/>
          <w:tab w:val="left" w:pos="9072"/>
        </w:tabs>
        <w:wordWrap w:val="0"/>
        <w:spacing w:line="360" w:lineRule="auto"/>
        <w:ind w:right="610" w:rightChars="0"/>
        <w:jc w:val="both"/>
        <w:rPr>
          <w:b/>
          <w:color w:val="auto"/>
          <w:sz w:val="32"/>
        </w:rPr>
      </w:pPr>
    </w:p>
    <w:p w14:paraId="1A9E6D7A">
      <w:pPr>
        <w:tabs>
          <w:tab w:val="left" w:pos="2090"/>
          <w:tab w:val="left" w:pos="3555"/>
          <w:tab w:val="left" w:pos="9072"/>
        </w:tabs>
        <w:wordWrap w:val="0"/>
        <w:spacing w:line="360" w:lineRule="auto"/>
        <w:ind w:right="610" w:rightChars="0"/>
        <w:jc w:val="both"/>
        <w:rPr>
          <w:b/>
          <w:color w:val="auto"/>
          <w:sz w:val="32"/>
        </w:rPr>
      </w:pPr>
    </w:p>
    <w:p w14:paraId="6F195043">
      <w:pPr>
        <w:tabs>
          <w:tab w:val="left" w:pos="2090"/>
          <w:tab w:val="left" w:pos="3555"/>
          <w:tab w:val="left" w:pos="9072"/>
        </w:tabs>
        <w:wordWrap w:val="0"/>
        <w:spacing w:line="360" w:lineRule="auto"/>
        <w:ind w:right="610" w:rightChars="0"/>
        <w:jc w:val="both"/>
        <w:rPr>
          <w:b/>
          <w:color w:val="auto"/>
          <w:sz w:val="32"/>
        </w:rPr>
      </w:pPr>
    </w:p>
    <w:p w14:paraId="0B357025">
      <w:pPr>
        <w:tabs>
          <w:tab w:val="left" w:pos="2090"/>
          <w:tab w:val="left" w:pos="3555"/>
          <w:tab w:val="left" w:pos="9072"/>
        </w:tabs>
        <w:wordWrap w:val="0"/>
        <w:spacing w:line="360" w:lineRule="auto"/>
        <w:ind w:right="610" w:rightChars="0"/>
        <w:jc w:val="both"/>
        <w:rPr>
          <w:b/>
          <w:color w:val="auto"/>
          <w:sz w:val="32"/>
        </w:rPr>
      </w:pPr>
    </w:p>
    <w:p w14:paraId="20A914C2">
      <w:pPr>
        <w:tabs>
          <w:tab w:val="left" w:pos="2090"/>
          <w:tab w:val="left" w:pos="3555"/>
          <w:tab w:val="left" w:pos="9072"/>
        </w:tabs>
        <w:wordWrap w:val="0"/>
        <w:spacing w:line="360" w:lineRule="auto"/>
        <w:ind w:right="610" w:rightChars="0"/>
        <w:jc w:val="both"/>
        <w:rPr>
          <w:b/>
          <w:color w:val="auto"/>
          <w:sz w:val="32"/>
        </w:rPr>
      </w:pPr>
    </w:p>
    <w:p w14:paraId="3CB4E7DD">
      <w:pPr>
        <w:pStyle w:val="3"/>
        <w:outlineLvl w:val="9"/>
        <w:rPr>
          <w:color w:val="auto"/>
        </w:rPr>
      </w:pPr>
    </w:p>
    <w:p w14:paraId="100E6570">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both"/>
        <w:textAlignment w:val="auto"/>
        <w:rPr>
          <w:b/>
          <w:color w:val="auto"/>
          <w:sz w:val="32"/>
        </w:rPr>
      </w:pPr>
    </w:p>
    <w:p w14:paraId="27CFFD53">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b/>
          <w:color w:val="auto"/>
          <w:sz w:val="32"/>
        </w:rPr>
      </w:pPr>
      <w:bookmarkStart w:id="1" w:name="_Toc13937"/>
    </w:p>
    <w:p w14:paraId="1CB3CCA1">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rFonts w:hint="default" w:eastAsia="宋体"/>
          <w:b/>
          <w:color w:val="auto"/>
          <w:sz w:val="32"/>
          <w:lang w:val="en-US" w:eastAsia="zh-CN"/>
        </w:rPr>
      </w:pPr>
      <w:r>
        <w:rPr>
          <w:b/>
          <w:color w:val="auto"/>
          <w:sz w:val="32"/>
        </w:rPr>
        <w:t>采购人:</w:t>
      </w:r>
      <w:bookmarkEnd w:id="1"/>
      <w:r>
        <w:rPr>
          <w:rFonts w:hint="eastAsia"/>
          <w:b/>
          <w:color w:val="auto"/>
          <w:sz w:val="32"/>
          <w:lang w:val="en-US" w:eastAsia="zh-CN"/>
        </w:rPr>
        <w:t>卢氏县汤河乡人民政府</w:t>
      </w:r>
    </w:p>
    <w:p w14:paraId="7282A954">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rFonts w:hint="eastAsia"/>
          <w:b/>
          <w:color w:val="auto"/>
          <w:sz w:val="32"/>
          <w:lang w:eastAsia="zh-CN"/>
        </w:rPr>
      </w:pPr>
      <w:r>
        <w:rPr>
          <w:rFonts w:hint="eastAsia"/>
          <w:b/>
          <w:color w:val="auto"/>
          <w:sz w:val="32"/>
          <w:lang w:val="en-US" w:eastAsia="zh-CN"/>
        </w:rPr>
        <w:t xml:space="preserve">  </w:t>
      </w:r>
      <w:bookmarkStart w:id="2" w:name="_Toc29437"/>
      <w:r>
        <w:rPr>
          <w:b/>
          <w:color w:val="auto"/>
          <w:sz w:val="32"/>
        </w:rPr>
        <w:t>代理机构：</w:t>
      </w:r>
      <w:bookmarkEnd w:id="2"/>
      <w:r>
        <w:rPr>
          <w:rFonts w:hint="eastAsia"/>
          <w:b/>
          <w:color w:val="auto"/>
          <w:sz w:val="32"/>
          <w:lang w:eastAsia="zh-CN"/>
        </w:rPr>
        <w:t>大业信息技术（河南）有限公司</w:t>
      </w:r>
    </w:p>
    <w:p w14:paraId="50BAA7F2">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b/>
          <w:color w:val="auto"/>
          <w:sz w:val="32"/>
        </w:rPr>
      </w:pPr>
      <w:bookmarkStart w:id="3" w:name="_Toc15102"/>
      <w:r>
        <w:rPr>
          <w:rFonts w:hint="eastAsia"/>
          <w:b/>
          <w:color w:val="auto"/>
          <w:sz w:val="32"/>
          <w:lang w:eastAsia="zh-CN"/>
        </w:rPr>
        <w:t>日</w:t>
      </w:r>
      <w:r>
        <w:rPr>
          <w:b/>
          <w:color w:val="auto"/>
          <w:sz w:val="32"/>
        </w:rPr>
        <w:t>期：二</w:t>
      </w:r>
      <w:r>
        <w:rPr>
          <w:rFonts w:hint="eastAsia"/>
          <w:b/>
          <w:color w:val="auto"/>
          <w:sz w:val="32"/>
          <w:lang w:val="en-US" w:eastAsia="zh-CN"/>
        </w:rPr>
        <w:t>〇</w:t>
      </w:r>
      <w:r>
        <w:rPr>
          <w:b/>
          <w:color w:val="auto"/>
          <w:sz w:val="32"/>
        </w:rPr>
        <w:t>二</w:t>
      </w:r>
      <w:r>
        <w:rPr>
          <w:rFonts w:hint="eastAsia"/>
          <w:b/>
          <w:color w:val="auto"/>
          <w:sz w:val="32"/>
          <w:lang w:val="en-US" w:eastAsia="zh-CN"/>
        </w:rPr>
        <w:t>五</w:t>
      </w:r>
      <w:r>
        <w:rPr>
          <w:b/>
          <w:color w:val="auto"/>
          <w:sz w:val="32"/>
        </w:rPr>
        <w:t>年</w:t>
      </w:r>
      <w:r>
        <w:rPr>
          <w:rFonts w:hint="eastAsia"/>
          <w:b/>
          <w:color w:val="auto"/>
          <w:sz w:val="32"/>
          <w:lang w:val="en-US" w:eastAsia="zh-CN"/>
        </w:rPr>
        <w:t>九</w:t>
      </w:r>
      <w:r>
        <w:rPr>
          <w:b/>
          <w:color w:val="auto"/>
          <w:sz w:val="32"/>
        </w:rPr>
        <w:t>月</w:t>
      </w:r>
      <w:bookmarkEnd w:id="3"/>
    </w:p>
    <w:p w14:paraId="1C8A2B4B">
      <w:pPr>
        <w:wordWrap w:val="0"/>
        <w:spacing w:line="364" w:lineRule="auto"/>
        <w:jc w:val="center"/>
        <w:rPr>
          <w:color w:val="auto"/>
          <w:sz w:val="32"/>
        </w:rPr>
        <w:sectPr>
          <w:footerReference r:id="rId3" w:type="default"/>
          <w:pgSz w:w="11910" w:h="16840"/>
          <w:pgMar w:top="1440" w:right="1800" w:bottom="1440" w:left="1800" w:header="720" w:footer="640" w:gutter="0"/>
          <w:pgNumType w:start="1"/>
          <w:cols w:space="720" w:num="1"/>
          <w:docGrid w:linePitch="299" w:charSpace="0"/>
        </w:sectPr>
      </w:pPr>
    </w:p>
    <w:sdt>
      <w:sdtPr>
        <w:rPr>
          <w:rFonts w:ascii="宋体" w:hAnsi="宋体" w:eastAsia="宋体" w:cs="宋体"/>
          <w:color w:val="auto"/>
          <w:sz w:val="18"/>
          <w:szCs w:val="20"/>
          <w:lang w:val="zh-CN" w:eastAsia="zh-CN" w:bidi="zh-CN"/>
        </w:rPr>
        <w:id w:val="147483583"/>
        <w15:color w:val="DBDBDB"/>
        <w:docPartObj>
          <w:docPartGallery w:val="Table of Contents"/>
          <w:docPartUnique/>
        </w:docPartObj>
      </w:sdtPr>
      <w:sdtEndPr>
        <w:rPr>
          <w:rFonts w:ascii="宋体" w:hAnsi="宋体" w:eastAsia="宋体" w:cs="宋体"/>
          <w:color w:val="auto"/>
          <w:sz w:val="21"/>
          <w:szCs w:val="22"/>
          <w:lang w:val="zh-CN" w:eastAsia="zh-CN" w:bidi="zh-CN"/>
        </w:rPr>
      </w:sdtEndPr>
      <w:sdtContent>
        <w:p w14:paraId="176CB0DA">
          <w:pPr>
            <w:spacing w:before="0" w:beforeLines="0" w:after="0" w:afterLines="0" w:line="360" w:lineRule="auto"/>
            <w:ind w:left="0" w:leftChars="0" w:right="0" w:rightChars="0" w:firstLine="0" w:firstLineChars="0"/>
            <w:jc w:val="center"/>
            <w:rPr>
              <w:rFonts w:hint="eastAsia" w:ascii="宋体" w:hAnsi="宋体" w:eastAsia="宋体" w:cs="宋体"/>
              <w:color w:val="auto"/>
              <w:sz w:val="40"/>
              <w:szCs w:val="40"/>
            </w:rPr>
          </w:pPr>
          <w:bookmarkStart w:id="4" w:name="_Toc22569_WPSOffice_Level1"/>
          <w:r>
            <w:rPr>
              <w:rFonts w:hint="eastAsia" w:ascii="宋体" w:hAnsi="宋体" w:eastAsia="宋体" w:cs="宋体"/>
              <w:color w:val="auto"/>
              <w:sz w:val="36"/>
              <w:szCs w:val="40"/>
            </w:rPr>
            <w:t>目</w:t>
          </w:r>
          <w:r>
            <w:rPr>
              <w:rFonts w:hint="eastAsia" w:ascii="宋体" w:hAnsi="宋体" w:eastAsia="宋体" w:cs="宋体"/>
              <w:color w:val="auto"/>
              <w:sz w:val="36"/>
              <w:szCs w:val="40"/>
              <w:lang w:val="en-US" w:eastAsia="zh-CN"/>
            </w:rPr>
            <w:t xml:space="preserve"> </w:t>
          </w:r>
          <w:r>
            <w:rPr>
              <w:rFonts w:hint="eastAsia" w:ascii="宋体" w:hAnsi="宋体" w:eastAsia="宋体" w:cs="宋体"/>
              <w:color w:val="auto"/>
              <w:sz w:val="36"/>
              <w:szCs w:val="40"/>
            </w:rPr>
            <w:t>录</w:t>
          </w:r>
        </w:p>
        <w:p w14:paraId="4DD04977">
          <w:pPr>
            <w:pStyle w:val="35"/>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_Toc29890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48"/>
            </w:rPr>
            <w:t>第一章 竞争性磋商公告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_Toc29890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4609B10">
          <w:pPr>
            <w:pStyle w:val="35"/>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_Toc12815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44"/>
            </w:rPr>
            <w:t>第二章 供应商须知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_Toc12815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588C9CB1">
          <w:pPr>
            <w:pStyle w:val="35"/>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_Toc29960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lang w:val="en-US" w:eastAsia="zh-CN"/>
            </w:rPr>
            <w:t>第三章 服务需求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_Toc29960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3560638">
          <w:pPr>
            <w:pStyle w:val="35"/>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_Toc22448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第四章</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评审办法</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_Toc22448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5808AD63">
          <w:pPr>
            <w:pStyle w:val="35"/>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_Toc22577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第五章 合同主要条款及格式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_Toc22577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39</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8A923C8">
          <w:pPr>
            <w:pStyle w:val="35"/>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_Toc9875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第六章</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响应文件内容及格式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_Toc9875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42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42E871D">
          <w:pPr>
            <w:pStyle w:val="35"/>
            <w:tabs>
              <w:tab w:val="right" w:leader="dot" w:pos="9850"/>
            </w:tabs>
            <w:spacing w:line="360" w:lineRule="auto"/>
            <w:rPr>
              <w:rFonts w:hint="eastAsia" w:ascii="宋体" w:hAnsi="宋体" w:eastAsia="宋体" w:cs="宋体"/>
              <w:color w:val="auto"/>
              <w:sz w:val="32"/>
              <w:szCs w:val="32"/>
            </w:rPr>
          </w:pPr>
        </w:p>
        <w:p w14:paraId="406029BA">
          <w:pPr>
            <w:spacing w:line="360" w:lineRule="auto"/>
            <w:rPr>
              <w:color w:val="auto"/>
            </w:rPr>
          </w:pPr>
          <w:r>
            <w:rPr>
              <w:rFonts w:hint="eastAsia" w:ascii="宋体" w:hAnsi="宋体" w:eastAsia="宋体" w:cs="宋体"/>
              <w:color w:val="auto"/>
              <w:sz w:val="32"/>
              <w:szCs w:val="32"/>
            </w:rPr>
            <w:fldChar w:fldCharType="end"/>
          </w:r>
        </w:p>
      </w:sdtContent>
    </w:sdt>
    <w:p w14:paraId="59092311">
      <w:pPr>
        <w:rPr>
          <w:color w:val="auto"/>
        </w:rPr>
      </w:pPr>
    </w:p>
    <w:p w14:paraId="0D033DBD">
      <w:pPr>
        <w:wordWrap w:val="0"/>
        <w:rPr>
          <w:color w:val="auto"/>
        </w:rPr>
      </w:pPr>
    </w:p>
    <w:p w14:paraId="0960A2C4">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outlineLvl w:val="9"/>
        <w:rPr>
          <w:rFonts w:hint="eastAsia"/>
          <w:b/>
          <w:bCs/>
          <w:color w:val="auto"/>
          <w:sz w:val="36"/>
          <w:szCs w:val="28"/>
        </w:rPr>
        <w:sectPr>
          <w:footerReference r:id="rId4" w:type="default"/>
          <w:pgSz w:w="11910" w:h="16840"/>
          <w:pgMar w:top="1440" w:right="1080" w:bottom="1440" w:left="1080" w:header="0" w:footer="640" w:gutter="0"/>
          <w:pgNumType w:start="1"/>
          <w:cols w:space="720" w:num="1"/>
        </w:sectPr>
      </w:pPr>
      <w:bookmarkStart w:id="5" w:name="_Toc15183"/>
    </w:p>
    <w:p w14:paraId="09ACBFA4">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color w:val="auto"/>
        </w:rPr>
      </w:pPr>
      <w:bookmarkStart w:id="6" w:name="_Toc29890"/>
      <w:r>
        <w:rPr>
          <w:rFonts w:hint="eastAsia"/>
          <w:b/>
          <w:bCs/>
          <w:color w:val="auto"/>
          <w:sz w:val="36"/>
          <w:szCs w:val="28"/>
        </w:rPr>
        <w:t xml:space="preserve">第一章   </w:t>
      </w:r>
      <w:r>
        <w:rPr>
          <w:b/>
          <w:bCs/>
          <w:color w:val="auto"/>
          <w:sz w:val="36"/>
          <w:szCs w:val="28"/>
        </w:rPr>
        <w:t>竞争性磋商公告</w:t>
      </w:r>
      <w:bookmarkEnd w:id="4"/>
      <w:bookmarkEnd w:id="5"/>
      <w:bookmarkEnd w:id="6"/>
    </w:p>
    <w:p w14:paraId="757ED83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bookmarkStart w:id="7" w:name="_Hlk536538549"/>
      <w:r>
        <w:rPr>
          <w:rFonts w:hint="eastAsia" w:ascii="宋体" w:hAnsi="宋体" w:cs="宋体"/>
          <w:color w:val="auto"/>
          <w:sz w:val="28"/>
          <w:szCs w:val="28"/>
          <w:lang w:val="en-US" w:eastAsia="zh-CN"/>
        </w:rPr>
        <w:t>大业信息技术（河南）有限公司</w:t>
      </w:r>
      <w:r>
        <w:rPr>
          <w:rFonts w:hint="eastAsia" w:ascii="宋体" w:hAnsi="宋体" w:eastAsia="宋体" w:cs="宋体"/>
          <w:color w:val="auto"/>
          <w:sz w:val="28"/>
          <w:szCs w:val="28"/>
          <w:lang w:val="en-US"/>
        </w:rPr>
        <w:t>受</w:t>
      </w:r>
      <w:r>
        <w:rPr>
          <w:rFonts w:hint="eastAsia" w:ascii="宋体" w:hAnsi="宋体" w:cs="宋体"/>
          <w:color w:val="auto"/>
          <w:sz w:val="28"/>
          <w:szCs w:val="28"/>
          <w:lang w:val="en-US" w:eastAsia="zh-CN"/>
        </w:rPr>
        <w:t>卢氏县汤河乡人民政府</w:t>
      </w:r>
      <w:r>
        <w:rPr>
          <w:rFonts w:hint="eastAsia" w:ascii="宋体" w:hAnsi="宋体" w:eastAsia="宋体" w:cs="宋体"/>
          <w:color w:val="auto"/>
          <w:sz w:val="28"/>
          <w:szCs w:val="28"/>
          <w:lang w:val="en-US"/>
        </w:rPr>
        <w:t>的委托，就</w:t>
      </w:r>
      <w:r>
        <w:rPr>
          <w:rFonts w:hint="eastAsia" w:ascii="宋体" w:hAnsi="宋体" w:cs="宋体"/>
          <w:color w:val="auto"/>
          <w:sz w:val="28"/>
          <w:szCs w:val="28"/>
          <w:lang w:val="en-US" w:eastAsia="zh-CN"/>
        </w:rPr>
        <w:t>丹江口库区上游老灌河流域卢氏县水环境综合治理及生态修复项目设计服务</w:t>
      </w:r>
      <w:r>
        <w:rPr>
          <w:rFonts w:hint="eastAsia" w:ascii="宋体" w:hAnsi="宋体" w:eastAsia="宋体" w:cs="宋体"/>
          <w:color w:val="auto"/>
          <w:sz w:val="28"/>
          <w:szCs w:val="28"/>
        </w:rPr>
        <w:t>进行竞争性磋商，欢迎符合资格条件的供应商参加磋商。</w:t>
      </w:r>
    </w:p>
    <w:p w14:paraId="7F8C850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一、项目概况与</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lang w:val="en-US" w:eastAsia="zh-CN"/>
        </w:rPr>
        <w:t>范围</w:t>
      </w:r>
    </w:p>
    <w:p w14:paraId="1A9E744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cs="宋体"/>
          <w:color w:val="auto"/>
          <w:sz w:val="28"/>
          <w:szCs w:val="28"/>
          <w:lang w:val="en-US" w:eastAsia="zh-CN"/>
        </w:rPr>
      </w:pPr>
      <w:bookmarkStart w:id="8" w:name="OLE_LINK1"/>
      <w:r>
        <w:rPr>
          <w:rFonts w:hint="eastAsia" w:ascii="宋体" w:hAnsi="宋体" w:eastAsia="宋体" w:cs="宋体"/>
          <w:color w:val="auto"/>
          <w:sz w:val="28"/>
          <w:szCs w:val="28"/>
          <w:lang w:val="en-US" w:eastAsia="zh-CN"/>
        </w:rPr>
        <w:t>1、采购人：</w:t>
      </w:r>
      <w:r>
        <w:rPr>
          <w:rFonts w:hint="eastAsia" w:ascii="宋体" w:hAnsi="宋体" w:cs="宋体"/>
          <w:color w:val="auto"/>
          <w:sz w:val="28"/>
          <w:szCs w:val="28"/>
          <w:lang w:val="en-US" w:eastAsia="zh-CN"/>
        </w:rPr>
        <w:t>卢氏县汤河乡人民政府</w:t>
      </w:r>
    </w:p>
    <w:p w14:paraId="6C24624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2、项目名称：</w:t>
      </w:r>
      <w:r>
        <w:rPr>
          <w:rFonts w:hint="eastAsia" w:ascii="宋体" w:hAnsi="宋体" w:cs="宋体"/>
          <w:color w:val="auto"/>
          <w:sz w:val="28"/>
          <w:szCs w:val="28"/>
          <w:lang w:val="en-US" w:eastAsia="zh-CN"/>
        </w:rPr>
        <w:t>丹江口库区上游老灌河流域卢氏县水环境综合治理及生态修复项目设计服务</w:t>
      </w:r>
    </w:p>
    <w:p w14:paraId="5B68C39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3、项目编号：三卢竞磋采购-2025-95、LSGZ[2025]234-ZC160 </w:t>
      </w:r>
      <w:r>
        <w:rPr>
          <w:rFonts w:hint="eastAsia" w:ascii="宋体" w:hAnsi="宋体" w:cs="宋体"/>
          <w:color w:val="auto"/>
          <w:sz w:val="28"/>
          <w:szCs w:val="28"/>
          <w:lang w:val="en-US" w:eastAsia="zh-CN"/>
        </w:rPr>
        <w:t xml:space="preserve"> </w:t>
      </w:r>
    </w:p>
    <w:p w14:paraId="19DBC78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atLeas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4、项目预算金额：</w:t>
      </w:r>
      <w:r>
        <w:rPr>
          <w:rFonts w:hint="default" w:ascii="宋体" w:hAnsi="宋体" w:eastAsia="宋体" w:cs="宋体"/>
          <w:color w:val="auto"/>
          <w:sz w:val="28"/>
          <w:szCs w:val="28"/>
          <w:lang w:val="en-US" w:eastAsia="zh-CN"/>
        </w:rPr>
        <w:t>¥</w:t>
      </w:r>
      <w:r>
        <w:rPr>
          <w:rFonts w:hint="eastAsia" w:ascii="宋体" w:hAnsi="宋体" w:cs="宋体"/>
          <w:color w:val="auto"/>
          <w:sz w:val="28"/>
          <w:szCs w:val="28"/>
          <w:lang w:val="en-US" w:eastAsia="zh-CN"/>
        </w:rPr>
        <w:t>912600.00元</w:t>
      </w:r>
    </w:p>
    <w:p w14:paraId="417A96E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项目规模</w:t>
      </w:r>
      <w:r>
        <w:rPr>
          <w:rFonts w:hint="eastAsia" w:ascii="宋体" w:hAnsi="宋体" w:eastAsia="宋体" w:cs="宋体"/>
          <w:color w:val="auto"/>
          <w:sz w:val="28"/>
          <w:szCs w:val="28"/>
          <w:lang w:val="en-US" w:eastAsia="zh-CN"/>
        </w:rPr>
        <w:t>：对老灌河流域的河岸两侧进行生态步道建设，生态隔离带种植，生态护岸防护，生态湿地建设，沿线相关村庄铺设污水管网等基础设施建设。</w:t>
      </w:r>
    </w:p>
    <w:p w14:paraId="3577944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Theme="minorEastAsia" w:hAnsiTheme="minorEastAsia" w:cstheme="minorEastAsia"/>
          <w:sz w:val="28"/>
          <w:szCs w:val="28"/>
          <w:lang w:eastAsia="zh-CN"/>
        </w:rPr>
      </w:pPr>
      <w:r>
        <w:rPr>
          <w:rFonts w:hint="eastAsia" w:ascii="宋体" w:hAnsi="宋体" w:cs="宋体"/>
          <w:color w:val="auto"/>
          <w:sz w:val="28"/>
          <w:szCs w:val="28"/>
          <w:lang w:val="en-US" w:eastAsia="zh-CN"/>
        </w:rPr>
        <w:t>6、</w:t>
      </w:r>
      <w:r>
        <w:rPr>
          <w:rFonts w:hint="eastAsia" w:asciiTheme="minorEastAsia" w:hAnsiTheme="minorEastAsia" w:cstheme="minorEastAsia"/>
          <w:sz w:val="28"/>
          <w:szCs w:val="28"/>
          <w:lang w:val="en-US" w:eastAsia="zh-CN"/>
        </w:rPr>
        <w:t>服务内容：主要包含该项目的工程测绘、工程设计、工程预算等</w:t>
      </w:r>
    </w:p>
    <w:p w14:paraId="7A17819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、标段划分：本项目共分1个标段</w:t>
      </w:r>
      <w:r>
        <w:rPr>
          <w:rFonts w:hint="eastAsia" w:ascii="宋体" w:hAnsi="宋体" w:cs="宋体"/>
          <w:color w:val="auto"/>
          <w:sz w:val="28"/>
          <w:szCs w:val="28"/>
          <w:lang w:val="en-US" w:eastAsia="zh-CN"/>
        </w:rPr>
        <w:t>：</w:t>
      </w:r>
    </w:p>
    <w:p w14:paraId="3B7BE89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8、资金来源：财政资金</w:t>
      </w:r>
    </w:p>
    <w:p w14:paraId="1325A3E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9、设计周期：合同签订后10日历天完成</w:t>
      </w:r>
    </w:p>
    <w:p w14:paraId="0955AE6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10、质量要求：符合国家现行规范和标准，并满足采购人要求</w:t>
      </w:r>
    </w:p>
    <w:bookmarkEnd w:id="8"/>
    <w:p w14:paraId="3B71D2D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二、供应商资格要求</w:t>
      </w:r>
    </w:p>
    <w:bookmarkEnd w:id="7"/>
    <w:p w14:paraId="6A968CC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落实政府采购政策满足的资格要求：</w:t>
      </w:r>
      <w:bookmarkStart w:id="9" w:name="OLE_LINK5"/>
      <w:bookmarkStart w:id="10" w:name="OLE_LINK2"/>
      <w:r>
        <w:rPr>
          <w:rFonts w:hint="eastAsia" w:ascii="宋体" w:hAnsi="宋体" w:eastAsia="宋体" w:cs="宋体"/>
          <w:color w:val="auto"/>
          <w:sz w:val="28"/>
          <w:szCs w:val="28"/>
        </w:rPr>
        <w:t>根据《政府采购促进中小企业发展管理办法》（财库〔2020〕46号）规定，本项目专门面向中小企业采购；同时投标供应商须提供《中小企业声明函》。</w:t>
      </w:r>
      <w:bookmarkEnd w:id="9"/>
    </w:p>
    <w:bookmarkEnd w:id="10"/>
    <w:p w14:paraId="7F3B4AC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（二）符合《中华人民共和国政府采购法》第二十二条规定并同时具备下列条件：</w:t>
      </w:r>
    </w:p>
    <w:p w14:paraId="3359248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bookmarkStart w:id="11" w:name="OLE_LINK3"/>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en-US"/>
        </w:rPr>
        <w:t>须具有有效的营业执照、税务登记证、组织机构代码证（或有效的统一社会信用代码三证合一营业执照）</w:t>
      </w:r>
      <w:r>
        <w:rPr>
          <w:rFonts w:hint="eastAsia" w:ascii="宋体" w:hAnsi="宋体" w:eastAsia="宋体" w:cs="宋体"/>
          <w:bCs/>
          <w:color w:val="auto"/>
          <w:sz w:val="28"/>
          <w:szCs w:val="28"/>
          <w:lang w:val="en-US" w:eastAsia="zh-CN"/>
        </w:rPr>
        <w:t>或事业单位法人证书</w:t>
      </w:r>
      <w:r>
        <w:rPr>
          <w:rFonts w:hint="eastAsia" w:ascii="宋体" w:hAnsi="宋体" w:eastAsia="宋体" w:cs="宋体"/>
          <w:bCs/>
          <w:color w:val="auto"/>
          <w:sz w:val="28"/>
          <w:szCs w:val="28"/>
          <w:lang w:val="en-US"/>
        </w:rPr>
        <w:t>；</w:t>
      </w:r>
    </w:p>
    <w:p w14:paraId="5E7ABDE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、投标供应商</w:t>
      </w:r>
      <w:r>
        <w:rPr>
          <w:rFonts w:hint="eastAsia" w:ascii="宋体" w:hAnsi="宋体" w:eastAsia="宋体" w:cs="宋体"/>
          <w:bCs/>
          <w:color w:val="auto"/>
          <w:sz w:val="28"/>
          <w:szCs w:val="28"/>
          <w:lang w:val="en-US" w:eastAsia="zh-CN"/>
        </w:rPr>
        <w:t>须具有水利行业设计乙级及以</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上资质；</w:t>
      </w:r>
    </w:p>
    <w:p w14:paraId="2119936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3、投标供应商拟派项目负责人须具备</w:t>
      </w:r>
      <w:r>
        <w:rPr>
          <w:rFonts w:hint="eastAsia" w:ascii="宋体" w:hAnsi="宋体" w:cs="宋体"/>
          <w:bCs/>
          <w:color w:val="000000" w:themeColor="text1"/>
          <w:sz w:val="28"/>
          <w:szCs w:val="28"/>
          <w:highlight w:val="none"/>
          <w:lang w:val="en-US" w:eastAsia="zh-CN"/>
          <w14:textFill>
            <w14:solidFill>
              <w14:schemeClr w14:val="tx1"/>
            </w14:solidFill>
          </w14:textFill>
        </w:rPr>
        <w:t>水利水电</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专业高级</w:t>
      </w:r>
      <w:r>
        <w:rPr>
          <w:rFonts w:hint="eastAsia" w:ascii="宋体" w:hAnsi="宋体" w:cs="宋体"/>
          <w:bCs/>
          <w:color w:val="000000" w:themeColor="text1"/>
          <w:sz w:val="28"/>
          <w:szCs w:val="28"/>
          <w:highlight w:val="none"/>
          <w:lang w:val="en-US" w:eastAsia="zh-CN"/>
          <w14:textFill>
            <w14:solidFill>
              <w14:schemeClr w14:val="tx1"/>
            </w14:solidFill>
          </w14:textFill>
        </w:rPr>
        <w:t>及以上</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职称，为本单位员工且已缴纳社保（提供劳动合同</w:t>
      </w:r>
      <w:r>
        <w:rPr>
          <w:rFonts w:hint="eastAsia" w:ascii="宋体" w:hAnsi="宋体" w:cs="宋体"/>
          <w:bCs/>
          <w:color w:val="000000" w:themeColor="text1"/>
          <w:sz w:val="28"/>
          <w:szCs w:val="28"/>
          <w:highlight w:val="none"/>
          <w:lang w:val="en-US" w:eastAsia="zh-CN"/>
          <w14:textFill>
            <w14:solidFill>
              <w14:schemeClr w14:val="tx1"/>
            </w14:solidFill>
          </w14:textFill>
        </w:rPr>
        <w:t>及个人社保权益单</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p>
    <w:p w14:paraId="497A0BA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highlight w:val="none"/>
          <w:lang w:val="en-US" w:eastAsia="zh-CN"/>
        </w:rPr>
        <w:t>4、须提供企业近半年任意连续三个月依法缴纳税</w:t>
      </w:r>
      <w:r>
        <w:rPr>
          <w:rFonts w:hint="eastAsia" w:ascii="宋体" w:hAnsi="宋体" w:eastAsia="宋体" w:cs="宋体"/>
          <w:bCs/>
          <w:color w:val="auto"/>
          <w:sz w:val="28"/>
          <w:szCs w:val="28"/>
          <w:highlight w:val="none"/>
          <w:lang w:val="en-US"/>
        </w:rPr>
        <w:t>收的证明资料</w:t>
      </w:r>
      <w:r>
        <w:rPr>
          <w:rFonts w:hint="eastAsia" w:ascii="宋体" w:hAnsi="宋体" w:eastAsia="宋体" w:cs="宋体"/>
          <w:bCs/>
          <w:color w:val="auto"/>
          <w:sz w:val="28"/>
          <w:szCs w:val="28"/>
          <w:lang w:val="en-US"/>
        </w:rPr>
        <w:t>（新成立的企业从成立之日起计算）</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val="en-US"/>
        </w:rPr>
        <w:t>主要是指缴纳增值税或企业所得税或企业附加税的缴费证明，依法免税的投标响应人，应提供相应文件证明其依法免税；</w:t>
      </w:r>
    </w:p>
    <w:p w14:paraId="74CA0F6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5</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参加政府采购活动前3年内无行贿犯罪记录、商业贿赂、不正当竞争行为、骗取中标、严重违约等问题；供应商出具无行贿犯罪记录在中国裁判文书网自行查询或自行承诺（查询对象：企业、法定代表人）；</w:t>
      </w:r>
    </w:p>
    <w:p w14:paraId="4FDF7C0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6</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提供企业注册地工商管理部门出具的无商业贿赂和不正当竞争行为的查询证明（若当地工商管理部门不办理此项业务，供应商须自行出具本企业无商业贿赂和不正当竞争行为承诺书）；</w:t>
      </w:r>
    </w:p>
    <w:p w14:paraId="2247BF0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7</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p w14:paraId="660B263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cs="宋体"/>
          <w:bCs/>
          <w:color w:val="auto"/>
          <w:sz w:val="28"/>
          <w:szCs w:val="28"/>
          <w:lang w:val="en-US" w:eastAsia="zh-CN" w:bidi="ar-SA"/>
        </w:rPr>
      </w:pPr>
      <w:r>
        <w:rPr>
          <w:rFonts w:hint="eastAsia" w:ascii="宋体" w:hAnsi="宋体" w:cs="宋体"/>
          <w:bCs/>
          <w:color w:val="auto"/>
          <w:sz w:val="28"/>
          <w:szCs w:val="28"/>
          <w:lang w:val="en-US" w:eastAsia="zh-CN" w:bidi="ar-SA"/>
        </w:rPr>
        <w:t>8</w:t>
      </w:r>
      <w:r>
        <w:rPr>
          <w:rFonts w:hint="eastAsia" w:ascii="宋体" w:hAnsi="宋体" w:eastAsia="宋体" w:cs="宋体"/>
          <w:bCs/>
          <w:color w:val="auto"/>
          <w:sz w:val="28"/>
          <w:szCs w:val="28"/>
          <w:lang w:val="zh-CN" w:eastAsia="zh-CN" w:bidi="ar-SA"/>
        </w:rPr>
        <w:t>、</w:t>
      </w:r>
      <w:r>
        <w:rPr>
          <w:rFonts w:hint="eastAsia" w:ascii="宋体" w:hAnsi="宋体" w:cs="宋体"/>
          <w:bCs/>
          <w:color w:val="auto"/>
          <w:sz w:val="28"/>
          <w:szCs w:val="28"/>
          <w:lang w:val="en-US" w:eastAsia="zh-CN" w:bidi="ar-SA"/>
        </w:rPr>
        <w:t>本项目不接受联合体投标；</w:t>
      </w:r>
    </w:p>
    <w:p w14:paraId="254A6D6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rPr>
      </w:pPr>
      <w:r>
        <w:rPr>
          <w:rFonts w:hint="eastAsia" w:ascii="宋体" w:hAnsi="宋体" w:cs="宋体"/>
          <w:bCs/>
          <w:color w:val="auto"/>
          <w:sz w:val="28"/>
          <w:szCs w:val="28"/>
          <w:lang w:val="en-US" w:eastAsia="zh-CN" w:bidi="ar-SA"/>
        </w:rPr>
        <w:t>9、</w:t>
      </w:r>
      <w:r>
        <w:rPr>
          <w:rFonts w:hint="eastAsia" w:ascii="宋体" w:hAnsi="宋体" w:eastAsia="宋体" w:cs="宋体"/>
          <w:bCs/>
          <w:color w:val="auto"/>
          <w:sz w:val="28"/>
          <w:szCs w:val="28"/>
        </w:rPr>
        <w:t>本次磋商实行资格后审。</w:t>
      </w:r>
    </w:p>
    <w:bookmarkEnd w:id="11"/>
    <w:p w14:paraId="60964AE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注：</w:t>
      </w:r>
      <w:r>
        <w:rPr>
          <w:rFonts w:hint="eastAsia" w:ascii="宋体" w:hAnsi="宋体" w:eastAsia="宋体" w:cs="宋体"/>
          <w:bCs/>
          <w:color w:val="auto"/>
          <w:sz w:val="28"/>
          <w:szCs w:val="28"/>
        </w:rPr>
        <w:t>被列入失信被执行人及重大税收违法失信主体的企业做无效标处理。采购人或采购代理机构有权对供应商信用记录进行甄别和复查。</w:t>
      </w:r>
    </w:p>
    <w:p w14:paraId="3DDD1179">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三、磋商文件的获取</w:t>
      </w:r>
    </w:p>
    <w:p w14:paraId="39CAF52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bCs/>
          <w:color w:val="auto"/>
          <w:sz w:val="28"/>
          <w:szCs w:val="28"/>
          <w:lang w:val="en-US"/>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en-US" w:eastAsia="zh-CN"/>
        </w:rPr>
        <w:t>、磋商文件下载时间：2025年9月10日08时00分至2025年9月23  日09时10分</w:t>
      </w:r>
    </w:p>
    <w:p w14:paraId="0D5BAC93">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w:t>
      </w:r>
      <w:bookmarkStart w:id="12" w:name="OLE_LINK7"/>
      <w:r>
        <w:rPr>
          <w:rFonts w:hint="eastAsia" w:ascii="宋体" w:hAnsi="宋体" w:eastAsia="宋体" w:cs="宋体"/>
          <w:bCs/>
          <w:color w:val="auto"/>
          <w:sz w:val="28"/>
          <w:szCs w:val="28"/>
          <w:lang w:val="en-US" w:eastAsia="zh-CN"/>
        </w:rPr>
        <w:t>本项目没有报名环节，供应商凭CA数字证书通过</w:t>
      </w:r>
      <w:bookmarkStart w:id="13" w:name="OLE_LINK6"/>
      <w:r>
        <w:rPr>
          <w:rFonts w:hint="eastAsia" w:ascii="宋体" w:hAnsi="宋体" w:eastAsia="宋体" w:cs="宋体"/>
          <w:bCs/>
          <w:color w:val="auto"/>
          <w:sz w:val="28"/>
          <w:szCs w:val="28"/>
          <w:lang w:val="en-US" w:eastAsia="zh-CN"/>
        </w:rPr>
        <w:t>三门峡市公共资源交易中心网（网址：http://gzjy.smx.gov.cn/）</w:t>
      </w:r>
      <w:bookmarkEnd w:id="13"/>
      <w:r>
        <w:rPr>
          <w:rFonts w:hint="eastAsia" w:ascii="宋体" w:hAnsi="宋体" w:eastAsia="宋体" w:cs="宋体"/>
          <w:bCs/>
          <w:color w:val="auto"/>
          <w:sz w:val="28"/>
          <w:szCs w:val="28"/>
          <w:lang w:val="en-US" w:eastAsia="zh-CN"/>
        </w:rPr>
        <w:t>，点击交易平台选择“交易主体登录”，在所参与项目右侧点击参与投标，即可直接下载本项目磋商文件及其相关资料</w:t>
      </w:r>
      <w:bookmarkEnd w:id="12"/>
      <w:r>
        <w:rPr>
          <w:rFonts w:hint="eastAsia" w:ascii="宋体" w:hAnsi="宋体" w:eastAsia="宋体" w:cs="宋体"/>
          <w:bCs/>
          <w:color w:val="auto"/>
          <w:sz w:val="28"/>
          <w:szCs w:val="28"/>
          <w:lang w:val="en-US" w:eastAsia="zh-CN"/>
        </w:rPr>
        <w:t>；</w:t>
      </w:r>
    </w:p>
    <w:p w14:paraId="156AEDDB">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办理CA证书：</w:t>
      </w: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"http://gzjy.smx.gov.cn/bzzx/008001/20231102/4defc9b5-408e-47f2-9e9f-1f376a06ee1f.html"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color w:val="auto"/>
          <w:sz w:val="28"/>
          <w:szCs w:val="28"/>
          <w:lang w:val="en-US" w:eastAsia="zh-CN"/>
        </w:rPr>
        <w:t>http://gzjy.smx.gov.cn/bzzx/008001/20231102/4defc9b5-408e-47f2-9e9f-1f376a06ee1f.html</w:t>
      </w:r>
      <w:r>
        <w:rPr>
          <w:rFonts w:hint="eastAsia" w:ascii="宋体" w:hAnsi="宋体" w:eastAsia="宋体" w:cs="宋体"/>
          <w:bCs/>
          <w:color w:val="auto"/>
          <w:sz w:val="28"/>
          <w:szCs w:val="28"/>
          <w:lang w:val="en-US" w:eastAsia="zh-CN"/>
        </w:rPr>
        <w:fldChar w:fldCharType="end"/>
      </w:r>
    </w:p>
    <w:p w14:paraId="07DBF3B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3、本项目采用全电子化招标，不再收取竞争性磋商文件费。</w:t>
      </w:r>
    </w:p>
    <w:p w14:paraId="2074B444">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注：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28BE0928">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四、供应商资料的提交</w:t>
      </w:r>
    </w:p>
    <w:p w14:paraId="481735B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bookmarkStart w:id="14" w:name="OLE_LINK10"/>
      <w:r>
        <w:rPr>
          <w:rFonts w:hint="eastAsia" w:ascii="宋体" w:hAnsi="宋体" w:eastAsia="宋体" w:cs="宋体"/>
          <w:bCs/>
          <w:color w:val="auto"/>
          <w:sz w:val="28"/>
          <w:szCs w:val="28"/>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235BF7D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五、磋商保证金</w:t>
      </w:r>
    </w:p>
    <w:p w14:paraId="441AE312">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按照《河南省财政厅关于优化政府采购营商环境有关问题的通知》（豫财购[2019]4号文）的要求本项目不再收取磋商保证金。</w:t>
      </w:r>
    </w:p>
    <w:bookmarkEnd w:id="14"/>
    <w:p w14:paraId="0F038F97">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六、响应文件的递交截止时间及开评标地点</w:t>
      </w:r>
    </w:p>
    <w:p w14:paraId="622FCD0F">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1、响应文件递交的截止时间（开标时间）：</w:t>
      </w:r>
      <w:r>
        <w:rPr>
          <w:rFonts w:hint="eastAsia" w:ascii="宋体" w:hAnsi="宋体" w:cs="宋体"/>
          <w:bCs/>
          <w:color w:val="auto"/>
          <w:sz w:val="28"/>
          <w:szCs w:val="28"/>
          <w:lang w:val="en-US" w:eastAsia="zh-CN"/>
        </w:rPr>
        <w:t>2025年9月23日09时10分</w:t>
      </w:r>
      <w:r>
        <w:rPr>
          <w:rFonts w:hint="eastAsia" w:ascii="宋体" w:hAnsi="宋体" w:eastAsia="宋体" w:cs="宋体"/>
          <w:bCs/>
          <w:color w:val="auto"/>
          <w:sz w:val="28"/>
          <w:szCs w:val="28"/>
          <w:lang w:val="en-US" w:eastAsia="zh-CN"/>
        </w:rPr>
        <w:t>；</w:t>
      </w:r>
    </w:p>
    <w:p w14:paraId="7F9413AB">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2、开标地点：</w:t>
      </w:r>
      <w:bookmarkStart w:id="15" w:name="OLE_LINK8"/>
      <w:r>
        <w:rPr>
          <w:rFonts w:hint="eastAsia" w:ascii="宋体" w:hAnsi="宋体" w:eastAsia="宋体" w:cs="宋体"/>
          <w:bCs/>
          <w:color w:val="auto"/>
          <w:sz w:val="28"/>
          <w:szCs w:val="28"/>
          <w:lang w:val="en-US" w:eastAsia="zh-CN"/>
        </w:rPr>
        <w:t>卢氏县公共资源交易中心四楼第</w:t>
      </w:r>
      <w:r>
        <w:rPr>
          <w:rFonts w:hint="eastAsia" w:ascii="宋体" w:hAnsi="宋体" w:cs="宋体"/>
          <w:bCs/>
          <w:color w:val="auto"/>
          <w:sz w:val="28"/>
          <w:szCs w:val="28"/>
          <w:lang w:val="en-US" w:eastAsia="zh-CN"/>
        </w:rPr>
        <w:t>一</w:t>
      </w:r>
      <w:r>
        <w:rPr>
          <w:rFonts w:hint="eastAsia" w:ascii="宋体" w:hAnsi="宋体" w:eastAsia="宋体" w:cs="宋体"/>
          <w:bCs/>
          <w:color w:val="auto"/>
          <w:sz w:val="28"/>
          <w:szCs w:val="28"/>
          <w:lang w:val="en-US" w:eastAsia="zh-CN"/>
        </w:rPr>
        <w:t>开标室</w:t>
      </w:r>
      <w:bookmarkEnd w:id="15"/>
      <w:r>
        <w:rPr>
          <w:rFonts w:hint="eastAsia" w:ascii="宋体" w:hAnsi="宋体" w:eastAsia="宋体" w:cs="宋体"/>
          <w:bCs/>
          <w:color w:val="auto"/>
          <w:sz w:val="28"/>
          <w:szCs w:val="28"/>
          <w:lang w:val="en-US" w:eastAsia="zh-CN"/>
        </w:rPr>
        <w:t>；</w:t>
      </w:r>
    </w:p>
    <w:p w14:paraId="2AAC9BE5">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3、评标地点：卢氏县公共资源交易中心二楼第</w:t>
      </w:r>
      <w:r>
        <w:rPr>
          <w:rFonts w:hint="eastAsia" w:ascii="宋体" w:hAnsi="宋体" w:cs="宋体"/>
          <w:bCs/>
          <w:color w:val="auto"/>
          <w:sz w:val="28"/>
          <w:szCs w:val="28"/>
          <w:lang w:val="en-US" w:eastAsia="zh-CN"/>
        </w:rPr>
        <w:t>三</w:t>
      </w:r>
      <w:r>
        <w:rPr>
          <w:rFonts w:hint="eastAsia" w:ascii="宋体" w:hAnsi="宋体" w:eastAsia="宋体" w:cs="宋体"/>
          <w:bCs/>
          <w:color w:val="auto"/>
          <w:sz w:val="28"/>
          <w:szCs w:val="28"/>
          <w:lang w:val="en-US" w:eastAsia="zh-CN"/>
        </w:rPr>
        <w:t>评标室；</w:t>
      </w:r>
    </w:p>
    <w:p w14:paraId="1B747D8A">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七、其他事项</w:t>
      </w:r>
    </w:p>
    <w:p w14:paraId="528D9CB9">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bookmarkStart w:id="16" w:name="OLE_LINK11"/>
      <w:r>
        <w:rPr>
          <w:rFonts w:hint="eastAsia" w:ascii="宋体" w:hAnsi="宋体" w:eastAsia="宋体" w:cs="宋体"/>
          <w:bCs/>
          <w:color w:val="auto"/>
          <w:sz w:val="28"/>
          <w:szCs w:val="28"/>
          <w:lang w:val="en-US" w:eastAsia="zh-CN"/>
        </w:rPr>
        <w:t>1、响应人应仔细阅读操作手册，在本公告中要求的截止时间前完成磋商文件下载工作。因响应人操作不当问题造成的无法下载磋商文件等一切后果，由响应人自行承担。</w:t>
      </w:r>
    </w:p>
    <w:p w14:paraId="208DFE4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2、响应人递交的响应文件不论中标与否均不予退还。</w:t>
      </w:r>
    </w:p>
    <w:p w14:paraId="7A45A83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3、采购人不组织投标单位踏勘现场。</w:t>
      </w:r>
    </w:p>
    <w:bookmarkEnd w:id="16"/>
    <w:p w14:paraId="4CAB26C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八、发布公告的媒介</w:t>
      </w:r>
    </w:p>
    <w:p w14:paraId="68A14B38">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本次公告在</w:t>
      </w:r>
      <w:bookmarkStart w:id="17" w:name="OLE_LINK9"/>
      <w:r>
        <w:rPr>
          <w:rFonts w:hint="eastAsia" w:ascii="宋体" w:hAnsi="宋体" w:eastAsia="宋体" w:cs="宋体"/>
          <w:bCs/>
          <w:color w:val="auto"/>
          <w:sz w:val="28"/>
          <w:szCs w:val="28"/>
          <w:lang w:val="en-US" w:eastAsia="zh-CN"/>
        </w:rPr>
        <w:t>《中国招标投标公共服务平台》、《三门峡市公共资源交易中心网》</w:t>
      </w:r>
      <w:bookmarkEnd w:id="17"/>
      <w:r>
        <w:rPr>
          <w:rFonts w:hint="eastAsia" w:ascii="宋体" w:hAnsi="宋体" w:eastAsia="宋体" w:cs="宋体"/>
          <w:bCs/>
          <w:color w:val="auto"/>
          <w:sz w:val="28"/>
          <w:szCs w:val="28"/>
          <w:lang w:val="en-US" w:eastAsia="zh-CN"/>
        </w:rPr>
        <w:t>、《河南省政府采购网》同时发布。</w:t>
      </w:r>
    </w:p>
    <w:p w14:paraId="73B7C466">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FF0000"/>
          <w:sz w:val="28"/>
          <w:szCs w:val="28"/>
          <w:lang w:val="en-US" w:eastAsia="zh-CN"/>
        </w:rPr>
      </w:pPr>
      <w:r>
        <w:rPr>
          <w:rFonts w:hint="eastAsia" w:ascii="宋体" w:hAnsi="宋体" w:eastAsia="宋体" w:cs="宋体"/>
          <w:bCs/>
          <w:color w:val="000000" w:themeColor="text1"/>
          <w:sz w:val="28"/>
          <w:szCs w:val="28"/>
          <w:lang w:val="en-US" w:eastAsia="zh-CN"/>
          <w14:textFill>
            <w14:solidFill>
              <w14:schemeClr w14:val="tx1"/>
            </w14:solidFill>
          </w14:textFill>
        </w:rPr>
        <w:t>九、联系方式</w:t>
      </w:r>
    </w:p>
    <w:p w14:paraId="1702719A">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bookmarkStart w:id="18" w:name="_Toc19177"/>
      <w:r>
        <w:rPr>
          <w:rFonts w:hint="eastAsia" w:ascii="宋体" w:hAnsi="宋体" w:eastAsia="宋体" w:cs="宋体"/>
          <w:bCs/>
          <w:color w:val="auto"/>
          <w:sz w:val="28"/>
          <w:szCs w:val="28"/>
          <w:lang w:val="en-US" w:eastAsia="zh-CN" w:bidi="ar-SA"/>
        </w:rPr>
        <w:t>监督单位：卢氏县政府采购办公室</w:t>
      </w:r>
    </w:p>
    <w:p w14:paraId="7939BDAE">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联系人：郭伟静</w:t>
      </w:r>
    </w:p>
    <w:p w14:paraId="05C9FE9D">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电话：0398-7863556</w:t>
      </w:r>
    </w:p>
    <w:p w14:paraId="4DDA0B1F">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地址：卢氏县城关镇解放路中段</w:t>
      </w:r>
    </w:p>
    <w:p w14:paraId="031E19C6">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 xml:space="preserve">监督单位：卢氏县水利局 </w:t>
      </w:r>
    </w:p>
    <w:p w14:paraId="2943854E">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 肖琰</w:t>
      </w:r>
    </w:p>
    <w:p w14:paraId="1E476ED3">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电话： 15639871977</w:t>
      </w:r>
      <w:r>
        <w:rPr>
          <w:rFonts w:hint="eastAsia" w:cs="宋体"/>
          <w:bCs/>
          <w:color w:val="auto"/>
          <w:sz w:val="28"/>
          <w:szCs w:val="28"/>
          <w:lang w:val="en-US" w:eastAsia="zh-CN" w:bidi="ar-SA"/>
        </w:rPr>
        <w:t>、0398-2157726</w:t>
      </w:r>
    </w:p>
    <w:p w14:paraId="61771F5F">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 xml:space="preserve">地址：卢氏县中兴路中段 </w:t>
      </w:r>
    </w:p>
    <w:p w14:paraId="5C9F70EA">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cs="宋体"/>
          <w:bCs/>
          <w:color w:val="auto"/>
          <w:sz w:val="28"/>
          <w:szCs w:val="28"/>
          <w:lang w:val="en-US" w:eastAsia="zh-CN" w:bidi="ar-SA"/>
        </w:rPr>
        <w:t>采购人</w:t>
      </w:r>
      <w:r>
        <w:rPr>
          <w:rFonts w:hint="eastAsia" w:ascii="宋体" w:hAnsi="宋体" w:eastAsia="宋体" w:cs="宋体"/>
          <w:bCs/>
          <w:color w:val="auto"/>
          <w:sz w:val="28"/>
          <w:szCs w:val="28"/>
          <w:lang w:val="en-US" w:eastAsia="zh-CN" w:bidi="ar-SA"/>
        </w:rPr>
        <w:t>：</w:t>
      </w:r>
      <w:r>
        <w:rPr>
          <w:rFonts w:hint="eastAsia" w:cs="宋体"/>
          <w:bCs/>
          <w:color w:val="auto"/>
          <w:sz w:val="28"/>
          <w:szCs w:val="28"/>
          <w:lang w:val="en-US" w:eastAsia="zh-CN" w:bidi="ar-SA"/>
        </w:rPr>
        <w:t>卢氏县汤河乡人民政府</w:t>
      </w:r>
    </w:p>
    <w:p w14:paraId="5362976B">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 xml:space="preserve">联系人：雷迎鑫 </w:t>
      </w:r>
      <w:r>
        <w:rPr>
          <w:rFonts w:hint="eastAsia" w:cs="宋体"/>
          <w:bCs/>
          <w:color w:val="auto"/>
          <w:sz w:val="28"/>
          <w:szCs w:val="28"/>
          <w:lang w:val="en-US" w:eastAsia="zh-CN" w:bidi="ar-SA"/>
        </w:rPr>
        <w:t xml:space="preserve">  </w:t>
      </w:r>
    </w:p>
    <w:p w14:paraId="5F1489E3">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cs="宋体"/>
          <w:bCs/>
          <w:color w:val="auto"/>
          <w:sz w:val="28"/>
          <w:szCs w:val="28"/>
          <w:lang w:val="en-US" w:eastAsia="zh-CN" w:bidi="ar-SA"/>
        </w:rPr>
        <w:t>电话：18639896659</w:t>
      </w:r>
    </w:p>
    <w:p w14:paraId="7C434150">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 xml:space="preserve">地址：卢氏县汤河乡汤河街 </w:t>
      </w:r>
    </w:p>
    <w:p w14:paraId="4252D9C8">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代理机构：</w:t>
      </w:r>
      <w:r>
        <w:rPr>
          <w:rFonts w:hint="eastAsia" w:cs="宋体"/>
          <w:bCs/>
          <w:color w:val="auto"/>
          <w:sz w:val="28"/>
          <w:szCs w:val="28"/>
          <w:lang w:val="en-US" w:eastAsia="zh-CN" w:bidi="ar-SA"/>
        </w:rPr>
        <w:t>大业信息技术（河南）有限公司</w:t>
      </w:r>
    </w:p>
    <w:p w14:paraId="373A32D6">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w:t>
      </w:r>
      <w:r>
        <w:rPr>
          <w:rFonts w:hint="eastAsia" w:cs="宋体"/>
          <w:bCs/>
          <w:color w:val="auto"/>
          <w:sz w:val="28"/>
          <w:szCs w:val="28"/>
          <w:lang w:val="en-US" w:eastAsia="zh-CN" w:bidi="ar-SA"/>
        </w:rPr>
        <w:t>杨丽</w:t>
      </w:r>
    </w:p>
    <w:p w14:paraId="2C666650">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电话：</w:t>
      </w:r>
      <w:r>
        <w:rPr>
          <w:rFonts w:hint="eastAsia" w:cs="宋体"/>
          <w:bCs/>
          <w:color w:val="auto"/>
          <w:sz w:val="28"/>
          <w:szCs w:val="28"/>
          <w:lang w:val="en-US" w:eastAsia="zh-CN" w:bidi="ar-SA"/>
        </w:rPr>
        <w:t xml:space="preserve">17838130919、13820980398 </w:t>
      </w:r>
    </w:p>
    <w:p w14:paraId="2428043D">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地址：河南省郑州市管城回族区紫荆山路63号9层911号</w:t>
      </w:r>
    </w:p>
    <w:p w14:paraId="309DD217">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b/>
          <w:color w:val="auto"/>
        </w:rPr>
      </w:pPr>
      <w:r>
        <w:rPr>
          <w:b/>
          <w:color w:val="auto"/>
          <w:sz w:val="32"/>
        </w:rPr>
        <w:br w:type="page"/>
      </w:r>
      <w:bookmarkStart w:id="19" w:name="_Toc12815"/>
      <w:r>
        <w:rPr>
          <w:rFonts w:hint="eastAsia" w:ascii="宋体" w:hAnsi="宋体" w:eastAsia="宋体" w:cs="宋体"/>
          <w:b/>
          <w:bCs/>
          <w:color w:val="auto"/>
          <w:sz w:val="36"/>
          <w:szCs w:val="28"/>
        </w:rPr>
        <w:t>第二章 供应商须知</w:t>
      </w:r>
      <w:bookmarkEnd w:id="18"/>
      <w:bookmarkEnd w:id="19"/>
    </w:p>
    <w:p w14:paraId="39C32097">
      <w:pPr>
        <w:pStyle w:val="5"/>
        <w:spacing w:before="244"/>
        <w:ind w:left="320"/>
        <w:jc w:val="center"/>
        <w:rPr>
          <w:color w:val="auto"/>
        </w:rPr>
      </w:pPr>
      <w:r>
        <w:rPr>
          <w:color w:val="auto"/>
        </w:rPr>
        <w:t>供应商须知前附表</w:t>
      </w:r>
    </w:p>
    <w:tbl>
      <w:tblPr>
        <w:tblStyle w:val="20"/>
        <w:tblpPr w:leftFromText="180" w:rightFromText="180" w:vertAnchor="text" w:horzAnchor="page" w:tblpX="1489" w:tblpY="44"/>
        <w:tblOverlap w:val="never"/>
        <w:tblW w:w="9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2359"/>
        <w:gridCol w:w="5861"/>
      </w:tblGrid>
      <w:tr w14:paraId="1CDED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85" w:type="dxa"/>
            <w:vAlign w:val="center"/>
          </w:tcPr>
          <w:p w14:paraId="46EF57E9">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条款号</w:t>
            </w:r>
          </w:p>
        </w:tc>
        <w:tc>
          <w:tcPr>
            <w:tcW w:w="2359" w:type="dxa"/>
            <w:vAlign w:val="center"/>
          </w:tcPr>
          <w:p w14:paraId="06A7B06D">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条款名称</w:t>
            </w:r>
          </w:p>
        </w:tc>
        <w:tc>
          <w:tcPr>
            <w:tcW w:w="5861" w:type="dxa"/>
            <w:vAlign w:val="top"/>
          </w:tcPr>
          <w:p w14:paraId="325C8672">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编列内容</w:t>
            </w:r>
          </w:p>
        </w:tc>
      </w:tr>
      <w:tr w14:paraId="299F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885" w:type="dxa"/>
            <w:vAlign w:val="center"/>
          </w:tcPr>
          <w:p w14:paraId="637B3F13">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w:t>
            </w:r>
          </w:p>
        </w:tc>
        <w:tc>
          <w:tcPr>
            <w:tcW w:w="2359" w:type="dxa"/>
            <w:vAlign w:val="center"/>
          </w:tcPr>
          <w:p w14:paraId="765AE7B5">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采购人</w:t>
            </w:r>
          </w:p>
        </w:tc>
        <w:tc>
          <w:tcPr>
            <w:tcW w:w="5861" w:type="dxa"/>
            <w:vAlign w:val="center"/>
          </w:tcPr>
          <w:p w14:paraId="4ECA1814">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采购人：卢氏县汤河乡人民政府</w:t>
            </w:r>
          </w:p>
          <w:p w14:paraId="2FDB7DA8">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 xml:space="preserve">联系人：雷迎鑫   </w:t>
            </w:r>
          </w:p>
          <w:p w14:paraId="5750619D">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电话：18639896659</w:t>
            </w:r>
          </w:p>
          <w:p w14:paraId="038BD08A">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 xml:space="preserve">地址：卢氏县汤河乡汤河街 </w:t>
            </w:r>
          </w:p>
        </w:tc>
      </w:tr>
      <w:tr w14:paraId="3BA97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885" w:type="dxa"/>
            <w:vAlign w:val="center"/>
          </w:tcPr>
          <w:p w14:paraId="4C4E02AF">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w:t>
            </w:r>
          </w:p>
        </w:tc>
        <w:tc>
          <w:tcPr>
            <w:tcW w:w="2359" w:type="dxa"/>
            <w:vAlign w:val="center"/>
          </w:tcPr>
          <w:p w14:paraId="4DA8F2AF">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代理机构</w:t>
            </w:r>
          </w:p>
        </w:tc>
        <w:tc>
          <w:tcPr>
            <w:tcW w:w="5861" w:type="dxa"/>
            <w:vAlign w:val="top"/>
          </w:tcPr>
          <w:p w14:paraId="7FE9E2C7">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代理机构：大业信息技术（河南）有限公司</w:t>
            </w:r>
          </w:p>
          <w:p w14:paraId="5D15BF14">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联系人：杨丽</w:t>
            </w:r>
          </w:p>
          <w:p w14:paraId="47620568">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 xml:space="preserve">电话：17838130919、13820980398 </w:t>
            </w:r>
          </w:p>
          <w:p w14:paraId="6227B5CD">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地址：河南省郑州市管城回族区紫荆山路63号9层911号</w:t>
            </w:r>
          </w:p>
        </w:tc>
      </w:tr>
      <w:tr w14:paraId="7D833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85" w:type="dxa"/>
            <w:vAlign w:val="center"/>
          </w:tcPr>
          <w:p w14:paraId="6D08D324">
            <w:pPr>
              <w:pStyle w:val="36"/>
              <w:keepNext w:val="0"/>
              <w:keepLines w:val="0"/>
              <w:pageBreakBefore w:val="0"/>
              <w:widowControl w:val="0"/>
              <w:kinsoku/>
              <w:wordWrap w:val="0"/>
              <w:overflowPunct/>
              <w:topLinePunct w:val="0"/>
              <w:bidi w:val="0"/>
              <w:snapToGrid/>
              <w:spacing w:line="520" w:lineRule="exact"/>
              <w:ind w:left="0" w:right="0" w:firstLine="240" w:firstLineChars="10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w:t>
            </w:r>
          </w:p>
        </w:tc>
        <w:tc>
          <w:tcPr>
            <w:tcW w:w="2359" w:type="dxa"/>
            <w:vAlign w:val="center"/>
          </w:tcPr>
          <w:p w14:paraId="32571357">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项目名称</w:t>
            </w:r>
          </w:p>
        </w:tc>
        <w:tc>
          <w:tcPr>
            <w:tcW w:w="5861" w:type="dxa"/>
            <w:vAlign w:val="center"/>
          </w:tcPr>
          <w:p w14:paraId="353F51A6">
            <w:pPr>
              <w:pStyle w:val="8"/>
              <w:keepNext w:val="0"/>
              <w:keepLines w:val="0"/>
              <w:pageBreakBefore w:val="0"/>
              <w:widowControl w:val="0"/>
              <w:kinsoku/>
              <w:wordWrap w:val="0"/>
              <w:overflowPunct/>
              <w:topLinePunct w:val="0"/>
              <w:autoSpaceDE w:val="0"/>
              <w:autoSpaceDN w:val="0"/>
              <w:bidi w:val="0"/>
              <w:adjustRightInd/>
              <w:snapToGrid/>
              <w:spacing w:line="520" w:lineRule="exact"/>
              <w:ind w:left="0" w:leftChars="0" w:right="0" w:firstLine="0" w:firstLineChars="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丹江口库区上游老灌河流域卢氏县水环境综合治理及生态修复项目设计服务</w:t>
            </w:r>
          </w:p>
        </w:tc>
      </w:tr>
      <w:tr w14:paraId="187E0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85" w:type="dxa"/>
            <w:vAlign w:val="center"/>
          </w:tcPr>
          <w:p w14:paraId="23655961">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w:t>
            </w:r>
          </w:p>
        </w:tc>
        <w:tc>
          <w:tcPr>
            <w:tcW w:w="2359" w:type="dxa"/>
            <w:vAlign w:val="center"/>
          </w:tcPr>
          <w:p w14:paraId="775B83B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预算金额</w:t>
            </w:r>
          </w:p>
        </w:tc>
        <w:tc>
          <w:tcPr>
            <w:tcW w:w="5861" w:type="dxa"/>
            <w:vAlign w:val="center"/>
          </w:tcPr>
          <w:p w14:paraId="31D49F20">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912600.00元</w:t>
            </w:r>
          </w:p>
        </w:tc>
      </w:tr>
      <w:tr w14:paraId="5294A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885" w:type="dxa"/>
            <w:vAlign w:val="center"/>
          </w:tcPr>
          <w:p w14:paraId="4EC4E2A3">
            <w:pPr>
              <w:pStyle w:val="36"/>
              <w:keepNext w:val="0"/>
              <w:keepLines w:val="0"/>
              <w:pageBreakBefore w:val="0"/>
              <w:widowControl w:val="0"/>
              <w:kinsoku/>
              <w:wordWrap w:val="0"/>
              <w:overflowPunct/>
              <w:topLinePunct w:val="0"/>
              <w:bidi w:val="0"/>
              <w:snapToGrid/>
              <w:spacing w:line="520" w:lineRule="exact"/>
              <w:ind w:left="0" w:right="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1.5</w:t>
            </w:r>
            <w:r>
              <w:rPr>
                <w:rFonts w:hint="eastAsia" w:asciiTheme="majorEastAsia" w:hAnsiTheme="majorEastAsia" w:eastAsiaTheme="majorEastAsia" w:cstheme="majorEastAsia"/>
                <w:color w:val="auto"/>
                <w:sz w:val="24"/>
                <w:szCs w:val="24"/>
                <w:lang w:val="en-US" w:eastAsia="zh-CN"/>
              </w:rPr>
              <w:t xml:space="preserve">  </w:t>
            </w:r>
          </w:p>
        </w:tc>
        <w:tc>
          <w:tcPr>
            <w:tcW w:w="2359" w:type="dxa"/>
            <w:vAlign w:val="center"/>
          </w:tcPr>
          <w:p w14:paraId="7B4D7D47">
            <w:pPr>
              <w:pStyle w:val="36"/>
              <w:keepNext w:val="0"/>
              <w:keepLines w:val="0"/>
              <w:pageBreakBefore w:val="0"/>
              <w:widowControl w:val="0"/>
              <w:kinsoku/>
              <w:wordWrap w:val="0"/>
              <w:overflowPunct/>
              <w:topLinePunct w:val="0"/>
              <w:autoSpaceDE w:val="0"/>
              <w:autoSpaceDN w:val="0"/>
              <w:bidi w:val="0"/>
              <w:adjustRightInd/>
              <w:snapToGrid/>
              <w:spacing w:line="520" w:lineRule="exact"/>
              <w:ind w:left="363" w:right="0" w:hanging="363"/>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资金来源及落实情况</w:t>
            </w:r>
          </w:p>
        </w:tc>
        <w:tc>
          <w:tcPr>
            <w:tcW w:w="5861" w:type="dxa"/>
            <w:vAlign w:val="center"/>
          </w:tcPr>
          <w:p w14:paraId="17174B96">
            <w:pPr>
              <w:pStyle w:val="36"/>
              <w:keepNext w:val="0"/>
              <w:keepLines w:val="0"/>
              <w:pageBreakBefore w:val="0"/>
              <w:widowControl w:val="0"/>
              <w:kinsoku/>
              <w:wordWrap w:val="0"/>
              <w:overflowPunct/>
              <w:topLinePunct w:val="0"/>
              <w:autoSpaceDE w:val="0"/>
              <w:autoSpaceDN w:val="0"/>
              <w:bidi w:val="0"/>
              <w:adjustRightInd/>
              <w:snapToGrid/>
              <w:spacing w:line="520" w:lineRule="exact"/>
              <w:ind w:left="0" w:right="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财政</w:t>
            </w:r>
            <w:r>
              <w:rPr>
                <w:rFonts w:hint="eastAsia" w:asciiTheme="majorEastAsia" w:hAnsiTheme="majorEastAsia" w:eastAsiaTheme="majorEastAsia" w:cstheme="majorEastAsia"/>
                <w:color w:val="auto"/>
                <w:sz w:val="24"/>
                <w:szCs w:val="24"/>
              </w:rPr>
              <w:t>资金，已落实</w:t>
            </w:r>
          </w:p>
        </w:tc>
      </w:tr>
      <w:tr w14:paraId="6B50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85" w:type="dxa"/>
            <w:vAlign w:val="center"/>
          </w:tcPr>
          <w:p w14:paraId="5BC601BB">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1.6</w:t>
            </w:r>
          </w:p>
        </w:tc>
        <w:tc>
          <w:tcPr>
            <w:tcW w:w="2359" w:type="dxa"/>
            <w:vAlign w:val="center"/>
          </w:tcPr>
          <w:p w14:paraId="72462AFD">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项目规模</w:t>
            </w:r>
          </w:p>
        </w:tc>
        <w:tc>
          <w:tcPr>
            <w:tcW w:w="5861" w:type="dxa"/>
            <w:vAlign w:val="center"/>
          </w:tcPr>
          <w:p w14:paraId="45953F5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对老灌河流域的河岸两侧进行生态步道建设，生态隔离带种植，生态护岸防护，生态湿地建设，沿线相关村庄铺设污水管网等基础设施建设。</w:t>
            </w:r>
          </w:p>
        </w:tc>
      </w:tr>
      <w:tr w14:paraId="214DA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85" w:type="dxa"/>
            <w:vAlign w:val="center"/>
          </w:tcPr>
          <w:p w14:paraId="5ABE6E05">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1.7</w:t>
            </w:r>
          </w:p>
        </w:tc>
        <w:tc>
          <w:tcPr>
            <w:tcW w:w="2359" w:type="dxa"/>
            <w:vAlign w:val="center"/>
          </w:tcPr>
          <w:p w14:paraId="6128C129">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服务内容</w:t>
            </w:r>
          </w:p>
        </w:tc>
        <w:tc>
          <w:tcPr>
            <w:tcW w:w="5861" w:type="dxa"/>
            <w:vAlign w:val="center"/>
          </w:tcPr>
          <w:p w14:paraId="21BF206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主要包含该项目的工程测绘、工程设计、工程预算等</w:t>
            </w:r>
          </w:p>
        </w:tc>
      </w:tr>
      <w:tr w14:paraId="000E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85" w:type="dxa"/>
            <w:vAlign w:val="center"/>
          </w:tcPr>
          <w:p w14:paraId="046C6523">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1.8</w:t>
            </w:r>
          </w:p>
        </w:tc>
        <w:tc>
          <w:tcPr>
            <w:tcW w:w="2359" w:type="dxa"/>
            <w:vAlign w:val="center"/>
          </w:tcPr>
          <w:p w14:paraId="689D048D">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zh-CN" w:eastAsia="zh-CN" w:bidi="ar-SA"/>
              </w:rPr>
            </w:pPr>
            <w:r>
              <w:rPr>
                <w:rFonts w:hint="eastAsia" w:asciiTheme="majorEastAsia" w:hAnsiTheme="majorEastAsia" w:eastAsiaTheme="majorEastAsia" w:cstheme="majorEastAsia"/>
                <w:color w:val="auto"/>
                <w:sz w:val="24"/>
                <w:szCs w:val="24"/>
                <w:lang w:val="en-US" w:eastAsia="zh-CN" w:bidi="ar-SA"/>
              </w:rPr>
              <w:t>设计周期</w:t>
            </w:r>
          </w:p>
        </w:tc>
        <w:tc>
          <w:tcPr>
            <w:tcW w:w="5861" w:type="dxa"/>
            <w:vAlign w:val="center"/>
          </w:tcPr>
          <w:p w14:paraId="37DE5EC5">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lang w:val="en-US" w:eastAsia="zh-CN" w:bidi="ar-SA"/>
              </w:rPr>
            </w:pPr>
            <w:r>
              <w:rPr>
                <w:rFonts w:hint="eastAsia" w:asciiTheme="majorEastAsia" w:hAnsiTheme="majorEastAsia" w:eastAsiaTheme="majorEastAsia" w:cstheme="majorEastAsia"/>
                <w:color w:val="auto"/>
                <w:sz w:val="24"/>
                <w:szCs w:val="24"/>
                <w:lang w:val="en-US" w:eastAsia="zh-CN" w:bidi="ar-SA"/>
              </w:rPr>
              <w:t>合同签订后10日历天完成</w:t>
            </w:r>
          </w:p>
        </w:tc>
      </w:tr>
      <w:tr w14:paraId="6CFEE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85" w:type="dxa"/>
            <w:vAlign w:val="center"/>
          </w:tcPr>
          <w:p w14:paraId="2E911155">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1.9</w:t>
            </w:r>
          </w:p>
        </w:tc>
        <w:tc>
          <w:tcPr>
            <w:tcW w:w="2359" w:type="dxa"/>
            <w:vAlign w:val="center"/>
          </w:tcPr>
          <w:p w14:paraId="0B4EC19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质量要求</w:t>
            </w:r>
          </w:p>
        </w:tc>
        <w:tc>
          <w:tcPr>
            <w:tcW w:w="5861" w:type="dxa"/>
            <w:vAlign w:val="center"/>
          </w:tcPr>
          <w:p w14:paraId="286570E9">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rPr>
              <w:t>符合国家现行规范和标准，并满足采购人要求；</w:t>
            </w:r>
          </w:p>
        </w:tc>
      </w:tr>
      <w:tr w14:paraId="169DD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85" w:type="dxa"/>
            <w:vAlign w:val="center"/>
          </w:tcPr>
          <w:p w14:paraId="78F855F3">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p>
          <w:p w14:paraId="0B9F698E">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w:t>
            </w:r>
          </w:p>
        </w:tc>
        <w:tc>
          <w:tcPr>
            <w:tcW w:w="2359" w:type="dxa"/>
            <w:vAlign w:val="center"/>
          </w:tcPr>
          <w:p w14:paraId="1099FFE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供应商资格要求</w:t>
            </w:r>
          </w:p>
        </w:tc>
        <w:tc>
          <w:tcPr>
            <w:tcW w:w="5861" w:type="dxa"/>
            <w:vAlign w:val="top"/>
          </w:tcPr>
          <w:p w14:paraId="7B486B03">
            <w:pPr>
              <w:pStyle w:val="8"/>
              <w:keepNext w:val="0"/>
              <w:keepLines w:val="0"/>
              <w:pageBreakBefore w:val="0"/>
              <w:widowControl w:val="0"/>
              <w:numPr>
                <w:ilvl w:val="0"/>
                <w:numId w:val="0"/>
              </w:numPr>
              <w:kinsoku/>
              <w:wordWrap w:val="0"/>
              <w:overflowPunct/>
              <w:topLinePunct w:val="0"/>
              <w:autoSpaceDE w:val="0"/>
              <w:autoSpaceDN w:val="0"/>
              <w:bidi w:val="0"/>
              <w:snapToGrid/>
              <w:spacing w:line="520" w:lineRule="exact"/>
              <w:ind w:left="0" w:right="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详见竞争性磋商公告</w:t>
            </w:r>
          </w:p>
        </w:tc>
      </w:tr>
      <w:tr w14:paraId="43E6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885" w:type="dxa"/>
            <w:vAlign w:val="center"/>
          </w:tcPr>
          <w:p w14:paraId="55CB22AD">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2.1</w:t>
            </w:r>
          </w:p>
        </w:tc>
        <w:tc>
          <w:tcPr>
            <w:tcW w:w="2359" w:type="dxa"/>
            <w:vAlign w:val="center"/>
          </w:tcPr>
          <w:p w14:paraId="2AEBAA5B">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磋商响应供应商提出问题的</w:t>
            </w:r>
          </w:p>
          <w:p w14:paraId="67C94810">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截止时间</w:t>
            </w:r>
          </w:p>
        </w:tc>
        <w:tc>
          <w:tcPr>
            <w:tcW w:w="5861" w:type="dxa"/>
            <w:vAlign w:val="center"/>
          </w:tcPr>
          <w:p w14:paraId="67054F10">
            <w:pPr>
              <w:pStyle w:val="36"/>
              <w:keepNext w:val="0"/>
              <w:keepLines w:val="0"/>
              <w:pageBreakBefore w:val="0"/>
              <w:widowControl w:val="0"/>
              <w:kinsoku/>
              <w:wordWrap w:val="0"/>
              <w:overflowPunct/>
              <w:topLinePunct w:val="0"/>
              <w:bidi w:val="0"/>
              <w:snapToGrid/>
              <w:spacing w:line="520" w:lineRule="exact"/>
              <w:ind w:left="0" w:right="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递交磋商响应文件截止之日</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日前</w:t>
            </w:r>
          </w:p>
        </w:tc>
      </w:tr>
      <w:tr w14:paraId="4FE03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85" w:type="dxa"/>
            <w:vAlign w:val="center"/>
          </w:tcPr>
          <w:p w14:paraId="69FCF968">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p>
          <w:p w14:paraId="4CEFF025">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rPr>
              <w:t>2.2</w:t>
            </w:r>
          </w:p>
        </w:tc>
        <w:tc>
          <w:tcPr>
            <w:tcW w:w="2359" w:type="dxa"/>
            <w:vAlign w:val="center"/>
          </w:tcPr>
          <w:p w14:paraId="239AC117">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采购人书面澄清的时间</w:t>
            </w:r>
          </w:p>
        </w:tc>
        <w:tc>
          <w:tcPr>
            <w:tcW w:w="5861" w:type="dxa"/>
            <w:vAlign w:val="center"/>
          </w:tcPr>
          <w:p w14:paraId="56B1BF98">
            <w:pPr>
              <w:pStyle w:val="36"/>
              <w:keepNext w:val="0"/>
              <w:keepLines w:val="0"/>
              <w:pageBreakBefore w:val="0"/>
              <w:widowControl w:val="0"/>
              <w:kinsoku/>
              <w:wordWrap w:val="0"/>
              <w:overflowPunct/>
              <w:topLinePunct w:val="0"/>
              <w:bidi w:val="0"/>
              <w:snapToGrid/>
              <w:spacing w:line="520" w:lineRule="exact"/>
              <w:ind w:left="0" w:right="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递交磋商响应文件截止之日</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日前</w:t>
            </w:r>
          </w:p>
        </w:tc>
      </w:tr>
      <w:tr w14:paraId="0582F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398E1BF7">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p>
          <w:p w14:paraId="073BEC8D">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rPr>
              <w:t>2.3</w:t>
            </w:r>
          </w:p>
        </w:tc>
        <w:tc>
          <w:tcPr>
            <w:tcW w:w="2359" w:type="dxa"/>
            <w:vAlign w:val="center"/>
          </w:tcPr>
          <w:p w14:paraId="7CB3DD54">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磋商截止时间</w:t>
            </w:r>
          </w:p>
        </w:tc>
        <w:tc>
          <w:tcPr>
            <w:tcW w:w="5861" w:type="dxa"/>
            <w:vAlign w:val="center"/>
          </w:tcPr>
          <w:p w14:paraId="40DAC8C3">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2025年9月23日09时10分</w:t>
            </w:r>
          </w:p>
        </w:tc>
      </w:tr>
      <w:tr w14:paraId="286F2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71AA835E">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rPr>
              <w:t>2.4</w:t>
            </w:r>
          </w:p>
        </w:tc>
        <w:tc>
          <w:tcPr>
            <w:tcW w:w="2359" w:type="dxa"/>
            <w:vAlign w:val="center"/>
          </w:tcPr>
          <w:p w14:paraId="25E58777">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磋商有效期</w:t>
            </w:r>
          </w:p>
        </w:tc>
        <w:tc>
          <w:tcPr>
            <w:tcW w:w="5861" w:type="dxa"/>
            <w:vAlign w:val="top"/>
          </w:tcPr>
          <w:p w14:paraId="372CEEBB">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60日历天</w:t>
            </w:r>
          </w:p>
        </w:tc>
      </w:tr>
      <w:tr w14:paraId="492D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85" w:type="dxa"/>
            <w:vAlign w:val="center"/>
          </w:tcPr>
          <w:p w14:paraId="0BC5587B">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rPr>
              <w:t>2.5</w:t>
            </w:r>
          </w:p>
        </w:tc>
        <w:tc>
          <w:tcPr>
            <w:tcW w:w="2359" w:type="dxa"/>
            <w:vAlign w:val="center"/>
          </w:tcPr>
          <w:p w14:paraId="7E1778A5">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磋商保证金</w:t>
            </w:r>
          </w:p>
        </w:tc>
        <w:tc>
          <w:tcPr>
            <w:tcW w:w="5861" w:type="dxa"/>
            <w:vAlign w:val="top"/>
          </w:tcPr>
          <w:p w14:paraId="506C57C0">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按照《河南省财政厅关于优化政府采购营商环境有关问题的通知》（豫财购[2019]4号文）的要求本项目不再收取投标保证金</w:t>
            </w:r>
          </w:p>
        </w:tc>
      </w:tr>
      <w:tr w14:paraId="75D23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885" w:type="dxa"/>
            <w:vAlign w:val="center"/>
          </w:tcPr>
          <w:p w14:paraId="188025F6">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rPr>
              <w:t>2.6</w:t>
            </w:r>
          </w:p>
        </w:tc>
        <w:tc>
          <w:tcPr>
            <w:tcW w:w="2359" w:type="dxa"/>
            <w:vAlign w:val="center"/>
          </w:tcPr>
          <w:p w14:paraId="12651120">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近年完成的类似项目的年份要求</w:t>
            </w:r>
          </w:p>
        </w:tc>
        <w:tc>
          <w:tcPr>
            <w:tcW w:w="5861" w:type="dxa"/>
            <w:vAlign w:val="center"/>
          </w:tcPr>
          <w:p w14:paraId="679E97A8">
            <w:pPr>
              <w:pStyle w:val="36"/>
              <w:keepNext w:val="0"/>
              <w:keepLines w:val="0"/>
              <w:pageBreakBefore w:val="0"/>
              <w:widowControl w:val="0"/>
              <w:kinsoku/>
              <w:wordWrap w:val="0"/>
              <w:overflowPunct/>
              <w:topLinePunct w:val="0"/>
              <w:bidi w:val="0"/>
              <w:snapToGrid/>
              <w:spacing w:line="520" w:lineRule="exact"/>
              <w:ind w:left="0" w:right="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w:t>
            </w:r>
            <w:r>
              <w:rPr>
                <w:rFonts w:hint="eastAsia" w:asciiTheme="majorEastAsia" w:hAnsiTheme="majorEastAsia" w:eastAsiaTheme="majorEastAsia" w:cstheme="majorEastAsia"/>
                <w:color w:val="auto"/>
                <w:sz w:val="24"/>
                <w:szCs w:val="24"/>
                <w:lang w:val="en-US" w:eastAsia="zh-CN"/>
              </w:rPr>
              <w:t>22</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rPr>
              <w:t>01</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rPr>
              <w:t>0</w:t>
            </w:r>
            <w:r>
              <w:rPr>
                <w:rFonts w:hint="eastAsia" w:asciiTheme="majorEastAsia" w:hAnsiTheme="majorEastAsia" w:eastAsiaTheme="majorEastAsia" w:cstheme="majorEastAsia"/>
                <w:color w:val="auto"/>
                <w:sz w:val="24"/>
                <w:szCs w:val="24"/>
              </w:rPr>
              <w:t>1日以来</w:t>
            </w:r>
            <w:r>
              <w:rPr>
                <w:rFonts w:hint="eastAsia" w:asciiTheme="majorEastAsia" w:hAnsiTheme="majorEastAsia" w:eastAsiaTheme="majorEastAsia" w:cstheme="majorEastAsia"/>
                <w:color w:val="auto"/>
                <w:sz w:val="24"/>
                <w:szCs w:val="24"/>
                <w:lang w:val="en-US" w:eastAsia="zh-CN"/>
              </w:rPr>
              <w:t>同</w:t>
            </w:r>
            <w:r>
              <w:rPr>
                <w:rFonts w:hint="eastAsia" w:asciiTheme="majorEastAsia" w:hAnsiTheme="majorEastAsia" w:eastAsiaTheme="majorEastAsia" w:cstheme="majorEastAsia"/>
                <w:color w:val="auto"/>
                <w:sz w:val="24"/>
                <w:szCs w:val="24"/>
                <w:lang w:eastAsia="zh-CN"/>
              </w:rPr>
              <w:t>类项目</w:t>
            </w:r>
          </w:p>
        </w:tc>
      </w:tr>
      <w:tr w14:paraId="028A3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885" w:type="dxa"/>
            <w:vAlign w:val="center"/>
          </w:tcPr>
          <w:p w14:paraId="0FA23541">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2.7</w:t>
            </w:r>
          </w:p>
        </w:tc>
        <w:tc>
          <w:tcPr>
            <w:tcW w:w="2359" w:type="dxa"/>
            <w:vAlign w:val="center"/>
          </w:tcPr>
          <w:p w14:paraId="08100646">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auto"/>
                <w:sz w:val="24"/>
                <w:szCs w:val="24"/>
              </w:rPr>
              <w:t>响应文件签章要求</w:t>
            </w:r>
          </w:p>
        </w:tc>
        <w:tc>
          <w:tcPr>
            <w:tcW w:w="5861" w:type="dxa"/>
            <w:vAlign w:val="top"/>
          </w:tcPr>
          <w:p w14:paraId="21BFF39F">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FF0000"/>
                <w:sz w:val="24"/>
                <w:szCs w:val="24"/>
                <w:lang w:eastAsia="zh-CN"/>
              </w:rPr>
            </w:pPr>
            <w:r>
              <w:rPr>
                <w:rFonts w:hint="eastAsia" w:asciiTheme="majorEastAsia" w:hAnsiTheme="majorEastAsia" w:eastAsiaTheme="majorEastAsia" w:cstheme="majorEastAsia"/>
                <w:color w:val="auto"/>
                <w:sz w:val="24"/>
                <w:szCs w:val="24"/>
              </w:rPr>
              <w:t>磋商响应供应商在进行电子化磋商响应文件签章时，竞争性磋商文件中要求磋商响应供应商盖章的，以签盖单位章为准；要求法定代表人或授权委托人签字盖章的，以法定代表人签章为准</w:t>
            </w:r>
          </w:p>
        </w:tc>
      </w:tr>
      <w:tr w14:paraId="2A223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885" w:type="dxa"/>
            <w:vAlign w:val="center"/>
          </w:tcPr>
          <w:p w14:paraId="5923AE6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2.8</w:t>
            </w:r>
          </w:p>
        </w:tc>
        <w:tc>
          <w:tcPr>
            <w:tcW w:w="2359" w:type="dxa"/>
            <w:vAlign w:val="center"/>
          </w:tcPr>
          <w:p w14:paraId="1241C9C9">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电子化磋商响应文件的格式及上传</w:t>
            </w:r>
          </w:p>
        </w:tc>
        <w:tc>
          <w:tcPr>
            <w:tcW w:w="5861" w:type="dxa"/>
            <w:vAlign w:val="center"/>
          </w:tcPr>
          <w:p w14:paraId="54FCBA64">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投标供应商所上传的电子化响应文件，应是通过中心响应文件制作系统制作的，经过签章和加密后生成的电子版响应文件。上传投标文件格式后缀为SMXTF。上传完后，为了验证CA锁是否正常，建议模拟解密下。</w:t>
            </w:r>
          </w:p>
        </w:tc>
      </w:tr>
      <w:tr w14:paraId="3B02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1C0C298E">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2.9</w:t>
            </w:r>
          </w:p>
        </w:tc>
        <w:tc>
          <w:tcPr>
            <w:tcW w:w="2359" w:type="dxa"/>
            <w:vAlign w:val="center"/>
          </w:tcPr>
          <w:p w14:paraId="70E0C2EB">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开</w:t>
            </w:r>
            <w:r>
              <w:rPr>
                <w:rFonts w:hint="eastAsia" w:asciiTheme="majorEastAsia" w:hAnsiTheme="majorEastAsia" w:eastAsiaTheme="majorEastAsia" w:cstheme="majorEastAsia"/>
                <w:color w:val="auto"/>
                <w:sz w:val="24"/>
                <w:szCs w:val="24"/>
                <w:lang w:val="en-US" w:eastAsia="zh-CN"/>
              </w:rPr>
              <w:t>评标</w:t>
            </w:r>
            <w:r>
              <w:rPr>
                <w:rFonts w:hint="eastAsia" w:asciiTheme="majorEastAsia" w:hAnsiTheme="majorEastAsia" w:eastAsiaTheme="majorEastAsia" w:cstheme="majorEastAsia"/>
                <w:color w:val="auto"/>
                <w:sz w:val="24"/>
                <w:szCs w:val="24"/>
              </w:rPr>
              <w:t>地点</w:t>
            </w:r>
          </w:p>
        </w:tc>
        <w:tc>
          <w:tcPr>
            <w:tcW w:w="5861" w:type="dxa"/>
            <w:vAlign w:val="center"/>
          </w:tcPr>
          <w:p w14:paraId="33B62F60">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000000" w:themeColor="text1"/>
                <w:sz w:val="24"/>
                <w:szCs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14:textFill>
                  <w14:solidFill>
                    <w14:schemeClr w14:val="tx1"/>
                  </w14:solidFill>
                </w14:textFill>
              </w:rPr>
              <w:t>开标地点：卢氏县公共资源交易中心</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4"/>
                <w:szCs w:val="24"/>
                <w:lang w:val="en-US"/>
                <w14:textFill>
                  <w14:solidFill>
                    <w14:schemeClr w14:val="tx1"/>
                  </w14:solidFill>
                </w14:textFill>
              </w:rPr>
              <w:t>楼第</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一</w:t>
            </w:r>
            <w:r>
              <w:rPr>
                <w:rFonts w:hint="eastAsia" w:asciiTheme="majorEastAsia" w:hAnsiTheme="majorEastAsia" w:eastAsiaTheme="majorEastAsia" w:cstheme="majorEastAsia"/>
                <w:color w:val="000000" w:themeColor="text1"/>
                <w:sz w:val="24"/>
                <w:szCs w:val="24"/>
                <w:lang w:val="en-US"/>
                <w14:textFill>
                  <w14:solidFill>
                    <w14:schemeClr w14:val="tx1"/>
                  </w14:solidFill>
                </w14:textFill>
              </w:rPr>
              <w:t>开标室；</w:t>
            </w:r>
          </w:p>
          <w:p w14:paraId="190F0017">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000000" w:themeColor="text1"/>
                <w:sz w:val="24"/>
                <w:szCs w:val="24"/>
                <w:lang w:val="en-US"/>
                <w14:textFill>
                  <w14:solidFill>
                    <w14:schemeClr w14:val="tx1"/>
                  </w14:solidFill>
                </w14:textFill>
              </w:rPr>
              <w:t>评标地点：卢氏县公共资源交易中心</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4"/>
                <w:szCs w:val="24"/>
                <w:lang w:val="en-US"/>
                <w14:textFill>
                  <w14:solidFill>
                    <w14:schemeClr w14:val="tx1"/>
                  </w14:solidFill>
                </w14:textFill>
              </w:rPr>
              <w:t>楼第</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三评</w:t>
            </w:r>
            <w:r>
              <w:rPr>
                <w:rFonts w:hint="eastAsia" w:asciiTheme="majorEastAsia" w:hAnsiTheme="majorEastAsia" w:eastAsiaTheme="majorEastAsia" w:cstheme="majorEastAsia"/>
                <w:color w:val="000000" w:themeColor="text1"/>
                <w:sz w:val="24"/>
                <w:szCs w:val="24"/>
                <w:lang w:val="en-US"/>
                <w14:textFill>
                  <w14:solidFill>
                    <w14:schemeClr w14:val="tx1"/>
                  </w14:solidFill>
                </w14:textFill>
              </w:rPr>
              <w:t>标室；</w:t>
            </w:r>
          </w:p>
        </w:tc>
      </w:tr>
      <w:tr w14:paraId="59627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3E0DFF88">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3.0</w:t>
            </w:r>
          </w:p>
        </w:tc>
        <w:tc>
          <w:tcPr>
            <w:tcW w:w="2359" w:type="dxa"/>
            <w:vAlign w:val="center"/>
          </w:tcPr>
          <w:p w14:paraId="773628A1">
            <w:pPr>
              <w:pStyle w:val="36"/>
              <w:keepNext w:val="0"/>
              <w:keepLines w:val="0"/>
              <w:pageBreakBefore w:val="0"/>
              <w:widowControl w:val="0"/>
              <w:kinsoku/>
              <w:wordWrap w:val="0"/>
              <w:overflowPunct/>
              <w:topLinePunct w:val="0"/>
              <w:bidi w:val="0"/>
              <w:snapToGrid/>
              <w:spacing w:line="520" w:lineRule="exact"/>
              <w:ind w:left="0" w:right="0" w:hanging="12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磋商顺序</w:t>
            </w:r>
          </w:p>
        </w:tc>
        <w:tc>
          <w:tcPr>
            <w:tcW w:w="5861" w:type="dxa"/>
            <w:vAlign w:val="center"/>
          </w:tcPr>
          <w:p w14:paraId="3055DAA2">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按电子化磋商响应文件上传的顺序磋商。</w:t>
            </w:r>
          </w:p>
        </w:tc>
      </w:tr>
      <w:tr w14:paraId="265BE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85" w:type="dxa"/>
            <w:vAlign w:val="center"/>
          </w:tcPr>
          <w:p w14:paraId="24095E13">
            <w:pPr>
              <w:pStyle w:val="36"/>
              <w:keepNext w:val="0"/>
              <w:keepLines w:val="0"/>
              <w:pageBreakBefore w:val="0"/>
              <w:widowControl w:val="0"/>
              <w:kinsoku/>
              <w:wordWrap w:val="0"/>
              <w:overflowPunct/>
              <w:topLinePunct w:val="0"/>
              <w:autoSpaceDE w:val="0"/>
              <w:autoSpaceDN w:val="0"/>
              <w:bidi w:val="0"/>
              <w:adjustRightInd/>
              <w:snapToGrid/>
              <w:spacing w:line="520" w:lineRule="exact"/>
              <w:ind w:left="0" w:right="0" w:firstLine="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3.1</w:t>
            </w:r>
          </w:p>
        </w:tc>
        <w:tc>
          <w:tcPr>
            <w:tcW w:w="2359" w:type="dxa"/>
            <w:vAlign w:val="center"/>
          </w:tcPr>
          <w:p w14:paraId="23AE4AA8">
            <w:pPr>
              <w:pStyle w:val="36"/>
              <w:keepNext w:val="0"/>
              <w:keepLines w:val="0"/>
              <w:pageBreakBefore w:val="0"/>
              <w:widowControl w:val="0"/>
              <w:kinsoku/>
              <w:wordWrap w:val="0"/>
              <w:overflowPunct/>
              <w:topLinePunct w:val="0"/>
              <w:bidi w:val="0"/>
              <w:snapToGrid/>
              <w:spacing w:line="520" w:lineRule="exact"/>
              <w:ind w:left="0" w:right="0" w:hanging="12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磋商小组的组建</w:t>
            </w:r>
          </w:p>
        </w:tc>
        <w:tc>
          <w:tcPr>
            <w:tcW w:w="5861" w:type="dxa"/>
            <w:vAlign w:val="center"/>
          </w:tcPr>
          <w:p w14:paraId="73761FB5">
            <w:pPr>
              <w:pStyle w:val="36"/>
              <w:keepNext w:val="0"/>
              <w:keepLines w:val="0"/>
              <w:pageBreakBefore w:val="0"/>
              <w:widowControl w:val="0"/>
              <w:kinsoku/>
              <w:wordWrap w:val="0"/>
              <w:overflowPunct/>
              <w:topLinePunct w:val="0"/>
              <w:autoSpaceDE w:val="0"/>
              <w:autoSpaceDN w:val="0"/>
              <w:bidi w:val="0"/>
              <w:adjustRightInd/>
              <w:snapToGrid/>
              <w:spacing w:line="520" w:lineRule="exact"/>
              <w:ind w:left="0" w:right="0" w:firstLine="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磋商小组成员为 3 人，采购人代表 1 人，其余技术、经济等方面的专家 2 人</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rPr>
              <w:t>从</w:t>
            </w:r>
            <w:r>
              <w:rPr>
                <w:rFonts w:hint="eastAsia" w:asciiTheme="majorEastAsia" w:hAnsiTheme="majorEastAsia" w:eastAsiaTheme="majorEastAsia" w:cstheme="majorEastAsia"/>
                <w:color w:val="auto"/>
                <w:sz w:val="24"/>
                <w:szCs w:val="24"/>
                <w:lang w:val="en-US" w:eastAsia="zh-CN"/>
              </w:rPr>
              <w:t>河南省财政厅专家库卢氏终端</w:t>
            </w:r>
            <w:r>
              <w:rPr>
                <w:rFonts w:hint="eastAsia" w:asciiTheme="majorEastAsia" w:hAnsiTheme="majorEastAsia" w:eastAsiaTheme="majorEastAsia" w:cstheme="majorEastAsia"/>
                <w:color w:val="auto"/>
                <w:sz w:val="24"/>
                <w:szCs w:val="24"/>
                <w:lang w:val="en-US"/>
              </w:rPr>
              <w:t>随机抽取。</w:t>
            </w:r>
          </w:p>
        </w:tc>
      </w:tr>
      <w:tr w14:paraId="144D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885" w:type="dxa"/>
            <w:vAlign w:val="center"/>
          </w:tcPr>
          <w:p w14:paraId="45C6F873">
            <w:pPr>
              <w:pStyle w:val="36"/>
              <w:keepNext w:val="0"/>
              <w:keepLines w:val="0"/>
              <w:pageBreakBefore w:val="0"/>
              <w:widowControl w:val="0"/>
              <w:kinsoku/>
              <w:wordWrap w:val="0"/>
              <w:overflowPunct/>
              <w:topLinePunct w:val="0"/>
              <w:autoSpaceDE w:val="0"/>
              <w:autoSpaceDN w:val="0"/>
              <w:bidi w:val="0"/>
              <w:adjustRightInd/>
              <w:snapToGrid/>
              <w:spacing w:line="520" w:lineRule="exact"/>
              <w:ind w:left="0" w:right="0" w:firstLine="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3.2</w:t>
            </w:r>
          </w:p>
        </w:tc>
        <w:tc>
          <w:tcPr>
            <w:tcW w:w="2359" w:type="dxa"/>
            <w:vAlign w:val="center"/>
          </w:tcPr>
          <w:p w14:paraId="4375C246">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是否授权磋商专家确定成交供应商</w:t>
            </w:r>
          </w:p>
        </w:tc>
        <w:tc>
          <w:tcPr>
            <w:tcW w:w="5861" w:type="dxa"/>
            <w:vAlign w:val="center"/>
          </w:tcPr>
          <w:p w14:paraId="390584DB">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否，由磋商小组按照评审得分由高到底推荐3名成交候选供应商</w:t>
            </w:r>
          </w:p>
        </w:tc>
      </w:tr>
      <w:tr w14:paraId="759C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885" w:type="dxa"/>
            <w:vAlign w:val="center"/>
          </w:tcPr>
          <w:p w14:paraId="6312AAF6">
            <w:pPr>
              <w:pStyle w:val="36"/>
              <w:keepNext w:val="0"/>
              <w:keepLines w:val="0"/>
              <w:pageBreakBefore w:val="0"/>
              <w:widowControl w:val="0"/>
              <w:kinsoku/>
              <w:wordWrap w:val="0"/>
              <w:overflowPunct/>
              <w:topLinePunct w:val="0"/>
              <w:autoSpaceDE w:val="0"/>
              <w:autoSpaceDN w:val="0"/>
              <w:bidi w:val="0"/>
              <w:adjustRightInd/>
              <w:snapToGrid/>
              <w:spacing w:line="520" w:lineRule="exact"/>
              <w:ind w:left="0" w:right="0" w:firstLine="0"/>
              <w:jc w:val="center"/>
              <w:textAlignment w:val="auto"/>
              <w:rPr>
                <w:rFonts w:hint="eastAsia" w:asciiTheme="majorEastAsia" w:hAnsiTheme="majorEastAsia" w:eastAsiaTheme="majorEastAsia" w:cstheme="majorEastAsia"/>
                <w:b/>
                <w:color w:val="auto"/>
                <w:sz w:val="24"/>
                <w:szCs w:val="24"/>
              </w:rPr>
            </w:pPr>
          </w:p>
          <w:p w14:paraId="7C726C60">
            <w:pPr>
              <w:pStyle w:val="36"/>
              <w:keepNext w:val="0"/>
              <w:keepLines w:val="0"/>
              <w:pageBreakBefore w:val="0"/>
              <w:widowControl w:val="0"/>
              <w:kinsoku/>
              <w:wordWrap w:val="0"/>
              <w:overflowPunct/>
              <w:topLinePunct w:val="0"/>
              <w:autoSpaceDE w:val="0"/>
              <w:autoSpaceDN w:val="0"/>
              <w:bidi w:val="0"/>
              <w:adjustRightInd/>
              <w:snapToGrid/>
              <w:spacing w:line="520" w:lineRule="exact"/>
              <w:ind w:left="0" w:right="0" w:firstLine="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3.3</w:t>
            </w:r>
          </w:p>
        </w:tc>
        <w:tc>
          <w:tcPr>
            <w:tcW w:w="2359" w:type="dxa"/>
            <w:vAlign w:val="center"/>
          </w:tcPr>
          <w:p w14:paraId="6170881F">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付款方式</w:t>
            </w:r>
          </w:p>
        </w:tc>
        <w:tc>
          <w:tcPr>
            <w:tcW w:w="5861" w:type="dxa"/>
            <w:vAlign w:val="center"/>
          </w:tcPr>
          <w:p w14:paraId="12C0C230">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合同签订后预付30%，完成最终成果文件，并通过评审后15日内付至90%，项目完工竣工验收合格后付款100%。</w:t>
            </w:r>
          </w:p>
        </w:tc>
      </w:tr>
      <w:tr w14:paraId="73AF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trPr>
        <w:tc>
          <w:tcPr>
            <w:tcW w:w="885" w:type="dxa"/>
            <w:vAlign w:val="center"/>
          </w:tcPr>
          <w:p w14:paraId="49A52127">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3.4</w:t>
            </w:r>
          </w:p>
        </w:tc>
        <w:tc>
          <w:tcPr>
            <w:tcW w:w="2359" w:type="dxa"/>
            <w:vAlign w:val="center"/>
          </w:tcPr>
          <w:p w14:paraId="52EF8C90">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代理服务费</w:t>
            </w:r>
          </w:p>
        </w:tc>
        <w:tc>
          <w:tcPr>
            <w:tcW w:w="5861" w:type="dxa"/>
            <w:vAlign w:val="top"/>
          </w:tcPr>
          <w:p w14:paraId="61BC6004">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收取标准：招标代理服务收费参照豫招协[2023]002号河南省招标投标协会关于印发《河南省招标代理服务收费指导意见》规定的收费标准的收取中标服务费。招标代理服务收费按差额定率累进法计算。代理服务费计算方式及金额在发布</w:t>
            </w:r>
            <w:r>
              <w:rPr>
                <w:rFonts w:hint="eastAsia" w:asciiTheme="majorEastAsia" w:hAnsiTheme="majorEastAsia" w:eastAsiaTheme="majorEastAsia" w:cstheme="majorEastAsia"/>
                <w:color w:val="auto"/>
                <w:sz w:val="24"/>
                <w:szCs w:val="24"/>
                <w:lang w:eastAsia="zh-CN"/>
              </w:rPr>
              <w:t>成交</w:t>
            </w:r>
            <w:r>
              <w:rPr>
                <w:rFonts w:hint="eastAsia" w:asciiTheme="majorEastAsia" w:hAnsiTheme="majorEastAsia" w:eastAsiaTheme="majorEastAsia" w:cstheme="majorEastAsia"/>
                <w:color w:val="auto"/>
                <w:sz w:val="24"/>
                <w:szCs w:val="24"/>
              </w:rPr>
              <w:t>公告时一并公布。</w:t>
            </w:r>
          </w:p>
        </w:tc>
      </w:tr>
      <w:tr w14:paraId="16CD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12CB201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p>
          <w:p w14:paraId="273B681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lang w:val="en-US"/>
              </w:rPr>
              <w:t>5</w:t>
            </w:r>
          </w:p>
        </w:tc>
        <w:tc>
          <w:tcPr>
            <w:tcW w:w="2359" w:type="dxa"/>
            <w:vAlign w:val="center"/>
          </w:tcPr>
          <w:p w14:paraId="3C0C8DC0">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p>
          <w:p w14:paraId="6B999CCD">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采购预算价</w:t>
            </w:r>
          </w:p>
        </w:tc>
        <w:tc>
          <w:tcPr>
            <w:tcW w:w="5861" w:type="dxa"/>
            <w:vAlign w:val="top"/>
          </w:tcPr>
          <w:p w14:paraId="5180AD15">
            <w:pPr>
              <w:pStyle w:val="36"/>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本项目的招标控制价为912600.00元</w:t>
            </w:r>
          </w:p>
          <w:p w14:paraId="01DF952C">
            <w:pPr>
              <w:pStyle w:val="36"/>
              <w:keepNext w:val="0"/>
              <w:keepLines w:val="0"/>
              <w:pageBreakBefore w:val="0"/>
              <w:widowControl w:val="0"/>
              <w:kinsoku/>
              <w:wordWrap w:val="0"/>
              <w:overflowPunct/>
              <w:topLinePunct w:val="0"/>
              <w:bidi w:val="0"/>
              <w:snapToGrid/>
              <w:spacing w:line="520" w:lineRule="exact"/>
              <w:ind w:left="0" w:right="0" w:firstLine="240" w:firstLineChars="1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凡磋商响应供应商磋商报价超出“采购预算价”的，该磋商响应供应商的磋商响应文件应作无效标处理。</w:t>
            </w:r>
          </w:p>
        </w:tc>
      </w:tr>
      <w:tr w14:paraId="473E4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4693EA00">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3.6</w:t>
            </w:r>
          </w:p>
        </w:tc>
        <w:tc>
          <w:tcPr>
            <w:tcW w:w="2359" w:type="dxa"/>
            <w:vAlign w:val="center"/>
          </w:tcPr>
          <w:p w14:paraId="32497C7D">
            <w:pPr>
              <w:keepNext w:val="0"/>
              <w:keepLines w:val="0"/>
              <w:pageBreakBefore w:val="0"/>
              <w:widowControl w:val="0"/>
              <w:kinsoku/>
              <w:wordWrap w:val="0"/>
              <w:overflowPunct/>
              <w:topLinePunct w:val="0"/>
              <w:bidi w:val="0"/>
              <w:adjustRightInd w:val="0"/>
              <w:snapToGrid/>
              <w:spacing w:line="520" w:lineRule="exact"/>
              <w:ind w:left="0" w:right="0"/>
              <w:jc w:val="center"/>
              <w:textAlignment w:val="baseline"/>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bidi="zh-CN"/>
              </w:rPr>
              <w:t>采购标的所属行业</w:t>
            </w:r>
          </w:p>
        </w:tc>
        <w:tc>
          <w:tcPr>
            <w:tcW w:w="5861" w:type="dxa"/>
            <w:vAlign w:val="center"/>
          </w:tcPr>
          <w:p w14:paraId="23454094">
            <w:pPr>
              <w:keepNext w:val="0"/>
              <w:keepLines w:val="0"/>
              <w:pageBreakBefore w:val="0"/>
              <w:widowControl w:val="0"/>
              <w:kinsoku/>
              <w:wordWrap w:val="0"/>
              <w:overflowPunct/>
              <w:topLinePunct w:val="0"/>
              <w:bidi w:val="0"/>
              <w:adjustRightInd w:val="0"/>
              <w:snapToGrid/>
              <w:spacing w:line="520" w:lineRule="exact"/>
              <w:ind w:left="0" w:right="0" w:firstLine="240" w:firstLineChars="100"/>
              <w:jc w:val="left"/>
              <w:textAlignment w:val="baseline"/>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划定标准为：本项目采购标的属于技术服务业。</w:t>
            </w:r>
          </w:p>
          <w:p w14:paraId="7E09FAF2">
            <w:pPr>
              <w:keepNext w:val="0"/>
              <w:keepLines w:val="0"/>
              <w:pageBreakBefore w:val="0"/>
              <w:widowControl w:val="0"/>
              <w:kinsoku/>
              <w:wordWrap w:val="0"/>
              <w:overflowPunct/>
              <w:topLinePunct w:val="0"/>
              <w:bidi w:val="0"/>
              <w:adjustRightInd w:val="0"/>
              <w:snapToGrid/>
              <w:spacing w:line="520" w:lineRule="exact"/>
              <w:ind w:left="0" w:right="0" w:firstLine="240" w:firstLineChars="100"/>
              <w:jc w:val="left"/>
              <w:textAlignment w:val="baseline"/>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《工业和信息化部、国家统计局、国家发展和改革委员会、财政部关于印发&lt;中小企业划型标准规定的通知&gt;（工信部联企业〔2011〕300号）规定的划分标准为依据。</w:t>
            </w:r>
          </w:p>
        </w:tc>
      </w:tr>
      <w:tr w14:paraId="1E8AF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4CA19D6F">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p>
          <w:p w14:paraId="4DAFD643">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b/>
                <w:color w:val="auto"/>
                <w:sz w:val="24"/>
                <w:szCs w:val="24"/>
              </w:rPr>
            </w:pPr>
          </w:p>
          <w:p w14:paraId="24E2BBE0">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rPr>
            </w:pPr>
          </w:p>
          <w:p w14:paraId="728803C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lang w:val="en-US" w:eastAsia="zh-CN"/>
              </w:rPr>
              <w:t>7</w:t>
            </w:r>
          </w:p>
        </w:tc>
        <w:tc>
          <w:tcPr>
            <w:tcW w:w="2359" w:type="dxa"/>
            <w:vAlign w:val="center"/>
          </w:tcPr>
          <w:p w14:paraId="6A73B30C">
            <w:pPr>
              <w:keepNext w:val="0"/>
              <w:keepLines w:val="0"/>
              <w:pageBreakBefore w:val="0"/>
              <w:widowControl w:val="0"/>
              <w:kinsoku/>
              <w:wordWrap w:val="0"/>
              <w:overflowPunct/>
              <w:topLinePunct w:val="0"/>
              <w:bidi w:val="0"/>
              <w:adjustRightInd w:val="0"/>
              <w:snapToGrid/>
              <w:spacing w:line="520" w:lineRule="exact"/>
              <w:ind w:left="0" w:right="0"/>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解释权</w:t>
            </w:r>
          </w:p>
        </w:tc>
        <w:tc>
          <w:tcPr>
            <w:tcW w:w="5861" w:type="dxa"/>
            <w:vAlign w:val="center"/>
          </w:tcPr>
          <w:p w14:paraId="7FE7434E">
            <w:pPr>
              <w:keepNext w:val="0"/>
              <w:keepLines w:val="0"/>
              <w:pageBreakBefore w:val="0"/>
              <w:widowControl w:val="0"/>
              <w:kinsoku/>
              <w:wordWrap w:val="0"/>
              <w:overflowPunct/>
              <w:topLinePunct w:val="0"/>
              <w:bidi w:val="0"/>
              <w:adjustRightInd w:val="0"/>
              <w:snapToGrid/>
              <w:spacing w:line="520" w:lineRule="exact"/>
              <w:ind w:left="0" w:right="0" w:firstLine="240" w:firstLineChars="100"/>
              <w:jc w:val="left"/>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9EB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85" w:type="dxa"/>
            <w:vAlign w:val="center"/>
          </w:tcPr>
          <w:p w14:paraId="0587E7E5">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rPr>
              <w:t>3.</w:t>
            </w:r>
            <w:r>
              <w:rPr>
                <w:rFonts w:hint="eastAsia" w:asciiTheme="majorEastAsia" w:hAnsiTheme="majorEastAsia" w:eastAsiaTheme="majorEastAsia" w:cstheme="majorEastAsia"/>
                <w:color w:val="auto"/>
                <w:sz w:val="24"/>
                <w:szCs w:val="24"/>
                <w:lang w:val="en-US" w:eastAsia="zh-CN"/>
              </w:rPr>
              <w:t>8</w:t>
            </w:r>
          </w:p>
        </w:tc>
        <w:tc>
          <w:tcPr>
            <w:tcW w:w="2359" w:type="dxa"/>
            <w:vAlign w:val="center"/>
          </w:tcPr>
          <w:p w14:paraId="6D7CE91E">
            <w:pPr>
              <w:keepNext w:val="0"/>
              <w:keepLines w:val="0"/>
              <w:pageBreakBefore w:val="0"/>
              <w:widowControl w:val="0"/>
              <w:kinsoku/>
              <w:wordWrap w:val="0"/>
              <w:overflowPunct/>
              <w:topLinePunct w:val="0"/>
              <w:bidi w:val="0"/>
              <w:adjustRightInd w:val="0"/>
              <w:snapToGrid/>
              <w:spacing w:line="520" w:lineRule="exact"/>
              <w:ind w:left="0" w:right="0" w:firstLine="480" w:firstLineChars="200"/>
              <w:jc w:val="center"/>
              <w:textAlignment w:val="baseline"/>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报价</w:t>
            </w:r>
          </w:p>
        </w:tc>
        <w:tc>
          <w:tcPr>
            <w:tcW w:w="5861" w:type="dxa"/>
            <w:vAlign w:val="center"/>
          </w:tcPr>
          <w:p w14:paraId="0C18ABB3">
            <w:pPr>
              <w:pStyle w:val="37"/>
              <w:keepNext w:val="0"/>
              <w:keepLines w:val="0"/>
              <w:pageBreakBefore w:val="0"/>
              <w:widowControl w:val="0"/>
              <w:numPr>
                <w:ilvl w:val="0"/>
                <w:numId w:val="1"/>
              </w:numPr>
              <w:kinsoku/>
              <w:wordWrap w:val="0"/>
              <w:overflowPunct/>
              <w:topLinePunct w:val="0"/>
              <w:bidi w:val="0"/>
              <w:snapToGrid/>
              <w:spacing w:before="0" w:line="520" w:lineRule="exact"/>
              <w:ind w:left="0" w:right="0"/>
              <w:jc w:val="left"/>
              <w:outlineLvl w:val="0"/>
              <w:rPr>
                <w:rFonts w:hint="eastAsia" w:asciiTheme="majorEastAsia" w:hAnsiTheme="majorEastAsia" w:eastAsiaTheme="majorEastAsia" w:cstheme="majorEastAsia"/>
                <w:b w:val="0"/>
                <w:bCs w:val="0"/>
                <w:color w:val="auto"/>
                <w:kern w:val="2"/>
                <w:sz w:val="24"/>
                <w:szCs w:val="24"/>
                <w:lang w:val="en-US"/>
              </w:rPr>
            </w:pPr>
            <w:bookmarkStart w:id="20" w:name="_Toc6793"/>
            <w:r>
              <w:rPr>
                <w:rFonts w:hint="eastAsia" w:asciiTheme="majorEastAsia" w:hAnsiTheme="majorEastAsia" w:eastAsiaTheme="majorEastAsia" w:cstheme="majorEastAsia"/>
                <w:b w:val="0"/>
                <w:bCs w:val="0"/>
                <w:color w:val="auto"/>
                <w:kern w:val="2"/>
                <w:sz w:val="24"/>
                <w:szCs w:val="24"/>
                <w:lang w:val="en-US"/>
              </w:rPr>
              <w:t>本次竞争性磋商采取两轮报价：第一轮报价直接填报于磋商响应文件中，综合评标基本完毕后进行第二轮报价。</w:t>
            </w:r>
            <w:bookmarkEnd w:id="20"/>
          </w:p>
          <w:p w14:paraId="0464B596">
            <w:pPr>
              <w:pStyle w:val="37"/>
              <w:keepNext w:val="0"/>
              <w:keepLines w:val="0"/>
              <w:pageBreakBefore w:val="0"/>
              <w:widowControl w:val="0"/>
              <w:numPr>
                <w:ilvl w:val="0"/>
                <w:numId w:val="1"/>
              </w:numPr>
              <w:kinsoku/>
              <w:wordWrap w:val="0"/>
              <w:overflowPunct/>
              <w:topLinePunct w:val="0"/>
              <w:bidi w:val="0"/>
              <w:snapToGrid/>
              <w:spacing w:before="0" w:line="520" w:lineRule="exact"/>
              <w:ind w:left="0" w:right="0"/>
              <w:jc w:val="left"/>
              <w:outlineLvl w:val="0"/>
              <w:rPr>
                <w:rFonts w:hint="eastAsia" w:asciiTheme="majorEastAsia" w:hAnsiTheme="majorEastAsia" w:eastAsiaTheme="majorEastAsia" w:cstheme="majorEastAsia"/>
                <w:b w:val="0"/>
                <w:bCs w:val="0"/>
                <w:color w:val="auto"/>
                <w:sz w:val="24"/>
                <w:szCs w:val="24"/>
              </w:rPr>
            </w:pPr>
            <w:bookmarkStart w:id="21" w:name="_Toc14229"/>
            <w:r>
              <w:rPr>
                <w:rFonts w:hint="eastAsia" w:asciiTheme="majorEastAsia" w:hAnsiTheme="majorEastAsia" w:eastAsiaTheme="majorEastAsia" w:cstheme="majorEastAsia"/>
                <w:b w:val="0"/>
                <w:bCs w:val="0"/>
                <w:color w:val="auto"/>
                <w:kern w:val="2"/>
                <w:sz w:val="24"/>
                <w:szCs w:val="24"/>
                <w:lang w:val="en-US"/>
              </w:rPr>
              <w:t>供应商所报总价包含此项目中</w:t>
            </w:r>
            <w:r>
              <w:rPr>
                <w:rFonts w:hint="eastAsia" w:asciiTheme="majorEastAsia" w:hAnsiTheme="majorEastAsia" w:eastAsiaTheme="majorEastAsia" w:cstheme="majorEastAsia"/>
                <w:b w:val="0"/>
                <w:bCs w:val="0"/>
                <w:color w:val="auto"/>
                <w:kern w:val="2"/>
                <w:sz w:val="24"/>
                <w:szCs w:val="24"/>
                <w:lang w:val="en-US" w:eastAsia="zh-CN"/>
              </w:rPr>
              <w:t>所有服务内容</w:t>
            </w:r>
            <w:r>
              <w:rPr>
                <w:rFonts w:hint="eastAsia" w:asciiTheme="majorEastAsia" w:hAnsiTheme="majorEastAsia" w:eastAsiaTheme="majorEastAsia" w:cstheme="majorEastAsia"/>
                <w:b w:val="0"/>
                <w:bCs w:val="0"/>
                <w:color w:val="auto"/>
                <w:kern w:val="2"/>
                <w:sz w:val="24"/>
                <w:szCs w:val="24"/>
                <w:lang w:val="en-US"/>
              </w:rPr>
              <w:t>、税金、等所有费用。</w:t>
            </w:r>
            <w:bookmarkEnd w:id="21"/>
          </w:p>
          <w:p w14:paraId="632BA32E">
            <w:pPr>
              <w:pStyle w:val="37"/>
              <w:keepNext w:val="0"/>
              <w:keepLines w:val="0"/>
              <w:pageBreakBefore w:val="0"/>
              <w:widowControl w:val="0"/>
              <w:numPr>
                <w:ilvl w:val="0"/>
                <w:numId w:val="1"/>
              </w:numPr>
              <w:kinsoku/>
              <w:wordWrap w:val="0"/>
              <w:overflowPunct/>
              <w:topLinePunct w:val="0"/>
              <w:bidi w:val="0"/>
              <w:snapToGrid/>
              <w:spacing w:before="0" w:line="520" w:lineRule="exact"/>
              <w:ind w:left="0" w:right="0"/>
              <w:jc w:val="left"/>
              <w:outlineLvl w:val="0"/>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供应商需自行刷新系统准备第二轮报价，代理机构不再通知。</w:t>
            </w:r>
          </w:p>
        </w:tc>
      </w:tr>
      <w:tr w14:paraId="4E447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trPr>
        <w:tc>
          <w:tcPr>
            <w:tcW w:w="885" w:type="dxa"/>
            <w:vAlign w:val="center"/>
          </w:tcPr>
          <w:p w14:paraId="79EBE65A">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rPr>
              <w:t>3.</w:t>
            </w:r>
            <w:r>
              <w:rPr>
                <w:rFonts w:hint="eastAsia" w:asciiTheme="majorEastAsia" w:hAnsiTheme="majorEastAsia" w:eastAsiaTheme="majorEastAsia" w:cstheme="majorEastAsia"/>
                <w:color w:val="auto"/>
                <w:sz w:val="24"/>
                <w:szCs w:val="24"/>
                <w:lang w:val="en-US" w:eastAsia="zh-CN"/>
              </w:rPr>
              <w:t>9</w:t>
            </w:r>
          </w:p>
        </w:tc>
        <w:tc>
          <w:tcPr>
            <w:tcW w:w="2359" w:type="dxa"/>
            <w:vAlign w:val="center"/>
          </w:tcPr>
          <w:p w14:paraId="21DD0BBE">
            <w:pPr>
              <w:keepNext w:val="0"/>
              <w:keepLines w:val="0"/>
              <w:pageBreakBefore w:val="0"/>
              <w:widowControl w:val="0"/>
              <w:kinsoku/>
              <w:wordWrap w:val="0"/>
              <w:overflowPunct/>
              <w:topLinePunct w:val="0"/>
              <w:autoSpaceDE w:val="0"/>
              <w:autoSpaceDN w:val="0"/>
              <w:bidi w:val="0"/>
              <w:adjustRightInd w:val="0"/>
              <w:snapToGrid/>
              <w:spacing w:line="520" w:lineRule="exact"/>
              <w:ind w:left="0" w:right="0"/>
              <w:jc w:val="center"/>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磋商响应文件副本份数及其他要求</w:t>
            </w:r>
          </w:p>
        </w:tc>
        <w:tc>
          <w:tcPr>
            <w:tcW w:w="5861" w:type="dxa"/>
            <w:vAlign w:val="center"/>
          </w:tcPr>
          <w:p w14:paraId="745D0C2B">
            <w:pPr>
              <w:pStyle w:val="37"/>
              <w:keepNext w:val="0"/>
              <w:keepLines w:val="0"/>
              <w:pageBreakBefore w:val="0"/>
              <w:widowControl w:val="0"/>
              <w:numPr>
                <w:ilvl w:val="0"/>
                <w:numId w:val="0"/>
              </w:numPr>
              <w:kinsoku/>
              <w:wordWrap w:val="0"/>
              <w:overflowPunct/>
              <w:topLinePunct w:val="0"/>
              <w:bidi w:val="0"/>
              <w:snapToGrid/>
              <w:spacing w:before="0" w:line="520" w:lineRule="exact"/>
              <w:ind w:left="0" w:right="0"/>
              <w:jc w:val="left"/>
              <w:outlineLvl w:val="0"/>
              <w:rPr>
                <w:rFonts w:hint="eastAsia" w:asciiTheme="majorEastAsia" w:hAnsiTheme="majorEastAsia" w:eastAsiaTheme="majorEastAsia" w:cstheme="majorEastAsia"/>
                <w:b w:val="0"/>
                <w:bCs w:val="0"/>
                <w:color w:val="auto"/>
                <w:kern w:val="2"/>
                <w:sz w:val="24"/>
                <w:szCs w:val="24"/>
                <w:lang w:val="en-US"/>
              </w:rPr>
            </w:pPr>
            <w:bookmarkStart w:id="22" w:name="_Toc5535"/>
            <w:r>
              <w:rPr>
                <w:rFonts w:hint="eastAsia" w:asciiTheme="majorEastAsia" w:hAnsiTheme="majorEastAsia" w:eastAsiaTheme="majorEastAsia" w:cstheme="majorEastAsia"/>
                <w:b w:val="0"/>
                <w:bCs w:val="0"/>
                <w:color w:val="auto"/>
                <w:kern w:val="2"/>
                <w:sz w:val="24"/>
                <w:szCs w:val="24"/>
                <w:lang w:val="en-US"/>
              </w:rPr>
              <w:t>1、本项目采用电子招标，根据三门峡市公共资源交易中心系统编制响应文件，供应商需用CA在电子平台上传电子响应文件；</w:t>
            </w:r>
            <w:bookmarkEnd w:id="22"/>
          </w:p>
          <w:p w14:paraId="685AA931">
            <w:pPr>
              <w:pStyle w:val="37"/>
              <w:keepNext w:val="0"/>
              <w:keepLines w:val="0"/>
              <w:pageBreakBefore w:val="0"/>
              <w:widowControl w:val="0"/>
              <w:numPr>
                <w:ilvl w:val="0"/>
                <w:numId w:val="0"/>
              </w:numPr>
              <w:kinsoku/>
              <w:wordWrap w:val="0"/>
              <w:overflowPunct/>
              <w:topLinePunct w:val="0"/>
              <w:bidi w:val="0"/>
              <w:snapToGrid/>
              <w:spacing w:before="0" w:line="520" w:lineRule="exact"/>
              <w:ind w:left="0" w:right="0"/>
              <w:jc w:val="left"/>
              <w:outlineLvl w:val="0"/>
              <w:rPr>
                <w:rFonts w:hint="eastAsia" w:asciiTheme="majorEastAsia" w:hAnsiTheme="majorEastAsia" w:eastAsiaTheme="majorEastAsia" w:cstheme="majorEastAsia"/>
                <w:b w:val="0"/>
                <w:bCs w:val="0"/>
                <w:color w:val="auto"/>
                <w:sz w:val="24"/>
                <w:szCs w:val="24"/>
              </w:rPr>
            </w:pPr>
            <w:bookmarkStart w:id="23" w:name="_Toc30460"/>
            <w:r>
              <w:rPr>
                <w:rFonts w:hint="eastAsia" w:asciiTheme="majorEastAsia" w:hAnsiTheme="majorEastAsia" w:eastAsiaTheme="majorEastAsia" w:cstheme="majorEastAsia"/>
                <w:b w:val="0"/>
                <w:bCs w:val="0"/>
                <w:color w:val="auto"/>
                <w:kern w:val="2"/>
                <w:sz w:val="24"/>
                <w:szCs w:val="24"/>
                <w:lang w:val="en-US"/>
              </w:rPr>
              <w:t>2、开标时不再递交纸质响应文件，中标单位领取成交通知书时提交</w:t>
            </w:r>
            <w:r>
              <w:rPr>
                <w:rFonts w:hint="eastAsia" w:asciiTheme="majorEastAsia" w:hAnsiTheme="majorEastAsia" w:eastAsiaTheme="majorEastAsia" w:cstheme="majorEastAsia"/>
                <w:b w:val="0"/>
                <w:bCs w:val="0"/>
                <w:color w:val="auto"/>
                <w:kern w:val="2"/>
                <w:sz w:val="24"/>
                <w:szCs w:val="24"/>
                <w:lang w:val="en-US" w:eastAsia="zh-CN"/>
              </w:rPr>
              <w:t>贰</w:t>
            </w:r>
            <w:r>
              <w:rPr>
                <w:rFonts w:hint="eastAsia" w:asciiTheme="majorEastAsia" w:hAnsiTheme="majorEastAsia" w:eastAsiaTheme="majorEastAsia" w:cstheme="majorEastAsia"/>
                <w:b w:val="0"/>
                <w:bCs w:val="0"/>
                <w:color w:val="auto"/>
                <w:kern w:val="2"/>
                <w:sz w:val="24"/>
                <w:szCs w:val="24"/>
                <w:lang w:val="en-US"/>
              </w:rPr>
              <w:t>份纸质响应文件，响应文件应按以下要求装订：胶装（不得采用活页装订），应有目录，并逐页标注连续页码，需加盖公章。</w:t>
            </w:r>
            <w:bookmarkEnd w:id="23"/>
          </w:p>
        </w:tc>
      </w:tr>
      <w:tr w14:paraId="7C8B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85" w:type="dxa"/>
            <w:vAlign w:val="center"/>
          </w:tcPr>
          <w:p w14:paraId="1C635229">
            <w:pPr>
              <w:pStyle w:val="36"/>
              <w:keepNext w:val="0"/>
              <w:keepLines w:val="0"/>
              <w:pageBreakBefore w:val="0"/>
              <w:widowControl w:val="0"/>
              <w:kinsoku/>
              <w:wordWrap w:val="0"/>
              <w:overflowPunct/>
              <w:topLinePunct w:val="0"/>
              <w:bidi w:val="0"/>
              <w:snapToGrid/>
              <w:spacing w:line="520" w:lineRule="exact"/>
              <w:ind w:left="0" w:right="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4.0</w:t>
            </w:r>
          </w:p>
        </w:tc>
        <w:tc>
          <w:tcPr>
            <w:tcW w:w="2359" w:type="dxa"/>
            <w:vAlign w:val="center"/>
          </w:tcPr>
          <w:p w14:paraId="5F515FE9">
            <w:pPr>
              <w:keepNext w:val="0"/>
              <w:keepLines w:val="0"/>
              <w:pageBreakBefore w:val="0"/>
              <w:widowControl w:val="0"/>
              <w:kinsoku/>
              <w:wordWrap w:val="0"/>
              <w:overflowPunct/>
              <w:topLinePunct w:val="0"/>
              <w:autoSpaceDE w:val="0"/>
              <w:autoSpaceDN w:val="0"/>
              <w:bidi w:val="0"/>
              <w:adjustRightInd w:val="0"/>
              <w:snapToGrid/>
              <w:spacing w:line="520" w:lineRule="exact"/>
              <w:ind w:left="0" w:right="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电子化交易</w:t>
            </w:r>
          </w:p>
          <w:p w14:paraId="00B6D519">
            <w:pPr>
              <w:keepNext w:val="0"/>
              <w:keepLines w:val="0"/>
              <w:pageBreakBefore w:val="0"/>
              <w:widowControl w:val="0"/>
              <w:kinsoku/>
              <w:wordWrap w:val="0"/>
              <w:overflowPunct/>
              <w:topLinePunct w:val="0"/>
              <w:autoSpaceDE w:val="0"/>
              <w:autoSpaceDN w:val="0"/>
              <w:bidi w:val="0"/>
              <w:adjustRightInd w:val="0"/>
              <w:snapToGrid/>
              <w:spacing w:line="520" w:lineRule="exact"/>
              <w:ind w:left="0" w:right="0"/>
              <w:jc w:val="center"/>
              <w:rPr>
                <w:rFonts w:hint="eastAsia" w:asciiTheme="majorEastAsia" w:hAnsiTheme="majorEastAsia" w:eastAsiaTheme="majorEastAsia" w:cstheme="majorEastAsia"/>
                <w:color w:val="auto"/>
                <w:kern w:val="0"/>
                <w:sz w:val="24"/>
                <w:szCs w:val="24"/>
                <w:lang w:val="zh-CN" w:eastAsia="zh-CN" w:bidi="zh-CN"/>
              </w:rPr>
            </w:pPr>
            <w:r>
              <w:rPr>
                <w:rFonts w:hint="eastAsia" w:asciiTheme="majorEastAsia" w:hAnsiTheme="majorEastAsia" w:eastAsiaTheme="majorEastAsia" w:cstheme="majorEastAsia"/>
                <w:color w:val="auto"/>
                <w:sz w:val="24"/>
                <w:szCs w:val="24"/>
              </w:rPr>
              <w:t>注意事项</w:t>
            </w:r>
          </w:p>
        </w:tc>
        <w:tc>
          <w:tcPr>
            <w:tcW w:w="5861" w:type="dxa"/>
            <w:vAlign w:val="center"/>
          </w:tcPr>
          <w:p w14:paraId="022222A2">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29A19B71">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电子化磋商响应文件具体制作教材请供应商通过CA证书登录三门峡市公共资源电子化交易系统在 “交易智库”中下载操作流程</w:t>
            </w:r>
          </w:p>
          <w:p w14:paraId="6B7A7B6C">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温馨提示：本项目为电子化、无纸化交易项目，投标时不接受任何纸质资料，为保证您能投标成功，请需仔细阅读以下条款。</w:t>
            </w:r>
          </w:p>
          <w:p w14:paraId="0B90A0F6">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一、电子化投标</w:t>
            </w:r>
          </w:p>
          <w:p w14:paraId="78559980">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（一）电子化磋商响应文件的签章</w:t>
            </w:r>
          </w:p>
          <w:p w14:paraId="31C3EA82">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1、供应商在生成电子化磋商响应文件后，应对电子化磋商响应文件进行签章，未进行签章的视为无效投标。</w:t>
            </w:r>
          </w:p>
          <w:p w14:paraId="6A7BB100">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磋商响应文件中要求法定代表人或授权委托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562173C3">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（二）电子化磋商响应文件的格式及上传投标</w:t>
            </w:r>
          </w:p>
          <w:p w14:paraId="66208451">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452E6B72">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注：供应商投报多个标段的，需要每个标段单独制作电子磋商响应文件。</w:t>
            </w:r>
          </w:p>
          <w:p w14:paraId="3E4027BB">
            <w:pPr>
              <w:keepNext w:val="0"/>
              <w:keepLines w:val="0"/>
              <w:pageBreakBefore w:val="0"/>
              <w:widowControl w:val="0"/>
              <w:kinsoku/>
              <w:wordWrap w:val="0"/>
              <w:overflowPunct/>
              <w:topLinePunct w:val="0"/>
              <w:autoSpaceDE/>
              <w:autoSpaceDN/>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2、电子化磋商响应文件应在投标截止时间前成功上传至三门峡市公共资源电子化交易系统。至投标截止时间止，仍未上传成功的电子化磋商响应文件将不予接收。</w:t>
            </w:r>
          </w:p>
          <w:p w14:paraId="3B272C3D">
            <w:pPr>
              <w:keepNext w:val="0"/>
              <w:keepLines w:val="0"/>
              <w:pageBreakBefore w:val="0"/>
              <w:widowControl w:val="0"/>
              <w:kinsoku/>
              <w:wordWrap w:val="0"/>
              <w:overflowPunct/>
              <w:topLinePunct w:val="0"/>
              <w:autoSpaceDE/>
              <w:autoSpaceDN/>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66D88A9F">
            <w:pPr>
              <w:keepNext w:val="0"/>
              <w:keepLines w:val="0"/>
              <w:pageBreakBefore w:val="0"/>
              <w:widowControl w:val="0"/>
              <w:kinsoku/>
              <w:wordWrap w:val="0"/>
              <w:overflowPunct/>
              <w:topLinePunct w:val="0"/>
              <w:autoSpaceDE/>
              <w:autoSpaceDN/>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技术联系电话：400-998-0000</w:t>
            </w:r>
          </w:p>
          <w:p w14:paraId="1F3B418F">
            <w:pPr>
              <w:keepNext w:val="0"/>
              <w:keepLines w:val="0"/>
              <w:pageBreakBefore w:val="0"/>
              <w:widowControl w:val="0"/>
              <w:kinsoku/>
              <w:wordWrap w:val="0"/>
              <w:overflowPunct/>
              <w:topLinePunct w:val="0"/>
              <w:autoSpaceDE/>
              <w:autoSpaceDN/>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（三）电子化项目开标、解密、唱标、评标</w:t>
            </w:r>
          </w:p>
          <w:p w14:paraId="04CFB591">
            <w:pPr>
              <w:keepNext w:val="0"/>
              <w:keepLines w:val="0"/>
              <w:pageBreakBefore w:val="0"/>
              <w:widowControl w:val="0"/>
              <w:kinsoku/>
              <w:wordWrap w:val="0"/>
              <w:overflowPunct/>
              <w:topLinePunct w:val="0"/>
              <w:autoSpaceDE/>
              <w:autoSpaceDN/>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73659F9F">
            <w:pPr>
              <w:keepNext w:val="0"/>
              <w:keepLines w:val="0"/>
              <w:pageBreakBefore w:val="0"/>
              <w:widowControl w:val="0"/>
              <w:kinsoku/>
              <w:wordWrap w:val="0"/>
              <w:overflowPunct/>
              <w:topLinePunct w:val="0"/>
              <w:autoSpaceDE/>
              <w:autoSpaceDN/>
              <w:bidi w:val="0"/>
              <w:adjustRightInd/>
              <w:snapToGrid/>
              <w:spacing w:line="520" w:lineRule="exact"/>
              <w:ind w:left="0" w:right="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396252E6">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3、电子化磋商响应文件解密异常的处理</w:t>
            </w:r>
          </w:p>
          <w:p w14:paraId="6035C5D5">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如出现供应商的电子磋商响应文件无法解密等异常情况，磋商响应文件异常，按以下步骤进行处理：</w:t>
            </w:r>
          </w:p>
          <w:p w14:paraId="51A1FC04">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（1）首先由技术人员进行问题排查。</w:t>
            </w:r>
          </w:p>
          <w:p w14:paraId="30E26DB3">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（2）经技术人员排查后，是供应商文件自身问题导致磋商响应文件无法解密的，该磋商响应文件将不予接收、解密和唱标。开标会议继续进行。</w:t>
            </w:r>
          </w:p>
          <w:p w14:paraId="30DF1718">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402A2BF6">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4、待所有供应商磋商响应文件解密完成后，由中介服务机构操作，对所有已解密磋商响应文件进行唱标。</w:t>
            </w:r>
          </w:p>
          <w:p w14:paraId="0B9A8BA7">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362C1111">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r>
              <w:rPr>
                <w:rFonts w:hint="eastAsia" w:asciiTheme="majorEastAsia" w:hAnsiTheme="majorEastAsia" w:eastAsiaTheme="majorEastAsia" w:cstheme="majorEastAsia"/>
                <w:color w:val="auto"/>
                <w:sz w:val="24"/>
                <w:szCs w:val="24"/>
                <w:highlight w:val="none"/>
                <w:lang w:val="en-US" w:eastAsia="zh-CN"/>
              </w:rPr>
              <w:t>开标时投标人可登录到交易系统中在开标解密栏中点击报价一览表查看自己的投标报价。如对自己的唱标内容有异议的，应在投标人解密成功后10分钟内向中服务机构通过开标大厅对话框提出质疑。中介服务机构应在监督人员的监督下接受投标人的质疑通过开标大厅对话框进行答复并做好书面记录。供应商未在规定时间内提出质疑的，视为认可唱标内容。</w:t>
            </w:r>
          </w:p>
          <w:p w14:paraId="1DE27A44">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6、评标时，评标委员会对电子化磋商响应文件有质疑的，将通过电子化交易系统对供应商发起质疑，供应商的回复文件必须以经过供应商和其法定代表人签章的PDF格式文件为准，并通过电子化交易系统提交至</w:t>
            </w:r>
            <w:r>
              <w:rPr>
                <w:rFonts w:hint="eastAsia" w:asciiTheme="majorEastAsia" w:hAnsiTheme="majorEastAsia" w:eastAsiaTheme="majorEastAsia" w:cstheme="majorEastAsia"/>
                <w:color w:val="auto"/>
                <w:sz w:val="24"/>
                <w:szCs w:val="24"/>
                <w:highlight w:val="none"/>
                <w:lang w:val="en-US" w:eastAsia="zh-CN"/>
              </w:rPr>
              <w:t>磋商小组</w:t>
            </w:r>
            <w:r>
              <w:rPr>
                <w:rFonts w:hint="eastAsia" w:asciiTheme="majorEastAsia" w:hAnsiTheme="majorEastAsia" w:eastAsiaTheme="majorEastAsia" w:cstheme="majorEastAsia"/>
                <w:color w:val="auto"/>
                <w:sz w:val="24"/>
                <w:szCs w:val="24"/>
                <w:highlight w:val="none"/>
              </w:rPr>
              <w:t>。</w:t>
            </w:r>
          </w:p>
          <w:p w14:paraId="5709E723">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r>
              <w:rPr>
                <w:rFonts w:hint="eastAsia" w:asciiTheme="majorEastAsia" w:hAnsiTheme="majorEastAsia" w:eastAsiaTheme="majorEastAsia" w:cstheme="majorEastAsia"/>
                <w:color w:val="auto"/>
                <w:sz w:val="24"/>
                <w:szCs w:val="24"/>
                <w:highlight w:val="none"/>
                <w:lang w:val="en-US" w:eastAsia="zh-CN"/>
              </w:rPr>
              <w:t>各供应商在会员系统中收到有关二次报价信息后，必须在规定时间内给出答复，并在签章后提交，采购人及采购代理机构不再电话通知。需要回复的响应人在规定的时间内未回复的，视为响应人放弃回复，评标委员会将自行对需要回复的内容进行认定。</w:t>
            </w:r>
          </w:p>
          <w:p w14:paraId="0974E7E9">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二、相关证书原件的提交</w:t>
            </w:r>
          </w:p>
          <w:p w14:paraId="40F4D552">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本项目实行资格后审，磋商响应文件中要求供应商提交资质、业绩、荣誉及单位人员等相关资料原件的，供应商需将原件扫描件制作到电子磋商响应文件中。</w:t>
            </w:r>
          </w:p>
          <w:p w14:paraId="40BC8B42">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供应商应及时完善主体库。</w:t>
            </w:r>
          </w:p>
          <w:p w14:paraId="0E358FD5">
            <w:pPr>
              <w:keepNext w:val="0"/>
              <w:keepLines w:val="0"/>
              <w:pageBreakBefore w:val="0"/>
              <w:widowControl w:val="0"/>
              <w:kinsoku/>
              <w:wordWrap w:val="0"/>
              <w:overflowPunct/>
              <w:topLinePunct w:val="0"/>
              <w:bidi w:val="0"/>
              <w:snapToGrid/>
              <w:spacing w:line="520" w:lineRule="exact"/>
              <w:ind w:left="0" w:right="0"/>
              <w:jc w:val="left"/>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highlight w:val="none"/>
              </w:rPr>
              <w:t>（二）项目评标结果公示时，将同时公示中标候选人主体库信息，接受社会监督。</w:t>
            </w:r>
          </w:p>
        </w:tc>
      </w:tr>
    </w:tbl>
    <w:p w14:paraId="7CCF7509">
      <w:pPr>
        <w:pStyle w:val="8"/>
        <w:spacing w:before="3"/>
        <w:ind w:left="0"/>
        <w:rPr>
          <w:b/>
          <w:color w:val="auto"/>
          <w:sz w:val="6"/>
        </w:rPr>
      </w:pPr>
    </w:p>
    <w:p w14:paraId="5DDDBB9C">
      <w:pPr>
        <w:pStyle w:val="5"/>
        <w:spacing w:before="66"/>
        <w:ind w:left="0" w:right="105"/>
        <w:jc w:val="both"/>
        <w:outlineLvl w:val="9"/>
        <w:rPr>
          <w:color w:val="auto"/>
        </w:rPr>
        <w:sectPr>
          <w:footerReference r:id="rId5" w:type="default"/>
          <w:pgSz w:w="11910" w:h="16840"/>
          <w:pgMar w:top="1440" w:right="1800" w:bottom="1440" w:left="1800" w:header="0" w:footer="640" w:gutter="0"/>
          <w:pgNumType w:fmt="decimal" w:start="1"/>
          <w:cols w:space="720" w:num="1"/>
        </w:sectPr>
      </w:pPr>
    </w:p>
    <w:p w14:paraId="6DF5E3D1">
      <w:pPr>
        <w:pStyle w:val="5"/>
        <w:keepNext w:val="0"/>
        <w:keepLines w:val="0"/>
        <w:pageBreakBefore w:val="0"/>
        <w:widowControl w:val="0"/>
        <w:kinsoku/>
        <w:wordWrap/>
        <w:overflowPunct/>
        <w:topLinePunct w:val="0"/>
        <w:bidi w:val="0"/>
        <w:adjustRightInd/>
        <w:snapToGrid/>
        <w:spacing w:before="244" w:line="480" w:lineRule="exact"/>
        <w:ind w:left="320"/>
        <w:jc w:val="center"/>
        <w:textAlignment w:val="auto"/>
        <w:rPr>
          <w:color w:val="auto"/>
        </w:rPr>
      </w:pPr>
      <w:r>
        <w:rPr>
          <w:color w:val="auto"/>
        </w:rPr>
        <w:t>供应商须知</w:t>
      </w:r>
    </w:p>
    <w:p w14:paraId="336C3A1C">
      <w:pPr>
        <w:pStyle w:val="37"/>
        <w:keepNext w:val="0"/>
        <w:keepLines w:val="0"/>
        <w:pageBreakBefore w:val="0"/>
        <w:widowControl w:val="0"/>
        <w:kinsoku/>
        <w:wordWrap w:val="0"/>
        <w:overflowPunct/>
        <w:topLinePunct w:val="0"/>
        <w:autoSpaceDE w:val="0"/>
        <w:autoSpaceDN w:val="0"/>
        <w:bidi w:val="0"/>
        <w:adjustRightInd/>
        <w:snapToGrid/>
        <w:spacing w:before="0" w:line="480" w:lineRule="exact"/>
        <w:ind w:left="0" w:right="0" w:firstLine="482" w:firstLineChars="200"/>
        <w:jc w:val="left"/>
        <w:textAlignment w:val="auto"/>
        <w:outlineLvl w:val="0"/>
        <w:rPr>
          <w:rFonts w:ascii="宋体" w:hAnsi="宋体"/>
          <w:b/>
          <w:bCs/>
          <w:color w:val="auto"/>
          <w:sz w:val="24"/>
          <w:szCs w:val="24"/>
        </w:rPr>
      </w:pPr>
      <w:bookmarkStart w:id="24" w:name="_Toc455080108"/>
      <w:bookmarkStart w:id="25" w:name="_Toc21223"/>
      <w:bookmarkStart w:id="26" w:name="_Toc22449"/>
      <w:bookmarkStart w:id="27" w:name="_Toc487498474"/>
      <w:bookmarkStart w:id="28" w:name="_Toc488504474"/>
      <w:bookmarkStart w:id="29" w:name="_Toc7628"/>
      <w:bookmarkStart w:id="30" w:name="_Toc20123_WPSOffice_Level2"/>
      <w:r>
        <w:rPr>
          <w:rFonts w:hint="eastAsia" w:ascii="宋体" w:hAnsi="宋体"/>
          <w:b/>
          <w:bCs/>
          <w:color w:val="auto"/>
          <w:sz w:val="24"/>
          <w:szCs w:val="24"/>
        </w:rPr>
        <w:t>1. 总则</w:t>
      </w:r>
      <w:bookmarkEnd w:id="24"/>
      <w:bookmarkEnd w:id="25"/>
      <w:bookmarkEnd w:id="26"/>
      <w:bookmarkEnd w:id="27"/>
      <w:bookmarkEnd w:id="28"/>
      <w:bookmarkEnd w:id="29"/>
      <w:bookmarkEnd w:id="30"/>
    </w:p>
    <w:p w14:paraId="7B89FD12">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bookmarkStart w:id="31" w:name="_Toc318450675"/>
      <w:bookmarkStart w:id="32" w:name="_Toc464035510"/>
      <w:bookmarkStart w:id="33" w:name="_Toc15709"/>
      <w:bookmarkStart w:id="34" w:name="_Toc1172"/>
      <w:bookmarkStart w:id="35" w:name="_Toc21458"/>
      <w:bookmarkStart w:id="36" w:name="_Toc31404"/>
      <w:bookmarkStart w:id="37" w:name="_Toc463701031"/>
      <w:bookmarkStart w:id="38" w:name="_Toc274409866"/>
      <w:bookmarkStart w:id="39" w:name="_Toc21496_WPSOffice_Level3"/>
      <w:bookmarkStart w:id="40" w:name="_Toc455080109"/>
      <w:bookmarkStart w:id="41" w:name="_Toc29023"/>
      <w:bookmarkStart w:id="42" w:name="_Toc10273"/>
      <w:bookmarkStart w:id="43" w:name="_Toc281380952"/>
      <w:bookmarkStart w:id="44" w:name="_Toc152042307"/>
      <w:bookmarkStart w:id="45" w:name="_Toc152045531"/>
      <w:bookmarkStart w:id="46" w:name="_Toc144974499"/>
      <w:r>
        <w:rPr>
          <w:rFonts w:hint="eastAsia"/>
          <w:color w:val="auto"/>
          <w:sz w:val="24"/>
        </w:rPr>
        <w:t>1.1 适用范围</w:t>
      </w:r>
      <w:bookmarkEnd w:id="31"/>
      <w:bookmarkEnd w:id="32"/>
      <w:bookmarkEnd w:id="33"/>
      <w:bookmarkEnd w:id="34"/>
      <w:bookmarkEnd w:id="35"/>
      <w:bookmarkEnd w:id="36"/>
      <w:bookmarkEnd w:id="37"/>
      <w:bookmarkEnd w:id="38"/>
      <w:bookmarkEnd w:id="39"/>
      <w:bookmarkEnd w:id="40"/>
      <w:bookmarkEnd w:id="41"/>
      <w:bookmarkEnd w:id="42"/>
      <w:bookmarkEnd w:id="43"/>
    </w:p>
    <w:p w14:paraId="16C93195">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1.1.1根据《中华人民共和国政府采购法》等有关法律、法规和规章的规定，编制本项目磋商文件。</w:t>
      </w:r>
    </w:p>
    <w:p w14:paraId="569CE64C">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bookmarkStart w:id="47" w:name="_Toc32619"/>
      <w:bookmarkStart w:id="48" w:name="_Toc463701032"/>
      <w:bookmarkStart w:id="49" w:name="_Toc318450676"/>
      <w:bookmarkStart w:id="50" w:name="_Toc281405468"/>
      <w:bookmarkStart w:id="51" w:name="_Toc455080110"/>
      <w:bookmarkStart w:id="52" w:name="_Toc274409867"/>
      <w:bookmarkStart w:id="53" w:name="_Toc25399_WPSOffice_Level3"/>
      <w:bookmarkStart w:id="54" w:name="_Toc464035511"/>
      <w:bookmarkStart w:id="55" w:name="_Toc25773"/>
      <w:bookmarkStart w:id="56" w:name="_Toc710"/>
      <w:bookmarkStart w:id="57" w:name="_Toc30891"/>
      <w:bookmarkStart w:id="58" w:name="_Toc2929"/>
      <w:bookmarkStart w:id="59" w:name="_Toc3336"/>
      <w:r>
        <w:rPr>
          <w:rFonts w:hint="eastAsia"/>
          <w:color w:val="auto"/>
          <w:sz w:val="24"/>
        </w:rPr>
        <w:t>1.2 采购项目说明</w:t>
      </w:r>
      <w:bookmarkEnd w:id="47"/>
      <w:bookmarkEnd w:id="48"/>
      <w:bookmarkEnd w:id="49"/>
      <w:bookmarkEnd w:id="50"/>
      <w:bookmarkEnd w:id="51"/>
      <w:bookmarkEnd w:id="52"/>
      <w:bookmarkEnd w:id="53"/>
      <w:bookmarkEnd w:id="54"/>
      <w:bookmarkEnd w:id="55"/>
      <w:bookmarkEnd w:id="56"/>
      <w:bookmarkEnd w:id="57"/>
      <w:bookmarkEnd w:id="58"/>
      <w:bookmarkEnd w:id="59"/>
    </w:p>
    <w:p w14:paraId="11723BDD">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1.2.1 本项目采购人：见供应商须知前附表。</w:t>
      </w:r>
    </w:p>
    <w:p w14:paraId="74D4990F">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1.2.2 本项目采购代理机构：见供应商须知前附表。</w:t>
      </w:r>
    </w:p>
    <w:p w14:paraId="0712DC5C">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1.2.3 本项目名称：见供应商须知前附表。</w:t>
      </w:r>
    </w:p>
    <w:p w14:paraId="5AEE6774">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bookmarkStart w:id="60" w:name="_Toc274409868"/>
      <w:bookmarkStart w:id="61" w:name="_Toc455080111"/>
      <w:bookmarkStart w:id="62" w:name="_Toc4952"/>
      <w:bookmarkStart w:id="63" w:name="_Toc16931"/>
      <w:bookmarkStart w:id="64" w:name="_Toc3477"/>
      <w:bookmarkStart w:id="65" w:name="_Toc31122_WPSOffice_Level3"/>
      <w:bookmarkStart w:id="66" w:name="_Toc1373"/>
      <w:bookmarkStart w:id="67" w:name="_Toc464035512"/>
      <w:bookmarkStart w:id="68" w:name="_Toc17016"/>
      <w:bookmarkStart w:id="69" w:name="_Toc318450677"/>
      <w:bookmarkStart w:id="70" w:name="_Toc281405469"/>
      <w:bookmarkStart w:id="71" w:name="_Toc18960"/>
      <w:bookmarkStart w:id="72" w:name="_Toc463701033"/>
      <w:r>
        <w:rPr>
          <w:rFonts w:hint="eastAsia"/>
          <w:color w:val="auto"/>
          <w:sz w:val="24"/>
        </w:rPr>
        <w:t>1.3 定义及解释</w:t>
      </w:r>
      <w:bookmarkEnd w:id="60"/>
      <w:bookmarkEnd w:id="61"/>
      <w:bookmarkEnd w:id="62"/>
      <w:bookmarkEnd w:id="63"/>
      <w:bookmarkEnd w:id="64"/>
      <w:bookmarkEnd w:id="65"/>
      <w:bookmarkEnd w:id="66"/>
      <w:bookmarkEnd w:id="67"/>
      <w:bookmarkEnd w:id="68"/>
      <w:bookmarkEnd w:id="69"/>
      <w:bookmarkEnd w:id="70"/>
      <w:bookmarkEnd w:id="71"/>
      <w:bookmarkEnd w:id="72"/>
    </w:p>
    <w:p w14:paraId="73974592">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1.3.1采购人：依法进行政府采购的国家机关、事业单位、团体组织。</w:t>
      </w:r>
    </w:p>
    <w:p w14:paraId="3D83C9D9">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1.3.2采购代理机构：取得政府采购招标代理资质，受采购人委托组织招标活动的社会中介组织。</w:t>
      </w:r>
    </w:p>
    <w:p w14:paraId="4AC3A24D">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1.3.3服务：系指根据本磋商文件规定供应商须承担的方案编制以及其他类似的义务等。</w:t>
      </w:r>
    </w:p>
    <w:p w14:paraId="5B393395">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1.3.4供应商：供应商是响应磋商文件、参加磋商竞争的中华人民共和国境内的法人、其它组织。</w:t>
      </w:r>
    </w:p>
    <w:p w14:paraId="58677B6B">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1.3.5响应文件：指供应商根据磋商文件提交的所有文件。</w:t>
      </w:r>
    </w:p>
    <w:p w14:paraId="217F9FFE">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1.3.6磋商小组：依据</w:t>
      </w:r>
      <w:r>
        <w:rPr>
          <w:rFonts w:hint="eastAsia"/>
          <w:color w:val="auto"/>
          <w:sz w:val="24"/>
          <w:lang w:bidi="en-US"/>
        </w:rPr>
        <w:t>《中华人民共和国政府采购法》及有关法律、法规的规定依法组建的专门负责本次评标工作的临时机构</w:t>
      </w:r>
      <w:r>
        <w:rPr>
          <w:rFonts w:hint="eastAsia"/>
          <w:color w:val="auto"/>
          <w:sz w:val="24"/>
        </w:rPr>
        <w:t>。</w:t>
      </w:r>
    </w:p>
    <w:p w14:paraId="610C68B1">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1.3.7偏离：响应文件的响应相对于磋商文件要求的偏差，该偏差优于磋商文件要求的为正偏离；劣于的，为负偏离。</w:t>
      </w:r>
    </w:p>
    <w:p w14:paraId="23A63352">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1.3.8“日期”或“天”：指日历天。</w:t>
      </w:r>
    </w:p>
    <w:p w14:paraId="1444DC6A">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1.3.9合同：指依据本次采购招标结果签订的协议或合约文件。</w:t>
      </w:r>
    </w:p>
    <w:p w14:paraId="077D56B2">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1.3.10磋商文件中的标题或题名仅起引导作用，而不应视为对磋商文件内容的理解和解释。</w:t>
      </w:r>
    </w:p>
    <w:bookmarkEnd w:id="44"/>
    <w:bookmarkEnd w:id="45"/>
    <w:bookmarkEnd w:id="46"/>
    <w:p w14:paraId="006721CE">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bookmarkStart w:id="73" w:name="_Toc16470"/>
      <w:bookmarkStart w:id="74" w:name="_Toc455080112"/>
      <w:bookmarkStart w:id="75" w:name="_Toc19363"/>
      <w:bookmarkStart w:id="76" w:name="_Toc464035513"/>
      <w:bookmarkStart w:id="77" w:name="_Toc27407"/>
      <w:bookmarkStart w:id="78" w:name="_Toc318450678"/>
      <w:bookmarkStart w:id="79" w:name="_Toc463701034"/>
      <w:bookmarkStart w:id="80" w:name="_Toc152045532"/>
      <w:bookmarkStart w:id="81" w:name="_Toc21766"/>
      <w:bookmarkStart w:id="82" w:name="_Toc12752"/>
      <w:bookmarkStart w:id="83" w:name="_Toc14043"/>
      <w:bookmarkStart w:id="84" w:name="_Toc3626_WPSOffice_Level3"/>
      <w:bookmarkStart w:id="85" w:name="_Toc144974500"/>
      <w:bookmarkStart w:id="86" w:name="_Toc152042308"/>
      <w:r>
        <w:rPr>
          <w:rFonts w:hint="eastAsia"/>
          <w:color w:val="auto"/>
          <w:sz w:val="24"/>
        </w:rPr>
        <w:t xml:space="preserve">1.4 </w:t>
      </w:r>
      <w:r>
        <w:rPr>
          <w:rFonts w:hint="eastAsia"/>
          <w:color w:val="auto"/>
          <w:sz w:val="24"/>
          <w:lang w:val="en-US" w:eastAsia="zh-CN"/>
        </w:rPr>
        <w:t>服务</w:t>
      </w:r>
      <w:r>
        <w:rPr>
          <w:rFonts w:hint="eastAsia"/>
          <w:color w:val="auto"/>
          <w:sz w:val="24"/>
        </w:rPr>
        <w:t>内容</w:t>
      </w:r>
      <w:r>
        <w:rPr>
          <w:rFonts w:hint="eastAsia"/>
          <w:color w:val="auto"/>
          <w:sz w:val="24"/>
          <w:lang w:eastAsia="zh-CN"/>
        </w:rPr>
        <w:t>、</w:t>
      </w:r>
      <w:r>
        <w:rPr>
          <w:rFonts w:hint="eastAsia"/>
          <w:color w:val="auto"/>
          <w:sz w:val="24"/>
          <w:lang w:val="en-US" w:eastAsia="zh-CN"/>
        </w:rPr>
        <w:t>设计周期</w:t>
      </w:r>
      <w:r>
        <w:rPr>
          <w:rFonts w:hint="eastAsia"/>
          <w:color w:val="auto"/>
          <w:sz w:val="24"/>
        </w:rPr>
        <w:t>和质量要求</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39A45A">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1.4.1 本次</w:t>
      </w:r>
      <w:r>
        <w:rPr>
          <w:rFonts w:hint="eastAsia"/>
          <w:color w:val="auto"/>
          <w:sz w:val="24"/>
          <w:lang w:val="en-US" w:eastAsia="zh-CN"/>
        </w:rPr>
        <w:t>服务内容</w:t>
      </w:r>
      <w:r>
        <w:rPr>
          <w:rFonts w:hint="eastAsia"/>
          <w:color w:val="auto"/>
          <w:sz w:val="24"/>
        </w:rPr>
        <w:t>：见供应商须知前附表。</w:t>
      </w:r>
    </w:p>
    <w:p w14:paraId="123DD010">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1.4.2 本项目的</w:t>
      </w:r>
      <w:r>
        <w:rPr>
          <w:rFonts w:hint="eastAsia"/>
          <w:color w:val="auto"/>
          <w:sz w:val="24"/>
          <w:lang w:val="en-US" w:eastAsia="zh-CN"/>
        </w:rPr>
        <w:t>设计周期</w:t>
      </w:r>
      <w:r>
        <w:rPr>
          <w:rFonts w:hint="eastAsia"/>
          <w:color w:val="auto"/>
          <w:sz w:val="24"/>
        </w:rPr>
        <w:t>：见供应商须知前附表。</w:t>
      </w:r>
    </w:p>
    <w:p w14:paraId="1510E84E">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1.4.3 本项目的质量要求：见供应商须知前附表。</w:t>
      </w:r>
    </w:p>
    <w:p w14:paraId="163A60EF">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bookmarkStart w:id="87" w:name="_Toc6014"/>
      <w:bookmarkStart w:id="88" w:name="_Toc464035516"/>
      <w:bookmarkStart w:id="89" w:name="_Toc8055"/>
      <w:bookmarkStart w:id="90" w:name="_Toc32053"/>
      <w:bookmarkStart w:id="91" w:name="_Toc318450681"/>
      <w:bookmarkStart w:id="92" w:name="_Toc2622"/>
      <w:bookmarkStart w:id="93" w:name="_Toc5402"/>
      <w:bookmarkStart w:id="94" w:name="_Toc144974504"/>
      <w:bookmarkStart w:id="95" w:name="_Toc463701037"/>
      <w:bookmarkStart w:id="96" w:name="_Toc20145"/>
      <w:bookmarkStart w:id="97" w:name="_Toc7579_WPSOffice_Level3"/>
      <w:bookmarkStart w:id="98" w:name="_Toc152045536"/>
      <w:bookmarkStart w:id="99" w:name="_Toc152042312"/>
      <w:bookmarkStart w:id="100" w:name="_Toc455080115"/>
      <w:r>
        <w:rPr>
          <w:rFonts w:hint="eastAsia"/>
          <w:color w:val="auto"/>
          <w:sz w:val="24"/>
        </w:rPr>
        <w:t>1.</w:t>
      </w:r>
      <w:r>
        <w:rPr>
          <w:rFonts w:hint="eastAsia"/>
          <w:color w:val="auto"/>
          <w:sz w:val="24"/>
          <w:lang w:val="en-US"/>
        </w:rPr>
        <w:t>5</w:t>
      </w:r>
      <w:r>
        <w:rPr>
          <w:rFonts w:hint="eastAsia"/>
          <w:color w:val="auto"/>
          <w:sz w:val="24"/>
        </w:rPr>
        <w:t>保密</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E4AB338">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 xml:space="preserve">参与磋商活动的各方应对磋商文件和响应文件中的商业和技术等秘密保密，违者应对由此造成的后果承担法律责任。 </w:t>
      </w:r>
    </w:p>
    <w:p w14:paraId="6D64FFF5">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bookmarkStart w:id="101" w:name="_Toc144974505"/>
      <w:bookmarkStart w:id="102" w:name="_Toc19210_WPSOffice_Level3"/>
      <w:bookmarkStart w:id="103" w:name="_Toc318450682"/>
      <w:bookmarkStart w:id="104" w:name="_Toc25517"/>
      <w:bookmarkStart w:id="105" w:name="_Toc30583"/>
      <w:bookmarkStart w:id="106" w:name="_Toc455080116"/>
      <w:bookmarkStart w:id="107" w:name="_Toc30747"/>
      <w:bookmarkStart w:id="108" w:name="_Toc21089"/>
      <w:bookmarkStart w:id="109" w:name="_Toc152045537"/>
      <w:bookmarkStart w:id="110" w:name="_Toc464035517"/>
      <w:bookmarkStart w:id="111" w:name="_Toc152042313"/>
      <w:bookmarkStart w:id="112" w:name="_Toc463701038"/>
      <w:bookmarkStart w:id="113" w:name="_Toc3628"/>
      <w:bookmarkStart w:id="114" w:name="_Toc14775"/>
      <w:r>
        <w:rPr>
          <w:rFonts w:hint="eastAsia"/>
          <w:color w:val="auto"/>
          <w:sz w:val="24"/>
        </w:rPr>
        <w:t>1.</w:t>
      </w:r>
      <w:r>
        <w:rPr>
          <w:rFonts w:hint="eastAsia"/>
          <w:color w:val="auto"/>
          <w:sz w:val="24"/>
          <w:lang w:val="en-US"/>
        </w:rPr>
        <w:t>6</w:t>
      </w:r>
      <w:r>
        <w:rPr>
          <w:rFonts w:hint="eastAsia"/>
          <w:color w:val="auto"/>
          <w:sz w:val="24"/>
        </w:rPr>
        <w:t>语言</w:t>
      </w:r>
      <w:bookmarkEnd w:id="101"/>
      <w:r>
        <w:rPr>
          <w:rFonts w:hint="eastAsia"/>
          <w:color w:val="auto"/>
          <w:sz w:val="24"/>
        </w:rPr>
        <w:t>文字</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BCA51F6">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除专用术语外，与磋商有关的语言均使用中文。必要时专用术语应附有中文注释，</w:t>
      </w:r>
      <w:r>
        <w:rPr>
          <w:rFonts w:hint="eastAsia"/>
          <w:color w:val="auto"/>
          <w:sz w:val="24"/>
          <w:lang w:bidi="en-US"/>
        </w:rPr>
        <w:t>对不同文字文本响应文件的解释发生异议的，以中文文本为准。</w:t>
      </w:r>
    </w:p>
    <w:p w14:paraId="071FBEE5">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bookmarkStart w:id="115" w:name="_Toc464035518"/>
      <w:bookmarkStart w:id="116" w:name="_Toc2702"/>
      <w:bookmarkStart w:id="117" w:name="_Toc144974506"/>
      <w:bookmarkStart w:id="118" w:name="_Toc152042314"/>
      <w:bookmarkStart w:id="119" w:name="_Toc4237"/>
      <w:bookmarkStart w:id="120" w:name="_Toc9446"/>
      <w:bookmarkStart w:id="121" w:name="_Toc152045538"/>
      <w:bookmarkStart w:id="122" w:name="_Toc32507"/>
      <w:bookmarkStart w:id="123" w:name="_Toc22378"/>
      <w:bookmarkStart w:id="124" w:name="_Toc9511_WPSOffice_Level3"/>
      <w:bookmarkStart w:id="125" w:name="_Toc318450683"/>
      <w:bookmarkStart w:id="126" w:name="_Toc455080117"/>
      <w:bookmarkStart w:id="127" w:name="_Toc463701039"/>
      <w:bookmarkStart w:id="128" w:name="_Toc24337"/>
      <w:r>
        <w:rPr>
          <w:rFonts w:hint="eastAsia"/>
          <w:color w:val="auto"/>
          <w:sz w:val="24"/>
        </w:rPr>
        <w:t>1.</w:t>
      </w:r>
      <w:r>
        <w:rPr>
          <w:rFonts w:hint="eastAsia"/>
          <w:color w:val="auto"/>
          <w:sz w:val="24"/>
          <w:lang w:val="en-US"/>
        </w:rPr>
        <w:t>7</w:t>
      </w:r>
      <w:r>
        <w:rPr>
          <w:rFonts w:hint="eastAsia"/>
          <w:color w:val="auto"/>
          <w:sz w:val="24"/>
        </w:rPr>
        <w:t xml:space="preserve"> 计量单位</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E8D7FE0">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color w:val="auto"/>
          <w:sz w:val="24"/>
        </w:rPr>
      </w:pPr>
      <w:r>
        <w:rPr>
          <w:rFonts w:hint="eastAsia"/>
          <w:color w:val="auto"/>
          <w:sz w:val="24"/>
        </w:rPr>
        <w:t>所有计量均采用中华人民共和国法定计量单位。</w:t>
      </w:r>
    </w:p>
    <w:p w14:paraId="3D5D73DA">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29" w:name="_Toc12366_WPSOffice_Level2"/>
      <w:r>
        <w:rPr>
          <w:color w:val="auto"/>
        </w:rPr>
        <w:t>2、合格的磋商响应供应商</w:t>
      </w:r>
      <w:bookmarkEnd w:id="129"/>
    </w:p>
    <w:p w14:paraId="0AAD4959">
      <w:pPr>
        <w:pStyle w:val="5"/>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rFonts w:hint="eastAsia"/>
          <w:b w:val="0"/>
          <w:bCs w:val="0"/>
          <w:color w:val="auto"/>
        </w:rPr>
        <w:t>见供应商须知前附表</w:t>
      </w:r>
    </w:p>
    <w:p w14:paraId="1E0ACEE9">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30" w:name="_Toc8655_WPSOffice_Level2"/>
      <w:r>
        <w:rPr>
          <w:color w:val="auto"/>
        </w:rPr>
        <w:t>3、费用</w:t>
      </w:r>
      <w:bookmarkEnd w:id="130"/>
    </w:p>
    <w:p w14:paraId="3556C391">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3.1</w:t>
      </w:r>
      <w:r>
        <w:rPr>
          <w:color w:val="auto"/>
          <w:spacing w:val="-9"/>
        </w:rPr>
        <w:t xml:space="preserve"> 磋商响应供应商应自行承担参加磋商活动有关的全部费用，采购人在任何情况下均</w:t>
      </w:r>
      <w:r>
        <w:rPr>
          <w:color w:val="auto"/>
        </w:rPr>
        <w:t>无义务和责任承担上述费用。</w:t>
      </w:r>
    </w:p>
    <w:p w14:paraId="13A2391A">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2" w:firstLineChars="200"/>
        <w:jc w:val="left"/>
        <w:textAlignment w:val="auto"/>
        <w:rPr>
          <w:b/>
          <w:color w:val="auto"/>
          <w:spacing w:val="-2"/>
          <w:sz w:val="24"/>
        </w:rPr>
      </w:pPr>
      <w:bookmarkStart w:id="131" w:name="_Toc4976_WPSOffice_Level2"/>
      <w:r>
        <w:rPr>
          <w:b/>
          <w:color w:val="auto"/>
          <w:sz w:val="24"/>
        </w:rPr>
        <w:t>4</w:t>
      </w:r>
      <w:r>
        <w:rPr>
          <w:b/>
          <w:color w:val="auto"/>
          <w:spacing w:val="-2"/>
          <w:sz w:val="24"/>
        </w:rPr>
        <w:t>、竞争性磋商文件的构成</w:t>
      </w:r>
    </w:p>
    <w:p w14:paraId="4814A557">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第一章 竞争性磋商公告</w:t>
      </w:r>
      <w:bookmarkEnd w:id="131"/>
    </w:p>
    <w:p w14:paraId="096E19AE">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rFonts w:hint="eastAsia" w:ascii="宋体" w:hAnsi="宋体" w:eastAsia="宋体" w:cs="宋体"/>
          <w:color w:val="auto"/>
          <w:sz w:val="24"/>
        </w:rPr>
      </w:pPr>
      <w:bookmarkStart w:id="132" w:name="_Toc25399_WPSOffice_Level1"/>
      <w:r>
        <w:rPr>
          <w:rFonts w:hint="eastAsia" w:ascii="宋体" w:hAnsi="宋体" w:eastAsia="宋体" w:cs="宋体"/>
          <w:color w:val="auto"/>
          <w:sz w:val="24"/>
        </w:rPr>
        <w:t>第二章 供应商须知</w:t>
      </w:r>
    </w:p>
    <w:p w14:paraId="696781DA">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第三章</w:t>
      </w:r>
      <w:bookmarkEnd w:id="132"/>
      <w:r>
        <w:rPr>
          <w:rFonts w:hint="eastAsia" w:ascii="宋体" w:hAnsi="宋体" w:eastAsia="宋体" w:cs="宋体"/>
          <w:color w:val="auto"/>
          <w:sz w:val="24"/>
          <w:lang w:val="en-US" w:eastAsia="zh-CN"/>
        </w:rPr>
        <w:t xml:space="preserve"> 服务需求</w:t>
      </w:r>
    </w:p>
    <w:p w14:paraId="3A848CBF">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rFonts w:hint="eastAsia" w:ascii="宋体" w:hAnsi="宋体" w:eastAsia="宋体" w:cs="宋体"/>
          <w:color w:val="auto"/>
          <w:sz w:val="24"/>
        </w:rPr>
      </w:pPr>
      <w:bookmarkStart w:id="133" w:name="_Toc3669_WPSOffice_Level2"/>
      <w:r>
        <w:rPr>
          <w:rFonts w:hint="eastAsia" w:ascii="宋体" w:hAnsi="宋体" w:eastAsia="宋体" w:cs="宋体"/>
          <w:color w:val="auto"/>
          <w:sz w:val="24"/>
        </w:rPr>
        <w:t>第四章 评审办法</w:t>
      </w:r>
      <w:bookmarkEnd w:id="133"/>
    </w:p>
    <w:p w14:paraId="566F21DE">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rFonts w:hint="eastAsia" w:ascii="宋体" w:hAnsi="宋体" w:eastAsia="宋体" w:cs="宋体"/>
          <w:color w:val="auto"/>
          <w:sz w:val="24"/>
        </w:rPr>
      </w:pPr>
      <w:bookmarkStart w:id="134" w:name="_Toc1982_WPSOffice_Level2"/>
      <w:r>
        <w:rPr>
          <w:rFonts w:hint="eastAsia" w:ascii="宋体" w:hAnsi="宋体" w:eastAsia="宋体" w:cs="宋体"/>
          <w:color w:val="auto"/>
          <w:sz w:val="24"/>
        </w:rPr>
        <w:t>第五章 合同主要条款及格式</w:t>
      </w:r>
      <w:bookmarkEnd w:id="134"/>
    </w:p>
    <w:p w14:paraId="763E9642">
      <w:pPr>
        <w:keepNext w:val="0"/>
        <w:keepLines w:val="0"/>
        <w:pageBreakBefore w:val="0"/>
        <w:widowControl w:val="0"/>
        <w:kinsoku/>
        <w:wordWrap w:val="0"/>
        <w:overflowPunct/>
        <w:topLinePunct w:val="0"/>
        <w:autoSpaceDE w:val="0"/>
        <w:autoSpaceDN w:val="0"/>
        <w:bidi w:val="0"/>
        <w:adjustRightInd/>
        <w:snapToGrid/>
        <w:spacing w:line="480" w:lineRule="exact"/>
        <w:ind w:left="0" w:right="0" w:firstLine="480" w:firstLineChars="200"/>
        <w:jc w:val="left"/>
        <w:textAlignment w:val="auto"/>
        <w:rPr>
          <w:rFonts w:hint="eastAsia" w:ascii="宋体" w:hAnsi="宋体" w:eastAsia="宋体" w:cs="宋体"/>
          <w:color w:val="auto"/>
          <w:sz w:val="24"/>
        </w:rPr>
      </w:pPr>
      <w:bookmarkStart w:id="135" w:name="_Toc4328_WPSOffice_Level2"/>
      <w:r>
        <w:rPr>
          <w:rFonts w:hint="eastAsia" w:ascii="宋体" w:hAnsi="宋体" w:eastAsia="宋体" w:cs="宋体"/>
          <w:color w:val="auto"/>
          <w:sz w:val="24"/>
        </w:rPr>
        <w:t>第六章 电子化响应文件内容及格式</w:t>
      </w:r>
      <w:bookmarkEnd w:id="135"/>
    </w:p>
    <w:p w14:paraId="08E722D3">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36" w:name="_Toc20095_WPSOffice_Level3"/>
      <w:r>
        <w:rPr>
          <w:color w:val="auto"/>
        </w:rPr>
        <w:t>5、竞争性磋商文件的澄清</w:t>
      </w:r>
      <w:bookmarkEnd w:id="136"/>
    </w:p>
    <w:p w14:paraId="2692F381">
      <w:pPr>
        <w:pStyle w:val="38"/>
        <w:keepNext w:val="0"/>
        <w:keepLines w:val="0"/>
        <w:pageBreakBefore w:val="0"/>
        <w:widowControl w:val="0"/>
        <w:numPr>
          <w:ilvl w:val="1"/>
          <w:numId w:val="2"/>
        </w:numPr>
        <w:tabs>
          <w:tab w:val="left" w:pos="1101"/>
        </w:tabs>
        <w:kinsoku/>
        <w:wordWrap w:val="0"/>
        <w:overflowPunct/>
        <w:topLinePunct w:val="0"/>
        <w:bidi w:val="0"/>
        <w:adjustRightInd/>
        <w:snapToGrid/>
        <w:spacing w:line="480" w:lineRule="exact"/>
        <w:ind w:left="0" w:right="0" w:firstLine="472" w:firstLineChars="200"/>
        <w:jc w:val="left"/>
        <w:textAlignment w:val="auto"/>
        <w:rPr>
          <w:color w:val="auto"/>
          <w:sz w:val="24"/>
        </w:rPr>
      </w:pPr>
      <w:r>
        <w:rPr>
          <w:color w:val="auto"/>
          <w:spacing w:val="-2"/>
          <w:sz w:val="24"/>
        </w:rPr>
        <w:t>磋商响应供应商对磋商文件需有澄清或疑问，应在购买竞争性磋商文件后</w:t>
      </w:r>
      <w:r>
        <w:rPr>
          <w:color w:val="auto"/>
          <w:sz w:val="24"/>
        </w:rPr>
        <w:t>3</w:t>
      </w:r>
      <w:r>
        <w:rPr>
          <w:color w:val="auto"/>
          <w:spacing w:val="-25"/>
          <w:sz w:val="24"/>
        </w:rPr>
        <w:t xml:space="preserve"> 日内</w:t>
      </w:r>
      <w:r>
        <w:rPr>
          <w:color w:val="auto"/>
          <w:spacing w:val="-2"/>
          <w:sz w:val="24"/>
        </w:rPr>
        <w:t>向采购人进行询问，采购人在收到磋商响应供应商的疑问后于</w:t>
      </w:r>
      <w:r>
        <w:rPr>
          <w:rFonts w:hint="eastAsia"/>
          <w:color w:val="auto"/>
          <w:spacing w:val="-2"/>
          <w:sz w:val="24"/>
          <w:lang w:val="en-US" w:eastAsia="zh-CN"/>
        </w:rPr>
        <w:t>2</w:t>
      </w:r>
      <w:r>
        <w:rPr>
          <w:color w:val="auto"/>
          <w:spacing w:val="-6"/>
          <w:sz w:val="24"/>
        </w:rPr>
        <w:t>日内将视情况确定采用适当方式予以澄清或以书面形式予以答复，并在其认为必要时，将书面答复发送已购买竞争性磋商文件的所有潜在磋商响应供应商。</w:t>
      </w:r>
    </w:p>
    <w:p w14:paraId="79C91224">
      <w:pPr>
        <w:pStyle w:val="38"/>
        <w:keepNext w:val="0"/>
        <w:keepLines w:val="0"/>
        <w:pageBreakBefore w:val="0"/>
        <w:widowControl w:val="0"/>
        <w:numPr>
          <w:ilvl w:val="1"/>
          <w:numId w:val="2"/>
        </w:numPr>
        <w:tabs>
          <w:tab w:val="left" w:pos="1101"/>
        </w:tabs>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sz w:val="24"/>
        </w:rPr>
        <w:t>采购人将视情况在认为必要时于采购截止时间前答疑</w:t>
      </w:r>
      <w:r>
        <w:rPr>
          <w:rFonts w:hint="eastAsia"/>
          <w:color w:val="auto"/>
          <w:sz w:val="24"/>
        </w:rPr>
        <w:t>。</w:t>
      </w:r>
    </w:p>
    <w:p w14:paraId="2ADE151E">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37" w:name="_Toc20123_WPSOffice_Level3"/>
      <w:r>
        <w:rPr>
          <w:color w:val="auto"/>
        </w:rPr>
        <w:t>6、竞争性磋商文件的修改</w:t>
      </w:r>
      <w:bookmarkEnd w:id="137"/>
    </w:p>
    <w:p w14:paraId="45066D44">
      <w:pPr>
        <w:pStyle w:val="38"/>
        <w:keepNext w:val="0"/>
        <w:keepLines w:val="0"/>
        <w:pageBreakBefore w:val="0"/>
        <w:widowControl w:val="0"/>
        <w:tabs>
          <w:tab w:val="left" w:pos="1101"/>
        </w:tabs>
        <w:kinsoku/>
        <w:wordWrap w:val="0"/>
        <w:overflowPunct/>
        <w:topLinePunct w:val="0"/>
        <w:bidi w:val="0"/>
        <w:adjustRightInd/>
        <w:snapToGrid/>
        <w:spacing w:line="480" w:lineRule="exact"/>
        <w:ind w:left="0" w:right="0" w:firstLine="472" w:firstLineChars="200"/>
        <w:jc w:val="left"/>
        <w:textAlignment w:val="auto"/>
        <w:rPr>
          <w:color w:val="auto"/>
          <w:spacing w:val="-2"/>
          <w:sz w:val="24"/>
        </w:rPr>
      </w:pPr>
      <w:r>
        <w:rPr>
          <w:color w:val="auto"/>
          <w:spacing w:val="-2"/>
          <w:sz w:val="24"/>
        </w:rPr>
        <w:t>6.1 竞争性磋商文件的修改书将构成磋商响应文件的一部分，对所有磋商响应供应商均有约束力。</w:t>
      </w:r>
    </w:p>
    <w:p w14:paraId="273FBAC0">
      <w:pPr>
        <w:pStyle w:val="38"/>
        <w:keepNext w:val="0"/>
        <w:keepLines w:val="0"/>
        <w:pageBreakBefore w:val="0"/>
        <w:widowControl w:val="0"/>
        <w:tabs>
          <w:tab w:val="left" w:pos="1101"/>
        </w:tabs>
        <w:kinsoku/>
        <w:wordWrap w:val="0"/>
        <w:overflowPunct/>
        <w:topLinePunct w:val="0"/>
        <w:bidi w:val="0"/>
        <w:adjustRightInd/>
        <w:snapToGrid/>
        <w:spacing w:line="480" w:lineRule="exact"/>
        <w:ind w:left="0" w:right="0" w:firstLine="482" w:firstLineChars="200"/>
        <w:jc w:val="left"/>
        <w:textAlignment w:val="auto"/>
        <w:rPr>
          <w:b/>
          <w:bCs/>
          <w:color w:val="auto"/>
          <w:sz w:val="24"/>
          <w:szCs w:val="24"/>
        </w:rPr>
      </w:pPr>
      <w:bookmarkStart w:id="138" w:name="_Toc12366_WPSOffice_Level3"/>
      <w:r>
        <w:rPr>
          <w:b/>
          <w:bCs/>
          <w:color w:val="auto"/>
          <w:sz w:val="24"/>
          <w:szCs w:val="24"/>
        </w:rPr>
        <w:t>7、要求</w:t>
      </w:r>
      <w:bookmarkEnd w:id="138"/>
    </w:p>
    <w:p w14:paraId="63EB7AB4">
      <w:pPr>
        <w:pStyle w:val="8"/>
        <w:keepNext w:val="0"/>
        <w:keepLines w:val="0"/>
        <w:pageBreakBefore w:val="0"/>
        <w:widowControl w:val="0"/>
        <w:kinsoku/>
        <w:wordWrap w:val="0"/>
        <w:overflowPunct/>
        <w:topLinePunct w:val="0"/>
        <w:bidi w:val="0"/>
        <w:adjustRightInd/>
        <w:snapToGrid/>
        <w:spacing w:line="480" w:lineRule="exact"/>
        <w:ind w:left="0" w:right="0" w:firstLine="472" w:firstLineChars="200"/>
        <w:jc w:val="left"/>
        <w:textAlignment w:val="auto"/>
        <w:rPr>
          <w:color w:val="auto"/>
        </w:rPr>
      </w:pPr>
      <w:r>
        <w:rPr>
          <w:color w:val="auto"/>
          <w:spacing w:val="-2"/>
        </w:rPr>
        <w:t>7.1 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1BEC9550">
      <w:pPr>
        <w:pStyle w:val="38"/>
        <w:keepNext w:val="0"/>
        <w:keepLines w:val="0"/>
        <w:pageBreakBefore w:val="0"/>
        <w:widowControl w:val="0"/>
        <w:tabs>
          <w:tab w:val="left" w:pos="1101"/>
        </w:tabs>
        <w:kinsoku/>
        <w:wordWrap w:val="0"/>
        <w:overflowPunct/>
        <w:topLinePunct w:val="0"/>
        <w:bidi w:val="0"/>
        <w:adjustRightInd/>
        <w:snapToGrid/>
        <w:spacing w:line="480" w:lineRule="exact"/>
        <w:ind w:left="0" w:right="0" w:firstLine="482" w:firstLineChars="200"/>
        <w:jc w:val="left"/>
        <w:textAlignment w:val="auto"/>
        <w:rPr>
          <w:b/>
          <w:bCs/>
          <w:color w:val="auto"/>
          <w:sz w:val="24"/>
          <w:szCs w:val="24"/>
        </w:rPr>
      </w:pPr>
      <w:bookmarkStart w:id="139" w:name="_Toc8655_WPSOffice_Level3"/>
      <w:r>
        <w:rPr>
          <w:b/>
          <w:bCs/>
          <w:color w:val="auto"/>
          <w:sz w:val="24"/>
          <w:szCs w:val="24"/>
        </w:rPr>
        <w:t>8、电子化磋商响应文件的组成</w:t>
      </w:r>
      <w:bookmarkEnd w:id="139"/>
    </w:p>
    <w:p w14:paraId="09B62AAA">
      <w:pPr>
        <w:pStyle w:val="38"/>
        <w:keepNext w:val="0"/>
        <w:keepLines w:val="0"/>
        <w:pageBreakBefore w:val="0"/>
        <w:widowControl w:val="0"/>
        <w:tabs>
          <w:tab w:val="left" w:pos="1101"/>
        </w:tabs>
        <w:kinsoku/>
        <w:wordWrap w:val="0"/>
        <w:overflowPunct/>
        <w:topLinePunct w:val="0"/>
        <w:bidi w:val="0"/>
        <w:adjustRightInd/>
        <w:snapToGrid/>
        <w:spacing w:line="480" w:lineRule="exact"/>
        <w:ind w:left="0" w:right="0" w:firstLine="480" w:firstLineChars="200"/>
        <w:jc w:val="left"/>
        <w:textAlignment w:val="auto"/>
        <w:rPr>
          <w:color w:val="auto"/>
          <w:sz w:val="24"/>
          <w:szCs w:val="24"/>
        </w:rPr>
      </w:pPr>
      <w:r>
        <w:rPr>
          <w:rFonts w:hint="eastAsia"/>
          <w:color w:val="auto"/>
          <w:sz w:val="24"/>
          <w:szCs w:val="24"/>
        </w:rPr>
        <w:t>详见第六章响应文件内容及格式</w:t>
      </w:r>
    </w:p>
    <w:p w14:paraId="0A3BB8FD">
      <w:pPr>
        <w:pStyle w:val="38"/>
        <w:keepNext w:val="0"/>
        <w:keepLines w:val="0"/>
        <w:pageBreakBefore w:val="0"/>
        <w:widowControl w:val="0"/>
        <w:tabs>
          <w:tab w:val="left" w:pos="1101"/>
        </w:tabs>
        <w:kinsoku/>
        <w:wordWrap w:val="0"/>
        <w:overflowPunct/>
        <w:topLinePunct w:val="0"/>
        <w:bidi w:val="0"/>
        <w:adjustRightInd/>
        <w:snapToGrid/>
        <w:spacing w:line="480" w:lineRule="exact"/>
        <w:ind w:left="0" w:right="0" w:firstLine="482" w:firstLineChars="200"/>
        <w:jc w:val="left"/>
        <w:textAlignment w:val="auto"/>
        <w:rPr>
          <w:b/>
          <w:bCs/>
          <w:color w:val="auto"/>
          <w:sz w:val="24"/>
          <w:szCs w:val="24"/>
        </w:rPr>
      </w:pPr>
      <w:bookmarkStart w:id="140" w:name="_Toc4976_WPSOffice_Level3"/>
      <w:r>
        <w:rPr>
          <w:b/>
          <w:bCs/>
          <w:color w:val="auto"/>
          <w:sz w:val="24"/>
          <w:szCs w:val="24"/>
        </w:rPr>
        <w:t>9、电子化磋商响应文件的格式</w:t>
      </w:r>
      <w:bookmarkEnd w:id="140"/>
    </w:p>
    <w:p w14:paraId="777126BC">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9.1</w:t>
      </w:r>
      <w:r>
        <w:rPr>
          <w:rFonts w:hint="eastAsia"/>
          <w:color w:val="auto"/>
          <w:spacing w:val="-12"/>
        </w:rPr>
        <w:t>投标供应商所上传的电子化响应文件，应是通过中心响应文件制作系统制作的，经过签章和加密后生成的电子版响应文件。上传投标文件格式后缀为SMXTF。上传完后，为了验证CA锁是否正常，建议模拟解密下</w:t>
      </w:r>
      <w:r>
        <w:rPr>
          <w:color w:val="auto"/>
        </w:rPr>
        <w:t>。</w:t>
      </w:r>
    </w:p>
    <w:p w14:paraId="5FB3B5A3">
      <w:pPr>
        <w:pStyle w:val="38"/>
        <w:keepNext w:val="0"/>
        <w:keepLines w:val="0"/>
        <w:pageBreakBefore w:val="0"/>
        <w:widowControl w:val="0"/>
        <w:tabs>
          <w:tab w:val="left" w:pos="1101"/>
        </w:tabs>
        <w:kinsoku/>
        <w:wordWrap w:val="0"/>
        <w:overflowPunct/>
        <w:topLinePunct w:val="0"/>
        <w:bidi w:val="0"/>
        <w:adjustRightInd/>
        <w:snapToGrid/>
        <w:spacing w:line="480" w:lineRule="exact"/>
        <w:ind w:left="0" w:right="0" w:firstLine="482" w:firstLineChars="200"/>
        <w:jc w:val="left"/>
        <w:textAlignment w:val="auto"/>
        <w:rPr>
          <w:b/>
          <w:bCs/>
          <w:color w:val="auto"/>
          <w:sz w:val="24"/>
          <w:szCs w:val="24"/>
        </w:rPr>
      </w:pPr>
      <w:bookmarkStart w:id="141" w:name="_Toc3669_WPSOffice_Level3"/>
      <w:r>
        <w:rPr>
          <w:b/>
          <w:bCs/>
          <w:color w:val="auto"/>
          <w:sz w:val="24"/>
          <w:szCs w:val="24"/>
        </w:rPr>
        <w:t>10、电子化磋商响应文件的签署</w:t>
      </w:r>
      <w:bookmarkEnd w:id="141"/>
    </w:p>
    <w:p w14:paraId="54264B7E">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color w:val="auto"/>
          <w:spacing w:val="-12"/>
        </w:rPr>
        <w:t>10.1 磋商响应供应商在进行电子化磋商响应文件签章时，竞争性磋商文件中要求磋商响应供应商盖章的，以签盖单位章为准；要求法定代表人</w:t>
      </w:r>
      <w:r>
        <w:rPr>
          <w:rFonts w:hint="eastAsia"/>
          <w:color w:val="auto"/>
          <w:spacing w:val="-12"/>
          <w:lang w:val="en-US" w:eastAsia="zh-CN"/>
        </w:rPr>
        <w:t>或授权委托人</w:t>
      </w:r>
      <w:r>
        <w:rPr>
          <w:color w:val="auto"/>
          <w:spacing w:val="-12"/>
        </w:rPr>
        <w:t>签章的，以签盖法定代表人签章为准。电子化磋商响应文件具体制作教材请供应商通过三门峡市公共资源</w:t>
      </w:r>
      <w:r>
        <w:rPr>
          <w:rFonts w:hint="eastAsia"/>
          <w:color w:val="auto"/>
          <w:spacing w:val="-12"/>
        </w:rPr>
        <w:t>交易平台网首页</w:t>
      </w:r>
      <w:r>
        <w:rPr>
          <w:color w:val="auto"/>
          <w:spacing w:val="-12"/>
        </w:rPr>
        <w:t>“下载</w:t>
      </w:r>
      <w:r>
        <w:rPr>
          <w:rFonts w:hint="eastAsia"/>
          <w:color w:val="auto"/>
          <w:spacing w:val="-12"/>
        </w:rPr>
        <w:t>专区</w:t>
      </w:r>
      <w:r>
        <w:rPr>
          <w:color w:val="auto"/>
          <w:spacing w:val="-12"/>
        </w:rPr>
        <w:t>”中查看。</w:t>
      </w:r>
    </w:p>
    <w:p w14:paraId="62EEEDFB">
      <w:pPr>
        <w:pStyle w:val="5"/>
        <w:keepNext w:val="0"/>
        <w:keepLines w:val="0"/>
        <w:pageBreakBefore w:val="0"/>
        <w:widowControl w:val="0"/>
        <w:tabs>
          <w:tab w:val="left" w:pos="687"/>
        </w:tabs>
        <w:kinsoku/>
        <w:wordWrap w:val="0"/>
        <w:overflowPunct/>
        <w:topLinePunct w:val="0"/>
        <w:bidi w:val="0"/>
        <w:adjustRightInd/>
        <w:snapToGrid/>
        <w:spacing w:line="480" w:lineRule="exact"/>
        <w:ind w:left="0" w:right="0" w:firstLine="482" w:firstLineChars="200"/>
        <w:jc w:val="left"/>
        <w:textAlignment w:val="auto"/>
        <w:rPr>
          <w:color w:val="auto"/>
        </w:rPr>
      </w:pPr>
      <w:bookmarkStart w:id="142" w:name="_Toc1982_WPSOffice_Level3"/>
      <w:r>
        <w:rPr>
          <w:color w:val="auto"/>
        </w:rPr>
        <w:t>11、电子化磋商响应文件的上传</w:t>
      </w:r>
      <w:bookmarkEnd w:id="142"/>
    </w:p>
    <w:p w14:paraId="004F4D7E">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11.1</w:t>
      </w:r>
      <w:r>
        <w:rPr>
          <w:color w:val="auto"/>
          <w:spacing w:val="-9"/>
        </w:rPr>
        <w:t xml:space="preserve"> 电子化磋商响应文件应在磋商截止时间前成功上传至三门峡市公共资源电子化</w:t>
      </w:r>
      <w:r>
        <w:rPr>
          <w:color w:val="auto"/>
        </w:rPr>
        <w:t>交易系统。至磋商截止时间止，仍未上传成功的电子化磋商响应文件将不予接收。</w:t>
      </w:r>
    </w:p>
    <w:p w14:paraId="49FCE013">
      <w:pPr>
        <w:pStyle w:val="8"/>
        <w:keepNext w:val="0"/>
        <w:keepLines w:val="0"/>
        <w:pageBreakBefore w:val="0"/>
        <w:widowControl w:val="0"/>
        <w:kinsoku/>
        <w:wordWrap w:val="0"/>
        <w:overflowPunct/>
        <w:topLinePunct w:val="0"/>
        <w:bidi w:val="0"/>
        <w:adjustRightInd/>
        <w:snapToGrid/>
        <w:spacing w:line="480" w:lineRule="exact"/>
        <w:ind w:left="0" w:right="0" w:firstLine="366" w:firstLineChars="200"/>
        <w:jc w:val="left"/>
        <w:textAlignment w:val="auto"/>
        <w:rPr>
          <w:color w:val="auto"/>
        </w:rPr>
      </w:pPr>
      <w:r>
        <w:rPr>
          <w:b/>
          <w:color w:val="auto"/>
          <w:spacing w:val="-29"/>
        </w:rPr>
        <w:t>注：</w:t>
      </w:r>
      <w:r>
        <w:rPr>
          <w:color w:val="auto"/>
          <w:spacing w:val="-3"/>
        </w:rPr>
        <w:t>如按照电子化投标操作教材制作完成的电子化磋商响应文件无法上传的，磋商响</w:t>
      </w:r>
      <w:r>
        <w:rPr>
          <w:color w:val="auto"/>
        </w:rPr>
        <w:t>应供应商应在磋商截止时间前尽早的联系中心技术人员，以便有充分的时间进行处理。磋商响应供应商应充分考虑到处理技术问题和上传数据等工作的时间问题，磋商响应文件未在磋商截止时间前成功上传的，其磋商响应文件不予接收。</w:t>
      </w:r>
    </w:p>
    <w:p w14:paraId="479F4FFE">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43" w:name="_Toc4328_WPSOffice_Level3"/>
      <w:r>
        <w:rPr>
          <w:color w:val="auto"/>
        </w:rPr>
        <w:t>12、磋商截止时间</w:t>
      </w:r>
      <w:bookmarkEnd w:id="143"/>
    </w:p>
    <w:p w14:paraId="7F9A1210">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12.1 电子化磋商响应文件的截止时间见本须知前附表规定。</w:t>
      </w:r>
    </w:p>
    <w:p w14:paraId="7B84DAD1">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44" w:name="_Toc14892_WPSOffice_Level3"/>
      <w:r>
        <w:rPr>
          <w:color w:val="auto"/>
        </w:rPr>
        <w:t>13、电子化磋商响应文件的补充、修改与撤回</w:t>
      </w:r>
      <w:bookmarkEnd w:id="144"/>
    </w:p>
    <w:p w14:paraId="071B00F7">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color w:val="auto"/>
          <w:spacing w:val="-12"/>
        </w:rPr>
        <w:t>13.1 在磋商截止时间之后，磋商响应供应商不得补充、修改电子化磋商响应文件。</w:t>
      </w:r>
    </w:p>
    <w:p w14:paraId="2AF238F6">
      <w:pPr>
        <w:pStyle w:val="8"/>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b/>
          <w:bCs/>
          <w:color w:val="auto"/>
        </w:rPr>
      </w:pPr>
      <w:bookmarkStart w:id="145" w:name="_Toc16713_WPSOffice_Level3"/>
      <w:r>
        <w:rPr>
          <w:b/>
          <w:bCs/>
          <w:color w:val="auto"/>
        </w:rPr>
        <w:t>14、磋商报价</w:t>
      </w:r>
      <w:bookmarkEnd w:id="145"/>
    </w:p>
    <w:p w14:paraId="0605FC93">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b/>
          <w:bCs/>
          <w:color w:val="auto"/>
        </w:rPr>
      </w:pPr>
      <w:r>
        <w:rPr>
          <w:rFonts w:hint="eastAsia"/>
          <w:color w:val="auto"/>
          <w:spacing w:val="-12"/>
          <w:lang w:val="en-US"/>
        </w:rPr>
        <w:t xml:space="preserve">14.1 </w:t>
      </w:r>
      <w:r>
        <w:rPr>
          <w:color w:val="auto"/>
          <w:spacing w:val="-12"/>
        </w:rPr>
        <w:t>本次磋商采购的均须以</w:t>
      </w:r>
      <w:r>
        <w:rPr>
          <w:rFonts w:hint="eastAsia"/>
          <w:color w:val="auto"/>
          <w:spacing w:val="-12"/>
          <w:lang w:val="en-US" w:eastAsia="zh-CN"/>
        </w:rPr>
        <w:t>总价方式报价</w:t>
      </w:r>
      <w:r>
        <w:rPr>
          <w:color w:val="auto"/>
          <w:spacing w:val="-12"/>
        </w:rPr>
        <w:t>。</w:t>
      </w:r>
    </w:p>
    <w:p w14:paraId="73F5142A">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rFonts w:hint="eastAsia"/>
          <w:color w:val="auto"/>
          <w:spacing w:val="-12"/>
          <w:lang w:val="en-US"/>
        </w:rPr>
        <w:t xml:space="preserve">14.2 </w:t>
      </w:r>
      <w:r>
        <w:rPr>
          <w:color w:val="auto"/>
          <w:spacing w:val="-12"/>
        </w:rPr>
        <w:t>磋商响应供应商</w:t>
      </w:r>
      <w:r>
        <w:rPr>
          <w:rFonts w:hint="eastAsia"/>
          <w:color w:val="auto"/>
          <w:spacing w:val="-12"/>
          <w:lang w:val="en-US"/>
        </w:rPr>
        <w:t>所报总价包含此项目中</w:t>
      </w:r>
      <w:r>
        <w:rPr>
          <w:rFonts w:hint="eastAsia"/>
          <w:color w:val="auto"/>
          <w:spacing w:val="-12"/>
          <w:lang w:val="en-US" w:eastAsia="zh-CN"/>
        </w:rPr>
        <w:t>所有服务内容</w:t>
      </w:r>
      <w:r>
        <w:rPr>
          <w:rFonts w:hint="eastAsia"/>
          <w:color w:val="auto"/>
          <w:spacing w:val="-12"/>
          <w:lang w:val="en-US"/>
        </w:rPr>
        <w:t>、税金、等所有费用</w:t>
      </w:r>
      <w:r>
        <w:rPr>
          <w:color w:val="auto"/>
          <w:spacing w:val="-12"/>
        </w:rPr>
        <w:t>。</w:t>
      </w:r>
    </w:p>
    <w:p w14:paraId="7F1D866E">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rFonts w:hint="eastAsia"/>
          <w:color w:val="auto"/>
          <w:spacing w:val="-12"/>
          <w:lang w:val="en-US"/>
        </w:rPr>
        <w:t xml:space="preserve">14.3 </w:t>
      </w:r>
      <w:r>
        <w:rPr>
          <w:color w:val="auto"/>
          <w:spacing w:val="-12"/>
        </w:rPr>
        <w:t>磋商响应供应商应充分考虑市场风险和国家政策性风险系数，根据企业具体情况在合理的范围内自主报价，但不得低于企业实际成本。</w:t>
      </w:r>
    </w:p>
    <w:p w14:paraId="59257699">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rFonts w:hint="eastAsia"/>
          <w:color w:val="auto"/>
          <w:spacing w:val="-12"/>
          <w:lang w:val="en-US"/>
        </w:rPr>
        <w:t xml:space="preserve">14.4 </w:t>
      </w:r>
      <w:r>
        <w:rPr>
          <w:color w:val="auto"/>
          <w:spacing w:val="-12"/>
        </w:rPr>
        <w:t>磋商响应供应商的磋商报价应包含验收合格正式交付使用前所发生的一切费用，且磋商响应供应商只能提出一个报价，采购人不接受任何有选择的报价，最后报价不得超过项目采购预算。</w:t>
      </w:r>
    </w:p>
    <w:p w14:paraId="6D5D08B5">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rFonts w:hint="eastAsia"/>
          <w:color w:val="auto"/>
          <w:spacing w:val="-12"/>
          <w:lang w:val="en-US"/>
        </w:rPr>
        <w:t xml:space="preserve">14.5 </w:t>
      </w:r>
      <w:r>
        <w:rPr>
          <w:color w:val="auto"/>
          <w:spacing w:val="-12"/>
        </w:rPr>
        <w:t>磋商响应供应商的报价明显低于其他报价，使得其报价可能低于其个别成本的， 有可能影响</w:t>
      </w:r>
      <w:r>
        <w:rPr>
          <w:rFonts w:hint="eastAsia"/>
          <w:color w:val="auto"/>
          <w:spacing w:val="-12"/>
          <w:lang w:val="en-US" w:eastAsia="zh-CN"/>
        </w:rPr>
        <w:t>项目实施</w:t>
      </w:r>
      <w:r>
        <w:rPr>
          <w:color w:val="auto"/>
          <w:spacing w:val="-12"/>
        </w:rPr>
        <w:t>和不能诚信履约的，应当要求该报价人作出书面说明并提供相关证明材料。报价人不能合理说明或者不能提供相关证明材料的，由磋商小组认定该报价人以低于成本报价，其报价应作无效报价处理。</w:t>
      </w:r>
    </w:p>
    <w:p w14:paraId="0908DF28">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rFonts w:hint="eastAsia"/>
          <w:color w:val="auto"/>
          <w:spacing w:val="-12"/>
          <w:lang w:val="en-US"/>
        </w:rPr>
        <w:t>14.6</w:t>
      </w:r>
      <w:r>
        <w:rPr>
          <w:b/>
          <w:bCs/>
          <w:color w:val="auto"/>
          <w:spacing w:val="-12"/>
        </w:rPr>
        <w:t>本次采购为竞争性磋商采购，允许二次报价。</w:t>
      </w:r>
    </w:p>
    <w:p w14:paraId="42DE7BC3">
      <w:pPr>
        <w:pStyle w:val="8"/>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b/>
          <w:bCs/>
          <w:color w:val="auto"/>
        </w:rPr>
      </w:pPr>
      <w:bookmarkStart w:id="146" w:name="_Toc28583_WPSOffice_Level3"/>
      <w:r>
        <w:rPr>
          <w:rFonts w:hint="eastAsia"/>
          <w:b/>
          <w:bCs/>
          <w:color w:val="auto"/>
          <w:lang w:val="en-US"/>
        </w:rPr>
        <w:t>15、</w:t>
      </w:r>
      <w:r>
        <w:rPr>
          <w:b/>
          <w:bCs/>
          <w:color w:val="auto"/>
        </w:rPr>
        <w:t>磋商响应供应商资格的证明文件</w:t>
      </w:r>
      <w:bookmarkEnd w:id="146"/>
    </w:p>
    <w:p w14:paraId="63118078">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rFonts w:hint="eastAsia"/>
          <w:color w:val="auto"/>
          <w:spacing w:val="-12"/>
          <w:lang w:val="en-US"/>
        </w:rPr>
        <w:t>15.1</w:t>
      </w:r>
      <w:r>
        <w:rPr>
          <w:color w:val="auto"/>
          <w:spacing w:val="-12"/>
        </w:rPr>
        <w:t>证明磋商响应供应商是有资格参加磋商的。</w:t>
      </w:r>
    </w:p>
    <w:p w14:paraId="58996768">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rPr>
      </w:pPr>
      <w:r>
        <w:rPr>
          <w:rFonts w:hint="eastAsia"/>
          <w:color w:val="auto"/>
          <w:spacing w:val="-12"/>
          <w:lang w:val="en-US"/>
        </w:rPr>
        <w:t>15.2</w:t>
      </w:r>
      <w:r>
        <w:rPr>
          <w:color w:val="auto"/>
          <w:spacing w:val="-12"/>
        </w:rPr>
        <w:t>证明磋商响应供应商有能力履行竞争性磋商文件中合同条款和技术要求规定的由磋商响应供应商提供的服务等义务。</w:t>
      </w:r>
    </w:p>
    <w:p w14:paraId="7E77A48E">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47" w:name="_Toc29721_WPSOffice_Level3"/>
      <w:r>
        <w:rPr>
          <w:color w:val="auto"/>
        </w:rPr>
        <w:t>16、磋商保证金</w:t>
      </w:r>
      <w:bookmarkEnd w:id="147"/>
    </w:p>
    <w:p w14:paraId="14C35558">
      <w:pPr>
        <w:pStyle w:val="8"/>
        <w:keepNext w:val="0"/>
        <w:keepLines w:val="0"/>
        <w:pageBreakBefore w:val="0"/>
        <w:widowControl w:val="0"/>
        <w:kinsoku/>
        <w:wordWrap w:val="0"/>
        <w:overflowPunct/>
        <w:topLinePunct w:val="0"/>
        <w:bidi w:val="0"/>
        <w:adjustRightInd/>
        <w:snapToGrid/>
        <w:spacing w:line="480" w:lineRule="exact"/>
        <w:ind w:left="0" w:right="0" w:firstLine="432" w:firstLineChars="200"/>
        <w:jc w:val="left"/>
        <w:textAlignment w:val="auto"/>
        <w:rPr>
          <w:color w:val="auto"/>
          <w:spacing w:val="-12"/>
          <w:lang w:val="en-US"/>
        </w:rPr>
      </w:pPr>
      <w:bookmarkStart w:id="148" w:name="_Toc26640_WPSOffice_Level3"/>
      <w:r>
        <w:rPr>
          <w:rFonts w:hint="eastAsia"/>
          <w:color w:val="auto"/>
          <w:spacing w:val="-12"/>
          <w:lang w:val="en-US"/>
        </w:rPr>
        <w:t>根据《河南省财政厅关于优化政府采购营商环境有关问题的通知》（豫财购【2019】4号）第6条的规定，本项目磋商保证金不再收取，供应商须提供投标承诺书（详见第六章响应文件格式）</w:t>
      </w:r>
    </w:p>
    <w:p w14:paraId="4AA7311D">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r>
        <w:rPr>
          <w:color w:val="auto"/>
        </w:rPr>
        <w:t>17、磋商响应文件有效期</w:t>
      </w:r>
      <w:bookmarkEnd w:id="148"/>
    </w:p>
    <w:p w14:paraId="314CC07C">
      <w:pPr>
        <w:pStyle w:val="38"/>
        <w:keepNext w:val="0"/>
        <w:keepLines w:val="0"/>
        <w:pageBreakBefore w:val="0"/>
        <w:widowControl w:val="0"/>
        <w:numPr>
          <w:ilvl w:val="1"/>
          <w:numId w:val="3"/>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响应性文件从首次递交竞争性磋商响应文件截止时间之日起开始生效，磋商有</w:t>
      </w:r>
      <w:r>
        <w:rPr>
          <w:color w:val="auto"/>
          <w:spacing w:val="-15"/>
          <w:sz w:val="24"/>
        </w:rPr>
        <w:t>效期为</w:t>
      </w:r>
      <w:r>
        <w:rPr>
          <w:rFonts w:hint="eastAsia"/>
          <w:color w:val="auto"/>
          <w:spacing w:val="-15"/>
          <w:sz w:val="24"/>
          <w:lang w:val="en-US" w:eastAsia="zh-CN"/>
        </w:rPr>
        <w:t>60</w:t>
      </w:r>
      <w:r>
        <w:rPr>
          <w:color w:val="auto"/>
          <w:spacing w:val="-8"/>
          <w:sz w:val="24"/>
        </w:rPr>
        <w:t>日历天，有效期短于此规定的响应文件将被视为无效文件。</w:t>
      </w:r>
    </w:p>
    <w:p w14:paraId="61F3A6BC">
      <w:pPr>
        <w:pStyle w:val="38"/>
        <w:keepNext w:val="0"/>
        <w:keepLines w:val="0"/>
        <w:pageBreakBefore w:val="0"/>
        <w:widowControl w:val="0"/>
        <w:numPr>
          <w:ilvl w:val="1"/>
          <w:numId w:val="3"/>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59BBE91D">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49" w:name="_Toc14449_WPSOffice_Level3"/>
      <w:r>
        <w:rPr>
          <w:color w:val="auto"/>
        </w:rPr>
        <w:t>18、磋商</w:t>
      </w:r>
      <w:bookmarkEnd w:id="149"/>
    </w:p>
    <w:p w14:paraId="135C64BD">
      <w:pPr>
        <w:pStyle w:val="38"/>
        <w:keepNext w:val="0"/>
        <w:keepLines w:val="0"/>
        <w:pageBreakBefore w:val="0"/>
        <w:widowControl w:val="0"/>
        <w:numPr>
          <w:ilvl w:val="1"/>
          <w:numId w:val="4"/>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采购人按本须知前附表规定的时间和地点磋商。</w:t>
      </w:r>
    </w:p>
    <w:p w14:paraId="5B3CE3BB">
      <w:pPr>
        <w:pStyle w:val="38"/>
        <w:keepNext w:val="0"/>
        <w:keepLines w:val="0"/>
        <w:pageBreakBefore w:val="0"/>
        <w:widowControl w:val="0"/>
        <w:numPr>
          <w:ilvl w:val="1"/>
          <w:numId w:val="4"/>
        </w:numPr>
        <w:tabs>
          <w:tab w:val="left" w:pos="1222"/>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磋商会议由采购代理机构主持；</w:t>
      </w:r>
    </w:p>
    <w:p w14:paraId="59873DE4">
      <w:pPr>
        <w:pStyle w:val="38"/>
        <w:keepNext w:val="0"/>
        <w:keepLines w:val="0"/>
        <w:pageBreakBefore w:val="0"/>
        <w:widowControl w:val="0"/>
        <w:numPr>
          <w:ilvl w:val="1"/>
          <w:numId w:val="4"/>
        </w:numPr>
        <w:tabs>
          <w:tab w:val="left" w:pos="1222"/>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宣布磋商会议纪律；</w:t>
      </w:r>
    </w:p>
    <w:p w14:paraId="6AC0F006">
      <w:pPr>
        <w:pStyle w:val="38"/>
        <w:keepNext w:val="0"/>
        <w:keepLines w:val="0"/>
        <w:pageBreakBefore w:val="0"/>
        <w:widowControl w:val="0"/>
        <w:numPr>
          <w:ilvl w:val="1"/>
          <w:numId w:val="4"/>
        </w:numPr>
        <w:tabs>
          <w:tab w:val="left" w:pos="1222"/>
        </w:tabs>
        <w:kinsoku/>
        <w:wordWrap w:val="0"/>
        <w:overflowPunct/>
        <w:topLinePunct w:val="0"/>
        <w:bidi w:val="0"/>
        <w:adjustRightInd/>
        <w:snapToGrid/>
        <w:spacing w:line="480" w:lineRule="exact"/>
        <w:ind w:left="0" w:right="0" w:firstLine="436" w:firstLineChars="200"/>
        <w:jc w:val="left"/>
        <w:textAlignment w:val="auto"/>
        <w:rPr>
          <w:color w:val="auto"/>
          <w:sz w:val="24"/>
        </w:rPr>
      </w:pPr>
      <w:r>
        <w:rPr>
          <w:color w:val="auto"/>
          <w:spacing w:val="-11"/>
          <w:sz w:val="24"/>
        </w:rPr>
        <w:t>磋商时，电子招标投标交易平台自动提取所有电子化磋商响应文件，按时在线解</w:t>
      </w:r>
      <w:r>
        <w:rPr>
          <w:color w:val="auto"/>
          <w:sz w:val="24"/>
        </w:rPr>
        <w:t>密</w:t>
      </w:r>
      <w:r>
        <w:rPr>
          <w:rFonts w:hint="eastAsia"/>
          <w:color w:val="auto"/>
          <w:sz w:val="24"/>
        </w:rPr>
        <w:t>；</w:t>
      </w:r>
    </w:p>
    <w:p w14:paraId="7DF6D9A6">
      <w:pPr>
        <w:pStyle w:val="38"/>
        <w:keepNext w:val="0"/>
        <w:keepLines w:val="0"/>
        <w:pageBreakBefore w:val="0"/>
        <w:widowControl w:val="0"/>
        <w:numPr>
          <w:ilvl w:val="1"/>
          <w:numId w:val="4"/>
        </w:numPr>
        <w:tabs>
          <w:tab w:val="left" w:pos="1222"/>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电子化磋商响应文件的有效性</w:t>
      </w:r>
    </w:p>
    <w:p w14:paraId="4BA0ECEE">
      <w:pPr>
        <w:pStyle w:val="38"/>
        <w:keepNext w:val="0"/>
        <w:keepLines w:val="0"/>
        <w:pageBreakBefore w:val="0"/>
        <w:widowControl w:val="0"/>
        <w:tabs>
          <w:tab w:val="left" w:pos="1222"/>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rFonts w:hint="eastAsia"/>
          <w:color w:val="auto"/>
          <w:sz w:val="24"/>
          <w:lang w:val="en-US"/>
        </w:rPr>
        <w:t>18.5.1</w:t>
      </w:r>
      <w:r>
        <w:rPr>
          <w:color w:val="auto"/>
          <w:sz w:val="24"/>
        </w:rPr>
        <w:t>电子化磋商响应文件有下列情形的为无效电子化磋商响应文件，采购人不予受理：因磋商响应供应商原因造成磋商响应文件未解密的，视为撤销其磋商响应文件；因磋商响应供应商之外的原因造成电子化磋商响应文件未解密的，视为撤回其磋商响应文件，磋商响应供应商有权要求责任方赔偿因此遭受的直接损失。部分电子化磋商响应文件未解密的，其他电子化磋商</w:t>
      </w:r>
      <w:r>
        <w:rPr>
          <w:rFonts w:hint="eastAsia"/>
          <w:color w:val="auto"/>
          <w:sz w:val="24"/>
        </w:rPr>
        <w:t>可以继续进行</w:t>
      </w:r>
      <w:r>
        <w:rPr>
          <w:color w:val="auto"/>
          <w:sz w:val="24"/>
        </w:rPr>
        <w:t>。</w:t>
      </w:r>
    </w:p>
    <w:p w14:paraId="6E640D27">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0" w:name="_Toc29167_WPSOffice_Level3"/>
      <w:r>
        <w:rPr>
          <w:color w:val="auto"/>
        </w:rPr>
        <w:t>19、磋商小组</w:t>
      </w:r>
      <w:bookmarkEnd w:id="150"/>
    </w:p>
    <w:p w14:paraId="70C400A7">
      <w:pPr>
        <w:pStyle w:val="38"/>
        <w:keepNext w:val="0"/>
        <w:keepLines w:val="0"/>
        <w:pageBreakBefore w:val="0"/>
        <w:widowControl w:val="0"/>
        <w:numPr>
          <w:ilvl w:val="1"/>
          <w:numId w:val="5"/>
        </w:numPr>
        <w:tabs>
          <w:tab w:val="left" w:pos="1281"/>
        </w:tabs>
        <w:kinsoku/>
        <w:wordWrap w:val="0"/>
        <w:overflowPunct/>
        <w:topLinePunct w:val="0"/>
        <w:bidi w:val="0"/>
        <w:adjustRightInd/>
        <w:snapToGrid/>
        <w:spacing w:line="480" w:lineRule="exact"/>
        <w:ind w:left="0" w:right="0" w:firstLine="444" w:firstLineChars="200"/>
        <w:jc w:val="left"/>
        <w:textAlignment w:val="auto"/>
        <w:rPr>
          <w:color w:val="auto"/>
          <w:sz w:val="24"/>
        </w:rPr>
      </w:pPr>
      <w:r>
        <w:rPr>
          <w:color w:val="auto"/>
          <w:spacing w:val="-9"/>
          <w:sz w:val="24"/>
        </w:rPr>
        <w:t xml:space="preserve">磋商小组由 </w:t>
      </w:r>
      <w:r>
        <w:rPr>
          <w:color w:val="auto"/>
          <w:sz w:val="24"/>
        </w:rPr>
        <w:t>3</w:t>
      </w:r>
      <w:r>
        <w:rPr>
          <w:color w:val="auto"/>
          <w:spacing w:val="-12"/>
          <w:sz w:val="24"/>
        </w:rPr>
        <w:t xml:space="preserve"> 人构成：采购人代表 </w:t>
      </w:r>
      <w:r>
        <w:rPr>
          <w:color w:val="auto"/>
          <w:sz w:val="24"/>
        </w:rPr>
        <w:t>1</w:t>
      </w:r>
      <w:r>
        <w:rPr>
          <w:color w:val="auto"/>
          <w:spacing w:val="-12"/>
          <w:sz w:val="24"/>
        </w:rPr>
        <w:t xml:space="preserve"> 人，经济、技术方面专家 </w:t>
      </w:r>
      <w:r>
        <w:rPr>
          <w:color w:val="auto"/>
          <w:sz w:val="24"/>
        </w:rPr>
        <w:t>2</w:t>
      </w:r>
      <w:r>
        <w:rPr>
          <w:color w:val="auto"/>
          <w:spacing w:val="-9"/>
          <w:sz w:val="24"/>
        </w:rPr>
        <w:t xml:space="preserve"> 人，在磋商会议开始</w:t>
      </w:r>
      <w:r>
        <w:rPr>
          <w:rFonts w:hint="eastAsia"/>
          <w:color w:val="auto"/>
          <w:spacing w:val="-9"/>
          <w:sz w:val="24"/>
          <w:lang w:val="en-US" w:eastAsia="zh-CN"/>
        </w:rPr>
        <w:t>后</w:t>
      </w:r>
      <w:r>
        <w:rPr>
          <w:color w:val="auto"/>
          <w:spacing w:val="-9"/>
          <w:sz w:val="24"/>
        </w:rPr>
        <w:t>从</w:t>
      </w:r>
      <w:r>
        <w:rPr>
          <w:rFonts w:hint="eastAsia"/>
          <w:color w:val="auto"/>
          <w:spacing w:val="-9"/>
          <w:sz w:val="24"/>
          <w:lang w:val="en-US" w:eastAsia="zh-CN"/>
        </w:rPr>
        <w:t>河南省财政厅专家库卢氏终端</w:t>
      </w:r>
      <w:r>
        <w:rPr>
          <w:rFonts w:hint="eastAsia"/>
          <w:color w:val="auto"/>
          <w:spacing w:val="-9"/>
          <w:sz w:val="24"/>
        </w:rPr>
        <w:t>标随机抽取。</w:t>
      </w:r>
    </w:p>
    <w:p w14:paraId="5D563BF8">
      <w:pPr>
        <w:pStyle w:val="38"/>
        <w:keepNext w:val="0"/>
        <w:keepLines w:val="0"/>
        <w:pageBreakBefore w:val="0"/>
        <w:widowControl w:val="0"/>
        <w:numPr>
          <w:ilvl w:val="1"/>
          <w:numId w:val="5"/>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磋商小组对所有磋商响应供应商的磋商响应文件进行评审，按评审后得分由高到低顺序排列，递交给采购人。</w:t>
      </w:r>
    </w:p>
    <w:p w14:paraId="159E4E7D">
      <w:pPr>
        <w:pStyle w:val="38"/>
        <w:keepNext w:val="0"/>
        <w:keepLines w:val="0"/>
        <w:pageBreakBefore w:val="0"/>
        <w:widowControl w:val="0"/>
        <w:numPr>
          <w:ilvl w:val="1"/>
          <w:numId w:val="5"/>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64E041A">
      <w:pPr>
        <w:pStyle w:val="38"/>
        <w:keepNext w:val="0"/>
        <w:keepLines w:val="0"/>
        <w:pageBreakBefore w:val="0"/>
        <w:widowControl w:val="0"/>
        <w:numPr>
          <w:ilvl w:val="1"/>
          <w:numId w:val="5"/>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5579CAB">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1" w:name="_Toc30532_WPSOffice_Level3"/>
      <w:r>
        <w:rPr>
          <w:color w:val="auto"/>
        </w:rPr>
        <w:t>20、磋商程序</w:t>
      </w:r>
      <w:bookmarkEnd w:id="151"/>
    </w:p>
    <w:p w14:paraId="797C1C83">
      <w:pPr>
        <w:pStyle w:val="38"/>
        <w:keepNext w:val="0"/>
        <w:keepLines w:val="0"/>
        <w:pageBreakBefore w:val="0"/>
        <w:widowControl w:val="0"/>
        <w:numPr>
          <w:ilvl w:val="1"/>
          <w:numId w:val="6"/>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磋商小组所有成员集中评审磋商响应文件及集中与磋商响应供应商分别进行磋商。</w:t>
      </w:r>
    </w:p>
    <w:p w14:paraId="106B66B4">
      <w:pPr>
        <w:pStyle w:val="38"/>
        <w:keepNext w:val="0"/>
        <w:keepLines w:val="0"/>
        <w:pageBreakBefore w:val="0"/>
        <w:widowControl w:val="0"/>
        <w:numPr>
          <w:ilvl w:val="1"/>
          <w:numId w:val="6"/>
        </w:numPr>
        <w:tabs>
          <w:tab w:val="left" w:pos="1281"/>
        </w:tabs>
        <w:kinsoku/>
        <w:wordWrap w:val="0"/>
        <w:overflowPunct/>
        <w:topLinePunct w:val="0"/>
        <w:bidi w:val="0"/>
        <w:adjustRightInd/>
        <w:snapToGrid/>
        <w:spacing w:line="480" w:lineRule="exact"/>
        <w:ind w:left="0" w:right="0" w:firstLine="464" w:firstLineChars="200"/>
        <w:jc w:val="left"/>
        <w:textAlignment w:val="auto"/>
        <w:rPr>
          <w:color w:val="auto"/>
        </w:rPr>
      </w:pPr>
      <w:r>
        <w:rPr>
          <w:color w:val="auto"/>
          <w:spacing w:val="-4"/>
          <w:sz w:val="24"/>
        </w:rPr>
        <w:t>磋商小组首先对所有磋商响应文件进行资格性和</w:t>
      </w:r>
      <w:r>
        <w:rPr>
          <w:rFonts w:hint="eastAsia"/>
          <w:color w:val="auto"/>
          <w:spacing w:val="-4"/>
          <w:sz w:val="24"/>
        </w:rPr>
        <w:t>初步</w:t>
      </w:r>
      <w:r>
        <w:rPr>
          <w:color w:val="auto"/>
          <w:spacing w:val="-4"/>
          <w:sz w:val="24"/>
        </w:rPr>
        <w:t xml:space="preserve">审查。资格性审查是指： </w:t>
      </w:r>
      <w:r>
        <w:rPr>
          <w:color w:val="auto"/>
          <w:spacing w:val="-2"/>
          <w:sz w:val="24"/>
        </w:rPr>
        <w:t>磋商小组按照竞争性磋商文件第</w:t>
      </w:r>
      <w:r>
        <w:rPr>
          <w:rFonts w:hint="eastAsia"/>
          <w:color w:val="auto"/>
          <w:spacing w:val="-2"/>
          <w:sz w:val="24"/>
        </w:rPr>
        <w:t>四</w:t>
      </w:r>
      <w:r>
        <w:rPr>
          <w:color w:val="auto"/>
          <w:spacing w:val="-2"/>
          <w:sz w:val="24"/>
        </w:rPr>
        <w:t>章</w:t>
      </w:r>
      <w:r>
        <w:rPr>
          <w:rFonts w:hint="eastAsia"/>
          <w:color w:val="auto"/>
          <w:spacing w:val="-2"/>
          <w:sz w:val="24"/>
        </w:rPr>
        <w:t>评审办法</w:t>
      </w:r>
      <w:r>
        <w:rPr>
          <w:color w:val="auto"/>
          <w:spacing w:val="-9"/>
          <w:sz w:val="24"/>
        </w:rPr>
        <w:t>的要求， 对磋商响应供应商进行</w:t>
      </w:r>
      <w:r>
        <w:rPr>
          <w:rFonts w:hint="eastAsia"/>
          <w:color w:val="auto"/>
          <w:spacing w:val="-9"/>
          <w:sz w:val="24"/>
        </w:rPr>
        <w:t>资格</w:t>
      </w:r>
      <w:r>
        <w:rPr>
          <w:color w:val="auto"/>
          <w:spacing w:val="-9"/>
          <w:sz w:val="24"/>
        </w:rPr>
        <w:t>审查，有一项不符合的，视为未通过资格审查，不得进入下一评</w:t>
      </w:r>
      <w:r>
        <w:rPr>
          <w:color w:val="auto"/>
          <w:spacing w:val="-10"/>
          <w:sz w:val="24"/>
        </w:rPr>
        <w:t>审过程。磋商小组按照竞争性磋商文件</w:t>
      </w:r>
      <w:r>
        <w:rPr>
          <w:rFonts w:hint="eastAsia"/>
          <w:color w:val="auto"/>
          <w:spacing w:val="-10"/>
          <w:sz w:val="24"/>
        </w:rPr>
        <w:t>及第四章评审办法中形式、响应性评审</w:t>
      </w:r>
      <w:r>
        <w:rPr>
          <w:color w:val="auto"/>
          <w:spacing w:val="-10"/>
          <w:sz w:val="24"/>
        </w:rPr>
        <w:t>的要求，对磋商响应供应商进行审查，有一项不符合的，视为未通过</w:t>
      </w:r>
      <w:r>
        <w:rPr>
          <w:rFonts w:hint="eastAsia"/>
          <w:color w:val="auto"/>
          <w:spacing w:val="-10"/>
          <w:sz w:val="24"/>
        </w:rPr>
        <w:t>初步</w:t>
      </w:r>
      <w:r>
        <w:rPr>
          <w:color w:val="auto"/>
          <w:spacing w:val="-10"/>
          <w:sz w:val="24"/>
        </w:rPr>
        <w:t>审查。未通过资格性和</w:t>
      </w:r>
      <w:r>
        <w:rPr>
          <w:rFonts w:hint="eastAsia"/>
          <w:color w:val="auto"/>
          <w:spacing w:val="-10"/>
          <w:sz w:val="24"/>
        </w:rPr>
        <w:t>初步</w:t>
      </w:r>
      <w:r>
        <w:rPr>
          <w:color w:val="auto"/>
          <w:spacing w:val="-10"/>
          <w:sz w:val="24"/>
        </w:rPr>
        <w:t>审查的磋商响应文件按无效响应处理，磋商小组应当告知提交磋商响应文件的磋商响</w:t>
      </w:r>
      <w:r>
        <w:rPr>
          <w:color w:val="auto"/>
        </w:rPr>
        <w:t>应供应商。</w:t>
      </w:r>
    </w:p>
    <w:p w14:paraId="1AF3952C">
      <w:pPr>
        <w:pStyle w:val="38"/>
        <w:keepNext w:val="0"/>
        <w:keepLines w:val="0"/>
        <w:pageBreakBefore w:val="0"/>
        <w:widowControl w:val="0"/>
        <w:numPr>
          <w:ilvl w:val="2"/>
          <w:numId w:val="6"/>
        </w:numPr>
        <w:tabs>
          <w:tab w:val="left" w:pos="15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允许修正磋商响应文件中不构成重大偏离的、微小的、非正规的、不一致或不规则的地方。</w:t>
      </w:r>
    </w:p>
    <w:p w14:paraId="558D4935">
      <w:pPr>
        <w:pStyle w:val="38"/>
        <w:keepNext w:val="0"/>
        <w:keepLines w:val="0"/>
        <w:pageBreakBefore w:val="0"/>
        <w:widowControl w:val="0"/>
        <w:numPr>
          <w:ilvl w:val="2"/>
          <w:numId w:val="6"/>
        </w:numPr>
        <w:tabs>
          <w:tab w:val="left" w:pos="158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磋商小组判断磋商响应文件的响应性仅基于磋商响应文件本身内容而不靠外</w:t>
      </w:r>
      <w:r>
        <w:rPr>
          <w:color w:val="auto"/>
          <w:sz w:val="24"/>
        </w:rPr>
        <w:t>部证据。</w:t>
      </w:r>
    </w:p>
    <w:p w14:paraId="354CC6FB">
      <w:pPr>
        <w:pStyle w:val="38"/>
        <w:keepNext w:val="0"/>
        <w:keepLines w:val="0"/>
        <w:pageBreakBefore w:val="0"/>
        <w:widowControl w:val="0"/>
        <w:numPr>
          <w:ilvl w:val="2"/>
          <w:numId w:val="6"/>
        </w:numPr>
        <w:tabs>
          <w:tab w:val="left" w:pos="15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实质性未响应磋商文件要求的响应将被拒绝，磋商响应供应商不得通过修正或撤消不符之处而使其响应成为实质性响应。</w:t>
      </w:r>
    </w:p>
    <w:p w14:paraId="665869E8">
      <w:pPr>
        <w:pStyle w:val="38"/>
        <w:keepNext w:val="0"/>
        <w:keepLines w:val="0"/>
        <w:pageBreakBefore w:val="0"/>
        <w:widowControl w:val="0"/>
        <w:numPr>
          <w:ilvl w:val="2"/>
          <w:numId w:val="6"/>
        </w:numPr>
        <w:tabs>
          <w:tab w:val="left" w:pos="15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实质性未响应是指磋商响应文件中提出了超出磋商文件中</w:t>
      </w:r>
      <w:r>
        <w:rPr>
          <w:rFonts w:hint="eastAsia"/>
          <w:color w:val="auto"/>
          <w:sz w:val="24"/>
          <w:lang w:val="en-US" w:eastAsia="zh-CN"/>
        </w:rPr>
        <w:t>招标范围</w:t>
      </w:r>
      <w:r>
        <w:rPr>
          <w:color w:val="auto"/>
          <w:sz w:val="24"/>
        </w:rPr>
        <w:t>、预算金额、</w:t>
      </w:r>
      <w:r>
        <w:rPr>
          <w:rFonts w:hint="eastAsia"/>
          <w:color w:val="auto"/>
          <w:sz w:val="24"/>
          <w:lang w:val="en-US" w:eastAsia="zh-CN"/>
        </w:rPr>
        <w:t>设计周期</w:t>
      </w:r>
      <w:r>
        <w:rPr>
          <w:color w:val="auto"/>
          <w:sz w:val="24"/>
        </w:rPr>
        <w:t>、技术和服务要求等内容。</w:t>
      </w:r>
    </w:p>
    <w:p w14:paraId="5D3FA5A2">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2" w:name="_Toc31948_WPSOffice_Level3"/>
      <w:r>
        <w:rPr>
          <w:color w:val="auto"/>
        </w:rPr>
        <w:t>21、对磋商响应供应商的评价</w:t>
      </w:r>
      <w:bookmarkEnd w:id="152"/>
    </w:p>
    <w:p w14:paraId="24AB9E11">
      <w:pPr>
        <w:pStyle w:val="38"/>
        <w:keepNext w:val="0"/>
        <w:keepLines w:val="0"/>
        <w:pageBreakBefore w:val="0"/>
        <w:widowControl w:val="0"/>
        <w:numPr>
          <w:ilvl w:val="1"/>
          <w:numId w:val="7"/>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磋商小组只对已判定为实质性响应且通过资格审查的磋商响应文件进行详细评价和比较。</w:t>
      </w:r>
    </w:p>
    <w:p w14:paraId="6A91C2C4">
      <w:pPr>
        <w:pStyle w:val="38"/>
        <w:keepNext w:val="0"/>
        <w:keepLines w:val="0"/>
        <w:pageBreakBefore w:val="0"/>
        <w:widowControl w:val="0"/>
        <w:numPr>
          <w:ilvl w:val="1"/>
          <w:numId w:val="7"/>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磋商小组所有成员应当集中与单一磋商响应供应商分别进行磋商，并给予所有参加磋商的磋商响应供应商平等的磋商机会。磋商完成后，要求其在规定时间内提交最后报价，提交最后报价的供应商可以为两家。</w:t>
      </w:r>
    </w:p>
    <w:p w14:paraId="09EAD544">
      <w:pPr>
        <w:pStyle w:val="38"/>
        <w:keepNext w:val="0"/>
        <w:keepLines w:val="0"/>
        <w:pageBreakBefore w:val="0"/>
        <w:widowControl w:val="0"/>
        <w:numPr>
          <w:ilvl w:val="1"/>
          <w:numId w:val="7"/>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经磋商确定最终采购需求和提交最后报价的磋商响应供应商后，磋商小组采用</w:t>
      </w:r>
      <w:r>
        <w:rPr>
          <w:color w:val="auto"/>
          <w:spacing w:val="6"/>
          <w:sz w:val="24"/>
        </w:rPr>
        <w:t>综合评分法对提交最后报价的磋商响应供应商的磋商响应文件和最后报价进行综合评分。</w:t>
      </w:r>
    </w:p>
    <w:p w14:paraId="3E7F8597">
      <w:pPr>
        <w:pStyle w:val="8"/>
        <w:keepNext w:val="0"/>
        <w:keepLines w:val="0"/>
        <w:pageBreakBefore w:val="0"/>
        <w:widowControl w:val="0"/>
        <w:kinsoku/>
        <w:wordWrap w:val="0"/>
        <w:overflowPunct/>
        <w:topLinePunct w:val="0"/>
        <w:bidi w:val="0"/>
        <w:adjustRightInd/>
        <w:snapToGrid/>
        <w:spacing w:line="480" w:lineRule="exact"/>
        <w:ind w:left="0" w:right="0" w:firstLine="456" w:firstLineChars="200"/>
        <w:jc w:val="left"/>
        <w:textAlignment w:val="auto"/>
        <w:rPr>
          <w:color w:val="auto"/>
        </w:rPr>
      </w:pPr>
      <w:r>
        <w:rPr>
          <w:rFonts w:hint="eastAsia"/>
          <w:color w:val="auto"/>
          <w:spacing w:val="-6"/>
        </w:rPr>
        <w:t>21.4</w:t>
      </w:r>
      <w:r>
        <w:rPr>
          <w:color w:val="auto"/>
          <w:spacing w:val="-6"/>
        </w:rPr>
        <w:t xml:space="preserve">磋商小组根据综合评分情况，按评审得分由高到低的顺序确定成交候选供应商， </w:t>
      </w:r>
      <w:r>
        <w:rPr>
          <w:color w:val="auto"/>
        </w:rPr>
        <w:t>确定排名第一的为成交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22E647">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rFonts w:hint="eastAsia"/>
          <w:color w:val="auto"/>
        </w:rPr>
        <w:t>21.5</w:t>
      </w:r>
      <w:r>
        <w:rPr>
          <w:color w:val="auto"/>
        </w:rPr>
        <w:t>如果第一名供应商放弃成交资格或因不可抗力提出不能履行合同、竞争性磋商文件规定应当提交履约担保而在规定的期限内未能提交的，采购人将依序确定排名第二名的供应商为成交供应商，也可以重新开展政府采购活动。</w:t>
      </w:r>
    </w:p>
    <w:p w14:paraId="60FA6EE9">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3" w:name="_Toc27346_WPSOffice_Level3"/>
      <w:r>
        <w:rPr>
          <w:color w:val="auto"/>
        </w:rPr>
        <w:t>22、磋商响应文件的澄清</w:t>
      </w:r>
      <w:bookmarkEnd w:id="153"/>
    </w:p>
    <w:p w14:paraId="100734D3">
      <w:pPr>
        <w:pStyle w:val="38"/>
        <w:keepNext w:val="0"/>
        <w:keepLines w:val="0"/>
        <w:pageBreakBefore w:val="0"/>
        <w:widowControl w:val="0"/>
        <w:numPr>
          <w:ilvl w:val="1"/>
          <w:numId w:val="8"/>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为了有助于对磋商响应文件进行审查、评估和比较，磋商小组有权向磋商响应供应商质疑。请磋商响应供应商澄清其磋商内容。磋商响应供应商有责任按照磋商小组通知的时间、地点、方式指派委托代理人进行答疑和澄清。</w:t>
      </w:r>
    </w:p>
    <w:p w14:paraId="32C81218">
      <w:pPr>
        <w:pStyle w:val="38"/>
        <w:keepNext w:val="0"/>
        <w:keepLines w:val="0"/>
        <w:pageBreakBefore w:val="0"/>
        <w:widowControl w:val="0"/>
        <w:numPr>
          <w:ilvl w:val="1"/>
          <w:numId w:val="8"/>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重要澄清的答复应是书面的，并由法定代表人或其委托代理人签字。</w:t>
      </w:r>
    </w:p>
    <w:p w14:paraId="3E0E6BFE">
      <w:pPr>
        <w:pStyle w:val="38"/>
        <w:keepNext w:val="0"/>
        <w:keepLines w:val="0"/>
        <w:pageBreakBefore w:val="0"/>
        <w:widowControl w:val="0"/>
        <w:numPr>
          <w:ilvl w:val="1"/>
          <w:numId w:val="8"/>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磋商响应供应商的澄清文件是磋商响应文件的组成部分，并取代磋商响应文件中被澄清的部分。</w:t>
      </w:r>
    </w:p>
    <w:p w14:paraId="4916C1B3">
      <w:pPr>
        <w:pStyle w:val="38"/>
        <w:keepNext w:val="0"/>
        <w:keepLines w:val="0"/>
        <w:pageBreakBefore w:val="0"/>
        <w:widowControl w:val="0"/>
        <w:numPr>
          <w:ilvl w:val="1"/>
          <w:numId w:val="8"/>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磋商响应文件澄清部分不得对磋商内容进行实质性修改。</w:t>
      </w:r>
    </w:p>
    <w:p w14:paraId="1A099783">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4" w:name="_Toc10070_WPSOffice_Level3"/>
      <w:r>
        <w:rPr>
          <w:color w:val="auto"/>
        </w:rPr>
        <w:t>23、磋商原则和方法</w:t>
      </w:r>
      <w:bookmarkEnd w:id="154"/>
    </w:p>
    <w:p w14:paraId="04871DCB">
      <w:pPr>
        <w:pStyle w:val="38"/>
        <w:keepNext w:val="0"/>
        <w:keepLines w:val="0"/>
        <w:pageBreakBefore w:val="0"/>
        <w:widowControl w:val="0"/>
        <w:numPr>
          <w:ilvl w:val="1"/>
          <w:numId w:val="9"/>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坚持公开、公平、公正的原则。</w:t>
      </w:r>
    </w:p>
    <w:p w14:paraId="2FD03BFC">
      <w:pPr>
        <w:pStyle w:val="38"/>
        <w:keepNext w:val="0"/>
        <w:keepLines w:val="0"/>
        <w:pageBreakBefore w:val="0"/>
        <w:widowControl w:val="0"/>
        <w:numPr>
          <w:ilvl w:val="1"/>
          <w:numId w:val="9"/>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磋商在磋商小组应当集中与单一磋商响应供应商分别进行磋商，磋商小组将遵照磋商原则，公正、平等地对待所有磋商响应供应商。</w:t>
      </w:r>
    </w:p>
    <w:p w14:paraId="6BF2A077">
      <w:pPr>
        <w:pStyle w:val="38"/>
        <w:keepNext w:val="0"/>
        <w:keepLines w:val="0"/>
        <w:pageBreakBefore w:val="0"/>
        <w:widowControl w:val="0"/>
        <w:numPr>
          <w:ilvl w:val="1"/>
          <w:numId w:val="9"/>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评审方法</w:t>
      </w:r>
    </w:p>
    <w:p w14:paraId="6AC308AA">
      <w:pPr>
        <w:pStyle w:val="38"/>
        <w:keepNext w:val="0"/>
        <w:keepLines w:val="0"/>
        <w:pageBreakBefore w:val="0"/>
        <w:widowControl w:val="0"/>
        <w:numPr>
          <w:ilvl w:val="2"/>
          <w:numId w:val="9"/>
        </w:numPr>
        <w:tabs>
          <w:tab w:val="left" w:pos="15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初步评审（是否响应竞争性磋商文件的要求</w:t>
      </w:r>
      <w:r>
        <w:rPr>
          <w:color w:val="auto"/>
          <w:spacing w:val="-120"/>
          <w:sz w:val="24"/>
        </w:rPr>
        <w:t>）</w:t>
      </w:r>
      <w:r>
        <w:rPr>
          <w:color w:val="auto"/>
          <w:sz w:val="24"/>
        </w:rPr>
        <w:t>，确定合格的磋商响应供应商。</w:t>
      </w:r>
    </w:p>
    <w:p w14:paraId="292D2270">
      <w:pPr>
        <w:pStyle w:val="38"/>
        <w:keepNext w:val="0"/>
        <w:keepLines w:val="0"/>
        <w:pageBreakBefore w:val="0"/>
        <w:widowControl w:val="0"/>
        <w:numPr>
          <w:ilvl w:val="2"/>
          <w:numId w:val="9"/>
        </w:numPr>
        <w:tabs>
          <w:tab w:val="left" w:pos="15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各磋商响应供应商依据各自情况进行最后报价。</w:t>
      </w:r>
    </w:p>
    <w:p w14:paraId="75E8820B">
      <w:pPr>
        <w:pStyle w:val="38"/>
        <w:keepNext w:val="0"/>
        <w:keepLines w:val="0"/>
        <w:pageBreakBefore w:val="0"/>
        <w:widowControl w:val="0"/>
        <w:numPr>
          <w:ilvl w:val="2"/>
          <w:numId w:val="9"/>
        </w:numPr>
        <w:tabs>
          <w:tab w:val="left" w:pos="15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经磋商确定最终采购需求和提交最后报价的磋商响应供应商，有磋商小组采用综合评分法对提交最后报价的磋商响应供应商的响应文件和最后报价进行综合评分。</w:t>
      </w:r>
    </w:p>
    <w:p w14:paraId="3CCCE483">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5" w:name="_Toc5813_WPSOffice_Level3"/>
      <w:r>
        <w:rPr>
          <w:color w:val="auto"/>
        </w:rPr>
        <w:t>24、</w:t>
      </w:r>
      <w:r>
        <w:rPr>
          <w:rFonts w:hint="eastAsia"/>
          <w:color w:val="auto"/>
        </w:rPr>
        <w:t>推荐</w:t>
      </w:r>
      <w:r>
        <w:rPr>
          <w:color w:val="auto"/>
        </w:rPr>
        <w:t>成交供应商</w:t>
      </w:r>
      <w:bookmarkEnd w:id="155"/>
      <w:r>
        <w:rPr>
          <w:rFonts w:hint="eastAsia"/>
          <w:color w:val="auto"/>
        </w:rPr>
        <w:t>候选人</w:t>
      </w:r>
    </w:p>
    <w:p w14:paraId="76FEFCD1">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24.1</w:t>
      </w:r>
      <w:r>
        <w:rPr>
          <w:color w:val="auto"/>
          <w:spacing w:val="-5"/>
        </w:rPr>
        <w:t xml:space="preserve"> 磋商小组应当根据综合评分情况，按照评审有高到低的顺序推荐</w:t>
      </w:r>
      <w:r>
        <w:rPr>
          <w:rFonts w:hint="eastAsia"/>
          <w:color w:val="auto"/>
          <w:spacing w:val="-5"/>
        </w:rPr>
        <w:t>3名</w:t>
      </w:r>
      <w:r>
        <w:rPr>
          <w:color w:val="auto"/>
          <w:spacing w:val="-5"/>
        </w:rPr>
        <w:t>成交候选供应商，并向采购人提供书面评审报告</w:t>
      </w:r>
      <w:r>
        <w:rPr>
          <w:rFonts w:hint="eastAsia"/>
          <w:color w:val="auto"/>
          <w:spacing w:val="-5"/>
        </w:rPr>
        <w:t>。</w:t>
      </w:r>
    </w:p>
    <w:p w14:paraId="544E62C7">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6" w:name="_Toc28609_WPSOffice_Level3"/>
      <w:r>
        <w:rPr>
          <w:color w:val="auto"/>
        </w:rPr>
        <w:t>25、保密及其它注意事项</w:t>
      </w:r>
      <w:bookmarkEnd w:id="156"/>
    </w:p>
    <w:p w14:paraId="3BECE1FB">
      <w:pPr>
        <w:pStyle w:val="38"/>
        <w:keepNext w:val="0"/>
        <w:keepLines w:val="0"/>
        <w:pageBreakBefore w:val="0"/>
        <w:widowControl w:val="0"/>
        <w:numPr>
          <w:ilvl w:val="1"/>
          <w:numId w:val="10"/>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评审工作是磋商工作的重要环节，评审工作在磋商小组内独立进行。</w:t>
      </w:r>
    </w:p>
    <w:p w14:paraId="16CD2CAD">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在评审期间，磋商响应供应商不得向磋商小组成员询问评审情况，不得进行影响评审结果的活动。否则其响应将会被拒绝。</w:t>
      </w:r>
    </w:p>
    <w:p w14:paraId="19F270D9">
      <w:pPr>
        <w:pStyle w:val="38"/>
        <w:keepNext w:val="0"/>
        <w:keepLines w:val="0"/>
        <w:pageBreakBefore w:val="0"/>
        <w:widowControl w:val="0"/>
        <w:numPr>
          <w:ilvl w:val="1"/>
          <w:numId w:val="10"/>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为保证评审的公正性，磋商开始后直至授予成交供应商合同，磋商小组成员不得与供应商私下交换意见。</w:t>
      </w:r>
    </w:p>
    <w:p w14:paraId="1A221107">
      <w:pPr>
        <w:pStyle w:val="38"/>
        <w:keepNext w:val="0"/>
        <w:keepLines w:val="0"/>
        <w:pageBreakBefore w:val="0"/>
        <w:widowControl w:val="0"/>
        <w:numPr>
          <w:ilvl w:val="1"/>
          <w:numId w:val="10"/>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在评审工作结束后，凡与评审情况有接触的任何人不得擅自将评审情况扩散出评审人员之外。</w:t>
      </w:r>
    </w:p>
    <w:p w14:paraId="5A8E7E4D">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7" w:name="_Toc27984_WPSOffice_Level3"/>
      <w:r>
        <w:rPr>
          <w:color w:val="auto"/>
        </w:rPr>
        <w:t>26、</w:t>
      </w:r>
      <w:r>
        <w:rPr>
          <w:rFonts w:hint="eastAsia"/>
          <w:color w:val="auto"/>
        </w:rPr>
        <w:t>定标、</w:t>
      </w:r>
      <w:r>
        <w:rPr>
          <w:color w:val="auto"/>
        </w:rPr>
        <w:t>成交通知</w:t>
      </w:r>
      <w:bookmarkEnd w:id="157"/>
    </w:p>
    <w:p w14:paraId="1A0F03E9">
      <w:pPr>
        <w:pStyle w:val="5"/>
        <w:keepNext w:val="0"/>
        <w:keepLines w:val="0"/>
        <w:pageBreakBefore w:val="0"/>
        <w:widowControl w:val="0"/>
        <w:kinsoku/>
        <w:wordWrap w:val="0"/>
        <w:overflowPunct/>
        <w:topLinePunct w:val="0"/>
        <w:bidi w:val="0"/>
        <w:adjustRightInd/>
        <w:snapToGrid/>
        <w:spacing w:line="480" w:lineRule="exact"/>
        <w:ind w:left="0" w:leftChars="0" w:right="0" w:firstLine="436" w:firstLineChars="200"/>
        <w:jc w:val="left"/>
        <w:textAlignment w:val="auto"/>
        <w:rPr>
          <w:b w:val="0"/>
          <w:bCs w:val="0"/>
          <w:color w:val="auto"/>
          <w:spacing w:val="-11"/>
          <w:szCs w:val="22"/>
        </w:rPr>
      </w:pPr>
      <w:r>
        <w:rPr>
          <w:rFonts w:hint="eastAsia"/>
          <w:b w:val="0"/>
          <w:bCs w:val="0"/>
          <w:color w:val="auto"/>
          <w:spacing w:val="-11"/>
          <w:szCs w:val="22"/>
        </w:rPr>
        <w:t>26.1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招标。</w:t>
      </w:r>
    </w:p>
    <w:p w14:paraId="4DEAFC59">
      <w:pPr>
        <w:pStyle w:val="38"/>
        <w:keepNext w:val="0"/>
        <w:keepLines w:val="0"/>
        <w:pageBreakBefore w:val="0"/>
        <w:widowControl w:val="0"/>
        <w:tabs>
          <w:tab w:val="left" w:pos="1281"/>
        </w:tabs>
        <w:kinsoku/>
        <w:wordWrap w:val="0"/>
        <w:overflowPunct/>
        <w:topLinePunct w:val="0"/>
        <w:bidi w:val="0"/>
        <w:adjustRightInd/>
        <w:snapToGrid/>
        <w:spacing w:line="480" w:lineRule="exact"/>
        <w:ind w:left="0" w:leftChars="0" w:right="0" w:firstLine="436" w:firstLineChars="200"/>
        <w:jc w:val="left"/>
        <w:textAlignment w:val="auto"/>
        <w:rPr>
          <w:color w:val="auto"/>
          <w:sz w:val="24"/>
        </w:rPr>
      </w:pPr>
      <w:r>
        <w:rPr>
          <w:rFonts w:hint="eastAsia"/>
          <w:color w:val="auto"/>
          <w:spacing w:val="-11"/>
          <w:sz w:val="24"/>
        </w:rPr>
        <w:t>26.2</w:t>
      </w:r>
      <w:r>
        <w:rPr>
          <w:color w:val="auto"/>
          <w:spacing w:val="-11"/>
          <w:sz w:val="24"/>
        </w:rPr>
        <w:t>成交供应商确定后，采购人向成交供应商签发《成交通知书》，并将成交结果通</w:t>
      </w:r>
      <w:r>
        <w:rPr>
          <w:color w:val="auto"/>
          <w:sz w:val="24"/>
        </w:rPr>
        <w:t>知所有未成交的磋商响应供应商。</w:t>
      </w:r>
    </w:p>
    <w:p w14:paraId="685C29F7">
      <w:pPr>
        <w:pStyle w:val="38"/>
        <w:keepNext w:val="0"/>
        <w:keepLines w:val="0"/>
        <w:pageBreakBefore w:val="0"/>
        <w:widowControl w:val="0"/>
        <w:tabs>
          <w:tab w:val="left" w:pos="1281"/>
        </w:tabs>
        <w:kinsoku/>
        <w:wordWrap w:val="0"/>
        <w:overflowPunct/>
        <w:topLinePunct w:val="0"/>
        <w:bidi w:val="0"/>
        <w:adjustRightInd/>
        <w:snapToGrid/>
        <w:spacing w:line="480" w:lineRule="exact"/>
        <w:ind w:left="0" w:leftChars="0" w:right="0" w:firstLine="476" w:firstLineChars="200"/>
        <w:jc w:val="left"/>
        <w:textAlignment w:val="auto"/>
        <w:rPr>
          <w:color w:val="auto"/>
          <w:sz w:val="24"/>
        </w:rPr>
      </w:pPr>
      <w:r>
        <w:rPr>
          <w:rFonts w:hint="eastAsia"/>
          <w:color w:val="auto"/>
          <w:spacing w:val="-1"/>
          <w:sz w:val="24"/>
        </w:rPr>
        <w:t>26.3</w:t>
      </w:r>
      <w:r>
        <w:rPr>
          <w:color w:val="auto"/>
          <w:spacing w:val="-1"/>
          <w:sz w:val="24"/>
        </w:rPr>
        <w:t xml:space="preserve">《成交通知书》作为签订合同的依据，对采购人和成交供应商均具有法律效力， </w:t>
      </w:r>
      <w:r>
        <w:rPr>
          <w:color w:val="auto"/>
          <w:sz w:val="24"/>
        </w:rPr>
        <w:t>成交通知书发出后，采购人改变成交结果或者成交供应商放弃项目，应依法承担法律责任。</w:t>
      </w:r>
    </w:p>
    <w:p w14:paraId="6988E44B">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8" w:name="_Toc8188_WPSOffice_Level3"/>
      <w:r>
        <w:rPr>
          <w:color w:val="auto"/>
        </w:rPr>
        <w:t>27、授予合同时变更数量的权力</w:t>
      </w:r>
      <w:bookmarkEnd w:id="158"/>
    </w:p>
    <w:p w14:paraId="7A5B4A1E">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27.1 采购人在授予合同时，保留对货物数量予以适当增减的权利。成交供应商不得在此情况下对磋商响应文件做出修改，如价格、服务承诺等。</w:t>
      </w:r>
    </w:p>
    <w:p w14:paraId="74CEB8A2">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59" w:name="_Toc30112_WPSOffice_Level3"/>
      <w:r>
        <w:rPr>
          <w:color w:val="auto"/>
        </w:rPr>
        <w:t>28、签订合同</w:t>
      </w:r>
      <w:bookmarkEnd w:id="159"/>
    </w:p>
    <w:p w14:paraId="4067BD1E">
      <w:pPr>
        <w:pStyle w:val="38"/>
        <w:keepNext w:val="0"/>
        <w:keepLines w:val="0"/>
        <w:pageBreakBefore w:val="0"/>
        <w:widowControl w:val="0"/>
        <w:numPr>
          <w:ilvl w:val="1"/>
          <w:numId w:val="11"/>
        </w:numPr>
        <w:tabs>
          <w:tab w:val="left" w:pos="1281"/>
        </w:tabs>
        <w:kinsoku/>
        <w:wordWrap w:val="0"/>
        <w:overflowPunct/>
        <w:topLinePunct w:val="0"/>
        <w:bidi w:val="0"/>
        <w:adjustRightInd/>
        <w:snapToGrid/>
        <w:spacing w:line="480" w:lineRule="exact"/>
        <w:ind w:left="0" w:right="0" w:firstLine="440" w:firstLineChars="200"/>
        <w:jc w:val="left"/>
        <w:textAlignment w:val="auto"/>
        <w:rPr>
          <w:color w:val="auto"/>
          <w:sz w:val="24"/>
        </w:rPr>
      </w:pPr>
      <w:r>
        <w:rPr>
          <w:color w:val="auto"/>
          <w:spacing w:val="-10"/>
          <w:sz w:val="24"/>
        </w:rPr>
        <w:t>成交供应商接到《成交通知书》后</w:t>
      </w:r>
      <w:r>
        <w:rPr>
          <w:color w:val="auto"/>
          <w:spacing w:val="-1"/>
          <w:sz w:val="24"/>
        </w:rPr>
        <w:t>按指定地点与采购人签订采购合同</w:t>
      </w:r>
      <w:r>
        <w:rPr>
          <w:rFonts w:hint="eastAsia"/>
          <w:color w:val="auto"/>
          <w:spacing w:val="-1"/>
          <w:sz w:val="24"/>
        </w:rPr>
        <w:t>；</w:t>
      </w:r>
    </w:p>
    <w:p w14:paraId="79F15473">
      <w:pPr>
        <w:pStyle w:val="38"/>
        <w:keepNext w:val="0"/>
        <w:keepLines w:val="0"/>
        <w:pageBreakBefore w:val="0"/>
        <w:widowControl w:val="0"/>
        <w:numPr>
          <w:ilvl w:val="1"/>
          <w:numId w:val="11"/>
        </w:numPr>
        <w:tabs>
          <w:tab w:val="left" w:pos="128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采购人签发的成交通知书、竞争性磋商文件、成交供应商的磋商响应文件及其澄清文件等，均为签订合同的依据。</w:t>
      </w:r>
    </w:p>
    <w:p w14:paraId="6C77DE18">
      <w:pPr>
        <w:pStyle w:val="38"/>
        <w:keepNext w:val="0"/>
        <w:keepLines w:val="0"/>
        <w:pageBreakBefore w:val="0"/>
        <w:widowControl w:val="0"/>
        <w:numPr>
          <w:ilvl w:val="1"/>
          <w:numId w:val="11"/>
        </w:numPr>
        <w:tabs>
          <w:tab w:val="left" w:pos="1281"/>
        </w:tabs>
        <w:kinsoku/>
        <w:wordWrap w:val="0"/>
        <w:overflowPunct/>
        <w:topLinePunct w:val="0"/>
        <w:bidi w:val="0"/>
        <w:adjustRightInd/>
        <w:snapToGrid/>
        <w:spacing w:line="480" w:lineRule="exact"/>
        <w:ind w:left="0" w:right="0" w:firstLine="472" w:firstLineChars="200"/>
        <w:jc w:val="left"/>
        <w:textAlignment w:val="auto"/>
        <w:rPr>
          <w:color w:val="auto"/>
          <w:sz w:val="24"/>
        </w:rPr>
      </w:pPr>
      <w:r>
        <w:rPr>
          <w:color w:val="auto"/>
          <w:spacing w:val="-2"/>
          <w:sz w:val="24"/>
        </w:rPr>
        <w:t xml:space="preserve">如成交供应商拒签合同，则按违约处理，采购人对违约方收取成交金额 </w:t>
      </w:r>
      <w:r>
        <w:rPr>
          <w:color w:val="auto"/>
          <w:sz w:val="24"/>
        </w:rPr>
        <w:t>2%</w:t>
      </w:r>
      <w:r>
        <w:rPr>
          <w:color w:val="auto"/>
          <w:spacing w:val="-8"/>
          <w:sz w:val="24"/>
        </w:rPr>
        <w:t>的违</w:t>
      </w:r>
      <w:r>
        <w:rPr>
          <w:color w:val="auto"/>
          <w:sz w:val="24"/>
        </w:rPr>
        <w:t>约金。</w:t>
      </w:r>
    </w:p>
    <w:p w14:paraId="27D4CFDB">
      <w:pPr>
        <w:pStyle w:val="5"/>
        <w:keepNext w:val="0"/>
        <w:keepLines w:val="0"/>
        <w:pageBreakBefore w:val="0"/>
        <w:widowControl w:val="0"/>
        <w:kinsoku/>
        <w:wordWrap w:val="0"/>
        <w:overflowPunct/>
        <w:topLinePunct w:val="0"/>
        <w:bidi w:val="0"/>
        <w:adjustRightInd/>
        <w:snapToGrid/>
        <w:spacing w:line="480" w:lineRule="exact"/>
        <w:ind w:left="0" w:right="0" w:firstLine="482" w:firstLineChars="200"/>
        <w:jc w:val="left"/>
        <w:textAlignment w:val="auto"/>
        <w:rPr>
          <w:color w:val="auto"/>
        </w:rPr>
      </w:pPr>
      <w:bookmarkStart w:id="160" w:name="_Toc7342_WPSOffice_Level3"/>
      <w:r>
        <w:rPr>
          <w:rFonts w:hint="eastAsia"/>
          <w:color w:val="auto"/>
          <w:lang w:val="en-US"/>
        </w:rPr>
        <w:t>29、</w:t>
      </w:r>
      <w:r>
        <w:rPr>
          <w:color w:val="auto"/>
        </w:rPr>
        <w:t>特别注意事项：</w:t>
      </w:r>
      <w:bookmarkEnd w:id="160"/>
    </w:p>
    <w:p w14:paraId="2D0A408C">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磋商响应供应商出现下列情形之一的，磋商小组可取消其磋商资格：</w:t>
      </w:r>
    </w:p>
    <w:p w14:paraId="061D30D2">
      <w:pPr>
        <w:pStyle w:val="38"/>
        <w:keepNext w:val="0"/>
        <w:keepLines w:val="0"/>
        <w:pageBreakBefore w:val="0"/>
        <w:widowControl w:val="0"/>
        <w:numPr>
          <w:ilvl w:val="0"/>
          <w:numId w:val="13"/>
        </w:numPr>
        <w:tabs>
          <w:tab w:val="left" w:pos="1342"/>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未按磋商文件要求和规定提交实质性响应材料的；</w:t>
      </w:r>
    </w:p>
    <w:p w14:paraId="369B16C3">
      <w:pPr>
        <w:pStyle w:val="38"/>
        <w:keepNext w:val="0"/>
        <w:keepLines w:val="0"/>
        <w:pageBreakBefore w:val="0"/>
        <w:widowControl w:val="0"/>
        <w:numPr>
          <w:ilvl w:val="0"/>
          <w:numId w:val="13"/>
        </w:numPr>
        <w:tabs>
          <w:tab w:val="left" w:pos="1342"/>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相互串通磋商的（有下列情形之一的，视为磋商响应供应商相互串通磋商</w:t>
      </w:r>
      <w:r>
        <w:rPr>
          <w:color w:val="auto"/>
          <w:spacing w:val="-120"/>
          <w:sz w:val="24"/>
        </w:rPr>
        <w:t>）</w:t>
      </w:r>
      <w:r>
        <w:rPr>
          <w:color w:val="auto"/>
          <w:sz w:val="24"/>
        </w:rPr>
        <w:t>；</w:t>
      </w:r>
    </w:p>
    <w:p w14:paraId="610E0BF3">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A、不同磋商响应供应商的响应文件由同一单位或者个人编制</w:t>
      </w:r>
    </w:p>
    <w:p w14:paraId="5F23C425">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B、不同磋商响应供应商委托同一单位或者个人办理磋商事宜</w:t>
      </w:r>
    </w:p>
    <w:p w14:paraId="44A71E87">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C、不同磋商响应供应商的响应文件载明的项目管理成员为同一人</w:t>
      </w:r>
    </w:p>
    <w:p w14:paraId="34B74FE7">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D、不同磋商响应供应商的响应文件异常一致或者磋商报价呈规律性差异</w:t>
      </w:r>
    </w:p>
    <w:p w14:paraId="52D49412">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磋商响应供应商出现下列情形之一的，将被视为非实质性响应磋商文件要求：</w:t>
      </w:r>
    </w:p>
    <w:p w14:paraId="0B955481">
      <w:pPr>
        <w:pStyle w:val="38"/>
        <w:keepNext w:val="0"/>
        <w:keepLines w:val="0"/>
        <w:pageBreakBefore w:val="0"/>
        <w:widowControl w:val="0"/>
        <w:numPr>
          <w:ilvl w:val="0"/>
          <w:numId w:val="14"/>
        </w:numPr>
        <w:tabs>
          <w:tab w:val="left" w:pos="12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交货（完成）期限不确切或不符合磋商文件要求的；</w:t>
      </w:r>
    </w:p>
    <w:p w14:paraId="34194CCA">
      <w:pPr>
        <w:pStyle w:val="38"/>
        <w:keepNext w:val="0"/>
        <w:keepLines w:val="0"/>
        <w:pageBreakBefore w:val="0"/>
        <w:widowControl w:val="0"/>
        <w:numPr>
          <w:ilvl w:val="0"/>
          <w:numId w:val="14"/>
        </w:numPr>
        <w:tabs>
          <w:tab w:val="left" w:pos="12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最后报价有选择性的；</w:t>
      </w:r>
    </w:p>
    <w:p w14:paraId="67AF6DB0">
      <w:pPr>
        <w:pStyle w:val="38"/>
        <w:keepNext w:val="0"/>
        <w:keepLines w:val="0"/>
        <w:pageBreakBefore w:val="0"/>
        <w:widowControl w:val="0"/>
        <w:numPr>
          <w:ilvl w:val="0"/>
          <w:numId w:val="14"/>
        </w:numPr>
        <w:tabs>
          <w:tab w:val="left" w:pos="12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最后报价超过采购预算金额的；</w:t>
      </w:r>
    </w:p>
    <w:p w14:paraId="584881AC">
      <w:pPr>
        <w:pStyle w:val="38"/>
        <w:keepNext w:val="0"/>
        <w:keepLines w:val="0"/>
        <w:pageBreakBefore w:val="0"/>
        <w:widowControl w:val="0"/>
        <w:numPr>
          <w:ilvl w:val="0"/>
          <w:numId w:val="14"/>
        </w:numPr>
        <w:tabs>
          <w:tab w:val="left" w:pos="122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被磋商小组认定存在重大负偏离的；</w:t>
      </w:r>
    </w:p>
    <w:p w14:paraId="5CE1592C">
      <w:pPr>
        <w:pStyle w:val="8"/>
        <w:keepNext w:val="0"/>
        <w:keepLines w:val="0"/>
        <w:pageBreakBefore w:val="0"/>
        <w:widowControl w:val="0"/>
        <w:kinsoku/>
        <w:wordWrap w:val="0"/>
        <w:overflowPunct/>
        <w:topLinePunct w:val="0"/>
        <w:bidi w:val="0"/>
        <w:adjustRightInd/>
        <w:snapToGrid/>
        <w:spacing w:line="480" w:lineRule="exact"/>
        <w:ind w:left="0" w:right="0" w:firstLine="436" w:firstLineChars="200"/>
        <w:jc w:val="left"/>
        <w:textAlignment w:val="auto"/>
        <w:rPr>
          <w:color w:val="auto"/>
        </w:rPr>
      </w:pPr>
      <w:r>
        <w:rPr>
          <w:color w:val="auto"/>
          <w:spacing w:val="-11"/>
        </w:rPr>
        <w:t>注：所谓重大负偏离是指磋商响应供应商对磋商文件的响应在范围、质量、数量和交</w:t>
      </w:r>
      <w:r>
        <w:rPr>
          <w:color w:val="auto"/>
        </w:rPr>
        <w:t>货（完成）期限、技术规格要求等方面明显不能满足采购需求的。重大负偏离的认定须经磋商小组三分之二以上同意。</w:t>
      </w:r>
    </w:p>
    <w:p w14:paraId="1F700D2D">
      <w:pPr>
        <w:pStyle w:val="5"/>
        <w:keepNext w:val="0"/>
        <w:keepLines w:val="0"/>
        <w:pageBreakBefore w:val="0"/>
        <w:widowControl w:val="0"/>
        <w:numPr>
          <w:ilvl w:val="0"/>
          <w:numId w:val="12"/>
        </w:numPr>
        <w:tabs>
          <w:tab w:val="left" w:pos="1222"/>
        </w:tabs>
        <w:kinsoku/>
        <w:wordWrap w:val="0"/>
        <w:overflowPunct/>
        <w:topLinePunct w:val="0"/>
        <w:bidi w:val="0"/>
        <w:adjustRightInd/>
        <w:snapToGrid/>
        <w:spacing w:line="480" w:lineRule="exact"/>
        <w:ind w:left="0" w:right="0" w:firstLine="482" w:firstLineChars="200"/>
        <w:jc w:val="left"/>
        <w:textAlignment w:val="auto"/>
        <w:rPr>
          <w:color w:val="auto"/>
          <w:sz w:val="22"/>
        </w:rPr>
      </w:pPr>
      <w:bookmarkStart w:id="161" w:name="_Toc7366_WPSOffice_Level3"/>
      <w:r>
        <w:rPr>
          <w:color w:val="auto"/>
        </w:rPr>
        <w:t>询问</w:t>
      </w:r>
      <w:bookmarkEnd w:id="161"/>
    </w:p>
    <w:p w14:paraId="70092EB0">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磋商响应供应商对采购事项有疑问，可以按照《政府采购法》的相关规定向采</w:t>
      </w:r>
      <w:r>
        <w:rPr>
          <w:color w:val="auto"/>
          <w:sz w:val="24"/>
        </w:rPr>
        <w:t>购人或采购机构提出询问。</w:t>
      </w:r>
    </w:p>
    <w:p w14:paraId="7D15CA65">
      <w:pPr>
        <w:pStyle w:val="5"/>
        <w:keepNext w:val="0"/>
        <w:keepLines w:val="0"/>
        <w:pageBreakBefore w:val="0"/>
        <w:widowControl w:val="0"/>
        <w:numPr>
          <w:ilvl w:val="0"/>
          <w:numId w:val="12"/>
        </w:numPr>
        <w:tabs>
          <w:tab w:val="left" w:pos="1222"/>
        </w:tabs>
        <w:kinsoku/>
        <w:wordWrap w:val="0"/>
        <w:overflowPunct/>
        <w:topLinePunct w:val="0"/>
        <w:bidi w:val="0"/>
        <w:adjustRightInd/>
        <w:snapToGrid/>
        <w:spacing w:line="480" w:lineRule="exact"/>
        <w:ind w:left="0" w:right="0" w:firstLine="482" w:firstLineChars="200"/>
        <w:jc w:val="left"/>
        <w:textAlignment w:val="auto"/>
        <w:rPr>
          <w:rFonts w:ascii="宋体" w:hAnsi="宋体" w:eastAsia="宋体" w:cs="宋体"/>
          <w:color w:val="auto"/>
        </w:rPr>
      </w:pPr>
      <w:r>
        <w:rPr>
          <w:rFonts w:hint="eastAsia" w:ascii="宋体" w:hAnsi="宋体" w:eastAsia="宋体" w:cs="宋体"/>
          <w:color w:val="auto"/>
        </w:rPr>
        <w:t>重新招标</w:t>
      </w:r>
    </w:p>
    <w:p w14:paraId="1991F875">
      <w:pPr>
        <w:keepNext w:val="0"/>
        <w:keepLines w:val="0"/>
        <w:pageBreakBefore w:val="0"/>
        <w:widowControl w:val="0"/>
        <w:kinsoku/>
        <w:wordWrap w:val="0"/>
        <w:overflowPunct/>
        <w:topLinePunct w:val="0"/>
        <w:autoSpaceDE/>
        <w:autoSpaceDN/>
        <w:bidi w:val="0"/>
        <w:adjustRightInd/>
        <w:snapToGrid/>
        <w:spacing w:line="480" w:lineRule="exact"/>
        <w:ind w:left="0" w:leftChars="0" w:right="0" w:firstLine="480" w:firstLineChars="200"/>
        <w:jc w:val="left"/>
        <w:textAlignment w:val="auto"/>
        <w:rPr>
          <w:rFonts w:hint="eastAsia" w:ascii="宋体" w:hAnsi="宋体" w:eastAsia="宋体" w:cs="宋体"/>
          <w:b w:val="0"/>
          <w:bCs w:val="0"/>
          <w:color w:val="auto"/>
          <w:kern w:val="1"/>
          <w:sz w:val="24"/>
          <w:szCs w:val="24"/>
          <w:lang w:val="en-US" w:eastAsia="zh-CN" w:bidi="ar-SA"/>
        </w:rPr>
      </w:pPr>
      <w:bookmarkStart w:id="162" w:name="_Toc391284777"/>
      <w:bookmarkStart w:id="163" w:name="_Toc438797215"/>
      <w:bookmarkStart w:id="164" w:name="_Toc438797980"/>
      <w:r>
        <w:rPr>
          <w:rFonts w:hint="eastAsia" w:ascii="宋体" w:hAnsi="宋体" w:eastAsia="宋体" w:cs="宋体"/>
          <w:b w:val="0"/>
          <w:bCs w:val="0"/>
          <w:color w:val="auto"/>
          <w:kern w:val="1"/>
          <w:sz w:val="24"/>
          <w:szCs w:val="24"/>
          <w:lang w:val="en-US" w:eastAsia="zh-CN" w:bidi="ar-SA"/>
        </w:rPr>
        <w:t xml:space="preserve">出现下列情形之一的，将终止竞争性磋商磋商活动，发布项目终止公告并说明原因，重新开展磋商活动： </w:t>
      </w:r>
    </w:p>
    <w:p w14:paraId="345637A4">
      <w:pPr>
        <w:keepNext w:val="0"/>
        <w:keepLines w:val="0"/>
        <w:pageBreakBefore w:val="0"/>
        <w:widowControl w:val="0"/>
        <w:kinsoku/>
        <w:wordWrap w:val="0"/>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（1）因情况变化，不再符合规定的竞争性磋商磋商方式,适用情形的；出现 </w:t>
      </w:r>
    </w:p>
    <w:p w14:paraId="538829F4">
      <w:pPr>
        <w:keepNext w:val="0"/>
        <w:keepLines w:val="0"/>
        <w:pageBreakBefore w:val="0"/>
        <w:widowControl w:val="0"/>
        <w:kinsoku/>
        <w:wordWrap w:val="0"/>
        <w:overflowPunct/>
        <w:topLinePunct w:val="0"/>
        <w:autoSpaceDE/>
        <w:autoSpaceDN/>
        <w:bidi w:val="0"/>
        <w:adjustRightInd/>
        <w:snapToGrid/>
        <w:spacing w:line="480" w:lineRule="exact"/>
        <w:ind w:left="0" w:leftChars="0" w:right="0" w:firstLine="480" w:firstLineChars="200"/>
        <w:jc w:val="left"/>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影响磋商公正的违法、违规行为的； </w:t>
      </w:r>
    </w:p>
    <w:p w14:paraId="71BCCA8B">
      <w:pPr>
        <w:keepNext w:val="0"/>
        <w:keepLines w:val="0"/>
        <w:pageBreakBefore w:val="0"/>
        <w:widowControl w:val="0"/>
        <w:kinsoku/>
        <w:wordWrap w:val="0"/>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（2）不符合法律、法规和竞争性磋商文件规定的其他实质性要求的； </w:t>
      </w:r>
    </w:p>
    <w:p w14:paraId="4F1FE274">
      <w:pPr>
        <w:keepNext w:val="0"/>
        <w:keepLines w:val="0"/>
        <w:pageBreakBefore w:val="0"/>
        <w:widowControl w:val="0"/>
        <w:kinsoku/>
        <w:wordWrap w:val="0"/>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（3）其他法律、法规及本竞争性磋商文件规定的属响应无效的情形，终止竞争性磋商磋商活动的条款等；</w:t>
      </w:r>
    </w:p>
    <w:p w14:paraId="33D81DB1">
      <w:pPr>
        <w:keepNext w:val="0"/>
        <w:keepLines w:val="0"/>
        <w:pageBreakBefore w:val="0"/>
        <w:widowControl w:val="0"/>
        <w:kinsoku/>
        <w:wordWrap w:val="0"/>
        <w:overflowPunct/>
        <w:topLinePunct w:val="0"/>
        <w:autoSpaceDE/>
        <w:autoSpaceDN/>
        <w:bidi w:val="0"/>
        <w:adjustRightInd/>
        <w:snapToGrid/>
        <w:spacing w:line="480" w:lineRule="exact"/>
        <w:ind w:left="0" w:right="0" w:firstLine="480" w:firstLineChars="200"/>
        <w:jc w:val="left"/>
        <w:textAlignment w:val="auto"/>
        <w:rPr>
          <w:color w:val="auto"/>
          <w:sz w:val="24"/>
        </w:rPr>
      </w:pPr>
      <w:r>
        <w:rPr>
          <w:rFonts w:hint="eastAsia" w:ascii="宋体" w:hAnsi="宋体" w:eastAsia="宋体" w:cs="宋体"/>
          <w:b w:val="0"/>
          <w:bCs w:val="0"/>
          <w:color w:val="auto"/>
          <w:kern w:val="1"/>
          <w:sz w:val="24"/>
          <w:szCs w:val="24"/>
          <w:lang w:val="en-US" w:eastAsia="zh-CN" w:bidi="ar-SA"/>
        </w:rPr>
        <w:t>（4）磋商截止时间后参加</w:t>
      </w:r>
      <w:r>
        <w:rPr>
          <w:rFonts w:hint="eastAsia" w:ascii="宋体" w:hAnsi="宋体" w:cs="宋体"/>
          <w:b w:val="0"/>
          <w:bCs w:val="0"/>
          <w:color w:val="auto"/>
          <w:kern w:val="1"/>
          <w:sz w:val="24"/>
          <w:szCs w:val="24"/>
          <w:lang w:val="en-US" w:eastAsia="zh-CN" w:bidi="ar-SA"/>
        </w:rPr>
        <w:t>开标的</w:t>
      </w:r>
      <w:r>
        <w:rPr>
          <w:rFonts w:hint="eastAsia" w:ascii="宋体" w:hAnsi="宋体" w:eastAsia="宋体" w:cs="宋体"/>
          <w:b w:val="0"/>
          <w:bCs w:val="0"/>
          <w:color w:val="auto"/>
          <w:kern w:val="1"/>
          <w:sz w:val="24"/>
          <w:szCs w:val="24"/>
          <w:lang w:val="en-US" w:eastAsia="zh-CN" w:bidi="ar-SA"/>
        </w:rPr>
        <w:t>供应商不足3家的，应重新组织采购，评审期间</w:t>
      </w:r>
      <w:r>
        <w:rPr>
          <w:rFonts w:hint="eastAsia" w:ascii="宋体" w:hAnsi="宋体" w:cs="宋体"/>
          <w:b w:val="0"/>
          <w:bCs w:val="0"/>
          <w:color w:val="auto"/>
          <w:kern w:val="1"/>
          <w:sz w:val="24"/>
          <w:szCs w:val="24"/>
          <w:lang w:val="en-US" w:eastAsia="zh-CN" w:bidi="ar-SA"/>
        </w:rPr>
        <w:t>通过资格审查</w:t>
      </w:r>
      <w:r>
        <w:rPr>
          <w:rFonts w:hint="eastAsia" w:ascii="宋体" w:hAnsi="宋体" w:eastAsia="宋体" w:cs="宋体"/>
          <w:b w:val="0"/>
          <w:bCs w:val="0"/>
          <w:color w:val="auto"/>
          <w:kern w:val="1"/>
          <w:sz w:val="24"/>
          <w:szCs w:val="24"/>
          <w:lang w:val="en-US" w:eastAsia="zh-CN" w:bidi="ar-SA"/>
        </w:rPr>
        <w:t>的供应商或者对磋商响应文件作出实质响应的供应商不足3家的，应重新组织采购。</w:t>
      </w:r>
      <w:bookmarkEnd w:id="162"/>
      <w:bookmarkEnd w:id="163"/>
      <w:bookmarkEnd w:id="164"/>
    </w:p>
    <w:p w14:paraId="679D9615">
      <w:pPr>
        <w:pStyle w:val="5"/>
        <w:keepNext w:val="0"/>
        <w:keepLines w:val="0"/>
        <w:pageBreakBefore w:val="0"/>
        <w:widowControl w:val="0"/>
        <w:numPr>
          <w:ilvl w:val="0"/>
          <w:numId w:val="12"/>
        </w:numPr>
        <w:tabs>
          <w:tab w:val="left" w:pos="1105"/>
        </w:tabs>
        <w:kinsoku/>
        <w:wordWrap w:val="0"/>
        <w:overflowPunct/>
        <w:topLinePunct w:val="0"/>
        <w:bidi w:val="0"/>
        <w:adjustRightInd/>
        <w:snapToGrid/>
        <w:spacing w:line="480" w:lineRule="exact"/>
        <w:ind w:left="0" w:right="0" w:firstLine="482" w:firstLineChars="200"/>
        <w:jc w:val="left"/>
        <w:textAlignment w:val="auto"/>
        <w:rPr>
          <w:color w:val="auto"/>
          <w:sz w:val="22"/>
        </w:rPr>
      </w:pPr>
      <w:bookmarkStart w:id="165" w:name="_Toc13604_WPSOffice_Level3"/>
      <w:r>
        <w:rPr>
          <w:color w:val="auto"/>
        </w:rPr>
        <w:t>质疑程序及处理</w:t>
      </w:r>
      <w:bookmarkEnd w:id="165"/>
    </w:p>
    <w:p w14:paraId="054D8BB5">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若竞争性磋商响应人认为其磋商未获公平评审或磋商文件、采购过程和成交结</w:t>
      </w:r>
      <w:r>
        <w:rPr>
          <w:color w:val="auto"/>
          <w:spacing w:val="-4"/>
          <w:sz w:val="24"/>
        </w:rPr>
        <w:t xml:space="preserve">果使自己的合法权益受到损害，可以在知道或者应知其权益受到损害之日起 </w:t>
      </w:r>
      <w:r>
        <w:rPr>
          <w:color w:val="auto"/>
          <w:sz w:val="24"/>
        </w:rPr>
        <w:t>7</w:t>
      </w:r>
      <w:r>
        <w:rPr>
          <w:color w:val="auto"/>
          <w:spacing w:val="-4"/>
          <w:sz w:val="24"/>
        </w:rPr>
        <w:t xml:space="preserve"> 个工作日</w:t>
      </w:r>
      <w:r>
        <w:rPr>
          <w:color w:val="auto"/>
          <w:sz w:val="24"/>
        </w:rPr>
        <w:t>内，将质疑书原件送达采购人或采购代理机构。提出质疑期限的计算，依照下列规定办理：</w:t>
      </w:r>
    </w:p>
    <w:p w14:paraId="7E705B19">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（一</w:t>
      </w:r>
      <w:r>
        <w:rPr>
          <w:color w:val="auto"/>
          <w:spacing w:val="-58"/>
        </w:rPr>
        <w:t>）</w:t>
      </w:r>
      <w:r>
        <w:rPr>
          <w:color w:val="auto"/>
          <w:spacing w:val="-5"/>
        </w:rPr>
        <w:t>对可以质疑的磋商文件提出质疑的，为收到磋商文件之日或者磋商文件公告期</w:t>
      </w:r>
      <w:r>
        <w:rPr>
          <w:color w:val="auto"/>
        </w:rPr>
        <w:t>限届满之日；</w:t>
      </w:r>
    </w:p>
    <w:p w14:paraId="4E8F6247">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（二）对采购过程提出质疑的，为各采购程序环节结束之日；</w:t>
      </w:r>
    </w:p>
    <w:p w14:paraId="71AC5208">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（三）对成交结果提出质疑的，为成交结果公告期限届满之日。</w:t>
      </w:r>
    </w:p>
    <w:p w14:paraId="2532064A">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质疑书应当包括下列主要内容，并按照“谁主张、谁举证”的原则，附上相关</w:t>
      </w:r>
      <w:r>
        <w:rPr>
          <w:color w:val="auto"/>
          <w:sz w:val="24"/>
        </w:rPr>
        <w:t>证明材料。否则，采购人不予受理：</w:t>
      </w:r>
    </w:p>
    <w:p w14:paraId="4FCF77DE">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（一</w:t>
      </w:r>
      <w:r>
        <w:rPr>
          <w:color w:val="auto"/>
          <w:spacing w:val="-24"/>
        </w:rPr>
        <w:t>）</w:t>
      </w:r>
      <w:r>
        <w:rPr>
          <w:color w:val="auto"/>
          <w:spacing w:val="-7"/>
        </w:rPr>
        <w:t>质疑磋商响应供应商全称、地址、法定代表人、联系人及联系电话、邮政编码</w:t>
      </w:r>
      <w:r>
        <w:rPr>
          <w:color w:val="auto"/>
        </w:rPr>
        <w:t>等；</w:t>
      </w:r>
    </w:p>
    <w:p w14:paraId="46D7C8F8">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（二）被质疑采购项目的名称、编号；</w:t>
      </w:r>
    </w:p>
    <w:p w14:paraId="1669A318">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（三）质疑的具体事项、明确的请求和主张；</w:t>
      </w:r>
    </w:p>
    <w:p w14:paraId="1C070223">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（四）质疑所依据的法律依据（具体条款</w:t>
      </w:r>
      <w:r>
        <w:rPr>
          <w:color w:val="auto"/>
          <w:spacing w:val="-120"/>
        </w:rPr>
        <w:t>）</w:t>
      </w:r>
      <w:r>
        <w:rPr>
          <w:color w:val="auto"/>
          <w:spacing w:val="-1"/>
        </w:rPr>
        <w:t>、具体事实和具体理由。质疑书依据理由</w:t>
      </w:r>
      <w:r>
        <w:rPr>
          <w:color w:val="auto"/>
        </w:rPr>
        <w:t>部分只有主观陈述、推理、猜测等，而没有提供客观事实依据、法律依据的；</w:t>
      </w:r>
    </w:p>
    <w:p w14:paraId="348B44D3">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66A0D4A">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（六）充足有效的相关证明材料；如果涉及到产品功能或技术指标的，应出具相关制造商的证明文件；</w:t>
      </w:r>
    </w:p>
    <w:p w14:paraId="43F7D955">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（七）质疑材料中有外文资料的，应一并附上中文译本，并以中文译本为准。</w:t>
      </w:r>
    </w:p>
    <w:p w14:paraId="250F7DD7">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（八）提起质疑的日期</w:t>
      </w:r>
    </w:p>
    <w:p w14:paraId="7C5E385E">
      <w:pPr>
        <w:pStyle w:val="8"/>
        <w:keepNext w:val="0"/>
        <w:keepLines w:val="0"/>
        <w:pageBreakBefore w:val="0"/>
        <w:widowControl w:val="0"/>
        <w:kinsoku/>
        <w:wordWrap w:val="0"/>
        <w:overflowPunct/>
        <w:topLinePunct w:val="0"/>
        <w:bidi w:val="0"/>
        <w:adjustRightInd/>
        <w:snapToGrid/>
        <w:spacing w:line="480" w:lineRule="exact"/>
        <w:ind w:left="0" w:right="0" w:firstLine="480" w:firstLineChars="200"/>
        <w:jc w:val="left"/>
        <w:textAlignment w:val="auto"/>
        <w:rPr>
          <w:color w:val="auto"/>
        </w:rPr>
      </w:pPr>
      <w:r>
        <w:rPr>
          <w:color w:val="auto"/>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95DFD9">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磋商响应供应商委托代理人办理质疑事宜，应当提交授权委托书，并载明委托</w:t>
      </w:r>
      <w:r>
        <w:rPr>
          <w:color w:val="auto"/>
          <w:sz w:val="24"/>
        </w:rPr>
        <w:t>代理的具体权限和事项。授权委托书应当由委托人签字并加盖单位公章。</w:t>
      </w:r>
    </w:p>
    <w:p w14:paraId="67B22011">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提交质疑书时，磋商响应供应商应同时提交本人身份证，委托他人代理质疑事</w:t>
      </w:r>
      <w:r>
        <w:rPr>
          <w:color w:val="auto"/>
          <w:sz w:val="24"/>
        </w:rPr>
        <w:t>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69D8C200">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质疑书提交方式。磋商响应供应商或者其委托代理人应当当面提交质疑书及相</w:t>
      </w:r>
      <w:r>
        <w:rPr>
          <w:color w:val="auto"/>
          <w:sz w:val="24"/>
        </w:rPr>
        <w:t>关证明材料。磋商响应供应商以电子邮件、传真等其他方式提交质疑书及相关证明材料的，或者不是磋商响应供应商或者其委托代理人提交质疑书及相关证明材料的，采购人或采购机构可以拒收。</w:t>
      </w:r>
    </w:p>
    <w:p w14:paraId="66EC3939">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sz w:val="24"/>
        </w:rPr>
      </w:pPr>
      <w:r>
        <w:rPr>
          <w:color w:val="auto"/>
          <w:spacing w:val="-1"/>
          <w:sz w:val="24"/>
        </w:rPr>
        <w:t>磋商响应供应商不得虚假质疑和恶意质疑，并对质疑内容的真实性承担责任。</w:t>
      </w:r>
      <w:r>
        <w:rPr>
          <w:color w:val="auto"/>
          <w:sz w:val="24"/>
        </w:rPr>
        <w:t>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0F592725">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80" w:firstLineChars="200"/>
        <w:jc w:val="left"/>
        <w:textAlignment w:val="auto"/>
        <w:rPr>
          <w:color w:val="auto"/>
          <w:sz w:val="24"/>
        </w:rPr>
      </w:pPr>
      <w:r>
        <w:rPr>
          <w:color w:val="auto"/>
          <w:sz w:val="24"/>
        </w:rPr>
        <w:t>采购人将在收到符合上述条件的书面质疑后 7</w:t>
      </w:r>
      <w:r>
        <w:rPr>
          <w:color w:val="auto"/>
          <w:spacing w:val="-9"/>
          <w:sz w:val="24"/>
        </w:rPr>
        <w:t xml:space="preserve"> 个工作日内审查质疑事项，作出答复或相关处理决定，并以书面形式通知质疑磋商响应供应商和其他有关磋商响应供应商，但答复的内容不涉及商业秘密。若质疑涉及磋商制度或程序，将被转交政府采购的</w:t>
      </w:r>
      <w:r>
        <w:rPr>
          <w:color w:val="auto"/>
          <w:spacing w:val="-12"/>
          <w:sz w:val="24"/>
        </w:rPr>
        <w:t>管理部门审查。采购人遵循“谁过错谁负担”的原则，有过错的一方承担调查论证费用。</w:t>
      </w:r>
    </w:p>
    <w:p w14:paraId="2ACDF0CC">
      <w:pPr>
        <w:pStyle w:val="38"/>
        <w:keepNext w:val="0"/>
        <w:keepLines w:val="0"/>
        <w:pageBreakBefore w:val="0"/>
        <w:widowControl w:val="0"/>
        <w:numPr>
          <w:ilvl w:val="1"/>
          <w:numId w:val="12"/>
        </w:numPr>
        <w:tabs>
          <w:tab w:val="left" w:pos="1341"/>
        </w:tabs>
        <w:kinsoku/>
        <w:wordWrap w:val="0"/>
        <w:overflowPunct/>
        <w:topLinePunct w:val="0"/>
        <w:bidi w:val="0"/>
        <w:adjustRightInd/>
        <w:snapToGrid/>
        <w:spacing w:line="480" w:lineRule="exact"/>
        <w:ind w:left="0" w:right="0" w:firstLine="476" w:firstLineChars="200"/>
        <w:jc w:val="left"/>
        <w:textAlignment w:val="auto"/>
        <w:rPr>
          <w:color w:val="auto"/>
          <w:highlight w:val="none"/>
        </w:rPr>
      </w:pPr>
      <w:r>
        <w:rPr>
          <w:color w:val="auto"/>
          <w:spacing w:val="-1"/>
          <w:sz w:val="24"/>
          <w:highlight w:val="none"/>
        </w:rPr>
        <w:t>质疑供应商对采购人的答复不满意以及采购人未在规定的时间内做出答复的，</w:t>
      </w:r>
      <w:r>
        <w:rPr>
          <w:color w:val="auto"/>
          <w:spacing w:val="-7"/>
          <w:sz w:val="24"/>
          <w:highlight w:val="none"/>
        </w:rPr>
        <w:t>可以在答复期满后</w:t>
      </w:r>
      <w:r>
        <w:rPr>
          <w:color w:val="auto"/>
          <w:sz w:val="24"/>
          <w:highlight w:val="none"/>
        </w:rPr>
        <w:t>15</w:t>
      </w:r>
      <w:r>
        <w:rPr>
          <w:color w:val="auto"/>
          <w:spacing w:val="-8"/>
          <w:sz w:val="24"/>
          <w:highlight w:val="none"/>
        </w:rPr>
        <w:t>个工作日内向财政部门投诉。</w:t>
      </w:r>
    </w:p>
    <w:p w14:paraId="4D6453DC">
      <w:pPr>
        <w:pStyle w:val="38"/>
        <w:keepNext w:val="0"/>
        <w:keepLines w:val="0"/>
        <w:pageBreakBefore w:val="0"/>
        <w:widowControl w:val="0"/>
        <w:numPr>
          <w:ilvl w:val="0"/>
          <w:numId w:val="0"/>
        </w:numPr>
        <w:tabs>
          <w:tab w:val="left" w:pos="1341"/>
        </w:tabs>
        <w:kinsoku/>
        <w:wordWrap w:val="0"/>
        <w:overflowPunct/>
        <w:topLinePunct w:val="0"/>
        <w:autoSpaceDE w:val="0"/>
        <w:autoSpaceDN w:val="0"/>
        <w:bidi w:val="0"/>
        <w:adjustRightInd/>
        <w:snapToGrid/>
        <w:spacing w:line="480" w:lineRule="exact"/>
        <w:ind w:left="0" w:right="0" w:rightChars="0" w:firstLine="478" w:firstLineChars="200"/>
        <w:jc w:val="left"/>
        <w:textAlignment w:val="auto"/>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33.招标代理服务收费参照豫招协[2023]002号河南省招标投标协会关于印发《河南省招标代理服务收费指导意见》规定的收费标准收取中标服务费。</w:t>
      </w:r>
    </w:p>
    <w:p w14:paraId="11728A3C">
      <w:pPr>
        <w:pStyle w:val="38"/>
        <w:keepNext w:val="0"/>
        <w:keepLines w:val="0"/>
        <w:pageBreakBefore w:val="0"/>
        <w:widowControl w:val="0"/>
        <w:numPr>
          <w:ilvl w:val="0"/>
          <w:numId w:val="0"/>
        </w:numPr>
        <w:tabs>
          <w:tab w:val="left" w:pos="1341"/>
        </w:tabs>
        <w:kinsoku/>
        <w:wordWrap w:val="0"/>
        <w:overflowPunct/>
        <w:topLinePunct w:val="0"/>
        <w:autoSpaceDE w:val="0"/>
        <w:autoSpaceDN w:val="0"/>
        <w:bidi w:val="0"/>
        <w:adjustRightInd/>
        <w:snapToGrid/>
        <w:spacing w:line="480" w:lineRule="exact"/>
        <w:ind w:left="0" w:right="0" w:rightChars="0" w:firstLine="478" w:firstLineChars="200"/>
        <w:jc w:val="left"/>
        <w:textAlignment w:val="auto"/>
        <w:outlineLvl w:val="0"/>
        <w:rPr>
          <w:rFonts w:hint="default" w:ascii="宋体" w:hAnsi="宋体" w:eastAsia="宋体" w:cs="宋体"/>
          <w:b/>
          <w:bCs/>
          <w:color w:val="auto"/>
          <w:spacing w:val="-1"/>
          <w:sz w:val="24"/>
          <w:highlight w:val="none"/>
          <w:lang w:val="en-US" w:eastAsia="zh-CN"/>
        </w:rPr>
      </w:pPr>
      <w:bookmarkStart w:id="166" w:name="_Toc10193"/>
      <w:r>
        <w:rPr>
          <w:rFonts w:hint="eastAsia" w:ascii="宋体" w:hAnsi="宋体" w:eastAsia="宋体" w:cs="宋体"/>
          <w:b/>
          <w:bCs/>
          <w:color w:val="auto"/>
          <w:spacing w:val="-1"/>
          <w:sz w:val="24"/>
          <w:highlight w:val="none"/>
          <w:lang w:val="en-US" w:eastAsia="zh-CN"/>
        </w:rPr>
        <w:t>河南省招标代理服务费计算标准</w:t>
      </w:r>
      <w:bookmarkEnd w:id="166"/>
    </w:p>
    <w:tbl>
      <w:tblPr>
        <w:tblStyle w:val="20"/>
        <w:tblpPr w:leftFromText="180" w:rightFromText="180" w:vertAnchor="text" w:horzAnchor="page" w:tblpX="1468" w:tblpY="396"/>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668F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B96C3A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0B664F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5A5D678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674663B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5AC6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8CEF91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2EC8EC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69850EE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0D54A0B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548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4"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429E38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74841C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4913161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6285C32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3BCE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44"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A12C38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D47F71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5906FBA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6E6CED2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0BEF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4" w:hRule="atLeast"/>
        </w:trPr>
        <w:tc>
          <w:tcPr>
            <w:tcW w:w="3994" w:type="dxa"/>
            <w:tcBorders>
              <w:top w:val="single" w:color="000000" w:sz="4" w:space="0"/>
              <w:left w:val="single" w:color="000000" w:sz="4" w:space="0"/>
              <w:bottom w:val="single" w:color="auto" w:sz="4" w:space="0"/>
              <w:right w:val="single" w:color="000000" w:sz="4" w:space="0"/>
            </w:tcBorders>
            <w:vAlign w:val="center"/>
          </w:tcPr>
          <w:p w14:paraId="4BE0E38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auto" w:sz="4" w:space="0"/>
              <w:right w:val="single" w:color="000000" w:sz="4" w:space="0"/>
            </w:tcBorders>
            <w:vAlign w:val="center"/>
          </w:tcPr>
          <w:p w14:paraId="623CE88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auto" w:sz="4" w:space="0"/>
              <w:right w:val="single" w:color="000000" w:sz="4" w:space="0"/>
            </w:tcBorders>
            <w:vAlign w:val="center"/>
          </w:tcPr>
          <w:p w14:paraId="2D415EA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auto" w:sz="4" w:space="0"/>
              <w:right w:val="single" w:color="000000" w:sz="4" w:space="0"/>
            </w:tcBorders>
            <w:vAlign w:val="center"/>
          </w:tcPr>
          <w:p w14:paraId="205B34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0972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4" w:hRule="atLeast"/>
        </w:trPr>
        <w:tc>
          <w:tcPr>
            <w:tcW w:w="3994" w:type="dxa"/>
            <w:tcBorders>
              <w:top w:val="single" w:color="auto" w:sz="4" w:space="0"/>
              <w:left w:val="single" w:color="auto" w:sz="4" w:space="0"/>
              <w:bottom w:val="single" w:color="auto" w:sz="4" w:space="0"/>
              <w:right w:val="single" w:color="auto" w:sz="4" w:space="0"/>
            </w:tcBorders>
            <w:vAlign w:val="center"/>
          </w:tcPr>
          <w:p w14:paraId="5B652B2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auto" w:sz="4" w:space="0"/>
              <w:left w:val="single" w:color="auto" w:sz="4" w:space="0"/>
              <w:bottom w:val="single" w:color="auto" w:sz="4" w:space="0"/>
              <w:right w:val="single" w:color="auto" w:sz="4" w:space="0"/>
            </w:tcBorders>
            <w:vAlign w:val="center"/>
          </w:tcPr>
          <w:p w14:paraId="2DCA05A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auto" w:sz="4" w:space="0"/>
              <w:left w:val="single" w:color="auto" w:sz="4" w:space="0"/>
              <w:bottom w:val="single" w:color="auto" w:sz="4" w:space="0"/>
              <w:right w:val="single" w:color="auto" w:sz="4" w:space="0"/>
            </w:tcBorders>
            <w:vAlign w:val="center"/>
          </w:tcPr>
          <w:p w14:paraId="69FF410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auto" w:sz="4" w:space="0"/>
              <w:left w:val="single" w:color="auto" w:sz="4" w:space="0"/>
              <w:bottom w:val="single" w:color="auto" w:sz="4" w:space="0"/>
              <w:right w:val="single" w:color="auto" w:sz="4" w:space="0"/>
            </w:tcBorders>
            <w:vAlign w:val="center"/>
          </w:tcPr>
          <w:p w14:paraId="6307FDE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7C6F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9" w:hRule="atLeast"/>
        </w:trPr>
        <w:tc>
          <w:tcPr>
            <w:tcW w:w="3994" w:type="dxa"/>
            <w:tcBorders>
              <w:top w:val="single" w:color="auto" w:sz="4" w:space="0"/>
              <w:left w:val="single" w:color="auto" w:sz="4" w:space="0"/>
              <w:bottom w:val="single" w:color="auto" w:sz="4" w:space="0"/>
              <w:right w:val="single" w:color="auto" w:sz="4" w:space="0"/>
            </w:tcBorders>
            <w:vAlign w:val="center"/>
          </w:tcPr>
          <w:p w14:paraId="31B71B7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auto" w:sz="4" w:space="0"/>
              <w:left w:val="single" w:color="auto" w:sz="4" w:space="0"/>
              <w:bottom w:val="single" w:color="auto" w:sz="4" w:space="0"/>
              <w:right w:val="single" w:color="auto" w:sz="4" w:space="0"/>
            </w:tcBorders>
            <w:vAlign w:val="center"/>
          </w:tcPr>
          <w:p w14:paraId="2EF685E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auto" w:sz="4" w:space="0"/>
              <w:left w:val="single" w:color="auto" w:sz="4" w:space="0"/>
              <w:bottom w:val="single" w:color="auto" w:sz="4" w:space="0"/>
              <w:right w:val="single" w:color="auto" w:sz="4" w:space="0"/>
            </w:tcBorders>
            <w:vAlign w:val="center"/>
          </w:tcPr>
          <w:p w14:paraId="2BD3DB5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auto" w:sz="4" w:space="0"/>
              <w:left w:val="single" w:color="auto" w:sz="4" w:space="0"/>
              <w:bottom w:val="single" w:color="auto" w:sz="4" w:space="0"/>
              <w:right w:val="single" w:color="auto" w:sz="4" w:space="0"/>
            </w:tcBorders>
            <w:vAlign w:val="center"/>
          </w:tcPr>
          <w:p w14:paraId="2F471EF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2184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9" w:hRule="atLeast"/>
        </w:trPr>
        <w:tc>
          <w:tcPr>
            <w:tcW w:w="3994" w:type="dxa"/>
            <w:tcBorders>
              <w:top w:val="single" w:color="auto" w:sz="4" w:space="0"/>
              <w:left w:val="single" w:color="auto" w:sz="4" w:space="0"/>
              <w:bottom w:val="single" w:color="auto" w:sz="4" w:space="0"/>
              <w:right w:val="single" w:color="auto" w:sz="4" w:space="0"/>
            </w:tcBorders>
            <w:vAlign w:val="center"/>
          </w:tcPr>
          <w:p w14:paraId="125B717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auto" w:sz="4" w:space="0"/>
              <w:left w:val="single" w:color="auto" w:sz="4" w:space="0"/>
              <w:bottom w:val="single" w:color="auto" w:sz="4" w:space="0"/>
              <w:right w:val="single" w:color="auto" w:sz="4" w:space="0"/>
            </w:tcBorders>
            <w:vAlign w:val="center"/>
          </w:tcPr>
          <w:p w14:paraId="61363D0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auto" w:sz="4" w:space="0"/>
              <w:left w:val="single" w:color="auto" w:sz="4" w:space="0"/>
              <w:bottom w:val="single" w:color="auto" w:sz="4" w:space="0"/>
              <w:right w:val="single" w:color="auto" w:sz="4" w:space="0"/>
            </w:tcBorders>
            <w:vAlign w:val="center"/>
          </w:tcPr>
          <w:p w14:paraId="1C34EA2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auto" w:sz="4" w:space="0"/>
              <w:left w:val="single" w:color="auto" w:sz="4" w:space="0"/>
              <w:bottom w:val="single" w:color="auto" w:sz="4" w:space="0"/>
              <w:right w:val="single" w:color="auto" w:sz="4" w:space="0"/>
            </w:tcBorders>
            <w:vAlign w:val="center"/>
          </w:tcPr>
          <w:p w14:paraId="5E1F949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748A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9" w:hRule="atLeast"/>
        </w:trPr>
        <w:tc>
          <w:tcPr>
            <w:tcW w:w="3994" w:type="dxa"/>
            <w:tcBorders>
              <w:top w:val="single" w:color="auto" w:sz="4" w:space="0"/>
              <w:left w:val="single" w:color="000000" w:sz="4" w:space="0"/>
              <w:bottom w:val="single" w:color="000000" w:sz="4" w:space="0"/>
              <w:right w:val="single" w:color="000000" w:sz="4" w:space="0"/>
            </w:tcBorders>
            <w:vAlign w:val="center"/>
          </w:tcPr>
          <w:p w14:paraId="68D0A61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auto" w:sz="4" w:space="0"/>
              <w:left w:val="single" w:color="000000" w:sz="4" w:space="0"/>
              <w:bottom w:val="single" w:color="000000" w:sz="4" w:space="0"/>
              <w:right w:val="single" w:color="000000" w:sz="4" w:space="0"/>
            </w:tcBorders>
            <w:vAlign w:val="center"/>
          </w:tcPr>
          <w:p w14:paraId="09954B7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auto" w:sz="4" w:space="0"/>
              <w:left w:val="single" w:color="000000" w:sz="4" w:space="0"/>
              <w:bottom w:val="single" w:color="000000" w:sz="4" w:space="0"/>
              <w:right w:val="single" w:color="000000" w:sz="4" w:space="0"/>
            </w:tcBorders>
            <w:vAlign w:val="center"/>
          </w:tcPr>
          <w:p w14:paraId="6948194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auto" w:sz="4" w:space="0"/>
              <w:left w:val="single" w:color="000000" w:sz="4" w:space="0"/>
              <w:bottom w:val="single" w:color="000000" w:sz="4" w:space="0"/>
              <w:right w:val="single" w:color="000000" w:sz="4" w:space="0"/>
            </w:tcBorders>
            <w:vAlign w:val="center"/>
          </w:tcPr>
          <w:p w14:paraId="6BD66A6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4E5B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B545DE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8462F1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269A264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2C134C7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3104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7FB42ED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2672827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7742534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6FB95C5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24B7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vAlign w:val="center"/>
          </w:tcPr>
          <w:p w14:paraId="3D56FFD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6BB05EA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183C23E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 万元，招标代理服务收费计算如下:</w:t>
            </w:r>
          </w:p>
          <w:p w14:paraId="15B6933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521D6F5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153C02F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19470042">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0C35B9D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（10000-5000）×0.25%=12.5万元</w:t>
            </w:r>
          </w:p>
          <w:p w14:paraId="1BC6BCC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合计收费=1.2+4+3.5+16+12.5=37.2万元</w:t>
            </w:r>
          </w:p>
        </w:tc>
      </w:tr>
    </w:tbl>
    <w:p w14:paraId="737BDCE9">
      <w:pPr>
        <w:pStyle w:val="38"/>
        <w:widowControl w:val="0"/>
        <w:numPr>
          <w:ilvl w:val="0"/>
          <w:numId w:val="0"/>
        </w:numPr>
        <w:tabs>
          <w:tab w:val="left" w:pos="1341"/>
        </w:tabs>
        <w:autoSpaceDE w:val="0"/>
        <w:autoSpaceDN w:val="0"/>
        <w:spacing w:line="328" w:lineRule="auto"/>
        <w:ind w:right="338" w:rightChars="0"/>
        <w:jc w:val="both"/>
        <w:rPr>
          <w:color w:val="auto"/>
        </w:rPr>
      </w:pPr>
    </w:p>
    <w:p w14:paraId="5DFBE944">
      <w:pPr>
        <w:pStyle w:val="38"/>
        <w:widowControl w:val="0"/>
        <w:numPr>
          <w:ilvl w:val="0"/>
          <w:numId w:val="0"/>
        </w:numPr>
        <w:tabs>
          <w:tab w:val="left" w:pos="1341"/>
        </w:tabs>
        <w:autoSpaceDE w:val="0"/>
        <w:autoSpaceDN w:val="0"/>
        <w:spacing w:line="328" w:lineRule="auto"/>
        <w:ind w:right="338" w:rightChars="0"/>
        <w:jc w:val="both"/>
        <w:rPr>
          <w:color w:val="auto"/>
        </w:rPr>
        <w:sectPr>
          <w:footerReference r:id="rId6" w:type="default"/>
          <w:pgSz w:w="11910" w:h="16840"/>
          <w:pgMar w:top="1440" w:right="1800" w:bottom="1440" w:left="1800" w:header="0" w:footer="640" w:gutter="0"/>
          <w:pgNumType w:fmt="decimal"/>
          <w:cols w:space="720" w:num="1"/>
        </w:sectPr>
      </w:pPr>
    </w:p>
    <w:p w14:paraId="3B147139">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4"/>
          <w:szCs w:val="24"/>
          <w:highlight w:val="none"/>
          <w:lang w:eastAsia="zh-CN"/>
        </w:rPr>
      </w:pPr>
      <w:bookmarkStart w:id="167" w:name="_Toc25877"/>
      <w:bookmarkStart w:id="168" w:name="_Toc2996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446D7478">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rPr>
      </w:pPr>
      <w:bookmarkStart w:id="169" w:name="_Toc19399"/>
      <w:bookmarkStart w:id="170" w:name="_Toc7567"/>
    </w:p>
    <w:p w14:paraId="3DF91D9D">
      <w:pPr>
        <w:keepNext w:val="0"/>
        <w:keepLines w:val="0"/>
        <w:pageBreakBefore w:val="0"/>
        <w:widowControl w:val="0"/>
        <w:kinsoku/>
        <w:wordWrap/>
        <w:overflowPunct/>
        <w:topLinePunct w:val="0"/>
        <w:bidi w:val="0"/>
        <w:adjustRightInd w:val="0"/>
        <w:snapToGrid w:val="0"/>
        <w:spacing w:line="360" w:lineRule="auto"/>
        <w:ind w:firstLine="482" w:firstLineChars="200"/>
        <w:jc w:val="center"/>
        <w:outlineLvl w:val="0"/>
        <w:rPr>
          <w:rFonts w:hint="eastAsia" w:ascii="宋体" w:hAnsi="宋体" w:eastAsia="宋体" w:cs="宋体"/>
          <w:color w:val="auto"/>
          <w:sz w:val="24"/>
          <w:szCs w:val="24"/>
          <w:highlight w:val="none"/>
        </w:rPr>
      </w:pPr>
      <w:bookmarkStart w:id="171" w:name="_Toc32579"/>
      <w:r>
        <w:rPr>
          <w:rFonts w:hint="eastAsia" w:ascii="宋体" w:hAnsi="宋体" w:eastAsia="宋体" w:cs="宋体"/>
          <w:b/>
          <w:bCs/>
          <w:color w:val="auto"/>
          <w:sz w:val="24"/>
          <w:szCs w:val="24"/>
          <w:highlight w:val="none"/>
        </w:rPr>
        <w:t>河南省政府采购合同融资政策告知函</w:t>
      </w:r>
      <w:bookmarkEnd w:id="169"/>
      <w:bookmarkEnd w:id="170"/>
      <w:bookmarkEnd w:id="171"/>
    </w:p>
    <w:p w14:paraId="47E3FE35">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BC4950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2B2CFCB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3DBDE01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054BA279">
      <w:pPr>
        <w:pStyle w:val="39"/>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sz w:val="21"/>
          <w:szCs w:val="21"/>
        </w:rPr>
      </w:pPr>
      <w:bookmarkStart w:id="172"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172"/>
    </w:p>
    <w:p w14:paraId="3A2F5111">
      <w:pPr>
        <w:rPr>
          <w:rFonts w:ascii="宋体" w:hAnsi="宋体" w:cs="宋体"/>
          <w:sz w:val="24"/>
        </w:rPr>
      </w:pPr>
    </w:p>
    <w:p w14:paraId="670EA26D">
      <w:pPr>
        <w:widowControl w:val="0"/>
        <w:jc w:val="both"/>
        <w:textAlignment w:val="auto"/>
        <w:rPr>
          <w:rFonts w:hint="eastAsia" w:ascii="宋体" w:hAnsi="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2：卢氏县政府采购合同融资政策告知书</w:t>
      </w:r>
    </w:p>
    <w:p w14:paraId="6B18056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0CF6C122">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卢氏县政府采购合同融资政策告知书</w:t>
      </w:r>
    </w:p>
    <w:p w14:paraId="3672C43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0ED30D7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39767A7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B2DF48B">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26C04A4">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2034E30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11EE1036">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承接银行联系方式</w:t>
      </w:r>
    </w:p>
    <w:tbl>
      <w:tblPr>
        <w:tblStyle w:val="21"/>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066"/>
      </w:tblGrid>
      <w:tr w14:paraId="62A3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13486B44">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3065" w:type="dxa"/>
            <w:noWrap w:val="0"/>
            <w:vAlign w:val="center"/>
          </w:tcPr>
          <w:p w14:paraId="46E23CA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3066" w:type="dxa"/>
            <w:noWrap w:val="0"/>
            <w:vAlign w:val="center"/>
          </w:tcPr>
          <w:p w14:paraId="326DACD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r>
      <w:tr w14:paraId="1C8F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7774A384">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中国建设银行股份有限公司卢氏支行</w:t>
            </w:r>
          </w:p>
        </w:tc>
        <w:tc>
          <w:tcPr>
            <w:tcW w:w="3065" w:type="dxa"/>
            <w:noWrap w:val="0"/>
            <w:vAlign w:val="center"/>
          </w:tcPr>
          <w:p w14:paraId="701212F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张江涛</w:t>
            </w:r>
          </w:p>
        </w:tc>
        <w:tc>
          <w:tcPr>
            <w:tcW w:w="3066" w:type="dxa"/>
            <w:noWrap w:val="0"/>
            <w:vAlign w:val="center"/>
          </w:tcPr>
          <w:p w14:paraId="2E7A08E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18739850204</w:t>
            </w:r>
          </w:p>
        </w:tc>
      </w:tr>
      <w:tr w14:paraId="1C08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5FA0BCC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中国农业银行股份有限公司卢氏县支行</w:t>
            </w:r>
          </w:p>
        </w:tc>
        <w:tc>
          <w:tcPr>
            <w:tcW w:w="3065" w:type="dxa"/>
            <w:noWrap w:val="0"/>
            <w:vAlign w:val="center"/>
          </w:tcPr>
          <w:p w14:paraId="6F6EF22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代仁旺</w:t>
            </w:r>
          </w:p>
        </w:tc>
        <w:tc>
          <w:tcPr>
            <w:tcW w:w="3066" w:type="dxa"/>
            <w:noWrap w:val="0"/>
            <w:vAlign w:val="center"/>
          </w:tcPr>
          <w:p w14:paraId="682EBE1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18939062604</w:t>
            </w:r>
          </w:p>
        </w:tc>
      </w:tr>
      <w:tr w14:paraId="38DD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68C468F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中原银行股份有限公司</w:t>
            </w:r>
          </w:p>
          <w:p w14:paraId="4500580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卢氏支行</w:t>
            </w:r>
          </w:p>
        </w:tc>
        <w:tc>
          <w:tcPr>
            <w:tcW w:w="3065" w:type="dxa"/>
            <w:noWrap w:val="0"/>
            <w:vAlign w:val="center"/>
          </w:tcPr>
          <w:p w14:paraId="1134D430">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李 博</w:t>
            </w:r>
          </w:p>
        </w:tc>
        <w:tc>
          <w:tcPr>
            <w:tcW w:w="3066" w:type="dxa"/>
            <w:noWrap w:val="0"/>
            <w:vAlign w:val="center"/>
          </w:tcPr>
          <w:p w14:paraId="6A53ED5A">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15839857887</w:t>
            </w:r>
          </w:p>
        </w:tc>
      </w:tr>
    </w:tbl>
    <w:p w14:paraId="6D5D87FB">
      <w:pPr>
        <w:jc w:val="both"/>
        <w:rPr>
          <w:rFonts w:hint="eastAsia" w:ascii="宋体" w:hAnsi="宋体" w:cs="宋体"/>
          <w:b/>
          <w:bCs/>
          <w:color w:val="auto"/>
          <w:highlight w:val="none"/>
          <w:lang w:eastAsia="zh-CN"/>
        </w:rPr>
      </w:pPr>
    </w:p>
    <w:p w14:paraId="2C8491EF">
      <w:pPr>
        <w:rPr>
          <w:rFonts w:hint="eastAsia" w:ascii="宋体" w:hAnsi="宋体" w:cs="宋体"/>
          <w:b/>
          <w:bCs/>
          <w:color w:val="auto"/>
          <w:highlight w:val="none"/>
          <w:lang w:eastAsia="zh-CN"/>
        </w:rPr>
      </w:pPr>
    </w:p>
    <w:p w14:paraId="13B12262">
      <w:pPr>
        <w:rPr>
          <w:rFonts w:hint="eastAsia" w:ascii="宋体" w:hAnsi="宋体" w:eastAsia="宋体" w:cs="宋体"/>
          <w:b/>
          <w:bCs/>
          <w:color w:val="auto"/>
          <w:lang w:val="en-US" w:eastAsia="zh-CN"/>
        </w:rPr>
      </w:pPr>
    </w:p>
    <w:p w14:paraId="497E9985">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br w:type="page"/>
      </w:r>
    </w:p>
    <w:p w14:paraId="08A59493">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rFonts w:hint="eastAsia" w:ascii="宋体" w:hAnsi="宋体" w:eastAsia="宋体" w:cs="宋体"/>
          <w:b/>
          <w:bCs/>
          <w:color w:val="auto"/>
          <w:sz w:val="36"/>
          <w:szCs w:val="28"/>
          <w:lang w:val="en-US" w:eastAsia="zh-CN"/>
        </w:rPr>
      </w:pPr>
      <w:r>
        <w:rPr>
          <w:rFonts w:hint="eastAsia" w:ascii="宋体" w:hAnsi="宋体" w:eastAsia="宋体" w:cs="宋体"/>
          <w:b/>
          <w:bCs/>
          <w:color w:val="auto"/>
          <w:sz w:val="36"/>
          <w:szCs w:val="28"/>
          <w:lang w:val="en-US" w:eastAsia="zh-CN"/>
        </w:rPr>
        <w:t xml:space="preserve">第三章 </w:t>
      </w:r>
      <w:bookmarkEnd w:id="167"/>
      <w:r>
        <w:rPr>
          <w:rFonts w:hint="eastAsia" w:ascii="宋体" w:hAnsi="宋体" w:eastAsia="宋体" w:cs="宋体"/>
          <w:b/>
          <w:bCs/>
          <w:color w:val="auto"/>
          <w:sz w:val="36"/>
          <w:szCs w:val="28"/>
          <w:lang w:val="en-US" w:eastAsia="zh-CN"/>
        </w:rPr>
        <w:t>服务需求</w:t>
      </w:r>
      <w:bookmarkEnd w:id="168"/>
    </w:p>
    <w:p w14:paraId="020F07D9">
      <w:pPr>
        <w:rPr>
          <w:color w:val="auto"/>
        </w:rPr>
      </w:pPr>
    </w:p>
    <w:p w14:paraId="58AF993E">
      <w:pPr>
        <w:pStyle w:val="15"/>
        <w:keepNext w:val="0"/>
        <w:keepLines w:val="0"/>
        <w:pageBreakBefore w:val="0"/>
        <w:widowControl w:val="0"/>
        <w:kinsoku/>
        <w:wordWrap w:val="0"/>
        <w:overflowPunct/>
        <w:topLinePunct w:val="0"/>
        <w:autoSpaceDE w:val="0"/>
        <w:autoSpaceDN w:val="0"/>
        <w:bidi w:val="0"/>
        <w:adjustRightInd/>
        <w:snapToGrid/>
        <w:spacing w:line="5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一、项目概况：</w:t>
      </w:r>
    </w:p>
    <w:p w14:paraId="44DCBFE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1、采购人：</w:t>
      </w:r>
      <w:r>
        <w:rPr>
          <w:rFonts w:hint="eastAsia" w:ascii="宋体" w:hAnsi="宋体" w:cs="宋体"/>
          <w:color w:val="auto"/>
          <w:sz w:val="24"/>
          <w:szCs w:val="24"/>
          <w:lang w:val="en-US" w:eastAsia="zh-CN"/>
        </w:rPr>
        <w:t>卢氏县汤河乡人民政府</w:t>
      </w:r>
    </w:p>
    <w:p w14:paraId="303750F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2、项目名称：</w:t>
      </w:r>
      <w:r>
        <w:rPr>
          <w:rFonts w:hint="eastAsia" w:ascii="宋体" w:hAnsi="宋体" w:cs="宋体"/>
          <w:color w:val="auto"/>
          <w:sz w:val="24"/>
          <w:szCs w:val="24"/>
          <w:lang w:val="en-US" w:eastAsia="zh-CN"/>
        </w:rPr>
        <w:t>丹江口库区上游老灌河流域卢氏县水环境综合治理及生态修复项目设计服务</w:t>
      </w:r>
    </w:p>
    <w:p w14:paraId="32B92CD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3、项目预算金额：</w:t>
      </w:r>
      <w:r>
        <w:rPr>
          <w:rFonts w:hint="eastAsia" w:ascii="宋体" w:hAnsi="宋体" w:cs="宋体"/>
          <w:color w:val="auto"/>
          <w:sz w:val="24"/>
          <w:szCs w:val="24"/>
          <w:lang w:val="en-US" w:eastAsia="zh-CN"/>
        </w:rPr>
        <w:t>912600.00元</w:t>
      </w:r>
    </w:p>
    <w:p w14:paraId="1AB09A9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4、项目规模：对老灌河流域的河岸两侧进行生态步道建设，生态隔离带种植，生态护岸防护，生态湿地建设，沿线相关村庄铺设污水管网等基础设施建设</w:t>
      </w:r>
    </w:p>
    <w:p w14:paraId="61E5803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5、服务内容：主要包含该项目的工程测绘、工程设计、工程预算等</w:t>
      </w:r>
    </w:p>
    <w:p w14:paraId="3F3B4A3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6、标段划分：本项目共分</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个标段。</w:t>
      </w:r>
    </w:p>
    <w:p w14:paraId="21F8913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7、资金来源：财政资金，已落实；</w:t>
      </w:r>
    </w:p>
    <w:p w14:paraId="4E969B76">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8、设计周期：合同签订后</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日历天完成；</w:t>
      </w:r>
    </w:p>
    <w:p w14:paraId="6B954B2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9、质量要求：符合国家现行规范和标准，并满足采购人要求；</w:t>
      </w:r>
    </w:p>
    <w:p w14:paraId="6923048B">
      <w:pPr>
        <w:pStyle w:val="15"/>
        <w:keepNext w:val="0"/>
        <w:keepLines w:val="0"/>
        <w:pageBreakBefore w:val="0"/>
        <w:widowControl w:val="0"/>
        <w:kinsoku/>
        <w:wordWrap w:val="0"/>
        <w:overflowPunct/>
        <w:topLinePunct w:val="0"/>
        <w:autoSpaceDE w:val="0"/>
        <w:autoSpaceDN w:val="0"/>
        <w:bidi w:val="0"/>
        <w:adjustRightInd/>
        <w:snapToGrid/>
        <w:spacing w:line="5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二、设计内容：</w:t>
      </w:r>
    </w:p>
    <w:p w14:paraId="7AB3EBD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bookmarkStart w:id="173" w:name="_Toc27530"/>
      <w:bookmarkStart w:id="174" w:name="_Toc4566"/>
      <w:bookmarkStart w:id="175" w:name="_Toc31041"/>
      <w:bookmarkStart w:id="176" w:name="_Toc22914"/>
      <w:bookmarkStart w:id="177" w:name="_Toc20597"/>
      <w:bookmarkStart w:id="178" w:name="_Toc373253036"/>
      <w:bookmarkStart w:id="179" w:name="_Toc267495621"/>
      <w:r>
        <w:rPr>
          <w:rFonts w:hint="eastAsia" w:ascii="宋体" w:hAnsi="宋体" w:eastAsia="宋体" w:cs="宋体"/>
          <w:color w:val="auto"/>
          <w:sz w:val="24"/>
          <w:szCs w:val="24"/>
          <w:lang w:val="en-US" w:eastAsia="zh-CN"/>
        </w:rPr>
        <w:t>1.设计依据</w:t>
      </w:r>
      <w:bookmarkEnd w:id="173"/>
      <w:bookmarkEnd w:id="174"/>
      <w:bookmarkEnd w:id="175"/>
      <w:bookmarkEnd w:id="176"/>
      <w:bookmarkEnd w:id="177"/>
      <w:bookmarkEnd w:id="178"/>
    </w:p>
    <w:p w14:paraId="2940D2B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采用的主要标准及规范(不限于此)</w:t>
      </w:r>
    </w:p>
    <w:p w14:paraId="79C24F6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1、国家现行规范、规程，行业标准以及（省、市）地方标准</w:t>
      </w:r>
      <w:r>
        <w:rPr>
          <w:rFonts w:hint="eastAsia" w:ascii="宋体" w:hAnsi="宋体" w:cs="宋体"/>
          <w:color w:val="auto"/>
          <w:sz w:val="24"/>
          <w:szCs w:val="24"/>
          <w:lang w:val="en-US" w:eastAsia="zh-CN"/>
        </w:rPr>
        <w:t>；</w:t>
      </w:r>
    </w:p>
    <w:p w14:paraId="2007C86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2、采购人与供应商签订的工程设计合同:</w:t>
      </w:r>
    </w:p>
    <w:p w14:paraId="6435914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以上规范如有变化，以最新发布的为准。</w:t>
      </w:r>
    </w:p>
    <w:p w14:paraId="2D4793A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设计依据（不限于此）仅供投标人编制响应文件时参考。若由于采用所列设计依据而导致任何后果，均由响应人自行负责。</w:t>
      </w:r>
      <w:bookmarkEnd w:id="179"/>
      <w:bookmarkStart w:id="180" w:name="_Toc6577"/>
      <w:bookmarkStart w:id="181" w:name="_Toc15088"/>
      <w:bookmarkStart w:id="182" w:name="_Toc23807"/>
      <w:bookmarkStart w:id="183" w:name="_Toc13"/>
      <w:bookmarkStart w:id="184" w:name="_Toc14508"/>
      <w:bookmarkStart w:id="185" w:name="_Toc373253037"/>
    </w:p>
    <w:p w14:paraId="2161419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2.设计基本要求</w:t>
      </w:r>
      <w:bookmarkEnd w:id="180"/>
      <w:bookmarkEnd w:id="181"/>
      <w:bookmarkEnd w:id="182"/>
      <w:bookmarkEnd w:id="183"/>
      <w:bookmarkEnd w:id="184"/>
      <w:bookmarkEnd w:id="185"/>
    </w:p>
    <w:p w14:paraId="51FD986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（1）严格按照上级部门批准的方案。</w:t>
      </w:r>
    </w:p>
    <w:p w14:paraId="1795FF3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default"/>
          <w:highlight w:val="none"/>
          <w:lang w:val="en-US" w:eastAsia="zh-CN"/>
        </w:rPr>
      </w:pPr>
      <w:r>
        <w:rPr>
          <w:rFonts w:hint="eastAsia" w:cs="宋体"/>
          <w:color w:val="auto"/>
          <w:sz w:val="24"/>
          <w:szCs w:val="24"/>
          <w:highlight w:val="none"/>
          <w:lang w:val="en-US" w:eastAsia="zh-CN"/>
        </w:rPr>
        <w:t>（2）设计成果符合图纸预算要求</w:t>
      </w:r>
    </w:p>
    <w:p w14:paraId="0ABA3AC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）设计的质量和深度必须满足各相关部门的技术审查要求。</w:t>
      </w:r>
    </w:p>
    <w:p w14:paraId="77FB1DC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）设计周期必须满足竞争性磋商文件要求的时间。</w:t>
      </w:r>
    </w:p>
    <w:p w14:paraId="4C53E32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bookmarkStart w:id="186" w:name="_Toc22448"/>
      <w:bookmarkStart w:id="187" w:name="_Toc30570"/>
      <w:bookmarkStart w:id="188" w:name="_Toc2414"/>
    </w:p>
    <w:p w14:paraId="4A07F36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782F8DF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614A43D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701F58F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25F23B5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741FD80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2FB08E6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62DDCF3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6A067FA0">
      <w:pPr>
        <w:rPr>
          <w:rFonts w:hint="eastAsia"/>
          <w:b/>
          <w:bCs/>
          <w:color w:val="auto"/>
        </w:rPr>
      </w:pPr>
      <w:r>
        <w:rPr>
          <w:rFonts w:hint="eastAsia"/>
          <w:b/>
          <w:bCs/>
          <w:color w:val="auto"/>
        </w:rPr>
        <w:br w:type="page"/>
      </w:r>
    </w:p>
    <w:p w14:paraId="761874D7">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rFonts w:hint="eastAsia" w:ascii="宋体" w:hAnsi="宋体" w:eastAsia="宋体" w:cs="宋体"/>
          <w:b/>
          <w:bCs/>
          <w:color w:val="auto"/>
          <w:sz w:val="36"/>
          <w:szCs w:val="28"/>
          <w:lang w:val="en-US" w:eastAsia="zh-CN"/>
        </w:rPr>
      </w:pPr>
      <w:r>
        <w:rPr>
          <w:rFonts w:hint="eastAsia" w:ascii="宋体" w:hAnsi="宋体" w:eastAsia="宋体" w:cs="宋体"/>
          <w:b/>
          <w:bCs/>
          <w:color w:val="auto"/>
          <w:sz w:val="36"/>
          <w:szCs w:val="28"/>
          <w:lang w:val="en-US" w:eastAsia="zh-CN"/>
        </w:rPr>
        <w:t>第四章 评审办法</w:t>
      </w:r>
      <w:bookmarkEnd w:id="186"/>
      <w:bookmarkEnd w:id="187"/>
    </w:p>
    <w:p w14:paraId="63E5F7A5">
      <w:pPr>
        <w:spacing w:line="460" w:lineRule="exact"/>
        <w:jc w:val="center"/>
        <w:rPr>
          <w:rFonts w:hint="eastAsia" w:eastAsia="宋体"/>
          <w:color w:val="auto"/>
          <w:sz w:val="28"/>
          <w:szCs w:val="28"/>
          <w:lang w:val="en-US" w:eastAsia="zh-CN"/>
        </w:rPr>
      </w:pPr>
      <w:bookmarkStart w:id="189" w:name="_Toc28583_WPSOffice_Level2"/>
      <w:r>
        <w:rPr>
          <w:rFonts w:hint="eastAsia"/>
          <w:color w:val="auto"/>
          <w:sz w:val="28"/>
          <w:szCs w:val="28"/>
        </w:rPr>
        <w:t>评标办法前附表</w:t>
      </w:r>
      <w:bookmarkEnd w:id="189"/>
    </w:p>
    <w:tbl>
      <w:tblPr>
        <w:tblStyle w:val="20"/>
        <w:tblW w:w="907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75"/>
        <w:gridCol w:w="2130"/>
        <w:gridCol w:w="5130"/>
      </w:tblGrid>
      <w:tr w14:paraId="2120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15" w:type="dxa"/>
            <w:gridSpan w:val="2"/>
            <w:vAlign w:val="center"/>
          </w:tcPr>
          <w:p w14:paraId="16DC9D47">
            <w:pPr>
              <w:jc w:val="center"/>
              <w:rPr>
                <w:b/>
                <w:color w:val="auto"/>
                <w:szCs w:val="21"/>
              </w:rPr>
            </w:pPr>
            <w:r>
              <w:rPr>
                <w:rFonts w:hint="eastAsia"/>
                <w:b/>
                <w:color w:val="auto"/>
                <w:szCs w:val="21"/>
              </w:rPr>
              <w:t>条款号</w:t>
            </w:r>
          </w:p>
        </w:tc>
        <w:tc>
          <w:tcPr>
            <w:tcW w:w="2130" w:type="dxa"/>
            <w:vAlign w:val="center"/>
          </w:tcPr>
          <w:p w14:paraId="7D15A16D">
            <w:pPr>
              <w:jc w:val="center"/>
              <w:rPr>
                <w:b/>
                <w:color w:val="auto"/>
                <w:szCs w:val="21"/>
              </w:rPr>
            </w:pPr>
            <w:r>
              <w:rPr>
                <w:rFonts w:hint="eastAsia"/>
                <w:b/>
                <w:color w:val="auto"/>
                <w:szCs w:val="21"/>
              </w:rPr>
              <w:t>评审因素</w:t>
            </w:r>
          </w:p>
        </w:tc>
        <w:tc>
          <w:tcPr>
            <w:tcW w:w="5130" w:type="dxa"/>
            <w:vAlign w:val="center"/>
          </w:tcPr>
          <w:p w14:paraId="2799ADCC">
            <w:pPr>
              <w:jc w:val="center"/>
              <w:rPr>
                <w:b/>
                <w:color w:val="auto"/>
                <w:szCs w:val="21"/>
              </w:rPr>
            </w:pPr>
            <w:r>
              <w:rPr>
                <w:rFonts w:hint="eastAsia"/>
                <w:b/>
                <w:color w:val="auto"/>
                <w:szCs w:val="21"/>
              </w:rPr>
              <w:t>评审标准</w:t>
            </w:r>
          </w:p>
        </w:tc>
      </w:tr>
      <w:tr w14:paraId="4EA3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40" w:type="dxa"/>
            <w:vMerge w:val="restart"/>
            <w:vAlign w:val="center"/>
          </w:tcPr>
          <w:p w14:paraId="45C32D3F">
            <w:pPr>
              <w:jc w:val="center"/>
              <w:rPr>
                <w:color w:val="auto"/>
                <w:szCs w:val="21"/>
              </w:rPr>
            </w:pPr>
            <w:r>
              <w:rPr>
                <w:rFonts w:hint="eastAsia"/>
                <w:color w:val="auto"/>
                <w:szCs w:val="21"/>
              </w:rPr>
              <w:t>2.1.1</w:t>
            </w:r>
          </w:p>
        </w:tc>
        <w:tc>
          <w:tcPr>
            <w:tcW w:w="975" w:type="dxa"/>
            <w:vMerge w:val="restart"/>
            <w:vAlign w:val="center"/>
          </w:tcPr>
          <w:p w14:paraId="30EDFC87">
            <w:pPr>
              <w:jc w:val="center"/>
              <w:rPr>
                <w:color w:val="auto"/>
                <w:szCs w:val="21"/>
              </w:rPr>
            </w:pPr>
            <w:r>
              <w:rPr>
                <w:rFonts w:hint="eastAsia"/>
                <w:color w:val="auto"/>
                <w:szCs w:val="21"/>
              </w:rPr>
              <w:t>形式评审标准</w:t>
            </w:r>
          </w:p>
        </w:tc>
        <w:tc>
          <w:tcPr>
            <w:tcW w:w="2130" w:type="dxa"/>
            <w:vAlign w:val="center"/>
          </w:tcPr>
          <w:p w14:paraId="0DCD1CB0">
            <w:pPr>
              <w:spacing w:line="240" w:lineRule="auto"/>
              <w:ind w:firstLine="220" w:firstLineChars="100"/>
              <w:jc w:val="center"/>
              <w:rPr>
                <w:color w:val="auto"/>
                <w:szCs w:val="21"/>
              </w:rPr>
            </w:pPr>
            <w:r>
              <w:rPr>
                <w:rFonts w:hint="eastAsia"/>
                <w:color w:val="auto"/>
                <w:szCs w:val="21"/>
              </w:rPr>
              <w:t>供应商名称</w:t>
            </w:r>
          </w:p>
        </w:tc>
        <w:tc>
          <w:tcPr>
            <w:tcW w:w="5130" w:type="dxa"/>
            <w:vAlign w:val="center"/>
          </w:tcPr>
          <w:p w14:paraId="2315EBF1">
            <w:pPr>
              <w:spacing w:line="240" w:lineRule="auto"/>
              <w:rPr>
                <w:bCs/>
                <w:color w:val="auto"/>
                <w:szCs w:val="21"/>
                <w:lang w:val="en-US"/>
              </w:rPr>
            </w:pPr>
            <w:r>
              <w:rPr>
                <w:rFonts w:hint="eastAsia"/>
                <w:bCs/>
                <w:color w:val="auto"/>
                <w:szCs w:val="21"/>
                <w:lang w:val="en-US"/>
              </w:rPr>
              <w:t>与营业执照等一致</w:t>
            </w:r>
          </w:p>
        </w:tc>
      </w:tr>
      <w:tr w14:paraId="7E00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40" w:type="dxa"/>
            <w:vMerge w:val="continue"/>
            <w:vAlign w:val="top"/>
          </w:tcPr>
          <w:p w14:paraId="486D5E09">
            <w:pPr>
              <w:rPr>
                <w:color w:val="auto"/>
                <w:szCs w:val="21"/>
              </w:rPr>
            </w:pPr>
          </w:p>
        </w:tc>
        <w:tc>
          <w:tcPr>
            <w:tcW w:w="975" w:type="dxa"/>
            <w:vMerge w:val="continue"/>
            <w:vAlign w:val="top"/>
          </w:tcPr>
          <w:p w14:paraId="4F0FD742">
            <w:pPr>
              <w:rPr>
                <w:color w:val="auto"/>
                <w:szCs w:val="21"/>
              </w:rPr>
            </w:pPr>
          </w:p>
        </w:tc>
        <w:tc>
          <w:tcPr>
            <w:tcW w:w="2130" w:type="dxa"/>
            <w:vAlign w:val="center"/>
          </w:tcPr>
          <w:p w14:paraId="49ADB66C">
            <w:pPr>
              <w:spacing w:line="240" w:lineRule="auto"/>
              <w:jc w:val="center"/>
              <w:rPr>
                <w:color w:val="auto"/>
                <w:szCs w:val="21"/>
              </w:rPr>
            </w:pPr>
            <w:r>
              <w:rPr>
                <w:rFonts w:hint="eastAsia"/>
                <w:color w:val="auto"/>
                <w:szCs w:val="21"/>
              </w:rPr>
              <w:t>投标函签章</w:t>
            </w:r>
          </w:p>
        </w:tc>
        <w:tc>
          <w:tcPr>
            <w:tcW w:w="5130" w:type="dxa"/>
            <w:vAlign w:val="center"/>
          </w:tcPr>
          <w:p w14:paraId="03115BEF">
            <w:pPr>
              <w:spacing w:line="240" w:lineRule="auto"/>
              <w:rPr>
                <w:bCs/>
                <w:color w:val="auto"/>
                <w:szCs w:val="21"/>
                <w:lang w:val="en-US"/>
              </w:rPr>
            </w:pPr>
            <w:r>
              <w:rPr>
                <w:rFonts w:hint="eastAsia"/>
                <w:bCs/>
                <w:color w:val="auto"/>
                <w:szCs w:val="21"/>
                <w:lang w:val="en-US"/>
              </w:rPr>
              <w:t>符合竞争性磋商文件要求的签章或标注的内容</w:t>
            </w:r>
          </w:p>
        </w:tc>
      </w:tr>
      <w:tr w14:paraId="3322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40" w:type="dxa"/>
            <w:vMerge w:val="continue"/>
            <w:vAlign w:val="top"/>
          </w:tcPr>
          <w:p w14:paraId="444C7E0F">
            <w:pPr>
              <w:rPr>
                <w:color w:val="auto"/>
                <w:szCs w:val="21"/>
              </w:rPr>
            </w:pPr>
          </w:p>
        </w:tc>
        <w:tc>
          <w:tcPr>
            <w:tcW w:w="975" w:type="dxa"/>
            <w:vMerge w:val="continue"/>
            <w:vAlign w:val="top"/>
          </w:tcPr>
          <w:p w14:paraId="66CF7585">
            <w:pPr>
              <w:rPr>
                <w:color w:val="auto"/>
                <w:szCs w:val="21"/>
              </w:rPr>
            </w:pPr>
          </w:p>
        </w:tc>
        <w:tc>
          <w:tcPr>
            <w:tcW w:w="2130" w:type="dxa"/>
            <w:vAlign w:val="center"/>
          </w:tcPr>
          <w:p w14:paraId="24B6082F">
            <w:pPr>
              <w:spacing w:line="240" w:lineRule="auto"/>
              <w:ind w:firstLine="220" w:firstLineChars="100"/>
              <w:jc w:val="center"/>
              <w:rPr>
                <w:color w:val="auto"/>
                <w:szCs w:val="21"/>
              </w:rPr>
            </w:pPr>
            <w:r>
              <w:rPr>
                <w:rFonts w:hint="eastAsia"/>
                <w:color w:val="auto"/>
                <w:szCs w:val="21"/>
              </w:rPr>
              <w:t>响应文件格式</w:t>
            </w:r>
          </w:p>
        </w:tc>
        <w:tc>
          <w:tcPr>
            <w:tcW w:w="5130" w:type="dxa"/>
            <w:vAlign w:val="center"/>
          </w:tcPr>
          <w:p w14:paraId="68DE76DB">
            <w:pPr>
              <w:spacing w:line="240" w:lineRule="auto"/>
              <w:rPr>
                <w:bCs/>
                <w:color w:val="auto"/>
                <w:szCs w:val="21"/>
                <w:lang w:val="en-US"/>
              </w:rPr>
            </w:pPr>
            <w:r>
              <w:rPr>
                <w:rFonts w:hint="eastAsia"/>
                <w:bCs/>
                <w:color w:val="auto"/>
                <w:szCs w:val="21"/>
                <w:lang w:val="en-US"/>
              </w:rPr>
              <w:t>符合“响应文件格式”的要求</w:t>
            </w:r>
          </w:p>
        </w:tc>
      </w:tr>
      <w:tr w14:paraId="6851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40" w:type="dxa"/>
            <w:vMerge w:val="continue"/>
            <w:vAlign w:val="top"/>
          </w:tcPr>
          <w:p w14:paraId="3307AFC7">
            <w:pPr>
              <w:rPr>
                <w:color w:val="auto"/>
                <w:szCs w:val="21"/>
              </w:rPr>
            </w:pPr>
          </w:p>
        </w:tc>
        <w:tc>
          <w:tcPr>
            <w:tcW w:w="975" w:type="dxa"/>
            <w:vMerge w:val="continue"/>
            <w:vAlign w:val="top"/>
          </w:tcPr>
          <w:p w14:paraId="0C075B4F">
            <w:pPr>
              <w:rPr>
                <w:color w:val="auto"/>
                <w:szCs w:val="21"/>
              </w:rPr>
            </w:pPr>
          </w:p>
        </w:tc>
        <w:tc>
          <w:tcPr>
            <w:tcW w:w="2130" w:type="dxa"/>
            <w:vAlign w:val="center"/>
          </w:tcPr>
          <w:p w14:paraId="1A16D15E">
            <w:pPr>
              <w:spacing w:line="240" w:lineRule="auto"/>
              <w:ind w:firstLine="440" w:firstLineChars="200"/>
              <w:jc w:val="center"/>
              <w:rPr>
                <w:color w:val="auto"/>
                <w:szCs w:val="21"/>
              </w:rPr>
            </w:pPr>
            <w:r>
              <w:rPr>
                <w:rFonts w:hint="eastAsia"/>
                <w:color w:val="auto"/>
                <w:szCs w:val="21"/>
              </w:rPr>
              <w:t>报价唯一</w:t>
            </w:r>
          </w:p>
        </w:tc>
        <w:tc>
          <w:tcPr>
            <w:tcW w:w="5130" w:type="dxa"/>
            <w:vAlign w:val="center"/>
          </w:tcPr>
          <w:p w14:paraId="6AFB6521">
            <w:pPr>
              <w:spacing w:line="240" w:lineRule="auto"/>
              <w:rPr>
                <w:bCs/>
                <w:color w:val="auto"/>
                <w:szCs w:val="21"/>
                <w:lang w:val="en-US"/>
              </w:rPr>
            </w:pPr>
            <w:r>
              <w:rPr>
                <w:rFonts w:hint="eastAsia"/>
                <w:bCs/>
                <w:color w:val="auto"/>
                <w:szCs w:val="21"/>
                <w:lang w:val="en-US"/>
              </w:rPr>
              <w:t>只能有一个有效报价</w:t>
            </w:r>
          </w:p>
        </w:tc>
      </w:tr>
      <w:tr w14:paraId="5E8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840" w:type="dxa"/>
            <w:vMerge w:val="restart"/>
            <w:vAlign w:val="center"/>
          </w:tcPr>
          <w:p w14:paraId="4F0DE9D9">
            <w:pPr>
              <w:jc w:val="center"/>
              <w:rPr>
                <w:color w:val="auto"/>
                <w:szCs w:val="21"/>
              </w:rPr>
            </w:pPr>
            <w:r>
              <w:rPr>
                <w:rFonts w:hint="eastAsia"/>
                <w:color w:val="auto"/>
                <w:szCs w:val="21"/>
              </w:rPr>
              <w:t>2.1.2</w:t>
            </w:r>
          </w:p>
        </w:tc>
        <w:tc>
          <w:tcPr>
            <w:tcW w:w="975" w:type="dxa"/>
            <w:vMerge w:val="restart"/>
            <w:vAlign w:val="center"/>
          </w:tcPr>
          <w:p w14:paraId="6752C82B">
            <w:pPr>
              <w:jc w:val="center"/>
              <w:rPr>
                <w:color w:val="auto"/>
                <w:szCs w:val="21"/>
              </w:rPr>
            </w:pPr>
            <w:r>
              <w:rPr>
                <w:rFonts w:hint="eastAsia"/>
                <w:color w:val="auto"/>
                <w:szCs w:val="21"/>
              </w:rPr>
              <w:t>资格评审标准</w:t>
            </w:r>
          </w:p>
        </w:tc>
        <w:tc>
          <w:tcPr>
            <w:tcW w:w="2130" w:type="dxa"/>
            <w:vAlign w:val="center"/>
          </w:tcPr>
          <w:p w14:paraId="6D9190D8">
            <w:pPr>
              <w:spacing w:line="240" w:lineRule="auto"/>
              <w:jc w:val="center"/>
              <w:rPr>
                <w:color w:val="auto"/>
                <w:szCs w:val="21"/>
              </w:rPr>
            </w:pPr>
            <w:r>
              <w:rPr>
                <w:rFonts w:hint="eastAsia"/>
                <w:color w:val="auto"/>
                <w:szCs w:val="21"/>
              </w:rPr>
              <w:t>落实政府采购政策满足的资格要求</w:t>
            </w:r>
          </w:p>
        </w:tc>
        <w:tc>
          <w:tcPr>
            <w:tcW w:w="5130" w:type="dxa"/>
            <w:vAlign w:val="center"/>
          </w:tcPr>
          <w:p w14:paraId="3FC4FE36">
            <w:pPr>
              <w:spacing w:line="240" w:lineRule="auto"/>
              <w:jc w:val="both"/>
              <w:rPr>
                <w:bCs/>
                <w:color w:val="auto"/>
                <w:szCs w:val="21"/>
                <w:lang w:val="en-US"/>
              </w:rPr>
            </w:pPr>
            <w:r>
              <w:rPr>
                <w:rFonts w:hint="eastAsia"/>
                <w:bCs/>
                <w:color w:val="auto"/>
                <w:szCs w:val="21"/>
                <w:lang w:val="en-US"/>
              </w:rPr>
              <w:t>根据《政府采购促进中小企业发展管理办法》（财库〔2020〕46号）规定，本项目专门面向中小企业采购；同时投标供应商须提供《中小企业声明函》</w:t>
            </w:r>
          </w:p>
        </w:tc>
      </w:tr>
      <w:tr w14:paraId="4561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840" w:type="dxa"/>
            <w:vMerge w:val="continue"/>
            <w:vAlign w:val="center"/>
          </w:tcPr>
          <w:p w14:paraId="51F6C2D6">
            <w:pPr>
              <w:jc w:val="center"/>
              <w:rPr>
                <w:color w:val="auto"/>
                <w:szCs w:val="21"/>
              </w:rPr>
            </w:pPr>
          </w:p>
        </w:tc>
        <w:tc>
          <w:tcPr>
            <w:tcW w:w="975" w:type="dxa"/>
            <w:vMerge w:val="continue"/>
            <w:vAlign w:val="center"/>
          </w:tcPr>
          <w:p w14:paraId="22DE2118">
            <w:pPr>
              <w:spacing w:line="360" w:lineRule="auto"/>
              <w:rPr>
                <w:color w:val="auto"/>
                <w:szCs w:val="21"/>
              </w:rPr>
            </w:pPr>
          </w:p>
        </w:tc>
        <w:tc>
          <w:tcPr>
            <w:tcW w:w="2130" w:type="dxa"/>
            <w:vAlign w:val="center"/>
          </w:tcPr>
          <w:p w14:paraId="0A085826">
            <w:pPr>
              <w:spacing w:line="240" w:lineRule="auto"/>
              <w:ind w:firstLine="440" w:firstLineChars="200"/>
              <w:jc w:val="center"/>
              <w:rPr>
                <w:rFonts w:hint="eastAsia" w:ascii="宋体" w:hAnsi="宋体" w:eastAsia="宋体" w:cs="宋体"/>
                <w:color w:val="auto"/>
                <w:sz w:val="22"/>
                <w:szCs w:val="21"/>
                <w:lang w:val="zh-CN" w:eastAsia="zh-CN" w:bidi="zh-CN"/>
              </w:rPr>
            </w:pPr>
            <w:r>
              <w:rPr>
                <w:rFonts w:hint="eastAsia"/>
                <w:color w:val="auto"/>
                <w:szCs w:val="21"/>
              </w:rPr>
              <w:t>营业执照</w:t>
            </w:r>
          </w:p>
        </w:tc>
        <w:tc>
          <w:tcPr>
            <w:tcW w:w="5130" w:type="dxa"/>
            <w:vAlign w:val="center"/>
          </w:tcPr>
          <w:p w14:paraId="2E09E37E">
            <w:pPr>
              <w:spacing w:line="240" w:lineRule="auto"/>
              <w:jc w:val="both"/>
              <w:rPr>
                <w:rFonts w:ascii="宋体" w:hAnsi="宋体" w:eastAsia="宋体" w:cs="宋体"/>
                <w:bCs/>
                <w:color w:val="auto"/>
                <w:sz w:val="22"/>
                <w:szCs w:val="21"/>
                <w:lang w:val="en-US" w:eastAsia="zh-CN" w:bidi="zh-CN"/>
              </w:rPr>
            </w:pPr>
            <w:r>
              <w:rPr>
                <w:rFonts w:hint="eastAsia" w:ascii="宋体" w:hAnsi="宋体" w:eastAsia="宋体" w:cs="宋体"/>
                <w:color w:val="auto"/>
                <w:szCs w:val="21"/>
                <w:lang w:val="en-US" w:eastAsia="zh-CN"/>
              </w:rPr>
              <w:t>具有有效的营业执照、税务登记证、组织机构代码证（或有效的统一社会信用代码三证合一营业执照）或事业单位法人证书</w:t>
            </w:r>
          </w:p>
        </w:tc>
      </w:tr>
      <w:tr w14:paraId="1002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40" w:type="dxa"/>
            <w:vMerge w:val="continue"/>
            <w:vAlign w:val="center"/>
          </w:tcPr>
          <w:p w14:paraId="42958CA6">
            <w:pPr>
              <w:jc w:val="center"/>
              <w:rPr>
                <w:color w:val="auto"/>
                <w:szCs w:val="21"/>
              </w:rPr>
            </w:pPr>
          </w:p>
        </w:tc>
        <w:tc>
          <w:tcPr>
            <w:tcW w:w="975" w:type="dxa"/>
            <w:vMerge w:val="continue"/>
            <w:vAlign w:val="center"/>
          </w:tcPr>
          <w:p w14:paraId="53BB1CC9">
            <w:pPr>
              <w:spacing w:line="360" w:lineRule="auto"/>
              <w:rPr>
                <w:color w:val="auto"/>
                <w:szCs w:val="21"/>
              </w:rPr>
            </w:pPr>
          </w:p>
        </w:tc>
        <w:tc>
          <w:tcPr>
            <w:tcW w:w="2130" w:type="dxa"/>
            <w:vAlign w:val="center"/>
          </w:tcPr>
          <w:p w14:paraId="107C244E">
            <w:pPr>
              <w:spacing w:line="240" w:lineRule="auto"/>
              <w:ind w:firstLine="440" w:firstLineChars="200"/>
              <w:jc w:val="center"/>
              <w:rPr>
                <w:color w:val="auto"/>
                <w:szCs w:val="21"/>
                <w:highlight w:val="none"/>
              </w:rPr>
            </w:pPr>
            <w:r>
              <w:rPr>
                <w:rFonts w:hint="eastAsia"/>
                <w:color w:val="auto"/>
                <w:szCs w:val="21"/>
                <w:highlight w:val="none"/>
              </w:rPr>
              <w:t>供应商资质</w:t>
            </w:r>
          </w:p>
        </w:tc>
        <w:tc>
          <w:tcPr>
            <w:tcW w:w="5130" w:type="dxa"/>
            <w:vAlign w:val="center"/>
          </w:tcPr>
          <w:p w14:paraId="2B80579F">
            <w:pPr>
              <w:bidi w:val="0"/>
              <w:rPr>
                <w:bCs/>
                <w:color w:val="auto"/>
                <w:sz w:val="20"/>
                <w:szCs w:val="18"/>
                <w:highlight w:val="none"/>
              </w:rPr>
            </w:pPr>
            <w:r>
              <w:rPr>
                <w:rFonts w:hint="eastAsia" w:ascii="宋体" w:hAnsi="宋体" w:eastAsia="宋体" w:cs="宋体"/>
                <w:color w:val="auto"/>
                <w:szCs w:val="21"/>
                <w:lang w:val="en-US" w:eastAsia="zh-CN"/>
              </w:rPr>
              <w:t>投标供应商须具有水利行业设计乙级及以上资质；</w:t>
            </w:r>
          </w:p>
        </w:tc>
      </w:tr>
      <w:tr w14:paraId="2762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840" w:type="dxa"/>
            <w:vMerge w:val="continue"/>
            <w:vAlign w:val="center"/>
          </w:tcPr>
          <w:p w14:paraId="6717EFF3">
            <w:pPr>
              <w:jc w:val="center"/>
              <w:rPr>
                <w:color w:val="auto"/>
                <w:szCs w:val="21"/>
              </w:rPr>
            </w:pPr>
          </w:p>
        </w:tc>
        <w:tc>
          <w:tcPr>
            <w:tcW w:w="975" w:type="dxa"/>
            <w:vMerge w:val="continue"/>
            <w:vAlign w:val="center"/>
          </w:tcPr>
          <w:p w14:paraId="7FFB687A">
            <w:pPr>
              <w:spacing w:line="360" w:lineRule="auto"/>
              <w:rPr>
                <w:color w:val="auto"/>
                <w:szCs w:val="21"/>
              </w:rPr>
            </w:pPr>
          </w:p>
        </w:tc>
        <w:tc>
          <w:tcPr>
            <w:tcW w:w="2130" w:type="dxa"/>
            <w:vAlign w:val="center"/>
          </w:tcPr>
          <w:p w14:paraId="38AAD6B8">
            <w:pPr>
              <w:spacing w:line="240" w:lineRule="auto"/>
              <w:ind w:firstLine="440" w:firstLineChars="200"/>
              <w:jc w:val="center"/>
              <w:rPr>
                <w:rFonts w:hint="eastAsia" w:eastAsia="宋体"/>
                <w:color w:val="auto"/>
                <w:szCs w:val="21"/>
                <w:highlight w:val="none"/>
                <w:lang w:eastAsia="zh-CN"/>
              </w:rPr>
            </w:pPr>
            <w:r>
              <w:rPr>
                <w:rFonts w:hint="eastAsia"/>
                <w:color w:val="auto"/>
                <w:szCs w:val="21"/>
                <w:highlight w:val="none"/>
                <w:lang w:eastAsia="zh-CN"/>
              </w:rPr>
              <w:t>项目负责人</w:t>
            </w:r>
          </w:p>
        </w:tc>
        <w:tc>
          <w:tcPr>
            <w:tcW w:w="5130" w:type="dxa"/>
            <w:vAlign w:val="center"/>
          </w:tcPr>
          <w:p w14:paraId="330C85AA">
            <w:pPr>
              <w:spacing w:line="240" w:lineRule="auto"/>
              <w:jc w:val="both"/>
              <w:rPr>
                <w:rFonts w:hint="eastAsia"/>
                <w:bCs/>
                <w:color w:val="auto"/>
                <w:sz w:val="20"/>
                <w:szCs w:val="18"/>
                <w:highlight w:val="none"/>
                <w:lang w:val="en-US" w:eastAsia="zh-CN"/>
              </w:rPr>
            </w:pPr>
            <w:r>
              <w:rPr>
                <w:rFonts w:hint="eastAsia" w:ascii="宋体" w:hAnsi="宋体" w:eastAsia="宋体" w:cs="宋体"/>
                <w:color w:val="auto"/>
                <w:szCs w:val="21"/>
                <w:lang w:val="en-US" w:eastAsia="zh-CN"/>
              </w:rPr>
              <w:t>投标供应商拟派项目负责人须具备</w:t>
            </w:r>
            <w:r>
              <w:rPr>
                <w:rFonts w:hint="eastAsia" w:cs="宋体"/>
                <w:color w:val="auto"/>
                <w:szCs w:val="21"/>
                <w:lang w:val="en-US" w:eastAsia="zh-CN"/>
              </w:rPr>
              <w:t>水利水电专业</w:t>
            </w:r>
            <w:r>
              <w:rPr>
                <w:rFonts w:hint="eastAsia" w:ascii="宋体" w:hAnsi="宋体" w:eastAsia="宋体" w:cs="宋体"/>
                <w:color w:val="auto"/>
                <w:szCs w:val="21"/>
                <w:lang w:val="en-US" w:eastAsia="zh-CN"/>
              </w:rPr>
              <w:t>高级</w:t>
            </w:r>
            <w:r>
              <w:rPr>
                <w:rFonts w:hint="eastAsia" w:cs="宋体"/>
                <w:color w:val="auto"/>
                <w:szCs w:val="21"/>
                <w:lang w:val="en-US" w:eastAsia="zh-CN"/>
              </w:rPr>
              <w:t>及以上</w:t>
            </w:r>
            <w:r>
              <w:rPr>
                <w:rFonts w:hint="eastAsia" w:ascii="宋体" w:hAnsi="宋体" w:eastAsia="宋体" w:cs="宋体"/>
                <w:color w:val="auto"/>
                <w:szCs w:val="21"/>
                <w:lang w:val="en-US" w:eastAsia="zh-CN"/>
              </w:rPr>
              <w:t>职称，为本单位员工且已缴纳社保（提供劳动合同及个人社保权益单）；</w:t>
            </w:r>
          </w:p>
        </w:tc>
      </w:tr>
      <w:tr w14:paraId="75D8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trPr>
        <w:tc>
          <w:tcPr>
            <w:tcW w:w="840" w:type="dxa"/>
            <w:vMerge w:val="continue"/>
            <w:vAlign w:val="center"/>
          </w:tcPr>
          <w:p w14:paraId="38056D11">
            <w:pPr>
              <w:jc w:val="center"/>
              <w:rPr>
                <w:color w:val="auto"/>
                <w:szCs w:val="21"/>
              </w:rPr>
            </w:pPr>
          </w:p>
        </w:tc>
        <w:tc>
          <w:tcPr>
            <w:tcW w:w="975" w:type="dxa"/>
            <w:vMerge w:val="continue"/>
            <w:vAlign w:val="center"/>
          </w:tcPr>
          <w:p w14:paraId="4FB9EEFB">
            <w:pPr>
              <w:spacing w:line="360" w:lineRule="auto"/>
              <w:rPr>
                <w:color w:val="auto"/>
                <w:szCs w:val="21"/>
              </w:rPr>
            </w:pPr>
          </w:p>
        </w:tc>
        <w:tc>
          <w:tcPr>
            <w:tcW w:w="2130" w:type="dxa"/>
            <w:vAlign w:val="center"/>
          </w:tcPr>
          <w:p w14:paraId="5B4ACFDF">
            <w:pPr>
              <w:spacing w:line="360" w:lineRule="auto"/>
              <w:ind w:firstLine="440" w:firstLineChars="200"/>
              <w:jc w:val="center"/>
              <w:rPr>
                <w:color w:val="auto"/>
                <w:szCs w:val="21"/>
              </w:rPr>
            </w:pPr>
            <w:r>
              <w:rPr>
                <w:rFonts w:hint="eastAsia"/>
                <w:color w:val="auto"/>
                <w:szCs w:val="21"/>
              </w:rPr>
              <w:t>企业税收</w:t>
            </w:r>
          </w:p>
        </w:tc>
        <w:tc>
          <w:tcPr>
            <w:tcW w:w="5130" w:type="dxa"/>
            <w:vAlign w:val="center"/>
          </w:tcPr>
          <w:p w14:paraId="6C97D59D">
            <w:pPr>
              <w:spacing w:line="360" w:lineRule="auto"/>
              <w:jc w:val="both"/>
              <w:rPr>
                <w:rFonts w:hint="eastAsia" w:eastAsia="宋体"/>
                <w:bCs/>
                <w:color w:val="auto"/>
                <w:szCs w:val="21"/>
                <w:lang w:val="en-US" w:eastAsia="zh-CN"/>
              </w:rPr>
            </w:pPr>
            <w:r>
              <w:rPr>
                <w:rFonts w:hint="eastAsia"/>
                <w:bCs/>
                <w:color w:val="auto"/>
                <w:szCs w:val="21"/>
                <w:lang w:val="en-US"/>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r>
              <w:rPr>
                <w:rFonts w:hint="eastAsia"/>
                <w:bCs/>
                <w:color w:val="auto"/>
                <w:szCs w:val="21"/>
                <w:lang w:val="en-US" w:eastAsia="zh-CN"/>
              </w:rPr>
              <w:t>；</w:t>
            </w:r>
          </w:p>
        </w:tc>
      </w:tr>
      <w:tr w14:paraId="1B31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840" w:type="dxa"/>
            <w:vMerge w:val="continue"/>
            <w:vAlign w:val="center"/>
          </w:tcPr>
          <w:p w14:paraId="34863E3E">
            <w:pPr>
              <w:jc w:val="center"/>
              <w:rPr>
                <w:color w:val="auto"/>
                <w:szCs w:val="21"/>
              </w:rPr>
            </w:pPr>
          </w:p>
        </w:tc>
        <w:tc>
          <w:tcPr>
            <w:tcW w:w="975" w:type="dxa"/>
            <w:vMerge w:val="continue"/>
            <w:vAlign w:val="center"/>
          </w:tcPr>
          <w:p w14:paraId="406FDDDE">
            <w:pPr>
              <w:spacing w:line="360" w:lineRule="auto"/>
              <w:rPr>
                <w:color w:val="auto"/>
                <w:szCs w:val="21"/>
              </w:rPr>
            </w:pPr>
          </w:p>
        </w:tc>
        <w:tc>
          <w:tcPr>
            <w:tcW w:w="2130" w:type="dxa"/>
            <w:vAlign w:val="center"/>
          </w:tcPr>
          <w:p w14:paraId="10B1B069">
            <w:pPr>
              <w:spacing w:line="240" w:lineRule="atLeast"/>
              <w:rPr>
                <w:rFonts w:hint="eastAsia"/>
                <w:color w:val="auto"/>
                <w:szCs w:val="21"/>
                <w:lang w:eastAsia="zh-CN"/>
              </w:rPr>
            </w:pPr>
            <w:r>
              <w:rPr>
                <w:rFonts w:hint="eastAsia"/>
                <w:color w:val="auto"/>
                <w:szCs w:val="21"/>
                <w:lang w:eastAsia="zh-CN"/>
              </w:rPr>
              <w:t>诚信承诺及网站查询</w:t>
            </w:r>
          </w:p>
        </w:tc>
        <w:tc>
          <w:tcPr>
            <w:tcW w:w="5130" w:type="dxa"/>
            <w:vAlign w:val="center"/>
          </w:tcPr>
          <w:p w14:paraId="30B21C43">
            <w:pPr>
              <w:tabs>
                <w:tab w:val="left" w:pos="360"/>
              </w:tabs>
              <w:wordWrap w:val="0"/>
              <w:spacing w:line="320" w:lineRule="exact"/>
              <w:rPr>
                <w:color w:val="auto"/>
                <w:szCs w:val="21"/>
                <w:lang w:val="en-US"/>
              </w:rPr>
            </w:pPr>
            <w:r>
              <w:rPr>
                <w:rFonts w:hint="eastAsia"/>
                <w:color w:val="auto"/>
                <w:szCs w:val="21"/>
                <w:lang w:val="en-US"/>
              </w:rPr>
              <w:t>1、参加政府采购活动前3年内无行贿犯罪记录、商业贿赂、不正当竞争行为、骗取中标、严重违约等问题承诺；</w:t>
            </w:r>
          </w:p>
          <w:p w14:paraId="79939AED">
            <w:pPr>
              <w:tabs>
                <w:tab w:val="left" w:pos="360"/>
              </w:tabs>
              <w:wordWrap w:val="0"/>
              <w:spacing w:line="320" w:lineRule="exact"/>
              <w:rPr>
                <w:color w:val="auto"/>
                <w:szCs w:val="21"/>
                <w:lang w:val="en-US"/>
              </w:rPr>
            </w:pPr>
            <w:r>
              <w:rPr>
                <w:rFonts w:hint="eastAsia"/>
                <w:color w:val="auto"/>
                <w:szCs w:val="21"/>
                <w:lang w:val="en-US"/>
              </w:rPr>
              <w:t>2、供应商出具无行贿犯罪记录在中国裁判文书网自行查询或自行承诺（查询对象：企业、法定代表人）；</w:t>
            </w:r>
          </w:p>
          <w:p w14:paraId="500003D5">
            <w:pPr>
              <w:tabs>
                <w:tab w:val="left" w:pos="360"/>
              </w:tabs>
              <w:wordWrap w:val="0"/>
              <w:spacing w:line="320" w:lineRule="exact"/>
              <w:rPr>
                <w:color w:val="auto"/>
                <w:szCs w:val="21"/>
                <w:lang w:val="en-US"/>
              </w:rPr>
            </w:pPr>
            <w:r>
              <w:rPr>
                <w:rFonts w:hint="eastAsia"/>
                <w:color w:val="auto"/>
                <w:szCs w:val="21"/>
                <w:lang w:val="en-US"/>
              </w:rPr>
              <w:t>3、提供企业注册地工商管理部门出具的无商业贿赂和不正当竞争行为的查询证明（若当地工商管理部门不办理此项业务，供应商须自行出具本企业无商业贿赂和不正当竞争行为承诺书）；</w:t>
            </w:r>
          </w:p>
          <w:p w14:paraId="68CED15A">
            <w:pPr>
              <w:tabs>
                <w:tab w:val="left" w:pos="360"/>
              </w:tabs>
              <w:wordWrap w:val="0"/>
              <w:spacing w:line="320" w:lineRule="exact"/>
              <w:rPr>
                <w:rFonts w:hint="eastAsia"/>
                <w:lang w:val="en-US"/>
              </w:rPr>
            </w:pPr>
            <w:r>
              <w:rPr>
                <w:rFonts w:hint="eastAsia"/>
                <w:color w:val="auto"/>
                <w:szCs w:val="21"/>
                <w:lang w:val="en-US"/>
              </w:rPr>
              <w:t>4、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33C9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840" w:type="dxa"/>
            <w:vMerge w:val="continue"/>
            <w:vAlign w:val="center"/>
          </w:tcPr>
          <w:p w14:paraId="028495F8">
            <w:pPr>
              <w:jc w:val="center"/>
              <w:rPr>
                <w:color w:val="auto"/>
                <w:szCs w:val="21"/>
              </w:rPr>
            </w:pPr>
          </w:p>
        </w:tc>
        <w:tc>
          <w:tcPr>
            <w:tcW w:w="975" w:type="dxa"/>
            <w:vMerge w:val="continue"/>
            <w:vAlign w:val="center"/>
          </w:tcPr>
          <w:p w14:paraId="68B98A56">
            <w:pPr>
              <w:spacing w:line="360" w:lineRule="auto"/>
              <w:rPr>
                <w:color w:val="auto"/>
                <w:szCs w:val="21"/>
              </w:rPr>
            </w:pPr>
          </w:p>
        </w:tc>
        <w:tc>
          <w:tcPr>
            <w:tcW w:w="2130" w:type="dxa"/>
            <w:vAlign w:val="center"/>
          </w:tcPr>
          <w:p w14:paraId="11267C0A">
            <w:pPr>
              <w:spacing w:line="240" w:lineRule="atLeast"/>
              <w:jc w:val="center"/>
              <w:rPr>
                <w:rFonts w:hint="eastAsia" w:eastAsia="宋体"/>
                <w:color w:val="auto"/>
                <w:szCs w:val="21"/>
                <w:lang w:eastAsia="zh-CN"/>
              </w:rPr>
            </w:pPr>
            <w:r>
              <w:rPr>
                <w:rFonts w:hint="eastAsia"/>
                <w:color w:val="auto"/>
                <w:szCs w:val="21"/>
                <w:lang w:eastAsia="zh-CN"/>
              </w:rPr>
              <w:t>其他内容</w:t>
            </w:r>
          </w:p>
        </w:tc>
        <w:tc>
          <w:tcPr>
            <w:tcW w:w="5130" w:type="dxa"/>
            <w:vAlign w:val="center"/>
          </w:tcPr>
          <w:p w14:paraId="35CD53D9">
            <w:pPr>
              <w:numPr>
                <w:ilvl w:val="0"/>
                <w:numId w:val="15"/>
              </w:numPr>
              <w:tabs>
                <w:tab w:val="left" w:pos="360"/>
              </w:tabs>
              <w:wordWrap w:val="0"/>
              <w:spacing w:line="320" w:lineRule="exact"/>
              <w:rPr>
                <w:rFonts w:hint="eastAsia"/>
                <w:color w:val="auto"/>
                <w:szCs w:val="21"/>
                <w:lang w:val="en-US" w:eastAsia="zh-CN"/>
              </w:rPr>
            </w:pPr>
            <w:r>
              <w:rPr>
                <w:rFonts w:hint="eastAsia"/>
                <w:color w:val="auto"/>
                <w:szCs w:val="21"/>
                <w:lang w:val="en-US" w:eastAsia="zh-CN"/>
              </w:rPr>
              <w:t>本项目不接受联合体投标；</w:t>
            </w:r>
          </w:p>
          <w:p w14:paraId="0DF21FEC">
            <w:pPr>
              <w:numPr>
                <w:ilvl w:val="0"/>
                <w:numId w:val="15"/>
              </w:numPr>
              <w:tabs>
                <w:tab w:val="left" w:pos="360"/>
              </w:tabs>
              <w:wordWrap w:val="0"/>
              <w:spacing w:line="320" w:lineRule="exact"/>
              <w:rPr>
                <w:rFonts w:hint="eastAsia" w:eastAsia="宋体"/>
                <w:color w:val="auto"/>
                <w:szCs w:val="21"/>
                <w:lang w:val="en-US" w:eastAsia="zh-CN"/>
              </w:rPr>
            </w:pPr>
            <w:r>
              <w:rPr>
                <w:rFonts w:hint="eastAsia"/>
                <w:color w:val="auto"/>
                <w:szCs w:val="21"/>
                <w:lang w:val="en-US" w:eastAsia="zh-CN"/>
              </w:rPr>
              <w:t>竞争性磋商文件规定的其他资格要求资料</w:t>
            </w:r>
          </w:p>
        </w:tc>
      </w:tr>
      <w:tr w14:paraId="7B6B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40" w:type="dxa"/>
            <w:vMerge w:val="restart"/>
            <w:vAlign w:val="center"/>
          </w:tcPr>
          <w:p w14:paraId="4BD173EC">
            <w:pPr>
              <w:jc w:val="center"/>
              <w:rPr>
                <w:color w:val="auto"/>
                <w:szCs w:val="21"/>
              </w:rPr>
            </w:pPr>
            <w:r>
              <w:rPr>
                <w:rFonts w:hint="eastAsia"/>
                <w:color w:val="auto"/>
                <w:szCs w:val="21"/>
              </w:rPr>
              <w:t>2.1.3</w:t>
            </w:r>
          </w:p>
        </w:tc>
        <w:tc>
          <w:tcPr>
            <w:tcW w:w="975" w:type="dxa"/>
            <w:vMerge w:val="restart"/>
            <w:vAlign w:val="center"/>
          </w:tcPr>
          <w:p w14:paraId="2E214955">
            <w:pPr>
              <w:jc w:val="center"/>
              <w:rPr>
                <w:color w:val="auto"/>
                <w:szCs w:val="21"/>
              </w:rPr>
            </w:pPr>
            <w:r>
              <w:rPr>
                <w:rFonts w:hint="eastAsia"/>
                <w:color w:val="auto"/>
                <w:szCs w:val="21"/>
              </w:rPr>
              <w:t>响应性评审标准</w:t>
            </w:r>
          </w:p>
        </w:tc>
        <w:tc>
          <w:tcPr>
            <w:tcW w:w="2130" w:type="dxa"/>
            <w:vAlign w:val="center"/>
          </w:tcPr>
          <w:p w14:paraId="65E1744E">
            <w:pPr>
              <w:spacing w:line="360" w:lineRule="auto"/>
              <w:jc w:val="center"/>
              <w:rPr>
                <w:color w:val="auto"/>
                <w:szCs w:val="21"/>
              </w:rPr>
            </w:pPr>
            <w:r>
              <w:rPr>
                <w:rFonts w:hint="eastAsia"/>
                <w:color w:val="auto"/>
                <w:szCs w:val="21"/>
              </w:rPr>
              <w:t>投标内容</w:t>
            </w:r>
          </w:p>
        </w:tc>
        <w:tc>
          <w:tcPr>
            <w:tcW w:w="5130" w:type="dxa"/>
            <w:vAlign w:val="center"/>
          </w:tcPr>
          <w:p w14:paraId="270B758C">
            <w:pPr>
              <w:spacing w:line="360" w:lineRule="auto"/>
              <w:jc w:val="both"/>
              <w:rPr>
                <w:color w:val="auto"/>
                <w:szCs w:val="21"/>
              </w:rPr>
            </w:pPr>
            <w:r>
              <w:rPr>
                <w:rFonts w:hint="eastAsia"/>
                <w:color w:val="auto"/>
                <w:szCs w:val="21"/>
              </w:rPr>
              <w:t>符合第二章“供应商须知”规定</w:t>
            </w:r>
          </w:p>
        </w:tc>
      </w:tr>
      <w:tr w14:paraId="118F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40" w:type="dxa"/>
            <w:vMerge w:val="continue"/>
            <w:vAlign w:val="top"/>
          </w:tcPr>
          <w:p w14:paraId="4BC7710C">
            <w:pPr>
              <w:rPr>
                <w:color w:val="auto"/>
                <w:szCs w:val="21"/>
              </w:rPr>
            </w:pPr>
          </w:p>
        </w:tc>
        <w:tc>
          <w:tcPr>
            <w:tcW w:w="975" w:type="dxa"/>
            <w:vMerge w:val="continue"/>
            <w:vAlign w:val="top"/>
          </w:tcPr>
          <w:p w14:paraId="543EC35C">
            <w:pPr>
              <w:rPr>
                <w:color w:val="auto"/>
                <w:szCs w:val="21"/>
              </w:rPr>
            </w:pPr>
          </w:p>
        </w:tc>
        <w:tc>
          <w:tcPr>
            <w:tcW w:w="2130" w:type="dxa"/>
            <w:vAlign w:val="center"/>
          </w:tcPr>
          <w:p w14:paraId="57B10323">
            <w:pPr>
              <w:spacing w:line="360" w:lineRule="auto"/>
              <w:jc w:val="center"/>
              <w:rPr>
                <w:rFonts w:hint="eastAsia" w:eastAsia="宋体"/>
                <w:color w:val="auto"/>
                <w:szCs w:val="21"/>
                <w:lang w:eastAsia="zh-CN"/>
              </w:rPr>
            </w:pPr>
            <w:r>
              <w:rPr>
                <w:rFonts w:hint="eastAsia"/>
                <w:color w:val="auto"/>
                <w:szCs w:val="21"/>
                <w:lang w:eastAsia="zh-CN"/>
              </w:rPr>
              <w:t>设计周期</w:t>
            </w:r>
          </w:p>
        </w:tc>
        <w:tc>
          <w:tcPr>
            <w:tcW w:w="5130" w:type="dxa"/>
            <w:vAlign w:val="center"/>
          </w:tcPr>
          <w:p w14:paraId="70CBEBBA">
            <w:pPr>
              <w:spacing w:line="360" w:lineRule="auto"/>
              <w:jc w:val="both"/>
              <w:rPr>
                <w:color w:val="auto"/>
                <w:szCs w:val="21"/>
              </w:rPr>
            </w:pPr>
            <w:r>
              <w:rPr>
                <w:rFonts w:hint="eastAsia"/>
                <w:color w:val="auto"/>
                <w:szCs w:val="21"/>
              </w:rPr>
              <w:t>符合第二章“供应商须知”规定</w:t>
            </w:r>
          </w:p>
        </w:tc>
      </w:tr>
      <w:tr w14:paraId="66B3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40" w:type="dxa"/>
            <w:vMerge w:val="continue"/>
            <w:vAlign w:val="top"/>
          </w:tcPr>
          <w:p w14:paraId="6C692E71">
            <w:pPr>
              <w:rPr>
                <w:color w:val="auto"/>
                <w:szCs w:val="21"/>
              </w:rPr>
            </w:pPr>
          </w:p>
        </w:tc>
        <w:tc>
          <w:tcPr>
            <w:tcW w:w="975" w:type="dxa"/>
            <w:vMerge w:val="continue"/>
            <w:vAlign w:val="top"/>
          </w:tcPr>
          <w:p w14:paraId="35140D8F">
            <w:pPr>
              <w:rPr>
                <w:color w:val="auto"/>
                <w:szCs w:val="21"/>
              </w:rPr>
            </w:pPr>
          </w:p>
        </w:tc>
        <w:tc>
          <w:tcPr>
            <w:tcW w:w="2130" w:type="dxa"/>
            <w:vAlign w:val="center"/>
          </w:tcPr>
          <w:p w14:paraId="3E676C09">
            <w:pPr>
              <w:spacing w:line="360" w:lineRule="auto"/>
              <w:jc w:val="center"/>
              <w:rPr>
                <w:color w:val="auto"/>
                <w:szCs w:val="21"/>
              </w:rPr>
            </w:pPr>
            <w:r>
              <w:rPr>
                <w:rFonts w:hint="eastAsia"/>
                <w:color w:val="auto"/>
                <w:szCs w:val="21"/>
              </w:rPr>
              <w:t>质量要求</w:t>
            </w:r>
          </w:p>
        </w:tc>
        <w:tc>
          <w:tcPr>
            <w:tcW w:w="5130" w:type="dxa"/>
            <w:vAlign w:val="center"/>
          </w:tcPr>
          <w:p w14:paraId="09ED7C51">
            <w:pPr>
              <w:spacing w:line="360" w:lineRule="auto"/>
              <w:jc w:val="both"/>
              <w:rPr>
                <w:color w:val="auto"/>
                <w:szCs w:val="21"/>
              </w:rPr>
            </w:pPr>
            <w:r>
              <w:rPr>
                <w:rFonts w:hint="eastAsia"/>
                <w:color w:val="auto"/>
                <w:szCs w:val="21"/>
              </w:rPr>
              <w:t>符合第二章“供应商须知”规定</w:t>
            </w:r>
          </w:p>
        </w:tc>
      </w:tr>
      <w:tr w14:paraId="2B24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40" w:type="dxa"/>
            <w:vMerge w:val="continue"/>
            <w:vAlign w:val="top"/>
          </w:tcPr>
          <w:p w14:paraId="246A3493">
            <w:pPr>
              <w:rPr>
                <w:color w:val="auto"/>
                <w:szCs w:val="21"/>
              </w:rPr>
            </w:pPr>
          </w:p>
        </w:tc>
        <w:tc>
          <w:tcPr>
            <w:tcW w:w="975" w:type="dxa"/>
            <w:vMerge w:val="continue"/>
            <w:vAlign w:val="top"/>
          </w:tcPr>
          <w:p w14:paraId="79766270">
            <w:pPr>
              <w:rPr>
                <w:color w:val="auto"/>
                <w:szCs w:val="21"/>
              </w:rPr>
            </w:pPr>
          </w:p>
        </w:tc>
        <w:tc>
          <w:tcPr>
            <w:tcW w:w="2130" w:type="dxa"/>
            <w:vAlign w:val="center"/>
          </w:tcPr>
          <w:p w14:paraId="5E633044">
            <w:pPr>
              <w:spacing w:line="360" w:lineRule="auto"/>
              <w:jc w:val="center"/>
              <w:rPr>
                <w:color w:val="auto"/>
                <w:szCs w:val="21"/>
              </w:rPr>
            </w:pPr>
            <w:r>
              <w:rPr>
                <w:rFonts w:hint="eastAsia"/>
                <w:color w:val="auto"/>
                <w:szCs w:val="21"/>
              </w:rPr>
              <w:t>投标有效期</w:t>
            </w:r>
          </w:p>
        </w:tc>
        <w:tc>
          <w:tcPr>
            <w:tcW w:w="5130" w:type="dxa"/>
            <w:vAlign w:val="center"/>
          </w:tcPr>
          <w:p w14:paraId="37927F38">
            <w:pPr>
              <w:spacing w:line="360" w:lineRule="auto"/>
              <w:jc w:val="both"/>
              <w:rPr>
                <w:color w:val="auto"/>
                <w:szCs w:val="21"/>
              </w:rPr>
            </w:pPr>
            <w:r>
              <w:rPr>
                <w:rFonts w:hint="eastAsia"/>
                <w:color w:val="auto"/>
                <w:szCs w:val="21"/>
              </w:rPr>
              <w:t>符合第二章“供应商须知”规定</w:t>
            </w:r>
          </w:p>
        </w:tc>
      </w:tr>
      <w:tr w14:paraId="6C0B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40" w:type="dxa"/>
            <w:vMerge w:val="continue"/>
            <w:vAlign w:val="top"/>
          </w:tcPr>
          <w:p w14:paraId="2E9EE2FF">
            <w:pPr>
              <w:rPr>
                <w:color w:val="auto"/>
                <w:szCs w:val="21"/>
              </w:rPr>
            </w:pPr>
          </w:p>
        </w:tc>
        <w:tc>
          <w:tcPr>
            <w:tcW w:w="975" w:type="dxa"/>
            <w:vMerge w:val="continue"/>
            <w:vAlign w:val="top"/>
          </w:tcPr>
          <w:p w14:paraId="49B739AC">
            <w:pPr>
              <w:rPr>
                <w:color w:val="auto"/>
                <w:szCs w:val="21"/>
              </w:rPr>
            </w:pPr>
          </w:p>
        </w:tc>
        <w:tc>
          <w:tcPr>
            <w:tcW w:w="2130" w:type="dxa"/>
            <w:vAlign w:val="center"/>
          </w:tcPr>
          <w:p w14:paraId="5BDE368B">
            <w:pPr>
              <w:spacing w:line="360" w:lineRule="auto"/>
              <w:jc w:val="center"/>
              <w:rPr>
                <w:rFonts w:hint="eastAsia" w:ascii="宋体" w:hAnsi="宋体" w:eastAsia="宋体" w:cs="宋体"/>
                <w:color w:val="auto"/>
                <w:sz w:val="22"/>
                <w:szCs w:val="21"/>
                <w:lang w:val="zh-CN" w:eastAsia="zh-CN" w:bidi="zh-CN"/>
              </w:rPr>
            </w:pPr>
            <w:r>
              <w:rPr>
                <w:rFonts w:hint="eastAsia"/>
                <w:color w:val="auto"/>
                <w:szCs w:val="21"/>
              </w:rPr>
              <w:t>投标承诺书</w:t>
            </w:r>
          </w:p>
        </w:tc>
        <w:tc>
          <w:tcPr>
            <w:tcW w:w="5130" w:type="dxa"/>
            <w:vAlign w:val="center"/>
          </w:tcPr>
          <w:p w14:paraId="376D7829">
            <w:pPr>
              <w:spacing w:line="360" w:lineRule="auto"/>
              <w:jc w:val="both"/>
              <w:rPr>
                <w:rFonts w:hint="eastAsia" w:ascii="宋体" w:hAnsi="宋体" w:eastAsia="宋体" w:cs="宋体"/>
                <w:color w:val="auto"/>
                <w:sz w:val="22"/>
                <w:szCs w:val="21"/>
                <w:lang w:val="zh-CN" w:eastAsia="zh-CN" w:bidi="zh-CN"/>
              </w:rPr>
            </w:pPr>
            <w:r>
              <w:rPr>
                <w:rFonts w:hint="eastAsia"/>
                <w:color w:val="auto"/>
                <w:szCs w:val="21"/>
              </w:rPr>
              <w:t>符合第二章“供应商须知”规定</w:t>
            </w:r>
          </w:p>
        </w:tc>
      </w:tr>
      <w:tr w14:paraId="09BD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40" w:type="dxa"/>
            <w:vMerge w:val="continue"/>
            <w:vAlign w:val="top"/>
          </w:tcPr>
          <w:p w14:paraId="3260F416">
            <w:pPr>
              <w:rPr>
                <w:color w:val="auto"/>
                <w:szCs w:val="21"/>
              </w:rPr>
            </w:pPr>
          </w:p>
        </w:tc>
        <w:tc>
          <w:tcPr>
            <w:tcW w:w="975" w:type="dxa"/>
            <w:vMerge w:val="continue"/>
            <w:vAlign w:val="top"/>
          </w:tcPr>
          <w:p w14:paraId="0552E1BA">
            <w:pPr>
              <w:rPr>
                <w:color w:val="auto"/>
                <w:szCs w:val="21"/>
              </w:rPr>
            </w:pPr>
          </w:p>
        </w:tc>
        <w:tc>
          <w:tcPr>
            <w:tcW w:w="2130" w:type="dxa"/>
            <w:vAlign w:val="center"/>
          </w:tcPr>
          <w:p w14:paraId="30B55989">
            <w:pPr>
              <w:spacing w:line="360" w:lineRule="auto"/>
              <w:jc w:val="center"/>
              <w:rPr>
                <w:rFonts w:hint="eastAsia" w:eastAsia="宋体"/>
                <w:color w:val="auto"/>
                <w:szCs w:val="21"/>
                <w:lang w:eastAsia="zh-CN"/>
              </w:rPr>
            </w:pPr>
            <w:r>
              <w:rPr>
                <w:rFonts w:hint="eastAsia"/>
                <w:color w:val="auto"/>
                <w:szCs w:val="21"/>
                <w:lang w:eastAsia="zh-CN"/>
              </w:rPr>
              <w:t>其他内容</w:t>
            </w:r>
          </w:p>
        </w:tc>
        <w:tc>
          <w:tcPr>
            <w:tcW w:w="5130" w:type="dxa"/>
            <w:vAlign w:val="center"/>
          </w:tcPr>
          <w:p w14:paraId="6328C931">
            <w:pPr>
              <w:spacing w:line="360" w:lineRule="auto"/>
              <w:jc w:val="both"/>
              <w:rPr>
                <w:color w:val="auto"/>
                <w:szCs w:val="21"/>
              </w:rPr>
            </w:pPr>
            <w:r>
              <w:rPr>
                <w:rFonts w:hint="eastAsia"/>
                <w:color w:val="auto"/>
                <w:szCs w:val="21"/>
              </w:rPr>
              <w:t>符合第二章“供应商须知”规定</w:t>
            </w:r>
          </w:p>
        </w:tc>
      </w:tr>
      <w:tr w14:paraId="6F71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15" w:type="dxa"/>
            <w:gridSpan w:val="2"/>
            <w:vAlign w:val="center"/>
          </w:tcPr>
          <w:p w14:paraId="5B9E7660">
            <w:pPr>
              <w:spacing w:line="360" w:lineRule="auto"/>
              <w:jc w:val="center"/>
              <w:rPr>
                <w:color w:val="auto"/>
                <w:szCs w:val="21"/>
              </w:rPr>
            </w:pPr>
            <w:r>
              <w:rPr>
                <w:rFonts w:hint="eastAsia"/>
                <w:color w:val="auto"/>
                <w:szCs w:val="21"/>
              </w:rPr>
              <w:t>2.2.1</w:t>
            </w:r>
          </w:p>
        </w:tc>
        <w:tc>
          <w:tcPr>
            <w:tcW w:w="2130" w:type="dxa"/>
            <w:vAlign w:val="center"/>
          </w:tcPr>
          <w:p w14:paraId="317D517C">
            <w:pPr>
              <w:spacing w:line="360" w:lineRule="auto"/>
              <w:ind w:firstLine="440" w:firstLineChars="200"/>
              <w:jc w:val="both"/>
              <w:rPr>
                <w:color w:val="auto"/>
                <w:szCs w:val="21"/>
              </w:rPr>
            </w:pPr>
            <w:r>
              <w:rPr>
                <w:rFonts w:hint="eastAsia"/>
                <w:color w:val="auto"/>
                <w:szCs w:val="21"/>
              </w:rPr>
              <w:t>分值构成</w:t>
            </w:r>
          </w:p>
          <w:p w14:paraId="29D7338C">
            <w:pPr>
              <w:spacing w:line="360" w:lineRule="auto"/>
              <w:jc w:val="center"/>
              <w:rPr>
                <w:color w:val="auto"/>
                <w:szCs w:val="21"/>
              </w:rPr>
            </w:pPr>
            <w:r>
              <w:rPr>
                <w:rFonts w:hint="eastAsia"/>
                <w:color w:val="auto"/>
                <w:szCs w:val="21"/>
              </w:rPr>
              <w:t>(总分100分)</w:t>
            </w:r>
          </w:p>
        </w:tc>
        <w:tc>
          <w:tcPr>
            <w:tcW w:w="5130" w:type="dxa"/>
            <w:vAlign w:val="center"/>
          </w:tcPr>
          <w:p w14:paraId="08A56135">
            <w:pPr>
              <w:spacing w:line="360" w:lineRule="auto"/>
              <w:jc w:val="both"/>
              <w:rPr>
                <w:color w:val="auto"/>
                <w:szCs w:val="21"/>
              </w:rPr>
            </w:pPr>
            <w:r>
              <w:rPr>
                <w:rFonts w:hint="eastAsia"/>
                <w:color w:val="auto"/>
                <w:szCs w:val="21"/>
              </w:rPr>
              <w:t>投标报价：</w:t>
            </w:r>
            <w:r>
              <w:rPr>
                <w:rFonts w:hint="eastAsia"/>
                <w:color w:val="auto"/>
                <w:szCs w:val="21"/>
                <w:u w:val="single"/>
                <w:lang w:val="en-US" w:eastAsia="zh-CN"/>
              </w:rPr>
              <w:t>30</w:t>
            </w:r>
            <w:r>
              <w:rPr>
                <w:rFonts w:hint="eastAsia"/>
                <w:color w:val="auto"/>
                <w:szCs w:val="21"/>
              </w:rPr>
              <w:t>分</w:t>
            </w:r>
          </w:p>
          <w:p w14:paraId="030D6F45">
            <w:pPr>
              <w:spacing w:line="360" w:lineRule="auto"/>
              <w:jc w:val="both"/>
              <w:rPr>
                <w:color w:val="auto"/>
                <w:szCs w:val="21"/>
              </w:rPr>
            </w:pPr>
            <w:r>
              <w:rPr>
                <w:rFonts w:hint="eastAsia"/>
                <w:color w:val="auto"/>
                <w:szCs w:val="21"/>
              </w:rPr>
              <w:t>技术部分：</w:t>
            </w:r>
            <w:r>
              <w:rPr>
                <w:rFonts w:hint="eastAsia"/>
                <w:color w:val="auto"/>
                <w:szCs w:val="21"/>
                <w:u w:val="single"/>
                <w:lang w:val="en-US" w:eastAsia="zh-CN"/>
              </w:rPr>
              <w:t>50</w:t>
            </w:r>
            <w:r>
              <w:rPr>
                <w:rFonts w:hint="eastAsia"/>
                <w:color w:val="auto"/>
                <w:szCs w:val="21"/>
              </w:rPr>
              <w:t>分</w:t>
            </w:r>
          </w:p>
          <w:p w14:paraId="561DFCDB">
            <w:pPr>
              <w:spacing w:line="360" w:lineRule="auto"/>
              <w:jc w:val="both"/>
              <w:rPr>
                <w:color w:val="auto"/>
                <w:szCs w:val="21"/>
                <w:u w:val="single"/>
              </w:rPr>
            </w:pPr>
            <w:r>
              <w:rPr>
                <w:rFonts w:hint="eastAsia"/>
                <w:color w:val="auto"/>
                <w:szCs w:val="21"/>
              </w:rPr>
              <w:t>商务部分：</w:t>
            </w:r>
            <w:r>
              <w:rPr>
                <w:rFonts w:hint="eastAsia"/>
                <w:color w:val="auto"/>
                <w:szCs w:val="21"/>
                <w:u w:val="single"/>
                <w:lang w:val="en-US" w:eastAsia="zh-CN"/>
              </w:rPr>
              <w:t>20</w:t>
            </w:r>
            <w:r>
              <w:rPr>
                <w:rFonts w:hint="eastAsia"/>
                <w:color w:val="auto"/>
                <w:szCs w:val="21"/>
              </w:rPr>
              <w:t>分</w:t>
            </w:r>
          </w:p>
        </w:tc>
      </w:tr>
    </w:tbl>
    <w:p w14:paraId="7E10AF66">
      <w:pPr>
        <w:rPr>
          <w:color w:val="auto"/>
        </w:rPr>
      </w:pPr>
    </w:p>
    <w:p w14:paraId="1BE9E530">
      <w:pPr>
        <w:pStyle w:val="8"/>
        <w:rPr>
          <w:color w:val="auto"/>
        </w:rPr>
      </w:pPr>
    </w:p>
    <w:tbl>
      <w:tblPr>
        <w:tblStyle w:val="20"/>
        <w:tblW w:w="9405"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30"/>
        <w:gridCol w:w="1680"/>
        <w:gridCol w:w="5580"/>
      </w:tblGrid>
      <w:tr w14:paraId="3292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15" w:type="dxa"/>
            <w:vAlign w:val="center"/>
          </w:tcPr>
          <w:p w14:paraId="41C65ACC">
            <w:pPr>
              <w:spacing w:line="400" w:lineRule="exact"/>
              <w:ind w:firstLine="28"/>
              <w:jc w:val="center"/>
              <w:rPr>
                <w:b/>
                <w:color w:val="auto"/>
                <w:szCs w:val="21"/>
              </w:rPr>
            </w:pPr>
            <w:r>
              <w:rPr>
                <w:rFonts w:hint="eastAsia"/>
                <w:b/>
                <w:color w:val="auto"/>
                <w:szCs w:val="21"/>
              </w:rPr>
              <w:t>序号</w:t>
            </w:r>
          </w:p>
        </w:tc>
        <w:tc>
          <w:tcPr>
            <w:tcW w:w="1230" w:type="dxa"/>
            <w:vAlign w:val="center"/>
          </w:tcPr>
          <w:p w14:paraId="55FEECAC">
            <w:pPr>
              <w:spacing w:line="400" w:lineRule="exact"/>
              <w:ind w:firstLine="28"/>
              <w:jc w:val="center"/>
              <w:rPr>
                <w:b/>
                <w:color w:val="auto"/>
                <w:szCs w:val="21"/>
              </w:rPr>
            </w:pPr>
            <w:r>
              <w:rPr>
                <w:rFonts w:hint="eastAsia"/>
                <w:b/>
                <w:color w:val="auto"/>
                <w:szCs w:val="21"/>
              </w:rPr>
              <w:t>评分因素</w:t>
            </w:r>
          </w:p>
          <w:p w14:paraId="1969EA34">
            <w:pPr>
              <w:spacing w:line="400" w:lineRule="exact"/>
              <w:ind w:firstLine="28"/>
              <w:jc w:val="center"/>
              <w:rPr>
                <w:b/>
                <w:color w:val="auto"/>
                <w:szCs w:val="21"/>
              </w:rPr>
            </w:pPr>
            <w:r>
              <w:rPr>
                <w:rFonts w:hint="eastAsia"/>
                <w:b/>
                <w:color w:val="auto"/>
                <w:szCs w:val="21"/>
              </w:rPr>
              <w:t>及分值</w:t>
            </w:r>
          </w:p>
        </w:tc>
        <w:tc>
          <w:tcPr>
            <w:tcW w:w="7260" w:type="dxa"/>
            <w:gridSpan w:val="2"/>
            <w:vAlign w:val="center"/>
          </w:tcPr>
          <w:p w14:paraId="6C4A541F">
            <w:pPr>
              <w:spacing w:line="400" w:lineRule="exact"/>
              <w:ind w:firstLine="28"/>
              <w:jc w:val="center"/>
              <w:rPr>
                <w:b/>
                <w:color w:val="auto"/>
                <w:szCs w:val="21"/>
              </w:rPr>
            </w:pPr>
            <w:r>
              <w:rPr>
                <w:rFonts w:hint="eastAsia"/>
                <w:b/>
                <w:color w:val="auto"/>
                <w:szCs w:val="21"/>
              </w:rPr>
              <w:t>评分标准</w:t>
            </w:r>
          </w:p>
        </w:tc>
      </w:tr>
      <w:tr w14:paraId="7DF3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15" w:type="dxa"/>
            <w:vAlign w:val="center"/>
          </w:tcPr>
          <w:p w14:paraId="1AC6CD00">
            <w:pPr>
              <w:spacing w:line="400" w:lineRule="exact"/>
              <w:ind w:firstLine="28"/>
              <w:jc w:val="center"/>
              <w:rPr>
                <w:color w:val="auto"/>
                <w:szCs w:val="21"/>
              </w:rPr>
            </w:pPr>
            <w:r>
              <w:rPr>
                <w:rFonts w:hint="eastAsia"/>
                <w:color w:val="auto"/>
                <w:szCs w:val="21"/>
                <w:lang w:val="en-US"/>
              </w:rPr>
              <w:t>2.2.2</w:t>
            </w:r>
          </w:p>
        </w:tc>
        <w:tc>
          <w:tcPr>
            <w:tcW w:w="1230" w:type="dxa"/>
            <w:vAlign w:val="center"/>
          </w:tcPr>
          <w:p w14:paraId="45B2700D">
            <w:pPr>
              <w:spacing w:line="400" w:lineRule="exact"/>
              <w:ind w:firstLine="28"/>
              <w:jc w:val="center"/>
              <w:rPr>
                <w:rFonts w:hint="eastAsia"/>
                <w:color w:val="auto"/>
                <w:szCs w:val="21"/>
              </w:rPr>
            </w:pPr>
            <w:r>
              <w:rPr>
                <w:rFonts w:hint="eastAsia"/>
                <w:color w:val="auto"/>
                <w:szCs w:val="21"/>
              </w:rPr>
              <w:t>报价</w:t>
            </w:r>
          </w:p>
          <w:p w14:paraId="0440525D">
            <w:pPr>
              <w:spacing w:line="400" w:lineRule="exact"/>
              <w:ind w:firstLine="28"/>
              <w:jc w:val="center"/>
              <w:rPr>
                <w:color w:val="auto"/>
                <w:szCs w:val="21"/>
              </w:rPr>
            </w:pPr>
            <w:r>
              <w:rPr>
                <w:rFonts w:hint="eastAsia"/>
                <w:color w:val="auto"/>
                <w:szCs w:val="21"/>
              </w:rPr>
              <w:t>（</w:t>
            </w:r>
            <w:r>
              <w:rPr>
                <w:rFonts w:hint="eastAsia"/>
                <w:color w:val="auto"/>
                <w:szCs w:val="21"/>
                <w:lang w:val="en-US" w:eastAsia="zh-CN"/>
              </w:rPr>
              <w:t>30</w:t>
            </w:r>
            <w:r>
              <w:rPr>
                <w:rFonts w:hint="eastAsia"/>
                <w:color w:val="auto"/>
                <w:szCs w:val="21"/>
              </w:rPr>
              <w:t>分）</w:t>
            </w:r>
          </w:p>
        </w:tc>
        <w:tc>
          <w:tcPr>
            <w:tcW w:w="7260" w:type="dxa"/>
            <w:gridSpan w:val="2"/>
            <w:vAlign w:val="center"/>
          </w:tcPr>
          <w:p w14:paraId="30A6140A">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1、价格分采用低价优先法计算，即通过资格性和初步审查且第二轮投标价格最低的投标报价为评标基准价，其价格得分为满分</w:t>
            </w:r>
            <w:r>
              <w:rPr>
                <w:rFonts w:hint="eastAsia"/>
                <w:color w:val="auto"/>
                <w:sz w:val="22"/>
                <w:szCs w:val="22"/>
                <w:lang w:val="en-US" w:eastAsia="zh-CN"/>
              </w:rPr>
              <w:t>30</w:t>
            </w:r>
            <w:r>
              <w:rPr>
                <w:rFonts w:hint="eastAsia" w:eastAsia="宋体"/>
                <w:color w:val="auto"/>
                <w:sz w:val="22"/>
                <w:szCs w:val="22"/>
                <w:lang w:val="en-US" w:eastAsia="zh-CN"/>
              </w:rPr>
              <w:t>分。</w:t>
            </w:r>
          </w:p>
          <w:p w14:paraId="414D2B5A">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其他投标供应商的价格分统一按照下列公式计算：</w:t>
            </w:r>
          </w:p>
          <w:p w14:paraId="79293911">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投标报价得分＝（评标基准价/投标报价）×</w:t>
            </w:r>
            <w:r>
              <w:rPr>
                <w:rFonts w:hint="eastAsia"/>
                <w:color w:val="auto"/>
                <w:sz w:val="22"/>
                <w:szCs w:val="22"/>
                <w:lang w:val="en-US" w:eastAsia="zh-CN"/>
              </w:rPr>
              <w:t>30</w:t>
            </w:r>
            <w:r>
              <w:rPr>
                <w:rFonts w:hint="eastAsia" w:eastAsia="宋体"/>
                <w:color w:val="auto"/>
                <w:sz w:val="22"/>
                <w:szCs w:val="22"/>
                <w:lang w:val="en-US" w:eastAsia="zh-CN"/>
              </w:rPr>
              <w:t>％×100</w:t>
            </w:r>
          </w:p>
          <w:p w14:paraId="0584214E">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2、磋商小组认为响应人的报价明显低于其他通过符合性审查响应人的报价，有可能影响项目实施进度或者不能诚信履约的，应当要求其在评标现场合理的时间内提供书面说明，必要时提交相关证明材料；响应人不能证明其报价合理性的，磋商小组应当将其作为无效投标处理。</w:t>
            </w:r>
          </w:p>
          <w:p w14:paraId="41246C2D">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3、超出采购人预算价的响应报价为无效报价。</w:t>
            </w:r>
          </w:p>
        </w:tc>
      </w:tr>
      <w:tr w14:paraId="131D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915" w:type="dxa"/>
            <w:vMerge w:val="restart"/>
            <w:vAlign w:val="center"/>
          </w:tcPr>
          <w:p w14:paraId="6E902831">
            <w:pPr>
              <w:spacing w:line="400" w:lineRule="exact"/>
              <w:ind w:firstLine="28"/>
              <w:jc w:val="center"/>
              <w:rPr>
                <w:color w:val="auto"/>
                <w:szCs w:val="21"/>
                <w:lang w:val="en-US"/>
              </w:rPr>
            </w:pPr>
            <w:r>
              <w:rPr>
                <w:rFonts w:hint="eastAsia"/>
                <w:color w:val="auto"/>
                <w:szCs w:val="21"/>
              </w:rPr>
              <w:t>2</w:t>
            </w:r>
            <w:r>
              <w:rPr>
                <w:rFonts w:hint="eastAsia"/>
                <w:color w:val="auto"/>
                <w:szCs w:val="21"/>
                <w:lang w:val="en-US"/>
              </w:rPr>
              <w:t>.2.3</w:t>
            </w:r>
          </w:p>
        </w:tc>
        <w:tc>
          <w:tcPr>
            <w:tcW w:w="1230" w:type="dxa"/>
            <w:vMerge w:val="restart"/>
            <w:vAlign w:val="center"/>
          </w:tcPr>
          <w:p w14:paraId="1D834B3D">
            <w:pPr>
              <w:spacing w:line="400" w:lineRule="exact"/>
              <w:ind w:firstLine="28"/>
              <w:jc w:val="center"/>
              <w:rPr>
                <w:rFonts w:hint="eastAsia" w:ascii="宋体" w:hAnsi="宋体" w:eastAsia="宋体" w:cs="宋体"/>
                <w:color w:val="auto"/>
                <w:sz w:val="22"/>
                <w:szCs w:val="22"/>
              </w:rPr>
            </w:pPr>
            <w:r>
              <w:rPr>
                <w:rFonts w:hint="eastAsia" w:ascii="宋体" w:hAnsi="宋体" w:eastAsia="宋体" w:cs="宋体"/>
                <w:color w:val="auto"/>
                <w:sz w:val="22"/>
                <w:szCs w:val="22"/>
              </w:rPr>
              <w:t>技术标（</w:t>
            </w:r>
            <w:r>
              <w:rPr>
                <w:rFonts w:hint="eastAsia" w:cs="宋体"/>
                <w:color w:val="auto"/>
                <w:sz w:val="22"/>
                <w:szCs w:val="22"/>
                <w:lang w:val="en-US" w:eastAsia="zh-CN"/>
              </w:rPr>
              <w:t>50</w:t>
            </w:r>
            <w:r>
              <w:rPr>
                <w:rFonts w:hint="eastAsia" w:ascii="宋体" w:hAnsi="宋体" w:eastAsia="宋体" w:cs="宋体"/>
                <w:color w:val="auto"/>
                <w:sz w:val="22"/>
                <w:szCs w:val="22"/>
              </w:rPr>
              <w:t>分）</w:t>
            </w:r>
          </w:p>
        </w:tc>
        <w:tc>
          <w:tcPr>
            <w:tcW w:w="1680" w:type="dxa"/>
            <w:vAlign w:val="center"/>
          </w:tcPr>
          <w:p w14:paraId="4D29EB7D">
            <w:pPr>
              <w:spacing w:line="360" w:lineRule="auto"/>
              <w:jc w:val="center"/>
              <w:rPr>
                <w:rFonts w:hint="eastAsia" w:ascii="宋体" w:hAnsi="宋体" w:eastAsia="宋体" w:cs="宋体"/>
                <w:color w:val="auto"/>
                <w:kern w:val="2"/>
                <w:sz w:val="22"/>
                <w:szCs w:val="22"/>
                <w:lang w:val="en-US"/>
              </w:rPr>
            </w:pPr>
            <w:r>
              <w:rPr>
                <w:rFonts w:hint="eastAsia" w:ascii="宋体" w:hAnsi="宋体" w:eastAsia="宋体" w:cs="宋体"/>
                <w:color w:val="auto"/>
                <w:spacing w:val="-6"/>
                <w:sz w:val="22"/>
                <w:szCs w:val="22"/>
                <w:lang w:val="en-US" w:eastAsia="zh-CN"/>
              </w:rPr>
              <w:t>对本项目的认识、理解（</w:t>
            </w:r>
            <w:r>
              <w:rPr>
                <w:rFonts w:hint="eastAsia" w:cs="宋体"/>
                <w:color w:val="auto"/>
                <w:spacing w:val="-6"/>
                <w:sz w:val="22"/>
                <w:szCs w:val="22"/>
                <w:lang w:val="en-US" w:eastAsia="zh-CN"/>
              </w:rPr>
              <w:t>8</w:t>
            </w:r>
            <w:r>
              <w:rPr>
                <w:rFonts w:hint="eastAsia" w:ascii="宋体" w:hAnsi="宋体" w:eastAsia="宋体" w:cs="宋体"/>
                <w:color w:val="auto"/>
                <w:spacing w:val="-6"/>
                <w:sz w:val="22"/>
                <w:szCs w:val="22"/>
                <w:lang w:val="en-US" w:eastAsia="zh-CN"/>
              </w:rPr>
              <w:t>分）</w:t>
            </w:r>
          </w:p>
        </w:tc>
        <w:tc>
          <w:tcPr>
            <w:tcW w:w="5580" w:type="dxa"/>
            <w:vAlign w:val="center"/>
          </w:tcPr>
          <w:p w14:paraId="40425017">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根据供应商对本项目背景、现状、工作重点、工作难点、预期效果的理解和认识等方面进行综合评分：1.对项目背景及现状理解透彻、具体、全面，工作思路及重点、难点分析清晰，针对性强，可行性强，得</w:t>
            </w:r>
            <w:r>
              <w:rPr>
                <w:rFonts w:hint="eastAsia" w:cs="宋体"/>
                <w:color w:val="auto"/>
                <w:sz w:val="22"/>
                <w:szCs w:val="22"/>
                <w:lang w:val="en-US" w:eastAsia="zh-CN"/>
              </w:rPr>
              <w:t>8</w:t>
            </w:r>
            <w:r>
              <w:rPr>
                <w:rFonts w:hint="eastAsia" w:ascii="宋体" w:hAnsi="宋体" w:eastAsia="宋体" w:cs="宋体"/>
                <w:color w:val="auto"/>
                <w:sz w:val="22"/>
                <w:szCs w:val="22"/>
                <w:lang w:val="en-US" w:eastAsia="zh-CN"/>
              </w:rPr>
              <w:t>分。2.对项目背景及现状理解清晰、具体，工作思路及重点、难点分析较清晰，针对性较强，可行性较强，得</w:t>
            </w:r>
            <w:r>
              <w:rPr>
                <w:rFonts w:hint="eastAsia" w:cs="宋体"/>
                <w:color w:val="auto"/>
                <w:sz w:val="22"/>
                <w:szCs w:val="22"/>
                <w:lang w:val="en-US" w:eastAsia="zh-CN"/>
              </w:rPr>
              <w:t>5</w:t>
            </w:r>
            <w:r>
              <w:rPr>
                <w:rFonts w:hint="eastAsia" w:ascii="宋体" w:hAnsi="宋体" w:eastAsia="宋体" w:cs="宋体"/>
                <w:color w:val="auto"/>
                <w:sz w:val="22"/>
                <w:szCs w:val="22"/>
                <w:lang w:val="en-US" w:eastAsia="zh-CN"/>
              </w:rPr>
              <w:t>分。3.对项目背景及现状理解不全面，工作思路及重点、难点分析基本完整，针对性</w:t>
            </w:r>
            <w:r>
              <w:rPr>
                <w:rFonts w:hint="eastAsia" w:cs="宋体"/>
                <w:color w:val="auto"/>
                <w:sz w:val="22"/>
                <w:szCs w:val="22"/>
                <w:lang w:val="en-US" w:eastAsia="zh-CN"/>
              </w:rPr>
              <w:t>不强</w:t>
            </w:r>
            <w:r>
              <w:rPr>
                <w:rFonts w:hint="eastAsia" w:ascii="宋体" w:hAnsi="宋体" w:eastAsia="宋体" w:cs="宋体"/>
                <w:color w:val="auto"/>
                <w:sz w:val="22"/>
                <w:szCs w:val="22"/>
                <w:lang w:val="en-US" w:eastAsia="zh-CN"/>
              </w:rPr>
              <w:t>，得1分。4.未提供方案得0分</w:t>
            </w:r>
          </w:p>
        </w:tc>
      </w:tr>
      <w:tr w14:paraId="1A85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15" w:type="dxa"/>
            <w:vMerge w:val="continue"/>
            <w:vAlign w:val="center"/>
          </w:tcPr>
          <w:p w14:paraId="0302F8E1">
            <w:pPr>
              <w:spacing w:line="400" w:lineRule="exact"/>
              <w:ind w:firstLine="28"/>
              <w:jc w:val="center"/>
              <w:rPr>
                <w:color w:val="auto"/>
                <w:szCs w:val="21"/>
              </w:rPr>
            </w:pPr>
          </w:p>
        </w:tc>
        <w:tc>
          <w:tcPr>
            <w:tcW w:w="1230" w:type="dxa"/>
            <w:vMerge w:val="continue"/>
            <w:vAlign w:val="center"/>
          </w:tcPr>
          <w:p w14:paraId="7CFB4164">
            <w:pPr>
              <w:spacing w:line="400" w:lineRule="exact"/>
              <w:ind w:firstLine="28"/>
              <w:jc w:val="center"/>
              <w:rPr>
                <w:rFonts w:hint="eastAsia" w:ascii="宋体" w:hAnsi="宋体" w:eastAsia="宋体" w:cs="宋体"/>
                <w:color w:val="auto"/>
                <w:sz w:val="22"/>
                <w:szCs w:val="22"/>
              </w:rPr>
            </w:pPr>
          </w:p>
        </w:tc>
        <w:tc>
          <w:tcPr>
            <w:tcW w:w="1680" w:type="dxa"/>
            <w:vAlign w:val="center"/>
          </w:tcPr>
          <w:p w14:paraId="555C7018">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w:t>
            </w:r>
          </w:p>
          <w:p w14:paraId="226003EF">
            <w:pPr>
              <w:spacing w:line="360" w:lineRule="auto"/>
              <w:jc w:val="center"/>
              <w:rPr>
                <w:rFonts w:hint="eastAsia" w:ascii="宋体" w:hAnsi="宋体" w:eastAsia="宋体" w:cs="宋体"/>
                <w:color w:val="auto"/>
                <w:spacing w:val="0"/>
                <w:sz w:val="22"/>
                <w:szCs w:val="22"/>
                <w:highlight w:val="none"/>
                <w:lang w:val="en-US" w:eastAsia="zh-CN"/>
              </w:rPr>
            </w:pPr>
            <w:r>
              <w:rPr>
                <w:rFonts w:hint="eastAsia" w:ascii="宋体" w:hAnsi="宋体" w:eastAsia="宋体" w:cs="宋体"/>
                <w:color w:val="auto"/>
                <w:spacing w:val="-6"/>
                <w:sz w:val="22"/>
                <w:szCs w:val="22"/>
                <w:lang w:val="en-US" w:eastAsia="zh-CN"/>
              </w:rPr>
              <w:t>（</w:t>
            </w:r>
            <w:r>
              <w:rPr>
                <w:rFonts w:hint="eastAsia" w:cs="宋体"/>
                <w:color w:val="auto"/>
                <w:spacing w:val="-6"/>
                <w:sz w:val="22"/>
                <w:szCs w:val="22"/>
                <w:lang w:val="en-US" w:eastAsia="zh-CN"/>
              </w:rPr>
              <w:t>7</w:t>
            </w:r>
            <w:r>
              <w:rPr>
                <w:rFonts w:hint="eastAsia" w:ascii="宋体" w:hAnsi="宋体" w:eastAsia="宋体" w:cs="宋体"/>
                <w:color w:val="auto"/>
                <w:spacing w:val="-6"/>
                <w:sz w:val="22"/>
                <w:szCs w:val="22"/>
                <w:lang w:val="en-US" w:eastAsia="zh-CN"/>
              </w:rPr>
              <w:t>分）</w:t>
            </w:r>
          </w:p>
        </w:tc>
        <w:tc>
          <w:tcPr>
            <w:tcW w:w="5580" w:type="dxa"/>
            <w:vAlign w:val="center"/>
          </w:tcPr>
          <w:p w14:paraId="57B72B18">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根据供应商对本项目实施方案，包括但不限于主要工作内容、工作方法、技术路线、队伍组织、实施步骤等方面进行综合评分：</w:t>
            </w:r>
          </w:p>
          <w:p w14:paraId="1E6A93DB">
            <w:pPr>
              <w:numPr>
                <w:ilvl w:val="0"/>
                <w:numId w:val="16"/>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实施方案工作内容详细精确，工作方法可行性强，工作流程及时间安排，技术路线清晰，队伍组织科学性强，实施步骤合理高效，得</w:t>
            </w:r>
            <w:r>
              <w:rPr>
                <w:rFonts w:hint="eastAsia" w:cs="宋体"/>
                <w:color w:val="auto"/>
                <w:spacing w:val="-6"/>
                <w:sz w:val="22"/>
                <w:szCs w:val="22"/>
                <w:lang w:val="en-US" w:eastAsia="zh-CN"/>
              </w:rPr>
              <w:t>7</w:t>
            </w:r>
            <w:r>
              <w:rPr>
                <w:rFonts w:hint="eastAsia" w:ascii="宋体" w:hAnsi="宋体" w:eastAsia="宋体" w:cs="宋体"/>
                <w:color w:val="auto"/>
                <w:spacing w:val="-6"/>
                <w:sz w:val="22"/>
                <w:szCs w:val="22"/>
                <w:lang w:val="en-US" w:eastAsia="zh-CN"/>
              </w:rPr>
              <w:t>分。</w:t>
            </w:r>
          </w:p>
          <w:p w14:paraId="0A5307FF">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实施方案工作内容描述准确，工作方法比较可行，工作流程及时间安排，技术路线比较准确，队伍组织和实施步骤安排比较合理，得</w:t>
            </w:r>
            <w:r>
              <w:rPr>
                <w:rFonts w:hint="eastAsia" w:cs="宋体"/>
                <w:color w:val="auto"/>
                <w:spacing w:val="-6"/>
                <w:sz w:val="22"/>
                <w:szCs w:val="22"/>
                <w:lang w:val="en-US" w:eastAsia="zh-CN"/>
              </w:rPr>
              <w:t>4</w:t>
            </w:r>
            <w:r>
              <w:rPr>
                <w:rFonts w:hint="eastAsia" w:ascii="宋体" w:hAnsi="宋体" w:eastAsia="宋体" w:cs="宋体"/>
                <w:color w:val="auto"/>
                <w:spacing w:val="-6"/>
                <w:sz w:val="22"/>
                <w:szCs w:val="22"/>
                <w:lang w:val="en-US" w:eastAsia="zh-CN"/>
              </w:rPr>
              <w:t>分。</w:t>
            </w:r>
          </w:p>
          <w:p w14:paraId="5495DA26">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实施方案工作内容描述简单，工作方法可行性</w:t>
            </w:r>
            <w:r>
              <w:rPr>
                <w:rFonts w:hint="eastAsia" w:cs="宋体"/>
                <w:color w:val="auto"/>
                <w:spacing w:val="-6"/>
                <w:sz w:val="22"/>
                <w:szCs w:val="22"/>
                <w:lang w:val="en-US" w:eastAsia="zh-CN"/>
              </w:rPr>
              <w:t>不强</w:t>
            </w:r>
            <w:r>
              <w:rPr>
                <w:rFonts w:hint="eastAsia" w:ascii="宋体" w:hAnsi="宋体" w:eastAsia="宋体" w:cs="宋体"/>
                <w:color w:val="auto"/>
                <w:spacing w:val="-6"/>
                <w:sz w:val="22"/>
                <w:szCs w:val="22"/>
                <w:lang w:val="en-US" w:eastAsia="zh-CN"/>
              </w:rPr>
              <w:t>，工作流程及时间安排，技术路线不够全面，队伍组织科学性</w:t>
            </w:r>
            <w:r>
              <w:rPr>
                <w:rFonts w:hint="eastAsia" w:cs="宋体"/>
                <w:color w:val="auto"/>
                <w:spacing w:val="-6"/>
                <w:sz w:val="22"/>
                <w:szCs w:val="22"/>
                <w:lang w:val="en-US" w:eastAsia="zh-CN"/>
              </w:rPr>
              <w:t>不合理</w:t>
            </w:r>
            <w:r>
              <w:rPr>
                <w:rFonts w:hint="eastAsia" w:ascii="宋体" w:hAnsi="宋体" w:eastAsia="宋体" w:cs="宋体"/>
                <w:color w:val="auto"/>
                <w:spacing w:val="-6"/>
                <w:sz w:val="22"/>
                <w:szCs w:val="22"/>
                <w:lang w:val="en-US" w:eastAsia="zh-CN"/>
              </w:rPr>
              <w:t>，得</w:t>
            </w:r>
            <w:r>
              <w:rPr>
                <w:rFonts w:hint="eastAsia"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7954C065">
            <w:pPr>
              <w:numPr>
                <w:ilvl w:val="0"/>
                <w:numId w:val="0"/>
              </w:numPr>
              <w:spacing w:line="360" w:lineRule="auto"/>
              <w:ind w:left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4.未提供方案得0分</w:t>
            </w:r>
          </w:p>
        </w:tc>
      </w:tr>
      <w:tr w14:paraId="6020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15" w:type="dxa"/>
            <w:vMerge w:val="continue"/>
            <w:vAlign w:val="center"/>
          </w:tcPr>
          <w:p w14:paraId="1574657F">
            <w:pPr>
              <w:spacing w:line="400" w:lineRule="exact"/>
              <w:ind w:firstLine="28"/>
              <w:jc w:val="center"/>
              <w:rPr>
                <w:color w:val="auto"/>
                <w:szCs w:val="21"/>
              </w:rPr>
            </w:pPr>
          </w:p>
        </w:tc>
        <w:tc>
          <w:tcPr>
            <w:tcW w:w="1230" w:type="dxa"/>
            <w:vMerge w:val="continue"/>
            <w:vAlign w:val="center"/>
          </w:tcPr>
          <w:p w14:paraId="140D9A4A">
            <w:pPr>
              <w:spacing w:line="400" w:lineRule="exact"/>
              <w:ind w:firstLine="28"/>
              <w:jc w:val="center"/>
              <w:rPr>
                <w:rFonts w:hint="eastAsia" w:ascii="宋体" w:hAnsi="宋体" w:eastAsia="宋体" w:cs="宋体"/>
                <w:color w:val="auto"/>
                <w:sz w:val="22"/>
                <w:szCs w:val="22"/>
              </w:rPr>
            </w:pPr>
          </w:p>
        </w:tc>
        <w:tc>
          <w:tcPr>
            <w:tcW w:w="1680" w:type="dxa"/>
            <w:vAlign w:val="center"/>
          </w:tcPr>
          <w:p w14:paraId="53CA557D">
            <w:pPr>
              <w:numPr>
                <w:ilvl w:val="0"/>
                <w:numId w:val="0"/>
              </w:num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质量保障措施方案(</w:t>
            </w:r>
            <w:r>
              <w:rPr>
                <w:rFonts w:hint="eastAsia" w:cs="宋体"/>
                <w:color w:val="auto"/>
                <w:spacing w:val="-6"/>
                <w:sz w:val="22"/>
                <w:szCs w:val="22"/>
                <w:lang w:val="en-US" w:eastAsia="zh-CN"/>
              </w:rPr>
              <w:t>7</w:t>
            </w:r>
            <w:r>
              <w:rPr>
                <w:rFonts w:hint="eastAsia" w:ascii="宋体" w:hAnsi="宋体" w:eastAsia="宋体" w:cs="宋体"/>
                <w:color w:val="auto"/>
                <w:spacing w:val="-6"/>
                <w:sz w:val="22"/>
                <w:szCs w:val="22"/>
                <w:lang w:val="en-US" w:eastAsia="zh-CN"/>
              </w:rPr>
              <w:t>分)</w:t>
            </w:r>
          </w:p>
        </w:tc>
        <w:tc>
          <w:tcPr>
            <w:tcW w:w="5580" w:type="dxa"/>
            <w:vAlign w:val="center"/>
          </w:tcPr>
          <w:p w14:paraId="5A1D7E5C">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根据供应商提供项目质量保障措施方案，方案内容包括不限于质量管理目标、质量保障组织架构、质量控制措施等进行综合评分：</w:t>
            </w:r>
          </w:p>
          <w:p w14:paraId="01DA5EA5">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1.质量管理目标内容详细清晰、质量保障组织架构科学合理、质量控制措施具体切实可行性强，得</w:t>
            </w:r>
            <w:r>
              <w:rPr>
                <w:rFonts w:hint="eastAsia" w:cs="宋体"/>
                <w:color w:val="auto"/>
                <w:spacing w:val="-6"/>
                <w:sz w:val="22"/>
                <w:szCs w:val="22"/>
                <w:lang w:val="en-US" w:eastAsia="zh-CN"/>
              </w:rPr>
              <w:t>7</w:t>
            </w:r>
            <w:r>
              <w:rPr>
                <w:rFonts w:hint="eastAsia" w:ascii="宋体" w:hAnsi="宋体" w:eastAsia="宋体" w:cs="宋体"/>
                <w:color w:val="auto"/>
                <w:spacing w:val="-6"/>
                <w:sz w:val="22"/>
                <w:szCs w:val="22"/>
                <w:lang w:val="en-US" w:eastAsia="zh-CN"/>
              </w:rPr>
              <w:t>分；</w:t>
            </w:r>
          </w:p>
          <w:p w14:paraId="71B764F7">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2.质量管理目标内容较详细、质量保障组织架构比较合理、质量控制措施可行性较强，得</w:t>
            </w:r>
            <w:r>
              <w:rPr>
                <w:rFonts w:hint="eastAsia" w:cs="宋体"/>
                <w:color w:val="auto"/>
                <w:spacing w:val="-6"/>
                <w:sz w:val="22"/>
                <w:szCs w:val="22"/>
                <w:lang w:val="en-US" w:eastAsia="zh-CN"/>
              </w:rPr>
              <w:t>4</w:t>
            </w:r>
            <w:r>
              <w:rPr>
                <w:rFonts w:hint="eastAsia" w:ascii="宋体" w:hAnsi="宋体" w:eastAsia="宋体" w:cs="宋体"/>
                <w:color w:val="auto"/>
                <w:spacing w:val="-6"/>
                <w:sz w:val="22"/>
                <w:szCs w:val="22"/>
                <w:lang w:val="en-US" w:eastAsia="zh-CN"/>
              </w:rPr>
              <w:t>分；</w:t>
            </w:r>
          </w:p>
          <w:p w14:paraId="68D8854E">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3.质量管理目标内容不够具体、质量保障组织架构一般、质量控制措施不够全面、实施可行性一般，得1分。</w:t>
            </w:r>
          </w:p>
          <w:p w14:paraId="037B416C">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4.未提供方案得0分。</w:t>
            </w:r>
          </w:p>
        </w:tc>
      </w:tr>
      <w:tr w14:paraId="59D6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15" w:type="dxa"/>
            <w:vMerge w:val="continue"/>
            <w:vAlign w:val="center"/>
          </w:tcPr>
          <w:p w14:paraId="11D84010">
            <w:pPr>
              <w:spacing w:line="400" w:lineRule="exact"/>
              <w:ind w:firstLine="28"/>
              <w:jc w:val="center"/>
              <w:rPr>
                <w:color w:val="auto"/>
                <w:szCs w:val="21"/>
              </w:rPr>
            </w:pPr>
          </w:p>
        </w:tc>
        <w:tc>
          <w:tcPr>
            <w:tcW w:w="1230" w:type="dxa"/>
            <w:vMerge w:val="continue"/>
            <w:vAlign w:val="center"/>
          </w:tcPr>
          <w:p w14:paraId="0F3168D8">
            <w:pPr>
              <w:spacing w:line="400" w:lineRule="exact"/>
              <w:ind w:firstLine="28"/>
              <w:jc w:val="center"/>
              <w:rPr>
                <w:rFonts w:hint="eastAsia" w:ascii="宋体" w:hAnsi="宋体" w:eastAsia="宋体" w:cs="宋体"/>
                <w:color w:val="auto"/>
                <w:sz w:val="22"/>
                <w:szCs w:val="22"/>
              </w:rPr>
            </w:pPr>
          </w:p>
        </w:tc>
        <w:tc>
          <w:tcPr>
            <w:tcW w:w="1680" w:type="dxa"/>
            <w:vAlign w:val="center"/>
          </w:tcPr>
          <w:p w14:paraId="100E4081">
            <w:pPr>
              <w:pStyle w:val="36"/>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0"/>
                <w:sz w:val="22"/>
                <w:szCs w:val="22"/>
                <w:highlight w:val="none"/>
              </w:rPr>
            </w:pPr>
            <w:r>
              <w:rPr>
                <w:rFonts w:hint="eastAsia" w:ascii="宋体" w:hAnsi="宋体" w:eastAsia="宋体" w:cs="宋体"/>
                <w:snapToGrid w:val="0"/>
                <w:color w:val="000000"/>
                <w:sz w:val="22"/>
                <w:szCs w:val="22"/>
                <w:highlight w:val="none"/>
                <w:lang w:bidi="ar"/>
              </w:rPr>
              <w:t>工作进度的安排</w:t>
            </w:r>
            <w:r>
              <w:rPr>
                <w:rFonts w:hint="eastAsia" w:ascii="宋体" w:hAnsi="宋体" w:eastAsia="宋体" w:cs="宋体"/>
                <w:snapToGrid w:val="0"/>
                <w:sz w:val="22"/>
                <w:szCs w:val="22"/>
                <w:highlight w:val="none"/>
                <w:lang w:val="en-US" w:bidi="ar-SA"/>
              </w:rPr>
              <w:t>（</w:t>
            </w:r>
            <w:r>
              <w:rPr>
                <w:rFonts w:hint="eastAsia" w:cs="宋体"/>
                <w:snapToGrid w:val="0"/>
                <w:sz w:val="22"/>
                <w:szCs w:val="22"/>
                <w:highlight w:val="none"/>
                <w:lang w:val="en-US" w:eastAsia="zh-CN" w:bidi="ar-SA"/>
              </w:rPr>
              <w:t>7</w:t>
            </w:r>
            <w:r>
              <w:rPr>
                <w:rFonts w:hint="eastAsia" w:ascii="宋体" w:hAnsi="宋体" w:eastAsia="宋体" w:cs="宋体"/>
                <w:snapToGrid w:val="0"/>
                <w:sz w:val="22"/>
                <w:szCs w:val="22"/>
                <w:highlight w:val="none"/>
                <w:lang w:val="en-US" w:bidi="ar-SA"/>
              </w:rPr>
              <w:t>分）</w:t>
            </w:r>
          </w:p>
        </w:tc>
        <w:tc>
          <w:tcPr>
            <w:tcW w:w="5580" w:type="dxa"/>
            <w:vAlign w:val="center"/>
          </w:tcPr>
          <w:p w14:paraId="5751AA5F">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1、项目进度安排详实具体、合理可行，完全满足各阶段要求的得</w:t>
            </w:r>
            <w:r>
              <w:rPr>
                <w:rFonts w:hint="eastAsia" w:cs="宋体"/>
                <w:color w:val="auto"/>
                <w:spacing w:val="0"/>
                <w:sz w:val="22"/>
                <w:szCs w:val="22"/>
                <w:highlight w:val="none"/>
                <w:lang w:val="en-US" w:eastAsia="zh-CN"/>
              </w:rPr>
              <w:t>7</w:t>
            </w:r>
            <w:r>
              <w:rPr>
                <w:rFonts w:hint="eastAsia" w:ascii="宋体" w:hAnsi="宋体" w:eastAsia="宋体" w:cs="宋体"/>
                <w:color w:val="auto"/>
                <w:spacing w:val="0"/>
                <w:sz w:val="22"/>
                <w:szCs w:val="22"/>
                <w:highlight w:val="none"/>
              </w:rPr>
              <w:t>分；</w:t>
            </w:r>
          </w:p>
          <w:p w14:paraId="3BD22B1C">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2、项目进度安排基本合理，基本满足各阶段要求的得</w:t>
            </w:r>
            <w:r>
              <w:rPr>
                <w:rFonts w:hint="eastAsia" w:cs="宋体"/>
                <w:color w:val="auto"/>
                <w:spacing w:val="0"/>
                <w:sz w:val="22"/>
                <w:szCs w:val="22"/>
                <w:highlight w:val="none"/>
                <w:lang w:val="en-US" w:eastAsia="zh-CN"/>
              </w:rPr>
              <w:t>4</w:t>
            </w:r>
            <w:r>
              <w:rPr>
                <w:rFonts w:hint="eastAsia" w:ascii="宋体" w:hAnsi="宋体" w:eastAsia="宋体" w:cs="宋体"/>
                <w:color w:val="auto"/>
                <w:spacing w:val="0"/>
                <w:sz w:val="22"/>
                <w:szCs w:val="22"/>
                <w:highlight w:val="none"/>
              </w:rPr>
              <w:t>分；</w:t>
            </w:r>
          </w:p>
          <w:p w14:paraId="68912522">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3、工作计划不够合理，可行性差的得1分。</w:t>
            </w:r>
          </w:p>
          <w:p w14:paraId="7704F236">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没有不得分。</w:t>
            </w:r>
          </w:p>
        </w:tc>
      </w:tr>
      <w:tr w14:paraId="5D03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15" w:type="dxa"/>
            <w:vMerge w:val="continue"/>
            <w:vAlign w:val="center"/>
          </w:tcPr>
          <w:p w14:paraId="53B70F3C">
            <w:pPr>
              <w:spacing w:line="400" w:lineRule="exact"/>
              <w:ind w:firstLine="28"/>
              <w:jc w:val="center"/>
              <w:rPr>
                <w:color w:val="auto"/>
                <w:szCs w:val="21"/>
              </w:rPr>
            </w:pPr>
          </w:p>
        </w:tc>
        <w:tc>
          <w:tcPr>
            <w:tcW w:w="1230" w:type="dxa"/>
            <w:vMerge w:val="continue"/>
            <w:vAlign w:val="center"/>
          </w:tcPr>
          <w:p w14:paraId="550D5E19">
            <w:pPr>
              <w:spacing w:line="400" w:lineRule="exact"/>
              <w:ind w:firstLine="28"/>
              <w:jc w:val="center"/>
              <w:rPr>
                <w:rFonts w:hint="eastAsia" w:ascii="宋体" w:hAnsi="宋体" w:eastAsia="宋体" w:cs="宋体"/>
                <w:color w:val="auto"/>
                <w:sz w:val="22"/>
                <w:szCs w:val="22"/>
              </w:rPr>
            </w:pPr>
          </w:p>
        </w:tc>
        <w:tc>
          <w:tcPr>
            <w:tcW w:w="1680" w:type="dxa"/>
            <w:vAlign w:val="center"/>
          </w:tcPr>
          <w:p w14:paraId="1F72183F">
            <w:pPr>
              <w:pStyle w:val="36"/>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新工艺应用</w:t>
            </w:r>
          </w:p>
          <w:p w14:paraId="13387F3D">
            <w:pPr>
              <w:pStyle w:val="36"/>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w:t>
            </w:r>
            <w:r>
              <w:rPr>
                <w:rFonts w:hint="eastAsia" w:cs="宋体"/>
                <w:snapToGrid w:val="0"/>
                <w:color w:val="000000"/>
                <w:sz w:val="22"/>
                <w:szCs w:val="22"/>
                <w:highlight w:val="none"/>
                <w:lang w:val="en-US" w:eastAsia="zh-CN" w:bidi="ar"/>
              </w:rPr>
              <w:t>7</w:t>
            </w:r>
            <w:r>
              <w:rPr>
                <w:rFonts w:hint="eastAsia" w:ascii="宋体" w:hAnsi="宋体" w:eastAsia="宋体" w:cs="宋体"/>
                <w:snapToGrid w:val="0"/>
                <w:color w:val="000000"/>
                <w:sz w:val="22"/>
                <w:szCs w:val="22"/>
                <w:highlight w:val="none"/>
                <w:lang w:val="en-US" w:eastAsia="zh-CN" w:bidi="ar"/>
              </w:rPr>
              <w:t>分）</w:t>
            </w:r>
          </w:p>
        </w:tc>
        <w:tc>
          <w:tcPr>
            <w:tcW w:w="5580" w:type="dxa"/>
            <w:vAlign w:val="center"/>
          </w:tcPr>
          <w:p w14:paraId="3E36C08A">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1、新工艺、新技术、新材料选用符合地方实际，并在本项目经济可行，内容全面可实施性合理得</w:t>
            </w:r>
            <w:r>
              <w:rPr>
                <w:rFonts w:hint="eastAsia" w:cs="宋体"/>
                <w:snapToGrid w:val="0"/>
                <w:color w:val="000000"/>
                <w:sz w:val="22"/>
                <w:szCs w:val="22"/>
                <w:highlight w:val="none"/>
                <w:lang w:val="en-US" w:eastAsia="zh-CN" w:bidi="ar"/>
              </w:rPr>
              <w:t>7</w:t>
            </w:r>
            <w:r>
              <w:rPr>
                <w:rFonts w:hint="eastAsia" w:ascii="宋体" w:hAnsi="宋体" w:eastAsia="宋体" w:cs="宋体"/>
                <w:snapToGrid w:val="0"/>
                <w:color w:val="000000"/>
                <w:sz w:val="22"/>
                <w:szCs w:val="22"/>
                <w:highlight w:val="none"/>
                <w:lang w:val="en-US" w:eastAsia="zh-CN" w:bidi="ar"/>
              </w:rPr>
              <w:t>分；</w:t>
            </w:r>
          </w:p>
          <w:p w14:paraId="14620E23">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2、新工艺、新技术、新材料选用符合地方实际，并在本项目经济可行，内容全面可实施性较合理得</w:t>
            </w:r>
            <w:r>
              <w:rPr>
                <w:rFonts w:hint="eastAsia" w:cs="宋体"/>
                <w:snapToGrid w:val="0"/>
                <w:color w:val="000000"/>
                <w:sz w:val="22"/>
                <w:szCs w:val="22"/>
                <w:highlight w:val="none"/>
                <w:lang w:val="en-US" w:eastAsia="zh-CN" w:bidi="ar"/>
              </w:rPr>
              <w:t>4</w:t>
            </w:r>
            <w:r>
              <w:rPr>
                <w:rFonts w:hint="eastAsia" w:ascii="宋体" w:hAnsi="宋体" w:eastAsia="宋体" w:cs="宋体"/>
                <w:snapToGrid w:val="0"/>
                <w:color w:val="000000"/>
                <w:sz w:val="22"/>
                <w:szCs w:val="22"/>
                <w:highlight w:val="none"/>
                <w:lang w:val="en-US" w:eastAsia="zh-CN" w:bidi="ar"/>
              </w:rPr>
              <w:t>分；</w:t>
            </w:r>
          </w:p>
          <w:p w14:paraId="0FB5675A">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3、新工艺、新技术、新材料选用符合地方实际，并在本项目经济可行，内容全面可实施性</w:t>
            </w:r>
            <w:r>
              <w:rPr>
                <w:rFonts w:hint="eastAsia" w:cs="宋体"/>
                <w:snapToGrid w:val="0"/>
                <w:color w:val="000000"/>
                <w:sz w:val="22"/>
                <w:szCs w:val="22"/>
                <w:highlight w:val="none"/>
                <w:lang w:val="en-US" w:eastAsia="zh-CN" w:bidi="ar"/>
              </w:rPr>
              <w:t>不强</w:t>
            </w:r>
            <w:r>
              <w:rPr>
                <w:rFonts w:hint="eastAsia" w:ascii="宋体" w:hAnsi="宋体" w:eastAsia="宋体" w:cs="宋体"/>
                <w:snapToGrid w:val="0"/>
                <w:color w:val="000000"/>
                <w:sz w:val="22"/>
                <w:szCs w:val="22"/>
                <w:highlight w:val="none"/>
                <w:lang w:val="en-US" w:eastAsia="zh-CN" w:bidi="ar"/>
              </w:rPr>
              <w:t>得1分；</w:t>
            </w:r>
          </w:p>
          <w:p w14:paraId="5FD80474">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注：若缺项，该项为0分。</w:t>
            </w:r>
          </w:p>
        </w:tc>
      </w:tr>
      <w:tr w14:paraId="232B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15" w:type="dxa"/>
            <w:vMerge w:val="continue"/>
            <w:vAlign w:val="center"/>
          </w:tcPr>
          <w:p w14:paraId="7CEBFAB4">
            <w:pPr>
              <w:spacing w:line="400" w:lineRule="exact"/>
              <w:ind w:firstLine="28"/>
              <w:jc w:val="center"/>
              <w:rPr>
                <w:color w:val="auto"/>
                <w:szCs w:val="21"/>
              </w:rPr>
            </w:pPr>
          </w:p>
        </w:tc>
        <w:tc>
          <w:tcPr>
            <w:tcW w:w="1230" w:type="dxa"/>
            <w:vMerge w:val="continue"/>
            <w:vAlign w:val="center"/>
          </w:tcPr>
          <w:p w14:paraId="36B8A858">
            <w:pPr>
              <w:spacing w:line="400" w:lineRule="exact"/>
              <w:ind w:firstLine="28"/>
              <w:jc w:val="center"/>
              <w:rPr>
                <w:rFonts w:hint="eastAsia" w:ascii="宋体" w:hAnsi="宋体" w:eastAsia="宋体" w:cs="宋体"/>
                <w:color w:val="auto"/>
                <w:sz w:val="22"/>
                <w:szCs w:val="22"/>
              </w:rPr>
            </w:pPr>
          </w:p>
        </w:tc>
        <w:tc>
          <w:tcPr>
            <w:tcW w:w="1680" w:type="dxa"/>
            <w:vAlign w:val="center"/>
          </w:tcPr>
          <w:p w14:paraId="5F18006A">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降低工程造价保障（</w:t>
            </w:r>
            <w:r>
              <w:rPr>
                <w:rFonts w:hint="eastAsia" w:cs="宋体"/>
                <w:snapToGrid w:val="0"/>
                <w:color w:val="000000"/>
                <w:sz w:val="22"/>
                <w:szCs w:val="22"/>
                <w:highlight w:val="none"/>
                <w:lang w:val="en-US" w:eastAsia="zh-CN" w:bidi="ar"/>
              </w:rPr>
              <w:t>7</w:t>
            </w:r>
            <w:r>
              <w:rPr>
                <w:rFonts w:hint="eastAsia" w:ascii="宋体" w:hAnsi="宋体" w:eastAsia="宋体" w:cs="宋体"/>
                <w:snapToGrid w:val="0"/>
                <w:color w:val="000000"/>
                <w:sz w:val="22"/>
                <w:szCs w:val="22"/>
                <w:highlight w:val="none"/>
                <w:lang w:val="en-US" w:eastAsia="zh-CN" w:bidi="ar"/>
              </w:rPr>
              <w:t>分）</w:t>
            </w:r>
          </w:p>
        </w:tc>
        <w:tc>
          <w:tcPr>
            <w:tcW w:w="5580" w:type="dxa"/>
            <w:vAlign w:val="center"/>
          </w:tcPr>
          <w:p w14:paraId="6E967041">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1、在工程造价限额内，提出能降低工程造价的保证，内容全面可实施性合理得</w:t>
            </w:r>
            <w:r>
              <w:rPr>
                <w:rFonts w:hint="eastAsia" w:cs="宋体"/>
                <w:snapToGrid w:val="0"/>
                <w:color w:val="000000"/>
                <w:sz w:val="22"/>
                <w:szCs w:val="22"/>
                <w:highlight w:val="none"/>
                <w:lang w:val="en-US" w:eastAsia="zh-CN" w:bidi="ar"/>
              </w:rPr>
              <w:t>7</w:t>
            </w:r>
            <w:r>
              <w:rPr>
                <w:rFonts w:hint="eastAsia" w:ascii="宋体" w:hAnsi="宋体" w:eastAsia="宋体" w:cs="宋体"/>
                <w:snapToGrid w:val="0"/>
                <w:color w:val="000000"/>
                <w:sz w:val="22"/>
                <w:szCs w:val="22"/>
                <w:highlight w:val="none"/>
                <w:lang w:val="en-US" w:eastAsia="zh-CN" w:bidi="ar"/>
              </w:rPr>
              <w:t>分；</w:t>
            </w:r>
          </w:p>
          <w:p w14:paraId="3F909267">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2、在工程造价限额内，提出能降低工程造价的保证，内容较全面可实施性较合理得</w:t>
            </w:r>
            <w:r>
              <w:rPr>
                <w:rFonts w:hint="eastAsia" w:cs="宋体"/>
                <w:snapToGrid w:val="0"/>
                <w:color w:val="000000"/>
                <w:sz w:val="22"/>
                <w:szCs w:val="22"/>
                <w:highlight w:val="none"/>
                <w:lang w:val="en-US" w:eastAsia="zh-CN" w:bidi="ar"/>
              </w:rPr>
              <w:t>4</w:t>
            </w:r>
            <w:r>
              <w:rPr>
                <w:rFonts w:hint="eastAsia" w:ascii="宋体" w:hAnsi="宋体" w:eastAsia="宋体" w:cs="宋体"/>
                <w:snapToGrid w:val="0"/>
                <w:color w:val="000000"/>
                <w:sz w:val="22"/>
                <w:szCs w:val="22"/>
                <w:highlight w:val="none"/>
                <w:lang w:val="en-US" w:eastAsia="zh-CN" w:bidi="ar"/>
              </w:rPr>
              <w:t>分；</w:t>
            </w:r>
          </w:p>
          <w:p w14:paraId="6B76E24C">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3、在工程造价限额内，提出能降低工程造价的保证，内容一般可实施性</w:t>
            </w:r>
            <w:r>
              <w:rPr>
                <w:rFonts w:hint="eastAsia" w:cs="宋体"/>
                <w:snapToGrid w:val="0"/>
                <w:color w:val="000000"/>
                <w:sz w:val="22"/>
                <w:szCs w:val="22"/>
                <w:highlight w:val="none"/>
                <w:lang w:val="en-US" w:eastAsia="zh-CN" w:bidi="ar"/>
              </w:rPr>
              <w:t>不强</w:t>
            </w:r>
            <w:r>
              <w:rPr>
                <w:rFonts w:hint="eastAsia" w:ascii="宋体" w:hAnsi="宋体" w:eastAsia="宋体" w:cs="宋体"/>
                <w:snapToGrid w:val="0"/>
                <w:color w:val="000000"/>
                <w:sz w:val="22"/>
                <w:szCs w:val="22"/>
                <w:highlight w:val="none"/>
                <w:lang w:val="en-US" w:eastAsia="zh-CN" w:bidi="ar"/>
              </w:rPr>
              <w:t>得1分；</w:t>
            </w:r>
          </w:p>
          <w:p w14:paraId="5AF82B40">
            <w:pPr>
              <w:pStyle w:val="36"/>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注：若缺项，该项为0分。</w:t>
            </w:r>
          </w:p>
        </w:tc>
      </w:tr>
      <w:tr w14:paraId="10DC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15" w:type="dxa"/>
            <w:vMerge w:val="continue"/>
            <w:vAlign w:val="center"/>
          </w:tcPr>
          <w:p w14:paraId="74BE50CC">
            <w:pPr>
              <w:spacing w:line="400" w:lineRule="exact"/>
              <w:ind w:firstLine="28"/>
              <w:jc w:val="center"/>
              <w:rPr>
                <w:color w:val="auto"/>
                <w:szCs w:val="21"/>
              </w:rPr>
            </w:pPr>
          </w:p>
        </w:tc>
        <w:tc>
          <w:tcPr>
            <w:tcW w:w="1230" w:type="dxa"/>
            <w:vMerge w:val="continue"/>
            <w:vAlign w:val="center"/>
          </w:tcPr>
          <w:p w14:paraId="1904D0BA">
            <w:pPr>
              <w:spacing w:line="400" w:lineRule="exact"/>
              <w:ind w:firstLine="28"/>
              <w:jc w:val="center"/>
              <w:rPr>
                <w:rFonts w:hint="eastAsia" w:ascii="宋体" w:hAnsi="宋体" w:eastAsia="宋体" w:cs="宋体"/>
                <w:color w:val="auto"/>
                <w:sz w:val="22"/>
                <w:szCs w:val="22"/>
              </w:rPr>
            </w:pPr>
          </w:p>
        </w:tc>
        <w:tc>
          <w:tcPr>
            <w:tcW w:w="1680" w:type="dxa"/>
            <w:vAlign w:val="center"/>
          </w:tcPr>
          <w:p w14:paraId="136A1C3E">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color w:val="auto"/>
                <w:spacing w:val="-6"/>
                <w:sz w:val="22"/>
                <w:szCs w:val="22"/>
                <w:lang w:val="en-US" w:eastAsia="zh-CN" w:bidi="zh-CN"/>
              </w:rPr>
            </w:pPr>
            <w:r>
              <w:rPr>
                <w:rFonts w:hint="eastAsia" w:ascii="宋体" w:hAnsi="宋体" w:eastAsia="宋体" w:cs="宋体"/>
                <w:snapToGrid w:val="0"/>
                <w:kern w:val="2"/>
                <w:sz w:val="22"/>
                <w:szCs w:val="22"/>
                <w:highlight w:val="none"/>
                <w:lang w:val="en-US" w:eastAsia="zh-CN"/>
              </w:rPr>
              <w:t>重点难点进行分析、合理化建议(</w:t>
            </w:r>
            <w:r>
              <w:rPr>
                <w:rFonts w:hint="eastAsia" w:cs="宋体"/>
                <w:snapToGrid w:val="0"/>
                <w:kern w:val="2"/>
                <w:sz w:val="22"/>
                <w:szCs w:val="22"/>
                <w:highlight w:val="none"/>
                <w:lang w:val="en-US" w:eastAsia="zh-CN"/>
              </w:rPr>
              <w:t>7</w:t>
            </w:r>
            <w:r>
              <w:rPr>
                <w:rFonts w:hint="eastAsia" w:ascii="宋体" w:hAnsi="宋体" w:eastAsia="宋体" w:cs="宋体"/>
                <w:snapToGrid w:val="0"/>
                <w:kern w:val="2"/>
                <w:sz w:val="22"/>
                <w:szCs w:val="22"/>
                <w:highlight w:val="none"/>
                <w:lang w:val="en-US" w:eastAsia="zh-CN"/>
              </w:rPr>
              <w:t>分)</w:t>
            </w:r>
          </w:p>
        </w:tc>
        <w:tc>
          <w:tcPr>
            <w:tcW w:w="5580" w:type="dxa"/>
            <w:vAlign w:val="center"/>
          </w:tcPr>
          <w:p w14:paraId="65F69F5B">
            <w:pPr>
              <w:pageBreakBefore w:val="0"/>
              <w:numPr>
                <w:ilvl w:val="0"/>
                <w:numId w:val="0"/>
              </w:numPr>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bidi="ar-SA"/>
              </w:rPr>
              <w:t>（1）</w:t>
            </w:r>
            <w:r>
              <w:rPr>
                <w:rFonts w:hint="eastAsia" w:ascii="宋体" w:hAnsi="宋体" w:eastAsia="宋体" w:cs="宋体"/>
                <w:snapToGrid w:val="0"/>
                <w:kern w:val="2"/>
                <w:sz w:val="22"/>
                <w:szCs w:val="22"/>
                <w:highlight w:val="none"/>
                <w:lang w:val="en-US" w:eastAsia="zh-CN"/>
              </w:rPr>
              <w:t>重点难点分析；</w:t>
            </w:r>
            <w:r>
              <w:rPr>
                <w:rFonts w:hint="eastAsia" w:ascii="宋体" w:hAnsi="宋体" w:eastAsia="宋体"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rPr>
              <w:t>应对措施；</w:t>
            </w:r>
            <w:r>
              <w:rPr>
                <w:rFonts w:hint="eastAsia" w:ascii="宋体" w:hAnsi="宋体" w:eastAsia="宋体" w:cs="宋体"/>
                <w:snapToGrid w:val="0"/>
                <w:kern w:val="2"/>
                <w:sz w:val="22"/>
                <w:szCs w:val="22"/>
                <w:highlight w:val="none"/>
                <w:lang w:val="en-US" w:eastAsia="zh-CN" w:bidi="ar-SA"/>
              </w:rPr>
              <w:t>（3）</w:t>
            </w:r>
            <w:r>
              <w:rPr>
                <w:rFonts w:hint="eastAsia" w:ascii="宋体" w:hAnsi="宋体" w:eastAsia="宋体" w:cs="宋体"/>
                <w:snapToGrid w:val="0"/>
                <w:kern w:val="2"/>
                <w:sz w:val="22"/>
                <w:szCs w:val="22"/>
                <w:highlight w:val="none"/>
                <w:lang w:val="en-US" w:eastAsia="zh-CN"/>
              </w:rPr>
              <w:t>相关的合理化建议。</w:t>
            </w:r>
          </w:p>
          <w:p w14:paraId="0A8B64D6">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1.以上方案的三点内容全面具体、针对性强、可操作性强，得</w:t>
            </w:r>
            <w:r>
              <w:rPr>
                <w:rFonts w:hint="eastAsia" w:cs="宋体"/>
                <w:snapToGrid w:val="0"/>
                <w:kern w:val="2"/>
                <w:sz w:val="22"/>
                <w:szCs w:val="22"/>
                <w:highlight w:val="none"/>
                <w:lang w:val="en-US" w:eastAsia="zh-CN"/>
              </w:rPr>
              <w:t>7</w:t>
            </w:r>
            <w:r>
              <w:rPr>
                <w:rFonts w:hint="eastAsia" w:ascii="宋体" w:hAnsi="宋体" w:eastAsia="宋体" w:cs="宋体"/>
                <w:snapToGrid w:val="0"/>
                <w:kern w:val="2"/>
                <w:sz w:val="22"/>
                <w:szCs w:val="22"/>
                <w:highlight w:val="none"/>
                <w:lang w:val="en-US" w:eastAsia="zh-CN"/>
              </w:rPr>
              <w:t>分；</w:t>
            </w:r>
          </w:p>
          <w:p w14:paraId="4AA6294E">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2.以上方案的三点内容较全面、针对性较强、可操作性较强，得</w:t>
            </w:r>
            <w:r>
              <w:rPr>
                <w:rFonts w:hint="eastAsia" w:cs="宋体"/>
                <w:snapToGrid w:val="0"/>
                <w:kern w:val="2"/>
                <w:sz w:val="22"/>
                <w:szCs w:val="22"/>
                <w:highlight w:val="none"/>
                <w:lang w:val="en-US" w:eastAsia="zh-CN"/>
              </w:rPr>
              <w:t>4</w:t>
            </w:r>
            <w:r>
              <w:rPr>
                <w:rFonts w:hint="eastAsia" w:ascii="宋体" w:hAnsi="宋体" w:eastAsia="宋体" w:cs="宋体"/>
                <w:snapToGrid w:val="0"/>
                <w:kern w:val="2"/>
                <w:sz w:val="22"/>
                <w:szCs w:val="22"/>
                <w:highlight w:val="none"/>
                <w:lang w:val="en-US" w:eastAsia="zh-CN"/>
              </w:rPr>
              <w:t>分；</w:t>
            </w:r>
          </w:p>
          <w:p w14:paraId="1D28851A">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3.以上方案的三点内容完整性、针对性、可操作性均</w:t>
            </w:r>
            <w:r>
              <w:rPr>
                <w:rFonts w:hint="eastAsia" w:cs="宋体"/>
                <w:snapToGrid w:val="0"/>
                <w:kern w:val="2"/>
                <w:sz w:val="22"/>
                <w:szCs w:val="22"/>
                <w:highlight w:val="none"/>
                <w:lang w:val="en-US" w:eastAsia="zh-CN"/>
              </w:rPr>
              <w:t>不强</w:t>
            </w:r>
            <w:r>
              <w:rPr>
                <w:rFonts w:hint="eastAsia" w:ascii="宋体" w:hAnsi="宋体" w:eastAsia="宋体" w:cs="宋体"/>
                <w:snapToGrid w:val="0"/>
                <w:kern w:val="2"/>
                <w:sz w:val="22"/>
                <w:szCs w:val="22"/>
                <w:highlight w:val="none"/>
                <w:lang w:val="en-US" w:eastAsia="zh-CN"/>
              </w:rPr>
              <w:t>，得</w:t>
            </w:r>
            <w:r>
              <w:rPr>
                <w:rFonts w:hint="eastAsia" w:cs="宋体"/>
                <w:snapToGrid w:val="0"/>
                <w:kern w:val="2"/>
                <w:sz w:val="22"/>
                <w:szCs w:val="22"/>
                <w:highlight w:val="none"/>
                <w:lang w:val="en-US" w:eastAsia="zh-CN"/>
              </w:rPr>
              <w:t>1</w:t>
            </w:r>
            <w:r>
              <w:rPr>
                <w:rFonts w:hint="eastAsia" w:ascii="宋体" w:hAnsi="宋体" w:eastAsia="宋体" w:cs="宋体"/>
                <w:snapToGrid w:val="0"/>
                <w:kern w:val="2"/>
                <w:sz w:val="22"/>
                <w:szCs w:val="22"/>
                <w:highlight w:val="none"/>
                <w:lang w:val="en-US" w:eastAsia="zh-CN"/>
              </w:rPr>
              <w:t>分。</w:t>
            </w:r>
          </w:p>
          <w:p w14:paraId="41EF238A">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b w:val="0"/>
                <w:bCs w:val="0"/>
                <w:color w:val="auto"/>
                <w:spacing w:val="-6"/>
                <w:sz w:val="22"/>
                <w:szCs w:val="22"/>
                <w:lang w:val="en-US" w:eastAsia="zh-CN" w:bidi="zh-CN"/>
              </w:rPr>
            </w:pPr>
            <w:r>
              <w:rPr>
                <w:rFonts w:hint="eastAsia" w:ascii="宋体" w:hAnsi="宋体" w:eastAsia="宋体" w:cs="宋体"/>
                <w:snapToGrid w:val="0"/>
                <w:kern w:val="2"/>
                <w:sz w:val="22"/>
                <w:szCs w:val="22"/>
                <w:highlight w:val="none"/>
                <w:lang w:val="en-US" w:eastAsia="zh-CN"/>
              </w:rPr>
              <w:t>4.未提供方案得0分。</w:t>
            </w:r>
          </w:p>
        </w:tc>
      </w:tr>
      <w:tr w14:paraId="17D1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15" w:type="dxa"/>
            <w:vMerge w:val="restart"/>
            <w:vAlign w:val="center"/>
          </w:tcPr>
          <w:p w14:paraId="3BB613ED">
            <w:pPr>
              <w:spacing w:line="400" w:lineRule="exact"/>
              <w:ind w:firstLine="28"/>
              <w:jc w:val="center"/>
              <w:rPr>
                <w:color w:val="auto"/>
                <w:szCs w:val="21"/>
                <w:lang w:val="en-US"/>
              </w:rPr>
            </w:pPr>
            <w:r>
              <w:rPr>
                <w:rFonts w:hint="eastAsia"/>
                <w:color w:val="auto"/>
                <w:szCs w:val="21"/>
                <w:lang w:val="en-US"/>
              </w:rPr>
              <w:t>2.2.4</w:t>
            </w:r>
          </w:p>
        </w:tc>
        <w:tc>
          <w:tcPr>
            <w:tcW w:w="1230" w:type="dxa"/>
            <w:vMerge w:val="restart"/>
            <w:vAlign w:val="center"/>
          </w:tcPr>
          <w:p w14:paraId="78F9033C">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商务标（</w:t>
            </w:r>
            <w:r>
              <w:rPr>
                <w:rFonts w:hint="eastAsia" w:cs="宋体"/>
                <w:color w:val="auto"/>
                <w:sz w:val="22"/>
                <w:szCs w:val="22"/>
                <w:lang w:val="en-US" w:eastAsia="zh-CN"/>
              </w:rPr>
              <w:t>20</w:t>
            </w:r>
            <w:r>
              <w:rPr>
                <w:rFonts w:hint="eastAsia" w:ascii="宋体" w:hAnsi="宋体" w:eastAsia="宋体" w:cs="宋体"/>
                <w:color w:val="auto"/>
                <w:sz w:val="22"/>
                <w:szCs w:val="22"/>
                <w:lang w:val="en-US"/>
              </w:rPr>
              <w:t>分</w:t>
            </w:r>
            <w:r>
              <w:rPr>
                <w:rFonts w:hint="eastAsia" w:ascii="宋体" w:hAnsi="宋体" w:eastAsia="宋体" w:cs="宋体"/>
                <w:color w:val="auto"/>
                <w:sz w:val="22"/>
                <w:szCs w:val="22"/>
              </w:rPr>
              <w:t>）</w:t>
            </w:r>
          </w:p>
        </w:tc>
        <w:tc>
          <w:tcPr>
            <w:tcW w:w="1680" w:type="dxa"/>
            <w:vAlign w:val="center"/>
          </w:tcPr>
          <w:p w14:paraId="3B503E3C">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snapToGrid w:val="0"/>
                <w:kern w:val="2"/>
                <w:sz w:val="22"/>
                <w:szCs w:val="22"/>
                <w:highlight w:val="none"/>
                <w:lang w:val="en-US" w:eastAsia="zh-CN"/>
              </w:rPr>
              <w:t>同类项目业绩(6分)</w:t>
            </w:r>
          </w:p>
        </w:tc>
        <w:tc>
          <w:tcPr>
            <w:tcW w:w="5580" w:type="dxa"/>
            <w:vAlign w:val="center"/>
          </w:tcPr>
          <w:p w14:paraId="3F5557A0">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6"/>
                <w:sz w:val="22"/>
                <w:szCs w:val="22"/>
                <w:highlight w:val="none"/>
                <w:lang w:val="en-US" w:eastAsia="zh-CN"/>
              </w:rPr>
            </w:pPr>
            <w:r>
              <w:rPr>
                <w:rFonts w:hint="eastAsia" w:ascii="宋体" w:hAnsi="宋体" w:eastAsia="宋体" w:cs="宋体"/>
                <w:snapToGrid w:val="0"/>
                <w:kern w:val="2"/>
                <w:sz w:val="22"/>
                <w:szCs w:val="22"/>
                <w:highlight w:val="none"/>
                <w:lang w:val="en-US" w:eastAsia="zh-CN"/>
              </w:rPr>
              <w:t>供应商自2022年1月1日以来（以合同签订时间为准）承担过类似业绩的，提供1个业绩得2分，最高得6分；注：须提供项目合同扫描件</w:t>
            </w:r>
            <w:r>
              <w:rPr>
                <w:rFonts w:hint="eastAsia" w:cs="宋体"/>
                <w:snapToGrid w:val="0"/>
                <w:kern w:val="2"/>
                <w:sz w:val="22"/>
                <w:szCs w:val="22"/>
                <w:highlight w:val="none"/>
                <w:lang w:val="en-US" w:eastAsia="zh-CN"/>
              </w:rPr>
              <w:t>或</w:t>
            </w:r>
            <w:r>
              <w:rPr>
                <w:rFonts w:hint="eastAsia" w:ascii="宋体" w:hAnsi="宋体" w:eastAsia="宋体" w:cs="宋体"/>
                <w:snapToGrid w:val="0"/>
                <w:kern w:val="2"/>
                <w:sz w:val="22"/>
                <w:szCs w:val="22"/>
                <w:highlight w:val="none"/>
                <w:lang w:val="en-US" w:eastAsia="zh-CN"/>
              </w:rPr>
              <w:t>中标通知书并加盖供应商公章。</w:t>
            </w:r>
          </w:p>
        </w:tc>
      </w:tr>
      <w:tr w14:paraId="1315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15" w:type="dxa"/>
            <w:vMerge w:val="continue"/>
            <w:vAlign w:val="center"/>
          </w:tcPr>
          <w:p w14:paraId="3C716B8A">
            <w:pPr>
              <w:spacing w:line="400" w:lineRule="exact"/>
              <w:ind w:firstLine="28"/>
              <w:jc w:val="center"/>
              <w:rPr>
                <w:rFonts w:hint="eastAsia"/>
                <w:color w:val="auto"/>
                <w:szCs w:val="21"/>
                <w:lang w:val="en-US"/>
              </w:rPr>
            </w:pPr>
          </w:p>
        </w:tc>
        <w:tc>
          <w:tcPr>
            <w:tcW w:w="1230" w:type="dxa"/>
            <w:vMerge w:val="continue"/>
            <w:vAlign w:val="center"/>
          </w:tcPr>
          <w:p w14:paraId="1451E425">
            <w:pPr>
              <w:spacing w:line="400" w:lineRule="exact"/>
              <w:jc w:val="center"/>
              <w:rPr>
                <w:rFonts w:hint="eastAsia" w:ascii="宋体" w:hAnsi="宋体" w:eastAsia="宋体" w:cs="宋体"/>
                <w:color w:val="auto"/>
                <w:sz w:val="22"/>
                <w:szCs w:val="22"/>
              </w:rPr>
            </w:pPr>
          </w:p>
        </w:tc>
        <w:tc>
          <w:tcPr>
            <w:tcW w:w="1680" w:type="dxa"/>
            <w:vAlign w:val="center"/>
          </w:tcPr>
          <w:p w14:paraId="2DF896C5">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项目</w:t>
            </w:r>
            <w:r>
              <w:rPr>
                <w:rFonts w:hint="eastAsia" w:cs="宋体"/>
                <w:snapToGrid w:val="0"/>
                <w:kern w:val="2"/>
                <w:sz w:val="22"/>
                <w:szCs w:val="22"/>
                <w:highlight w:val="none"/>
                <w:lang w:val="en-US" w:eastAsia="zh-CN"/>
              </w:rPr>
              <w:t>负责人业绩</w:t>
            </w:r>
            <w:r>
              <w:rPr>
                <w:rFonts w:hint="eastAsia" w:ascii="宋体" w:hAnsi="宋体" w:eastAsia="宋体" w:cs="宋体"/>
                <w:snapToGrid w:val="0"/>
                <w:kern w:val="2"/>
                <w:sz w:val="22"/>
                <w:szCs w:val="22"/>
                <w:highlight w:val="none"/>
                <w:lang w:val="en-US" w:eastAsia="zh-CN"/>
              </w:rPr>
              <w:t>（</w:t>
            </w:r>
            <w:r>
              <w:rPr>
                <w:rFonts w:hint="eastAsia" w:cs="宋体"/>
                <w:snapToGrid w:val="0"/>
                <w:kern w:val="2"/>
                <w:sz w:val="22"/>
                <w:szCs w:val="22"/>
                <w:highlight w:val="none"/>
                <w:lang w:val="en-US" w:eastAsia="zh-CN"/>
              </w:rPr>
              <w:t>2</w:t>
            </w:r>
            <w:r>
              <w:rPr>
                <w:rFonts w:hint="eastAsia" w:ascii="宋体" w:hAnsi="宋体" w:eastAsia="宋体" w:cs="宋体"/>
                <w:snapToGrid w:val="0"/>
                <w:kern w:val="2"/>
                <w:sz w:val="22"/>
                <w:szCs w:val="22"/>
                <w:highlight w:val="none"/>
                <w:lang w:val="en-US" w:eastAsia="zh-CN"/>
              </w:rPr>
              <w:t>分）</w:t>
            </w:r>
          </w:p>
        </w:tc>
        <w:tc>
          <w:tcPr>
            <w:tcW w:w="5580" w:type="dxa"/>
            <w:vAlign w:val="center"/>
          </w:tcPr>
          <w:p w14:paraId="32114F39">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项目负责人自2022年1月1日以来具有类似设计业绩的得</w:t>
            </w:r>
            <w:r>
              <w:rPr>
                <w:rFonts w:hint="eastAsia" w:cs="宋体"/>
                <w:snapToGrid w:val="0"/>
                <w:kern w:val="2"/>
                <w:sz w:val="22"/>
                <w:szCs w:val="22"/>
                <w:highlight w:val="none"/>
                <w:lang w:val="en-US" w:eastAsia="zh-CN"/>
              </w:rPr>
              <w:t>2分</w:t>
            </w:r>
            <w:r>
              <w:rPr>
                <w:rFonts w:hint="eastAsia" w:ascii="宋体" w:hAnsi="宋体" w:eastAsia="宋体" w:cs="宋体"/>
                <w:snapToGrid w:val="0"/>
                <w:kern w:val="2"/>
                <w:sz w:val="22"/>
                <w:szCs w:val="22"/>
                <w:highlight w:val="none"/>
                <w:lang w:val="en-US" w:eastAsia="zh-CN"/>
              </w:rPr>
              <w:t>，没有不得分。</w:t>
            </w:r>
          </w:p>
          <w:p w14:paraId="31C1C7DE">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注：以合同签订时间为准。响应文件中应附业绩或中标通知书扫描件并加盖单位公章，中标通知书或合同上应体现项目负责人名字；否则不得分。供应商业绩和项目负责人业绩不重复计分。</w:t>
            </w:r>
          </w:p>
        </w:tc>
      </w:tr>
      <w:tr w14:paraId="0C4F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915" w:type="dxa"/>
            <w:vMerge w:val="continue"/>
            <w:vAlign w:val="center"/>
          </w:tcPr>
          <w:p w14:paraId="4CF8FD95">
            <w:pPr>
              <w:spacing w:line="400" w:lineRule="exact"/>
              <w:ind w:firstLine="28"/>
              <w:jc w:val="center"/>
              <w:rPr>
                <w:color w:val="auto"/>
                <w:szCs w:val="21"/>
              </w:rPr>
            </w:pPr>
          </w:p>
        </w:tc>
        <w:tc>
          <w:tcPr>
            <w:tcW w:w="1230" w:type="dxa"/>
            <w:vMerge w:val="continue"/>
            <w:vAlign w:val="center"/>
          </w:tcPr>
          <w:p w14:paraId="28E6B8FD">
            <w:pPr>
              <w:spacing w:line="400" w:lineRule="exact"/>
              <w:ind w:firstLine="28"/>
              <w:jc w:val="center"/>
              <w:rPr>
                <w:rFonts w:hint="eastAsia" w:ascii="宋体" w:hAnsi="宋体" w:eastAsia="宋体" w:cs="宋体"/>
                <w:color w:val="auto"/>
                <w:sz w:val="22"/>
                <w:szCs w:val="22"/>
              </w:rPr>
            </w:pPr>
          </w:p>
        </w:tc>
        <w:tc>
          <w:tcPr>
            <w:tcW w:w="1680" w:type="dxa"/>
            <w:tcBorders>
              <w:top w:val="single" w:color="auto" w:sz="4" w:space="0"/>
              <w:left w:val="single" w:color="auto" w:sz="4" w:space="0"/>
              <w:bottom w:val="single" w:color="auto" w:sz="4" w:space="0"/>
              <w:right w:val="single" w:color="auto" w:sz="4" w:space="0"/>
            </w:tcBorders>
            <w:vAlign w:val="center"/>
          </w:tcPr>
          <w:p w14:paraId="398C193E">
            <w:pPr>
              <w:pStyle w:val="36"/>
              <w:pageBreakBefore w:val="0"/>
              <w:kinsoku/>
              <w:wordWrap/>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项目实施期间服务承诺</w:t>
            </w:r>
          </w:p>
          <w:p w14:paraId="5CB275E8">
            <w:pPr>
              <w:pStyle w:val="36"/>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6</w:t>
            </w:r>
            <w:r>
              <w:rPr>
                <w:rFonts w:hint="eastAsia" w:ascii="宋体" w:hAnsi="宋体" w:eastAsia="宋体" w:cs="宋体"/>
                <w:snapToGrid w:val="0"/>
                <w:kern w:val="2"/>
                <w:sz w:val="22"/>
                <w:szCs w:val="22"/>
                <w:highlight w:val="none"/>
                <w:lang w:val="en-US" w:eastAsia="zh-CN" w:bidi="ar-SA"/>
              </w:rPr>
              <w:t>分）</w:t>
            </w:r>
          </w:p>
        </w:tc>
        <w:tc>
          <w:tcPr>
            <w:tcW w:w="5580" w:type="dxa"/>
            <w:tcBorders>
              <w:top w:val="single" w:color="auto" w:sz="4" w:space="0"/>
              <w:left w:val="single" w:color="auto" w:sz="4" w:space="0"/>
              <w:bottom w:val="single" w:color="auto" w:sz="4" w:space="0"/>
              <w:right w:val="single" w:color="auto" w:sz="4" w:space="0"/>
            </w:tcBorders>
            <w:vAlign w:val="center"/>
          </w:tcPr>
          <w:p w14:paraId="390E63FC">
            <w:pPr>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满足采购人要求，并对项目进行所需承诺；</w:t>
            </w:r>
          </w:p>
          <w:p w14:paraId="7F53BC63">
            <w:pPr>
              <w:pageBreakBefore w:val="0"/>
              <w:kinsoku/>
              <w:overflowPunct/>
              <w:topLinePunct w:val="0"/>
              <w:bidi w:val="0"/>
              <w:adjustRightInd w:val="0"/>
              <w:snapToGrid w:val="0"/>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1、服务过程中与相关各方的配合、沟通措施，确保规划方案（设计方案）审批通过的保证措施。（</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p w14:paraId="5A2EC63A">
            <w:pPr>
              <w:pageBreakBefore w:val="0"/>
              <w:kinsoku/>
              <w:overflowPunct/>
              <w:topLinePunct w:val="0"/>
              <w:bidi w:val="0"/>
              <w:adjustRightInd w:val="0"/>
              <w:snapToGrid w:val="0"/>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2、服务承诺</w:t>
            </w:r>
            <w:r>
              <w:rPr>
                <w:rFonts w:hint="eastAsia" w:ascii="宋体" w:hAnsi="宋体" w:eastAsia="宋体" w:cs="宋体"/>
                <w:snapToGrid w:val="0"/>
                <w:kern w:val="2"/>
                <w:sz w:val="22"/>
                <w:szCs w:val="22"/>
                <w:highlight w:val="none"/>
                <w:lang w:val="zh-CN" w:eastAsia="zh-CN" w:bidi="ar-SA"/>
              </w:rPr>
              <w:t>内容详实，科学、合理，考虑周全，措施到位，针对性强，完全能够满足项目的需要</w:t>
            </w: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p w14:paraId="08ABBBF5">
            <w:pPr>
              <w:pageBreakBefore w:val="0"/>
              <w:numPr>
                <w:ilvl w:val="0"/>
                <w:numId w:val="0"/>
              </w:numPr>
              <w:kinsoku/>
              <w:wordWrap/>
              <w:overflowPunct/>
              <w:topLinePunct w:val="0"/>
              <w:bidi w:val="0"/>
              <w:adjustRightInd w:val="0"/>
              <w:snapToGrid w:val="0"/>
              <w:spacing w:beforeAutospacing="0" w:afterAutospacing="0" w:line="360" w:lineRule="auto"/>
              <w:ind w:left="-2" w:leftChars="-1" w:right="0" w:rightChars="0" w:firstLine="0" w:firstLineChars="0"/>
              <w:jc w:val="both"/>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3、对本项目及采购人的合理化建议、增值服务优惠及其他实质性的优惠。（</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tc>
      </w:tr>
      <w:tr w14:paraId="5BF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0" w:hRule="atLeast"/>
        </w:trPr>
        <w:tc>
          <w:tcPr>
            <w:tcW w:w="915" w:type="dxa"/>
            <w:vMerge w:val="continue"/>
            <w:vAlign w:val="center"/>
          </w:tcPr>
          <w:p w14:paraId="159D11C0">
            <w:pPr>
              <w:spacing w:line="400" w:lineRule="exact"/>
              <w:ind w:firstLine="28"/>
              <w:jc w:val="center"/>
              <w:rPr>
                <w:color w:val="auto"/>
                <w:szCs w:val="21"/>
              </w:rPr>
            </w:pPr>
          </w:p>
        </w:tc>
        <w:tc>
          <w:tcPr>
            <w:tcW w:w="1230" w:type="dxa"/>
            <w:vMerge w:val="continue"/>
            <w:vAlign w:val="center"/>
          </w:tcPr>
          <w:p w14:paraId="36ECFD2E">
            <w:pPr>
              <w:spacing w:line="400" w:lineRule="exact"/>
              <w:ind w:firstLine="28"/>
              <w:jc w:val="center"/>
              <w:rPr>
                <w:rFonts w:hint="eastAsia" w:ascii="宋体" w:hAnsi="宋体" w:eastAsia="宋体" w:cs="宋体"/>
                <w:color w:val="auto"/>
                <w:sz w:val="22"/>
                <w:szCs w:val="22"/>
              </w:rPr>
            </w:pPr>
          </w:p>
        </w:tc>
        <w:tc>
          <w:tcPr>
            <w:tcW w:w="1680" w:type="dxa"/>
            <w:tcBorders>
              <w:top w:val="single" w:color="auto" w:sz="4" w:space="0"/>
              <w:left w:val="single" w:color="auto" w:sz="4" w:space="0"/>
              <w:bottom w:val="single" w:color="auto" w:sz="4" w:space="0"/>
              <w:right w:val="single" w:color="auto" w:sz="4" w:space="0"/>
            </w:tcBorders>
            <w:vAlign w:val="center"/>
          </w:tcPr>
          <w:p w14:paraId="672BC3F4">
            <w:pPr>
              <w:pStyle w:val="36"/>
              <w:pageBreakBefore w:val="0"/>
              <w:kinsoku/>
              <w:wordWrap/>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后期服务承诺</w:t>
            </w:r>
          </w:p>
          <w:p w14:paraId="0E6FBF5F">
            <w:pPr>
              <w:pStyle w:val="36"/>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6</w:t>
            </w:r>
            <w:r>
              <w:rPr>
                <w:rFonts w:hint="eastAsia" w:ascii="宋体" w:hAnsi="宋体" w:eastAsia="宋体" w:cs="宋体"/>
                <w:snapToGrid w:val="0"/>
                <w:kern w:val="2"/>
                <w:sz w:val="22"/>
                <w:szCs w:val="22"/>
                <w:highlight w:val="none"/>
                <w:lang w:val="en-US" w:eastAsia="zh-CN" w:bidi="ar-SA"/>
              </w:rPr>
              <w:t>分）</w:t>
            </w:r>
          </w:p>
        </w:tc>
        <w:tc>
          <w:tcPr>
            <w:tcW w:w="5580" w:type="dxa"/>
            <w:tcBorders>
              <w:top w:val="single" w:color="auto" w:sz="4" w:space="0"/>
              <w:left w:val="single" w:color="auto" w:sz="4" w:space="0"/>
              <w:bottom w:val="single" w:color="auto" w:sz="4" w:space="0"/>
              <w:right w:val="single" w:color="auto" w:sz="4" w:space="0"/>
            </w:tcBorders>
            <w:vAlign w:val="center"/>
          </w:tcPr>
          <w:p w14:paraId="7FA58962">
            <w:pPr>
              <w:spacing w:line="360" w:lineRule="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评审小组根据供应商提供的后期服务方案的完整性、可行性等进行综合评价。</w:t>
            </w:r>
          </w:p>
          <w:p w14:paraId="3ECA2E26">
            <w:pPr>
              <w:spacing w:line="360" w:lineRule="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后期服务方案、包括项目资料的移交验收、项目延续期间的服务承诺较详细，服务经验较丰富，符合采购人实际情况，有很强针对性和可行性，完全满足或优于项目需求，得</w:t>
            </w:r>
            <w:r>
              <w:rPr>
                <w:rFonts w:hint="eastAsia" w:cs="宋体"/>
                <w:snapToGrid w:val="0"/>
                <w:kern w:val="2"/>
                <w:sz w:val="22"/>
                <w:szCs w:val="22"/>
                <w:highlight w:val="none"/>
                <w:lang w:val="en-US" w:eastAsia="zh-CN" w:bidi="ar-SA"/>
              </w:rPr>
              <w:t>6</w:t>
            </w:r>
            <w:r>
              <w:rPr>
                <w:rFonts w:hint="eastAsia" w:ascii="宋体" w:hAnsi="宋体" w:eastAsia="宋体" w:cs="宋体"/>
                <w:snapToGrid w:val="0"/>
                <w:kern w:val="2"/>
                <w:sz w:val="22"/>
                <w:szCs w:val="22"/>
                <w:highlight w:val="none"/>
                <w:lang w:val="en-US" w:eastAsia="zh-CN" w:bidi="ar-SA"/>
              </w:rPr>
              <w:t>分。</w:t>
            </w:r>
          </w:p>
          <w:p w14:paraId="235F637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后期服务方案综合考虑各方面需求比较完整、合理、可行，后期服务方案比较完整、合理，基本满足招标文件要求，得</w:t>
            </w:r>
            <w:r>
              <w:rPr>
                <w:rFonts w:hint="eastAsia" w:cs="宋体"/>
                <w:snapToGrid w:val="0"/>
                <w:kern w:val="2"/>
                <w:sz w:val="22"/>
                <w:szCs w:val="22"/>
                <w:highlight w:val="none"/>
                <w:lang w:val="en-US" w:eastAsia="zh-CN" w:bidi="ar-SA"/>
              </w:rPr>
              <w:t>3</w:t>
            </w:r>
            <w:r>
              <w:rPr>
                <w:rFonts w:hint="eastAsia" w:ascii="宋体" w:hAnsi="宋体" w:eastAsia="宋体" w:cs="宋体"/>
                <w:snapToGrid w:val="0"/>
                <w:kern w:val="2"/>
                <w:sz w:val="22"/>
                <w:szCs w:val="22"/>
                <w:highlight w:val="none"/>
                <w:lang w:val="en-US" w:eastAsia="zh-CN" w:bidi="ar-SA"/>
              </w:rPr>
              <w:t>分。</w:t>
            </w:r>
          </w:p>
          <w:p w14:paraId="2F9AC866">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后期服务方案简单，基本满足招标文件要求，得 1分。缺项得</w:t>
            </w:r>
            <w:r>
              <w:rPr>
                <w:rFonts w:hint="eastAsia" w:cs="宋体"/>
                <w:snapToGrid w:val="0"/>
                <w:kern w:val="2"/>
                <w:sz w:val="22"/>
                <w:szCs w:val="22"/>
                <w:highlight w:val="none"/>
                <w:lang w:val="en-US" w:eastAsia="zh-CN" w:bidi="ar-SA"/>
              </w:rPr>
              <w:t>0</w:t>
            </w:r>
            <w:r>
              <w:rPr>
                <w:rFonts w:hint="eastAsia" w:ascii="宋体" w:hAnsi="宋体" w:eastAsia="宋体" w:cs="宋体"/>
                <w:snapToGrid w:val="0"/>
                <w:kern w:val="2"/>
                <w:sz w:val="22"/>
                <w:szCs w:val="22"/>
                <w:highlight w:val="none"/>
                <w:lang w:val="en-US" w:eastAsia="zh-CN" w:bidi="ar-SA"/>
              </w:rPr>
              <w:t>分。</w:t>
            </w:r>
          </w:p>
        </w:tc>
      </w:tr>
      <w:tr w14:paraId="3BBF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9405" w:type="dxa"/>
            <w:gridSpan w:val="4"/>
            <w:tcBorders>
              <w:top w:val="single" w:color="auto" w:sz="4" w:space="0"/>
              <w:left w:val="single" w:color="auto" w:sz="4" w:space="0"/>
              <w:bottom w:val="single" w:color="auto" w:sz="4" w:space="0"/>
              <w:right w:val="single" w:color="auto" w:sz="4" w:space="0"/>
            </w:tcBorders>
            <w:vAlign w:val="center"/>
          </w:tcPr>
          <w:p w14:paraId="1A1DA2A5">
            <w:pPr>
              <w:spacing w:line="400" w:lineRule="exact"/>
              <w:rPr>
                <w:color w:val="auto"/>
                <w:szCs w:val="21"/>
                <w:lang w:val="en-US"/>
              </w:rPr>
            </w:pPr>
            <w:r>
              <w:rPr>
                <w:rFonts w:hint="eastAsia"/>
                <w:color w:val="auto"/>
                <w:szCs w:val="21"/>
                <w:lang w:val="en-US"/>
              </w:rPr>
              <w:t>供应商综合得分﹦报价得分+技术标＋</w:t>
            </w:r>
            <w:r>
              <w:rPr>
                <w:rFonts w:hint="eastAsia"/>
                <w:color w:val="auto"/>
                <w:szCs w:val="21"/>
                <w:lang w:val="en-US" w:eastAsia="zh-CN"/>
              </w:rPr>
              <w:t>商务</w:t>
            </w:r>
            <w:r>
              <w:rPr>
                <w:rFonts w:hint="eastAsia"/>
                <w:color w:val="auto"/>
                <w:szCs w:val="21"/>
                <w:lang w:val="en-US"/>
              </w:rPr>
              <w:t>标</w:t>
            </w:r>
          </w:p>
          <w:p w14:paraId="0262D3E7">
            <w:pPr>
              <w:spacing w:line="400" w:lineRule="exact"/>
              <w:rPr>
                <w:color w:val="auto"/>
                <w:szCs w:val="21"/>
                <w:lang w:val="en-US"/>
              </w:rPr>
            </w:pPr>
            <w:r>
              <w:rPr>
                <w:rFonts w:hint="eastAsia"/>
                <w:color w:val="auto"/>
                <w:szCs w:val="21"/>
                <w:lang w:val="en-US"/>
              </w:rPr>
              <w:t>1．</w:t>
            </w:r>
            <w:r>
              <w:rPr>
                <w:rFonts w:hint="eastAsia"/>
                <w:color w:val="auto"/>
                <w:szCs w:val="21"/>
                <w:lang w:val="en-US" w:eastAsia="zh-CN"/>
              </w:rPr>
              <w:t>磋商小组</w:t>
            </w:r>
            <w:r>
              <w:rPr>
                <w:rFonts w:hint="eastAsia"/>
                <w:color w:val="auto"/>
                <w:szCs w:val="21"/>
                <w:lang w:val="en-US"/>
              </w:rPr>
              <w:t>对所有评审项得分的算术平均值，作为该供应商的最终得分。</w:t>
            </w:r>
          </w:p>
          <w:p w14:paraId="6A813C99">
            <w:pPr>
              <w:spacing w:line="400" w:lineRule="exact"/>
              <w:rPr>
                <w:color w:val="auto"/>
                <w:szCs w:val="21"/>
                <w:lang w:val="en-US"/>
              </w:rPr>
            </w:pPr>
            <w:r>
              <w:rPr>
                <w:rFonts w:hint="eastAsia"/>
                <w:color w:val="auto"/>
                <w:szCs w:val="21"/>
                <w:lang w:val="en-US"/>
              </w:rPr>
              <w:t>2．计分过程中按四舍五入的法则，取至小数点后3位，最终结果取至小数点后2位，</w:t>
            </w:r>
            <w:r>
              <w:rPr>
                <w:rFonts w:hint="eastAsia"/>
                <w:color w:val="auto"/>
                <w:szCs w:val="21"/>
                <w:lang w:val="en-US" w:eastAsia="zh-CN"/>
              </w:rPr>
              <w:t>磋商小组</w:t>
            </w:r>
            <w:r>
              <w:rPr>
                <w:rFonts w:hint="eastAsia"/>
                <w:color w:val="auto"/>
                <w:szCs w:val="21"/>
                <w:lang w:val="en-US"/>
              </w:rPr>
              <w:t>将按供应商得分高低排序向招标人推荐3名成交候选人。</w:t>
            </w:r>
          </w:p>
        </w:tc>
      </w:tr>
    </w:tbl>
    <w:p w14:paraId="6A1780C1">
      <w:pPr>
        <w:pStyle w:val="37"/>
        <w:ind w:left="0" w:firstLine="482" w:firstLineChars="200"/>
        <w:outlineLvl w:val="0"/>
        <w:rPr>
          <w:rFonts w:ascii="宋体" w:hAnsi="宋体"/>
          <w:color w:val="auto"/>
          <w:sz w:val="24"/>
          <w:szCs w:val="24"/>
        </w:rPr>
      </w:pPr>
      <w:bookmarkStart w:id="190" w:name="_Toc29721_WPSOffice_Level2"/>
      <w:bookmarkStart w:id="191" w:name="_Toc1597"/>
      <w:bookmarkStart w:id="192" w:name="_Toc9678"/>
      <w:r>
        <w:rPr>
          <w:rFonts w:hint="eastAsia" w:ascii="宋体" w:hAnsi="宋体"/>
          <w:color w:val="auto"/>
          <w:sz w:val="24"/>
          <w:szCs w:val="24"/>
        </w:rPr>
        <w:t>1. 评标方法</w:t>
      </w:r>
      <w:bookmarkEnd w:id="188"/>
      <w:bookmarkEnd w:id="190"/>
      <w:bookmarkEnd w:id="191"/>
      <w:bookmarkEnd w:id="192"/>
    </w:p>
    <w:p w14:paraId="46266A6A">
      <w:pPr>
        <w:spacing w:line="400" w:lineRule="exact"/>
        <w:ind w:firstLine="480" w:firstLineChars="200"/>
        <w:rPr>
          <w:color w:val="auto"/>
          <w:sz w:val="24"/>
        </w:rPr>
      </w:pPr>
      <w:r>
        <w:rPr>
          <w:rFonts w:hint="eastAsia"/>
          <w:color w:val="auto"/>
          <w:sz w:val="24"/>
          <w:lang w:bidi="en-US"/>
        </w:rPr>
        <w:t>本次评标采用综合评分法。磋商小组对满足磋商文件实质性要求的响应文件</w:t>
      </w:r>
      <w:r>
        <w:rPr>
          <w:rFonts w:hint="eastAsia"/>
          <w:color w:val="auto"/>
          <w:sz w:val="24"/>
        </w:rPr>
        <w:t>，按照本章规定的评分标准进行打分，并按得分由高到低顺序推荐成交候选人，综合评分相等时，以报价得分高的优先；报价得分也相等的，由采购人自行确定。</w:t>
      </w:r>
    </w:p>
    <w:p w14:paraId="2606D4BC">
      <w:pPr>
        <w:pStyle w:val="37"/>
        <w:ind w:left="0" w:firstLine="482" w:firstLineChars="200"/>
        <w:outlineLvl w:val="0"/>
        <w:rPr>
          <w:rFonts w:ascii="宋体" w:hAnsi="宋体"/>
          <w:color w:val="auto"/>
          <w:sz w:val="24"/>
          <w:szCs w:val="24"/>
        </w:rPr>
      </w:pPr>
      <w:bookmarkStart w:id="193" w:name="_Toc20649"/>
      <w:bookmarkStart w:id="194" w:name="_Toc26640_WPSOffice_Level2"/>
      <w:bookmarkStart w:id="195" w:name="_Toc5817"/>
      <w:bookmarkStart w:id="196" w:name="_Toc318450723"/>
      <w:bookmarkStart w:id="197" w:name="_Toc16578"/>
      <w:bookmarkStart w:id="198" w:name="_Toc24936"/>
      <w:bookmarkStart w:id="199" w:name="_Toc152042378"/>
      <w:bookmarkStart w:id="200" w:name="_Toc144974568"/>
      <w:bookmarkStart w:id="201" w:name="_Toc487498487"/>
      <w:bookmarkStart w:id="202" w:name="_Toc152045601"/>
      <w:bookmarkStart w:id="203" w:name="_Toc455080157"/>
      <w:bookmarkStart w:id="204" w:name="_Toc281405529"/>
      <w:bookmarkStart w:id="205" w:name="_Toc318450725"/>
      <w:bookmarkStart w:id="206" w:name="_Toc152042380"/>
      <w:bookmarkStart w:id="207" w:name="_Toc455080159"/>
      <w:bookmarkStart w:id="208" w:name="_Toc281405531"/>
      <w:bookmarkStart w:id="209" w:name="_Toc30189"/>
      <w:bookmarkStart w:id="210" w:name="_Toc152045603"/>
      <w:bookmarkStart w:id="211" w:name="_Toc22439"/>
      <w:bookmarkStart w:id="212" w:name="_Toc464035560"/>
      <w:bookmarkStart w:id="213" w:name="_Toc463701081"/>
      <w:bookmarkStart w:id="214" w:name="_Toc144974570"/>
      <w:bookmarkStart w:id="215" w:name="_Toc12013"/>
      <w:bookmarkStart w:id="216" w:name="_Toc11061"/>
      <w:bookmarkStart w:id="217" w:name="_Toc25492"/>
      <w:r>
        <w:rPr>
          <w:rFonts w:hint="eastAsia" w:ascii="宋体" w:hAnsi="宋体"/>
          <w:color w:val="auto"/>
          <w:sz w:val="24"/>
          <w:szCs w:val="24"/>
        </w:rPr>
        <w:t>2. 评审标准</w:t>
      </w:r>
      <w:bookmarkEnd w:id="193"/>
      <w:bookmarkEnd w:id="194"/>
      <w:bookmarkEnd w:id="195"/>
      <w:bookmarkEnd w:id="196"/>
      <w:bookmarkEnd w:id="197"/>
      <w:bookmarkEnd w:id="198"/>
      <w:bookmarkEnd w:id="199"/>
      <w:bookmarkEnd w:id="200"/>
      <w:bookmarkEnd w:id="201"/>
      <w:bookmarkEnd w:id="20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p w14:paraId="6F7F4796">
      <w:pPr>
        <w:spacing w:line="400" w:lineRule="exact"/>
        <w:ind w:firstLine="480" w:firstLineChars="200"/>
        <w:rPr>
          <w:rFonts w:hint="eastAsia" w:ascii="宋体" w:hAnsi="宋体" w:eastAsia="宋体" w:cs="宋体"/>
          <w:color w:val="auto"/>
          <w:sz w:val="24"/>
          <w:lang w:bidi="en-US"/>
        </w:rPr>
      </w:pPr>
      <w:bookmarkStart w:id="218" w:name="_Toc30922_WPSOffice_Level3"/>
      <w:bookmarkStart w:id="219" w:name="_Toc15878"/>
      <w:bookmarkStart w:id="220" w:name="_Toc16952"/>
      <w:bookmarkStart w:id="221" w:name="_Toc455080160"/>
      <w:bookmarkStart w:id="222" w:name="_Toc17308"/>
      <w:bookmarkStart w:id="223" w:name="_Toc281405532"/>
      <w:bookmarkStart w:id="224" w:name="_Toc318450726"/>
      <w:r>
        <w:rPr>
          <w:rFonts w:hint="eastAsia" w:ascii="宋体" w:hAnsi="宋体" w:eastAsia="宋体" w:cs="宋体"/>
          <w:color w:val="auto"/>
          <w:sz w:val="24"/>
          <w:lang w:bidi="en-US"/>
        </w:rPr>
        <w:t>2.1 初步评审标准</w:t>
      </w:r>
      <w:bookmarkEnd w:id="218"/>
      <w:bookmarkEnd w:id="219"/>
      <w:bookmarkEnd w:id="220"/>
    </w:p>
    <w:p w14:paraId="597A01F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2.1.1 资格评审标准：由磋商小组审核。</w:t>
      </w:r>
    </w:p>
    <w:p w14:paraId="5DD11D6F">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2.1.2 形式评审标准：由磋商小组审核。</w:t>
      </w:r>
    </w:p>
    <w:p w14:paraId="65B66673">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2.1.3 响应性评审标准：由磋商小组审核。</w:t>
      </w:r>
    </w:p>
    <w:p w14:paraId="13BAF63D">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以上有一项不符合要求的按无效标处理。</w:t>
      </w:r>
    </w:p>
    <w:p w14:paraId="6FFB5ADB">
      <w:pPr>
        <w:spacing w:line="400" w:lineRule="exact"/>
        <w:ind w:firstLine="480" w:firstLineChars="200"/>
        <w:rPr>
          <w:rFonts w:hint="eastAsia" w:ascii="宋体" w:hAnsi="宋体" w:eastAsia="宋体" w:cs="宋体"/>
          <w:color w:val="auto"/>
          <w:sz w:val="24"/>
          <w:lang w:bidi="en-US"/>
        </w:rPr>
      </w:pPr>
      <w:bookmarkStart w:id="225" w:name="_Toc17292_WPSOffice_Level3"/>
      <w:r>
        <w:rPr>
          <w:rFonts w:hint="eastAsia" w:ascii="宋体" w:hAnsi="宋体" w:eastAsia="宋体" w:cs="宋体"/>
          <w:color w:val="auto"/>
          <w:sz w:val="24"/>
          <w:lang w:bidi="en-US"/>
        </w:rPr>
        <w:t>2.2 分值构成与评分标准</w:t>
      </w:r>
      <w:bookmarkEnd w:id="225"/>
    </w:p>
    <w:p w14:paraId="01E1D6A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2.2.1 分值构成</w:t>
      </w:r>
    </w:p>
    <w:p w14:paraId="476D1248">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（1）最后磋商报价：见评标办法前附表</w:t>
      </w:r>
    </w:p>
    <w:p w14:paraId="508967F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（2）技术标：见评标办法前附表</w:t>
      </w:r>
    </w:p>
    <w:p w14:paraId="5A7B91A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（3）商务标：见评标办法前附表</w:t>
      </w:r>
    </w:p>
    <w:p w14:paraId="3B6DB54B">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2.2.2 评分标准</w:t>
      </w:r>
    </w:p>
    <w:p w14:paraId="587875A2">
      <w:pPr>
        <w:spacing w:line="400" w:lineRule="exact"/>
        <w:ind w:firstLine="480" w:firstLineChars="200"/>
        <w:rPr>
          <w:rFonts w:hint="eastAsia" w:ascii="宋体" w:hAnsi="宋体" w:eastAsia="宋体" w:cs="宋体"/>
          <w:color w:val="auto"/>
          <w:sz w:val="24"/>
          <w:lang w:bidi="en-US"/>
        </w:rPr>
      </w:pPr>
      <w:bookmarkStart w:id="226" w:name="_Toc487498488"/>
      <w:bookmarkStart w:id="227" w:name="_Toc25340"/>
      <w:r>
        <w:rPr>
          <w:rFonts w:hint="eastAsia" w:ascii="宋体" w:hAnsi="宋体" w:eastAsia="宋体" w:cs="宋体"/>
          <w:color w:val="auto"/>
          <w:sz w:val="24"/>
          <w:lang w:bidi="en-US"/>
        </w:rPr>
        <w:t>（1）最后磋商报价：见评标办法前附表</w:t>
      </w:r>
    </w:p>
    <w:p w14:paraId="4852EDED">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（2）技术标：见评标办法前附表</w:t>
      </w:r>
    </w:p>
    <w:p w14:paraId="340156C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（3）商务标：见评标办法前附表</w:t>
      </w:r>
    </w:p>
    <w:p w14:paraId="66E74622">
      <w:pPr>
        <w:pStyle w:val="37"/>
        <w:ind w:left="0" w:firstLine="482" w:firstLineChars="200"/>
        <w:outlineLvl w:val="0"/>
        <w:rPr>
          <w:rFonts w:ascii="宋体" w:hAnsi="宋体"/>
          <w:color w:val="auto"/>
          <w:sz w:val="24"/>
          <w:szCs w:val="24"/>
        </w:rPr>
      </w:pPr>
      <w:bookmarkStart w:id="228" w:name="_Toc29132"/>
      <w:bookmarkStart w:id="229" w:name="_Toc14449_WPSOffice_Level2"/>
      <w:bookmarkStart w:id="230" w:name="_Toc15225"/>
      <w:r>
        <w:rPr>
          <w:rFonts w:hint="eastAsia" w:ascii="宋体" w:hAnsi="宋体"/>
          <w:color w:val="auto"/>
          <w:sz w:val="24"/>
          <w:szCs w:val="24"/>
        </w:rPr>
        <w:t>3. 评审程序</w:t>
      </w:r>
      <w:bookmarkEnd w:id="221"/>
      <w:bookmarkEnd w:id="222"/>
      <w:bookmarkEnd w:id="223"/>
      <w:bookmarkEnd w:id="224"/>
      <w:bookmarkEnd w:id="226"/>
      <w:bookmarkEnd w:id="227"/>
      <w:bookmarkEnd w:id="228"/>
      <w:bookmarkEnd w:id="229"/>
      <w:bookmarkEnd w:id="230"/>
    </w:p>
    <w:p w14:paraId="770DCDA7">
      <w:pPr>
        <w:spacing w:line="400" w:lineRule="exact"/>
        <w:ind w:firstLine="480" w:firstLineChars="200"/>
        <w:rPr>
          <w:rFonts w:hint="eastAsia" w:ascii="宋体" w:hAnsi="宋体" w:eastAsia="宋体" w:cs="宋体"/>
          <w:color w:val="auto"/>
          <w:sz w:val="24"/>
          <w:lang w:bidi="en-US"/>
        </w:rPr>
      </w:pPr>
      <w:bookmarkStart w:id="231" w:name="_Toc7272"/>
      <w:bookmarkStart w:id="232" w:name="_Toc455080161"/>
      <w:bookmarkStart w:id="233" w:name="_Toc30986"/>
      <w:bookmarkStart w:id="234" w:name="_Toc318450727"/>
      <w:bookmarkStart w:id="235" w:name="_Toc5427"/>
      <w:bookmarkStart w:id="236" w:name="_Toc18886"/>
      <w:bookmarkStart w:id="237" w:name="_Toc463701083"/>
      <w:bookmarkStart w:id="238" w:name="_Toc29614"/>
      <w:bookmarkStart w:id="239" w:name="_Toc464035562"/>
      <w:bookmarkStart w:id="240" w:name="_Toc14633"/>
      <w:bookmarkStart w:id="241" w:name="_Toc281405533"/>
      <w:bookmarkStart w:id="242" w:name="_Toc11862_WPSOffice_Level3"/>
      <w:r>
        <w:rPr>
          <w:rFonts w:hint="eastAsia" w:ascii="宋体" w:hAnsi="宋体" w:eastAsia="宋体" w:cs="宋体"/>
          <w:color w:val="auto"/>
          <w:sz w:val="24"/>
          <w:lang w:bidi="en-US"/>
        </w:rPr>
        <w:t>3.1 初步评审</w:t>
      </w:r>
      <w:bookmarkEnd w:id="231"/>
      <w:bookmarkEnd w:id="232"/>
      <w:bookmarkEnd w:id="233"/>
      <w:bookmarkEnd w:id="234"/>
      <w:bookmarkEnd w:id="235"/>
      <w:bookmarkEnd w:id="236"/>
      <w:bookmarkEnd w:id="237"/>
      <w:bookmarkEnd w:id="238"/>
      <w:bookmarkEnd w:id="239"/>
      <w:bookmarkEnd w:id="240"/>
      <w:bookmarkEnd w:id="241"/>
      <w:bookmarkEnd w:id="242"/>
    </w:p>
    <w:p w14:paraId="5268B6FC">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3.1.1 磋商小组依据本章第2.1款规定的标准对响应文件进行初步评审。有一项不符合评审标准的，作废标处理。</w:t>
      </w:r>
    </w:p>
    <w:p w14:paraId="5F301D45">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3.1.2 供应商有以下情形之一的，其投标作废标处理：</w:t>
      </w:r>
    </w:p>
    <w:p w14:paraId="01C46112">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（1）串通投标或弄虚作假或有其他违法行为的；</w:t>
      </w:r>
    </w:p>
    <w:p w14:paraId="354D1EF9">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2</w:t>
      </w:r>
      <w:r>
        <w:rPr>
          <w:rFonts w:hint="eastAsia" w:ascii="宋体" w:hAnsi="宋体" w:eastAsia="宋体" w:cs="宋体"/>
          <w:color w:val="auto"/>
          <w:sz w:val="24"/>
          <w:lang w:bidi="en-US"/>
        </w:rPr>
        <w:t>）不按磋商小组要求澄清、说明或补正的；</w:t>
      </w:r>
    </w:p>
    <w:p w14:paraId="53184F67">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3</w:t>
      </w:r>
      <w:r>
        <w:rPr>
          <w:rFonts w:hint="eastAsia" w:ascii="宋体" w:hAnsi="宋体" w:eastAsia="宋体" w:cs="宋体"/>
          <w:color w:val="auto"/>
          <w:sz w:val="24"/>
          <w:lang w:bidi="en-US"/>
        </w:rPr>
        <w:t>）未按规定格式填写、内容不全或关键字迹模糊、无法辨认的；</w:t>
      </w:r>
    </w:p>
    <w:p w14:paraId="218739F3">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4</w:t>
      </w:r>
      <w:r>
        <w:rPr>
          <w:rFonts w:hint="eastAsia" w:ascii="宋体" w:hAnsi="宋体" w:eastAsia="宋体" w:cs="宋体"/>
          <w:color w:val="auto"/>
          <w:sz w:val="24"/>
          <w:lang w:bidi="en-US"/>
        </w:rPr>
        <w:t>）响应文件附有采购人不能接受的条件；</w:t>
      </w:r>
    </w:p>
    <w:p w14:paraId="7AA2156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5</w:t>
      </w:r>
      <w:r>
        <w:rPr>
          <w:rFonts w:hint="eastAsia" w:ascii="宋体" w:hAnsi="宋体" w:eastAsia="宋体" w:cs="宋体"/>
          <w:color w:val="auto"/>
          <w:sz w:val="24"/>
          <w:lang w:bidi="en-US"/>
        </w:rPr>
        <w:t>）不符合磋商文件规定的其他实质性要求。</w:t>
      </w:r>
    </w:p>
    <w:p w14:paraId="69049E16">
      <w:pPr>
        <w:spacing w:line="400" w:lineRule="exact"/>
        <w:ind w:firstLine="480" w:firstLineChars="200"/>
        <w:rPr>
          <w:rFonts w:hint="eastAsia" w:ascii="宋体" w:hAnsi="宋体" w:eastAsia="宋体" w:cs="宋体"/>
          <w:color w:val="auto"/>
          <w:sz w:val="24"/>
          <w:lang w:bidi="en-US"/>
        </w:rPr>
      </w:pPr>
      <w:bookmarkStart w:id="243" w:name="_Toc318450728"/>
      <w:bookmarkStart w:id="244" w:name="_Toc26049"/>
      <w:bookmarkStart w:id="245" w:name="_Toc21032"/>
      <w:bookmarkStart w:id="246" w:name="_Toc12406"/>
      <w:bookmarkStart w:id="247" w:name="_Toc7121"/>
      <w:bookmarkStart w:id="248" w:name="_Toc464035563"/>
      <w:bookmarkStart w:id="249" w:name="_Toc455080162"/>
      <w:bookmarkStart w:id="250" w:name="_Toc21570"/>
      <w:bookmarkStart w:id="251" w:name="_Toc463701084"/>
      <w:bookmarkStart w:id="252" w:name="_Toc281405534"/>
      <w:bookmarkStart w:id="253" w:name="_Toc10295_WPSOffice_Level3"/>
      <w:bookmarkStart w:id="254" w:name="_Toc10692"/>
      <w:r>
        <w:rPr>
          <w:rFonts w:hint="eastAsia" w:ascii="宋体" w:hAnsi="宋体" w:eastAsia="宋体" w:cs="宋体"/>
          <w:color w:val="auto"/>
          <w:sz w:val="24"/>
          <w:lang w:bidi="en-US"/>
        </w:rPr>
        <w:t>3.2 详细评审</w:t>
      </w:r>
      <w:bookmarkEnd w:id="243"/>
      <w:bookmarkEnd w:id="244"/>
      <w:bookmarkEnd w:id="245"/>
      <w:bookmarkEnd w:id="246"/>
      <w:bookmarkEnd w:id="247"/>
      <w:bookmarkEnd w:id="248"/>
      <w:bookmarkEnd w:id="249"/>
      <w:bookmarkEnd w:id="250"/>
      <w:bookmarkEnd w:id="251"/>
      <w:bookmarkEnd w:id="252"/>
      <w:bookmarkEnd w:id="253"/>
      <w:bookmarkEnd w:id="254"/>
    </w:p>
    <w:p w14:paraId="79E044A8">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3.2.1 磋商小组邀请通过初步评审的供应商进行磋商报价，磋商报价为供应商最终有效报价。</w:t>
      </w:r>
    </w:p>
    <w:p w14:paraId="5033D5C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val="en-US" w:bidi="en-US"/>
        </w:rPr>
        <w:t>3.2.2磋商小组</w:t>
      </w:r>
      <w:r>
        <w:rPr>
          <w:rFonts w:hint="eastAsia" w:ascii="宋体" w:hAnsi="宋体" w:eastAsia="宋体" w:cs="宋体"/>
          <w:color w:val="auto"/>
          <w:sz w:val="24"/>
          <w:lang w:bidi="en-US"/>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lang w:val="en-US" w:bidi="en-US"/>
        </w:rPr>
        <w:t>磋商小组</w:t>
      </w:r>
      <w:r>
        <w:rPr>
          <w:rFonts w:hint="eastAsia" w:ascii="宋体" w:hAnsi="宋体" w:eastAsia="宋体" w:cs="宋体"/>
          <w:color w:val="auto"/>
          <w:sz w:val="24"/>
          <w:lang w:bidi="en-US"/>
        </w:rPr>
        <w:t>应当将其作为无效投标处理。</w:t>
      </w:r>
    </w:p>
    <w:p w14:paraId="5372005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3</w:t>
      </w:r>
      <w:r>
        <w:rPr>
          <w:rFonts w:hint="eastAsia" w:ascii="宋体" w:hAnsi="宋体" w:eastAsia="宋体" w:cs="宋体"/>
          <w:color w:val="auto"/>
          <w:sz w:val="24"/>
          <w:lang w:bidi="en-US"/>
        </w:rPr>
        <w:t>磋商小组按本章第2.2款规定的量化因素和分值进行打分，并计算出综合评分得分。</w:t>
      </w:r>
    </w:p>
    <w:p w14:paraId="34B2A193">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4</w:t>
      </w:r>
      <w:r>
        <w:rPr>
          <w:rFonts w:hint="eastAsia" w:ascii="宋体" w:hAnsi="宋体" w:eastAsia="宋体" w:cs="宋体"/>
          <w:color w:val="auto"/>
          <w:sz w:val="24"/>
          <w:lang w:bidi="en-US"/>
        </w:rPr>
        <w:t>评分分值计算保留小数点后两位，小数点后第三位“四舍五入”。</w:t>
      </w:r>
    </w:p>
    <w:p w14:paraId="25947C65">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5</w:t>
      </w:r>
      <w:r>
        <w:rPr>
          <w:rFonts w:hint="eastAsia" w:ascii="宋体" w:hAnsi="宋体" w:eastAsia="宋体" w:cs="宋体"/>
          <w:color w:val="auto"/>
          <w:sz w:val="24"/>
          <w:lang w:bidi="en-US"/>
        </w:rPr>
        <w:t>供应商的最终得分以全部小组成员打分的算术平均值为准，作为该供应商的最终得分。</w:t>
      </w:r>
    </w:p>
    <w:p w14:paraId="33090F48">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6</w:t>
      </w:r>
      <w:r>
        <w:rPr>
          <w:rFonts w:hint="eastAsia" w:ascii="宋体" w:hAnsi="宋体" w:eastAsia="宋体" w:cs="宋体"/>
          <w:color w:val="auto"/>
          <w:sz w:val="24"/>
          <w:lang w:bidi="en-US"/>
        </w:rPr>
        <w:t>在磋商过程中，凡遇到磋商文件中无界定或界定不清、前后不一致使磋商小组意见有分歧且又难以协商一致的问题，均由磋商小组予以表决，获半数以上同意的即为通过，未获半数同意的即为否决。</w:t>
      </w:r>
    </w:p>
    <w:p w14:paraId="509FE08A">
      <w:pPr>
        <w:spacing w:line="400" w:lineRule="exact"/>
        <w:ind w:firstLine="480" w:firstLineChars="200"/>
        <w:rPr>
          <w:rFonts w:hint="eastAsia" w:ascii="宋体" w:hAnsi="宋体" w:eastAsia="宋体" w:cs="宋体"/>
          <w:color w:val="auto"/>
          <w:sz w:val="24"/>
          <w:lang w:bidi="en-US"/>
        </w:rPr>
      </w:pPr>
      <w:bookmarkStart w:id="255" w:name="_Toc463701085"/>
      <w:bookmarkStart w:id="256" w:name="_Toc464035564"/>
      <w:bookmarkStart w:id="257" w:name="_Toc8342"/>
      <w:bookmarkStart w:id="258" w:name="_Toc11958"/>
      <w:bookmarkStart w:id="259" w:name="_Toc318450729"/>
      <w:bookmarkStart w:id="260" w:name="_Toc8813"/>
      <w:bookmarkStart w:id="261" w:name="_Toc31110_WPSOffice_Level3"/>
      <w:bookmarkStart w:id="262" w:name="_Toc281405535"/>
      <w:bookmarkStart w:id="263" w:name="_Toc24862"/>
      <w:bookmarkStart w:id="264" w:name="_Toc10153"/>
      <w:bookmarkStart w:id="265" w:name="_Toc28633"/>
      <w:bookmarkStart w:id="266" w:name="_Toc455080163"/>
      <w:r>
        <w:rPr>
          <w:rFonts w:hint="eastAsia" w:ascii="宋体" w:hAnsi="宋体" w:eastAsia="宋体" w:cs="宋体"/>
          <w:color w:val="auto"/>
          <w:sz w:val="24"/>
          <w:lang w:bidi="en-US"/>
        </w:rPr>
        <w:t>3.3 响应文件的澄清和补正</w:t>
      </w:r>
      <w:bookmarkEnd w:id="255"/>
      <w:bookmarkEnd w:id="256"/>
      <w:bookmarkEnd w:id="257"/>
      <w:bookmarkEnd w:id="258"/>
      <w:bookmarkEnd w:id="259"/>
      <w:bookmarkEnd w:id="260"/>
      <w:bookmarkEnd w:id="261"/>
      <w:bookmarkEnd w:id="262"/>
      <w:bookmarkEnd w:id="263"/>
      <w:bookmarkEnd w:id="264"/>
      <w:bookmarkEnd w:id="265"/>
      <w:bookmarkEnd w:id="266"/>
    </w:p>
    <w:p w14:paraId="7C6DFC2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3.3.1在磋商过程中，磋商小组可以书面形式要求供应商对所提交的响应文件中不明确的内容进行书面澄清或说明，或者对细微偏离进行补正。磋商小组不接受供应商主动提出的澄清、说明或补正。</w:t>
      </w:r>
    </w:p>
    <w:p w14:paraId="1B49494E">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3.3.2 澄清、说明和补正不得超出响应文件的范围或者改变响应文件的实质性内容（算术性错误修正的除外）。供应商的书面澄清、说明和补正属于响应文件的组成部分。</w:t>
      </w:r>
    </w:p>
    <w:p w14:paraId="3ECC1E9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3.3.3 磋商小组对供应商提交的澄清、说明或补正有疑问的，可以要求供应商进一步澄清、说明或补正，直至满足磋商小组的要求。</w:t>
      </w:r>
    </w:p>
    <w:p w14:paraId="66090C95">
      <w:pPr>
        <w:spacing w:line="400" w:lineRule="exact"/>
        <w:ind w:firstLine="480" w:firstLineChars="200"/>
        <w:rPr>
          <w:rFonts w:hint="eastAsia" w:ascii="宋体" w:hAnsi="宋体" w:eastAsia="宋体" w:cs="宋体"/>
          <w:color w:val="auto"/>
          <w:sz w:val="24"/>
          <w:lang w:bidi="en-US"/>
        </w:rPr>
      </w:pPr>
      <w:bookmarkStart w:id="267" w:name="_Toc464035565"/>
      <w:bookmarkStart w:id="268" w:name="_Toc463701086"/>
      <w:bookmarkStart w:id="269" w:name="_Toc19453"/>
      <w:bookmarkStart w:id="270" w:name="_Toc22986"/>
      <w:bookmarkStart w:id="271" w:name="_Toc455080164"/>
      <w:bookmarkStart w:id="272" w:name="_Toc318450730"/>
      <w:bookmarkStart w:id="273" w:name="_Toc32183"/>
      <w:bookmarkStart w:id="274" w:name="_Toc1857"/>
      <w:bookmarkStart w:id="275" w:name="_Toc281405536"/>
      <w:bookmarkStart w:id="276" w:name="_Toc26894"/>
      <w:bookmarkStart w:id="277" w:name="_Toc16310_WPSOffice_Level3"/>
      <w:bookmarkStart w:id="278" w:name="_Toc5903"/>
      <w:r>
        <w:rPr>
          <w:rFonts w:hint="eastAsia" w:ascii="宋体" w:hAnsi="宋体" w:eastAsia="宋体" w:cs="宋体"/>
          <w:color w:val="auto"/>
          <w:sz w:val="24"/>
          <w:lang w:bidi="en-US"/>
        </w:rPr>
        <w:t>3.4 评标结果</w:t>
      </w:r>
      <w:bookmarkEnd w:id="267"/>
      <w:bookmarkEnd w:id="268"/>
      <w:bookmarkEnd w:id="269"/>
      <w:bookmarkEnd w:id="270"/>
      <w:bookmarkEnd w:id="271"/>
      <w:bookmarkEnd w:id="272"/>
      <w:bookmarkEnd w:id="273"/>
      <w:bookmarkEnd w:id="274"/>
      <w:bookmarkEnd w:id="275"/>
      <w:bookmarkEnd w:id="276"/>
      <w:bookmarkEnd w:id="277"/>
      <w:bookmarkEnd w:id="278"/>
    </w:p>
    <w:p w14:paraId="43678CD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3.4.1除第二章“供应商须知”前附表授权直接确定成交人外，磋商小组按照得分由高到低的顺序推荐成交候选人。</w:t>
      </w:r>
    </w:p>
    <w:p w14:paraId="4D03A7B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val="en-US" w:bidi="en-US"/>
        </w:rPr>
        <w:t>3.4.2供应商</w:t>
      </w:r>
      <w:r>
        <w:rPr>
          <w:rFonts w:hint="eastAsia" w:ascii="宋体" w:hAnsi="宋体" w:eastAsia="宋体" w:cs="宋体"/>
          <w:color w:val="auto"/>
          <w:sz w:val="24"/>
          <w:lang w:bidi="en-US"/>
        </w:rPr>
        <w:t>提供相同品牌产品且通过资格审查、符合性审查的不同供应商参加同一合同项下投标的，按一家供应商计算，评审后得分最高的同品牌供应商获得中标人推荐资格；</w:t>
      </w:r>
    </w:p>
    <w:p w14:paraId="2462EAEB">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3.4.</w:t>
      </w:r>
      <w:r>
        <w:rPr>
          <w:rFonts w:hint="eastAsia" w:ascii="宋体" w:hAnsi="宋体" w:eastAsia="宋体" w:cs="宋体"/>
          <w:color w:val="auto"/>
          <w:sz w:val="24"/>
          <w:lang w:val="en-US" w:bidi="en-US"/>
        </w:rPr>
        <w:t>3</w:t>
      </w:r>
      <w:r>
        <w:rPr>
          <w:rFonts w:hint="eastAsia" w:ascii="宋体" w:hAnsi="宋体" w:eastAsia="宋体" w:cs="宋体"/>
          <w:color w:val="auto"/>
          <w:sz w:val="24"/>
          <w:lang w:bidi="en-US"/>
        </w:rPr>
        <w:t xml:space="preserve"> 磋商小组完成评标后，应当向采购人提交书面评审报告。</w:t>
      </w:r>
    </w:p>
    <w:p w14:paraId="3DB9D6EB">
      <w:pPr>
        <w:pStyle w:val="2"/>
        <w:spacing w:before="24"/>
        <w:ind w:left="841" w:right="909"/>
        <w:jc w:val="center"/>
        <w:outlineLvl w:val="9"/>
        <w:rPr>
          <w:color w:val="auto"/>
        </w:rPr>
      </w:pPr>
      <w:r>
        <w:rPr>
          <w:color w:val="auto"/>
        </w:rPr>
        <w:br w:type="page"/>
      </w:r>
    </w:p>
    <w:p w14:paraId="4D377D57">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rFonts w:hint="eastAsia" w:ascii="宋体" w:hAnsi="宋体" w:eastAsia="宋体" w:cs="宋体"/>
          <w:b/>
          <w:bCs/>
          <w:color w:val="auto"/>
          <w:sz w:val="36"/>
          <w:szCs w:val="28"/>
          <w:lang w:val="en-US" w:eastAsia="zh-CN"/>
        </w:rPr>
      </w:pPr>
      <w:bookmarkStart w:id="279" w:name="_Toc20625"/>
      <w:bookmarkStart w:id="280" w:name="_Toc22577"/>
      <w:r>
        <w:rPr>
          <w:rFonts w:hint="eastAsia" w:ascii="宋体" w:hAnsi="宋体" w:eastAsia="宋体" w:cs="宋体"/>
          <w:b/>
          <w:bCs/>
          <w:color w:val="auto"/>
          <w:sz w:val="36"/>
          <w:szCs w:val="28"/>
          <w:lang w:val="en-US" w:eastAsia="zh-CN"/>
        </w:rPr>
        <w:t>第五章 合同主要条款及格式</w:t>
      </w:r>
      <w:bookmarkEnd w:id="279"/>
      <w:bookmarkEnd w:id="280"/>
    </w:p>
    <w:p w14:paraId="6F615F62">
      <w:pPr>
        <w:keepNext w:val="0"/>
        <w:keepLines w:val="0"/>
        <w:pageBreakBefore w:val="0"/>
        <w:kinsoku/>
        <w:wordWrap/>
        <w:overflowPunct/>
        <w:topLinePunct w:val="0"/>
        <w:autoSpaceDE w:val="0"/>
        <w:autoSpaceDN w:val="0"/>
        <w:bidi w:val="0"/>
        <w:snapToGrid/>
        <w:spacing w:line="560" w:lineRule="exact"/>
        <w:jc w:val="center"/>
        <w:textAlignment w:val="auto"/>
        <w:rPr>
          <w:rFonts w:ascii="宋体" w:hAnsi="宋体" w:cs="宋体"/>
          <w:color w:val="auto"/>
          <w:sz w:val="24"/>
        </w:rPr>
      </w:pPr>
      <w:bookmarkStart w:id="281" w:name="_Toc2461"/>
      <w:r>
        <w:rPr>
          <w:rFonts w:hint="eastAsia" w:ascii="宋体" w:hAnsi="宋体" w:cs="宋体"/>
          <w:color w:val="auto"/>
          <w:sz w:val="24"/>
        </w:rPr>
        <w:t>注：本合同仅为合同的参考文本</w:t>
      </w:r>
    </w:p>
    <w:p w14:paraId="5171B048">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甲方（需方）：_________</w:t>
      </w:r>
    </w:p>
    <w:p w14:paraId="11D8CF88">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乙方（供方）：_________</w:t>
      </w:r>
    </w:p>
    <w:p w14:paraId="2DF89370">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经过双方友好协商，依据《中华人民共和国合同法》，双方同意签订以下合同条款，以便双方共同遵守、履行合同。</w:t>
      </w:r>
    </w:p>
    <w:p w14:paraId="5DE31AEB">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一、合同金额</w:t>
      </w:r>
    </w:p>
    <w:p w14:paraId="7F04ED87">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合同金额为（</w:t>
      </w:r>
      <w:r>
        <w:rPr>
          <w:rFonts w:hint="eastAsia" w:cs="宋体"/>
          <w:color w:val="auto"/>
          <w:kern w:val="0"/>
          <w:sz w:val="24"/>
          <w:lang w:val="en-US" w:eastAsia="zh-CN"/>
        </w:rPr>
        <w:t>元</w:t>
      </w:r>
      <w:r>
        <w:rPr>
          <w:rFonts w:hint="eastAsia" w:ascii="宋体" w:hAnsi="宋体" w:cs="宋体"/>
          <w:color w:val="auto"/>
          <w:kern w:val="0"/>
          <w:sz w:val="24"/>
        </w:rPr>
        <w:t>）：</w:t>
      </w:r>
      <w:r>
        <w:rPr>
          <w:rFonts w:hint="eastAsia" w:ascii="宋体" w:hAnsi="宋体" w:cs="宋体"/>
          <w:color w:val="auto"/>
          <w:kern w:val="0"/>
          <w:sz w:val="24"/>
          <w:u w:val="single"/>
        </w:rPr>
        <w:t>_</w:t>
      </w:r>
      <w:r>
        <w:rPr>
          <w:rFonts w:hint="eastAsia" w:cs="宋体"/>
          <w:color w:val="auto"/>
          <w:kern w:val="0"/>
          <w:sz w:val="24"/>
          <w:u w:val="single"/>
          <w:lang w:val="en-US" w:eastAsia="zh-CN"/>
        </w:rPr>
        <w:t xml:space="preserve">大写：    小写：    </w:t>
      </w:r>
      <w:r>
        <w:rPr>
          <w:rFonts w:hint="eastAsia" w:ascii="宋体" w:hAnsi="宋体" w:cs="宋体"/>
          <w:color w:val="auto"/>
          <w:kern w:val="0"/>
          <w:sz w:val="24"/>
        </w:rPr>
        <w:t>。</w:t>
      </w:r>
    </w:p>
    <w:p w14:paraId="1A912E55">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二、服务范围</w:t>
      </w:r>
    </w:p>
    <w:p w14:paraId="34067C86">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乙方提供以下服务：</w:t>
      </w:r>
    </w:p>
    <w:p w14:paraId="314DAB37">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ascii="宋体" w:hAnsi="宋体" w:cs="宋体"/>
          <w:bCs/>
          <w:color w:val="auto"/>
          <w:sz w:val="24"/>
        </w:rPr>
      </w:pPr>
      <w:r>
        <w:rPr>
          <w:rFonts w:hint="eastAsia" w:ascii="宋体" w:hAnsi="宋体" w:cs="宋体"/>
          <w:bCs/>
          <w:color w:val="auto"/>
          <w:sz w:val="24"/>
        </w:rPr>
        <w:t>1.__________________________</w:t>
      </w:r>
    </w:p>
    <w:p w14:paraId="58A2FD1A">
      <w:pPr>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rPr>
          <w:rFonts w:ascii="宋体" w:hAnsi="宋体" w:cs="宋体"/>
          <w:bCs/>
          <w:color w:val="auto"/>
          <w:sz w:val="24"/>
        </w:rPr>
      </w:pPr>
      <w:r>
        <w:rPr>
          <w:rFonts w:hint="eastAsia" w:ascii="宋体" w:hAnsi="宋体" w:cs="宋体"/>
          <w:bCs/>
          <w:color w:val="auto"/>
          <w:sz w:val="24"/>
        </w:rPr>
        <w:t>2.__________________________</w:t>
      </w:r>
    </w:p>
    <w:p w14:paraId="6E9A3369">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w:t>
      </w:r>
    </w:p>
    <w:p w14:paraId="07BBEE33">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三、甲方乙方的权利和义务</w:t>
      </w:r>
    </w:p>
    <w:p w14:paraId="11EA9627">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1.甲方的权利和义务</w:t>
      </w:r>
    </w:p>
    <w:p w14:paraId="06353481">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2.乙方的权利和义务</w:t>
      </w:r>
    </w:p>
    <w:p w14:paraId="6BA1B531">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四、服务期限（项目完成期限）</w:t>
      </w:r>
    </w:p>
    <w:p w14:paraId="08EDDA77">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委托服务期限自____年____月至____年____月止。</w:t>
      </w:r>
    </w:p>
    <w:p w14:paraId="32A36E80">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五、付款方式</w:t>
      </w:r>
    </w:p>
    <w:p w14:paraId="29C4FD17">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highlight w:val="green"/>
        </w:rPr>
      </w:pPr>
      <w:r>
        <w:rPr>
          <w:rFonts w:hint="eastAsia" w:ascii="宋体" w:hAnsi="宋体" w:cs="宋体"/>
          <w:color w:val="auto"/>
          <w:kern w:val="0"/>
          <w:sz w:val="24"/>
        </w:rPr>
        <w:t>合同签订之后，甲方负责对乙方进行全过程监管，并支付其工程款：</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p>
    <w:p w14:paraId="5ABF6BB9">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color w:val="auto"/>
          <w:sz w:val="24"/>
        </w:rPr>
      </w:pPr>
      <w:r>
        <w:rPr>
          <w:rFonts w:hint="eastAsia" w:ascii="宋体" w:hAnsi="宋体" w:cs="宋体"/>
          <w:b/>
          <w:color w:val="auto"/>
          <w:sz w:val="24"/>
        </w:rPr>
        <w:t>六、 知识产权归属</w:t>
      </w:r>
    </w:p>
    <w:p w14:paraId="646647AF">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七、 保密 </w:t>
      </w:r>
    </w:p>
    <w:p w14:paraId="100CCC6B">
      <w:pPr>
        <w:keepNext w:val="0"/>
        <w:keepLines w:val="0"/>
        <w:pageBreakBefore w:val="0"/>
        <w:widowControl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八、 违约责任与赔偿损失 </w:t>
      </w:r>
    </w:p>
    <w:p w14:paraId="7E43C6EF">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乙方提供的服务不符合本合同规定的，甲方有权拒收，并且乙方须向甲方方支付本合同总价__%的违约金。 </w:t>
      </w:r>
    </w:p>
    <w:p w14:paraId="7DD76353">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2.乙方未能按本合同规定的交货时间提供服务，从逾期之日起每日按本合同总价__%的数额向甲方支付违约金；逾期半个月以上的，甲方有权终止合同，由此造成的甲方经济损失由乙方承担。 </w:t>
      </w:r>
    </w:p>
    <w:p w14:paraId="0C078379">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3. 甲方无正当理由拒收接受服务，到期拒付服务款项的，甲方向乙方偿付本合同总的__%的违约金。甲方人逾期付款，则每日按本合同总价的__%向乙方偿付违约金。 </w:t>
      </w:r>
    </w:p>
    <w:p w14:paraId="5FFC5983">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4. 其它违约责任按《中华人民共和国合同法》处理。 </w:t>
      </w:r>
    </w:p>
    <w:p w14:paraId="356C2205">
      <w:pPr>
        <w:keepNext w:val="0"/>
        <w:keepLines w:val="0"/>
        <w:pageBreakBefore w:val="0"/>
        <w:kinsoku/>
        <w:wordWrap/>
        <w:overflowPunct/>
        <w:topLinePunct w:val="0"/>
        <w:autoSpaceDE w:val="0"/>
        <w:autoSpaceDN w:val="0"/>
        <w:bidi w:val="0"/>
        <w:snapToGrid/>
        <w:spacing w:line="560" w:lineRule="exact"/>
        <w:ind w:firstLine="482" w:firstLineChars="200"/>
        <w:textAlignment w:val="auto"/>
        <w:rPr>
          <w:rFonts w:ascii="宋体" w:hAnsi="宋体" w:cs="宋体"/>
          <w:color w:val="auto"/>
          <w:sz w:val="24"/>
        </w:rPr>
      </w:pPr>
      <w:r>
        <w:rPr>
          <w:rFonts w:hint="eastAsia" w:ascii="宋体" w:hAnsi="宋体" w:cs="宋体"/>
          <w:b/>
          <w:color w:val="auto"/>
          <w:sz w:val="24"/>
        </w:rPr>
        <w:t>九、 争议的解决</w:t>
      </w:r>
    </w:p>
    <w:p w14:paraId="1909C9D0">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合同执行过程中发生的任何争议，如双方不能通过友好协商解决，按相关法律法规处理。 </w:t>
      </w:r>
    </w:p>
    <w:p w14:paraId="32A48559">
      <w:pPr>
        <w:keepNext w:val="0"/>
        <w:keepLines w:val="0"/>
        <w:pageBreakBefore w:val="0"/>
        <w:kinsoku/>
        <w:wordWrap/>
        <w:overflowPunct/>
        <w:topLinePunct w:val="0"/>
        <w:autoSpaceDE w:val="0"/>
        <w:autoSpaceDN w:val="0"/>
        <w:bidi w:val="0"/>
        <w:snapToGrid/>
        <w:spacing w:line="560" w:lineRule="exact"/>
        <w:ind w:firstLine="482" w:firstLineChars="200"/>
        <w:textAlignment w:val="auto"/>
        <w:rPr>
          <w:rFonts w:ascii="宋体" w:hAnsi="宋体" w:cs="宋体"/>
          <w:color w:val="auto"/>
          <w:sz w:val="24"/>
        </w:rPr>
      </w:pPr>
      <w:r>
        <w:rPr>
          <w:rFonts w:hint="eastAsia" w:ascii="宋体" w:hAnsi="宋体" w:cs="宋体"/>
          <w:b/>
          <w:color w:val="auto"/>
          <w:sz w:val="24"/>
        </w:rPr>
        <w:t>十、 不可抗力</w:t>
      </w:r>
    </w:p>
    <w:p w14:paraId="2A30AEA1">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4C4197B7">
      <w:pPr>
        <w:keepNext w:val="0"/>
        <w:keepLines w:val="0"/>
        <w:pageBreakBefore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十一、 税费 </w:t>
      </w:r>
    </w:p>
    <w:p w14:paraId="60B0641A">
      <w:pPr>
        <w:keepNext w:val="0"/>
        <w:keepLines w:val="0"/>
        <w:pageBreakBefore w:val="0"/>
        <w:kinsoku/>
        <w:wordWrap/>
        <w:overflowPunct/>
        <w:topLinePunct w:val="0"/>
        <w:autoSpaceDE w:val="0"/>
        <w:autoSpaceDN w:val="0"/>
        <w:bidi w:val="0"/>
        <w:snapToGrid/>
        <w:spacing w:line="560" w:lineRule="exact"/>
        <w:ind w:firstLine="480" w:firstLineChars="200"/>
        <w:textAlignment w:val="auto"/>
        <w:rPr>
          <w:rFonts w:ascii="宋体" w:hAnsi="宋体" w:cs="宋体"/>
          <w:color w:val="auto"/>
          <w:sz w:val="24"/>
        </w:rPr>
      </w:pPr>
      <w:r>
        <w:rPr>
          <w:rFonts w:hint="eastAsia" w:ascii="宋体" w:hAnsi="宋体" w:cs="宋体"/>
          <w:color w:val="auto"/>
          <w:kern w:val="0"/>
          <w:sz w:val="24"/>
        </w:rPr>
        <w:t>1. 在中国境内、外发生的与本合同执行有关的一切税费均由乙方负担。</w:t>
      </w:r>
    </w:p>
    <w:p w14:paraId="54B6EE5B">
      <w:pPr>
        <w:keepNext w:val="0"/>
        <w:keepLines w:val="0"/>
        <w:pageBreakBefore w:val="0"/>
        <w:kinsoku/>
        <w:wordWrap/>
        <w:overflowPunct/>
        <w:topLinePunct w:val="0"/>
        <w:autoSpaceDE w:val="0"/>
        <w:autoSpaceDN w:val="0"/>
        <w:bidi w:val="0"/>
        <w:snapToGrid/>
        <w:spacing w:line="56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十二、 其它 </w:t>
      </w:r>
    </w:p>
    <w:p w14:paraId="3D274AEA">
      <w:pPr>
        <w:keepNext w:val="0"/>
        <w:keepLines w:val="0"/>
        <w:pageBreakBefore w:val="0"/>
        <w:widowControl/>
        <w:kinsoku/>
        <w:wordWrap/>
        <w:overflowPunct/>
        <w:topLinePunct w:val="0"/>
        <w:autoSpaceDE w:val="0"/>
        <w:autoSpaceDN w:val="0"/>
        <w:bidi w:val="0"/>
        <w:snapToGrid/>
        <w:spacing w:line="560" w:lineRule="exact"/>
        <w:ind w:firstLine="480" w:firstLineChars="200"/>
        <w:jc w:val="left"/>
        <w:textAlignment w:val="auto"/>
        <w:rPr>
          <w:rFonts w:ascii="宋体" w:hAnsi="宋体" w:cs="宋体"/>
          <w:color w:val="auto"/>
          <w:sz w:val="24"/>
        </w:rPr>
      </w:pPr>
      <w:r>
        <w:rPr>
          <w:rFonts w:hint="eastAsia" w:ascii="宋体" w:hAnsi="宋体" w:cs="宋体"/>
          <w:color w:val="auto"/>
          <w:sz w:val="24"/>
        </w:rPr>
        <w:t>1. 本合同所有附件、</w:t>
      </w:r>
      <w:r>
        <w:rPr>
          <w:rFonts w:hint="eastAsia" w:ascii="宋体" w:hAnsi="宋体" w:cs="宋体"/>
          <w:color w:val="auto"/>
          <w:sz w:val="24"/>
          <w:lang w:eastAsia="zh-CN"/>
        </w:rPr>
        <w:t>磋商</w:t>
      </w:r>
      <w:r>
        <w:rPr>
          <w:rFonts w:hint="eastAsia" w:ascii="宋体" w:hAnsi="宋体" w:cs="宋体"/>
          <w:color w:val="auto"/>
          <w:sz w:val="24"/>
        </w:rPr>
        <w:t>文件、</w:t>
      </w:r>
      <w:r>
        <w:rPr>
          <w:rFonts w:hint="eastAsia" w:ascii="宋体" w:hAnsi="宋体" w:cs="宋体"/>
          <w:color w:val="auto"/>
          <w:sz w:val="24"/>
          <w:lang w:eastAsia="zh-CN"/>
        </w:rPr>
        <w:t>响应</w:t>
      </w:r>
      <w:r>
        <w:rPr>
          <w:rFonts w:hint="eastAsia" w:ascii="宋体" w:hAnsi="宋体" w:cs="宋体"/>
          <w:color w:val="auto"/>
          <w:sz w:val="24"/>
        </w:rPr>
        <w:t>文件、中标通知书均为合同的有效组成部分，与本合</w:t>
      </w:r>
    </w:p>
    <w:p w14:paraId="2089BC3E">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同具有同等法律效力。</w:t>
      </w:r>
    </w:p>
    <w:p w14:paraId="3DC7385F">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2. 在执行本合同的过程中，所有经双方签署确认的文件（包括会议纪要、补充协议、往来信函）即成为本合同的有效组成部分。 </w:t>
      </w:r>
    </w:p>
    <w:p w14:paraId="316DBE0A">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如一方地址、电话、传真号码有变更，应在变更当日内书面通知对方，否则，应承担相应责任。</w:t>
      </w:r>
    </w:p>
    <w:p w14:paraId="0AA4A80E">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4. 除甲方事先书面同意外，乙方不得部分或全部转让其应履行的合同项下的义务。 </w:t>
      </w:r>
    </w:p>
    <w:p w14:paraId="307A7A46">
      <w:pPr>
        <w:keepNext w:val="0"/>
        <w:keepLines w:val="0"/>
        <w:pageBreakBefore w:val="0"/>
        <w:kinsoku/>
        <w:wordWrap/>
        <w:overflowPunct/>
        <w:topLinePunct w:val="0"/>
        <w:autoSpaceDE w:val="0"/>
        <w:autoSpaceDN w:val="0"/>
        <w:bidi w:val="0"/>
        <w:adjustRightInd w:val="0"/>
        <w:snapToGrid/>
        <w:spacing w:line="56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十三、 合同生效： </w:t>
      </w:r>
    </w:p>
    <w:p w14:paraId="48679BBC">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1.本合同在甲乙双方法人代表或其授权代表签字盖章后生效。 </w:t>
      </w:r>
    </w:p>
    <w:p w14:paraId="61F43587">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 合同一式__份。 </w:t>
      </w:r>
    </w:p>
    <w:p w14:paraId="2CE8E3D8">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甲方（盖章）：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乙方（盖章）： </w:t>
      </w:r>
    </w:p>
    <w:p w14:paraId="18C21510">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代表：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代表： </w:t>
      </w:r>
    </w:p>
    <w:p w14:paraId="4AA0FC6D">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签定地点： </w:t>
      </w:r>
    </w:p>
    <w:p w14:paraId="0E8FD491">
      <w:pPr>
        <w:keepNext w:val="0"/>
        <w:keepLines w:val="0"/>
        <w:pageBreakBefore w:val="0"/>
        <w:kinsoku/>
        <w:wordWrap/>
        <w:overflowPunct/>
        <w:topLinePunct w:val="0"/>
        <w:autoSpaceDE w:val="0"/>
        <w:autoSpaceDN w:val="0"/>
        <w:bidi w:val="0"/>
        <w:adjustRightInd w:val="0"/>
        <w:snapToGrid/>
        <w:spacing w:line="5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签定日期： 年 月 日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签定日期： 年 月 日 </w:t>
      </w:r>
    </w:p>
    <w:p w14:paraId="33EF4DF6">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开户名称： </w:t>
      </w:r>
    </w:p>
    <w:p w14:paraId="244A5938">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银行帐号： </w:t>
      </w:r>
    </w:p>
    <w:p w14:paraId="0EBEEA1A">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开 户 行： </w:t>
      </w:r>
    </w:p>
    <w:p w14:paraId="0C332BD4">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color w:val="auto"/>
        </w:rPr>
      </w:pPr>
      <w:r>
        <w:rPr>
          <w:rFonts w:hint="eastAsia"/>
          <w:color w:val="auto"/>
        </w:rPr>
        <w:br w:type="page"/>
      </w:r>
      <w:bookmarkStart w:id="282" w:name="_Toc9875"/>
      <w:r>
        <w:rPr>
          <w:rFonts w:hint="eastAsia" w:ascii="宋体" w:hAnsi="宋体" w:eastAsia="宋体" w:cs="宋体"/>
          <w:b/>
          <w:bCs/>
          <w:color w:val="auto"/>
          <w:sz w:val="36"/>
          <w:szCs w:val="28"/>
          <w:lang w:val="en-US" w:eastAsia="zh-CN"/>
        </w:rPr>
        <w:t>第六章 响应文件内容及格式</w:t>
      </w:r>
      <w:bookmarkEnd w:id="281"/>
      <w:bookmarkEnd w:id="282"/>
    </w:p>
    <w:p w14:paraId="6B14B9F9">
      <w:pPr>
        <w:pStyle w:val="5"/>
        <w:spacing w:before="198"/>
        <w:ind w:left="897" w:right="909"/>
        <w:jc w:val="center"/>
        <w:rPr>
          <w:color w:val="auto"/>
        </w:rPr>
      </w:pPr>
      <w:bookmarkStart w:id="283" w:name="_Toc9511_WPSOffice_Level1"/>
      <w:r>
        <w:rPr>
          <w:color w:val="auto"/>
        </w:rPr>
        <w:t>（此格式仅供参考）</w:t>
      </w:r>
      <w:bookmarkEnd w:id="283"/>
    </w:p>
    <w:p w14:paraId="189764D1">
      <w:pPr>
        <w:pStyle w:val="8"/>
        <w:ind w:left="0"/>
        <w:rPr>
          <w:b/>
          <w:color w:val="auto"/>
        </w:rPr>
      </w:pPr>
    </w:p>
    <w:p w14:paraId="52558590">
      <w:pPr>
        <w:pStyle w:val="8"/>
        <w:spacing w:before="3"/>
        <w:ind w:left="0"/>
        <w:rPr>
          <w:b/>
          <w:color w:val="auto"/>
          <w:sz w:val="35"/>
        </w:rPr>
      </w:pPr>
    </w:p>
    <w:p w14:paraId="06BA489C">
      <w:pPr>
        <w:pStyle w:val="8"/>
        <w:ind w:left="0"/>
        <w:jc w:val="center"/>
        <w:rPr>
          <w:rFonts w:hint="eastAsia"/>
          <w:b/>
          <w:color w:val="auto"/>
          <w:sz w:val="48"/>
          <w:szCs w:val="28"/>
          <w:lang w:val="en-US" w:eastAsia="zh-CN"/>
        </w:rPr>
      </w:pPr>
    </w:p>
    <w:p w14:paraId="649F7B5F">
      <w:pPr>
        <w:pStyle w:val="8"/>
        <w:ind w:left="0"/>
        <w:jc w:val="center"/>
        <w:rPr>
          <w:rFonts w:hint="default"/>
          <w:b/>
          <w:color w:val="auto"/>
          <w:sz w:val="52"/>
          <w:szCs w:val="32"/>
          <w:u w:val="single"/>
          <w:lang w:val="en-US" w:eastAsia="zh-CN"/>
        </w:rPr>
      </w:pPr>
      <w:r>
        <w:rPr>
          <w:rFonts w:hint="eastAsia"/>
          <w:b/>
          <w:color w:val="auto"/>
          <w:sz w:val="52"/>
          <w:szCs w:val="32"/>
          <w:u w:val="single"/>
          <w:lang w:val="en-US" w:eastAsia="zh-CN"/>
        </w:rPr>
        <w:t xml:space="preserve"> 项目名称 </w:t>
      </w:r>
    </w:p>
    <w:p w14:paraId="2AE07A41">
      <w:pPr>
        <w:pStyle w:val="15"/>
        <w:rPr>
          <w:rFonts w:hint="eastAsia"/>
          <w:color w:val="auto"/>
          <w:lang w:val="en-US" w:eastAsia="zh-CN"/>
        </w:rPr>
      </w:pPr>
    </w:p>
    <w:p w14:paraId="7E6DCD1D">
      <w:pPr>
        <w:spacing w:before="375"/>
        <w:jc w:val="center"/>
        <w:outlineLvl w:val="9"/>
        <w:rPr>
          <w:rFonts w:hint="eastAsia" w:ascii="Times New Roman" w:hAnsi="Times New Roman" w:eastAsia="宋体" w:cs="Times New Roman"/>
          <w:b/>
          <w:color w:val="auto"/>
          <w:sz w:val="48"/>
          <w:szCs w:val="28"/>
          <w:lang w:val="en-US" w:eastAsia="zh-CN" w:bidi="ar-SA"/>
        </w:rPr>
      </w:pPr>
      <w:bookmarkStart w:id="284" w:name="_Toc839"/>
      <w:bookmarkStart w:id="285" w:name="_Toc20123_WPSOffice_Level1"/>
    </w:p>
    <w:p w14:paraId="016D35F0">
      <w:pPr>
        <w:pStyle w:val="2"/>
        <w:outlineLvl w:val="9"/>
        <w:rPr>
          <w:rFonts w:hint="eastAsia"/>
          <w:color w:val="auto"/>
          <w:lang w:val="en-US" w:eastAsia="zh-CN"/>
        </w:rPr>
      </w:pPr>
    </w:p>
    <w:p w14:paraId="0DE2ABF9">
      <w:pPr>
        <w:spacing w:before="375"/>
        <w:jc w:val="center"/>
        <w:outlineLvl w:val="0"/>
        <w:rPr>
          <w:b/>
          <w:color w:val="auto"/>
          <w:sz w:val="72"/>
        </w:rPr>
      </w:pPr>
      <w:bookmarkStart w:id="286" w:name="_Toc15721"/>
      <w:r>
        <w:rPr>
          <w:b/>
          <w:color w:val="auto"/>
          <w:sz w:val="72"/>
        </w:rPr>
        <w:t>响应文件</w:t>
      </w:r>
      <w:bookmarkEnd w:id="284"/>
      <w:bookmarkEnd w:id="285"/>
      <w:bookmarkEnd w:id="286"/>
    </w:p>
    <w:p w14:paraId="3E0DC3D5">
      <w:pPr>
        <w:pStyle w:val="8"/>
        <w:spacing w:before="3"/>
        <w:ind w:left="0"/>
        <w:jc w:val="center"/>
        <w:rPr>
          <w:b/>
          <w:color w:val="auto"/>
          <w:sz w:val="60"/>
        </w:rPr>
      </w:pPr>
    </w:p>
    <w:p w14:paraId="705DB91C">
      <w:pPr>
        <w:pStyle w:val="8"/>
        <w:ind w:left="0"/>
        <w:jc w:val="center"/>
        <w:outlineLvl w:val="0"/>
        <w:rPr>
          <w:b/>
          <w:color w:val="auto"/>
          <w:sz w:val="30"/>
        </w:rPr>
      </w:pPr>
      <w:bookmarkStart w:id="287" w:name="_Toc7912"/>
      <w:bookmarkStart w:id="288" w:name="_Toc25794"/>
      <w:bookmarkStart w:id="289" w:name="_Toc12366_WPSOffice_Level1"/>
      <w:r>
        <w:rPr>
          <w:b/>
          <w:color w:val="auto"/>
          <w:sz w:val="32"/>
        </w:rPr>
        <w:t>项目编号：</w:t>
      </w:r>
      <w:bookmarkEnd w:id="287"/>
      <w:bookmarkEnd w:id="288"/>
      <w:bookmarkEnd w:id="289"/>
    </w:p>
    <w:p w14:paraId="5085600A">
      <w:pPr>
        <w:pStyle w:val="8"/>
        <w:ind w:left="0"/>
        <w:rPr>
          <w:b/>
          <w:color w:val="auto"/>
          <w:sz w:val="30"/>
        </w:rPr>
      </w:pPr>
    </w:p>
    <w:p w14:paraId="3BB5F37D">
      <w:pPr>
        <w:pStyle w:val="8"/>
        <w:ind w:left="0"/>
        <w:rPr>
          <w:b/>
          <w:color w:val="auto"/>
          <w:sz w:val="30"/>
        </w:rPr>
      </w:pPr>
    </w:p>
    <w:p w14:paraId="437CC1BF">
      <w:pPr>
        <w:pStyle w:val="8"/>
        <w:ind w:left="0"/>
        <w:rPr>
          <w:b/>
          <w:color w:val="auto"/>
          <w:sz w:val="30"/>
        </w:rPr>
      </w:pPr>
    </w:p>
    <w:p w14:paraId="56B518A7">
      <w:pPr>
        <w:pStyle w:val="8"/>
        <w:ind w:left="0"/>
        <w:rPr>
          <w:b/>
          <w:color w:val="auto"/>
          <w:sz w:val="30"/>
        </w:rPr>
      </w:pPr>
    </w:p>
    <w:p w14:paraId="4ED01261">
      <w:pPr>
        <w:pStyle w:val="8"/>
        <w:ind w:left="0"/>
        <w:rPr>
          <w:b/>
          <w:color w:val="auto"/>
          <w:sz w:val="30"/>
        </w:rPr>
      </w:pPr>
    </w:p>
    <w:p w14:paraId="61E4DB19">
      <w:pPr>
        <w:pStyle w:val="8"/>
        <w:ind w:left="0"/>
        <w:rPr>
          <w:b/>
          <w:color w:val="auto"/>
          <w:sz w:val="30"/>
        </w:rPr>
      </w:pPr>
    </w:p>
    <w:p w14:paraId="40492A83">
      <w:pPr>
        <w:pStyle w:val="8"/>
        <w:ind w:left="0"/>
        <w:rPr>
          <w:b/>
          <w:color w:val="auto"/>
          <w:sz w:val="30"/>
        </w:rPr>
      </w:pPr>
    </w:p>
    <w:p w14:paraId="00F72801">
      <w:pPr>
        <w:pStyle w:val="15"/>
        <w:rPr>
          <w:b/>
          <w:color w:val="auto"/>
          <w:sz w:val="30"/>
        </w:rPr>
      </w:pPr>
    </w:p>
    <w:p w14:paraId="6D32E608">
      <w:pPr>
        <w:pStyle w:val="10"/>
        <w:rPr>
          <w:color w:val="auto"/>
        </w:rPr>
      </w:pPr>
    </w:p>
    <w:p w14:paraId="28C47299">
      <w:pPr>
        <w:pStyle w:val="8"/>
        <w:keepNext w:val="0"/>
        <w:keepLines w:val="0"/>
        <w:pageBreakBefore w:val="0"/>
        <w:widowControl w:val="0"/>
        <w:kinsoku/>
        <w:wordWrap/>
        <w:overflowPunct/>
        <w:topLinePunct w:val="0"/>
        <w:autoSpaceDE w:val="0"/>
        <w:autoSpaceDN w:val="0"/>
        <w:bidi w:val="0"/>
        <w:adjustRightInd/>
        <w:snapToGrid/>
        <w:spacing w:line="480" w:lineRule="auto"/>
        <w:ind w:left="0" w:firstLine="0" w:firstLineChars="0"/>
        <w:textAlignment w:val="auto"/>
        <w:rPr>
          <w:b/>
          <w:color w:val="auto"/>
          <w:sz w:val="30"/>
        </w:rPr>
      </w:pPr>
    </w:p>
    <w:p w14:paraId="286BC0FD">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rFonts w:hint="eastAsia"/>
          <w:color w:val="auto"/>
          <w:sz w:val="28"/>
          <w:szCs w:val="28"/>
        </w:rPr>
      </w:pPr>
      <w:bookmarkStart w:id="290" w:name="_Toc30532_WPSOffice_Level2"/>
    </w:p>
    <w:p w14:paraId="490FFC89">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r>
        <w:rPr>
          <w:rFonts w:hint="eastAsia"/>
          <w:color w:val="auto"/>
          <w:sz w:val="28"/>
          <w:szCs w:val="28"/>
        </w:rPr>
        <w:t>供应商：（公章签章）</w:t>
      </w:r>
      <w:bookmarkEnd w:id="290"/>
    </w:p>
    <w:p w14:paraId="2E49E3A0">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91" w:name="_Toc1100_WPSOffice_Level3"/>
      <w:r>
        <w:rPr>
          <w:rFonts w:hint="eastAsia"/>
          <w:color w:val="auto"/>
          <w:sz w:val="28"/>
          <w:szCs w:val="28"/>
        </w:rPr>
        <w:t>法定代表人或其委托代理人：（法人签章）</w:t>
      </w:r>
      <w:bookmarkEnd w:id="291"/>
    </w:p>
    <w:p w14:paraId="1357E6B0">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92" w:name="_Toc31948_WPSOffice_Level2"/>
      <w:r>
        <w:rPr>
          <w:rFonts w:hint="eastAsia"/>
          <w:color w:val="auto"/>
          <w:sz w:val="28"/>
          <w:szCs w:val="28"/>
        </w:rPr>
        <w:t>年</w:t>
      </w:r>
      <w:r>
        <w:rPr>
          <w:rFonts w:hint="eastAsia"/>
          <w:color w:val="auto"/>
          <w:sz w:val="28"/>
          <w:szCs w:val="28"/>
          <w:lang w:val="en-US" w:eastAsia="zh-CN"/>
        </w:rPr>
        <w:t xml:space="preserve"> </w:t>
      </w:r>
      <w:r>
        <w:rPr>
          <w:rFonts w:hint="eastAsia"/>
          <w:color w:val="auto"/>
          <w:sz w:val="28"/>
          <w:szCs w:val="28"/>
        </w:rPr>
        <w:t>月</w:t>
      </w:r>
      <w:r>
        <w:rPr>
          <w:rFonts w:hint="eastAsia"/>
          <w:color w:val="auto"/>
          <w:sz w:val="28"/>
          <w:szCs w:val="28"/>
          <w:lang w:val="en-US" w:eastAsia="zh-CN"/>
        </w:rPr>
        <w:t xml:space="preserve"> </w:t>
      </w:r>
      <w:r>
        <w:rPr>
          <w:rFonts w:hint="eastAsia"/>
          <w:color w:val="auto"/>
          <w:sz w:val="28"/>
          <w:szCs w:val="28"/>
        </w:rPr>
        <w:t>日</w:t>
      </w:r>
      <w:bookmarkEnd w:id="292"/>
    </w:p>
    <w:p w14:paraId="7CE6B3A6">
      <w:pPr>
        <w:spacing w:before="13"/>
        <w:ind w:right="446"/>
        <w:jc w:val="center"/>
        <w:rPr>
          <w:color w:val="auto"/>
          <w:sz w:val="44"/>
          <w:szCs w:val="21"/>
        </w:rPr>
      </w:pPr>
      <w:r>
        <w:rPr>
          <w:color w:val="auto"/>
          <w:sz w:val="48"/>
        </w:rPr>
        <w:br w:type="page"/>
      </w:r>
      <w:bookmarkStart w:id="293" w:name="_Toc28927_WPSOffice_Level3"/>
      <w:r>
        <w:rPr>
          <w:color w:val="auto"/>
          <w:sz w:val="44"/>
          <w:szCs w:val="21"/>
        </w:rPr>
        <w:t>目</w:t>
      </w:r>
      <w:r>
        <w:rPr>
          <w:rFonts w:hint="eastAsia"/>
          <w:color w:val="auto"/>
          <w:sz w:val="44"/>
          <w:szCs w:val="21"/>
          <w:lang w:val="en-US" w:eastAsia="zh-CN"/>
        </w:rPr>
        <w:t xml:space="preserve"> </w:t>
      </w:r>
      <w:r>
        <w:rPr>
          <w:color w:val="auto"/>
          <w:sz w:val="44"/>
          <w:szCs w:val="21"/>
        </w:rPr>
        <w:t>录</w:t>
      </w:r>
      <w:bookmarkEnd w:id="293"/>
    </w:p>
    <w:p w14:paraId="18234F9C">
      <w:pPr>
        <w:pStyle w:val="8"/>
        <w:spacing w:before="12"/>
        <w:ind w:left="0"/>
        <w:jc w:val="center"/>
        <w:rPr>
          <w:color w:val="auto"/>
          <w:sz w:val="44"/>
        </w:rPr>
      </w:pPr>
    </w:p>
    <w:p w14:paraId="1556422B">
      <w:pPr>
        <w:jc w:val="center"/>
        <w:rPr>
          <w:rFonts w:hint="eastAsia" w:eastAsia="宋体"/>
          <w:color w:val="auto"/>
          <w:lang w:eastAsia="zh-CN"/>
        </w:rPr>
        <w:sectPr>
          <w:footerReference r:id="rId7" w:type="default"/>
          <w:pgSz w:w="11910" w:h="16840"/>
          <w:pgMar w:top="1440" w:right="1800" w:bottom="1440" w:left="1800" w:header="0" w:footer="720" w:gutter="0"/>
          <w:pgNumType w:fmt="decimal"/>
          <w:cols w:space="720" w:num="1"/>
        </w:sectPr>
      </w:pPr>
      <w:r>
        <w:rPr>
          <w:rFonts w:hint="eastAsia"/>
          <w:color w:val="auto"/>
          <w:lang w:eastAsia="zh-CN"/>
        </w:rPr>
        <w:t>（格式自拟）</w:t>
      </w:r>
    </w:p>
    <w:p w14:paraId="376D1CF1">
      <w:pPr>
        <w:spacing w:line="360" w:lineRule="auto"/>
        <w:jc w:val="center"/>
        <w:outlineLvl w:val="0"/>
        <w:rPr>
          <w:b/>
          <w:bCs/>
          <w:color w:val="auto"/>
          <w:sz w:val="28"/>
          <w:szCs w:val="20"/>
          <w:lang w:val="en-US"/>
        </w:rPr>
      </w:pPr>
      <w:bookmarkStart w:id="294" w:name="_Toc144974857"/>
      <w:bookmarkStart w:id="295" w:name="_Toc152045788"/>
      <w:bookmarkStart w:id="296" w:name="_Toc152042577"/>
      <w:bookmarkStart w:id="297" w:name="_Toc8655_WPSOffice_Level1"/>
      <w:bookmarkStart w:id="298" w:name="_Toc17559"/>
      <w:bookmarkStart w:id="299" w:name="_Toc28978"/>
      <w:bookmarkStart w:id="300" w:name="_Toc487498495"/>
      <w:bookmarkStart w:id="301" w:name="_Toc25215"/>
      <w:r>
        <w:rPr>
          <w:rFonts w:hint="eastAsia"/>
          <w:b/>
          <w:bCs/>
          <w:color w:val="auto"/>
          <w:sz w:val="28"/>
          <w:szCs w:val="20"/>
          <w:lang w:val="en-US"/>
        </w:rPr>
        <w:t>一、磋商函及</w:t>
      </w:r>
      <w:bookmarkEnd w:id="294"/>
      <w:bookmarkEnd w:id="295"/>
      <w:bookmarkEnd w:id="296"/>
      <w:r>
        <w:rPr>
          <w:rFonts w:hint="eastAsia"/>
          <w:b/>
          <w:bCs/>
          <w:color w:val="auto"/>
          <w:sz w:val="28"/>
          <w:szCs w:val="20"/>
          <w:lang w:val="en-US"/>
        </w:rPr>
        <w:t>磋商函附录</w:t>
      </w:r>
      <w:bookmarkEnd w:id="297"/>
      <w:bookmarkEnd w:id="298"/>
      <w:bookmarkEnd w:id="299"/>
      <w:bookmarkEnd w:id="300"/>
      <w:bookmarkEnd w:id="301"/>
    </w:p>
    <w:p w14:paraId="40172D89">
      <w:pPr>
        <w:spacing w:line="360" w:lineRule="auto"/>
        <w:jc w:val="center"/>
        <w:outlineLvl w:val="2"/>
        <w:rPr>
          <w:color w:val="auto"/>
          <w:sz w:val="28"/>
          <w:szCs w:val="20"/>
          <w:lang w:val="en-US"/>
        </w:rPr>
      </w:pPr>
      <w:bookmarkStart w:id="302" w:name="_Toc152042578"/>
      <w:bookmarkStart w:id="303" w:name="_Toc152045789"/>
      <w:bookmarkStart w:id="304" w:name="_Toc8915"/>
      <w:bookmarkStart w:id="305" w:name="_Toc144974858"/>
      <w:bookmarkStart w:id="306" w:name="_Toc30581"/>
      <w:bookmarkStart w:id="307" w:name="_Toc26765"/>
      <w:bookmarkStart w:id="308" w:name="_Toc455080170"/>
      <w:bookmarkStart w:id="309" w:name="_Toc11855"/>
      <w:bookmarkStart w:id="310" w:name="_Toc18705"/>
      <w:bookmarkStart w:id="311" w:name="_Toc488504497"/>
      <w:bookmarkStart w:id="312" w:name="_Toc23888"/>
      <w:bookmarkStart w:id="313" w:name="_Toc26262"/>
      <w:bookmarkStart w:id="314" w:name="_Toc487498496"/>
      <w:bookmarkStart w:id="315" w:name="_Toc7366_WPSOffice_Level2"/>
      <w:bookmarkStart w:id="316" w:name="_Toc464035571"/>
      <w:bookmarkStart w:id="317" w:name="_Toc463701092"/>
      <w:bookmarkStart w:id="318" w:name="_Toc318450744"/>
      <w:r>
        <w:rPr>
          <w:rFonts w:hint="eastAsia"/>
          <w:color w:val="auto"/>
          <w:sz w:val="28"/>
          <w:szCs w:val="20"/>
          <w:lang w:val="en-US"/>
        </w:rPr>
        <w:t>（一）磋商函</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4C627A8">
      <w:pPr>
        <w:spacing w:line="360" w:lineRule="auto"/>
        <w:rPr>
          <w:color w:val="auto"/>
          <w:sz w:val="24"/>
        </w:rPr>
      </w:pPr>
      <w:r>
        <w:rPr>
          <w:rFonts w:hint="eastAsia"/>
          <w:color w:val="auto"/>
          <w:sz w:val="24"/>
          <w:u w:val="single"/>
        </w:rPr>
        <w:t>（采购人名称）</w:t>
      </w:r>
      <w:r>
        <w:rPr>
          <w:rFonts w:hint="eastAsia"/>
          <w:color w:val="auto"/>
          <w:sz w:val="24"/>
        </w:rPr>
        <w:t>：</w:t>
      </w:r>
    </w:p>
    <w:p w14:paraId="151FB6F4">
      <w:pPr>
        <w:spacing w:line="360" w:lineRule="auto"/>
        <w:ind w:firstLine="480" w:firstLineChars="200"/>
        <w:rPr>
          <w:color w:val="auto"/>
          <w:sz w:val="24"/>
        </w:rPr>
      </w:pPr>
      <w:r>
        <w:rPr>
          <w:rFonts w:hint="eastAsia"/>
          <w:color w:val="auto"/>
          <w:sz w:val="24"/>
        </w:rPr>
        <w:t xml:space="preserve">1．我方在考察现场并充分研究 </w:t>
      </w:r>
      <w:r>
        <w:rPr>
          <w:rFonts w:hint="eastAsia"/>
          <w:color w:val="auto"/>
          <w:sz w:val="24"/>
          <w:u w:val="single"/>
        </w:rPr>
        <w:t xml:space="preserve">      （项目名称）</w:t>
      </w:r>
      <w:r>
        <w:rPr>
          <w:rFonts w:hint="eastAsia"/>
          <w:color w:val="auto"/>
          <w:sz w:val="24"/>
          <w:u w:val="single"/>
          <w:lang w:val="en-US" w:eastAsia="zh-CN"/>
        </w:rPr>
        <w:t xml:space="preserve"> </w:t>
      </w:r>
      <w:r>
        <w:rPr>
          <w:rFonts w:hint="eastAsia"/>
          <w:color w:val="auto"/>
          <w:sz w:val="24"/>
        </w:rPr>
        <w:t>磋商文件的全部内容，愿意以磋商函附录中的报价</w:t>
      </w:r>
      <w:r>
        <w:rPr>
          <w:rFonts w:hint="eastAsia"/>
          <w:color w:val="auto"/>
          <w:sz w:val="24"/>
          <w:u w:val="single"/>
          <w:lang w:val="en-US" w:eastAsia="zh-CN"/>
        </w:rPr>
        <w:t xml:space="preserve">大写：    小写：      </w:t>
      </w:r>
      <w:r>
        <w:rPr>
          <w:rFonts w:hint="eastAsia"/>
          <w:color w:val="auto"/>
          <w:sz w:val="24"/>
        </w:rPr>
        <w:t>，质量</w:t>
      </w:r>
      <w:r>
        <w:rPr>
          <w:rFonts w:hint="eastAsia"/>
          <w:color w:val="auto"/>
          <w:sz w:val="24"/>
          <w:u w:val="single"/>
          <w:lang w:val="en-US" w:eastAsia="zh-CN"/>
        </w:rPr>
        <w:t xml:space="preserve">     </w:t>
      </w:r>
      <w:r>
        <w:rPr>
          <w:rFonts w:hint="eastAsia"/>
          <w:color w:val="auto"/>
          <w:sz w:val="24"/>
        </w:rPr>
        <w:t>，</w:t>
      </w:r>
      <w:r>
        <w:rPr>
          <w:rFonts w:hint="eastAsia"/>
          <w:color w:val="auto"/>
          <w:sz w:val="24"/>
          <w:lang w:eastAsia="zh-CN"/>
        </w:rPr>
        <w:t>设计周期</w:t>
      </w:r>
      <w:r>
        <w:rPr>
          <w:rFonts w:hint="eastAsia"/>
          <w:color w:val="auto"/>
          <w:sz w:val="24"/>
          <w:u w:val="single"/>
          <w:lang w:val="en-US" w:eastAsia="zh-CN"/>
        </w:rPr>
        <w:t xml:space="preserve">    </w:t>
      </w:r>
      <w:r>
        <w:rPr>
          <w:rFonts w:hint="eastAsia"/>
          <w:color w:val="auto"/>
          <w:sz w:val="24"/>
        </w:rPr>
        <w:t>，并严格按照合同约定完成相关</w:t>
      </w:r>
      <w:r>
        <w:rPr>
          <w:rFonts w:hint="eastAsia"/>
          <w:color w:val="auto"/>
          <w:sz w:val="24"/>
          <w:lang w:eastAsia="zh-CN"/>
        </w:rPr>
        <w:t>设计</w:t>
      </w:r>
      <w:r>
        <w:rPr>
          <w:rFonts w:hint="eastAsia"/>
          <w:color w:val="auto"/>
          <w:sz w:val="24"/>
        </w:rPr>
        <w:t>服务。</w:t>
      </w:r>
    </w:p>
    <w:p w14:paraId="31F44885">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据此函，经考察现场并</w:t>
      </w:r>
      <w:r>
        <w:rPr>
          <w:rFonts w:hint="eastAsia"/>
          <w:color w:val="auto"/>
          <w:sz w:val="24"/>
        </w:rPr>
        <w:t>认真</w:t>
      </w:r>
      <w:r>
        <w:rPr>
          <w:color w:val="auto"/>
          <w:sz w:val="24"/>
        </w:rPr>
        <w:t>研究</w:t>
      </w:r>
      <w:r>
        <w:rPr>
          <w:rFonts w:hint="eastAsia"/>
          <w:color w:val="auto"/>
          <w:sz w:val="24"/>
        </w:rPr>
        <w:t>磋商</w:t>
      </w:r>
      <w:r>
        <w:rPr>
          <w:color w:val="auto"/>
          <w:sz w:val="24"/>
        </w:rPr>
        <w:t>文件后，</w:t>
      </w:r>
      <w:r>
        <w:rPr>
          <w:rFonts w:hint="eastAsia"/>
          <w:color w:val="auto"/>
          <w:sz w:val="24"/>
        </w:rPr>
        <w:t>我方</w:t>
      </w:r>
      <w:r>
        <w:rPr>
          <w:color w:val="auto"/>
          <w:sz w:val="24"/>
        </w:rPr>
        <w:t>同意：</w:t>
      </w:r>
    </w:p>
    <w:p w14:paraId="45273C86">
      <w:pPr>
        <w:spacing w:line="360" w:lineRule="auto"/>
        <w:ind w:firstLine="480" w:firstLineChars="200"/>
        <w:rPr>
          <w:color w:val="auto"/>
          <w:sz w:val="24"/>
        </w:rPr>
      </w:pPr>
      <w:r>
        <w:rPr>
          <w:rFonts w:hint="eastAsia"/>
          <w:color w:val="auto"/>
          <w:sz w:val="24"/>
          <w:lang w:val="en-US"/>
        </w:rPr>
        <w:t>2</w:t>
      </w:r>
      <w:r>
        <w:rPr>
          <w:color w:val="auto"/>
          <w:sz w:val="24"/>
        </w:rPr>
        <w:t>.1</w:t>
      </w:r>
      <w:r>
        <w:rPr>
          <w:rFonts w:hint="eastAsia"/>
          <w:color w:val="auto"/>
          <w:sz w:val="24"/>
        </w:rPr>
        <w:t>根据项目情况，</w:t>
      </w:r>
      <w:r>
        <w:rPr>
          <w:color w:val="auto"/>
          <w:sz w:val="24"/>
        </w:rPr>
        <w:t>自主报价参与商务投标报价并承担</w:t>
      </w:r>
      <w:r>
        <w:rPr>
          <w:rFonts w:hint="eastAsia"/>
          <w:color w:val="auto"/>
          <w:sz w:val="24"/>
        </w:rPr>
        <w:t>磋商</w:t>
      </w:r>
      <w:r>
        <w:rPr>
          <w:color w:val="auto"/>
          <w:sz w:val="24"/>
        </w:rPr>
        <w:t>文件规定的</w:t>
      </w:r>
      <w:r>
        <w:rPr>
          <w:rFonts w:hint="eastAsia"/>
          <w:color w:val="auto"/>
          <w:sz w:val="24"/>
        </w:rPr>
        <w:t>各项内容及服务</w:t>
      </w:r>
      <w:r>
        <w:rPr>
          <w:color w:val="auto"/>
          <w:sz w:val="24"/>
        </w:rPr>
        <w:t>（报价表附后）。</w:t>
      </w:r>
    </w:p>
    <w:p w14:paraId="3D86E0EF">
      <w:pPr>
        <w:spacing w:line="360" w:lineRule="auto"/>
        <w:ind w:firstLine="480" w:firstLineChars="200"/>
        <w:rPr>
          <w:color w:val="auto"/>
          <w:sz w:val="24"/>
        </w:rPr>
      </w:pPr>
      <w:r>
        <w:rPr>
          <w:rFonts w:hint="eastAsia"/>
          <w:color w:val="auto"/>
          <w:sz w:val="24"/>
          <w:lang w:val="en-US"/>
        </w:rPr>
        <w:t>2</w:t>
      </w:r>
      <w:r>
        <w:rPr>
          <w:color w:val="auto"/>
          <w:sz w:val="24"/>
        </w:rPr>
        <w:t>.2接受</w:t>
      </w:r>
      <w:r>
        <w:rPr>
          <w:rFonts w:hint="eastAsia"/>
          <w:color w:val="auto"/>
          <w:sz w:val="24"/>
        </w:rPr>
        <w:t>采购人“合同文本”中</w:t>
      </w:r>
      <w:r>
        <w:rPr>
          <w:color w:val="auto"/>
          <w:sz w:val="24"/>
        </w:rPr>
        <w:t>条款的所有要求。</w:t>
      </w:r>
    </w:p>
    <w:p w14:paraId="5E5569A9">
      <w:pPr>
        <w:spacing w:line="360" w:lineRule="auto"/>
        <w:ind w:firstLine="480" w:firstLineChars="200"/>
        <w:rPr>
          <w:color w:val="auto"/>
          <w:sz w:val="24"/>
        </w:rPr>
      </w:pPr>
      <w:r>
        <w:rPr>
          <w:rFonts w:hint="eastAsia"/>
          <w:color w:val="auto"/>
          <w:sz w:val="24"/>
          <w:lang w:val="en-US"/>
        </w:rPr>
        <w:t>2</w:t>
      </w:r>
      <w:r>
        <w:rPr>
          <w:color w:val="auto"/>
          <w:sz w:val="24"/>
        </w:rPr>
        <w:t>.3一旦我方</w:t>
      </w:r>
      <w:r>
        <w:rPr>
          <w:rFonts w:hint="eastAsia"/>
          <w:color w:val="auto"/>
          <w:sz w:val="24"/>
        </w:rPr>
        <w:t>成交</w:t>
      </w:r>
      <w:r>
        <w:rPr>
          <w:color w:val="auto"/>
          <w:sz w:val="24"/>
        </w:rPr>
        <w:t>，保证按</w:t>
      </w:r>
      <w:r>
        <w:rPr>
          <w:rFonts w:hint="eastAsia"/>
          <w:color w:val="auto"/>
          <w:sz w:val="24"/>
        </w:rPr>
        <w:t>磋商</w:t>
      </w:r>
      <w:r>
        <w:rPr>
          <w:color w:val="auto"/>
          <w:sz w:val="24"/>
        </w:rPr>
        <w:t>文件的规定和投标时的相关承诺提供</w:t>
      </w:r>
      <w:r>
        <w:rPr>
          <w:rFonts w:hint="eastAsia"/>
          <w:color w:val="auto"/>
          <w:sz w:val="24"/>
        </w:rPr>
        <w:t>相关产品及</w:t>
      </w:r>
      <w:r>
        <w:rPr>
          <w:color w:val="auto"/>
          <w:sz w:val="24"/>
        </w:rPr>
        <w:t>服务。</w:t>
      </w:r>
    </w:p>
    <w:p w14:paraId="214DC370">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4按</w:t>
      </w:r>
      <w:r>
        <w:rPr>
          <w:rFonts w:hint="eastAsia"/>
          <w:color w:val="auto"/>
          <w:sz w:val="24"/>
        </w:rPr>
        <w:t>磋商</w:t>
      </w:r>
      <w:r>
        <w:rPr>
          <w:color w:val="auto"/>
          <w:sz w:val="24"/>
        </w:rPr>
        <w:t>文件中的规定，认定本</w:t>
      </w:r>
      <w:r>
        <w:rPr>
          <w:rFonts w:hint="eastAsia"/>
          <w:color w:val="auto"/>
          <w:sz w:val="24"/>
        </w:rPr>
        <w:t>响应</w:t>
      </w:r>
      <w:r>
        <w:rPr>
          <w:color w:val="auto"/>
          <w:sz w:val="24"/>
        </w:rPr>
        <w:t>文件的有效期为</w:t>
      </w:r>
      <w:r>
        <w:rPr>
          <w:rFonts w:hint="eastAsia"/>
          <w:color w:val="auto"/>
          <w:sz w:val="24"/>
        </w:rPr>
        <w:t>响应文件递交</w:t>
      </w:r>
      <w:r>
        <w:rPr>
          <w:color w:val="auto"/>
          <w:sz w:val="24"/>
        </w:rPr>
        <w:t>截止</w:t>
      </w:r>
      <w:r>
        <w:rPr>
          <w:rFonts w:hint="eastAsia"/>
          <w:color w:val="auto"/>
          <w:sz w:val="24"/>
        </w:rPr>
        <w:t>日</w:t>
      </w:r>
      <w:r>
        <w:rPr>
          <w:color w:val="auto"/>
          <w:sz w:val="24"/>
        </w:rPr>
        <w:t>后60</w:t>
      </w:r>
      <w:r>
        <w:rPr>
          <w:rFonts w:hint="eastAsia"/>
          <w:color w:val="auto"/>
          <w:sz w:val="24"/>
        </w:rPr>
        <w:t>日历</w:t>
      </w:r>
      <w:r>
        <w:rPr>
          <w:color w:val="auto"/>
          <w:sz w:val="24"/>
        </w:rPr>
        <w:t>天。本</w:t>
      </w:r>
      <w:r>
        <w:rPr>
          <w:rFonts w:hint="eastAsia"/>
          <w:color w:val="auto"/>
          <w:sz w:val="24"/>
        </w:rPr>
        <w:t>响应</w:t>
      </w:r>
      <w:r>
        <w:rPr>
          <w:color w:val="auto"/>
          <w:sz w:val="24"/>
        </w:rPr>
        <w:t>文件在截止</w:t>
      </w:r>
      <w:r>
        <w:rPr>
          <w:rFonts w:hint="eastAsia"/>
          <w:color w:val="auto"/>
          <w:sz w:val="24"/>
        </w:rPr>
        <w:t>日起即</w:t>
      </w:r>
      <w:r>
        <w:rPr>
          <w:color w:val="auto"/>
          <w:sz w:val="24"/>
        </w:rPr>
        <w:t>对我方</w:t>
      </w:r>
      <w:r>
        <w:rPr>
          <w:rFonts w:hint="eastAsia"/>
          <w:color w:val="auto"/>
          <w:sz w:val="24"/>
        </w:rPr>
        <w:t>具</w:t>
      </w:r>
      <w:r>
        <w:rPr>
          <w:color w:val="auto"/>
          <w:sz w:val="24"/>
        </w:rPr>
        <w:t>有约束力</w:t>
      </w:r>
      <w:r>
        <w:rPr>
          <w:rFonts w:hint="eastAsia"/>
          <w:color w:val="auto"/>
          <w:sz w:val="24"/>
        </w:rPr>
        <w:t>。</w:t>
      </w:r>
    </w:p>
    <w:p w14:paraId="320154E1">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5提供</w:t>
      </w:r>
      <w:r>
        <w:rPr>
          <w:rFonts w:hint="eastAsia"/>
          <w:color w:val="auto"/>
          <w:sz w:val="24"/>
        </w:rPr>
        <w:t>磋商</w:t>
      </w:r>
      <w:r>
        <w:rPr>
          <w:color w:val="auto"/>
          <w:sz w:val="24"/>
        </w:rPr>
        <w:t>文件中要求的所有文件资料。</w:t>
      </w:r>
    </w:p>
    <w:p w14:paraId="4FC17BC9">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6承认报价是评标的重要因素，但不是唯一标准。</w:t>
      </w:r>
      <w:r>
        <w:rPr>
          <w:rFonts w:hint="eastAsia"/>
          <w:color w:val="auto"/>
          <w:sz w:val="24"/>
        </w:rPr>
        <w:t>我方完全理解采购人不一定将合同授予最低报价的供应商的行为。</w:t>
      </w:r>
    </w:p>
    <w:p w14:paraId="5D3AD0A6">
      <w:pPr>
        <w:spacing w:line="360" w:lineRule="auto"/>
        <w:ind w:firstLine="480" w:firstLineChars="200"/>
        <w:rPr>
          <w:color w:val="auto"/>
          <w:sz w:val="24"/>
        </w:rPr>
      </w:pPr>
      <w:r>
        <w:rPr>
          <w:rFonts w:hint="eastAsia"/>
          <w:color w:val="auto"/>
          <w:sz w:val="24"/>
          <w:lang w:val="en-US"/>
        </w:rPr>
        <w:t>2</w:t>
      </w:r>
      <w:r>
        <w:rPr>
          <w:rFonts w:hint="eastAsia"/>
          <w:color w:val="auto"/>
          <w:sz w:val="24"/>
        </w:rPr>
        <w:t>.7</w:t>
      </w:r>
      <w:r>
        <w:rPr>
          <w:color w:val="auto"/>
          <w:sz w:val="24"/>
        </w:rPr>
        <w:t>已经详细审核了全部</w:t>
      </w:r>
      <w:r>
        <w:rPr>
          <w:rFonts w:hint="eastAsia"/>
          <w:color w:val="auto"/>
          <w:sz w:val="24"/>
        </w:rPr>
        <w:t>磋商</w:t>
      </w:r>
      <w:r>
        <w:rPr>
          <w:color w:val="auto"/>
          <w:sz w:val="24"/>
        </w:rPr>
        <w:t>文件，包括修改、补充的文件（如果有的话）和参考资料，我们完全理解并同意放弃对这方面有不明及误解的权利。</w:t>
      </w:r>
    </w:p>
    <w:p w14:paraId="562FCF49">
      <w:pPr>
        <w:spacing w:line="360" w:lineRule="auto"/>
        <w:ind w:firstLine="480" w:firstLineChars="200"/>
        <w:rPr>
          <w:color w:val="auto"/>
          <w:sz w:val="24"/>
        </w:rPr>
      </w:pPr>
      <w:r>
        <w:rPr>
          <w:rFonts w:hint="eastAsia"/>
          <w:color w:val="auto"/>
          <w:sz w:val="24"/>
          <w:lang w:val="en-US"/>
        </w:rPr>
        <w:t>2</w:t>
      </w:r>
      <w:r>
        <w:rPr>
          <w:rFonts w:hint="eastAsia"/>
          <w:color w:val="auto"/>
          <w:sz w:val="24"/>
        </w:rPr>
        <w:t>.8</w:t>
      </w:r>
      <w:r>
        <w:rPr>
          <w:color w:val="auto"/>
          <w:sz w:val="24"/>
        </w:rPr>
        <w:t>按《中华人民共和国</w:t>
      </w:r>
      <w:r>
        <w:rPr>
          <w:rFonts w:hint="eastAsia"/>
          <w:color w:val="auto"/>
          <w:sz w:val="24"/>
          <w:lang w:eastAsia="zh-CN"/>
        </w:rPr>
        <w:t>民法典</w:t>
      </w:r>
      <w:r>
        <w:rPr>
          <w:color w:val="auto"/>
          <w:sz w:val="24"/>
        </w:rPr>
        <w:t>》履行自己的全部责任。</w:t>
      </w:r>
    </w:p>
    <w:p w14:paraId="52704E65">
      <w:pPr>
        <w:spacing w:line="400" w:lineRule="exact"/>
        <w:ind w:firstLine="4200" w:firstLineChars="1750"/>
        <w:rPr>
          <w:color w:val="auto"/>
          <w:sz w:val="24"/>
        </w:rPr>
      </w:pPr>
    </w:p>
    <w:p w14:paraId="3DD12AE4">
      <w:pPr>
        <w:spacing w:line="360" w:lineRule="auto"/>
        <w:ind w:firstLine="4200" w:firstLineChars="1750"/>
        <w:rPr>
          <w:color w:val="auto"/>
          <w:sz w:val="24"/>
        </w:rPr>
      </w:pPr>
      <w:r>
        <w:rPr>
          <w:rFonts w:hint="eastAsia"/>
          <w:color w:val="auto"/>
          <w:sz w:val="24"/>
        </w:rPr>
        <w:t>供应商：（公章签章）</w:t>
      </w:r>
    </w:p>
    <w:p w14:paraId="725F2083">
      <w:pPr>
        <w:spacing w:line="360" w:lineRule="auto"/>
        <w:jc w:val="center"/>
        <w:rPr>
          <w:color w:val="auto"/>
          <w:sz w:val="24"/>
        </w:rPr>
      </w:pPr>
      <w:bookmarkStart w:id="319" w:name="_Toc13053_WPSOffice_Level3"/>
      <w:r>
        <w:rPr>
          <w:rFonts w:hint="eastAsia"/>
          <w:color w:val="auto"/>
          <w:sz w:val="24"/>
        </w:rPr>
        <w:t>法定代表人或其委托代理人：（法人签章）</w:t>
      </w:r>
      <w:bookmarkEnd w:id="319"/>
    </w:p>
    <w:p w14:paraId="591C0EFC">
      <w:pPr>
        <w:spacing w:line="360" w:lineRule="auto"/>
        <w:ind w:firstLine="960" w:firstLineChars="400"/>
        <w:jc w:val="both"/>
        <w:rPr>
          <w:color w:val="auto"/>
          <w:sz w:val="24"/>
        </w:rPr>
      </w:pPr>
      <w:r>
        <w:rPr>
          <w:rFonts w:hint="eastAsia"/>
          <w:color w:val="auto"/>
          <w:sz w:val="24"/>
        </w:rPr>
        <w:t xml:space="preserve">                                年  月   日</w:t>
      </w:r>
    </w:p>
    <w:p w14:paraId="6E1F1E75">
      <w:pPr>
        <w:spacing w:before="38" w:line="360" w:lineRule="auto"/>
        <w:ind w:left="887" w:right="909"/>
        <w:jc w:val="center"/>
        <w:rPr>
          <w:b/>
          <w:color w:val="auto"/>
          <w:sz w:val="32"/>
        </w:rPr>
      </w:pPr>
      <w:r>
        <w:rPr>
          <w:b/>
          <w:color w:val="auto"/>
          <w:sz w:val="32"/>
        </w:rPr>
        <w:br w:type="page"/>
      </w:r>
    </w:p>
    <w:p w14:paraId="3734CFD8">
      <w:pPr>
        <w:spacing w:line="360" w:lineRule="auto"/>
        <w:jc w:val="center"/>
        <w:outlineLvl w:val="2"/>
        <w:rPr>
          <w:color w:val="auto"/>
          <w:sz w:val="28"/>
          <w:szCs w:val="20"/>
          <w:lang w:val="en-US"/>
        </w:rPr>
      </w:pPr>
      <w:bookmarkStart w:id="320" w:name="_Toc403418420"/>
      <w:bookmarkStart w:id="321" w:name="_Toc403418354"/>
      <w:bookmarkStart w:id="322" w:name="_Toc216842529"/>
      <w:bookmarkStart w:id="323" w:name="_Toc20293"/>
      <w:bookmarkStart w:id="324" w:name="_Toc13604_WPSOffice_Level2"/>
      <w:bookmarkStart w:id="325" w:name="_Toc25194"/>
      <w:bookmarkStart w:id="326" w:name="_Toc14822"/>
      <w:r>
        <w:rPr>
          <w:rFonts w:hint="eastAsia"/>
          <w:color w:val="auto"/>
          <w:sz w:val="28"/>
          <w:szCs w:val="20"/>
          <w:lang w:val="en-US"/>
        </w:rPr>
        <w:t>（二）</w:t>
      </w:r>
      <w:bookmarkEnd w:id="320"/>
      <w:bookmarkEnd w:id="321"/>
      <w:bookmarkEnd w:id="322"/>
      <w:r>
        <w:rPr>
          <w:rFonts w:hint="eastAsia"/>
          <w:color w:val="auto"/>
          <w:sz w:val="28"/>
          <w:szCs w:val="20"/>
          <w:lang w:val="en-US"/>
        </w:rPr>
        <w:t>磋商函附录</w:t>
      </w:r>
      <w:bookmarkEnd w:id="323"/>
      <w:bookmarkEnd w:id="324"/>
      <w:bookmarkEnd w:id="325"/>
      <w:bookmarkEnd w:id="326"/>
    </w:p>
    <w:tbl>
      <w:tblPr>
        <w:tblStyle w:val="20"/>
        <w:tblW w:w="8715"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2955"/>
        <w:gridCol w:w="1275"/>
        <w:gridCol w:w="2430"/>
      </w:tblGrid>
      <w:tr w14:paraId="77AD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55" w:type="dxa"/>
            <w:vAlign w:val="center"/>
          </w:tcPr>
          <w:p w14:paraId="14A57C71">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项目名称</w:t>
            </w:r>
          </w:p>
        </w:tc>
        <w:tc>
          <w:tcPr>
            <w:tcW w:w="6660" w:type="dxa"/>
            <w:gridSpan w:val="3"/>
            <w:vAlign w:val="center"/>
          </w:tcPr>
          <w:p w14:paraId="5C6B0D97">
            <w:pPr>
              <w:adjustRightInd w:val="0"/>
              <w:snapToGrid w:val="0"/>
              <w:spacing w:line="300" w:lineRule="exact"/>
              <w:jc w:val="center"/>
              <w:rPr>
                <w:rFonts w:ascii="宋体" w:hAnsi="宋体" w:cs="宋体"/>
                <w:color w:val="auto"/>
                <w:sz w:val="24"/>
              </w:rPr>
            </w:pPr>
          </w:p>
        </w:tc>
      </w:tr>
      <w:tr w14:paraId="07D5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055" w:type="dxa"/>
            <w:vAlign w:val="center"/>
          </w:tcPr>
          <w:p w14:paraId="5E34E8F3">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供应商</w:t>
            </w:r>
            <w:r>
              <w:rPr>
                <w:rFonts w:hint="eastAsia" w:ascii="宋体" w:hAnsi="宋体" w:cs="宋体"/>
                <w:color w:val="auto"/>
                <w:sz w:val="24"/>
                <w:lang w:eastAsia="zh-CN"/>
              </w:rPr>
              <w:t>名称</w:t>
            </w:r>
          </w:p>
        </w:tc>
        <w:tc>
          <w:tcPr>
            <w:tcW w:w="6660" w:type="dxa"/>
            <w:gridSpan w:val="3"/>
            <w:vAlign w:val="center"/>
          </w:tcPr>
          <w:p w14:paraId="2308F270">
            <w:pPr>
              <w:adjustRightInd w:val="0"/>
              <w:snapToGrid w:val="0"/>
              <w:spacing w:line="300" w:lineRule="exact"/>
              <w:jc w:val="center"/>
              <w:rPr>
                <w:rFonts w:ascii="宋体" w:hAnsi="宋体" w:cs="宋体"/>
                <w:color w:val="auto"/>
                <w:sz w:val="24"/>
              </w:rPr>
            </w:pPr>
          </w:p>
        </w:tc>
      </w:tr>
      <w:tr w14:paraId="4247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055" w:type="dxa"/>
            <w:vAlign w:val="center"/>
          </w:tcPr>
          <w:p w14:paraId="4EAF0251">
            <w:pPr>
              <w:adjustRightInd w:val="0"/>
              <w:snapToGrid w:val="0"/>
              <w:spacing w:line="300" w:lineRule="exact"/>
              <w:jc w:val="center"/>
              <w:rPr>
                <w:rFonts w:hint="eastAsia" w:ascii="宋体" w:hAnsi="宋体" w:eastAsia="宋体" w:cs="宋体"/>
                <w:color w:val="auto"/>
                <w:sz w:val="24"/>
                <w:lang w:val="en-US" w:eastAsia="zh-CN"/>
              </w:rPr>
            </w:pPr>
            <w:r>
              <w:rPr>
                <w:rFonts w:hint="eastAsia" w:cs="宋体"/>
                <w:color w:val="auto"/>
                <w:sz w:val="24"/>
                <w:lang w:val="en-US" w:eastAsia="zh-CN"/>
              </w:rPr>
              <w:t>企业资质</w:t>
            </w:r>
          </w:p>
        </w:tc>
        <w:tc>
          <w:tcPr>
            <w:tcW w:w="6660" w:type="dxa"/>
            <w:gridSpan w:val="3"/>
            <w:vAlign w:val="center"/>
          </w:tcPr>
          <w:p w14:paraId="1C28DDE3">
            <w:pPr>
              <w:adjustRightInd w:val="0"/>
              <w:snapToGrid w:val="0"/>
              <w:spacing w:line="380" w:lineRule="exact"/>
              <w:jc w:val="center"/>
              <w:rPr>
                <w:rFonts w:ascii="宋体" w:hAnsi="宋体" w:cs="宋体"/>
                <w:color w:val="auto"/>
                <w:sz w:val="24"/>
              </w:rPr>
            </w:pPr>
          </w:p>
        </w:tc>
      </w:tr>
      <w:tr w14:paraId="30AA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055" w:type="dxa"/>
            <w:vAlign w:val="center"/>
          </w:tcPr>
          <w:p w14:paraId="5049D122">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投标内容</w:t>
            </w:r>
          </w:p>
        </w:tc>
        <w:tc>
          <w:tcPr>
            <w:tcW w:w="6660" w:type="dxa"/>
            <w:gridSpan w:val="3"/>
            <w:vAlign w:val="center"/>
          </w:tcPr>
          <w:p w14:paraId="2E6E7968">
            <w:pPr>
              <w:adjustRightInd w:val="0"/>
              <w:snapToGrid w:val="0"/>
              <w:spacing w:line="380" w:lineRule="exact"/>
              <w:jc w:val="center"/>
              <w:rPr>
                <w:rFonts w:ascii="宋体" w:hAnsi="宋体" w:cs="宋体"/>
                <w:color w:val="auto"/>
                <w:sz w:val="24"/>
              </w:rPr>
            </w:pPr>
          </w:p>
        </w:tc>
      </w:tr>
      <w:tr w14:paraId="1048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055" w:type="dxa"/>
            <w:vAlign w:val="center"/>
          </w:tcPr>
          <w:p w14:paraId="6D714050">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投标报价</w:t>
            </w:r>
          </w:p>
        </w:tc>
        <w:tc>
          <w:tcPr>
            <w:tcW w:w="6660" w:type="dxa"/>
            <w:gridSpan w:val="3"/>
            <w:vAlign w:val="center"/>
          </w:tcPr>
          <w:p w14:paraId="2177841B">
            <w:pPr>
              <w:adjustRightInd w:val="0"/>
              <w:snapToGrid w:val="0"/>
              <w:spacing w:line="380" w:lineRule="exact"/>
              <w:jc w:val="both"/>
              <w:rPr>
                <w:rFonts w:hint="eastAsia" w:cs="宋体"/>
                <w:color w:val="auto"/>
                <w:sz w:val="24"/>
                <w:u w:val="single"/>
                <w:lang w:val="en-US" w:eastAsia="zh-CN"/>
              </w:rPr>
            </w:pPr>
            <w:r>
              <w:rPr>
                <w:rFonts w:hint="eastAsia" w:cs="宋体"/>
                <w:color w:val="auto"/>
                <w:sz w:val="24"/>
                <w:u w:val="single"/>
                <w:lang w:val="en-US" w:eastAsia="zh-CN"/>
              </w:rPr>
              <w:t>大写：</w:t>
            </w:r>
          </w:p>
          <w:p w14:paraId="16846264">
            <w:pPr>
              <w:adjustRightInd w:val="0"/>
              <w:snapToGrid w:val="0"/>
              <w:spacing w:line="380" w:lineRule="exact"/>
              <w:jc w:val="both"/>
              <w:rPr>
                <w:rFonts w:hint="default"/>
                <w:lang w:val="en-US" w:eastAsia="zh-CN"/>
              </w:rPr>
            </w:pPr>
            <w:r>
              <w:rPr>
                <w:rFonts w:hint="eastAsia" w:cs="宋体"/>
                <w:color w:val="auto"/>
                <w:sz w:val="24"/>
                <w:u w:val="single"/>
                <w:lang w:val="en-US" w:eastAsia="zh-CN"/>
              </w:rPr>
              <w:t>小写:</w:t>
            </w:r>
          </w:p>
        </w:tc>
      </w:tr>
      <w:tr w14:paraId="07F3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055" w:type="dxa"/>
            <w:vAlign w:val="center"/>
          </w:tcPr>
          <w:p w14:paraId="0DCDB7BE">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2955" w:type="dxa"/>
            <w:vAlign w:val="center"/>
          </w:tcPr>
          <w:p w14:paraId="01168C60">
            <w:pPr>
              <w:adjustRightInd w:val="0"/>
              <w:snapToGrid w:val="0"/>
              <w:spacing w:line="300" w:lineRule="exact"/>
              <w:jc w:val="center"/>
              <w:rPr>
                <w:rFonts w:ascii="宋体" w:hAnsi="宋体" w:cs="宋体"/>
                <w:color w:val="auto"/>
                <w:sz w:val="24"/>
              </w:rPr>
            </w:pPr>
          </w:p>
        </w:tc>
        <w:tc>
          <w:tcPr>
            <w:tcW w:w="1275" w:type="dxa"/>
            <w:vAlign w:val="center"/>
          </w:tcPr>
          <w:p w14:paraId="14BE6798">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联系方式</w:t>
            </w:r>
          </w:p>
        </w:tc>
        <w:tc>
          <w:tcPr>
            <w:tcW w:w="2430" w:type="dxa"/>
            <w:vAlign w:val="center"/>
          </w:tcPr>
          <w:p w14:paraId="64EECC24">
            <w:pPr>
              <w:adjustRightInd w:val="0"/>
              <w:snapToGrid w:val="0"/>
              <w:spacing w:line="300" w:lineRule="exact"/>
              <w:jc w:val="center"/>
              <w:rPr>
                <w:rFonts w:ascii="宋体" w:hAnsi="宋体" w:cs="宋体"/>
                <w:color w:val="auto"/>
                <w:sz w:val="24"/>
              </w:rPr>
            </w:pPr>
          </w:p>
        </w:tc>
      </w:tr>
      <w:tr w14:paraId="4A17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55" w:type="dxa"/>
            <w:vAlign w:val="center"/>
          </w:tcPr>
          <w:p w14:paraId="53645B6E">
            <w:pPr>
              <w:adjustRightInd w:val="0"/>
              <w:snapToGrid w:val="0"/>
              <w:spacing w:line="300" w:lineRule="exact"/>
              <w:jc w:val="center"/>
              <w:rPr>
                <w:rFonts w:ascii="宋体" w:hAnsi="宋体" w:cs="宋体"/>
                <w:color w:val="auto"/>
                <w:sz w:val="24"/>
              </w:rPr>
            </w:pPr>
            <w:r>
              <w:rPr>
                <w:rFonts w:hint="eastAsia" w:ascii="宋体" w:hAnsi="宋体" w:cs="宋体"/>
                <w:color w:val="auto"/>
                <w:sz w:val="24"/>
                <w:lang w:eastAsia="zh-CN"/>
              </w:rPr>
              <w:t>设计</w:t>
            </w:r>
            <w:r>
              <w:rPr>
                <w:rFonts w:hint="eastAsia" w:ascii="宋体" w:hAnsi="宋体" w:cs="宋体"/>
                <w:color w:val="auto"/>
                <w:sz w:val="24"/>
              </w:rPr>
              <w:t>周期</w:t>
            </w:r>
          </w:p>
        </w:tc>
        <w:tc>
          <w:tcPr>
            <w:tcW w:w="6660" w:type="dxa"/>
            <w:gridSpan w:val="3"/>
            <w:vAlign w:val="center"/>
          </w:tcPr>
          <w:p w14:paraId="76EED3F9">
            <w:pPr>
              <w:adjustRightInd w:val="0"/>
              <w:snapToGrid w:val="0"/>
              <w:spacing w:line="300" w:lineRule="exact"/>
              <w:jc w:val="center"/>
              <w:rPr>
                <w:rFonts w:ascii="宋体" w:hAnsi="宋体" w:cs="宋体"/>
                <w:color w:val="auto"/>
                <w:sz w:val="24"/>
              </w:rPr>
            </w:pPr>
          </w:p>
        </w:tc>
      </w:tr>
      <w:tr w14:paraId="4092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055" w:type="dxa"/>
            <w:vAlign w:val="center"/>
          </w:tcPr>
          <w:p w14:paraId="75717850">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质量标准</w:t>
            </w:r>
          </w:p>
        </w:tc>
        <w:tc>
          <w:tcPr>
            <w:tcW w:w="6660" w:type="dxa"/>
            <w:gridSpan w:val="3"/>
            <w:vAlign w:val="center"/>
          </w:tcPr>
          <w:p w14:paraId="0C482792">
            <w:pPr>
              <w:adjustRightInd w:val="0"/>
              <w:snapToGrid w:val="0"/>
              <w:spacing w:line="300" w:lineRule="exact"/>
              <w:jc w:val="center"/>
              <w:rPr>
                <w:rFonts w:ascii="宋体" w:hAnsi="宋体" w:cs="宋体"/>
                <w:color w:val="auto"/>
                <w:sz w:val="24"/>
              </w:rPr>
            </w:pPr>
          </w:p>
        </w:tc>
      </w:tr>
      <w:tr w14:paraId="7863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055" w:type="dxa"/>
            <w:vAlign w:val="center"/>
          </w:tcPr>
          <w:p w14:paraId="1C97E9F6">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投标有效期</w:t>
            </w:r>
          </w:p>
        </w:tc>
        <w:tc>
          <w:tcPr>
            <w:tcW w:w="6660" w:type="dxa"/>
            <w:gridSpan w:val="3"/>
            <w:vAlign w:val="center"/>
          </w:tcPr>
          <w:p w14:paraId="09B89CAB">
            <w:pPr>
              <w:adjustRightInd w:val="0"/>
              <w:snapToGrid w:val="0"/>
              <w:spacing w:line="300" w:lineRule="exact"/>
              <w:jc w:val="center"/>
              <w:rPr>
                <w:rFonts w:ascii="宋体" w:hAnsi="宋体" w:cs="宋体"/>
                <w:color w:val="auto"/>
                <w:sz w:val="24"/>
              </w:rPr>
            </w:pPr>
          </w:p>
        </w:tc>
      </w:tr>
      <w:tr w14:paraId="4EAE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055" w:type="dxa"/>
            <w:vAlign w:val="center"/>
          </w:tcPr>
          <w:p w14:paraId="2150C237">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备注</w:t>
            </w:r>
          </w:p>
        </w:tc>
        <w:tc>
          <w:tcPr>
            <w:tcW w:w="6660" w:type="dxa"/>
            <w:gridSpan w:val="3"/>
            <w:vAlign w:val="center"/>
          </w:tcPr>
          <w:p w14:paraId="3254869A">
            <w:pPr>
              <w:adjustRightInd w:val="0"/>
              <w:snapToGrid w:val="0"/>
              <w:spacing w:line="300" w:lineRule="exact"/>
              <w:jc w:val="center"/>
              <w:rPr>
                <w:rFonts w:ascii="宋体" w:hAnsi="宋体" w:cs="宋体"/>
                <w:color w:val="auto"/>
                <w:sz w:val="24"/>
              </w:rPr>
            </w:pPr>
          </w:p>
        </w:tc>
      </w:tr>
    </w:tbl>
    <w:p w14:paraId="238BF5CB">
      <w:pPr>
        <w:spacing w:line="300" w:lineRule="exact"/>
        <w:rPr>
          <w:color w:val="auto"/>
          <w:szCs w:val="21"/>
        </w:rPr>
      </w:pPr>
    </w:p>
    <w:p w14:paraId="3F5C7DF7">
      <w:pPr>
        <w:spacing w:line="360" w:lineRule="exact"/>
        <w:rPr>
          <w:b/>
          <w:bCs/>
          <w:color w:val="auto"/>
          <w:szCs w:val="21"/>
        </w:rPr>
      </w:pPr>
      <w:r>
        <w:rPr>
          <w:rFonts w:hint="eastAsia"/>
          <w:b/>
          <w:bCs/>
          <w:color w:val="auto"/>
          <w:szCs w:val="21"/>
        </w:rPr>
        <w:t>注：1、投标报价仅且只有一个有效报价，不得出现两个及以上报价，否则作废标处理。</w:t>
      </w:r>
    </w:p>
    <w:p w14:paraId="08224C4C">
      <w:pPr>
        <w:spacing w:line="360" w:lineRule="exact"/>
        <w:rPr>
          <w:color w:val="auto"/>
          <w:szCs w:val="21"/>
        </w:rPr>
      </w:pPr>
      <w:r>
        <w:rPr>
          <w:rFonts w:hint="eastAsia"/>
          <w:b/>
          <w:bCs/>
          <w:color w:val="auto"/>
          <w:szCs w:val="21"/>
        </w:rPr>
        <w:t>2、此处为第一轮报价供</w:t>
      </w:r>
      <w:r>
        <w:rPr>
          <w:rFonts w:hint="eastAsia"/>
          <w:b/>
          <w:bCs/>
          <w:color w:val="auto"/>
          <w:szCs w:val="21"/>
          <w:lang w:eastAsia="zh-CN"/>
        </w:rPr>
        <w:t>磋商</w:t>
      </w:r>
      <w:r>
        <w:rPr>
          <w:rFonts w:hint="eastAsia"/>
          <w:b/>
          <w:bCs/>
          <w:color w:val="auto"/>
          <w:szCs w:val="21"/>
        </w:rPr>
        <w:t>小组在评审时参考比较，此时的最低报价并不是成交的条件。</w:t>
      </w:r>
    </w:p>
    <w:p w14:paraId="7BA3E6D0">
      <w:pPr>
        <w:spacing w:line="300" w:lineRule="exact"/>
        <w:rPr>
          <w:color w:val="auto"/>
          <w:szCs w:val="21"/>
        </w:rPr>
      </w:pPr>
    </w:p>
    <w:p w14:paraId="0EB070D6">
      <w:pPr>
        <w:spacing w:line="300" w:lineRule="exact"/>
        <w:rPr>
          <w:color w:val="auto"/>
          <w:szCs w:val="21"/>
        </w:rPr>
      </w:pPr>
    </w:p>
    <w:p w14:paraId="39A19EDE">
      <w:pPr>
        <w:spacing w:line="300" w:lineRule="exact"/>
        <w:ind w:firstLine="3600" w:firstLineChars="1500"/>
        <w:rPr>
          <w:color w:val="auto"/>
          <w:sz w:val="24"/>
        </w:rPr>
      </w:pPr>
      <w:r>
        <w:rPr>
          <w:rFonts w:hint="eastAsia"/>
          <w:color w:val="auto"/>
          <w:sz w:val="24"/>
        </w:rPr>
        <w:t>供应商：（公章签章）</w:t>
      </w:r>
    </w:p>
    <w:p w14:paraId="100E6BC2">
      <w:pPr>
        <w:spacing w:line="300" w:lineRule="exact"/>
        <w:rPr>
          <w:color w:val="auto"/>
          <w:sz w:val="24"/>
        </w:rPr>
      </w:pPr>
    </w:p>
    <w:p w14:paraId="16891685">
      <w:pPr>
        <w:spacing w:line="300" w:lineRule="exact"/>
        <w:ind w:firstLine="3600" w:firstLineChars="1500"/>
        <w:rPr>
          <w:color w:val="auto"/>
          <w:sz w:val="24"/>
        </w:rPr>
      </w:pPr>
      <w:r>
        <w:rPr>
          <w:rFonts w:hint="eastAsia"/>
          <w:color w:val="auto"/>
          <w:sz w:val="24"/>
        </w:rPr>
        <w:t>联系人：          电话 ：</w:t>
      </w:r>
    </w:p>
    <w:p w14:paraId="29E1AF74">
      <w:pPr>
        <w:spacing w:line="300" w:lineRule="exact"/>
        <w:rPr>
          <w:color w:val="auto"/>
          <w:sz w:val="24"/>
        </w:rPr>
      </w:pPr>
    </w:p>
    <w:p w14:paraId="256DA17F">
      <w:pPr>
        <w:spacing w:line="300" w:lineRule="exact"/>
        <w:ind w:firstLine="3600" w:firstLineChars="1500"/>
        <w:rPr>
          <w:color w:val="auto"/>
          <w:sz w:val="24"/>
        </w:rPr>
      </w:pPr>
      <w:r>
        <w:rPr>
          <w:rFonts w:hint="eastAsia"/>
          <w:color w:val="auto"/>
          <w:sz w:val="24"/>
        </w:rPr>
        <w:t xml:space="preserve">法定代表人或其委托代理人：（法人签章）       </w:t>
      </w:r>
    </w:p>
    <w:p w14:paraId="27F01E1E">
      <w:pPr>
        <w:spacing w:line="300" w:lineRule="exact"/>
        <w:rPr>
          <w:color w:val="auto"/>
          <w:sz w:val="24"/>
        </w:rPr>
      </w:pPr>
    </w:p>
    <w:p w14:paraId="37B7E871">
      <w:pPr>
        <w:spacing w:line="300" w:lineRule="exact"/>
        <w:ind w:firstLine="3600" w:firstLineChars="1500"/>
        <w:rPr>
          <w:color w:val="auto"/>
          <w:sz w:val="24"/>
        </w:rPr>
      </w:pPr>
      <w:r>
        <w:rPr>
          <w:rFonts w:hint="eastAsia"/>
          <w:color w:val="auto"/>
          <w:sz w:val="24"/>
        </w:rPr>
        <w:t>日期：     年   月   日</w:t>
      </w:r>
    </w:p>
    <w:p w14:paraId="61A7A266">
      <w:pPr>
        <w:spacing w:before="38"/>
        <w:ind w:right="909"/>
        <w:jc w:val="both"/>
        <w:rPr>
          <w:b/>
          <w:color w:val="auto"/>
          <w:sz w:val="32"/>
        </w:rPr>
      </w:pPr>
      <w:r>
        <w:rPr>
          <w:b/>
          <w:color w:val="auto"/>
          <w:sz w:val="32"/>
        </w:rPr>
        <w:br w:type="page"/>
      </w:r>
    </w:p>
    <w:p w14:paraId="0ADA3E2B">
      <w:pPr>
        <w:pStyle w:val="37"/>
        <w:ind w:left="0"/>
        <w:jc w:val="center"/>
        <w:outlineLvl w:val="0"/>
        <w:rPr>
          <w:rFonts w:ascii="宋体" w:hAnsi="宋体"/>
          <w:color w:val="auto"/>
        </w:rPr>
      </w:pPr>
      <w:bookmarkStart w:id="327" w:name="_Toc467255652"/>
      <w:bookmarkStart w:id="328" w:name="_Toc424308521"/>
      <w:bookmarkStart w:id="329" w:name="_Toc465887466"/>
      <w:bookmarkStart w:id="330" w:name="_Toc29682"/>
      <w:bookmarkStart w:id="331" w:name="_Toc4976_WPSOffice_Level1"/>
      <w:bookmarkStart w:id="332" w:name="_Toc118"/>
      <w:bookmarkStart w:id="333" w:name="_Toc30441"/>
      <w:r>
        <w:rPr>
          <w:rFonts w:hint="eastAsia" w:ascii="宋体" w:hAnsi="宋体"/>
          <w:color w:val="auto"/>
        </w:rPr>
        <w:t>二、法定代表人身份证明</w:t>
      </w:r>
      <w:bookmarkEnd w:id="327"/>
      <w:bookmarkEnd w:id="328"/>
      <w:bookmarkEnd w:id="329"/>
      <w:bookmarkEnd w:id="330"/>
      <w:bookmarkEnd w:id="331"/>
      <w:bookmarkEnd w:id="332"/>
      <w:bookmarkEnd w:id="333"/>
    </w:p>
    <w:p w14:paraId="56DDEAD2">
      <w:pPr>
        <w:pStyle w:val="3"/>
        <w:tabs>
          <w:tab w:val="left" w:pos="720"/>
        </w:tabs>
        <w:snapToGrid w:val="0"/>
        <w:spacing w:before="0"/>
        <w:ind w:left="0"/>
        <w:outlineLvl w:val="9"/>
        <w:rPr>
          <w:b w:val="0"/>
          <w:color w:val="auto"/>
          <w:sz w:val="24"/>
          <w:szCs w:val="24"/>
        </w:rPr>
      </w:pPr>
      <w:bookmarkStart w:id="334" w:name="_Toc424308522"/>
      <w:bookmarkStart w:id="335" w:name="_Toc467255653"/>
      <w:bookmarkStart w:id="336" w:name="_Toc32377"/>
      <w:bookmarkStart w:id="337" w:name="_Toc465887467"/>
    </w:p>
    <w:p w14:paraId="107BDBE6">
      <w:pPr>
        <w:pStyle w:val="3"/>
        <w:tabs>
          <w:tab w:val="left" w:pos="720"/>
        </w:tabs>
        <w:snapToGrid w:val="0"/>
        <w:spacing w:before="0"/>
        <w:ind w:left="0"/>
        <w:rPr>
          <w:b w:val="0"/>
          <w:color w:val="auto"/>
          <w:sz w:val="24"/>
          <w:szCs w:val="24"/>
        </w:rPr>
      </w:pPr>
      <w:r>
        <w:rPr>
          <w:rFonts w:hint="eastAsia"/>
          <w:b w:val="0"/>
          <w:color w:val="auto"/>
          <w:sz w:val="24"/>
          <w:szCs w:val="24"/>
        </w:rPr>
        <w:t>单位名称：</w:t>
      </w:r>
      <w:bookmarkEnd w:id="334"/>
      <w:bookmarkEnd w:id="335"/>
      <w:bookmarkEnd w:id="336"/>
      <w:bookmarkEnd w:id="337"/>
    </w:p>
    <w:p w14:paraId="1C5AACAA">
      <w:pPr>
        <w:snapToGrid w:val="0"/>
        <w:rPr>
          <w:color w:val="auto"/>
          <w:sz w:val="24"/>
        </w:rPr>
      </w:pPr>
    </w:p>
    <w:p w14:paraId="2D3BEF2A">
      <w:pPr>
        <w:snapToGrid w:val="0"/>
        <w:rPr>
          <w:color w:val="auto"/>
          <w:sz w:val="24"/>
        </w:rPr>
      </w:pPr>
      <w:r>
        <w:rPr>
          <w:rFonts w:hint="eastAsia"/>
          <w:color w:val="auto"/>
          <w:sz w:val="24"/>
        </w:rPr>
        <w:t>单位性质：</w:t>
      </w:r>
    </w:p>
    <w:p w14:paraId="63A67E75">
      <w:pPr>
        <w:snapToGrid w:val="0"/>
        <w:rPr>
          <w:color w:val="auto"/>
          <w:sz w:val="24"/>
        </w:rPr>
      </w:pPr>
    </w:p>
    <w:p w14:paraId="1DDCF181">
      <w:pPr>
        <w:snapToGrid w:val="0"/>
        <w:rPr>
          <w:color w:val="auto"/>
          <w:sz w:val="24"/>
        </w:rPr>
      </w:pPr>
      <w:r>
        <w:rPr>
          <w:rFonts w:hint="eastAsia"/>
          <w:color w:val="auto"/>
          <w:sz w:val="24"/>
        </w:rPr>
        <w:t>地   址：</w:t>
      </w:r>
    </w:p>
    <w:p w14:paraId="48638871">
      <w:pPr>
        <w:snapToGrid w:val="0"/>
        <w:rPr>
          <w:color w:val="auto"/>
          <w:sz w:val="24"/>
        </w:rPr>
      </w:pPr>
    </w:p>
    <w:p w14:paraId="606735E7">
      <w:pPr>
        <w:snapToGrid w:val="0"/>
        <w:rPr>
          <w:color w:val="auto"/>
          <w:sz w:val="24"/>
        </w:rPr>
      </w:pPr>
      <w:r>
        <w:rPr>
          <w:rFonts w:hint="eastAsia"/>
          <w:color w:val="auto"/>
          <w:sz w:val="24"/>
        </w:rPr>
        <w:t>成立时间：</w:t>
      </w:r>
    </w:p>
    <w:p w14:paraId="4525B86B">
      <w:pPr>
        <w:snapToGrid w:val="0"/>
        <w:rPr>
          <w:color w:val="auto"/>
          <w:sz w:val="24"/>
        </w:rPr>
      </w:pPr>
    </w:p>
    <w:p w14:paraId="4676F5A3">
      <w:pPr>
        <w:snapToGrid w:val="0"/>
        <w:rPr>
          <w:color w:val="auto"/>
          <w:sz w:val="24"/>
        </w:rPr>
      </w:pPr>
      <w:r>
        <w:rPr>
          <w:rFonts w:hint="eastAsia"/>
          <w:color w:val="auto"/>
          <w:sz w:val="24"/>
        </w:rPr>
        <w:t>经营期限：</w:t>
      </w:r>
    </w:p>
    <w:p w14:paraId="015D24ED">
      <w:pPr>
        <w:snapToGrid w:val="0"/>
        <w:rPr>
          <w:color w:val="auto"/>
          <w:sz w:val="24"/>
        </w:rPr>
      </w:pPr>
    </w:p>
    <w:p w14:paraId="26B60C68">
      <w:pPr>
        <w:snapToGrid w:val="0"/>
        <w:rPr>
          <w:color w:val="auto"/>
          <w:sz w:val="24"/>
          <w:u w:val="single"/>
        </w:rPr>
      </w:pPr>
      <w:r>
        <w:rPr>
          <w:rFonts w:hint="eastAsia"/>
          <w:color w:val="auto"/>
          <w:sz w:val="24"/>
        </w:rPr>
        <w:t>姓  名：</w:t>
      </w:r>
      <w:r>
        <w:rPr>
          <w:rFonts w:hint="eastAsia"/>
          <w:color w:val="auto"/>
          <w:sz w:val="24"/>
          <w:lang w:val="en-US" w:eastAsia="zh-CN"/>
        </w:rPr>
        <w:t xml:space="preserve">     </w:t>
      </w:r>
      <w:r>
        <w:rPr>
          <w:rFonts w:hint="eastAsia"/>
          <w:color w:val="auto"/>
          <w:sz w:val="24"/>
        </w:rPr>
        <w:t xml:space="preserve"> 性 别：</w:t>
      </w:r>
    </w:p>
    <w:p w14:paraId="6A262ECC">
      <w:pPr>
        <w:snapToGrid w:val="0"/>
        <w:rPr>
          <w:color w:val="auto"/>
          <w:sz w:val="24"/>
          <w:u w:val="single"/>
        </w:rPr>
      </w:pPr>
    </w:p>
    <w:p w14:paraId="2F12FB71">
      <w:pPr>
        <w:snapToGrid w:val="0"/>
        <w:rPr>
          <w:color w:val="auto"/>
          <w:sz w:val="24"/>
        </w:rPr>
      </w:pPr>
      <w:r>
        <w:rPr>
          <w:rFonts w:hint="eastAsia"/>
          <w:color w:val="auto"/>
          <w:sz w:val="24"/>
        </w:rPr>
        <w:t xml:space="preserve">年 龄：  </w:t>
      </w:r>
      <w:r>
        <w:rPr>
          <w:rFonts w:hint="eastAsia"/>
          <w:color w:val="auto"/>
          <w:sz w:val="24"/>
          <w:lang w:val="en-US" w:eastAsia="zh-CN"/>
        </w:rPr>
        <w:t xml:space="preserve">    </w:t>
      </w:r>
      <w:r>
        <w:rPr>
          <w:rFonts w:hint="eastAsia"/>
          <w:color w:val="auto"/>
          <w:sz w:val="24"/>
        </w:rPr>
        <w:t xml:space="preserve"> 职务：</w:t>
      </w:r>
    </w:p>
    <w:p w14:paraId="0370BEA4">
      <w:pPr>
        <w:snapToGrid w:val="0"/>
        <w:rPr>
          <w:color w:val="auto"/>
          <w:sz w:val="24"/>
        </w:rPr>
      </w:pPr>
    </w:p>
    <w:p w14:paraId="66F24F80">
      <w:pPr>
        <w:snapToGrid w:val="0"/>
        <w:rPr>
          <w:color w:val="auto"/>
          <w:sz w:val="24"/>
        </w:rPr>
      </w:pPr>
      <w:r>
        <w:rPr>
          <w:rFonts w:hint="eastAsia"/>
          <w:color w:val="auto"/>
          <w:sz w:val="24"/>
        </w:rPr>
        <w:t>系（投标供应商名称）的法定代表人。</w:t>
      </w:r>
    </w:p>
    <w:p w14:paraId="5F7C9F8A">
      <w:pPr>
        <w:snapToGrid w:val="0"/>
        <w:spacing w:line="360" w:lineRule="auto"/>
        <w:rPr>
          <w:color w:val="auto"/>
          <w:sz w:val="24"/>
        </w:rPr>
      </w:pPr>
    </w:p>
    <w:p w14:paraId="2EC90B05">
      <w:pPr>
        <w:snapToGrid w:val="0"/>
        <w:spacing w:line="360" w:lineRule="auto"/>
        <w:rPr>
          <w:color w:val="auto"/>
          <w:sz w:val="24"/>
        </w:rPr>
      </w:pPr>
    </w:p>
    <w:p w14:paraId="060E32DD">
      <w:pPr>
        <w:snapToGrid w:val="0"/>
        <w:rPr>
          <w:rFonts w:hint="eastAsia"/>
          <w:color w:val="auto"/>
          <w:sz w:val="24"/>
        </w:rPr>
      </w:pPr>
      <w:r>
        <w:rPr>
          <w:rFonts w:hint="eastAsia"/>
          <w:color w:val="auto"/>
          <w:sz w:val="24"/>
        </w:rPr>
        <w:t xml:space="preserve">特此证明   </w:t>
      </w:r>
    </w:p>
    <w:p w14:paraId="17A84035">
      <w:pPr>
        <w:snapToGrid w:val="0"/>
        <w:rPr>
          <w:rFonts w:hint="eastAsia"/>
          <w:color w:val="auto"/>
          <w:sz w:val="24"/>
        </w:rPr>
      </w:pPr>
    </w:p>
    <w:p w14:paraId="4B26C800">
      <w:pPr>
        <w:snapToGrid w:val="0"/>
        <w:rPr>
          <w:rFonts w:hint="eastAsia"/>
          <w:color w:val="auto"/>
          <w:sz w:val="24"/>
        </w:rPr>
      </w:pPr>
    </w:p>
    <w:p w14:paraId="48279C51">
      <w:pPr>
        <w:snapToGrid w:val="0"/>
        <w:rPr>
          <w:rFonts w:hint="eastAsia"/>
          <w:color w:val="auto"/>
          <w:sz w:val="24"/>
        </w:rPr>
      </w:pPr>
      <w:r>
        <w:rPr>
          <w:rFonts w:hint="eastAsia"/>
          <w:color w:val="auto"/>
          <w:sz w:val="24"/>
        </w:rPr>
        <w:t>供应商：（公章签章）</w:t>
      </w:r>
    </w:p>
    <w:p w14:paraId="05095FCD">
      <w:pPr>
        <w:snapToGrid w:val="0"/>
        <w:spacing w:line="360" w:lineRule="auto"/>
        <w:rPr>
          <w:color w:val="auto"/>
        </w:rPr>
      </w:pPr>
    </w:p>
    <w:p w14:paraId="350142F9">
      <w:pPr>
        <w:snapToGrid w:val="0"/>
        <w:spacing w:line="360" w:lineRule="auto"/>
        <w:jc w:val="center"/>
        <w:rPr>
          <w:color w:val="auto"/>
          <w:sz w:val="24"/>
        </w:rPr>
      </w:pPr>
      <w:bookmarkStart w:id="338" w:name="_Toc11862_WPSOffice_Level2"/>
      <w:r>
        <w:rPr>
          <w:rFonts w:hint="eastAsia"/>
          <w:color w:val="auto"/>
          <w:sz w:val="24"/>
        </w:rPr>
        <w:t>年    月    日</w:t>
      </w:r>
      <w:bookmarkEnd w:id="338"/>
    </w:p>
    <w:p w14:paraId="0F7F1325">
      <w:pPr>
        <w:pStyle w:val="4"/>
        <w:tabs>
          <w:tab w:val="left" w:pos="425"/>
          <w:tab w:val="left" w:pos="720"/>
        </w:tabs>
        <w:ind w:left="288"/>
        <w:jc w:val="center"/>
        <w:outlineLvl w:val="9"/>
        <w:rPr>
          <w:color w:val="auto"/>
        </w:rPr>
      </w:pPr>
      <w:r>
        <w:rPr>
          <w:rFonts w:hint="eastAsia"/>
          <w:bCs w:val="0"/>
          <w:color w:val="auto"/>
          <w:sz w:val="36"/>
          <w:szCs w:val="36"/>
        </w:rPr>
        <w:br w:type="page"/>
      </w:r>
    </w:p>
    <w:p w14:paraId="182E5559">
      <w:pPr>
        <w:pStyle w:val="37"/>
        <w:ind w:left="0"/>
        <w:jc w:val="center"/>
        <w:outlineLvl w:val="0"/>
        <w:rPr>
          <w:rFonts w:ascii="宋体" w:hAnsi="宋体"/>
          <w:color w:val="auto"/>
        </w:rPr>
      </w:pPr>
      <w:bookmarkStart w:id="339" w:name="_Toc467255654"/>
      <w:bookmarkStart w:id="340" w:name="_Toc465887468"/>
      <w:bookmarkStart w:id="341" w:name="_Toc3669_WPSOffice_Level1"/>
      <w:bookmarkStart w:id="342" w:name="_Toc13521"/>
      <w:bookmarkStart w:id="343" w:name="_Toc424308523"/>
      <w:bookmarkStart w:id="344" w:name="_Toc29749"/>
      <w:bookmarkStart w:id="345" w:name="_Toc25543"/>
      <w:r>
        <w:rPr>
          <w:rFonts w:hint="eastAsia" w:ascii="宋体" w:hAnsi="宋体"/>
          <w:color w:val="auto"/>
        </w:rPr>
        <w:t>三、法定代表人授权书</w:t>
      </w:r>
      <w:bookmarkEnd w:id="339"/>
      <w:bookmarkEnd w:id="340"/>
      <w:bookmarkEnd w:id="341"/>
      <w:bookmarkEnd w:id="342"/>
      <w:bookmarkEnd w:id="343"/>
      <w:bookmarkEnd w:id="344"/>
      <w:bookmarkEnd w:id="345"/>
    </w:p>
    <w:p w14:paraId="0A0D4D38">
      <w:pPr>
        <w:snapToGrid w:val="0"/>
        <w:spacing w:line="360" w:lineRule="auto"/>
        <w:ind w:firstLine="480" w:firstLineChars="200"/>
        <w:rPr>
          <w:color w:val="auto"/>
          <w:sz w:val="24"/>
        </w:rPr>
      </w:pPr>
    </w:p>
    <w:p w14:paraId="6AAD4EE1">
      <w:pPr>
        <w:spacing w:line="600" w:lineRule="auto"/>
        <w:ind w:firstLine="480" w:firstLineChars="200"/>
        <w:rPr>
          <w:color w:val="auto"/>
          <w:sz w:val="24"/>
          <w:szCs w:val="24"/>
        </w:rPr>
      </w:pPr>
      <w:r>
        <w:rPr>
          <w:rFonts w:hint="eastAsia"/>
          <w:color w:val="auto"/>
          <w:sz w:val="24"/>
          <w:szCs w:val="24"/>
        </w:rPr>
        <w:t>本人</w:t>
      </w:r>
      <w:r>
        <w:rPr>
          <w:rFonts w:hint="eastAsia"/>
          <w:color w:val="auto"/>
          <w:sz w:val="24"/>
          <w:szCs w:val="24"/>
          <w:u w:val="single"/>
        </w:rPr>
        <w:t>（姓名）</w:t>
      </w:r>
      <w:r>
        <w:rPr>
          <w:rFonts w:hint="eastAsia"/>
          <w:color w:val="auto"/>
          <w:sz w:val="24"/>
          <w:szCs w:val="24"/>
        </w:rPr>
        <w:t>系</w:t>
      </w:r>
      <w:r>
        <w:rPr>
          <w:rFonts w:hint="eastAsia"/>
          <w:color w:val="auto"/>
          <w:sz w:val="24"/>
          <w:szCs w:val="24"/>
          <w:u w:val="single"/>
        </w:rPr>
        <w:t>（供应商人名称）</w:t>
      </w:r>
      <w:r>
        <w:rPr>
          <w:rFonts w:hint="eastAsia"/>
          <w:color w:val="auto"/>
          <w:sz w:val="24"/>
          <w:szCs w:val="24"/>
        </w:rPr>
        <w:t>的法定代表人，现委托</w:t>
      </w:r>
      <w:r>
        <w:rPr>
          <w:rFonts w:hint="eastAsia"/>
          <w:color w:val="auto"/>
          <w:sz w:val="24"/>
          <w:szCs w:val="24"/>
          <w:u w:val="single"/>
        </w:rPr>
        <w:t>（姓名）</w:t>
      </w:r>
      <w:r>
        <w:rPr>
          <w:rFonts w:hint="eastAsia"/>
          <w:color w:val="auto"/>
          <w:sz w:val="24"/>
          <w:szCs w:val="24"/>
        </w:rPr>
        <w:t>为我方代理人。代理人根据授权，以我方名义签署、澄清、说明、补正、递交、撤回、修改</w:t>
      </w:r>
      <w:r>
        <w:rPr>
          <w:rFonts w:hint="eastAsia"/>
          <w:color w:val="auto"/>
          <w:sz w:val="24"/>
          <w:szCs w:val="24"/>
          <w:u w:val="single"/>
        </w:rPr>
        <w:t>（项目名称</w:t>
      </w:r>
      <w:r>
        <w:rPr>
          <w:rFonts w:hint="eastAsia"/>
          <w:color w:val="auto"/>
          <w:sz w:val="24"/>
          <w:szCs w:val="24"/>
          <w:u w:val="single"/>
          <w:lang w:eastAsia="zh-CN"/>
        </w:rPr>
        <w:t>）</w:t>
      </w:r>
      <w:r>
        <w:rPr>
          <w:rFonts w:hint="eastAsia"/>
          <w:color w:val="auto"/>
          <w:sz w:val="24"/>
          <w:szCs w:val="24"/>
        </w:rPr>
        <w:t>的响应文件、签订合同和处理有关事宜，其法律后果由我方承担。</w:t>
      </w:r>
    </w:p>
    <w:p w14:paraId="5500B97A">
      <w:pPr>
        <w:spacing w:line="600" w:lineRule="auto"/>
        <w:ind w:firstLine="480" w:firstLineChars="200"/>
        <w:rPr>
          <w:color w:val="auto"/>
          <w:sz w:val="24"/>
          <w:szCs w:val="24"/>
        </w:rPr>
      </w:pPr>
      <w:r>
        <w:rPr>
          <w:rFonts w:hint="eastAsia"/>
          <w:color w:val="auto"/>
          <w:sz w:val="24"/>
          <w:szCs w:val="24"/>
        </w:rPr>
        <w:t>本授权书于</w:t>
      </w: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日签字生效， 特此声明。</w:t>
      </w:r>
    </w:p>
    <w:p w14:paraId="7A5235AF">
      <w:pPr>
        <w:ind w:firstLine="480" w:firstLineChars="200"/>
        <w:rPr>
          <w:color w:val="auto"/>
          <w:sz w:val="24"/>
          <w:szCs w:val="24"/>
        </w:rPr>
      </w:pPr>
      <w:r>
        <w:rPr>
          <w:rFonts w:hint="eastAsia"/>
          <w:color w:val="auto"/>
          <w:sz w:val="24"/>
          <w:szCs w:val="24"/>
        </w:rPr>
        <w:t>附：法定代表人身份证和委托人身份证扫描件</w:t>
      </w:r>
    </w:p>
    <w:p w14:paraId="19C4E3CE">
      <w:pPr>
        <w:spacing w:line="740" w:lineRule="exact"/>
        <w:ind w:firstLine="480" w:firstLineChars="200"/>
        <w:rPr>
          <w:color w:val="auto"/>
          <w:sz w:val="24"/>
        </w:rPr>
      </w:pPr>
    </w:p>
    <w:p w14:paraId="3A1FAA15">
      <w:pPr>
        <w:spacing w:line="740" w:lineRule="exact"/>
        <w:rPr>
          <w:color w:val="auto"/>
          <w:sz w:val="24"/>
        </w:rPr>
      </w:pPr>
      <w:r>
        <w:rPr>
          <w:rFonts w:hint="eastAsia"/>
          <w:color w:val="auto"/>
          <w:sz w:val="24"/>
        </w:rPr>
        <w:t>投标单位： （公章签章）</w:t>
      </w:r>
    </w:p>
    <w:p w14:paraId="36B991A8">
      <w:pPr>
        <w:spacing w:line="740" w:lineRule="exact"/>
        <w:rPr>
          <w:color w:val="auto"/>
          <w:sz w:val="24"/>
          <w:u w:val="single"/>
        </w:rPr>
      </w:pPr>
      <w:r>
        <w:rPr>
          <w:rFonts w:hint="eastAsia"/>
          <w:color w:val="auto"/>
          <w:sz w:val="24"/>
        </w:rPr>
        <w:t>法定代表人：</w:t>
      </w:r>
      <w:r>
        <w:rPr>
          <w:rFonts w:hint="eastAsia"/>
          <w:color w:val="auto"/>
          <w:sz w:val="24"/>
          <w:u w:val="single"/>
        </w:rPr>
        <w:t xml:space="preserve">        　　　　</w:t>
      </w:r>
      <w:r>
        <w:rPr>
          <w:rFonts w:hint="eastAsia"/>
          <w:color w:val="auto"/>
          <w:sz w:val="24"/>
        </w:rPr>
        <w:t>（法人签章）</w:t>
      </w:r>
    </w:p>
    <w:p w14:paraId="151BB1D3">
      <w:pPr>
        <w:spacing w:line="740" w:lineRule="exact"/>
        <w:rPr>
          <w:color w:val="auto"/>
          <w:sz w:val="24"/>
        </w:rPr>
      </w:pPr>
      <w:r>
        <w:rPr>
          <w:rFonts w:hint="eastAsia"/>
          <w:color w:val="auto"/>
          <w:sz w:val="24"/>
        </w:rPr>
        <w:t>委托代理人：</w:t>
      </w:r>
      <w:r>
        <w:rPr>
          <w:rFonts w:hint="eastAsia"/>
          <w:color w:val="auto"/>
          <w:sz w:val="24"/>
          <w:u w:val="single"/>
        </w:rPr>
        <w:t xml:space="preserve">  　　　　      </w:t>
      </w:r>
    </w:p>
    <w:p w14:paraId="33C89D1A">
      <w:pPr>
        <w:pStyle w:val="4"/>
        <w:ind w:left="892" w:right="909"/>
        <w:jc w:val="center"/>
        <w:outlineLvl w:val="9"/>
        <w:rPr>
          <w:color w:val="auto"/>
        </w:rPr>
      </w:pPr>
    </w:p>
    <w:p w14:paraId="1245BE7B">
      <w:pPr>
        <w:jc w:val="center"/>
        <w:rPr>
          <w:color w:val="auto"/>
        </w:rPr>
      </w:pPr>
      <w:r>
        <w:rPr>
          <w:color w:val="auto"/>
        </w:rPr>
        <w:br w:type="page"/>
      </w:r>
    </w:p>
    <w:p w14:paraId="1652C0FF">
      <w:pPr>
        <w:spacing w:line="400" w:lineRule="exact"/>
        <w:ind w:firstLine="562" w:firstLineChars="200"/>
        <w:jc w:val="center"/>
        <w:outlineLvl w:val="0"/>
        <w:rPr>
          <w:b/>
          <w:bCs/>
          <w:color w:val="auto"/>
          <w:sz w:val="28"/>
          <w:szCs w:val="20"/>
        </w:rPr>
      </w:pPr>
      <w:bookmarkStart w:id="346" w:name="_Toc25188"/>
      <w:bookmarkStart w:id="347" w:name="_Toc31152"/>
      <w:bookmarkStart w:id="348" w:name="_Toc23548"/>
      <w:bookmarkStart w:id="349" w:name="_Toc27582"/>
      <w:r>
        <w:rPr>
          <w:rFonts w:hint="eastAsia"/>
          <w:b/>
          <w:bCs/>
          <w:color w:val="auto"/>
          <w:sz w:val="28"/>
          <w:szCs w:val="20"/>
        </w:rPr>
        <w:t>四、投标承诺书</w:t>
      </w:r>
      <w:bookmarkEnd w:id="346"/>
      <w:bookmarkEnd w:id="347"/>
      <w:bookmarkEnd w:id="348"/>
      <w:bookmarkEnd w:id="349"/>
    </w:p>
    <w:p w14:paraId="6BB3BD6B">
      <w:pPr>
        <w:pStyle w:val="37"/>
        <w:outlineLvl w:val="9"/>
        <w:rPr>
          <w:rFonts w:cs="Times New Roman"/>
          <w:color w:val="auto"/>
          <w:sz w:val="21"/>
          <w:szCs w:val="21"/>
        </w:rPr>
      </w:pPr>
    </w:p>
    <w:p w14:paraId="1B352991">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rFonts w:hint="eastAsia"/>
          <w:sz w:val="24"/>
          <w:szCs w:val="24"/>
          <w:lang w:eastAsia="zh-CN"/>
        </w:rPr>
      </w:pPr>
      <w:r>
        <w:rPr>
          <w:rFonts w:hint="eastAsia"/>
          <w:sz w:val="24"/>
          <w:szCs w:val="24"/>
        </w:rPr>
        <w:t>致：</w:t>
      </w:r>
      <w:r>
        <w:rPr>
          <w:rFonts w:hint="eastAsia"/>
          <w:sz w:val="24"/>
          <w:szCs w:val="24"/>
          <w:lang w:eastAsia="zh-CN"/>
        </w:rPr>
        <w:t>（采购人）</w:t>
      </w:r>
    </w:p>
    <w:p w14:paraId="13574097">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sz w:val="24"/>
          <w:szCs w:val="24"/>
        </w:rPr>
      </w:pPr>
      <w:r>
        <w:rPr>
          <w:rFonts w:hint="eastAsia"/>
          <w:sz w:val="24"/>
          <w:szCs w:val="24"/>
        </w:rPr>
        <w:t>我方已充分了解了（项目名称）（项目编号）的竞争性磋商文件，愿意遵照本项目磋商文件、《中华人民共和国政府采购法》等有关规定参与竞标，并承诺如下：</w:t>
      </w:r>
    </w:p>
    <w:p w14:paraId="26CAB7FA">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sz w:val="24"/>
          <w:szCs w:val="24"/>
        </w:rPr>
      </w:pPr>
      <w:r>
        <w:rPr>
          <w:rFonts w:hint="eastAsia"/>
          <w:sz w:val="24"/>
          <w:szCs w:val="24"/>
        </w:rPr>
        <w:t>1、我方承诺将严格按照“公开、公平、公正和诚实信用原则”参与本项目竞标活动。</w:t>
      </w:r>
    </w:p>
    <w:p w14:paraId="07D4A185">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sz w:val="24"/>
          <w:szCs w:val="24"/>
        </w:rPr>
      </w:pPr>
      <w:r>
        <w:rPr>
          <w:rFonts w:hint="eastAsia"/>
          <w:sz w:val="24"/>
          <w:szCs w:val="24"/>
        </w:rPr>
        <w:t>2、我方承诺在投标有效期内不撤销响应文件；</w:t>
      </w:r>
    </w:p>
    <w:p w14:paraId="4CEEDB17">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sz w:val="24"/>
          <w:szCs w:val="24"/>
        </w:rPr>
      </w:pPr>
      <w:r>
        <w:rPr>
          <w:rFonts w:hint="eastAsia"/>
          <w:sz w:val="24"/>
          <w:szCs w:val="24"/>
        </w:rPr>
        <w:t>3、我方承诺在响应文件中及三门峡市公共资源交易供应商市场主体信息库中提供的材</w:t>
      </w:r>
      <w:r>
        <w:rPr>
          <w:rFonts w:hint="eastAsia"/>
          <w:sz w:val="24"/>
          <w:szCs w:val="24"/>
          <w:lang w:val="en-US" w:eastAsia="zh-CN"/>
        </w:rPr>
        <w:t>真</w:t>
      </w:r>
      <w:r>
        <w:rPr>
          <w:rFonts w:hint="eastAsia"/>
          <w:sz w:val="24"/>
          <w:szCs w:val="24"/>
        </w:rPr>
        <w:t>实有效；</w:t>
      </w:r>
    </w:p>
    <w:p w14:paraId="703C7A95">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sz w:val="24"/>
          <w:szCs w:val="24"/>
        </w:rPr>
      </w:pPr>
      <w:r>
        <w:rPr>
          <w:rFonts w:hint="eastAsia"/>
          <w:sz w:val="24"/>
          <w:szCs w:val="24"/>
        </w:rPr>
        <w:t>4、我方承诺绝不采取不正当手段谋取中标；</w:t>
      </w:r>
    </w:p>
    <w:p w14:paraId="712878AF">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sz w:val="24"/>
          <w:szCs w:val="24"/>
        </w:rPr>
      </w:pPr>
      <w:r>
        <w:rPr>
          <w:rFonts w:hint="eastAsia"/>
          <w:sz w:val="24"/>
          <w:szCs w:val="24"/>
        </w:rPr>
        <w:t>5、如我方中标，我方承诺在收到成交通知书后，在成交通知书规定的期限内，根据</w:t>
      </w:r>
      <w:r>
        <w:rPr>
          <w:rFonts w:hint="eastAsia"/>
          <w:sz w:val="24"/>
          <w:szCs w:val="24"/>
          <w:lang w:eastAsia="zh-CN"/>
        </w:rPr>
        <w:t>磋商</w:t>
      </w:r>
      <w:r>
        <w:rPr>
          <w:rFonts w:hint="eastAsia"/>
          <w:sz w:val="24"/>
          <w:szCs w:val="24"/>
        </w:rPr>
        <w:t>文件、我方的响应文件及有关澄清承诺书的要求，与采购人订立书面合同，并按照合同约定承担完成合同的责任和义务.</w:t>
      </w:r>
    </w:p>
    <w:p w14:paraId="6560942D">
      <w:pPr>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sz w:val="24"/>
          <w:szCs w:val="24"/>
        </w:rPr>
      </w:pPr>
      <w:r>
        <w:rPr>
          <w:rFonts w:hint="eastAsia"/>
          <w:sz w:val="24"/>
          <w:szCs w:val="24"/>
        </w:rPr>
        <w:t>6、如我方违反以上承诺，愿意接受本项目预算金额10%的处罚，同时依法承担相应法律责任。</w:t>
      </w:r>
    </w:p>
    <w:p w14:paraId="232D4A07">
      <w:pPr>
        <w:pStyle w:val="39"/>
        <w:spacing w:line="500" w:lineRule="exact"/>
        <w:ind w:firstLine="564" w:firstLineChars="235"/>
        <w:rPr>
          <w:rFonts w:hAnsi="宋体"/>
          <w:b w:val="0"/>
          <w:bCs w:val="0"/>
          <w:color w:val="auto"/>
        </w:rPr>
      </w:pPr>
    </w:p>
    <w:p w14:paraId="5255DAE7">
      <w:pPr>
        <w:pStyle w:val="39"/>
        <w:spacing w:line="500" w:lineRule="exact"/>
        <w:ind w:firstLine="566" w:firstLineChars="235"/>
        <w:rPr>
          <w:rFonts w:hAnsi="宋体"/>
          <w:color w:val="auto"/>
        </w:rPr>
      </w:pPr>
    </w:p>
    <w:p w14:paraId="33E29794">
      <w:pPr>
        <w:spacing w:line="500" w:lineRule="exact"/>
        <w:ind w:firstLine="4252" w:firstLineChars="1772"/>
        <w:rPr>
          <w:bCs/>
          <w:color w:val="auto"/>
          <w:sz w:val="24"/>
        </w:rPr>
      </w:pPr>
      <w:r>
        <w:rPr>
          <w:rFonts w:hint="eastAsia"/>
          <w:bCs/>
          <w:color w:val="auto"/>
          <w:sz w:val="24"/>
        </w:rPr>
        <w:t>供应商：（公章签章）</w:t>
      </w:r>
    </w:p>
    <w:p w14:paraId="3970D5B7">
      <w:pPr>
        <w:spacing w:line="500" w:lineRule="exact"/>
        <w:ind w:firstLine="4252" w:firstLineChars="1772"/>
        <w:rPr>
          <w:bCs/>
          <w:color w:val="auto"/>
          <w:sz w:val="24"/>
        </w:rPr>
      </w:pPr>
      <w:r>
        <w:rPr>
          <w:rFonts w:hint="eastAsia"/>
          <w:bCs/>
          <w:color w:val="auto"/>
          <w:sz w:val="24"/>
        </w:rPr>
        <w:t>法定代表人：（签章）</w:t>
      </w:r>
    </w:p>
    <w:p w14:paraId="1BBDB785">
      <w:pPr>
        <w:spacing w:line="500" w:lineRule="exact"/>
        <w:ind w:firstLine="4252" w:firstLineChars="1772"/>
        <w:rPr>
          <w:bCs/>
          <w:color w:val="auto"/>
          <w:sz w:val="24"/>
        </w:rPr>
      </w:pPr>
      <w:r>
        <w:rPr>
          <w:rFonts w:hint="eastAsia"/>
          <w:bCs/>
          <w:color w:val="auto"/>
          <w:sz w:val="24"/>
        </w:rPr>
        <w:t>日期：</w:t>
      </w:r>
    </w:p>
    <w:p w14:paraId="574F17DF">
      <w:pPr>
        <w:pStyle w:val="8"/>
        <w:rPr>
          <w:color w:val="auto"/>
        </w:rPr>
      </w:pPr>
      <w:r>
        <w:rPr>
          <w:color w:val="auto"/>
        </w:rPr>
        <w:br w:type="page"/>
      </w:r>
    </w:p>
    <w:p w14:paraId="6ABA69C3">
      <w:pPr>
        <w:pStyle w:val="37"/>
        <w:numPr>
          <w:ilvl w:val="0"/>
          <w:numId w:val="17"/>
        </w:numPr>
        <w:ind w:left="0"/>
        <w:jc w:val="center"/>
        <w:outlineLvl w:val="0"/>
        <w:rPr>
          <w:rFonts w:hint="eastAsia" w:ascii="宋体" w:hAnsi="宋体"/>
          <w:color w:val="auto"/>
          <w:lang w:eastAsia="zh-CN"/>
        </w:rPr>
      </w:pPr>
      <w:bookmarkStart w:id="350" w:name="_Toc25743"/>
      <w:bookmarkStart w:id="351" w:name="_Toc30303"/>
      <w:bookmarkStart w:id="352" w:name="_Toc4328_WPSOffice_Level1"/>
      <w:bookmarkStart w:id="353" w:name="_Toc6163"/>
      <w:r>
        <w:rPr>
          <w:rFonts w:hint="eastAsia" w:ascii="宋体" w:hAnsi="宋体"/>
          <w:color w:val="auto"/>
        </w:rPr>
        <w:t>资格审查资料</w:t>
      </w:r>
      <w:bookmarkEnd w:id="350"/>
      <w:bookmarkEnd w:id="351"/>
      <w:bookmarkEnd w:id="352"/>
      <w:bookmarkEnd w:id="353"/>
    </w:p>
    <w:p w14:paraId="0668605E">
      <w:pPr>
        <w:jc w:val="center"/>
        <w:rPr>
          <w:rFonts w:hint="eastAsia"/>
          <w:color w:val="auto"/>
          <w:sz w:val="24"/>
          <w:szCs w:val="32"/>
        </w:rPr>
      </w:pPr>
      <w:bookmarkStart w:id="354" w:name="_Toc10295_WPSOffice_Level2"/>
      <w:r>
        <w:rPr>
          <w:rFonts w:hint="eastAsia"/>
          <w:color w:val="auto"/>
          <w:sz w:val="24"/>
          <w:szCs w:val="32"/>
        </w:rPr>
        <w:t>（</w:t>
      </w:r>
      <w:r>
        <w:rPr>
          <w:rFonts w:hint="eastAsia"/>
          <w:color w:val="auto"/>
          <w:sz w:val="24"/>
          <w:szCs w:val="32"/>
          <w:lang w:eastAsia="zh-CN"/>
        </w:rPr>
        <w:t>一</w:t>
      </w:r>
      <w:r>
        <w:rPr>
          <w:rFonts w:hint="eastAsia"/>
          <w:color w:val="auto"/>
          <w:sz w:val="24"/>
          <w:szCs w:val="32"/>
        </w:rPr>
        <w:t>）供应商基本情况表</w:t>
      </w:r>
      <w:bookmarkEnd w:id="354"/>
    </w:p>
    <w:tbl>
      <w:tblPr>
        <w:tblStyle w:val="20"/>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0B33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4E019F5A">
            <w:pPr>
              <w:spacing w:line="360" w:lineRule="auto"/>
              <w:jc w:val="center"/>
              <w:rPr>
                <w:color w:val="auto"/>
                <w:sz w:val="24"/>
              </w:rPr>
            </w:pPr>
            <w:r>
              <w:rPr>
                <w:rFonts w:hint="eastAsia"/>
                <w:color w:val="auto"/>
                <w:sz w:val="24"/>
              </w:rPr>
              <w:t>供应商名称</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2FB20A14">
            <w:pPr>
              <w:spacing w:line="360" w:lineRule="auto"/>
              <w:rPr>
                <w:color w:val="auto"/>
                <w:sz w:val="24"/>
              </w:rPr>
            </w:pPr>
          </w:p>
        </w:tc>
      </w:tr>
      <w:tr w14:paraId="4A82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12C4DF0C">
            <w:pPr>
              <w:spacing w:line="360" w:lineRule="auto"/>
              <w:jc w:val="center"/>
              <w:rPr>
                <w:color w:val="auto"/>
                <w:sz w:val="24"/>
              </w:rPr>
            </w:pPr>
            <w:r>
              <w:rPr>
                <w:rFonts w:hint="eastAsia"/>
                <w:color w:val="auto"/>
                <w:sz w:val="24"/>
              </w:rPr>
              <w:t>注册地址</w:t>
            </w:r>
          </w:p>
        </w:tc>
        <w:tc>
          <w:tcPr>
            <w:tcW w:w="3643" w:type="dxa"/>
            <w:gridSpan w:val="3"/>
            <w:tcBorders>
              <w:top w:val="single" w:color="auto" w:sz="4" w:space="0"/>
              <w:left w:val="single" w:color="auto" w:sz="4" w:space="0"/>
              <w:bottom w:val="single" w:color="auto" w:sz="4" w:space="0"/>
              <w:right w:val="single" w:color="auto" w:sz="4" w:space="0"/>
            </w:tcBorders>
            <w:vAlign w:val="center"/>
          </w:tcPr>
          <w:p w14:paraId="3F508159">
            <w:pPr>
              <w:spacing w:line="360" w:lineRule="auto"/>
              <w:jc w:val="center"/>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6E853EE0">
            <w:pPr>
              <w:spacing w:line="360" w:lineRule="auto"/>
              <w:jc w:val="center"/>
              <w:rPr>
                <w:color w:val="auto"/>
                <w:sz w:val="24"/>
              </w:rPr>
            </w:pPr>
            <w:r>
              <w:rPr>
                <w:rFonts w:hint="eastAsia"/>
                <w:color w:val="auto"/>
                <w:sz w:val="24"/>
              </w:rPr>
              <w:t>邮政编码</w:t>
            </w:r>
          </w:p>
        </w:tc>
        <w:tc>
          <w:tcPr>
            <w:tcW w:w="1679" w:type="dxa"/>
            <w:tcBorders>
              <w:top w:val="single" w:color="auto" w:sz="4" w:space="0"/>
              <w:left w:val="single" w:color="auto" w:sz="4" w:space="0"/>
              <w:bottom w:val="single" w:color="auto" w:sz="4" w:space="0"/>
              <w:right w:val="single" w:color="auto" w:sz="4" w:space="0"/>
            </w:tcBorders>
            <w:vAlign w:val="center"/>
          </w:tcPr>
          <w:p w14:paraId="1AA8D6AA">
            <w:pPr>
              <w:spacing w:line="360" w:lineRule="auto"/>
              <w:jc w:val="center"/>
              <w:rPr>
                <w:color w:val="auto"/>
                <w:sz w:val="24"/>
              </w:rPr>
            </w:pPr>
          </w:p>
        </w:tc>
      </w:tr>
      <w:tr w14:paraId="1CEC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1045703">
            <w:pPr>
              <w:spacing w:line="360" w:lineRule="auto"/>
              <w:jc w:val="center"/>
              <w:rPr>
                <w:color w:val="auto"/>
                <w:sz w:val="24"/>
              </w:rPr>
            </w:pPr>
            <w:r>
              <w:rPr>
                <w:rFonts w:hint="eastAsia"/>
                <w:color w:val="auto"/>
                <w:sz w:val="24"/>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464082D0">
            <w:pPr>
              <w:spacing w:line="360" w:lineRule="auto"/>
              <w:jc w:val="center"/>
              <w:rPr>
                <w:color w:val="auto"/>
                <w:sz w:val="24"/>
              </w:rPr>
            </w:pPr>
            <w:r>
              <w:rPr>
                <w:rFonts w:hint="eastAsia"/>
                <w:color w:val="auto"/>
                <w:sz w:val="24"/>
              </w:rPr>
              <w:t>联系人</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2E088B0C">
            <w:pPr>
              <w:spacing w:line="360" w:lineRule="auto"/>
              <w:jc w:val="center"/>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60FFFFA9">
            <w:pPr>
              <w:spacing w:line="360" w:lineRule="auto"/>
              <w:jc w:val="center"/>
              <w:rPr>
                <w:color w:val="auto"/>
                <w:sz w:val="24"/>
              </w:rPr>
            </w:pPr>
            <w:r>
              <w:rPr>
                <w:rFonts w:hint="eastAsia"/>
                <w:color w:val="auto"/>
                <w:sz w:val="24"/>
              </w:rPr>
              <w:t>电话</w:t>
            </w:r>
          </w:p>
        </w:tc>
        <w:tc>
          <w:tcPr>
            <w:tcW w:w="1679" w:type="dxa"/>
            <w:tcBorders>
              <w:top w:val="single" w:color="auto" w:sz="4" w:space="0"/>
              <w:left w:val="single" w:color="auto" w:sz="4" w:space="0"/>
              <w:bottom w:val="single" w:color="auto" w:sz="4" w:space="0"/>
              <w:right w:val="single" w:color="auto" w:sz="4" w:space="0"/>
            </w:tcBorders>
            <w:vAlign w:val="center"/>
          </w:tcPr>
          <w:p w14:paraId="3BF3EDA6">
            <w:pPr>
              <w:spacing w:line="360" w:lineRule="auto"/>
              <w:jc w:val="center"/>
              <w:rPr>
                <w:color w:val="auto"/>
                <w:sz w:val="24"/>
              </w:rPr>
            </w:pPr>
          </w:p>
        </w:tc>
      </w:tr>
      <w:tr w14:paraId="5B85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00E08CB3">
            <w:pPr>
              <w:jc w:val="center"/>
              <w:rPr>
                <w:color w:val="auto"/>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14:paraId="1E4E0698">
            <w:pPr>
              <w:spacing w:line="360" w:lineRule="auto"/>
              <w:jc w:val="center"/>
              <w:rPr>
                <w:color w:val="auto"/>
                <w:sz w:val="24"/>
              </w:rPr>
            </w:pPr>
            <w:r>
              <w:rPr>
                <w:rFonts w:hint="eastAsia"/>
                <w:color w:val="auto"/>
                <w:sz w:val="24"/>
              </w:rPr>
              <w:t>传真</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6924E1F7">
            <w:pPr>
              <w:spacing w:line="360" w:lineRule="auto"/>
              <w:jc w:val="center"/>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316D558B">
            <w:pPr>
              <w:spacing w:line="360" w:lineRule="auto"/>
              <w:jc w:val="center"/>
              <w:rPr>
                <w:color w:val="auto"/>
                <w:sz w:val="24"/>
              </w:rPr>
            </w:pPr>
            <w:r>
              <w:rPr>
                <w:rFonts w:hint="eastAsia"/>
                <w:color w:val="auto"/>
                <w:sz w:val="24"/>
              </w:rPr>
              <w:t>网址</w:t>
            </w:r>
          </w:p>
        </w:tc>
        <w:tc>
          <w:tcPr>
            <w:tcW w:w="1679" w:type="dxa"/>
            <w:tcBorders>
              <w:top w:val="single" w:color="auto" w:sz="4" w:space="0"/>
              <w:left w:val="single" w:color="auto" w:sz="4" w:space="0"/>
              <w:bottom w:val="single" w:color="auto" w:sz="4" w:space="0"/>
              <w:right w:val="single" w:color="auto" w:sz="4" w:space="0"/>
            </w:tcBorders>
            <w:vAlign w:val="center"/>
          </w:tcPr>
          <w:p w14:paraId="7DCA3F0E">
            <w:pPr>
              <w:spacing w:line="360" w:lineRule="auto"/>
              <w:jc w:val="center"/>
              <w:rPr>
                <w:color w:val="auto"/>
                <w:sz w:val="24"/>
              </w:rPr>
            </w:pPr>
          </w:p>
        </w:tc>
      </w:tr>
      <w:tr w14:paraId="0B64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3BF6AC38">
            <w:pPr>
              <w:spacing w:line="360" w:lineRule="auto"/>
              <w:jc w:val="center"/>
              <w:rPr>
                <w:color w:val="auto"/>
                <w:sz w:val="24"/>
              </w:rPr>
            </w:pPr>
            <w:r>
              <w:rPr>
                <w:rFonts w:hint="eastAsia"/>
                <w:color w:val="auto"/>
                <w:sz w:val="24"/>
              </w:rPr>
              <w:t>组织结构</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5E4B2D34">
            <w:pPr>
              <w:tabs>
                <w:tab w:val="left" w:pos="4776"/>
              </w:tabs>
              <w:spacing w:line="360" w:lineRule="auto"/>
              <w:jc w:val="center"/>
              <w:rPr>
                <w:color w:val="auto"/>
                <w:sz w:val="24"/>
              </w:rPr>
            </w:pPr>
          </w:p>
        </w:tc>
      </w:tr>
      <w:tr w14:paraId="4283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5E428816">
            <w:pPr>
              <w:spacing w:line="360" w:lineRule="auto"/>
              <w:jc w:val="center"/>
              <w:rPr>
                <w:color w:val="auto"/>
                <w:sz w:val="24"/>
              </w:rPr>
            </w:pPr>
            <w:r>
              <w:rPr>
                <w:rFonts w:hint="eastAsia"/>
                <w:color w:val="auto"/>
                <w:sz w:val="24"/>
              </w:rPr>
              <w:t>法定代表人</w:t>
            </w:r>
          </w:p>
        </w:tc>
        <w:tc>
          <w:tcPr>
            <w:tcW w:w="973" w:type="dxa"/>
            <w:tcBorders>
              <w:top w:val="single" w:color="auto" w:sz="4" w:space="0"/>
              <w:left w:val="single" w:color="auto" w:sz="4" w:space="0"/>
              <w:bottom w:val="single" w:color="auto" w:sz="4" w:space="0"/>
              <w:right w:val="single" w:color="auto" w:sz="4" w:space="0"/>
            </w:tcBorders>
            <w:vAlign w:val="center"/>
          </w:tcPr>
          <w:p w14:paraId="2427B8BB">
            <w:pPr>
              <w:spacing w:line="360" w:lineRule="auto"/>
              <w:jc w:val="center"/>
              <w:rPr>
                <w:color w:val="auto"/>
                <w:sz w:val="24"/>
              </w:rPr>
            </w:pPr>
            <w:r>
              <w:rPr>
                <w:rFonts w:hint="eastAsia"/>
                <w:color w:val="auto"/>
                <w:sz w:val="24"/>
              </w:rPr>
              <w:t>姓名</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4A5166CE">
            <w:pPr>
              <w:spacing w:line="360" w:lineRule="auto"/>
              <w:jc w:val="center"/>
              <w:rPr>
                <w:color w:val="auto"/>
                <w:sz w:val="24"/>
              </w:rPr>
            </w:pPr>
          </w:p>
        </w:tc>
        <w:tc>
          <w:tcPr>
            <w:tcW w:w="1132" w:type="dxa"/>
            <w:tcBorders>
              <w:top w:val="single" w:color="auto" w:sz="4" w:space="0"/>
              <w:left w:val="single" w:color="auto" w:sz="4" w:space="0"/>
              <w:bottom w:val="single" w:color="auto" w:sz="4" w:space="0"/>
              <w:right w:val="single" w:color="auto" w:sz="4" w:space="0"/>
            </w:tcBorders>
            <w:vAlign w:val="center"/>
          </w:tcPr>
          <w:p w14:paraId="1096217A">
            <w:pPr>
              <w:spacing w:line="360" w:lineRule="auto"/>
              <w:jc w:val="center"/>
              <w:rPr>
                <w:color w:val="auto"/>
                <w:sz w:val="24"/>
              </w:rPr>
            </w:pPr>
            <w:r>
              <w:rPr>
                <w:rFonts w:hint="eastAsia"/>
                <w:color w:val="auto"/>
                <w:sz w:val="24"/>
              </w:rPr>
              <w:t>电话</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720DCBEE">
            <w:pPr>
              <w:spacing w:line="360" w:lineRule="auto"/>
              <w:jc w:val="center"/>
              <w:rPr>
                <w:color w:val="auto"/>
                <w:sz w:val="24"/>
              </w:rPr>
            </w:pPr>
          </w:p>
        </w:tc>
      </w:tr>
      <w:tr w14:paraId="12E2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70F29CD0">
            <w:pPr>
              <w:spacing w:line="360" w:lineRule="auto"/>
              <w:jc w:val="center"/>
              <w:rPr>
                <w:color w:val="auto"/>
                <w:sz w:val="24"/>
              </w:rPr>
            </w:pPr>
            <w:r>
              <w:rPr>
                <w:rFonts w:hint="eastAsia"/>
                <w:color w:val="auto"/>
                <w:sz w:val="24"/>
              </w:rPr>
              <w:t>成立时间</w:t>
            </w:r>
          </w:p>
        </w:tc>
        <w:tc>
          <w:tcPr>
            <w:tcW w:w="2524" w:type="dxa"/>
            <w:gridSpan w:val="2"/>
            <w:tcBorders>
              <w:top w:val="single" w:color="auto" w:sz="4" w:space="0"/>
              <w:left w:val="single" w:color="auto" w:sz="4" w:space="0"/>
              <w:bottom w:val="single" w:color="auto" w:sz="4" w:space="0"/>
              <w:right w:val="single" w:color="auto" w:sz="4" w:space="0"/>
            </w:tcBorders>
            <w:vAlign w:val="center"/>
          </w:tcPr>
          <w:p w14:paraId="45DA3ACE">
            <w:pPr>
              <w:spacing w:line="360" w:lineRule="auto"/>
              <w:jc w:val="center"/>
              <w:rPr>
                <w:color w:val="auto"/>
                <w:sz w:val="24"/>
              </w:rPr>
            </w:pPr>
          </w:p>
        </w:tc>
        <w:tc>
          <w:tcPr>
            <w:tcW w:w="4165" w:type="dxa"/>
            <w:gridSpan w:val="4"/>
            <w:tcBorders>
              <w:top w:val="single" w:color="auto" w:sz="4" w:space="0"/>
              <w:left w:val="single" w:color="auto" w:sz="4" w:space="0"/>
              <w:bottom w:val="single" w:color="auto" w:sz="4" w:space="0"/>
              <w:right w:val="single" w:color="auto" w:sz="4" w:space="0"/>
            </w:tcBorders>
            <w:vAlign w:val="center"/>
          </w:tcPr>
          <w:p w14:paraId="49732B4E">
            <w:pPr>
              <w:spacing w:line="360" w:lineRule="auto"/>
              <w:jc w:val="center"/>
              <w:rPr>
                <w:color w:val="auto"/>
                <w:sz w:val="24"/>
              </w:rPr>
            </w:pPr>
            <w:r>
              <w:rPr>
                <w:rFonts w:hint="eastAsia"/>
                <w:color w:val="auto"/>
                <w:sz w:val="24"/>
              </w:rPr>
              <w:t>员工总人数：</w:t>
            </w:r>
          </w:p>
        </w:tc>
      </w:tr>
      <w:tr w14:paraId="0344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0D6D522A">
            <w:pPr>
              <w:spacing w:line="360" w:lineRule="auto"/>
              <w:jc w:val="center"/>
              <w:rPr>
                <w:color w:val="auto"/>
                <w:sz w:val="24"/>
              </w:rPr>
            </w:pPr>
            <w:r>
              <w:rPr>
                <w:rFonts w:hint="eastAsia"/>
                <w:color w:val="auto"/>
                <w:sz w:val="24"/>
              </w:rPr>
              <w:t>营业执照号</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017F575E">
            <w:pPr>
              <w:spacing w:line="360" w:lineRule="auto"/>
              <w:jc w:val="center"/>
              <w:rPr>
                <w:color w:val="auto"/>
                <w:sz w:val="24"/>
              </w:rPr>
            </w:pPr>
          </w:p>
        </w:tc>
      </w:tr>
      <w:tr w14:paraId="2795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34831733">
            <w:pPr>
              <w:spacing w:line="360" w:lineRule="auto"/>
              <w:jc w:val="center"/>
              <w:rPr>
                <w:color w:val="auto"/>
                <w:sz w:val="24"/>
              </w:rPr>
            </w:pPr>
            <w:r>
              <w:rPr>
                <w:rFonts w:hint="eastAsia"/>
                <w:color w:val="auto"/>
                <w:sz w:val="24"/>
              </w:rPr>
              <w:t>注册资金</w:t>
            </w:r>
          </w:p>
        </w:tc>
        <w:tc>
          <w:tcPr>
            <w:tcW w:w="2524" w:type="dxa"/>
            <w:gridSpan w:val="2"/>
            <w:tcBorders>
              <w:top w:val="single" w:color="auto" w:sz="4" w:space="0"/>
              <w:left w:val="single" w:color="auto" w:sz="4" w:space="0"/>
              <w:bottom w:val="single" w:color="auto" w:sz="4" w:space="0"/>
              <w:right w:val="single" w:color="auto" w:sz="4" w:space="0"/>
            </w:tcBorders>
            <w:vAlign w:val="center"/>
          </w:tcPr>
          <w:p w14:paraId="093C5737">
            <w:pPr>
              <w:spacing w:line="360" w:lineRule="auto"/>
              <w:jc w:val="center"/>
              <w:rPr>
                <w:color w:val="auto"/>
                <w:sz w:val="24"/>
              </w:rPr>
            </w:pPr>
          </w:p>
        </w:tc>
        <w:tc>
          <w:tcPr>
            <w:tcW w:w="2251" w:type="dxa"/>
            <w:gridSpan w:val="2"/>
            <w:tcBorders>
              <w:top w:val="single" w:color="auto" w:sz="4" w:space="0"/>
              <w:left w:val="single" w:color="auto" w:sz="4" w:space="0"/>
              <w:bottom w:val="single" w:color="auto" w:sz="4" w:space="0"/>
              <w:right w:val="single" w:color="auto" w:sz="4" w:space="0"/>
            </w:tcBorders>
            <w:vAlign w:val="center"/>
          </w:tcPr>
          <w:p w14:paraId="5B01E148">
            <w:pPr>
              <w:spacing w:line="360" w:lineRule="auto"/>
              <w:jc w:val="center"/>
              <w:rPr>
                <w:color w:val="auto"/>
                <w:sz w:val="24"/>
              </w:rPr>
            </w:pPr>
            <w:r>
              <w:rPr>
                <w:rFonts w:hint="eastAsia"/>
                <w:color w:val="auto"/>
                <w:sz w:val="24"/>
              </w:rPr>
              <w:t>开户银行</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08BAA4B7">
            <w:pPr>
              <w:spacing w:line="360" w:lineRule="auto"/>
              <w:jc w:val="center"/>
              <w:rPr>
                <w:color w:val="auto"/>
                <w:sz w:val="24"/>
              </w:rPr>
            </w:pPr>
          </w:p>
        </w:tc>
      </w:tr>
      <w:tr w14:paraId="58CF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5EF56276">
            <w:pPr>
              <w:spacing w:line="360" w:lineRule="auto"/>
              <w:jc w:val="center"/>
              <w:rPr>
                <w:color w:val="auto"/>
                <w:sz w:val="24"/>
              </w:rPr>
            </w:pPr>
            <w:r>
              <w:rPr>
                <w:rFonts w:hint="eastAsia"/>
                <w:color w:val="auto"/>
                <w:sz w:val="24"/>
              </w:rPr>
              <w:t>账号</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0437E82F">
            <w:pPr>
              <w:spacing w:line="360" w:lineRule="auto"/>
              <w:rPr>
                <w:color w:val="auto"/>
                <w:sz w:val="24"/>
              </w:rPr>
            </w:pPr>
          </w:p>
        </w:tc>
      </w:tr>
      <w:tr w14:paraId="540E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4F8844DE">
            <w:pPr>
              <w:spacing w:line="360" w:lineRule="auto"/>
              <w:jc w:val="center"/>
              <w:rPr>
                <w:color w:val="auto"/>
                <w:sz w:val="24"/>
              </w:rPr>
            </w:pPr>
            <w:r>
              <w:rPr>
                <w:rFonts w:hint="eastAsia"/>
                <w:color w:val="auto"/>
                <w:sz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2B2AB778">
            <w:pPr>
              <w:spacing w:line="360" w:lineRule="auto"/>
              <w:rPr>
                <w:color w:val="auto"/>
                <w:sz w:val="24"/>
              </w:rPr>
            </w:pPr>
          </w:p>
        </w:tc>
      </w:tr>
    </w:tbl>
    <w:p w14:paraId="576D5004">
      <w:pPr>
        <w:spacing w:line="360" w:lineRule="auto"/>
        <w:rPr>
          <w:color w:val="auto"/>
          <w:sz w:val="24"/>
        </w:rPr>
      </w:pPr>
      <w:bookmarkStart w:id="355" w:name="_Toc15473_WPSOffice_Level3"/>
      <w:r>
        <w:rPr>
          <w:rFonts w:hint="eastAsia"/>
          <w:color w:val="auto"/>
          <w:sz w:val="24"/>
        </w:rPr>
        <w:t>附：1、营业执照、税务登记证、组织机构代码证等相关证件的扫描件</w:t>
      </w:r>
      <w:bookmarkEnd w:id="355"/>
    </w:p>
    <w:p w14:paraId="32D29588">
      <w:pPr>
        <w:spacing w:line="360" w:lineRule="auto"/>
        <w:rPr>
          <w:color w:val="auto"/>
          <w:sz w:val="24"/>
        </w:rPr>
      </w:pPr>
    </w:p>
    <w:p w14:paraId="1977B6AA">
      <w:pPr>
        <w:spacing w:line="360" w:lineRule="auto"/>
        <w:rPr>
          <w:color w:val="auto"/>
          <w:sz w:val="24"/>
        </w:rPr>
      </w:pPr>
    </w:p>
    <w:p w14:paraId="1F607147">
      <w:pPr>
        <w:spacing w:line="360" w:lineRule="auto"/>
        <w:rPr>
          <w:color w:val="auto"/>
          <w:sz w:val="24"/>
        </w:rPr>
      </w:pPr>
    </w:p>
    <w:p w14:paraId="17D5664D">
      <w:pPr>
        <w:spacing w:line="360" w:lineRule="auto"/>
        <w:rPr>
          <w:color w:val="auto"/>
          <w:sz w:val="24"/>
        </w:rPr>
      </w:pPr>
    </w:p>
    <w:p w14:paraId="42E119A5">
      <w:pPr>
        <w:spacing w:line="360" w:lineRule="auto"/>
        <w:rPr>
          <w:color w:val="auto"/>
          <w:sz w:val="24"/>
        </w:rPr>
      </w:pPr>
    </w:p>
    <w:p w14:paraId="5773DA75">
      <w:pPr>
        <w:spacing w:line="360" w:lineRule="auto"/>
        <w:rPr>
          <w:color w:val="auto"/>
          <w:sz w:val="24"/>
        </w:rPr>
      </w:pPr>
    </w:p>
    <w:p w14:paraId="1939CA96">
      <w:pPr>
        <w:spacing w:line="360" w:lineRule="auto"/>
        <w:rPr>
          <w:color w:val="auto"/>
          <w:sz w:val="24"/>
        </w:rPr>
      </w:pPr>
    </w:p>
    <w:p w14:paraId="1E41E257">
      <w:pPr>
        <w:spacing w:line="360" w:lineRule="auto"/>
        <w:rPr>
          <w:color w:val="auto"/>
          <w:sz w:val="24"/>
        </w:rPr>
      </w:pPr>
    </w:p>
    <w:p w14:paraId="397C0AA2">
      <w:pPr>
        <w:widowControl/>
        <w:jc w:val="left"/>
        <w:rPr>
          <w:rFonts w:ascii="宋体" w:hAnsi="宋体" w:cs="宋体"/>
          <w:b/>
          <w:bCs/>
          <w:color w:val="auto"/>
          <w:kern w:val="0"/>
          <w:sz w:val="24"/>
        </w:rPr>
      </w:pPr>
      <w:bookmarkStart w:id="356" w:name="_Toc13068_WPSOffice_Level2"/>
    </w:p>
    <w:p w14:paraId="5B082126">
      <w:pPr>
        <w:jc w:val="center"/>
        <w:rPr>
          <w:color w:val="auto"/>
          <w:sz w:val="24"/>
          <w:szCs w:val="32"/>
        </w:rPr>
      </w:pPr>
      <w:r>
        <w:rPr>
          <w:rFonts w:hint="eastAsia"/>
          <w:color w:val="auto"/>
          <w:sz w:val="24"/>
          <w:szCs w:val="32"/>
        </w:rPr>
        <w:t>（二）近三年来完成</w:t>
      </w:r>
      <w:r>
        <w:rPr>
          <w:rFonts w:hint="eastAsia"/>
          <w:color w:val="auto"/>
          <w:sz w:val="24"/>
          <w:szCs w:val="32"/>
          <w:lang w:eastAsia="zh-CN"/>
        </w:rPr>
        <w:t>类似</w:t>
      </w:r>
      <w:r>
        <w:rPr>
          <w:rFonts w:hint="eastAsia"/>
          <w:color w:val="auto"/>
          <w:sz w:val="24"/>
          <w:szCs w:val="32"/>
        </w:rPr>
        <w:t>项目情况表</w:t>
      </w:r>
    </w:p>
    <w:tbl>
      <w:tblPr>
        <w:tblStyle w:val="20"/>
        <w:tblpPr w:leftFromText="180" w:rightFromText="180" w:vertAnchor="text" w:horzAnchor="page" w:tblpX="2102" w:tblpY="786"/>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5795"/>
      </w:tblGrid>
      <w:tr w14:paraId="6B82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746511BF">
            <w:pPr>
              <w:adjustRightInd w:val="0"/>
              <w:snapToGrid w:val="0"/>
              <w:spacing w:line="480" w:lineRule="exact"/>
              <w:jc w:val="center"/>
              <w:rPr>
                <w:rFonts w:ascii="宋体" w:cs="宋体"/>
                <w:color w:val="auto"/>
              </w:rPr>
            </w:pPr>
            <w:r>
              <w:rPr>
                <w:rFonts w:hint="eastAsia" w:ascii="宋体" w:hAnsi="宋体" w:cs="宋体"/>
                <w:color w:val="auto"/>
              </w:rPr>
              <w:t>建设单位</w:t>
            </w:r>
          </w:p>
          <w:p w14:paraId="13E8FE95">
            <w:pPr>
              <w:adjustRightInd w:val="0"/>
              <w:snapToGrid w:val="0"/>
              <w:spacing w:line="480" w:lineRule="exact"/>
              <w:jc w:val="center"/>
              <w:rPr>
                <w:rFonts w:ascii="宋体" w:cs="宋体"/>
                <w:color w:val="auto"/>
              </w:rPr>
            </w:pPr>
            <w:r>
              <w:rPr>
                <w:rFonts w:hint="eastAsia" w:ascii="宋体" w:hAnsi="宋体" w:cs="宋体"/>
                <w:color w:val="auto"/>
              </w:rPr>
              <w:t>（业主）</w:t>
            </w:r>
          </w:p>
        </w:tc>
        <w:tc>
          <w:tcPr>
            <w:tcW w:w="5795" w:type="dxa"/>
            <w:vAlign w:val="center"/>
          </w:tcPr>
          <w:p w14:paraId="6923A359">
            <w:pPr>
              <w:adjustRightInd w:val="0"/>
              <w:snapToGrid w:val="0"/>
              <w:spacing w:line="480" w:lineRule="exact"/>
              <w:jc w:val="center"/>
              <w:rPr>
                <w:rFonts w:ascii="宋体" w:cs="宋体"/>
                <w:color w:val="auto"/>
              </w:rPr>
            </w:pPr>
          </w:p>
        </w:tc>
      </w:tr>
      <w:tr w14:paraId="7A18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56DE6AE6">
            <w:pPr>
              <w:adjustRightInd w:val="0"/>
              <w:snapToGrid w:val="0"/>
              <w:spacing w:line="480" w:lineRule="exact"/>
              <w:jc w:val="center"/>
              <w:rPr>
                <w:rFonts w:ascii="宋体" w:cs="宋体"/>
                <w:color w:val="auto"/>
              </w:rPr>
            </w:pPr>
            <w:r>
              <w:rPr>
                <w:rFonts w:hint="eastAsia" w:ascii="宋体" w:hAnsi="宋体" w:cs="宋体"/>
                <w:color w:val="auto"/>
              </w:rPr>
              <w:t>工程名称</w:t>
            </w:r>
          </w:p>
        </w:tc>
        <w:tc>
          <w:tcPr>
            <w:tcW w:w="5795" w:type="dxa"/>
            <w:vAlign w:val="center"/>
          </w:tcPr>
          <w:p w14:paraId="7AEC4AB3">
            <w:pPr>
              <w:adjustRightInd w:val="0"/>
              <w:snapToGrid w:val="0"/>
              <w:spacing w:line="480" w:lineRule="exact"/>
              <w:jc w:val="center"/>
              <w:rPr>
                <w:rFonts w:ascii="宋体" w:cs="宋体"/>
                <w:color w:val="auto"/>
              </w:rPr>
            </w:pPr>
          </w:p>
        </w:tc>
      </w:tr>
      <w:tr w14:paraId="064C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2596380F">
            <w:pPr>
              <w:adjustRightInd w:val="0"/>
              <w:snapToGrid w:val="0"/>
              <w:spacing w:line="480" w:lineRule="exact"/>
              <w:jc w:val="center"/>
              <w:rPr>
                <w:rFonts w:ascii="宋体" w:cs="宋体"/>
                <w:color w:val="auto"/>
              </w:rPr>
            </w:pPr>
            <w:r>
              <w:rPr>
                <w:rFonts w:hint="eastAsia" w:ascii="宋体" w:hAnsi="宋体" w:cs="宋体"/>
                <w:color w:val="auto"/>
              </w:rPr>
              <w:t>建设规模</w:t>
            </w:r>
          </w:p>
        </w:tc>
        <w:tc>
          <w:tcPr>
            <w:tcW w:w="5795" w:type="dxa"/>
            <w:vAlign w:val="center"/>
          </w:tcPr>
          <w:p w14:paraId="3EB277B7">
            <w:pPr>
              <w:adjustRightInd w:val="0"/>
              <w:snapToGrid w:val="0"/>
              <w:spacing w:line="480" w:lineRule="exact"/>
              <w:jc w:val="center"/>
              <w:rPr>
                <w:rFonts w:ascii="宋体" w:cs="宋体"/>
                <w:color w:val="auto"/>
              </w:rPr>
            </w:pPr>
          </w:p>
        </w:tc>
      </w:tr>
      <w:tr w14:paraId="77A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3AE3FA92">
            <w:pPr>
              <w:adjustRightInd w:val="0"/>
              <w:snapToGrid w:val="0"/>
              <w:spacing w:line="480" w:lineRule="exact"/>
              <w:jc w:val="center"/>
              <w:rPr>
                <w:rFonts w:ascii="宋体" w:cs="宋体"/>
                <w:color w:val="auto"/>
              </w:rPr>
            </w:pPr>
            <w:r>
              <w:rPr>
                <w:rFonts w:hint="eastAsia" w:ascii="宋体" w:hAnsi="宋体" w:cs="宋体"/>
                <w:color w:val="auto"/>
              </w:rPr>
              <w:t>完成日期</w:t>
            </w:r>
          </w:p>
          <w:p w14:paraId="7D48F889">
            <w:pPr>
              <w:adjustRightInd w:val="0"/>
              <w:snapToGrid w:val="0"/>
              <w:spacing w:line="480" w:lineRule="exact"/>
              <w:jc w:val="center"/>
              <w:rPr>
                <w:rFonts w:ascii="宋体" w:cs="宋体"/>
                <w:color w:val="auto"/>
              </w:rPr>
            </w:pPr>
            <w:r>
              <w:rPr>
                <w:rFonts w:hint="eastAsia" w:ascii="宋体" w:hAnsi="宋体" w:cs="宋体"/>
                <w:color w:val="auto"/>
              </w:rPr>
              <w:t>（年</w:t>
            </w:r>
            <w:r>
              <w:rPr>
                <w:rFonts w:ascii="宋体" w:hAnsi="宋体" w:cs="宋体"/>
                <w:color w:val="auto"/>
              </w:rPr>
              <w:t>/</w:t>
            </w:r>
            <w:r>
              <w:rPr>
                <w:rFonts w:hint="eastAsia" w:ascii="宋体" w:hAnsi="宋体" w:cs="宋体"/>
                <w:color w:val="auto"/>
              </w:rPr>
              <w:t>月</w:t>
            </w:r>
            <w:r>
              <w:rPr>
                <w:rFonts w:ascii="宋体" w:hAnsi="宋体" w:cs="宋体"/>
                <w:color w:val="auto"/>
              </w:rPr>
              <w:t>/</w:t>
            </w:r>
            <w:r>
              <w:rPr>
                <w:rFonts w:hint="eastAsia" w:ascii="宋体" w:hAnsi="宋体" w:cs="宋体"/>
                <w:color w:val="auto"/>
              </w:rPr>
              <w:t>日）</w:t>
            </w:r>
          </w:p>
        </w:tc>
        <w:tc>
          <w:tcPr>
            <w:tcW w:w="5795" w:type="dxa"/>
            <w:vAlign w:val="center"/>
          </w:tcPr>
          <w:p w14:paraId="501D49C0">
            <w:pPr>
              <w:adjustRightInd w:val="0"/>
              <w:snapToGrid w:val="0"/>
              <w:spacing w:line="480" w:lineRule="exact"/>
              <w:jc w:val="center"/>
              <w:rPr>
                <w:rFonts w:ascii="宋体" w:cs="宋体"/>
                <w:color w:val="auto"/>
              </w:rPr>
            </w:pPr>
          </w:p>
        </w:tc>
      </w:tr>
      <w:tr w14:paraId="0277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49FB8353">
            <w:pPr>
              <w:adjustRightInd w:val="0"/>
              <w:snapToGrid w:val="0"/>
              <w:spacing w:line="480" w:lineRule="exact"/>
              <w:jc w:val="center"/>
              <w:rPr>
                <w:rFonts w:ascii="宋体" w:cs="宋体"/>
                <w:color w:val="auto"/>
              </w:rPr>
            </w:pPr>
            <w:r>
              <w:rPr>
                <w:rFonts w:hint="eastAsia" w:ascii="宋体" w:hAnsi="宋体" w:cs="宋体"/>
                <w:color w:val="auto"/>
              </w:rPr>
              <w:t>主要设计人员情况</w:t>
            </w:r>
          </w:p>
        </w:tc>
        <w:tc>
          <w:tcPr>
            <w:tcW w:w="5795" w:type="dxa"/>
            <w:vAlign w:val="center"/>
          </w:tcPr>
          <w:p w14:paraId="1EAA9574">
            <w:pPr>
              <w:adjustRightInd w:val="0"/>
              <w:snapToGrid w:val="0"/>
              <w:spacing w:line="480" w:lineRule="exact"/>
              <w:jc w:val="center"/>
              <w:rPr>
                <w:rFonts w:ascii="宋体" w:cs="宋体"/>
                <w:color w:val="auto"/>
              </w:rPr>
            </w:pPr>
          </w:p>
        </w:tc>
      </w:tr>
      <w:tr w14:paraId="6AEF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31D5A25F">
            <w:pPr>
              <w:adjustRightInd w:val="0"/>
              <w:snapToGrid w:val="0"/>
              <w:spacing w:line="480" w:lineRule="exact"/>
              <w:jc w:val="center"/>
              <w:rPr>
                <w:rFonts w:ascii="宋体" w:cs="宋体"/>
                <w:color w:val="auto"/>
              </w:rPr>
            </w:pPr>
            <w:r>
              <w:rPr>
                <w:rFonts w:hint="eastAsia" w:ascii="宋体" w:hAnsi="宋体" w:cs="宋体"/>
                <w:color w:val="auto"/>
              </w:rPr>
              <w:t>……</w:t>
            </w:r>
          </w:p>
        </w:tc>
        <w:tc>
          <w:tcPr>
            <w:tcW w:w="5795" w:type="dxa"/>
            <w:vAlign w:val="center"/>
          </w:tcPr>
          <w:p w14:paraId="43C110B2">
            <w:pPr>
              <w:adjustRightInd w:val="0"/>
              <w:snapToGrid w:val="0"/>
              <w:spacing w:line="480" w:lineRule="exact"/>
              <w:jc w:val="center"/>
              <w:rPr>
                <w:rFonts w:ascii="宋体" w:cs="宋体"/>
                <w:color w:val="auto"/>
              </w:rPr>
            </w:pPr>
          </w:p>
        </w:tc>
      </w:tr>
    </w:tbl>
    <w:p w14:paraId="5F4B0818">
      <w:pPr>
        <w:autoSpaceDE w:val="0"/>
        <w:autoSpaceDN w:val="0"/>
        <w:adjustRightInd w:val="0"/>
        <w:snapToGrid w:val="0"/>
        <w:spacing w:line="480" w:lineRule="exact"/>
        <w:rPr>
          <w:rFonts w:ascii="宋体" w:cs="宋体"/>
          <w:b/>
          <w:color w:val="auto"/>
        </w:rPr>
      </w:pPr>
    </w:p>
    <w:p w14:paraId="76C1C21A">
      <w:pPr>
        <w:spacing w:line="480" w:lineRule="exact"/>
        <w:ind w:left="2750" w:leftChars="1250"/>
        <w:rPr>
          <w:rFonts w:ascii="宋体" w:hAnsi="宋体" w:cs="宋体"/>
          <w:color w:val="auto"/>
        </w:rPr>
      </w:pPr>
    </w:p>
    <w:p w14:paraId="54B37C23">
      <w:pPr>
        <w:spacing w:line="480" w:lineRule="exact"/>
        <w:ind w:left="2750" w:leftChars="1250"/>
        <w:rPr>
          <w:rFonts w:ascii="宋体" w:hAnsi="宋体" w:cs="宋体"/>
          <w:color w:val="auto"/>
        </w:rPr>
      </w:pPr>
    </w:p>
    <w:p w14:paraId="072E37CD">
      <w:pPr>
        <w:spacing w:line="500" w:lineRule="exact"/>
        <w:ind w:firstLine="4252" w:firstLineChars="1772"/>
        <w:rPr>
          <w:bCs/>
          <w:color w:val="auto"/>
          <w:sz w:val="24"/>
        </w:rPr>
      </w:pPr>
      <w:r>
        <w:rPr>
          <w:rFonts w:hint="eastAsia"/>
          <w:bCs/>
          <w:color w:val="auto"/>
          <w:sz w:val="24"/>
        </w:rPr>
        <w:t>供应商：（公章签章）</w:t>
      </w:r>
    </w:p>
    <w:p w14:paraId="10BEAF4F">
      <w:pPr>
        <w:spacing w:line="500" w:lineRule="exact"/>
        <w:ind w:firstLine="4252" w:firstLineChars="1772"/>
        <w:rPr>
          <w:bCs/>
          <w:color w:val="auto"/>
          <w:sz w:val="24"/>
        </w:rPr>
      </w:pPr>
      <w:r>
        <w:rPr>
          <w:rFonts w:hint="eastAsia"/>
          <w:bCs/>
          <w:color w:val="auto"/>
          <w:sz w:val="24"/>
        </w:rPr>
        <w:t>法定代表人：（签章）</w:t>
      </w:r>
    </w:p>
    <w:p w14:paraId="2D8A67FD">
      <w:pPr>
        <w:spacing w:line="500" w:lineRule="exact"/>
        <w:ind w:firstLine="4252" w:firstLineChars="1772"/>
        <w:rPr>
          <w:bCs/>
          <w:color w:val="auto"/>
          <w:sz w:val="24"/>
        </w:rPr>
      </w:pPr>
      <w:r>
        <w:rPr>
          <w:rFonts w:hint="eastAsia"/>
          <w:bCs/>
          <w:color w:val="auto"/>
          <w:sz w:val="24"/>
        </w:rPr>
        <w:t>日期：</w:t>
      </w:r>
    </w:p>
    <w:p w14:paraId="6A206F93">
      <w:pPr>
        <w:widowControl/>
        <w:spacing w:line="700" w:lineRule="exact"/>
        <w:jc w:val="center"/>
        <w:rPr>
          <w:rFonts w:ascii="宋体" w:hAnsi="宋体" w:cs="宋体"/>
          <w:b/>
          <w:bCs/>
          <w:color w:val="auto"/>
          <w:kern w:val="0"/>
          <w:sz w:val="24"/>
        </w:rPr>
      </w:pPr>
    </w:p>
    <w:p w14:paraId="650604A5">
      <w:pPr>
        <w:adjustRightInd w:val="0"/>
        <w:snapToGrid w:val="0"/>
        <w:spacing w:line="480" w:lineRule="exact"/>
        <w:ind w:left="826" w:hanging="866" w:hangingChars="392"/>
        <w:rPr>
          <w:rFonts w:ascii="宋体" w:cs="宋体"/>
          <w:b/>
          <w:color w:val="auto"/>
        </w:rPr>
      </w:pPr>
    </w:p>
    <w:p w14:paraId="1D96FFD2">
      <w:pPr>
        <w:adjustRightInd w:val="0"/>
        <w:snapToGrid w:val="0"/>
        <w:spacing w:line="480" w:lineRule="exact"/>
        <w:ind w:left="826" w:hanging="866" w:hangingChars="392"/>
        <w:rPr>
          <w:rFonts w:ascii="宋体" w:cs="宋体"/>
          <w:b/>
          <w:color w:val="auto"/>
        </w:rPr>
      </w:pPr>
      <w:r>
        <w:rPr>
          <w:rFonts w:hint="eastAsia" w:ascii="宋体" w:hAnsi="宋体" w:cs="宋体"/>
          <w:b/>
          <w:color w:val="auto"/>
        </w:rPr>
        <w:t>注：</w:t>
      </w:r>
      <w:r>
        <w:rPr>
          <w:rFonts w:ascii="宋体" w:hAnsi="宋体" w:cs="宋体"/>
          <w:b/>
          <w:color w:val="auto"/>
        </w:rPr>
        <w:t>1</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应随此表附上相关的业绩证明（合同</w:t>
      </w:r>
      <w:r>
        <w:rPr>
          <w:rFonts w:hint="eastAsia" w:cs="宋体"/>
          <w:b/>
          <w:color w:val="auto"/>
          <w:lang w:eastAsia="zh-CN"/>
        </w:rPr>
        <w:t>或</w:t>
      </w:r>
      <w:r>
        <w:rPr>
          <w:rFonts w:hint="eastAsia" w:ascii="宋体" w:hAnsi="宋体" w:cs="宋体"/>
          <w:b/>
          <w:color w:val="auto"/>
          <w:lang w:eastAsia="zh-CN"/>
        </w:rPr>
        <w:t>中标通知书</w:t>
      </w:r>
      <w:r>
        <w:rPr>
          <w:rFonts w:hint="eastAsia" w:ascii="宋体" w:hAnsi="宋体" w:cs="宋体"/>
          <w:b/>
          <w:color w:val="auto"/>
        </w:rPr>
        <w:t>的</w:t>
      </w:r>
      <w:r>
        <w:rPr>
          <w:rFonts w:hint="eastAsia" w:ascii="宋体" w:hAnsi="宋体" w:cs="宋体"/>
          <w:b/>
          <w:color w:val="auto"/>
          <w:lang w:val="en-US" w:eastAsia="zh-CN"/>
        </w:rPr>
        <w:t>扫描</w:t>
      </w:r>
      <w:r>
        <w:rPr>
          <w:rFonts w:hint="eastAsia" w:ascii="宋体" w:hAnsi="宋体" w:cs="宋体"/>
          <w:b/>
          <w:color w:val="auto"/>
        </w:rPr>
        <w:t>件）。</w:t>
      </w:r>
    </w:p>
    <w:p w14:paraId="7C27C7CA">
      <w:pPr>
        <w:adjustRightInd w:val="0"/>
        <w:snapToGrid w:val="0"/>
        <w:spacing w:line="480" w:lineRule="exact"/>
        <w:rPr>
          <w:rFonts w:ascii="宋体" w:cs="宋体"/>
          <w:b/>
          <w:color w:val="auto"/>
        </w:rPr>
      </w:pPr>
      <w:r>
        <w:rPr>
          <w:rFonts w:ascii="宋体" w:hAnsi="宋体" w:cs="宋体"/>
          <w:b/>
          <w:color w:val="auto"/>
        </w:rPr>
        <w:t xml:space="preserve">    2</w:t>
      </w:r>
      <w:r>
        <w:rPr>
          <w:rFonts w:hint="eastAsia" w:ascii="宋体" w:hAnsi="宋体" w:cs="宋体"/>
          <w:b/>
          <w:color w:val="auto"/>
        </w:rPr>
        <w:t>、如有多个已完成项目，每个项目填一张此表，附后。</w:t>
      </w:r>
    </w:p>
    <w:p w14:paraId="7572C456">
      <w:pPr>
        <w:adjustRightInd w:val="0"/>
        <w:snapToGrid w:val="0"/>
        <w:spacing w:line="480" w:lineRule="exact"/>
        <w:rPr>
          <w:rFonts w:ascii="宋体" w:cs="宋体"/>
          <w:b/>
          <w:color w:val="auto"/>
        </w:rPr>
      </w:pPr>
    </w:p>
    <w:p w14:paraId="3418E686">
      <w:pPr>
        <w:adjustRightInd w:val="0"/>
        <w:snapToGrid w:val="0"/>
        <w:spacing w:line="480" w:lineRule="exact"/>
        <w:rPr>
          <w:rFonts w:ascii="宋体" w:cs="宋体"/>
          <w:b/>
          <w:color w:val="auto"/>
        </w:rPr>
      </w:pPr>
    </w:p>
    <w:p w14:paraId="69013D96">
      <w:pPr>
        <w:pageBreakBefore/>
        <w:spacing w:line="480" w:lineRule="exact"/>
        <w:jc w:val="center"/>
        <w:rPr>
          <w:rFonts w:ascii="宋体" w:cs="宋体"/>
          <w:b/>
          <w:color w:val="auto"/>
          <w:sz w:val="24"/>
        </w:rPr>
      </w:pPr>
      <w:r>
        <w:rPr>
          <w:rFonts w:hint="eastAsia" w:ascii="宋体" w:hAnsi="宋体" w:cs="宋体"/>
          <w:bCs/>
          <w:color w:val="auto"/>
          <w:sz w:val="24"/>
        </w:rPr>
        <w:t>（三）</w:t>
      </w:r>
      <w:r>
        <w:rPr>
          <w:rFonts w:hint="eastAsia" w:ascii="宋体" w:hAnsi="宋体" w:cs="宋体"/>
          <w:color w:val="auto"/>
          <w:kern w:val="1"/>
          <w:sz w:val="24"/>
        </w:rPr>
        <w:t>主要人员简历表</w:t>
      </w:r>
    </w:p>
    <w:p w14:paraId="5EB2F87A">
      <w:pPr>
        <w:adjustRightInd w:val="0"/>
        <w:snapToGrid w:val="0"/>
        <w:spacing w:after="100" w:afterAutospacing="1" w:line="480" w:lineRule="exact"/>
        <w:jc w:val="center"/>
        <w:rPr>
          <w:rFonts w:ascii="宋体" w:cs="宋体"/>
          <w:b/>
          <w:color w:val="auto"/>
        </w:rPr>
      </w:pPr>
      <w:r>
        <w:rPr>
          <w:rFonts w:ascii="宋体" w:hAnsi="宋体" w:cs="宋体"/>
          <w:b/>
          <w:color w:val="auto"/>
        </w:rPr>
        <w:t>1</w:t>
      </w:r>
      <w:r>
        <w:rPr>
          <w:rFonts w:hint="eastAsia" w:ascii="宋体" w:hAnsi="宋体" w:cs="宋体"/>
          <w:b/>
          <w:color w:val="auto"/>
        </w:rPr>
        <w:t>、项目负责人基本情况表</w:t>
      </w:r>
    </w:p>
    <w:tbl>
      <w:tblPr>
        <w:tblStyle w:val="20"/>
        <w:tblW w:w="8380" w:type="dxa"/>
        <w:jc w:val="center"/>
        <w:tblLayout w:type="fixed"/>
        <w:tblCellMar>
          <w:top w:w="0" w:type="dxa"/>
          <w:left w:w="0" w:type="dxa"/>
          <w:bottom w:w="0" w:type="dxa"/>
          <w:right w:w="0" w:type="dxa"/>
        </w:tblCellMar>
      </w:tblPr>
      <w:tblGrid>
        <w:gridCol w:w="720"/>
        <w:gridCol w:w="811"/>
        <w:gridCol w:w="556"/>
        <w:gridCol w:w="1063"/>
        <w:gridCol w:w="730"/>
        <w:gridCol w:w="746"/>
        <w:gridCol w:w="1833"/>
        <w:gridCol w:w="1921"/>
      </w:tblGrid>
      <w:tr w14:paraId="13FF046C">
        <w:tblPrEx>
          <w:tblCellMar>
            <w:top w:w="0" w:type="dxa"/>
            <w:left w:w="0" w:type="dxa"/>
            <w:bottom w:w="0" w:type="dxa"/>
            <w:right w:w="0" w:type="dxa"/>
          </w:tblCellMar>
        </w:tblPrEx>
        <w:trPr>
          <w:trHeight w:val="680"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5CA11329">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619" w:type="dxa"/>
            <w:gridSpan w:val="2"/>
            <w:tcBorders>
              <w:top w:val="single" w:color="auto" w:sz="8" w:space="0"/>
              <w:left w:val="single" w:color="auto" w:sz="8" w:space="0"/>
              <w:bottom w:val="single" w:color="auto" w:sz="8" w:space="0"/>
              <w:right w:val="single" w:color="auto" w:sz="8" w:space="0"/>
            </w:tcBorders>
            <w:vAlign w:val="center"/>
          </w:tcPr>
          <w:p w14:paraId="78965BD2">
            <w:pPr>
              <w:adjustRightInd w:val="0"/>
              <w:snapToGrid w:val="0"/>
              <w:spacing w:line="480" w:lineRule="exact"/>
              <w:jc w:val="center"/>
              <w:rPr>
                <w:rFonts w:ascii="宋体" w:cs="宋体"/>
                <w:color w:val="auto"/>
              </w:rPr>
            </w:pPr>
          </w:p>
        </w:tc>
        <w:tc>
          <w:tcPr>
            <w:tcW w:w="730" w:type="dxa"/>
            <w:tcBorders>
              <w:top w:val="single" w:color="auto" w:sz="8" w:space="0"/>
              <w:left w:val="single" w:color="auto" w:sz="8" w:space="0"/>
              <w:bottom w:val="single" w:color="auto" w:sz="8" w:space="0"/>
              <w:right w:val="single" w:color="auto" w:sz="8" w:space="0"/>
            </w:tcBorders>
            <w:vAlign w:val="center"/>
          </w:tcPr>
          <w:p w14:paraId="717A0893">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746" w:type="dxa"/>
            <w:tcBorders>
              <w:top w:val="single" w:color="auto" w:sz="8" w:space="0"/>
              <w:left w:val="single" w:color="auto" w:sz="8" w:space="0"/>
              <w:bottom w:val="single" w:color="auto" w:sz="8" w:space="0"/>
              <w:right w:val="single" w:color="auto" w:sz="8" w:space="0"/>
            </w:tcBorders>
            <w:vAlign w:val="center"/>
          </w:tcPr>
          <w:p w14:paraId="00819C05">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1BF26BBE">
            <w:pPr>
              <w:adjustRightInd w:val="0"/>
              <w:snapToGrid w:val="0"/>
              <w:spacing w:line="480" w:lineRule="exact"/>
              <w:jc w:val="center"/>
              <w:rPr>
                <w:rFonts w:ascii="宋体" w:cs="宋体"/>
                <w:color w:val="auto"/>
              </w:rPr>
            </w:pPr>
            <w:r>
              <w:rPr>
                <w:rFonts w:hint="eastAsia" w:ascii="宋体" w:hAnsi="宋体" w:cs="宋体"/>
                <w:color w:val="auto"/>
              </w:rPr>
              <w:t>出生</w:t>
            </w:r>
          </w:p>
          <w:p w14:paraId="341656AE">
            <w:pPr>
              <w:adjustRightInd w:val="0"/>
              <w:snapToGrid w:val="0"/>
              <w:spacing w:line="480" w:lineRule="exact"/>
              <w:jc w:val="center"/>
              <w:rPr>
                <w:rFonts w:ascii="宋体" w:cs="宋体"/>
                <w:color w:val="auto"/>
              </w:rPr>
            </w:pPr>
            <w:r>
              <w:rPr>
                <w:rFonts w:hint="eastAsia" w:ascii="宋体" w:hAnsi="宋体" w:cs="宋体"/>
                <w:color w:val="auto"/>
              </w:rPr>
              <w:t>日期</w:t>
            </w:r>
          </w:p>
        </w:tc>
        <w:tc>
          <w:tcPr>
            <w:tcW w:w="1921" w:type="dxa"/>
            <w:tcBorders>
              <w:top w:val="single" w:color="auto" w:sz="8" w:space="0"/>
              <w:left w:val="single" w:color="auto" w:sz="8" w:space="0"/>
              <w:bottom w:val="single" w:color="auto" w:sz="8" w:space="0"/>
              <w:right w:val="single" w:color="auto" w:sz="8" w:space="0"/>
            </w:tcBorders>
            <w:vAlign w:val="center"/>
          </w:tcPr>
          <w:p w14:paraId="472B3D6C">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5A382ED9">
        <w:tblPrEx>
          <w:tblCellMar>
            <w:top w:w="0" w:type="dxa"/>
            <w:left w:w="0" w:type="dxa"/>
            <w:bottom w:w="0" w:type="dxa"/>
            <w:right w:w="0" w:type="dxa"/>
          </w:tblCellMar>
        </w:tblPrEx>
        <w:trPr>
          <w:trHeight w:val="1085"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5FC47C4A">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38A30240">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77928264">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1921" w:type="dxa"/>
            <w:tcBorders>
              <w:top w:val="single" w:color="auto" w:sz="8" w:space="0"/>
              <w:left w:val="single" w:color="auto" w:sz="8" w:space="0"/>
              <w:bottom w:val="single" w:color="auto" w:sz="8" w:space="0"/>
              <w:right w:val="single" w:color="auto" w:sz="8" w:space="0"/>
            </w:tcBorders>
            <w:vAlign w:val="center"/>
          </w:tcPr>
          <w:p w14:paraId="247C41A3">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7FB277E0">
        <w:tblPrEx>
          <w:tblCellMar>
            <w:top w:w="0" w:type="dxa"/>
            <w:left w:w="0" w:type="dxa"/>
            <w:bottom w:w="0" w:type="dxa"/>
            <w:right w:w="0" w:type="dxa"/>
          </w:tblCellMar>
        </w:tblPrEx>
        <w:trPr>
          <w:trHeight w:val="1068"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16AB1954">
            <w:pPr>
              <w:adjustRightInd w:val="0"/>
              <w:snapToGrid w:val="0"/>
              <w:spacing w:line="480" w:lineRule="exact"/>
              <w:jc w:val="center"/>
              <w:rPr>
                <w:rFonts w:ascii="宋体" w:hAnsi="宋体" w:cs="宋体"/>
                <w:color w:val="auto"/>
              </w:rPr>
            </w:pPr>
            <w:r>
              <w:rPr>
                <w:rFonts w:hint="eastAsia" w:ascii="宋体" w:hAnsi="宋体" w:cs="宋体"/>
                <w:color w:val="auto"/>
              </w:rPr>
              <w:t>参加工作时间</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2ADBFB87">
            <w:pPr>
              <w:adjustRightInd w:val="0"/>
              <w:snapToGrid w:val="0"/>
              <w:spacing w:line="480" w:lineRule="exact"/>
              <w:jc w:val="center"/>
              <w:rPr>
                <w:rFonts w:ascii="宋体" w:hAns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1BCC394D">
            <w:pPr>
              <w:adjustRightInd w:val="0"/>
              <w:snapToGrid w:val="0"/>
              <w:spacing w:line="480" w:lineRule="exact"/>
              <w:jc w:val="center"/>
              <w:rPr>
                <w:rFonts w:ascii="宋体" w:hAnsi="宋体" w:cs="宋体"/>
                <w:color w:val="auto"/>
              </w:rPr>
            </w:pPr>
            <w:r>
              <w:rPr>
                <w:rFonts w:hint="eastAsia" w:ascii="宋体" w:hAnsi="宋体" w:cs="宋体"/>
                <w:color w:val="auto"/>
              </w:rPr>
              <w:t>从事本专业年限</w:t>
            </w:r>
          </w:p>
        </w:tc>
        <w:tc>
          <w:tcPr>
            <w:tcW w:w="1921" w:type="dxa"/>
            <w:tcBorders>
              <w:top w:val="single" w:color="auto" w:sz="8" w:space="0"/>
              <w:left w:val="single" w:color="auto" w:sz="8" w:space="0"/>
              <w:bottom w:val="single" w:color="auto" w:sz="8" w:space="0"/>
              <w:right w:val="single" w:color="auto" w:sz="8" w:space="0"/>
            </w:tcBorders>
            <w:vAlign w:val="center"/>
          </w:tcPr>
          <w:p w14:paraId="3B136B11">
            <w:pPr>
              <w:adjustRightInd w:val="0"/>
              <w:snapToGrid w:val="0"/>
              <w:spacing w:line="480" w:lineRule="exact"/>
              <w:jc w:val="center"/>
              <w:rPr>
                <w:rFonts w:ascii="宋体" w:hAnsi="宋体" w:cs="宋体"/>
                <w:color w:val="auto"/>
              </w:rPr>
            </w:pPr>
          </w:p>
        </w:tc>
      </w:tr>
      <w:tr w14:paraId="78EDD4C0">
        <w:tblPrEx>
          <w:tblCellMar>
            <w:top w:w="0" w:type="dxa"/>
            <w:left w:w="0" w:type="dxa"/>
            <w:bottom w:w="0" w:type="dxa"/>
            <w:right w:w="0" w:type="dxa"/>
          </w:tblCellMar>
        </w:tblPrEx>
        <w:trPr>
          <w:trHeight w:val="1636"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11FCDD8C">
            <w:pPr>
              <w:adjustRightInd w:val="0"/>
              <w:snapToGrid w:val="0"/>
              <w:spacing w:line="480" w:lineRule="exact"/>
              <w:jc w:val="center"/>
              <w:rPr>
                <w:rFonts w:ascii="宋体" w:cs="宋体"/>
                <w:color w:val="auto"/>
              </w:rPr>
            </w:pPr>
            <w:r>
              <w:rPr>
                <w:rFonts w:hint="eastAsia" w:ascii="宋体" w:hAnsi="宋体" w:cs="宋体"/>
                <w:color w:val="auto"/>
              </w:rPr>
              <w:t>执业注册资格职称（须提供复印件）</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01353641">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1408DE40">
            <w:pPr>
              <w:adjustRightInd w:val="0"/>
              <w:snapToGrid w:val="0"/>
              <w:spacing w:line="480" w:lineRule="exact"/>
              <w:jc w:val="center"/>
              <w:rPr>
                <w:rFonts w:ascii="宋体" w:cs="宋体"/>
                <w:color w:val="auto"/>
              </w:rPr>
            </w:pPr>
            <w:r>
              <w:rPr>
                <w:rFonts w:hint="eastAsia" w:ascii="宋体" w:hAnsi="宋体" w:cs="宋体"/>
                <w:color w:val="auto"/>
              </w:rPr>
              <w:t>是否本单位</w:t>
            </w:r>
          </w:p>
          <w:p w14:paraId="4FE49CF7">
            <w:pPr>
              <w:adjustRightInd w:val="0"/>
              <w:snapToGrid w:val="0"/>
              <w:spacing w:line="480" w:lineRule="exact"/>
              <w:jc w:val="center"/>
              <w:rPr>
                <w:rFonts w:ascii="宋体" w:cs="宋体"/>
                <w:color w:val="auto"/>
              </w:rPr>
            </w:pPr>
            <w:r>
              <w:rPr>
                <w:rFonts w:hint="eastAsia" w:ascii="宋体" w:hAnsi="宋体" w:cs="宋体"/>
                <w:color w:val="auto"/>
              </w:rPr>
              <w:t>长期雇员</w:t>
            </w:r>
          </w:p>
        </w:tc>
        <w:tc>
          <w:tcPr>
            <w:tcW w:w="1921" w:type="dxa"/>
            <w:tcBorders>
              <w:top w:val="single" w:color="auto" w:sz="8" w:space="0"/>
              <w:left w:val="single" w:color="auto" w:sz="8" w:space="0"/>
              <w:bottom w:val="single" w:color="auto" w:sz="8" w:space="0"/>
              <w:right w:val="single" w:color="auto" w:sz="8" w:space="0"/>
            </w:tcBorders>
            <w:vAlign w:val="center"/>
          </w:tcPr>
          <w:p w14:paraId="6F8A891E">
            <w:pPr>
              <w:adjustRightInd w:val="0"/>
              <w:snapToGrid w:val="0"/>
              <w:spacing w:line="480" w:lineRule="exact"/>
              <w:jc w:val="center"/>
              <w:rPr>
                <w:rFonts w:ascii="宋体" w:cs="宋体"/>
                <w:color w:val="auto"/>
              </w:rPr>
            </w:pPr>
          </w:p>
        </w:tc>
      </w:tr>
      <w:tr w14:paraId="7F7B4927">
        <w:tblPrEx>
          <w:tblCellMar>
            <w:top w:w="0" w:type="dxa"/>
            <w:left w:w="0" w:type="dxa"/>
            <w:bottom w:w="0" w:type="dxa"/>
            <w:right w:w="0" w:type="dxa"/>
          </w:tblCellMar>
        </w:tblPrEx>
        <w:trPr>
          <w:trHeight w:val="1290"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5BA496F5">
            <w:pPr>
              <w:adjustRightInd w:val="0"/>
              <w:snapToGrid w:val="0"/>
              <w:spacing w:line="480" w:lineRule="exact"/>
              <w:jc w:val="center"/>
              <w:rPr>
                <w:rFonts w:ascii="宋体" w:cs="宋体"/>
                <w:color w:val="auto"/>
              </w:rPr>
            </w:pPr>
            <w:r>
              <w:rPr>
                <w:rFonts w:hint="eastAsia" w:ascii="宋体" w:hAnsi="宋体" w:cs="宋体"/>
                <w:color w:val="auto"/>
              </w:rPr>
              <w:t>在本项目中担任任务</w:t>
            </w:r>
          </w:p>
        </w:tc>
        <w:tc>
          <w:tcPr>
            <w:tcW w:w="6849" w:type="dxa"/>
            <w:gridSpan w:val="6"/>
            <w:tcBorders>
              <w:top w:val="single" w:color="auto" w:sz="8" w:space="0"/>
              <w:left w:val="single" w:color="auto" w:sz="8" w:space="0"/>
              <w:bottom w:val="single" w:color="auto" w:sz="8" w:space="0"/>
              <w:right w:val="single" w:color="auto" w:sz="8" w:space="0"/>
            </w:tcBorders>
            <w:vAlign w:val="center"/>
          </w:tcPr>
          <w:p w14:paraId="3871C598">
            <w:pPr>
              <w:adjustRightInd w:val="0"/>
              <w:snapToGrid w:val="0"/>
              <w:spacing w:line="480" w:lineRule="exact"/>
              <w:jc w:val="center"/>
              <w:rPr>
                <w:rFonts w:ascii="宋体" w:cs="宋体"/>
                <w:color w:val="auto"/>
              </w:rPr>
            </w:pPr>
          </w:p>
        </w:tc>
      </w:tr>
      <w:tr w14:paraId="1ED3A245">
        <w:tblPrEx>
          <w:tblCellMar>
            <w:top w:w="0" w:type="dxa"/>
            <w:left w:w="0" w:type="dxa"/>
            <w:bottom w:w="0" w:type="dxa"/>
            <w:right w:w="0" w:type="dxa"/>
          </w:tblCellMar>
        </w:tblPrEx>
        <w:trPr>
          <w:cantSplit/>
          <w:trHeight w:val="516" w:hRule="exact"/>
          <w:jc w:val="center"/>
        </w:trPr>
        <w:tc>
          <w:tcPr>
            <w:tcW w:w="8380" w:type="dxa"/>
            <w:gridSpan w:val="8"/>
            <w:tcBorders>
              <w:top w:val="single" w:color="auto" w:sz="8" w:space="0"/>
              <w:left w:val="single" w:color="auto" w:sz="8" w:space="0"/>
              <w:bottom w:val="single" w:color="auto" w:sz="4" w:space="0"/>
              <w:right w:val="single" w:color="auto" w:sz="8" w:space="0"/>
            </w:tcBorders>
            <w:vAlign w:val="center"/>
          </w:tcPr>
          <w:p w14:paraId="087A341C">
            <w:pPr>
              <w:adjustRightInd w:val="0"/>
              <w:snapToGrid w:val="0"/>
              <w:spacing w:line="480" w:lineRule="exact"/>
              <w:jc w:val="center"/>
              <w:rPr>
                <w:rFonts w:ascii="宋体" w:cs="宋体"/>
                <w:color w:val="auto"/>
              </w:rPr>
            </w:pPr>
            <w:r>
              <w:rPr>
                <w:rFonts w:hint="eastAsia" w:ascii="宋体" w:hAnsi="宋体" w:cs="宋体"/>
                <w:color w:val="auto"/>
              </w:rPr>
              <w:t>主要经历</w:t>
            </w:r>
          </w:p>
          <w:p w14:paraId="4D122019">
            <w:pPr>
              <w:adjustRightInd w:val="0"/>
              <w:snapToGrid w:val="0"/>
              <w:spacing w:line="480" w:lineRule="exact"/>
              <w:jc w:val="center"/>
              <w:rPr>
                <w:rFonts w:ascii="宋体" w:cs="宋体"/>
                <w:color w:val="auto"/>
              </w:rPr>
            </w:pPr>
          </w:p>
          <w:p w14:paraId="5CCF3514">
            <w:pPr>
              <w:adjustRightInd w:val="0"/>
              <w:snapToGrid w:val="0"/>
              <w:spacing w:line="480" w:lineRule="exact"/>
              <w:jc w:val="center"/>
              <w:rPr>
                <w:rFonts w:ascii="宋体" w:cs="宋体"/>
                <w:color w:val="auto"/>
              </w:rPr>
            </w:pPr>
            <w:r>
              <w:rPr>
                <w:rFonts w:hint="eastAsia" w:ascii="宋体" w:hAnsi="宋体" w:cs="宋体"/>
                <w:color w:val="auto"/>
              </w:rPr>
              <w:t>本人主要设计成果</w:t>
            </w:r>
          </w:p>
        </w:tc>
      </w:tr>
      <w:tr w14:paraId="64081B31">
        <w:tblPrEx>
          <w:tblCellMar>
            <w:top w:w="0" w:type="dxa"/>
            <w:left w:w="0" w:type="dxa"/>
            <w:bottom w:w="0" w:type="dxa"/>
            <w:right w:w="0" w:type="dxa"/>
          </w:tblCellMar>
        </w:tblPrEx>
        <w:trPr>
          <w:cantSplit/>
          <w:trHeight w:val="742" w:hRule="exact"/>
          <w:jc w:val="center"/>
        </w:trPr>
        <w:tc>
          <w:tcPr>
            <w:tcW w:w="720" w:type="dxa"/>
            <w:tcBorders>
              <w:top w:val="single" w:color="auto" w:sz="4" w:space="0"/>
              <w:left w:val="single" w:color="auto" w:sz="8" w:space="0"/>
              <w:bottom w:val="single" w:color="auto" w:sz="4" w:space="0"/>
              <w:right w:val="single" w:color="auto" w:sz="4" w:space="0"/>
            </w:tcBorders>
            <w:vAlign w:val="center"/>
          </w:tcPr>
          <w:p w14:paraId="6FAA0441">
            <w:pPr>
              <w:adjustRightInd w:val="0"/>
              <w:snapToGrid w:val="0"/>
              <w:spacing w:line="480" w:lineRule="exact"/>
              <w:jc w:val="center"/>
              <w:rPr>
                <w:rFonts w:ascii="宋体" w:cs="宋体"/>
                <w:color w:val="auto"/>
              </w:rPr>
            </w:pPr>
            <w:r>
              <w:rPr>
                <w:rFonts w:hint="eastAsia" w:ascii="宋体" w:hAnsi="宋体" w:cs="宋体"/>
                <w:color w:val="auto"/>
              </w:rPr>
              <w:t>序号</w:t>
            </w:r>
          </w:p>
        </w:tc>
        <w:tc>
          <w:tcPr>
            <w:tcW w:w="1367" w:type="dxa"/>
            <w:gridSpan w:val="2"/>
            <w:tcBorders>
              <w:top w:val="single" w:color="auto" w:sz="4" w:space="0"/>
              <w:left w:val="single" w:color="auto" w:sz="4" w:space="0"/>
              <w:bottom w:val="single" w:color="auto" w:sz="4" w:space="0"/>
              <w:right w:val="single" w:color="auto" w:sz="8" w:space="0"/>
            </w:tcBorders>
            <w:vAlign w:val="center"/>
          </w:tcPr>
          <w:p w14:paraId="40852EEA">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4476602D">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1921" w:type="dxa"/>
            <w:tcBorders>
              <w:top w:val="single" w:color="auto" w:sz="8" w:space="0"/>
              <w:left w:val="single" w:color="auto" w:sz="8" w:space="0"/>
              <w:bottom w:val="single" w:color="auto" w:sz="8" w:space="0"/>
              <w:right w:val="single" w:color="auto" w:sz="8" w:space="0"/>
            </w:tcBorders>
            <w:vAlign w:val="center"/>
          </w:tcPr>
          <w:p w14:paraId="11CC5F87">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0C910F8C">
        <w:tblPrEx>
          <w:tblCellMar>
            <w:top w:w="0" w:type="dxa"/>
            <w:left w:w="0" w:type="dxa"/>
            <w:bottom w:w="0" w:type="dxa"/>
            <w:right w:w="0" w:type="dxa"/>
          </w:tblCellMar>
        </w:tblPrEx>
        <w:trPr>
          <w:cantSplit/>
          <w:trHeight w:val="487" w:hRule="exact"/>
          <w:jc w:val="center"/>
        </w:trPr>
        <w:tc>
          <w:tcPr>
            <w:tcW w:w="720" w:type="dxa"/>
            <w:tcBorders>
              <w:top w:val="single" w:color="auto" w:sz="4" w:space="0"/>
              <w:left w:val="single" w:color="auto" w:sz="8" w:space="0"/>
              <w:bottom w:val="single" w:color="auto" w:sz="4" w:space="0"/>
              <w:right w:val="single" w:color="auto" w:sz="4" w:space="0"/>
            </w:tcBorders>
            <w:vAlign w:val="center"/>
          </w:tcPr>
          <w:p w14:paraId="28AA6594">
            <w:pPr>
              <w:spacing w:line="480" w:lineRule="exact"/>
              <w:jc w:val="center"/>
              <w:rPr>
                <w:rFonts w:ascii="宋体" w:hAnsi="宋体" w:cs="宋体"/>
                <w:color w:val="auto"/>
              </w:rPr>
            </w:pPr>
            <w:r>
              <w:rPr>
                <w:rFonts w:ascii="宋体" w:hAnsi="宋体" w:cs="宋体"/>
                <w:color w:val="auto"/>
              </w:rPr>
              <w:t>1</w:t>
            </w:r>
          </w:p>
        </w:tc>
        <w:tc>
          <w:tcPr>
            <w:tcW w:w="1367" w:type="dxa"/>
            <w:gridSpan w:val="2"/>
            <w:tcBorders>
              <w:top w:val="single" w:color="auto" w:sz="4" w:space="0"/>
              <w:left w:val="single" w:color="auto" w:sz="4" w:space="0"/>
              <w:bottom w:val="single" w:color="auto" w:sz="8" w:space="0"/>
              <w:right w:val="single" w:color="auto" w:sz="8" w:space="0"/>
            </w:tcBorders>
            <w:vAlign w:val="center"/>
          </w:tcPr>
          <w:p w14:paraId="6DF0C61D">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72F678AA">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587000BA">
            <w:pPr>
              <w:adjustRightInd w:val="0"/>
              <w:snapToGrid w:val="0"/>
              <w:spacing w:line="480" w:lineRule="exact"/>
              <w:jc w:val="center"/>
              <w:rPr>
                <w:rFonts w:ascii="宋体" w:cs="宋体"/>
                <w:color w:val="auto"/>
              </w:rPr>
            </w:pPr>
          </w:p>
        </w:tc>
      </w:tr>
      <w:tr w14:paraId="2D14B31D">
        <w:tblPrEx>
          <w:tblCellMar>
            <w:top w:w="0" w:type="dxa"/>
            <w:left w:w="0" w:type="dxa"/>
            <w:bottom w:w="0" w:type="dxa"/>
            <w:right w:w="0" w:type="dxa"/>
          </w:tblCellMar>
        </w:tblPrEx>
        <w:trPr>
          <w:cantSplit/>
          <w:trHeight w:val="504" w:hRule="exact"/>
          <w:jc w:val="center"/>
        </w:trPr>
        <w:tc>
          <w:tcPr>
            <w:tcW w:w="720" w:type="dxa"/>
            <w:tcBorders>
              <w:top w:val="single" w:color="auto" w:sz="4" w:space="0"/>
              <w:left w:val="single" w:color="auto" w:sz="8" w:space="0"/>
              <w:bottom w:val="single" w:color="auto" w:sz="4" w:space="0"/>
              <w:right w:val="single" w:color="auto" w:sz="8" w:space="0"/>
            </w:tcBorders>
            <w:vAlign w:val="center"/>
          </w:tcPr>
          <w:p w14:paraId="14053BB3">
            <w:pPr>
              <w:spacing w:line="480" w:lineRule="exact"/>
              <w:jc w:val="center"/>
              <w:rPr>
                <w:rFonts w:ascii="宋体" w:hAnsi="宋体" w:cs="宋体"/>
                <w:color w:val="auto"/>
              </w:rPr>
            </w:pPr>
            <w:r>
              <w:rPr>
                <w:rFonts w:ascii="宋体" w:hAnsi="宋体" w:cs="宋体"/>
                <w:color w:val="auto"/>
              </w:rPr>
              <w:t>2</w:t>
            </w:r>
          </w:p>
        </w:tc>
        <w:tc>
          <w:tcPr>
            <w:tcW w:w="1367" w:type="dxa"/>
            <w:gridSpan w:val="2"/>
            <w:tcBorders>
              <w:top w:val="single" w:color="auto" w:sz="8" w:space="0"/>
              <w:left w:val="single" w:color="auto" w:sz="8" w:space="0"/>
              <w:bottom w:val="single" w:color="auto" w:sz="4" w:space="0"/>
              <w:right w:val="single" w:color="auto" w:sz="8" w:space="0"/>
            </w:tcBorders>
            <w:vAlign w:val="center"/>
          </w:tcPr>
          <w:p w14:paraId="492A50C8">
            <w:pPr>
              <w:adjustRightInd w:val="0"/>
              <w:snapToGrid w:val="0"/>
              <w:spacing w:line="480" w:lineRule="exact"/>
              <w:jc w:val="center"/>
              <w:rPr>
                <w:rFonts w:ascii="宋体" w:cs="宋体"/>
                <w:color w:val="auto"/>
              </w:rPr>
            </w:pPr>
          </w:p>
          <w:p w14:paraId="46F8F47E">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532C1D4C">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0C8D9126">
            <w:pPr>
              <w:adjustRightInd w:val="0"/>
              <w:snapToGrid w:val="0"/>
              <w:spacing w:line="480" w:lineRule="exact"/>
              <w:jc w:val="center"/>
              <w:rPr>
                <w:rFonts w:ascii="宋体" w:cs="宋体"/>
                <w:color w:val="auto"/>
              </w:rPr>
            </w:pPr>
          </w:p>
        </w:tc>
      </w:tr>
      <w:tr w14:paraId="4664A7AD">
        <w:tblPrEx>
          <w:tblCellMar>
            <w:top w:w="0" w:type="dxa"/>
            <w:left w:w="0" w:type="dxa"/>
            <w:bottom w:w="0" w:type="dxa"/>
            <w:right w:w="0" w:type="dxa"/>
          </w:tblCellMar>
        </w:tblPrEx>
        <w:trPr>
          <w:cantSplit/>
          <w:trHeight w:val="482" w:hRule="exact"/>
          <w:jc w:val="center"/>
        </w:trPr>
        <w:tc>
          <w:tcPr>
            <w:tcW w:w="720" w:type="dxa"/>
            <w:tcBorders>
              <w:top w:val="single" w:color="auto" w:sz="4" w:space="0"/>
              <w:left w:val="single" w:color="auto" w:sz="8" w:space="0"/>
              <w:bottom w:val="single" w:color="auto" w:sz="8" w:space="0"/>
              <w:right w:val="single" w:color="auto" w:sz="8" w:space="0"/>
            </w:tcBorders>
            <w:vAlign w:val="center"/>
          </w:tcPr>
          <w:p w14:paraId="06BED617">
            <w:pPr>
              <w:spacing w:line="480" w:lineRule="exact"/>
              <w:jc w:val="center"/>
              <w:rPr>
                <w:rFonts w:ascii="宋体" w:hAnsi="宋体" w:cs="宋体"/>
                <w:color w:val="auto"/>
              </w:rPr>
            </w:pPr>
            <w:r>
              <w:rPr>
                <w:rFonts w:ascii="宋体" w:hAnsi="宋体" w:cs="宋体"/>
                <w:color w:val="auto"/>
              </w:rPr>
              <w:t>3</w:t>
            </w:r>
          </w:p>
        </w:tc>
        <w:tc>
          <w:tcPr>
            <w:tcW w:w="1367" w:type="dxa"/>
            <w:gridSpan w:val="2"/>
            <w:tcBorders>
              <w:top w:val="single" w:color="auto" w:sz="4" w:space="0"/>
              <w:left w:val="single" w:color="auto" w:sz="8" w:space="0"/>
              <w:bottom w:val="single" w:color="auto" w:sz="8" w:space="0"/>
              <w:right w:val="single" w:color="auto" w:sz="8" w:space="0"/>
            </w:tcBorders>
            <w:vAlign w:val="center"/>
          </w:tcPr>
          <w:p w14:paraId="5F62349A">
            <w:pPr>
              <w:adjustRightInd w:val="0"/>
              <w:snapToGrid w:val="0"/>
              <w:spacing w:line="480" w:lineRule="exact"/>
              <w:jc w:val="center"/>
              <w:rPr>
                <w:rFonts w:ascii="宋体" w:cs="宋体"/>
                <w:color w:val="auto"/>
              </w:rPr>
            </w:pPr>
          </w:p>
          <w:p w14:paraId="76B37B15">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2106BDF7">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3B29B970">
            <w:pPr>
              <w:adjustRightInd w:val="0"/>
              <w:snapToGrid w:val="0"/>
              <w:spacing w:line="480" w:lineRule="exact"/>
              <w:jc w:val="center"/>
              <w:rPr>
                <w:rFonts w:ascii="宋体" w:cs="宋体"/>
                <w:color w:val="auto"/>
              </w:rPr>
            </w:pPr>
          </w:p>
        </w:tc>
      </w:tr>
    </w:tbl>
    <w:p w14:paraId="1F7CCA2B">
      <w:pPr>
        <w:spacing w:line="480" w:lineRule="exact"/>
        <w:ind w:left="2750" w:leftChars="1250"/>
        <w:rPr>
          <w:rFonts w:ascii="宋体" w:hAnsi="宋体" w:cs="宋体"/>
          <w:color w:val="auto"/>
        </w:rPr>
      </w:pPr>
    </w:p>
    <w:p w14:paraId="02601B85">
      <w:pPr>
        <w:spacing w:line="500" w:lineRule="exact"/>
        <w:ind w:firstLine="4252" w:firstLineChars="1772"/>
        <w:rPr>
          <w:bCs/>
          <w:color w:val="auto"/>
          <w:sz w:val="24"/>
        </w:rPr>
      </w:pPr>
      <w:r>
        <w:rPr>
          <w:rFonts w:hint="eastAsia"/>
          <w:bCs/>
          <w:color w:val="auto"/>
          <w:sz w:val="24"/>
        </w:rPr>
        <w:t>供应商：（公章签章）</w:t>
      </w:r>
    </w:p>
    <w:p w14:paraId="1602712B">
      <w:pPr>
        <w:spacing w:line="500" w:lineRule="exact"/>
        <w:ind w:firstLine="4252" w:firstLineChars="1772"/>
        <w:rPr>
          <w:bCs/>
          <w:color w:val="auto"/>
          <w:sz w:val="24"/>
        </w:rPr>
      </w:pPr>
      <w:r>
        <w:rPr>
          <w:rFonts w:hint="eastAsia"/>
          <w:bCs/>
          <w:color w:val="auto"/>
          <w:sz w:val="24"/>
        </w:rPr>
        <w:t>法定代表人：（签章）</w:t>
      </w:r>
    </w:p>
    <w:p w14:paraId="24A2A694">
      <w:pPr>
        <w:spacing w:line="500" w:lineRule="exact"/>
        <w:ind w:firstLine="4252" w:firstLineChars="1772"/>
        <w:rPr>
          <w:bCs/>
          <w:color w:val="auto"/>
          <w:sz w:val="24"/>
        </w:rPr>
      </w:pPr>
      <w:r>
        <w:rPr>
          <w:rFonts w:hint="eastAsia"/>
          <w:bCs/>
          <w:color w:val="auto"/>
          <w:sz w:val="24"/>
        </w:rPr>
        <w:t>日期：</w:t>
      </w:r>
    </w:p>
    <w:p w14:paraId="10354B99">
      <w:pPr>
        <w:widowControl/>
        <w:spacing w:line="700" w:lineRule="exact"/>
        <w:jc w:val="center"/>
        <w:rPr>
          <w:rFonts w:ascii="宋体" w:hAnsi="宋体" w:cs="宋体"/>
          <w:color w:val="auto"/>
          <w:kern w:val="0"/>
          <w:sz w:val="24"/>
        </w:rPr>
      </w:pPr>
    </w:p>
    <w:p w14:paraId="1A0FBF9B">
      <w:pPr>
        <w:widowControl/>
        <w:spacing w:line="700" w:lineRule="exact"/>
        <w:jc w:val="center"/>
        <w:rPr>
          <w:rFonts w:ascii="宋体" w:hAnsi="宋体" w:cs="宋体"/>
          <w:color w:val="auto"/>
          <w:kern w:val="0"/>
          <w:sz w:val="24"/>
        </w:rPr>
      </w:pPr>
    </w:p>
    <w:p w14:paraId="3C4C0811">
      <w:pPr>
        <w:widowControl/>
        <w:spacing w:line="700" w:lineRule="exact"/>
        <w:jc w:val="center"/>
        <w:rPr>
          <w:rFonts w:ascii="宋体" w:hAnsi="宋体" w:cs="宋体"/>
          <w:color w:val="auto"/>
          <w:kern w:val="0"/>
          <w:sz w:val="24"/>
        </w:rPr>
      </w:pPr>
    </w:p>
    <w:p w14:paraId="50D3343A">
      <w:pPr>
        <w:widowControl/>
        <w:spacing w:line="700" w:lineRule="exact"/>
        <w:jc w:val="center"/>
        <w:rPr>
          <w:rFonts w:ascii="宋体" w:cs="宋体"/>
          <w:b/>
          <w:color w:val="auto"/>
        </w:rPr>
      </w:pPr>
      <w:r>
        <w:rPr>
          <w:rFonts w:ascii="宋体" w:hAnsi="宋体" w:cs="宋体"/>
          <w:b/>
          <w:color w:val="auto"/>
        </w:rPr>
        <w:t>2</w:t>
      </w:r>
      <w:r>
        <w:rPr>
          <w:rFonts w:hint="eastAsia" w:ascii="宋体" w:hAnsi="宋体" w:cs="宋体"/>
          <w:b/>
          <w:color w:val="auto"/>
        </w:rPr>
        <w:t>、拟投入主要人员简历表</w:t>
      </w:r>
    </w:p>
    <w:tbl>
      <w:tblPr>
        <w:tblStyle w:val="20"/>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305"/>
        <w:gridCol w:w="1177"/>
        <w:gridCol w:w="942"/>
        <w:gridCol w:w="404"/>
        <w:gridCol w:w="1454"/>
        <w:gridCol w:w="2062"/>
      </w:tblGrid>
      <w:tr w14:paraId="5CA8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5797895E">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305" w:type="dxa"/>
            <w:vAlign w:val="center"/>
          </w:tcPr>
          <w:p w14:paraId="4412A771">
            <w:pPr>
              <w:adjustRightInd w:val="0"/>
              <w:snapToGrid w:val="0"/>
              <w:spacing w:line="480" w:lineRule="exact"/>
              <w:jc w:val="center"/>
              <w:rPr>
                <w:rFonts w:ascii="宋体" w:cs="宋体"/>
                <w:color w:val="auto"/>
              </w:rPr>
            </w:pPr>
          </w:p>
        </w:tc>
        <w:tc>
          <w:tcPr>
            <w:tcW w:w="1177" w:type="dxa"/>
            <w:vAlign w:val="center"/>
          </w:tcPr>
          <w:p w14:paraId="57F205D0">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942" w:type="dxa"/>
            <w:vAlign w:val="center"/>
          </w:tcPr>
          <w:p w14:paraId="3AB68FF6">
            <w:pPr>
              <w:adjustRightInd w:val="0"/>
              <w:snapToGrid w:val="0"/>
              <w:spacing w:line="480" w:lineRule="exact"/>
              <w:jc w:val="center"/>
              <w:rPr>
                <w:rFonts w:ascii="宋体" w:cs="宋体"/>
                <w:color w:val="auto"/>
              </w:rPr>
            </w:pPr>
          </w:p>
        </w:tc>
        <w:tc>
          <w:tcPr>
            <w:tcW w:w="1858" w:type="dxa"/>
            <w:gridSpan w:val="2"/>
            <w:vAlign w:val="center"/>
          </w:tcPr>
          <w:p w14:paraId="3A62F6BD">
            <w:pPr>
              <w:adjustRightInd w:val="0"/>
              <w:snapToGrid w:val="0"/>
              <w:spacing w:line="480" w:lineRule="exact"/>
              <w:jc w:val="center"/>
              <w:rPr>
                <w:rFonts w:ascii="宋体" w:cs="宋体"/>
                <w:color w:val="auto"/>
              </w:rPr>
            </w:pPr>
            <w:r>
              <w:rPr>
                <w:rFonts w:hint="eastAsia" w:ascii="宋体" w:hAnsi="宋体" w:cs="宋体"/>
                <w:color w:val="auto"/>
              </w:rPr>
              <w:t>出生日期</w:t>
            </w:r>
          </w:p>
        </w:tc>
        <w:tc>
          <w:tcPr>
            <w:tcW w:w="2062" w:type="dxa"/>
            <w:vAlign w:val="center"/>
          </w:tcPr>
          <w:p w14:paraId="29F10BB4">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08FD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4BC9E5D7">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424" w:type="dxa"/>
            <w:gridSpan w:val="3"/>
            <w:vAlign w:val="center"/>
          </w:tcPr>
          <w:p w14:paraId="0FD0AD73">
            <w:pPr>
              <w:adjustRightInd w:val="0"/>
              <w:snapToGrid w:val="0"/>
              <w:spacing w:line="480" w:lineRule="exact"/>
              <w:jc w:val="center"/>
              <w:rPr>
                <w:rFonts w:ascii="宋体" w:cs="宋体"/>
                <w:color w:val="auto"/>
              </w:rPr>
            </w:pPr>
          </w:p>
        </w:tc>
        <w:tc>
          <w:tcPr>
            <w:tcW w:w="1858" w:type="dxa"/>
            <w:gridSpan w:val="2"/>
            <w:vAlign w:val="center"/>
          </w:tcPr>
          <w:p w14:paraId="43A8A208">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2062" w:type="dxa"/>
            <w:vAlign w:val="center"/>
          </w:tcPr>
          <w:p w14:paraId="41595068">
            <w:pPr>
              <w:adjustRightInd w:val="0"/>
              <w:snapToGrid w:val="0"/>
              <w:spacing w:line="480" w:lineRule="exact"/>
              <w:ind w:firstLine="220" w:firstLineChars="100"/>
              <w:rPr>
                <w:rFonts w:ascii="宋体" w:cs="宋体"/>
                <w:color w:val="auto"/>
              </w:rPr>
            </w:pPr>
            <w:r>
              <w:rPr>
                <w:rFonts w:hint="eastAsia" w:ascii="宋体" w:hAnsi="宋体" w:cs="宋体"/>
                <w:color w:val="auto"/>
              </w:rPr>
              <w:t>年月日</w:t>
            </w:r>
          </w:p>
        </w:tc>
      </w:tr>
      <w:tr w14:paraId="37EA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564E1C11">
            <w:pPr>
              <w:adjustRightInd w:val="0"/>
              <w:snapToGrid w:val="0"/>
              <w:spacing w:line="480" w:lineRule="exact"/>
              <w:jc w:val="center"/>
              <w:rPr>
                <w:rFonts w:ascii="宋体" w:cs="宋体"/>
                <w:color w:val="auto"/>
              </w:rPr>
            </w:pPr>
            <w:r>
              <w:rPr>
                <w:rFonts w:hint="eastAsia" w:ascii="宋体" w:hAnsi="宋体" w:cs="宋体"/>
                <w:color w:val="auto"/>
              </w:rPr>
              <w:t>参加工作时间</w:t>
            </w:r>
          </w:p>
        </w:tc>
        <w:tc>
          <w:tcPr>
            <w:tcW w:w="2482" w:type="dxa"/>
            <w:gridSpan w:val="2"/>
            <w:vAlign w:val="center"/>
          </w:tcPr>
          <w:p w14:paraId="37F44730">
            <w:pPr>
              <w:adjustRightInd w:val="0"/>
              <w:snapToGrid w:val="0"/>
              <w:spacing w:line="480" w:lineRule="exact"/>
              <w:jc w:val="center"/>
              <w:rPr>
                <w:rFonts w:ascii="宋体" w:cs="宋体"/>
                <w:color w:val="auto"/>
              </w:rPr>
            </w:pPr>
          </w:p>
        </w:tc>
        <w:tc>
          <w:tcPr>
            <w:tcW w:w="2800" w:type="dxa"/>
            <w:gridSpan w:val="3"/>
            <w:vAlign w:val="center"/>
          </w:tcPr>
          <w:p w14:paraId="6290510B">
            <w:pPr>
              <w:adjustRightInd w:val="0"/>
              <w:snapToGrid w:val="0"/>
              <w:spacing w:line="480" w:lineRule="exact"/>
              <w:jc w:val="center"/>
              <w:rPr>
                <w:rFonts w:ascii="宋体" w:cs="宋体"/>
                <w:color w:val="auto"/>
              </w:rPr>
            </w:pPr>
            <w:r>
              <w:rPr>
                <w:rFonts w:hint="eastAsia" w:ascii="宋体" w:hAnsi="宋体" w:cs="宋体"/>
                <w:color w:val="auto"/>
              </w:rPr>
              <w:t>从事本专业年限</w:t>
            </w:r>
          </w:p>
        </w:tc>
        <w:tc>
          <w:tcPr>
            <w:tcW w:w="2062" w:type="dxa"/>
            <w:vAlign w:val="center"/>
          </w:tcPr>
          <w:p w14:paraId="2C893340">
            <w:pPr>
              <w:adjustRightInd w:val="0"/>
              <w:snapToGrid w:val="0"/>
              <w:spacing w:line="480" w:lineRule="exact"/>
              <w:jc w:val="center"/>
              <w:rPr>
                <w:rFonts w:ascii="宋体" w:cs="宋体"/>
                <w:color w:val="auto"/>
              </w:rPr>
            </w:pPr>
          </w:p>
        </w:tc>
      </w:tr>
      <w:tr w14:paraId="5FEA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1DFCBCE4">
            <w:pPr>
              <w:adjustRightInd w:val="0"/>
              <w:snapToGrid w:val="0"/>
              <w:spacing w:line="480" w:lineRule="exact"/>
              <w:jc w:val="center"/>
              <w:rPr>
                <w:rFonts w:ascii="宋体" w:cs="宋体"/>
                <w:color w:val="auto"/>
              </w:rPr>
            </w:pPr>
            <w:r>
              <w:rPr>
                <w:rFonts w:hint="eastAsia" w:ascii="宋体" w:hAnsi="宋体" w:cs="宋体"/>
                <w:color w:val="auto"/>
              </w:rPr>
              <w:t>执业注册</w:t>
            </w:r>
          </w:p>
        </w:tc>
        <w:tc>
          <w:tcPr>
            <w:tcW w:w="2482" w:type="dxa"/>
            <w:gridSpan w:val="2"/>
            <w:vAlign w:val="center"/>
          </w:tcPr>
          <w:p w14:paraId="540472A9">
            <w:pPr>
              <w:adjustRightInd w:val="0"/>
              <w:snapToGrid w:val="0"/>
              <w:spacing w:line="480" w:lineRule="exact"/>
              <w:jc w:val="center"/>
              <w:rPr>
                <w:rFonts w:ascii="宋体" w:cs="宋体"/>
                <w:color w:val="auto"/>
              </w:rPr>
            </w:pPr>
          </w:p>
        </w:tc>
        <w:tc>
          <w:tcPr>
            <w:tcW w:w="2800" w:type="dxa"/>
            <w:gridSpan w:val="3"/>
            <w:vAlign w:val="center"/>
          </w:tcPr>
          <w:p w14:paraId="665316FC">
            <w:pPr>
              <w:adjustRightInd w:val="0"/>
              <w:snapToGrid w:val="0"/>
              <w:spacing w:line="480" w:lineRule="exact"/>
              <w:jc w:val="center"/>
              <w:rPr>
                <w:rFonts w:ascii="宋体" w:cs="宋体"/>
                <w:color w:val="auto"/>
              </w:rPr>
            </w:pPr>
            <w:r>
              <w:rPr>
                <w:rFonts w:hint="eastAsia" w:ascii="宋体" w:hAnsi="宋体" w:cs="宋体"/>
                <w:color w:val="auto"/>
              </w:rPr>
              <w:t>职称</w:t>
            </w:r>
          </w:p>
        </w:tc>
        <w:tc>
          <w:tcPr>
            <w:tcW w:w="2062" w:type="dxa"/>
            <w:vAlign w:val="center"/>
          </w:tcPr>
          <w:p w14:paraId="22EC22FF">
            <w:pPr>
              <w:adjustRightInd w:val="0"/>
              <w:snapToGrid w:val="0"/>
              <w:spacing w:line="480" w:lineRule="exact"/>
              <w:jc w:val="center"/>
              <w:rPr>
                <w:rFonts w:ascii="宋体" w:cs="宋体"/>
                <w:color w:val="auto"/>
              </w:rPr>
            </w:pPr>
          </w:p>
        </w:tc>
      </w:tr>
      <w:tr w14:paraId="09B3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15" w:type="dxa"/>
            <w:gridSpan w:val="3"/>
            <w:vAlign w:val="center"/>
          </w:tcPr>
          <w:p w14:paraId="55CF675B">
            <w:pPr>
              <w:adjustRightInd w:val="0"/>
              <w:snapToGrid w:val="0"/>
              <w:spacing w:line="480" w:lineRule="exact"/>
              <w:jc w:val="center"/>
              <w:rPr>
                <w:rFonts w:ascii="宋体" w:cs="宋体"/>
                <w:color w:val="auto"/>
              </w:rPr>
            </w:pPr>
            <w:r>
              <w:rPr>
                <w:rFonts w:hint="eastAsia" w:ascii="宋体" w:hAnsi="宋体" w:cs="宋体"/>
                <w:color w:val="auto"/>
              </w:rPr>
              <w:t>在本项目拟任职务</w:t>
            </w:r>
          </w:p>
        </w:tc>
        <w:tc>
          <w:tcPr>
            <w:tcW w:w="4862" w:type="dxa"/>
            <w:gridSpan w:val="4"/>
            <w:vAlign w:val="center"/>
          </w:tcPr>
          <w:p w14:paraId="4504DE2D">
            <w:pPr>
              <w:adjustRightInd w:val="0"/>
              <w:snapToGrid w:val="0"/>
              <w:spacing w:line="480" w:lineRule="exact"/>
              <w:jc w:val="center"/>
              <w:rPr>
                <w:rFonts w:ascii="宋体" w:cs="宋体"/>
                <w:color w:val="auto"/>
              </w:rPr>
            </w:pPr>
          </w:p>
        </w:tc>
      </w:tr>
      <w:tr w14:paraId="1E6F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477" w:type="dxa"/>
            <w:gridSpan w:val="7"/>
            <w:vAlign w:val="center"/>
          </w:tcPr>
          <w:p w14:paraId="6143330B">
            <w:pPr>
              <w:adjustRightInd w:val="0"/>
              <w:snapToGrid w:val="0"/>
              <w:spacing w:line="480" w:lineRule="exact"/>
              <w:jc w:val="center"/>
              <w:rPr>
                <w:rFonts w:ascii="宋体" w:cs="宋体"/>
                <w:color w:val="auto"/>
              </w:rPr>
            </w:pPr>
            <w:r>
              <w:rPr>
                <w:rFonts w:hint="eastAsia" w:ascii="宋体" w:hAnsi="宋体" w:cs="宋体"/>
                <w:color w:val="auto"/>
              </w:rPr>
              <w:t>主要经历</w:t>
            </w:r>
          </w:p>
        </w:tc>
      </w:tr>
      <w:tr w14:paraId="6BDA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1DC33E7B">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3828" w:type="dxa"/>
            <w:gridSpan w:val="4"/>
            <w:vAlign w:val="center"/>
          </w:tcPr>
          <w:p w14:paraId="658E90BE">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3516" w:type="dxa"/>
            <w:gridSpan w:val="2"/>
            <w:vAlign w:val="center"/>
          </w:tcPr>
          <w:p w14:paraId="50314277">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0141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33" w:type="dxa"/>
            <w:vAlign w:val="center"/>
          </w:tcPr>
          <w:p w14:paraId="07306D8A">
            <w:pPr>
              <w:adjustRightInd w:val="0"/>
              <w:snapToGrid w:val="0"/>
              <w:spacing w:line="480" w:lineRule="exact"/>
              <w:jc w:val="center"/>
              <w:rPr>
                <w:rFonts w:ascii="宋体" w:cs="宋体"/>
                <w:color w:val="auto"/>
              </w:rPr>
            </w:pPr>
          </w:p>
        </w:tc>
        <w:tc>
          <w:tcPr>
            <w:tcW w:w="3828" w:type="dxa"/>
            <w:gridSpan w:val="4"/>
            <w:vAlign w:val="center"/>
          </w:tcPr>
          <w:p w14:paraId="443649DA">
            <w:pPr>
              <w:adjustRightInd w:val="0"/>
              <w:snapToGrid w:val="0"/>
              <w:spacing w:line="480" w:lineRule="exact"/>
              <w:jc w:val="center"/>
              <w:rPr>
                <w:rFonts w:ascii="宋体" w:cs="宋体"/>
                <w:color w:val="auto"/>
              </w:rPr>
            </w:pPr>
          </w:p>
        </w:tc>
        <w:tc>
          <w:tcPr>
            <w:tcW w:w="3516" w:type="dxa"/>
            <w:gridSpan w:val="2"/>
            <w:vAlign w:val="center"/>
          </w:tcPr>
          <w:p w14:paraId="23C02462">
            <w:pPr>
              <w:adjustRightInd w:val="0"/>
              <w:snapToGrid w:val="0"/>
              <w:spacing w:line="480" w:lineRule="exact"/>
              <w:jc w:val="center"/>
              <w:rPr>
                <w:rFonts w:ascii="宋体" w:cs="宋体"/>
                <w:color w:val="auto"/>
              </w:rPr>
            </w:pPr>
          </w:p>
        </w:tc>
      </w:tr>
    </w:tbl>
    <w:p w14:paraId="748C1B65">
      <w:pPr>
        <w:adjustRightInd w:val="0"/>
        <w:snapToGrid w:val="0"/>
        <w:spacing w:line="480" w:lineRule="exact"/>
        <w:rPr>
          <w:rFonts w:ascii="宋体" w:cs="宋体"/>
          <w:b/>
          <w:color w:val="auto"/>
        </w:rPr>
      </w:pPr>
    </w:p>
    <w:p w14:paraId="447152EF">
      <w:pPr>
        <w:adjustRightInd w:val="0"/>
        <w:snapToGrid w:val="0"/>
        <w:spacing w:line="480" w:lineRule="exact"/>
        <w:ind w:firstLine="440" w:firstLineChars="200"/>
        <w:rPr>
          <w:rFonts w:ascii="宋体" w:cs="宋体"/>
          <w:color w:val="auto"/>
        </w:rPr>
      </w:pPr>
    </w:p>
    <w:p w14:paraId="2589C4D1">
      <w:pPr>
        <w:adjustRightInd w:val="0"/>
        <w:snapToGrid w:val="0"/>
        <w:spacing w:line="480" w:lineRule="exact"/>
        <w:ind w:firstLine="440" w:firstLineChars="200"/>
        <w:rPr>
          <w:rFonts w:ascii="宋体" w:cs="宋体"/>
          <w:color w:val="auto"/>
        </w:rPr>
      </w:pPr>
    </w:p>
    <w:p w14:paraId="6C293112">
      <w:pPr>
        <w:spacing w:line="500" w:lineRule="exact"/>
        <w:jc w:val="center"/>
        <w:rPr>
          <w:bCs/>
          <w:color w:val="auto"/>
          <w:sz w:val="24"/>
        </w:rPr>
      </w:pPr>
      <w:r>
        <w:rPr>
          <w:rFonts w:hint="eastAsia"/>
          <w:bCs/>
          <w:color w:val="auto"/>
          <w:sz w:val="24"/>
        </w:rPr>
        <w:t>供应商：（公章签章）</w:t>
      </w:r>
    </w:p>
    <w:p w14:paraId="7FD87EE7">
      <w:pPr>
        <w:spacing w:line="500" w:lineRule="exact"/>
        <w:jc w:val="center"/>
        <w:rPr>
          <w:bCs/>
          <w:color w:val="auto"/>
          <w:sz w:val="24"/>
        </w:rPr>
      </w:pPr>
      <w:r>
        <w:rPr>
          <w:rFonts w:hint="eastAsia"/>
          <w:bCs/>
          <w:color w:val="auto"/>
          <w:sz w:val="24"/>
        </w:rPr>
        <w:t>法定代表人：（签章）</w:t>
      </w:r>
    </w:p>
    <w:p w14:paraId="552EFEE8">
      <w:pPr>
        <w:spacing w:line="500" w:lineRule="exact"/>
        <w:jc w:val="center"/>
        <w:rPr>
          <w:bCs/>
          <w:color w:val="auto"/>
          <w:sz w:val="24"/>
        </w:rPr>
      </w:pPr>
      <w:r>
        <w:rPr>
          <w:rFonts w:hint="eastAsia"/>
          <w:bCs/>
          <w:color w:val="auto"/>
          <w:sz w:val="24"/>
        </w:rPr>
        <w:t>日期：</w:t>
      </w:r>
    </w:p>
    <w:p w14:paraId="2F9DB2D5">
      <w:pPr>
        <w:widowControl/>
        <w:spacing w:line="700" w:lineRule="exact"/>
        <w:jc w:val="center"/>
        <w:rPr>
          <w:rFonts w:ascii="宋体" w:hAnsi="宋体" w:cs="宋体"/>
          <w:color w:val="auto"/>
          <w:kern w:val="0"/>
          <w:sz w:val="24"/>
        </w:rPr>
      </w:pPr>
    </w:p>
    <w:p w14:paraId="0721037E">
      <w:pPr>
        <w:spacing w:line="360" w:lineRule="auto"/>
        <w:jc w:val="center"/>
        <w:rPr>
          <w:rFonts w:hint="eastAsia"/>
          <w:color w:val="auto"/>
          <w:sz w:val="28"/>
          <w:szCs w:val="20"/>
        </w:rPr>
      </w:pPr>
    </w:p>
    <w:p w14:paraId="1249D320">
      <w:pPr>
        <w:spacing w:line="360" w:lineRule="auto"/>
        <w:jc w:val="center"/>
        <w:rPr>
          <w:rFonts w:hint="eastAsia"/>
          <w:color w:val="auto"/>
          <w:sz w:val="28"/>
          <w:szCs w:val="20"/>
        </w:rPr>
      </w:pPr>
    </w:p>
    <w:p w14:paraId="6153545F">
      <w:pPr>
        <w:spacing w:line="360" w:lineRule="auto"/>
        <w:jc w:val="center"/>
        <w:rPr>
          <w:rFonts w:hint="eastAsia"/>
          <w:color w:val="auto"/>
          <w:sz w:val="28"/>
          <w:szCs w:val="20"/>
        </w:rPr>
      </w:pPr>
    </w:p>
    <w:p w14:paraId="23BF6B6E">
      <w:pPr>
        <w:spacing w:line="360" w:lineRule="auto"/>
        <w:jc w:val="center"/>
        <w:rPr>
          <w:rFonts w:hint="eastAsia"/>
          <w:color w:val="auto"/>
          <w:sz w:val="28"/>
          <w:szCs w:val="20"/>
        </w:rPr>
      </w:pPr>
    </w:p>
    <w:p w14:paraId="2D46DDC6">
      <w:pPr>
        <w:spacing w:line="360" w:lineRule="auto"/>
        <w:jc w:val="center"/>
        <w:rPr>
          <w:rFonts w:hint="eastAsia"/>
          <w:color w:val="auto"/>
          <w:sz w:val="28"/>
          <w:szCs w:val="20"/>
        </w:rPr>
      </w:pPr>
    </w:p>
    <w:bookmarkEnd w:id="356"/>
    <w:p w14:paraId="38634347">
      <w:pPr>
        <w:spacing w:line="360" w:lineRule="auto"/>
        <w:rPr>
          <w:color w:val="auto"/>
          <w:sz w:val="24"/>
        </w:rPr>
      </w:pPr>
    </w:p>
    <w:p w14:paraId="1939AF2C">
      <w:pPr>
        <w:pStyle w:val="7"/>
        <w:rPr>
          <w:color w:val="auto"/>
        </w:rPr>
      </w:pPr>
    </w:p>
    <w:p w14:paraId="29F013EC">
      <w:pPr>
        <w:pStyle w:val="37"/>
        <w:ind w:left="0"/>
        <w:jc w:val="center"/>
        <w:outlineLvl w:val="0"/>
        <w:rPr>
          <w:rFonts w:hint="eastAsia" w:ascii="宋体" w:hAnsi="宋体"/>
          <w:color w:val="auto"/>
        </w:rPr>
      </w:pPr>
      <w:bookmarkStart w:id="357" w:name="_Toc5151"/>
      <w:bookmarkStart w:id="358" w:name="_Toc13086"/>
      <w:r>
        <w:rPr>
          <w:rFonts w:hint="eastAsia" w:ascii="宋体" w:hAnsi="宋体"/>
          <w:color w:val="auto"/>
        </w:rPr>
        <w:t>六、资格审查资料</w:t>
      </w:r>
      <w:bookmarkEnd w:id="357"/>
      <w:bookmarkEnd w:id="358"/>
    </w:p>
    <w:p w14:paraId="7CE3CC70">
      <w:pPr>
        <w:pStyle w:val="37"/>
        <w:ind w:left="0"/>
        <w:jc w:val="center"/>
        <w:outlineLvl w:val="9"/>
        <w:rPr>
          <w:color w:val="auto"/>
        </w:rPr>
        <w:sectPr>
          <w:pgSz w:w="11910" w:h="16840"/>
          <w:pgMar w:top="1440" w:right="1800" w:bottom="1440" w:left="1800" w:header="0" w:footer="720" w:gutter="0"/>
          <w:pgNumType w:fmt="decimal"/>
          <w:cols w:space="720" w:num="1"/>
        </w:sectPr>
      </w:pPr>
    </w:p>
    <w:p w14:paraId="369A7ABD">
      <w:pPr>
        <w:jc w:val="center"/>
        <w:outlineLvl w:val="0"/>
        <w:rPr>
          <w:rFonts w:hint="eastAsia" w:ascii="宋体" w:hAnsi="宋体" w:eastAsia="宋体" w:cs="宋体"/>
          <w:b/>
          <w:bCs/>
          <w:color w:val="auto"/>
          <w:sz w:val="28"/>
          <w:szCs w:val="20"/>
          <w:lang w:val="zh-CN" w:eastAsia="zh-CN" w:bidi="zh-CN"/>
        </w:rPr>
      </w:pPr>
      <w:bookmarkStart w:id="359" w:name="5、资格审查资料"/>
      <w:bookmarkEnd w:id="359"/>
      <w:bookmarkStart w:id="360" w:name="_Toc9365"/>
      <w:bookmarkStart w:id="361" w:name="_Toc877"/>
      <w:bookmarkStart w:id="362" w:name="_Toc318"/>
      <w:bookmarkStart w:id="363" w:name="_Toc14427"/>
      <w:bookmarkStart w:id="364" w:name="_Toc29623"/>
      <w:r>
        <w:rPr>
          <w:rFonts w:hint="eastAsia" w:ascii="宋体" w:hAnsi="宋体" w:eastAsia="宋体" w:cs="宋体"/>
          <w:b/>
          <w:bCs/>
          <w:color w:val="auto"/>
          <w:sz w:val="28"/>
          <w:szCs w:val="20"/>
          <w:lang w:val="zh-CN" w:eastAsia="zh-CN" w:bidi="zh-CN"/>
        </w:rPr>
        <w:t>七、</w:t>
      </w:r>
      <w:bookmarkEnd w:id="360"/>
      <w:bookmarkEnd w:id="361"/>
      <w:bookmarkEnd w:id="362"/>
      <w:r>
        <w:rPr>
          <w:rFonts w:hint="eastAsia" w:ascii="宋体" w:hAnsi="宋体" w:eastAsia="宋体" w:cs="宋体"/>
          <w:b/>
          <w:bCs/>
          <w:color w:val="auto"/>
          <w:sz w:val="28"/>
          <w:szCs w:val="20"/>
          <w:lang w:val="zh-CN" w:eastAsia="zh-CN" w:bidi="zh-CN"/>
        </w:rPr>
        <w:t>技术标</w:t>
      </w:r>
      <w:bookmarkEnd w:id="363"/>
      <w:bookmarkEnd w:id="364"/>
    </w:p>
    <w:p w14:paraId="650B5EB4">
      <w:pPr>
        <w:spacing w:line="500" w:lineRule="exact"/>
        <w:jc w:val="center"/>
        <w:rPr>
          <w:rFonts w:hint="eastAsia" w:ascii="宋体" w:hAnsi="宋体" w:eastAsia="宋体" w:cs="宋体"/>
          <w:bCs/>
          <w:color w:val="auto"/>
          <w:sz w:val="24"/>
        </w:rPr>
      </w:pPr>
      <w:r>
        <w:rPr>
          <w:rFonts w:hint="eastAsia" w:ascii="宋体" w:hAnsi="宋体" w:eastAsia="宋体" w:cs="宋体"/>
          <w:bCs/>
          <w:color w:val="auto"/>
          <w:sz w:val="24"/>
        </w:rPr>
        <w:t>（格式自拟）</w:t>
      </w:r>
    </w:p>
    <w:p w14:paraId="7A5202D8">
      <w:pPr>
        <w:spacing w:line="500" w:lineRule="exact"/>
        <w:jc w:val="center"/>
        <w:rPr>
          <w:rFonts w:hint="eastAsia" w:ascii="宋体" w:hAnsi="宋体" w:eastAsia="宋体" w:cs="宋体"/>
          <w:bCs/>
          <w:color w:val="auto"/>
          <w:sz w:val="24"/>
        </w:rPr>
      </w:pPr>
      <w:r>
        <w:rPr>
          <w:rFonts w:hint="eastAsia" w:ascii="宋体" w:hAnsi="宋体" w:eastAsia="宋体" w:cs="宋体"/>
          <w:bCs/>
          <w:color w:val="auto"/>
          <w:sz w:val="24"/>
          <w:lang w:eastAsia="zh-CN"/>
        </w:rPr>
        <w:t>供应商</w:t>
      </w:r>
      <w:r>
        <w:rPr>
          <w:rFonts w:hint="eastAsia" w:ascii="宋体" w:hAnsi="宋体" w:eastAsia="宋体" w:cs="宋体"/>
          <w:bCs/>
          <w:color w:val="auto"/>
          <w:sz w:val="24"/>
        </w:rPr>
        <w:t>应在充分理解</w:t>
      </w:r>
      <w:r>
        <w:rPr>
          <w:rFonts w:hint="eastAsia" w:ascii="宋体" w:hAnsi="宋体" w:eastAsia="宋体" w:cs="宋体"/>
          <w:bCs/>
          <w:color w:val="auto"/>
          <w:sz w:val="24"/>
          <w:lang w:eastAsia="zh-CN"/>
        </w:rPr>
        <w:t>竞争性磋商</w:t>
      </w:r>
      <w:r>
        <w:rPr>
          <w:rFonts w:hint="eastAsia" w:ascii="宋体" w:hAnsi="宋体" w:eastAsia="宋体" w:cs="宋体"/>
          <w:bCs/>
          <w:color w:val="auto"/>
          <w:sz w:val="24"/>
        </w:rPr>
        <w:t>文件第</w:t>
      </w:r>
      <w:r>
        <w:rPr>
          <w:rFonts w:hint="eastAsia" w:ascii="宋体" w:hAnsi="宋体" w:eastAsia="宋体" w:cs="宋体"/>
          <w:bCs/>
          <w:color w:val="auto"/>
          <w:sz w:val="24"/>
          <w:lang w:eastAsia="zh-CN"/>
        </w:rPr>
        <w:t>三</w:t>
      </w:r>
      <w:r>
        <w:rPr>
          <w:rFonts w:hint="eastAsia" w:ascii="宋体" w:hAnsi="宋体" w:eastAsia="宋体" w:cs="宋体"/>
          <w:bCs/>
          <w:color w:val="auto"/>
          <w:sz w:val="24"/>
        </w:rPr>
        <w:t>章《</w:t>
      </w:r>
      <w:r>
        <w:rPr>
          <w:rFonts w:hint="eastAsia" w:ascii="宋体" w:hAnsi="宋体" w:eastAsia="宋体" w:cs="宋体"/>
          <w:bCs/>
          <w:color w:val="auto"/>
          <w:sz w:val="24"/>
          <w:lang w:eastAsia="zh-CN"/>
        </w:rPr>
        <w:t>服务需求</w:t>
      </w:r>
      <w:r>
        <w:rPr>
          <w:rFonts w:hint="eastAsia" w:ascii="宋体" w:hAnsi="宋体" w:eastAsia="宋体" w:cs="宋体"/>
          <w:bCs/>
          <w:color w:val="auto"/>
          <w:sz w:val="24"/>
        </w:rPr>
        <w:t>》的基础上，编制本项目技术服务方案</w:t>
      </w:r>
    </w:p>
    <w:p w14:paraId="71817F58">
      <w:pPr>
        <w:spacing w:line="500" w:lineRule="exact"/>
        <w:jc w:val="center"/>
        <w:rPr>
          <w:rFonts w:hint="eastAsia" w:ascii="宋体" w:hAnsi="宋体" w:eastAsia="宋体" w:cs="宋体"/>
          <w:bCs/>
          <w:color w:val="auto"/>
          <w:sz w:val="24"/>
        </w:rPr>
      </w:pPr>
    </w:p>
    <w:p w14:paraId="6B8A760E">
      <w:pPr>
        <w:pStyle w:val="37"/>
        <w:widowControl/>
        <w:spacing w:before="156"/>
        <w:jc w:val="center"/>
        <w:outlineLvl w:val="9"/>
        <w:rPr>
          <w:rFonts w:ascii="宋体" w:hAnsi="宋体" w:eastAsia="宋体" w:cs="宋体"/>
          <w:iCs/>
          <w:color w:val="auto"/>
        </w:rPr>
      </w:pPr>
    </w:p>
    <w:p w14:paraId="2BE2F491">
      <w:pPr>
        <w:pStyle w:val="37"/>
        <w:widowControl/>
        <w:spacing w:before="156"/>
        <w:ind w:left="0" w:leftChars="0" w:firstLine="0" w:firstLineChars="0"/>
        <w:jc w:val="center"/>
        <w:outlineLvl w:val="0"/>
        <w:rPr>
          <w:rFonts w:ascii="宋体" w:hAnsi="宋体" w:eastAsia="宋体" w:cs="宋体"/>
          <w:iCs/>
          <w:color w:val="auto"/>
        </w:rPr>
      </w:pPr>
      <w:bookmarkStart w:id="365" w:name="_Toc20376"/>
      <w:bookmarkStart w:id="366" w:name="_Toc9311"/>
      <w:r>
        <w:rPr>
          <w:rFonts w:hint="eastAsia" w:ascii="宋体" w:hAnsi="宋体" w:eastAsia="宋体" w:cs="宋体"/>
          <w:iCs/>
          <w:color w:val="auto"/>
        </w:rPr>
        <w:br w:type="page"/>
      </w:r>
      <w:bookmarkStart w:id="367" w:name="_Toc16588"/>
      <w:bookmarkStart w:id="368" w:name="_Toc27563"/>
      <w:bookmarkStart w:id="369" w:name="_Toc30750"/>
      <w:bookmarkStart w:id="370" w:name="_Toc6757"/>
      <w:r>
        <w:rPr>
          <w:rFonts w:hint="eastAsia" w:ascii="宋体" w:hAnsi="宋体" w:eastAsia="宋体" w:cs="宋体"/>
          <w:iCs/>
          <w:color w:val="auto"/>
        </w:rPr>
        <w:t>八、</w:t>
      </w:r>
      <w:r>
        <w:rPr>
          <w:rFonts w:hint="eastAsia" w:ascii="宋体" w:hAnsi="宋体" w:eastAsia="宋体" w:cs="宋体"/>
          <w:iCs/>
          <w:color w:val="auto"/>
          <w:lang w:val="en-US"/>
        </w:rPr>
        <w:t>商务标</w:t>
      </w:r>
      <w:bookmarkEnd w:id="367"/>
      <w:bookmarkEnd w:id="368"/>
      <w:bookmarkEnd w:id="369"/>
    </w:p>
    <w:p w14:paraId="71E4D060">
      <w:pPr>
        <w:spacing w:line="500" w:lineRule="exact"/>
        <w:jc w:val="center"/>
        <w:rPr>
          <w:rFonts w:hint="eastAsia" w:ascii="宋体" w:hAnsi="宋体" w:eastAsia="宋体" w:cs="宋体"/>
          <w:bCs/>
          <w:color w:val="auto"/>
          <w:sz w:val="24"/>
        </w:rPr>
      </w:pPr>
      <w:r>
        <w:rPr>
          <w:rFonts w:hint="eastAsia" w:ascii="宋体" w:hAnsi="宋体" w:eastAsia="宋体" w:cs="宋体"/>
          <w:bCs/>
          <w:color w:val="auto"/>
          <w:sz w:val="24"/>
        </w:rPr>
        <w:t>（格式自拟）</w:t>
      </w:r>
    </w:p>
    <w:p w14:paraId="2777BC66">
      <w:pPr>
        <w:pStyle w:val="37"/>
        <w:widowControl/>
        <w:spacing w:before="156"/>
        <w:jc w:val="center"/>
        <w:outlineLvl w:val="9"/>
        <w:rPr>
          <w:rFonts w:ascii="宋体" w:hAnsi="宋体" w:eastAsia="宋体" w:cs="宋体"/>
          <w:iCs/>
          <w:color w:val="auto"/>
        </w:rPr>
      </w:pPr>
    </w:p>
    <w:bookmarkEnd w:id="365"/>
    <w:bookmarkEnd w:id="366"/>
    <w:bookmarkEnd w:id="370"/>
    <w:p w14:paraId="21736F5D">
      <w:pPr>
        <w:pStyle w:val="37"/>
        <w:widowControl/>
        <w:numPr>
          <w:ilvl w:val="0"/>
          <w:numId w:val="18"/>
        </w:numPr>
        <w:spacing w:before="156"/>
        <w:ind w:left="0" w:leftChars="0" w:firstLine="0" w:firstLineChars="0"/>
        <w:jc w:val="center"/>
        <w:outlineLvl w:val="0"/>
        <w:rPr>
          <w:rFonts w:hint="eastAsia" w:ascii="宋体" w:hAnsi="宋体" w:eastAsia="宋体" w:cs="宋体"/>
          <w:iCs/>
          <w:color w:val="auto"/>
        </w:rPr>
      </w:pPr>
      <w:r>
        <w:rPr>
          <w:rFonts w:hint="eastAsia"/>
          <w:color w:val="auto"/>
          <w:lang w:val="en-US"/>
        </w:rPr>
        <w:br w:type="page"/>
      </w:r>
      <w:bookmarkStart w:id="371" w:name="_Toc18887"/>
      <w:bookmarkStart w:id="372" w:name="_Toc2416"/>
      <w:bookmarkStart w:id="373" w:name="_Toc7984"/>
      <w:r>
        <w:rPr>
          <w:rFonts w:hint="eastAsia" w:ascii="宋体" w:hAnsi="宋体" w:eastAsia="宋体" w:cs="宋体"/>
          <w:iCs/>
          <w:color w:val="auto"/>
        </w:rPr>
        <w:t>其他材料</w:t>
      </w:r>
      <w:bookmarkEnd w:id="371"/>
      <w:bookmarkEnd w:id="372"/>
      <w:bookmarkEnd w:id="373"/>
    </w:p>
    <w:p w14:paraId="7AE0BC1A">
      <w:pPr>
        <w:numPr>
          <w:ilvl w:val="0"/>
          <w:numId w:val="0"/>
        </w:numPr>
        <w:rPr>
          <w:color w:val="auto"/>
        </w:rPr>
      </w:pPr>
    </w:p>
    <w:p w14:paraId="3570E7DC">
      <w:pPr>
        <w:spacing w:line="500" w:lineRule="exact"/>
        <w:jc w:val="left"/>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 一、响应文件的组成中要求的其他内容；</w:t>
      </w:r>
    </w:p>
    <w:p w14:paraId="4E0E08A2">
      <w:pPr>
        <w:spacing w:line="500" w:lineRule="exact"/>
        <w:jc w:val="left"/>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 xml:space="preserve"> 二、供应商认为有必要提供的、有利于其成交的其他文件材料。</w:t>
      </w:r>
    </w:p>
    <w:p w14:paraId="525D8540">
      <w:pPr>
        <w:pStyle w:val="37"/>
        <w:ind w:left="0"/>
        <w:jc w:val="both"/>
        <w:outlineLvl w:val="0"/>
        <w:rPr>
          <w:rFonts w:hint="eastAsia" w:ascii="宋体" w:hAnsi="宋体" w:eastAsia="宋体"/>
          <w:color w:val="auto"/>
          <w:highlight w:val="none"/>
          <w:lang w:val="en-US" w:eastAsia="zh-CN"/>
        </w:rPr>
      </w:pPr>
      <w:r>
        <w:rPr>
          <w:rFonts w:hint="eastAsia"/>
          <w:color w:val="auto"/>
        </w:rPr>
        <w:br w:type="page"/>
      </w:r>
      <w:bookmarkStart w:id="374" w:name="_Toc32503"/>
      <w:r>
        <w:rPr>
          <w:rFonts w:hint="eastAsia" w:ascii="宋体" w:hAnsi="宋体"/>
          <w:color w:val="auto"/>
          <w:highlight w:val="none"/>
          <w:lang w:val="en-US" w:eastAsia="zh-CN"/>
        </w:rPr>
        <w:t>附件：</w:t>
      </w:r>
      <w:bookmarkEnd w:id="374"/>
    </w:p>
    <w:p w14:paraId="65CDD3D9">
      <w:pPr>
        <w:rPr>
          <w:color w:val="auto"/>
          <w:highlight w:val="none"/>
        </w:rPr>
      </w:pPr>
    </w:p>
    <w:p w14:paraId="04CE8F45">
      <w:pPr>
        <w:keepNext w:val="0"/>
        <w:keepLines w:val="0"/>
        <w:pageBreakBefore w:val="0"/>
        <w:widowControl w:val="0"/>
        <w:kinsoku/>
        <w:wordWrap w:val="0"/>
        <w:overflowPunct/>
        <w:topLinePunct w:val="0"/>
        <w:autoSpaceDE w:val="0"/>
        <w:autoSpaceDN w:val="0"/>
        <w:bidi w:val="0"/>
        <w:adjustRightInd w:val="0"/>
        <w:spacing w:line="560" w:lineRule="exact"/>
        <w:ind w:right="0" w:rightChars="0" w:firstLine="482" w:firstLineChars="200"/>
        <w:jc w:val="center"/>
        <w:textAlignment w:val="auto"/>
        <w:rPr>
          <w:rFonts w:hint="eastAsia" w:ascii="宋体" w:eastAsia="宋体" w:cs="宋体"/>
          <w:b/>
          <w:bCs/>
          <w:color w:val="auto"/>
          <w:sz w:val="24"/>
          <w:szCs w:val="24"/>
          <w:lang w:eastAsia="zh-CN"/>
        </w:rPr>
      </w:pPr>
      <w:r>
        <w:rPr>
          <w:rFonts w:hint="eastAsia" w:ascii="宋体" w:cs="宋体"/>
          <w:b/>
          <w:bCs/>
          <w:color w:val="auto"/>
          <w:sz w:val="24"/>
          <w:szCs w:val="24"/>
        </w:rPr>
        <w:t>中小企业声明函</w:t>
      </w:r>
      <w:r>
        <w:rPr>
          <w:rFonts w:hint="eastAsia" w:ascii="宋体" w:cs="宋体"/>
          <w:b/>
          <w:bCs/>
          <w:color w:val="auto"/>
          <w:sz w:val="24"/>
          <w:szCs w:val="24"/>
          <w:lang w:eastAsia="zh-CN"/>
        </w:rPr>
        <w:t>（服务）</w:t>
      </w:r>
    </w:p>
    <w:p w14:paraId="7F1B3BEE">
      <w:pPr>
        <w:keepNext w:val="0"/>
        <w:keepLines w:val="0"/>
        <w:pageBreakBefore w:val="0"/>
        <w:widowControl w:val="0"/>
        <w:kinsoku/>
        <w:wordWrap w:val="0"/>
        <w:overflowPunct/>
        <w:topLinePunct w:val="0"/>
        <w:autoSpaceDE w:val="0"/>
        <w:autoSpaceDN w:val="0"/>
        <w:bidi w:val="0"/>
        <w:adjustRightInd w:val="0"/>
        <w:spacing w:line="560" w:lineRule="exact"/>
        <w:ind w:right="0" w:rightChars="0" w:firstLine="480" w:firstLineChars="200"/>
        <w:jc w:val="left"/>
        <w:textAlignment w:val="auto"/>
        <w:rPr>
          <w:rFonts w:ascii="宋体" w:hAnsi="宋体" w:cs="仿宋"/>
          <w:color w:val="auto"/>
          <w:sz w:val="24"/>
          <w:szCs w:val="24"/>
        </w:rPr>
      </w:pPr>
      <w:r>
        <w:rPr>
          <w:rFonts w:hint="eastAsia" w:ascii="宋体" w:hAnsi="宋体" w:cs="仿宋"/>
          <w:color w:val="auto"/>
          <w:sz w:val="24"/>
          <w:szCs w:val="24"/>
        </w:rPr>
        <w:t>本公司（联合体）郑重声明，根据《政府采购促进中小企业发展管理办法》（财库</w:t>
      </w:r>
      <w:r>
        <w:rPr>
          <w:rFonts w:hint="eastAsia" w:ascii="宋体" w:hAnsi="宋体" w:cs="宋体"/>
          <w:color w:val="auto"/>
          <w:sz w:val="24"/>
          <w:szCs w:val="24"/>
        </w:rPr>
        <w:t>﹝</w:t>
      </w:r>
      <w:r>
        <w:rPr>
          <w:rFonts w:ascii="宋体" w:hAnsi="宋体" w:cs="仿宋"/>
          <w:color w:val="auto"/>
          <w:sz w:val="24"/>
          <w:szCs w:val="24"/>
        </w:rPr>
        <w:t>2020</w:t>
      </w:r>
      <w:r>
        <w:rPr>
          <w:rFonts w:hint="eastAsia" w:ascii="宋体" w:hAnsi="宋体" w:cs="宋体"/>
          <w:color w:val="auto"/>
          <w:sz w:val="24"/>
          <w:szCs w:val="24"/>
        </w:rPr>
        <w:t>﹞</w:t>
      </w:r>
      <w:r>
        <w:rPr>
          <w:rFonts w:ascii="宋体" w:hAnsi="宋体" w:cs="仿宋"/>
          <w:color w:val="auto"/>
          <w:sz w:val="24"/>
          <w:szCs w:val="24"/>
        </w:rPr>
        <w:t xml:space="preserve">46 </w:t>
      </w:r>
      <w:r>
        <w:rPr>
          <w:rFonts w:hint="eastAsia" w:ascii="宋体" w:hAnsi="宋体" w:cs="仿宋"/>
          <w:color w:val="auto"/>
          <w:sz w:val="24"/>
          <w:szCs w:val="24"/>
        </w:rPr>
        <w:t>号）的规定，本公司（联合体）参加</w:t>
      </w:r>
      <w:r>
        <w:rPr>
          <w:rFonts w:hint="eastAsia" w:ascii="宋体" w:hAnsi="宋体" w:cs="仿宋"/>
          <w:color w:val="auto"/>
          <w:sz w:val="24"/>
          <w:szCs w:val="24"/>
          <w:u w:val="single"/>
        </w:rPr>
        <w:t>（单位名称）</w:t>
      </w:r>
      <w:r>
        <w:rPr>
          <w:rFonts w:hint="eastAsia" w:ascii="宋体" w:hAnsi="宋体" w:cs="仿宋"/>
          <w:color w:val="auto"/>
          <w:sz w:val="24"/>
          <w:szCs w:val="24"/>
        </w:rPr>
        <w:t>的</w:t>
      </w:r>
      <w:r>
        <w:rPr>
          <w:rFonts w:hint="eastAsia" w:ascii="宋体" w:hAnsi="宋体" w:cs="仿宋"/>
          <w:color w:val="auto"/>
          <w:sz w:val="24"/>
          <w:szCs w:val="24"/>
          <w:u w:val="single"/>
        </w:rPr>
        <w:t>（项目名称）</w:t>
      </w:r>
      <w:r>
        <w:rPr>
          <w:rFonts w:hint="eastAsia" w:ascii="宋体" w:hAnsi="宋体" w:cs="仿宋"/>
          <w:color w:val="auto"/>
          <w:sz w:val="24"/>
          <w:szCs w:val="24"/>
          <w:u w:val="single"/>
          <w:lang w:eastAsia="zh-CN"/>
        </w:rPr>
        <w:t>（标段）</w:t>
      </w:r>
      <w:r>
        <w:rPr>
          <w:rFonts w:hint="eastAsia" w:ascii="宋体" w:hAnsi="宋体" w:cs="仿宋"/>
          <w:color w:val="auto"/>
          <w:sz w:val="24"/>
          <w:szCs w:val="24"/>
        </w:rPr>
        <w:t>采购活动，工程的施工单位全部为符合政策要求的中小企业（或者：货物全部由符合政策要求的中小企业承接）。相关企业（含联合体中的中小企业、签订分包意向协议的中小企业）的具体情况如下：</w:t>
      </w:r>
    </w:p>
    <w:p w14:paraId="4B9A59F8">
      <w:pPr>
        <w:keepNext w:val="0"/>
        <w:keepLines w:val="0"/>
        <w:pageBreakBefore w:val="0"/>
        <w:widowControl w:val="0"/>
        <w:kinsoku/>
        <w:wordWrap w:val="0"/>
        <w:overflowPunct/>
        <w:topLinePunct w:val="0"/>
        <w:autoSpaceDE w:val="0"/>
        <w:autoSpaceDN w:val="0"/>
        <w:bidi w:val="0"/>
        <w:adjustRightInd w:val="0"/>
        <w:spacing w:line="560" w:lineRule="exact"/>
        <w:ind w:right="0" w:rightChars="0" w:firstLine="480" w:firstLineChars="200"/>
        <w:jc w:val="left"/>
        <w:textAlignment w:val="auto"/>
        <w:rPr>
          <w:rFonts w:ascii="宋体" w:hAnsi="宋体" w:cs="仿宋"/>
          <w:color w:val="auto"/>
          <w:sz w:val="24"/>
          <w:szCs w:val="24"/>
        </w:rPr>
      </w:pPr>
      <w:r>
        <w:rPr>
          <w:rFonts w:ascii="宋体" w:hAnsi="宋体" w:cs="仿宋"/>
          <w:color w:val="auto"/>
          <w:sz w:val="24"/>
          <w:szCs w:val="24"/>
        </w:rPr>
        <w:t xml:space="preserve">1. </w:t>
      </w:r>
      <w:r>
        <w:rPr>
          <w:rFonts w:hint="eastAsia" w:ascii="宋体" w:hAnsi="宋体" w:cs="仿宋"/>
          <w:color w:val="auto"/>
          <w:sz w:val="24"/>
          <w:szCs w:val="24"/>
          <w:u w:val="single"/>
        </w:rPr>
        <w:t>（标的名称）</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lang w:val="en-US" w:eastAsia="zh-CN"/>
        </w:rPr>
        <w:t xml:space="preserve">   </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3126106B">
      <w:pPr>
        <w:keepNext w:val="0"/>
        <w:keepLines w:val="0"/>
        <w:pageBreakBefore w:val="0"/>
        <w:widowControl w:val="0"/>
        <w:kinsoku/>
        <w:wordWrap w:val="0"/>
        <w:overflowPunct/>
        <w:topLinePunct w:val="0"/>
        <w:autoSpaceDE w:val="0"/>
        <w:autoSpaceDN w:val="0"/>
        <w:bidi w:val="0"/>
        <w:adjustRightInd w:val="0"/>
        <w:spacing w:line="560" w:lineRule="exact"/>
        <w:ind w:right="0" w:rightChars="0" w:firstLine="480" w:firstLineChars="200"/>
        <w:jc w:val="left"/>
        <w:textAlignment w:val="auto"/>
        <w:rPr>
          <w:rFonts w:ascii="宋体" w:hAnsi="宋体" w:cs="仿宋"/>
          <w:color w:val="auto"/>
          <w:sz w:val="24"/>
          <w:szCs w:val="24"/>
        </w:rPr>
      </w:pPr>
      <w:r>
        <w:rPr>
          <w:rFonts w:ascii="宋体" w:hAnsi="宋体" w:cs="仿宋"/>
          <w:color w:val="auto"/>
          <w:sz w:val="24"/>
          <w:szCs w:val="24"/>
        </w:rPr>
        <w:t xml:space="preserve">2. </w:t>
      </w:r>
      <w:r>
        <w:rPr>
          <w:rFonts w:hint="eastAsia" w:ascii="宋体" w:hAnsi="宋体" w:cs="仿宋"/>
          <w:color w:val="auto"/>
          <w:sz w:val="24"/>
          <w:szCs w:val="24"/>
          <w:u w:val="single"/>
        </w:rPr>
        <w:t>（标的名称</w:t>
      </w:r>
      <w:r>
        <w:rPr>
          <w:rFonts w:hint="eastAsia" w:ascii="宋体" w:hAnsi="宋体" w:cs="仿宋"/>
          <w:color w:val="auto"/>
          <w:sz w:val="24"/>
          <w:szCs w:val="24"/>
        </w:rPr>
        <w:t>）</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74BB9D8D">
      <w:pPr>
        <w:keepNext w:val="0"/>
        <w:keepLines w:val="0"/>
        <w:pageBreakBefore w:val="0"/>
        <w:widowControl w:val="0"/>
        <w:kinsoku/>
        <w:wordWrap w:val="0"/>
        <w:overflowPunct/>
        <w:topLinePunct w:val="0"/>
        <w:autoSpaceDE w:val="0"/>
        <w:autoSpaceDN w:val="0"/>
        <w:bidi w:val="0"/>
        <w:adjustRightInd w:val="0"/>
        <w:spacing w:line="560" w:lineRule="exact"/>
        <w:ind w:right="0" w:rightChars="0" w:firstLine="480" w:firstLineChars="200"/>
        <w:jc w:val="left"/>
        <w:textAlignment w:val="auto"/>
        <w:rPr>
          <w:rFonts w:ascii="宋体" w:hAnsi="宋体" w:cs="仿宋"/>
          <w:color w:val="auto"/>
          <w:sz w:val="24"/>
          <w:szCs w:val="24"/>
        </w:rPr>
      </w:pPr>
      <w:r>
        <w:rPr>
          <w:rFonts w:hint="eastAsia" w:ascii="宋体" w:hAnsi="宋体" w:cs="仿宋"/>
          <w:color w:val="auto"/>
          <w:sz w:val="24"/>
          <w:szCs w:val="24"/>
        </w:rPr>
        <w:t>……</w:t>
      </w:r>
    </w:p>
    <w:p w14:paraId="28F48B0B">
      <w:pPr>
        <w:keepNext w:val="0"/>
        <w:keepLines w:val="0"/>
        <w:pageBreakBefore w:val="0"/>
        <w:widowControl w:val="0"/>
        <w:kinsoku/>
        <w:wordWrap w:val="0"/>
        <w:overflowPunct/>
        <w:topLinePunct w:val="0"/>
        <w:autoSpaceDE w:val="0"/>
        <w:autoSpaceDN w:val="0"/>
        <w:bidi w:val="0"/>
        <w:adjustRightInd w:val="0"/>
        <w:spacing w:line="560" w:lineRule="exact"/>
        <w:ind w:right="0" w:rightChars="0" w:firstLine="480" w:firstLineChars="200"/>
        <w:jc w:val="left"/>
        <w:textAlignment w:val="auto"/>
        <w:rPr>
          <w:rFonts w:ascii="宋体" w:hAnsi="宋体" w:cs="仿宋"/>
          <w:color w:val="auto"/>
          <w:sz w:val="24"/>
          <w:szCs w:val="24"/>
        </w:rPr>
      </w:pPr>
      <w:r>
        <w:rPr>
          <w:rFonts w:hint="eastAsia" w:ascii="宋体" w:hAnsi="宋体" w:cs="仿宋"/>
          <w:color w:val="auto"/>
          <w:sz w:val="24"/>
          <w:szCs w:val="24"/>
        </w:rPr>
        <w:t>以上企业，不属于大企业的分支机构，不存在控股股东为大企业的情形，也不存在与大企业的负责人为同一人的情形。</w:t>
      </w:r>
    </w:p>
    <w:p w14:paraId="612FEBE2">
      <w:pPr>
        <w:keepNext w:val="0"/>
        <w:keepLines w:val="0"/>
        <w:pageBreakBefore w:val="0"/>
        <w:widowControl w:val="0"/>
        <w:kinsoku/>
        <w:wordWrap w:val="0"/>
        <w:overflowPunct/>
        <w:topLinePunct w:val="0"/>
        <w:autoSpaceDE w:val="0"/>
        <w:autoSpaceDN w:val="0"/>
        <w:bidi w:val="0"/>
        <w:adjustRightInd w:val="0"/>
        <w:spacing w:line="560" w:lineRule="exact"/>
        <w:ind w:right="0" w:rightChars="0" w:firstLine="480" w:firstLineChars="200"/>
        <w:jc w:val="left"/>
        <w:textAlignment w:val="auto"/>
        <w:rPr>
          <w:rFonts w:ascii="宋体" w:hAnsi="宋体" w:cs="仿宋"/>
          <w:color w:val="auto"/>
          <w:sz w:val="24"/>
          <w:szCs w:val="24"/>
        </w:rPr>
      </w:pPr>
      <w:r>
        <w:rPr>
          <w:rFonts w:hint="eastAsia" w:ascii="宋体" w:hAnsi="宋体" w:cs="仿宋"/>
          <w:color w:val="auto"/>
          <w:sz w:val="24"/>
          <w:szCs w:val="24"/>
        </w:rPr>
        <w:t>本企业对上述声明内容的真实性负责。如有虚假，将依法承担相应责任。</w:t>
      </w:r>
    </w:p>
    <w:p w14:paraId="72E435B3">
      <w:pPr>
        <w:keepNext w:val="0"/>
        <w:keepLines w:val="0"/>
        <w:pageBreakBefore w:val="0"/>
        <w:widowControl w:val="0"/>
        <w:kinsoku/>
        <w:wordWrap w:val="0"/>
        <w:overflowPunct/>
        <w:topLinePunct w:val="0"/>
        <w:autoSpaceDE w:val="0"/>
        <w:autoSpaceDN w:val="0"/>
        <w:bidi w:val="0"/>
        <w:spacing w:line="560" w:lineRule="exact"/>
        <w:ind w:right="0" w:rightChars="0"/>
        <w:jc w:val="left"/>
        <w:textAlignment w:val="auto"/>
        <w:rPr>
          <w:rFonts w:ascii="宋体" w:hAnsi="宋体" w:cs="宋体"/>
          <w:color w:val="auto"/>
          <w:spacing w:val="6"/>
          <w:sz w:val="24"/>
          <w:szCs w:val="24"/>
        </w:rPr>
      </w:pPr>
    </w:p>
    <w:p w14:paraId="7C57B76E">
      <w:pPr>
        <w:keepNext w:val="0"/>
        <w:keepLines w:val="0"/>
        <w:pageBreakBefore w:val="0"/>
        <w:widowControl w:val="0"/>
        <w:kinsoku/>
        <w:wordWrap w:val="0"/>
        <w:overflowPunct/>
        <w:topLinePunct w:val="0"/>
        <w:autoSpaceDE w:val="0"/>
        <w:autoSpaceDN w:val="0"/>
        <w:bidi w:val="0"/>
        <w:snapToGrid w:val="0"/>
        <w:spacing w:line="560" w:lineRule="exact"/>
        <w:ind w:right="0" w:rightChars="0" w:firstLine="480" w:firstLineChars="200"/>
        <w:jc w:val="right"/>
        <w:textAlignment w:val="auto"/>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（电子签章） </w:t>
      </w:r>
    </w:p>
    <w:p w14:paraId="4296CCCF">
      <w:pPr>
        <w:keepNext w:val="0"/>
        <w:keepLines w:val="0"/>
        <w:pageBreakBefore w:val="0"/>
        <w:widowControl w:val="0"/>
        <w:kinsoku/>
        <w:wordWrap w:val="0"/>
        <w:overflowPunct/>
        <w:topLinePunct w:val="0"/>
        <w:autoSpaceDE w:val="0"/>
        <w:autoSpaceDN w:val="0"/>
        <w:bidi w:val="0"/>
        <w:spacing w:line="560" w:lineRule="exact"/>
        <w:ind w:right="0" w:rightChars="0" w:firstLine="480" w:firstLineChars="200"/>
        <w:jc w:val="right"/>
        <w:textAlignment w:val="auto"/>
        <w:rPr>
          <w:rFonts w:ascii="宋体" w:hAnsi="宋体" w:cs="宋体"/>
          <w:color w:val="auto"/>
          <w:sz w:val="24"/>
          <w:szCs w:val="24"/>
        </w:rPr>
      </w:pPr>
      <w:r>
        <w:rPr>
          <w:rFonts w:hint="eastAsia" w:ascii="宋体" w:hAnsi="宋体" w:cs="宋体"/>
          <w:color w:val="auto"/>
          <w:sz w:val="24"/>
          <w:szCs w:val="24"/>
        </w:rPr>
        <w:t>法定代表人或委托代理人：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（签章） </w:t>
      </w:r>
    </w:p>
    <w:p w14:paraId="5423B303">
      <w:pPr>
        <w:keepNext w:val="0"/>
        <w:keepLines w:val="0"/>
        <w:pageBreakBefore w:val="0"/>
        <w:widowControl w:val="0"/>
        <w:kinsoku/>
        <w:wordWrap w:val="0"/>
        <w:overflowPunct/>
        <w:topLinePunct w:val="0"/>
        <w:autoSpaceDE w:val="0"/>
        <w:autoSpaceDN w:val="0"/>
        <w:bidi w:val="0"/>
        <w:spacing w:line="560" w:lineRule="exact"/>
        <w:ind w:right="0" w:rightChars="0" w:firstLine="480" w:firstLineChars="200"/>
        <w:jc w:val="right"/>
        <w:textAlignment w:val="auto"/>
        <w:rPr>
          <w:rFonts w:ascii="宋体" w:hAnsi="宋体" w:cs="宋体"/>
          <w:color w:val="auto"/>
          <w:sz w:val="24"/>
          <w:szCs w:val="24"/>
        </w:rPr>
      </w:pPr>
      <w:r>
        <w:rPr>
          <w:rFonts w:hint="eastAsia" w:ascii="宋体" w:hAnsi="宋体" w:cs="宋体"/>
          <w:color w:val="auto"/>
          <w:sz w:val="24"/>
          <w:szCs w:val="24"/>
        </w:rPr>
        <w:t>日期：   年    月    日</w:t>
      </w:r>
    </w:p>
    <w:p w14:paraId="7D78E16E">
      <w:pPr>
        <w:keepNext w:val="0"/>
        <w:keepLines w:val="0"/>
        <w:pageBreakBefore w:val="0"/>
        <w:widowControl w:val="0"/>
        <w:kinsoku/>
        <w:wordWrap w:val="0"/>
        <w:overflowPunct/>
        <w:topLinePunct w:val="0"/>
        <w:autoSpaceDE w:val="0"/>
        <w:autoSpaceDN w:val="0"/>
        <w:bidi w:val="0"/>
        <w:spacing w:line="560" w:lineRule="exact"/>
        <w:ind w:right="0" w:rightChars="0" w:firstLine="506" w:firstLineChars="200"/>
        <w:jc w:val="left"/>
        <w:textAlignment w:val="auto"/>
        <w:rPr>
          <w:rFonts w:ascii="宋体" w:hAnsi="宋体" w:cs="宋体"/>
          <w:b/>
          <w:color w:val="auto"/>
          <w:spacing w:val="6"/>
          <w:sz w:val="24"/>
          <w:szCs w:val="24"/>
        </w:rPr>
      </w:pPr>
      <w:r>
        <w:rPr>
          <w:rFonts w:hint="eastAsia" w:ascii="宋体" w:hAnsi="宋体" w:cs="宋体"/>
          <w:b/>
          <w:color w:val="auto"/>
          <w:spacing w:val="6"/>
          <w:sz w:val="24"/>
          <w:szCs w:val="24"/>
        </w:rPr>
        <w:t>从业人员、营业收入、资产总额填报上一年度数据，无上一年度数据的新成立企业可不填报</w:t>
      </w:r>
    </w:p>
    <w:p w14:paraId="6E9758E1"/>
    <w:sectPr>
      <w:headerReference r:id="rId8" w:type="default"/>
      <w:footerReference r:id="rId9" w:type="default"/>
      <w:pgSz w:w="11910" w:h="16840"/>
      <w:pgMar w:top="1440" w:right="1800" w:bottom="1440" w:left="1800" w:header="0" w:footer="993"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0738">
    <w:pPr>
      <w:pStyle w:val="8"/>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835C">
    <w:pPr>
      <w:pStyle w:val="8"/>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2B5B">
    <w:pPr>
      <w:pStyle w:val="8"/>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D5BF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5D5BF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1D60">
    <w:pPr>
      <w:pStyle w:val="8"/>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E3159">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1E3159">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9E55">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B565D">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3B565D">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83CA">
    <w:pPr>
      <w:pStyle w:val="8"/>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B09A4">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BB09A4">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012F">
    <w:pPr>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4CEA"/>
    <w:multiLevelType w:val="singleLevel"/>
    <w:tmpl w:val="83584CEA"/>
    <w:lvl w:ilvl="0" w:tentative="0">
      <w:start w:val="1"/>
      <w:numFmt w:val="decimal"/>
      <w:suff w:val="nothing"/>
      <w:lvlText w:val="%1、"/>
      <w:lvlJc w:val="left"/>
    </w:lvl>
  </w:abstractNum>
  <w:abstractNum w:abstractNumId="1">
    <w:nsid w:val="9C8AC8EF"/>
    <w:multiLevelType w:val="multilevel"/>
    <w:tmpl w:val="9C8AC8EF"/>
    <w:lvl w:ilvl="0" w:tentative="0">
      <w:start w:val="21"/>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2">
    <w:nsid w:val="B0F1ACD9"/>
    <w:multiLevelType w:val="multilevel"/>
    <w:tmpl w:val="B0F1ACD9"/>
    <w:lvl w:ilvl="0" w:tentative="0">
      <w:start w:val="28"/>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3">
    <w:nsid w:val="B78700D7"/>
    <w:multiLevelType w:val="singleLevel"/>
    <w:tmpl w:val="B78700D7"/>
    <w:lvl w:ilvl="0" w:tentative="0">
      <w:start w:val="5"/>
      <w:numFmt w:val="chineseCounting"/>
      <w:suff w:val="nothing"/>
      <w:lvlText w:val="%1、"/>
      <w:lvlJc w:val="left"/>
      <w:rPr>
        <w:rFonts w:hint="eastAsia"/>
      </w:rPr>
    </w:lvl>
  </w:abstractNum>
  <w:abstractNum w:abstractNumId="4">
    <w:nsid w:val="BE923771"/>
    <w:multiLevelType w:val="multilevel"/>
    <w:tmpl w:val="BE923771"/>
    <w:lvl w:ilvl="0" w:tentative="0">
      <w:start w:val="1"/>
      <w:numFmt w:val="decimal"/>
      <w:lvlText w:val="(%1)"/>
      <w:lvlJc w:val="left"/>
      <w:pPr>
        <w:ind w:left="1220"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208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807" w:hanging="480"/>
      </w:pPr>
      <w:rPr>
        <w:rFonts w:hint="default"/>
        <w:lang w:val="zh-CN" w:eastAsia="zh-CN" w:bidi="zh-CN"/>
      </w:rPr>
    </w:lvl>
    <w:lvl w:ilvl="4" w:tentative="0">
      <w:start w:val="0"/>
      <w:numFmt w:val="bullet"/>
      <w:lvlText w:val="•"/>
      <w:lvlJc w:val="left"/>
      <w:pPr>
        <w:ind w:left="4670" w:hanging="480"/>
      </w:pPr>
      <w:rPr>
        <w:rFonts w:hint="default"/>
        <w:lang w:val="zh-CN" w:eastAsia="zh-CN" w:bidi="zh-CN"/>
      </w:rPr>
    </w:lvl>
    <w:lvl w:ilvl="5" w:tentative="0">
      <w:start w:val="0"/>
      <w:numFmt w:val="bullet"/>
      <w:lvlText w:val="•"/>
      <w:lvlJc w:val="left"/>
      <w:pPr>
        <w:ind w:left="5533" w:hanging="480"/>
      </w:pPr>
      <w:rPr>
        <w:rFonts w:hint="default"/>
        <w:lang w:val="zh-CN" w:eastAsia="zh-CN" w:bidi="zh-CN"/>
      </w:rPr>
    </w:lvl>
    <w:lvl w:ilvl="6" w:tentative="0">
      <w:start w:val="0"/>
      <w:numFmt w:val="bullet"/>
      <w:lvlText w:val="•"/>
      <w:lvlJc w:val="left"/>
      <w:pPr>
        <w:ind w:left="6395"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120" w:hanging="480"/>
      </w:pPr>
      <w:rPr>
        <w:rFonts w:hint="default"/>
        <w:lang w:val="zh-CN" w:eastAsia="zh-CN" w:bidi="zh-CN"/>
      </w:rPr>
    </w:lvl>
  </w:abstractNum>
  <w:abstractNum w:abstractNumId="5">
    <w:nsid w:val="DCBA6B53"/>
    <w:multiLevelType w:val="multilevel"/>
    <w:tmpl w:val="DCBA6B53"/>
    <w:lvl w:ilvl="0" w:tentative="0">
      <w:start w:val="20"/>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177" w:hanging="780"/>
      </w:pPr>
      <w:rPr>
        <w:rFonts w:hint="default"/>
        <w:lang w:val="zh-CN" w:eastAsia="zh-CN" w:bidi="zh-CN"/>
      </w:rPr>
    </w:lvl>
    <w:lvl w:ilvl="4" w:tentative="0">
      <w:start w:val="0"/>
      <w:numFmt w:val="bullet"/>
      <w:lvlText w:val="•"/>
      <w:lvlJc w:val="left"/>
      <w:pPr>
        <w:ind w:left="4130" w:hanging="780"/>
      </w:pPr>
      <w:rPr>
        <w:rFonts w:hint="default"/>
        <w:lang w:val="zh-CN" w:eastAsia="zh-CN" w:bidi="zh-CN"/>
      </w:rPr>
    </w:lvl>
    <w:lvl w:ilvl="5" w:tentative="0">
      <w:start w:val="0"/>
      <w:numFmt w:val="bullet"/>
      <w:lvlText w:val="•"/>
      <w:lvlJc w:val="left"/>
      <w:pPr>
        <w:ind w:left="5083" w:hanging="780"/>
      </w:pPr>
      <w:rPr>
        <w:rFonts w:hint="default"/>
        <w:lang w:val="zh-CN" w:eastAsia="zh-CN" w:bidi="zh-CN"/>
      </w:rPr>
    </w:lvl>
    <w:lvl w:ilvl="6" w:tentative="0">
      <w:start w:val="0"/>
      <w:numFmt w:val="bullet"/>
      <w:lvlText w:val="•"/>
      <w:lvlJc w:val="left"/>
      <w:pPr>
        <w:ind w:left="6035" w:hanging="780"/>
      </w:pPr>
      <w:rPr>
        <w:rFonts w:hint="default"/>
        <w:lang w:val="zh-CN" w:eastAsia="zh-CN" w:bidi="zh-CN"/>
      </w:rPr>
    </w:lvl>
    <w:lvl w:ilvl="7" w:tentative="0">
      <w:start w:val="0"/>
      <w:numFmt w:val="bullet"/>
      <w:lvlText w:val="•"/>
      <w:lvlJc w:val="left"/>
      <w:pPr>
        <w:ind w:left="6988" w:hanging="780"/>
      </w:pPr>
      <w:rPr>
        <w:rFonts w:hint="default"/>
        <w:lang w:val="zh-CN" w:eastAsia="zh-CN" w:bidi="zh-CN"/>
      </w:rPr>
    </w:lvl>
    <w:lvl w:ilvl="8" w:tentative="0">
      <w:start w:val="0"/>
      <w:numFmt w:val="bullet"/>
      <w:lvlText w:val="•"/>
      <w:lvlJc w:val="left"/>
      <w:pPr>
        <w:ind w:left="7940" w:hanging="780"/>
      </w:pPr>
      <w:rPr>
        <w:rFonts w:hint="default"/>
        <w:lang w:val="zh-CN" w:eastAsia="zh-CN" w:bidi="zh-CN"/>
      </w:rPr>
    </w:lvl>
  </w:abstractNum>
  <w:abstractNum w:abstractNumId="6">
    <w:nsid w:val="F4B5D9F5"/>
    <w:multiLevelType w:val="multilevel"/>
    <w:tmpl w:val="F4B5D9F5"/>
    <w:lvl w:ilvl="0" w:tentative="0">
      <w:start w:val="18"/>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31" w:hanging="540"/>
      </w:pPr>
      <w:rPr>
        <w:rFonts w:hint="default"/>
        <w:lang w:val="zh-CN" w:eastAsia="zh-CN" w:bidi="zh-CN"/>
      </w:rPr>
    </w:lvl>
    <w:lvl w:ilvl="3" w:tentative="0">
      <w:start w:val="0"/>
      <w:numFmt w:val="bullet"/>
      <w:lvlText w:val="•"/>
      <w:lvlJc w:val="left"/>
      <w:pPr>
        <w:ind w:left="3183" w:hanging="540"/>
      </w:pPr>
      <w:rPr>
        <w:rFonts w:hint="default"/>
        <w:lang w:val="zh-CN" w:eastAsia="zh-CN" w:bidi="zh-CN"/>
      </w:rPr>
    </w:lvl>
    <w:lvl w:ilvl="4" w:tentative="0">
      <w:start w:val="0"/>
      <w:numFmt w:val="bullet"/>
      <w:lvlText w:val="•"/>
      <w:lvlJc w:val="left"/>
      <w:pPr>
        <w:ind w:left="4135" w:hanging="540"/>
      </w:pPr>
      <w:rPr>
        <w:rFonts w:hint="default"/>
        <w:lang w:val="zh-CN" w:eastAsia="zh-CN" w:bidi="zh-CN"/>
      </w:rPr>
    </w:lvl>
    <w:lvl w:ilvl="5" w:tentative="0">
      <w:start w:val="0"/>
      <w:numFmt w:val="bullet"/>
      <w:lvlText w:val="•"/>
      <w:lvlJc w:val="left"/>
      <w:pPr>
        <w:ind w:left="5087" w:hanging="540"/>
      </w:pPr>
      <w:rPr>
        <w:rFonts w:hint="default"/>
        <w:lang w:val="zh-CN" w:eastAsia="zh-CN" w:bidi="zh-CN"/>
      </w:rPr>
    </w:lvl>
    <w:lvl w:ilvl="6" w:tentative="0">
      <w:start w:val="0"/>
      <w:numFmt w:val="bullet"/>
      <w:lvlText w:val="•"/>
      <w:lvlJc w:val="left"/>
      <w:pPr>
        <w:ind w:left="6038" w:hanging="540"/>
      </w:pPr>
      <w:rPr>
        <w:rFonts w:hint="default"/>
        <w:lang w:val="zh-CN" w:eastAsia="zh-CN" w:bidi="zh-CN"/>
      </w:rPr>
    </w:lvl>
    <w:lvl w:ilvl="7" w:tentative="0">
      <w:start w:val="0"/>
      <w:numFmt w:val="bullet"/>
      <w:lvlText w:val="•"/>
      <w:lvlJc w:val="left"/>
      <w:pPr>
        <w:ind w:left="6990" w:hanging="540"/>
      </w:pPr>
      <w:rPr>
        <w:rFonts w:hint="default"/>
        <w:lang w:val="zh-CN" w:eastAsia="zh-CN" w:bidi="zh-CN"/>
      </w:rPr>
    </w:lvl>
    <w:lvl w:ilvl="8" w:tentative="0">
      <w:start w:val="0"/>
      <w:numFmt w:val="bullet"/>
      <w:lvlText w:val="•"/>
      <w:lvlJc w:val="left"/>
      <w:pPr>
        <w:ind w:left="7942" w:hanging="540"/>
      </w:pPr>
      <w:rPr>
        <w:rFonts w:hint="default"/>
        <w:lang w:val="zh-CN" w:eastAsia="zh-CN" w:bidi="zh-CN"/>
      </w:rPr>
    </w:lvl>
  </w:abstractNum>
  <w:abstractNum w:abstractNumId="7">
    <w:nsid w:val="F572E1FF"/>
    <w:multiLevelType w:val="singleLevel"/>
    <w:tmpl w:val="F572E1FF"/>
    <w:lvl w:ilvl="0" w:tentative="0">
      <w:start w:val="1"/>
      <w:numFmt w:val="decimal"/>
      <w:suff w:val="nothing"/>
      <w:lvlText w:val="%1、"/>
      <w:lvlJc w:val="left"/>
    </w:lvl>
  </w:abstractNum>
  <w:abstractNum w:abstractNumId="8">
    <w:nsid w:val="FDE3F33A"/>
    <w:multiLevelType w:val="singleLevel"/>
    <w:tmpl w:val="FDE3F33A"/>
    <w:lvl w:ilvl="0" w:tentative="0">
      <w:start w:val="9"/>
      <w:numFmt w:val="chineseCounting"/>
      <w:suff w:val="nothing"/>
      <w:lvlText w:val="%1、"/>
      <w:lvlJc w:val="left"/>
      <w:rPr>
        <w:rFonts w:hint="eastAsia"/>
      </w:rPr>
    </w:lvl>
  </w:abstractNum>
  <w:abstractNum w:abstractNumId="9">
    <w:nsid w:val="0E640482"/>
    <w:multiLevelType w:val="multilevel"/>
    <w:tmpl w:val="0E640482"/>
    <w:lvl w:ilvl="0" w:tentative="0">
      <w:start w:val="25"/>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540"/>
      </w:pPr>
      <w:rPr>
        <w:rFonts w:hint="default"/>
        <w:lang w:val="zh-CN" w:eastAsia="zh-CN" w:bidi="zh-CN"/>
      </w:rPr>
    </w:lvl>
    <w:lvl w:ilvl="3" w:tentative="0">
      <w:start w:val="0"/>
      <w:numFmt w:val="bullet"/>
      <w:lvlText w:val="•"/>
      <w:lvlJc w:val="left"/>
      <w:pPr>
        <w:ind w:left="38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419" w:hanging="540"/>
      </w:pPr>
      <w:rPr>
        <w:rFonts w:hint="default"/>
        <w:lang w:val="zh-CN" w:eastAsia="zh-CN" w:bidi="zh-CN"/>
      </w:rPr>
    </w:lvl>
    <w:lvl w:ilvl="7" w:tentative="0">
      <w:start w:val="0"/>
      <w:numFmt w:val="bullet"/>
      <w:lvlText w:val="•"/>
      <w:lvlJc w:val="left"/>
      <w:pPr>
        <w:ind w:left="7276" w:hanging="540"/>
      </w:pPr>
      <w:rPr>
        <w:rFonts w:hint="default"/>
        <w:lang w:val="zh-CN" w:eastAsia="zh-CN" w:bidi="zh-CN"/>
      </w:rPr>
    </w:lvl>
    <w:lvl w:ilvl="8" w:tentative="0">
      <w:start w:val="0"/>
      <w:numFmt w:val="bullet"/>
      <w:lvlText w:val="•"/>
      <w:lvlJc w:val="left"/>
      <w:pPr>
        <w:ind w:left="8132" w:hanging="540"/>
      </w:pPr>
      <w:rPr>
        <w:rFonts w:hint="default"/>
        <w:lang w:val="zh-CN" w:eastAsia="zh-CN" w:bidi="zh-CN"/>
      </w:rPr>
    </w:lvl>
  </w:abstractNum>
  <w:abstractNum w:abstractNumId="10">
    <w:nsid w:val="2470EC97"/>
    <w:multiLevelType w:val="multilevel"/>
    <w:tmpl w:val="2470EC97"/>
    <w:lvl w:ilvl="0" w:tentative="0">
      <w:start w:val="19"/>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1">
    <w:nsid w:val="25B654F3"/>
    <w:multiLevelType w:val="multilevel"/>
    <w:tmpl w:val="25B654F3"/>
    <w:lvl w:ilvl="0" w:tentative="0">
      <w:start w:val="5"/>
      <w:numFmt w:val="decimal"/>
      <w:lvlText w:val="%1"/>
      <w:lvlJc w:val="left"/>
      <w:pPr>
        <w:ind w:left="320" w:hanging="420"/>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12">
    <w:nsid w:val="4C1BAE26"/>
    <w:multiLevelType w:val="multilevel"/>
    <w:tmpl w:val="4C1BAE26"/>
    <w:lvl w:ilvl="0" w:tentative="0">
      <w:start w:val="22"/>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3">
    <w:nsid w:val="4D4DC07F"/>
    <w:multiLevelType w:val="multilevel"/>
    <w:tmpl w:val="4D4DC07F"/>
    <w:lvl w:ilvl="0" w:tentative="0">
      <w:start w:val="17"/>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4">
    <w:nsid w:val="60382F6E"/>
    <w:multiLevelType w:val="multilevel"/>
    <w:tmpl w:val="60382F6E"/>
    <w:lvl w:ilvl="0" w:tentative="0">
      <w:start w:val="23"/>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370" w:hanging="780"/>
      </w:pPr>
      <w:rPr>
        <w:rFonts w:hint="default"/>
        <w:lang w:val="zh-CN" w:eastAsia="zh-CN" w:bidi="zh-CN"/>
      </w:rPr>
    </w:lvl>
    <w:lvl w:ilvl="4" w:tentative="0">
      <w:start w:val="0"/>
      <w:numFmt w:val="bullet"/>
      <w:lvlText w:val="•"/>
      <w:lvlJc w:val="left"/>
      <w:pPr>
        <w:ind w:left="4295" w:hanging="780"/>
      </w:pPr>
      <w:rPr>
        <w:rFonts w:hint="default"/>
        <w:lang w:val="zh-CN" w:eastAsia="zh-CN" w:bidi="zh-CN"/>
      </w:rPr>
    </w:lvl>
    <w:lvl w:ilvl="5" w:tentative="0">
      <w:start w:val="0"/>
      <w:numFmt w:val="bullet"/>
      <w:lvlText w:val="•"/>
      <w:lvlJc w:val="left"/>
      <w:pPr>
        <w:ind w:left="5220" w:hanging="780"/>
      </w:pPr>
      <w:rPr>
        <w:rFonts w:hint="default"/>
        <w:lang w:val="zh-CN" w:eastAsia="zh-CN" w:bidi="zh-CN"/>
      </w:rPr>
    </w:lvl>
    <w:lvl w:ilvl="6" w:tentative="0">
      <w:start w:val="0"/>
      <w:numFmt w:val="bullet"/>
      <w:lvlText w:val="•"/>
      <w:lvlJc w:val="left"/>
      <w:pPr>
        <w:ind w:left="6145" w:hanging="780"/>
      </w:pPr>
      <w:rPr>
        <w:rFonts w:hint="default"/>
        <w:lang w:val="zh-CN" w:eastAsia="zh-CN" w:bidi="zh-CN"/>
      </w:rPr>
    </w:lvl>
    <w:lvl w:ilvl="7" w:tentative="0">
      <w:start w:val="0"/>
      <w:numFmt w:val="bullet"/>
      <w:lvlText w:val="•"/>
      <w:lvlJc w:val="left"/>
      <w:pPr>
        <w:ind w:left="7070" w:hanging="780"/>
      </w:pPr>
      <w:rPr>
        <w:rFonts w:hint="default"/>
        <w:lang w:val="zh-CN" w:eastAsia="zh-CN" w:bidi="zh-CN"/>
      </w:rPr>
    </w:lvl>
    <w:lvl w:ilvl="8" w:tentative="0">
      <w:start w:val="0"/>
      <w:numFmt w:val="bullet"/>
      <w:lvlText w:val="•"/>
      <w:lvlJc w:val="left"/>
      <w:pPr>
        <w:ind w:left="7995" w:hanging="780"/>
      </w:pPr>
      <w:rPr>
        <w:rFonts w:hint="default"/>
        <w:lang w:val="zh-CN" w:eastAsia="zh-CN" w:bidi="zh-CN"/>
      </w:rPr>
    </w:lvl>
  </w:abstractNum>
  <w:abstractNum w:abstractNumId="15">
    <w:nsid w:val="71D1AEF7"/>
    <w:multiLevelType w:val="singleLevel"/>
    <w:tmpl w:val="71D1AEF7"/>
    <w:lvl w:ilvl="0" w:tentative="0">
      <w:start w:val="1"/>
      <w:numFmt w:val="decimal"/>
      <w:lvlText w:val="%1."/>
      <w:lvlJc w:val="left"/>
      <w:pPr>
        <w:tabs>
          <w:tab w:val="left" w:pos="312"/>
        </w:tabs>
      </w:pPr>
    </w:lvl>
  </w:abstractNum>
  <w:abstractNum w:abstractNumId="16">
    <w:nsid w:val="77ECEA79"/>
    <w:multiLevelType w:val="multilevel"/>
    <w:tmpl w:val="77ECEA79"/>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9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3" w:hanging="601"/>
      </w:pPr>
      <w:rPr>
        <w:rFonts w:hint="default"/>
        <w:lang w:val="zh-CN" w:eastAsia="zh-CN" w:bidi="zh-CN"/>
      </w:rPr>
    </w:lvl>
    <w:lvl w:ilvl="7" w:tentative="0">
      <w:start w:val="0"/>
      <w:numFmt w:val="bullet"/>
      <w:lvlText w:val="•"/>
      <w:lvlJc w:val="left"/>
      <w:pPr>
        <w:ind w:left="7294" w:hanging="601"/>
      </w:pPr>
      <w:rPr>
        <w:rFonts w:hint="default"/>
        <w:lang w:val="zh-CN" w:eastAsia="zh-CN" w:bidi="zh-CN"/>
      </w:rPr>
    </w:lvl>
    <w:lvl w:ilvl="8" w:tentative="0">
      <w:start w:val="0"/>
      <w:numFmt w:val="bullet"/>
      <w:lvlText w:val="•"/>
      <w:lvlJc w:val="left"/>
      <w:pPr>
        <w:ind w:left="8144" w:hanging="601"/>
      </w:pPr>
      <w:rPr>
        <w:rFonts w:hint="default"/>
        <w:lang w:val="zh-CN" w:eastAsia="zh-CN" w:bidi="zh-CN"/>
      </w:rPr>
    </w:lvl>
  </w:abstractNum>
  <w:abstractNum w:abstractNumId="17">
    <w:nsid w:val="7C246926"/>
    <w:multiLevelType w:val="multilevel"/>
    <w:tmpl w:val="7C246926"/>
    <w:lvl w:ilvl="0" w:tentative="0">
      <w:start w:val="29"/>
      <w:numFmt w:val="decimal"/>
      <w:lvlText w:val="%1."/>
      <w:lvlJc w:val="left"/>
      <w:pPr>
        <w:ind w:left="1221" w:hanging="481"/>
      </w:pPr>
      <w:rPr>
        <w:rFonts w:hint="default"/>
        <w:w w:val="100"/>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1340" w:hanging="600"/>
      </w:pPr>
      <w:rPr>
        <w:rFonts w:hint="default"/>
        <w:lang w:val="zh-CN" w:eastAsia="zh-CN" w:bidi="zh-CN"/>
      </w:rPr>
    </w:lvl>
    <w:lvl w:ilvl="3" w:tentative="0">
      <w:start w:val="0"/>
      <w:numFmt w:val="bullet"/>
      <w:lvlText w:val="•"/>
      <w:lvlJc w:val="left"/>
      <w:pPr>
        <w:ind w:left="2403" w:hanging="600"/>
      </w:pPr>
      <w:rPr>
        <w:rFonts w:hint="default"/>
        <w:lang w:val="zh-CN" w:eastAsia="zh-CN" w:bidi="zh-CN"/>
      </w:rPr>
    </w:lvl>
    <w:lvl w:ilvl="4" w:tentative="0">
      <w:start w:val="0"/>
      <w:numFmt w:val="bullet"/>
      <w:lvlText w:val="•"/>
      <w:lvlJc w:val="left"/>
      <w:pPr>
        <w:ind w:left="3466" w:hanging="600"/>
      </w:pPr>
      <w:rPr>
        <w:rFonts w:hint="default"/>
        <w:lang w:val="zh-CN" w:eastAsia="zh-CN" w:bidi="zh-CN"/>
      </w:rPr>
    </w:lvl>
    <w:lvl w:ilvl="5" w:tentative="0">
      <w:start w:val="0"/>
      <w:numFmt w:val="bullet"/>
      <w:lvlText w:val="•"/>
      <w:lvlJc w:val="left"/>
      <w:pPr>
        <w:ind w:left="4529" w:hanging="600"/>
      </w:pPr>
      <w:rPr>
        <w:rFonts w:hint="default"/>
        <w:lang w:val="zh-CN" w:eastAsia="zh-CN" w:bidi="zh-CN"/>
      </w:rPr>
    </w:lvl>
    <w:lvl w:ilvl="6" w:tentative="0">
      <w:start w:val="0"/>
      <w:numFmt w:val="bullet"/>
      <w:lvlText w:val="•"/>
      <w:lvlJc w:val="left"/>
      <w:pPr>
        <w:ind w:left="5593" w:hanging="600"/>
      </w:pPr>
      <w:rPr>
        <w:rFonts w:hint="default"/>
        <w:lang w:val="zh-CN" w:eastAsia="zh-CN" w:bidi="zh-CN"/>
      </w:rPr>
    </w:lvl>
    <w:lvl w:ilvl="7" w:tentative="0">
      <w:start w:val="0"/>
      <w:numFmt w:val="bullet"/>
      <w:lvlText w:val="•"/>
      <w:lvlJc w:val="left"/>
      <w:pPr>
        <w:ind w:left="6656" w:hanging="600"/>
      </w:pPr>
      <w:rPr>
        <w:rFonts w:hint="default"/>
        <w:lang w:val="zh-CN" w:eastAsia="zh-CN" w:bidi="zh-CN"/>
      </w:rPr>
    </w:lvl>
    <w:lvl w:ilvl="8" w:tentative="0">
      <w:start w:val="0"/>
      <w:numFmt w:val="bullet"/>
      <w:lvlText w:val="•"/>
      <w:lvlJc w:val="left"/>
      <w:pPr>
        <w:ind w:left="7719" w:hanging="600"/>
      </w:pPr>
      <w:rPr>
        <w:rFonts w:hint="default"/>
        <w:lang w:val="zh-CN" w:eastAsia="zh-CN" w:bidi="zh-CN"/>
      </w:rPr>
    </w:lvl>
  </w:abstractNum>
  <w:num w:numId="1">
    <w:abstractNumId w:val="0"/>
  </w:num>
  <w:num w:numId="2">
    <w:abstractNumId w:val="11"/>
  </w:num>
  <w:num w:numId="3">
    <w:abstractNumId w:val="13"/>
  </w:num>
  <w:num w:numId="4">
    <w:abstractNumId w:val="6"/>
  </w:num>
  <w:num w:numId="5">
    <w:abstractNumId w:val="10"/>
  </w:num>
  <w:num w:numId="6">
    <w:abstractNumId w:val="5"/>
  </w:num>
  <w:num w:numId="7">
    <w:abstractNumId w:val="1"/>
  </w:num>
  <w:num w:numId="8">
    <w:abstractNumId w:val="12"/>
  </w:num>
  <w:num w:numId="9">
    <w:abstractNumId w:val="14"/>
  </w:num>
  <w:num w:numId="10">
    <w:abstractNumId w:val="9"/>
  </w:num>
  <w:num w:numId="11">
    <w:abstractNumId w:val="2"/>
  </w:num>
  <w:num w:numId="12">
    <w:abstractNumId w:val="17"/>
  </w:num>
  <w:num w:numId="13">
    <w:abstractNumId w:val="16"/>
  </w:num>
  <w:num w:numId="14">
    <w:abstractNumId w:val="4"/>
  </w:num>
  <w:num w:numId="15">
    <w:abstractNumId w:val="7"/>
  </w:num>
  <w:num w:numId="16">
    <w:abstractNumId w:val="1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LQbvTVrhhxj3isasE41ynBpKp1w=" w:salt="D/+MDfNeeH4VjgW0hRze6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7A9E"/>
    <w:rsid w:val="054F7A9E"/>
    <w:rsid w:val="0A560A40"/>
    <w:rsid w:val="1752433D"/>
    <w:rsid w:val="192C10D8"/>
    <w:rsid w:val="1BCD48DA"/>
    <w:rsid w:val="24724271"/>
    <w:rsid w:val="25BC763F"/>
    <w:rsid w:val="27D42BAF"/>
    <w:rsid w:val="28292E99"/>
    <w:rsid w:val="28D21782"/>
    <w:rsid w:val="29DD5F17"/>
    <w:rsid w:val="2DE81100"/>
    <w:rsid w:val="305637DC"/>
    <w:rsid w:val="32027AD8"/>
    <w:rsid w:val="45915C64"/>
    <w:rsid w:val="45AD7C90"/>
    <w:rsid w:val="4BE827B8"/>
    <w:rsid w:val="4F1D07B2"/>
    <w:rsid w:val="62674344"/>
    <w:rsid w:val="6FF84CBF"/>
    <w:rsid w:val="70FF5420"/>
    <w:rsid w:val="73A6496A"/>
    <w:rsid w:val="78057814"/>
    <w:rsid w:val="7B1F572E"/>
    <w:rsid w:val="7BEC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892"/>
      <w:jc w:val="center"/>
      <w:outlineLvl w:val="0"/>
    </w:pPr>
    <w:rPr>
      <w:sz w:val="32"/>
      <w:szCs w:val="32"/>
    </w:rPr>
  </w:style>
  <w:style w:type="paragraph" w:styleId="3">
    <w:name w:val="heading 2"/>
    <w:basedOn w:val="1"/>
    <w:next w:val="1"/>
    <w:qFormat/>
    <w:uiPriority w:val="0"/>
    <w:pPr>
      <w:spacing w:before="1"/>
      <w:ind w:left="1600"/>
      <w:outlineLvl w:val="1"/>
    </w:pPr>
    <w:rPr>
      <w:sz w:val="30"/>
      <w:szCs w:val="30"/>
    </w:rPr>
  </w:style>
  <w:style w:type="paragraph" w:styleId="4">
    <w:name w:val="heading 3"/>
    <w:basedOn w:val="1"/>
    <w:next w:val="1"/>
    <w:qFormat/>
    <w:uiPriority w:val="0"/>
    <w:pPr>
      <w:ind w:left="2015"/>
      <w:outlineLvl w:val="2"/>
    </w:pPr>
    <w:rPr>
      <w:b/>
      <w:bCs/>
      <w:sz w:val="28"/>
      <w:szCs w:val="28"/>
    </w:rPr>
  </w:style>
  <w:style w:type="paragraph" w:styleId="5">
    <w:name w:val="heading 4"/>
    <w:basedOn w:val="1"/>
    <w:next w:val="1"/>
    <w:qFormat/>
    <w:uiPriority w:val="0"/>
    <w:pPr>
      <w:ind w:left="740"/>
      <w:outlineLvl w:val="3"/>
    </w:pPr>
    <w:rPr>
      <w:b/>
      <w:bCs/>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val="0"/>
      <w:ind w:firstLine="420" w:firstLineChars="200"/>
      <w:jc w:val="both"/>
    </w:pPr>
    <w:rPr>
      <w:rFonts w:ascii="Calibri" w:hAnsi="Calibri" w:eastAsia="仿宋" w:cs="宋体"/>
      <w:kern w:val="2"/>
      <w:sz w:val="32"/>
      <w:lang w:eastAsia="zh-CN"/>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w:basedOn w:val="1"/>
    <w:next w:val="1"/>
    <w:qFormat/>
    <w:uiPriority w:val="0"/>
    <w:pPr>
      <w:ind w:left="320"/>
    </w:pPr>
    <w:rPr>
      <w:rFonts w:ascii="Times New Roman" w:hAnsi="Times New Roman" w:cs="Times New Roman"/>
      <w:sz w:val="24"/>
      <w:szCs w:val="24"/>
      <w:lang w:bidi="ar-SA"/>
    </w:rPr>
  </w:style>
  <w:style w:type="paragraph" w:styleId="9">
    <w:name w:val="Body Text Indent"/>
    <w:basedOn w:val="1"/>
    <w:next w:val="6"/>
    <w:qFormat/>
    <w:uiPriority w:val="0"/>
    <w:pPr>
      <w:spacing w:after="120"/>
      <w:ind w:left="200" w:leftChars="200"/>
      <w:jc w:val="both"/>
    </w:pPr>
    <w:rPr>
      <w:kern w:val="2"/>
      <w:sz w:val="21"/>
    </w:rPr>
  </w:style>
  <w:style w:type="paragraph" w:styleId="10">
    <w:name w:val="Plain Text"/>
    <w:basedOn w:val="1"/>
    <w:next w:val="11"/>
    <w:qFormat/>
    <w:uiPriority w:val="0"/>
    <w:pPr>
      <w:adjustRightInd w:val="0"/>
      <w:textAlignment w:val="baseline"/>
    </w:pPr>
    <w:rPr>
      <w:rFonts w:ascii="宋体" w:hAnsi="Courier New" w:eastAsia="宋体" w:cs="Times New Roman"/>
      <w:kern w:val="0"/>
      <w:sz w:val="20"/>
      <w:szCs w:val="20"/>
    </w:rPr>
  </w:style>
  <w:style w:type="paragraph" w:styleId="11">
    <w:name w:val="index 7"/>
    <w:basedOn w:val="1"/>
    <w:next w:val="1"/>
    <w:unhideWhenUsed/>
    <w:qFormat/>
    <w:uiPriority w:val="99"/>
    <w:pPr>
      <w:ind w:left="1200" w:leftChars="1200"/>
    </w:p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qFormat/>
    <w:uiPriority w:val="0"/>
    <w:pPr>
      <w:spacing w:line="440" w:lineRule="exact"/>
      <w:ind w:firstLine="300"/>
    </w:pPr>
    <w:rPr>
      <w:rFonts w:ascii="Calibri" w:hAnsi="Calibri" w:eastAsia="宋体" w:cs="Calibri"/>
      <w:smallCaps/>
      <w:sz w:val="20"/>
      <w:szCs w:val="20"/>
    </w:rPr>
  </w:style>
  <w:style w:type="paragraph" w:styleId="15">
    <w:name w:val="Body Text 2"/>
    <w:basedOn w:val="1"/>
    <w:next w:val="8"/>
    <w:qFormat/>
    <w:uiPriority w:val="0"/>
    <w:rPr>
      <w:rFonts w:ascii="宋体" w:hAnsi="宋体" w:eastAsia="宋体" w:cs="Arial"/>
      <w:b/>
      <w:kern w:val="0"/>
      <w:sz w:val="28"/>
      <w:szCs w:val="20"/>
    </w:rPr>
  </w:style>
  <w:style w:type="paragraph" w:styleId="1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4"/>
    <w:next w:val="1"/>
    <w:qFormat/>
    <w:uiPriority w:val="0"/>
    <w:pPr>
      <w:spacing w:before="240" w:after="60"/>
      <w:jc w:val="center"/>
      <w:outlineLvl w:val="0"/>
    </w:pPr>
    <w:rPr>
      <w:rFonts w:ascii="Cambria" w:hAnsi="Cambria" w:eastAsia="宋体" w:cs="Times New Roman"/>
      <w:b/>
      <w:bCs/>
      <w:kern w:val="2"/>
      <w:sz w:val="32"/>
      <w:szCs w:val="32"/>
    </w:rPr>
  </w:style>
  <w:style w:type="paragraph" w:styleId="18">
    <w:name w:val="Body Text First Indent"/>
    <w:basedOn w:val="8"/>
    <w:next w:val="1"/>
    <w:unhideWhenUsed/>
    <w:qFormat/>
    <w:uiPriority w:val="99"/>
    <w:pPr>
      <w:ind w:firstLine="420" w:firstLineChars="100"/>
    </w:pPr>
  </w:style>
  <w:style w:type="paragraph" w:styleId="19">
    <w:name w:val="Body Text First Indent 2"/>
    <w:basedOn w:val="9"/>
    <w:next w:val="18"/>
    <w:qFormat/>
    <w:uiPriority w:val="0"/>
    <w:pPr>
      <w:ind w:firstLine="200" w:firstLineChars="200"/>
    </w:pPr>
  </w:style>
  <w:style w:type="table" w:styleId="21">
    <w:name w:val="Table Grid"/>
    <w:basedOn w:val="2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Table Paragraph"/>
    <w:basedOn w:val="1"/>
    <w:qFormat/>
    <w:uiPriority w:val="0"/>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b/>
      <w:bCs/>
      <w:sz w:val="28"/>
      <w:szCs w:val="20"/>
    </w:rPr>
  </w:style>
  <w:style w:type="paragraph" w:styleId="38">
    <w:name w:val="List Paragraph"/>
    <w:basedOn w:val="1"/>
    <w:qFormat/>
    <w:uiPriority w:val="0"/>
    <w:pPr>
      <w:ind w:left="320" w:firstLine="420"/>
    </w:pPr>
  </w:style>
  <w:style w:type="paragraph" w:customStyle="1" w:styleId="39">
    <w:name w:val="Default"/>
    <w:basedOn w:val="17"/>
    <w:next w:val="4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正文 A"/>
    <w:next w:val="39"/>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41">
    <w:name w:val="TOC 标题1"/>
    <w:basedOn w:val="2"/>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42">
    <w:name w:val="style4"/>
    <w:basedOn w:val="1"/>
    <w:next w:val="43"/>
    <w:qFormat/>
    <w:uiPriority w:val="0"/>
    <w:pPr>
      <w:widowControl/>
      <w:spacing w:before="280" w:after="280"/>
    </w:pPr>
    <w:rPr>
      <w:rFonts w:ascii="宋体"/>
      <w:sz w:val="18"/>
    </w:rPr>
  </w:style>
  <w:style w:type="paragraph" w:customStyle="1" w:styleId="4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4">
    <w:name w:val="layui-layer-tabnow"/>
    <w:basedOn w:val="22"/>
    <w:qFormat/>
    <w:uiPriority w:val="0"/>
    <w:rPr>
      <w:bdr w:val="single" w:color="CCCCCC" w:sz="6" w:space="0"/>
      <w:shd w:val="clear" w:fill="FFFFFF"/>
    </w:rPr>
  </w:style>
  <w:style w:type="character" w:customStyle="1" w:styleId="45">
    <w:name w:val="first-child"/>
    <w:basedOn w:val="22"/>
    <w:qFormat/>
    <w:uiPriority w:val="0"/>
  </w:style>
  <w:style w:type="character" w:customStyle="1" w:styleId="46">
    <w:name w:val="hover"/>
    <w:basedOn w:val="22"/>
    <w:qFormat/>
    <w:uiPriority w:val="0"/>
    <w:rPr>
      <w:color w:val="2590EB"/>
    </w:rPr>
  </w:style>
  <w:style w:type="character" w:customStyle="1" w:styleId="47">
    <w:name w:val="hover1"/>
    <w:basedOn w:val="22"/>
    <w:qFormat/>
    <w:uiPriority w:val="0"/>
  </w:style>
  <w:style w:type="character" w:customStyle="1" w:styleId="48">
    <w:name w:val="hover2"/>
    <w:basedOn w:val="22"/>
    <w:qFormat/>
    <w:uiPriority w:val="0"/>
    <w:rPr>
      <w:color w:val="2590EB"/>
    </w:rPr>
  </w:style>
  <w:style w:type="character" w:customStyle="1" w:styleId="49">
    <w:name w:val="mini-outputtext1"/>
    <w:basedOn w:val="22"/>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14065</Words>
  <Characters>15154</Characters>
  <Lines>0</Lines>
  <Paragraphs>0</Paragraphs>
  <TotalTime>0</TotalTime>
  <ScaleCrop>false</ScaleCrop>
  <LinksUpToDate>false</LinksUpToDate>
  <CharactersWithSpaces>15272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2025-09-08T07:30:00Z</dcterms:created>
  <dc:creator>   </dc:creator>
  <cp:lastModifiedBy>   </cp:lastModifiedBy>
  <cp:lastPrinted>2025-09-09T03:49:00Z</cp:lastPrinted>
  <dcterms:modified xsi:type="dcterms:W3CDTF">2025-09-09T09:25:31Z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0DED221E35D8474B9BDE31830CB1F840_13</vt:lpwstr>
  </property>
  <property fmtid="{D5CDD505-2E9C-101B-9397-08002B2CF9AE}" pid="4" name="KSOTemplateDocerSaveRecord">
    <vt:lpwstr>eyJoZGlkIjoiNDk3ZTc3ZjM3N2JiYjQzOWYzZTAyNGVlMjZkNDRlNTEiLCJ1c2VySWQiOiIyNzg2OTg5ODIifQ==</vt:lpwstr>
  </property>
</Properties>
</file>