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E0194">
      <w:pPr>
        <w:pageBreakBefore w:val="0"/>
        <w:kinsoku/>
        <w:overflowPunct/>
        <w:topLinePunct w:val="0"/>
        <w:bidi w:val="0"/>
        <w:spacing w:line="560" w:lineRule="exact"/>
        <w:jc w:val="center"/>
        <w:outlineLvl w:val="9"/>
        <w:rPr>
          <w:rFonts w:hint="eastAsia" w:ascii="宋体" w:hAnsi="宋体" w:eastAsia="宋体" w:cs="宋体"/>
          <w:b/>
          <w:color w:val="auto"/>
          <w:sz w:val="56"/>
          <w:szCs w:val="56"/>
          <w:highlight w:val="none"/>
        </w:rPr>
      </w:pPr>
    </w:p>
    <w:p w14:paraId="212801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宋体" w:hAnsi="宋体" w:eastAsia="宋体" w:cs="宋体"/>
          <w:b/>
          <w:bCs/>
          <w:i w:val="0"/>
          <w:iCs w:val="0"/>
          <w:caps w:val="0"/>
          <w:color w:val="auto"/>
          <w:spacing w:val="0"/>
          <w:sz w:val="48"/>
          <w:szCs w:val="48"/>
          <w:highlight w:val="none"/>
        </w:rPr>
      </w:pPr>
      <w:r>
        <w:rPr>
          <w:rFonts w:hint="eastAsia" w:ascii="宋体" w:hAnsi="宋体" w:eastAsia="宋体" w:cs="宋体"/>
          <w:b/>
          <w:bCs/>
          <w:i w:val="0"/>
          <w:iCs w:val="0"/>
          <w:caps w:val="0"/>
          <w:color w:val="auto"/>
          <w:spacing w:val="0"/>
          <w:sz w:val="48"/>
          <w:szCs w:val="48"/>
          <w:highlight w:val="none"/>
        </w:rPr>
        <w:t>三门峡市湖滨区师家渠村及周边棚户区改造（A地块）配</w:t>
      </w:r>
      <w:bookmarkStart w:id="615" w:name="_GoBack"/>
      <w:bookmarkEnd w:id="615"/>
      <w:r>
        <w:rPr>
          <w:rFonts w:hint="eastAsia" w:ascii="宋体" w:hAnsi="宋体" w:eastAsia="宋体" w:cs="宋体"/>
          <w:b/>
          <w:bCs/>
          <w:i w:val="0"/>
          <w:iCs w:val="0"/>
          <w:caps w:val="0"/>
          <w:color w:val="auto"/>
          <w:spacing w:val="0"/>
          <w:sz w:val="48"/>
          <w:szCs w:val="48"/>
          <w:highlight w:val="none"/>
        </w:rPr>
        <w:t>套管网基础设施建设</w:t>
      </w:r>
    </w:p>
    <w:p w14:paraId="2A828A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outlineLvl w:val="0"/>
        <w:rPr>
          <w:rFonts w:hint="eastAsia" w:ascii="宋体" w:hAnsi="宋体" w:eastAsia="宋体" w:cs="宋体"/>
          <w:b/>
          <w:bCs/>
          <w:i w:val="0"/>
          <w:iCs w:val="0"/>
          <w:caps w:val="0"/>
          <w:color w:val="auto"/>
          <w:spacing w:val="0"/>
          <w:sz w:val="48"/>
          <w:szCs w:val="48"/>
          <w:highlight w:val="none"/>
          <w:lang w:eastAsia="zh-CN"/>
        </w:rPr>
      </w:pPr>
      <w:bookmarkStart w:id="0" w:name="_Toc9722"/>
      <w:bookmarkStart w:id="1" w:name="_Toc8021"/>
      <w:bookmarkStart w:id="2" w:name="_Toc4192"/>
      <w:r>
        <w:rPr>
          <w:rFonts w:hint="eastAsia" w:ascii="宋体" w:hAnsi="宋体" w:eastAsia="宋体" w:cs="宋体"/>
          <w:b/>
          <w:bCs/>
          <w:i w:val="0"/>
          <w:iCs w:val="0"/>
          <w:caps w:val="0"/>
          <w:color w:val="auto"/>
          <w:spacing w:val="0"/>
          <w:sz w:val="48"/>
          <w:szCs w:val="48"/>
          <w:highlight w:val="none"/>
          <w:lang w:eastAsia="zh-CN"/>
        </w:rPr>
        <w:t>设计</w:t>
      </w:r>
      <w:r>
        <w:rPr>
          <w:rFonts w:hint="eastAsia" w:ascii="宋体" w:hAnsi="宋体" w:eastAsia="宋体" w:cs="宋体"/>
          <w:b/>
          <w:bCs/>
          <w:i w:val="0"/>
          <w:iCs w:val="0"/>
          <w:caps w:val="0"/>
          <w:color w:val="auto"/>
          <w:spacing w:val="0"/>
          <w:sz w:val="48"/>
          <w:szCs w:val="48"/>
          <w:highlight w:val="none"/>
        </w:rPr>
        <w:t>项目</w:t>
      </w:r>
      <w:bookmarkEnd w:id="0"/>
      <w:bookmarkEnd w:id="1"/>
      <w:bookmarkEnd w:id="2"/>
    </w:p>
    <w:p w14:paraId="11D9F23C">
      <w:pPr>
        <w:rPr>
          <w:rFonts w:hint="eastAsia" w:ascii="宋体" w:hAnsi="宋体" w:eastAsia="宋体" w:cs="宋体"/>
          <w:b/>
          <w:bCs/>
          <w:i w:val="0"/>
          <w:iCs w:val="0"/>
          <w:caps w:val="0"/>
          <w:color w:val="auto"/>
          <w:spacing w:val="0"/>
          <w:sz w:val="36"/>
          <w:szCs w:val="36"/>
          <w:highlight w:val="none"/>
        </w:rPr>
      </w:pPr>
    </w:p>
    <w:p w14:paraId="3B9A691E">
      <w:pPr>
        <w:pStyle w:val="35"/>
        <w:rPr>
          <w:rFonts w:hint="eastAsia"/>
          <w:color w:val="auto"/>
          <w:highlight w:val="none"/>
        </w:rPr>
      </w:pPr>
    </w:p>
    <w:p w14:paraId="11FC5A65">
      <w:pPr>
        <w:pageBreakBefore w:val="0"/>
        <w:kinsoku/>
        <w:overflowPunct/>
        <w:topLinePunct w:val="0"/>
        <w:bidi w:val="0"/>
        <w:spacing w:line="480" w:lineRule="auto"/>
        <w:jc w:val="center"/>
        <w:outlineLvl w:val="0"/>
        <w:rPr>
          <w:rFonts w:hint="eastAsia" w:ascii="宋体" w:hAnsi="宋体" w:eastAsia="宋体" w:cs="宋体"/>
          <w:b/>
          <w:color w:val="auto"/>
          <w:sz w:val="72"/>
          <w:szCs w:val="72"/>
          <w:highlight w:val="none"/>
          <w:lang w:eastAsia="zh-CN"/>
        </w:rPr>
      </w:pPr>
      <w:bookmarkStart w:id="3" w:name="_Toc724"/>
      <w:bookmarkStart w:id="4" w:name="_Toc16585"/>
      <w:bookmarkStart w:id="5" w:name="_Toc15271"/>
      <w:bookmarkStart w:id="6" w:name="_Toc17313"/>
      <w:r>
        <w:rPr>
          <w:rFonts w:hint="eastAsia" w:ascii="宋体" w:hAnsi="宋体" w:eastAsia="宋体" w:cs="宋体"/>
          <w:b/>
          <w:color w:val="auto"/>
          <w:sz w:val="72"/>
          <w:szCs w:val="72"/>
          <w:highlight w:val="none"/>
          <w:lang w:eastAsia="zh-CN"/>
        </w:rPr>
        <w:t>竞争性磋商文件</w:t>
      </w:r>
      <w:bookmarkEnd w:id="3"/>
      <w:bookmarkEnd w:id="4"/>
      <w:bookmarkEnd w:id="5"/>
      <w:bookmarkEnd w:id="6"/>
    </w:p>
    <w:p w14:paraId="4A33C23A">
      <w:pPr>
        <w:pStyle w:val="35"/>
        <w:jc w:val="center"/>
        <w:rPr>
          <w:rFonts w:hint="eastAsia" w:hAnsi="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项目编号：</w:t>
      </w:r>
      <w:r>
        <w:rPr>
          <w:rFonts w:hint="eastAsia" w:hAnsi="宋体" w:cs="宋体"/>
          <w:b/>
          <w:bCs/>
          <w:color w:val="auto"/>
          <w:sz w:val="32"/>
          <w:szCs w:val="32"/>
          <w:highlight w:val="none"/>
          <w:lang w:eastAsia="zh-CN"/>
        </w:rPr>
        <w:t>湖滨竞磋采购</w:t>
      </w:r>
      <w:r>
        <w:rPr>
          <w:rFonts w:hint="eastAsia" w:hAnsi="宋体" w:cs="宋体"/>
          <w:b/>
          <w:bCs/>
          <w:color w:val="auto"/>
          <w:sz w:val="32"/>
          <w:szCs w:val="32"/>
          <w:highlight w:val="none"/>
          <w:lang w:val="en-US" w:eastAsia="zh-CN"/>
        </w:rPr>
        <w:t>-2025-25</w:t>
      </w:r>
    </w:p>
    <w:p w14:paraId="5D676D66">
      <w:pPr>
        <w:pStyle w:val="35"/>
        <w:jc w:val="center"/>
        <w:rPr>
          <w:rFonts w:hint="default" w:ascii="宋体" w:hAnsi="宋体" w:eastAsia="宋体" w:cs="宋体"/>
          <w:b/>
          <w:color w:val="auto"/>
          <w:sz w:val="32"/>
          <w:szCs w:val="32"/>
          <w:highlight w:val="none"/>
          <w:lang w:val="en-US" w:eastAsia="zh-CN"/>
        </w:rPr>
      </w:pPr>
      <w:r>
        <w:rPr>
          <w:rFonts w:hint="eastAsia" w:hAnsi="宋体" w:cs="宋体"/>
          <w:b/>
          <w:bCs/>
          <w:color w:val="auto"/>
          <w:sz w:val="32"/>
          <w:szCs w:val="32"/>
          <w:highlight w:val="none"/>
          <w:lang w:val="en-US" w:eastAsia="zh-CN"/>
        </w:rPr>
        <w:t xml:space="preserve">        SGZ[2025]444-ZC298</w:t>
      </w:r>
    </w:p>
    <w:p w14:paraId="1D24DDBE">
      <w:pPr>
        <w:pStyle w:val="35"/>
        <w:pageBreakBefore w:val="0"/>
        <w:kinsoku/>
        <w:overflowPunct/>
        <w:topLinePunct w:val="0"/>
        <w:bidi w:val="0"/>
        <w:outlineLvl w:val="9"/>
        <w:rPr>
          <w:rFonts w:hint="eastAsia"/>
          <w:color w:val="auto"/>
          <w:highlight w:val="none"/>
        </w:rPr>
      </w:pPr>
    </w:p>
    <w:p w14:paraId="2A648D55">
      <w:pPr>
        <w:pageBreakBefore w:val="0"/>
        <w:kinsoku/>
        <w:overflowPunct/>
        <w:topLinePunct w:val="0"/>
        <w:bidi w:val="0"/>
        <w:jc w:val="center"/>
        <w:outlineLvl w:val="9"/>
        <w:rPr>
          <w:rFonts w:hint="eastAsia" w:ascii="宋体" w:hAnsi="宋体" w:eastAsia="宋体" w:cs="宋体"/>
          <w:bCs/>
          <w:color w:val="auto"/>
          <w:sz w:val="28"/>
          <w:szCs w:val="28"/>
          <w:highlight w:val="none"/>
        </w:rPr>
      </w:pPr>
      <w:r>
        <w:rPr>
          <w:rFonts w:hint="eastAsia" w:ascii="宋体" w:hAnsi="宋体" w:eastAsia="宋体" w:cs="宋体"/>
          <w:b/>
          <w:bCs/>
          <w:color w:val="auto"/>
          <w:szCs w:val="10"/>
          <w:highlight w:val="none"/>
        </w:rPr>
        <w:drawing>
          <wp:inline distT="0" distB="0" distL="0" distR="0">
            <wp:extent cx="1968500" cy="2113915"/>
            <wp:effectExtent l="0" t="0" r="12700" b="6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8" cstate="print"/>
                    <a:srcRect/>
                    <a:stretch>
                      <a:fillRect/>
                    </a:stretch>
                  </pic:blipFill>
                  <pic:spPr>
                    <a:xfrm>
                      <a:off x="0" y="0"/>
                      <a:ext cx="1968500" cy="2113915"/>
                    </a:xfrm>
                    <a:prstGeom prst="rect">
                      <a:avLst/>
                    </a:prstGeom>
                    <a:noFill/>
                    <a:ln w="9525">
                      <a:noFill/>
                      <a:miter lim="800000"/>
                      <a:headEnd/>
                      <a:tailEnd/>
                    </a:ln>
                  </pic:spPr>
                </pic:pic>
              </a:graphicData>
            </a:graphic>
          </wp:inline>
        </w:drawing>
      </w:r>
    </w:p>
    <w:p w14:paraId="34A244BA">
      <w:pPr>
        <w:pageBreakBefore w:val="0"/>
        <w:kinsoku/>
        <w:overflowPunct/>
        <w:topLinePunct w:val="0"/>
        <w:bidi w:val="0"/>
        <w:outlineLvl w:val="9"/>
        <w:rPr>
          <w:rFonts w:hint="eastAsia" w:ascii="宋体" w:hAnsi="宋体" w:eastAsia="宋体" w:cs="宋体"/>
          <w:color w:val="auto"/>
          <w:sz w:val="28"/>
          <w:szCs w:val="28"/>
          <w:highlight w:val="none"/>
        </w:rPr>
      </w:pPr>
    </w:p>
    <w:p w14:paraId="1CAE78CA">
      <w:pPr>
        <w:pageBreakBefore w:val="0"/>
        <w:kinsoku/>
        <w:overflowPunct/>
        <w:topLinePunct w:val="0"/>
        <w:bidi w:val="0"/>
        <w:outlineLvl w:val="9"/>
        <w:rPr>
          <w:rFonts w:hint="eastAsia" w:ascii="宋体" w:hAnsi="宋体" w:eastAsia="宋体" w:cs="宋体"/>
          <w:color w:val="auto"/>
          <w:sz w:val="28"/>
          <w:szCs w:val="28"/>
          <w:highlight w:val="none"/>
        </w:rPr>
      </w:pPr>
    </w:p>
    <w:p w14:paraId="58602DF6">
      <w:pPr>
        <w:pageBreakBefore w:val="0"/>
        <w:kinsoku/>
        <w:overflowPunct/>
        <w:topLinePunct w:val="0"/>
        <w:bidi w:val="0"/>
        <w:outlineLvl w:val="9"/>
        <w:rPr>
          <w:rFonts w:hint="eastAsia" w:ascii="宋体" w:hAnsi="宋体" w:eastAsia="宋体" w:cs="宋体"/>
          <w:color w:val="auto"/>
          <w:sz w:val="28"/>
          <w:szCs w:val="28"/>
          <w:highlight w:val="none"/>
        </w:rPr>
      </w:pPr>
    </w:p>
    <w:p w14:paraId="632F9E87">
      <w:pPr>
        <w:pageBreakBefore w:val="0"/>
        <w:tabs>
          <w:tab w:val="left" w:pos="-1155"/>
          <w:tab w:val="left" w:pos="-1050"/>
        </w:tabs>
        <w:kinsoku/>
        <w:overflowPunct/>
        <w:topLinePunct w:val="0"/>
        <w:bidi w:val="0"/>
        <w:spacing w:line="360" w:lineRule="auto"/>
        <w:ind w:firstLine="1546" w:firstLineChars="500"/>
        <w:outlineLvl w:val="9"/>
        <w:rPr>
          <w:rFonts w:hint="eastAsia" w:ascii="宋体" w:hAnsi="宋体" w:cs="宋体" w:eastAsiaTheme="minorEastAsia"/>
          <w:b/>
          <w:color w:val="auto"/>
          <w:spacing w:val="-6"/>
          <w:sz w:val="32"/>
          <w:szCs w:val="32"/>
          <w:highlight w:val="none"/>
          <w:lang w:val="en-US" w:eastAsia="zh-CN"/>
        </w:rPr>
      </w:pPr>
      <w:r>
        <w:rPr>
          <w:rFonts w:hint="eastAsia" w:ascii="宋体" w:hAnsi="宋体" w:cs="宋体"/>
          <w:b/>
          <w:color w:val="auto"/>
          <w:spacing w:val="-6"/>
          <w:sz w:val="32"/>
          <w:szCs w:val="32"/>
          <w:highlight w:val="none"/>
        </w:rPr>
        <w:t>采购人：三门峡市湖滨区建设局</w:t>
      </w:r>
      <w:r>
        <w:rPr>
          <w:rFonts w:hint="eastAsia" w:ascii="宋体" w:hAnsi="宋体" w:cs="宋体"/>
          <w:b/>
          <w:color w:val="auto"/>
          <w:spacing w:val="-6"/>
          <w:sz w:val="32"/>
          <w:szCs w:val="32"/>
          <w:highlight w:val="none"/>
          <w:lang w:eastAsia="zh-CN"/>
        </w:rPr>
        <w:t xml:space="preserve"> </w:t>
      </w:r>
    </w:p>
    <w:p w14:paraId="0944C896">
      <w:pPr>
        <w:pageBreakBefore w:val="0"/>
        <w:tabs>
          <w:tab w:val="left" w:pos="-1155"/>
          <w:tab w:val="left" w:pos="-1050"/>
        </w:tabs>
        <w:kinsoku/>
        <w:overflowPunct/>
        <w:topLinePunct w:val="0"/>
        <w:bidi w:val="0"/>
        <w:spacing w:line="360" w:lineRule="auto"/>
        <w:ind w:firstLine="1546" w:firstLineChars="500"/>
        <w:outlineLvl w:val="9"/>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采购代理机构：河南恒泽顺工程管理有限公司</w:t>
      </w:r>
    </w:p>
    <w:p w14:paraId="311100FD">
      <w:pPr>
        <w:pageBreakBefore w:val="0"/>
        <w:tabs>
          <w:tab w:val="left" w:pos="-1155"/>
          <w:tab w:val="left" w:pos="-1050"/>
        </w:tabs>
        <w:kinsoku/>
        <w:overflowPunct/>
        <w:topLinePunct w:val="0"/>
        <w:bidi w:val="0"/>
        <w:spacing w:line="360" w:lineRule="auto"/>
        <w:ind w:firstLine="1546" w:firstLineChars="500"/>
        <w:outlineLvl w:val="9"/>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日</w:t>
      </w:r>
      <w:r>
        <w:rPr>
          <w:rFonts w:hint="eastAsia" w:ascii="宋体" w:hAnsi="宋体" w:cs="宋体"/>
          <w:b/>
          <w:color w:val="auto"/>
          <w:spacing w:val="-6"/>
          <w:sz w:val="32"/>
          <w:szCs w:val="32"/>
          <w:highlight w:val="none"/>
          <w:lang w:val="en-US" w:eastAsia="zh-CN"/>
        </w:rPr>
        <w:t xml:space="preserve">  </w:t>
      </w:r>
      <w:r>
        <w:rPr>
          <w:rFonts w:hint="eastAsia" w:ascii="宋体" w:hAnsi="宋体" w:cs="宋体"/>
          <w:b/>
          <w:color w:val="auto"/>
          <w:spacing w:val="-6"/>
          <w:sz w:val="32"/>
          <w:szCs w:val="32"/>
          <w:highlight w:val="none"/>
        </w:rPr>
        <w:t>期</w:t>
      </w:r>
      <w:r>
        <w:rPr>
          <w:rFonts w:hint="eastAsia" w:ascii="宋体" w:hAnsi="宋体" w:cs="宋体"/>
          <w:b/>
          <w:color w:val="auto"/>
          <w:spacing w:val="-6"/>
          <w:sz w:val="32"/>
          <w:szCs w:val="32"/>
          <w:highlight w:val="none"/>
          <w:lang w:eastAsia="zh-CN"/>
        </w:rPr>
        <w:t>：</w:t>
      </w:r>
      <w:r>
        <w:rPr>
          <w:rFonts w:hint="eastAsia" w:ascii="宋体" w:hAnsi="宋体" w:cs="宋体"/>
          <w:b/>
          <w:color w:val="auto"/>
          <w:spacing w:val="-6"/>
          <w:sz w:val="32"/>
          <w:szCs w:val="32"/>
          <w:highlight w:val="none"/>
        </w:rPr>
        <w:t>二○二</w:t>
      </w:r>
      <w:r>
        <w:rPr>
          <w:rFonts w:hint="eastAsia" w:ascii="宋体" w:hAnsi="宋体" w:cs="宋体"/>
          <w:b/>
          <w:color w:val="auto"/>
          <w:spacing w:val="-6"/>
          <w:sz w:val="32"/>
          <w:szCs w:val="32"/>
          <w:highlight w:val="none"/>
          <w:lang w:val="en-US" w:eastAsia="zh-CN"/>
        </w:rPr>
        <w:t>五</w:t>
      </w:r>
      <w:r>
        <w:rPr>
          <w:rFonts w:hint="eastAsia" w:ascii="宋体" w:hAnsi="宋体" w:cs="宋体"/>
          <w:b/>
          <w:color w:val="auto"/>
          <w:spacing w:val="-6"/>
          <w:sz w:val="32"/>
          <w:szCs w:val="32"/>
          <w:highlight w:val="none"/>
        </w:rPr>
        <w:t>年</w:t>
      </w:r>
      <w:r>
        <w:rPr>
          <w:rFonts w:hint="eastAsia" w:ascii="宋体" w:hAnsi="宋体" w:cs="宋体"/>
          <w:b/>
          <w:color w:val="auto"/>
          <w:spacing w:val="-6"/>
          <w:sz w:val="32"/>
          <w:szCs w:val="32"/>
          <w:highlight w:val="none"/>
          <w:lang w:eastAsia="zh-CN"/>
        </w:rPr>
        <w:t>十</w:t>
      </w:r>
      <w:r>
        <w:rPr>
          <w:rFonts w:hint="eastAsia" w:ascii="宋体" w:hAnsi="宋体" w:cs="宋体"/>
          <w:b/>
          <w:color w:val="auto"/>
          <w:spacing w:val="-6"/>
          <w:sz w:val="32"/>
          <w:szCs w:val="32"/>
          <w:highlight w:val="none"/>
        </w:rPr>
        <w:t>月</w:t>
      </w:r>
    </w:p>
    <w:p w14:paraId="17FADBDF">
      <w:pPr>
        <w:pageBreakBefore w:val="0"/>
        <w:shd w:val="solid" w:color="FFFFFF" w:fill="auto"/>
        <w:kinsoku/>
        <w:overflowPunct/>
        <w:topLinePunct w:val="0"/>
        <w:autoSpaceDN w:val="0"/>
        <w:bidi w:val="0"/>
        <w:spacing w:line="360" w:lineRule="auto"/>
        <w:jc w:val="both"/>
        <w:outlineLvl w:val="9"/>
        <w:rPr>
          <w:rFonts w:ascii="宋体" w:hAnsi="宋体" w:cs="宋体"/>
          <w:b/>
          <w:color w:val="auto"/>
          <w:sz w:val="32"/>
          <w:szCs w:val="32"/>
          <w:highlight w:val="none"/>
        </w:rPr>
        <w:sectPr>
          <w:footerReference r:id="rId3" w:type="default"/>
          <w:pgSz w:w="11907" w:h="16840"/>
          <w:pgMar w:top="1587" w:right="1531" w:bottom="1587" w:left="1531" w:header="851" w:footer="992" w:gutter="0"/>
          <w:pgNumType w:start="1"/>
          <w:cols w:space="720" w:num="1"/>
          <w:docGrid w:linePitch="312" w:charSpace="0"/>
        </w:sectPr>
      </w:pPr>
    </w:p>
    <w:sdt>
      <w:sdtPr>
        <w:rPr>
          <w:rFonts w:ascii="宋体" w:hAnsi="宋体" w:eastAsia="宋体" w:cstheme="minorBidi"/>
          <w:color w:val="auto"/>
          <w:kern w:val="2"/>
          <w:sz w:val="32"/>
          <w:szCs w:val="32"/>
          <w:highlight w:val="none"/>
          <w:lang w:val="en-US" w:eastAsia="zh-CN" w:bidi="ar-SA"/>
        </w:rPr>
        <w:id w:val="147467067"/>
        <w15:color w:val="DBDBDB"/>
        <w:docPartObj>
          <w:docPartGallery w:val="Table of Contents"/>
          <w:docPartUnique/>
        </w:docPartObj>
      </w:sdtPr>
      <w:sdtEndPr>
        <w:rPr>
          <w:rFonts w:hint="eastAsia" w:ascii="宋体" w:hAnsi="宋体" w:eastAsia="宋体" w:cs="宋体"/>
          <w:color w:val="auto"/>
          <w:kern w:val="0"/>
          <w:sz w:val="32"/>
          <w:szCs w:val="32"/>
          <w:highlight w:val="none"/>
          <w:lang w:val="en-US" w:eastAsia="zh-CN" w:bidi="ar-SA"/>
        </w:rPr>
      </w:sdtEndPr>
      <w:sdtContent>
        <w:p w14:paraId="65C92B2C">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32"/>
              <w:szCs w:val="32"/>
              <w:highlight w:val="none"/>
              <w:lang w:val="en-US" w:eastAsia="zh-CN" w:bidi="ar-SA"/>
            </w:rPr>
          </w:pPr>
        </w:p>
        <w:p w14:paraId="3913B548">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32"/>
              <w:szCs w:val="32"/>
              <w:highlight w:val="none"/>
              <w:lang w:val="en-US" w:eastAsia="zh-CN" w:bidi="ar-SA"/>
            </w:rPr>
          </w:pPr>
        </w:p>
        <w:p w14:paraId="1D5617B7">
          <w:pPr>
            <w:spacing w:before="0" w:beforeLines="0" w:after="0" w:afterLines="0" w:line="240" w:lineRule="auto"/>
            <w:ind w:left="0" w:leftChars="0" w:right="0" w:rightChars="0" w:firstLine="0" w:firstLineChars="0"/>
            <w:jc w:val="center"/>
            <w:rPr>
              <w:color w:val="auto"/>
              <w:sz w:val="32"/>
              <w:szCs w:val="32"/>
              <w:highlight w:val="none"/>
            </w:rPr>
          </w:pPr>
          <w:r>
            <w:rPr>
              <w:rFonts w:ascii="宋体" w:hAnsi="宋体" w:eastAsia="宋体"/>
              <w:color w:val="auto"/>
              <w:sz w:val="32"/>
              <w:szCs w:val="32"/>
              <w:highlight w:val="none"/>
            </w:rPr>
            <w:t>目录</w:t>
          </w:r>
        </w:p>
        <w:p w14:paraId="58F981D7">
          <w:pPr>
            <w:pStyle w:val="15"/>
            <w:tabs>
              <w:tab w:val="right" w:leader="dot" w:pos="9072"/>
            </w:tabs>
            <w:rPr>
              <w:color w:val="auto"/>
              <w:highlight w:val="none"/>
            </w:rPr>
          </w:pPr>
          <w:r>
            <w:rPr>
              <w:rFonts w:hint="eastAsia" w:ascii="宋体" w:hAnsi="宋体" w:eastAsia="宋体" w:cs="宋体"/>
              <w:color w:val="auto"/>
              <w:kern w:val="0"/>
              <w:sz w:val="32"/>
              <w:szCs w:val="32"/>
              <w:highlight w:val="none"/>
            </w:rPr>
            <w:fldChar w:fldCharType="begin"/>
          </w:r>
          <w:r>
            <w:rPr>
              <w:rFonts w:hint="eastAsia" w:ascii="宋体" w:hAnsi="宋体" w:eastAsia="宋体" w:cs="宋体"/>
              <w:color w:val="auto"/>
              <w:kern w:val="0"/>
              <w:sz w:val="32"/>
              <w:szCs w:val="32"/>
              <w:highlight w:val="none"/>
            </w:rPr>
            <w:instrText xml:space="preserve">TOC \o "1-1" \h \u </w:instrText>
          </w:r>
          <w:r>
            <w:rPr>
              <w:rFonts w:hint="eastAsia" w:ascii="宋体" w:hAnsi="宋体" w:eastAsia="宋体" w:cs="宋体"/>
              <w:color w:val="auto"/>
              <w:kern w:val="0"/>
              <w:sz w:val="32"/>
              <w:szCs w:val="32"/>
              <w:highlight w:val="none"/>
            </w:rPr>
            <w:fldChar w:fldCharType="separate"/>
          </w:r>
        </w:p>
        <w:p w14:paraId="345D9FD2">
          <w:pPr>
            <w:pStyle w:val="15"/>
            <w:tabs>
              <w:tab w:val="right" w:leader="dot" w:pos="9072"/>
            </w:tabs>
            <w:rPr>
              <w:color w:val="auto"/>
              <w:sz w:val="32"/>
              <w:szCs w:val="36"/>
              <w:highlight w:val="none"/>
            </w:rPr>
          </w:pPr>
          <w:r>
            <w:rPr>
              <w:rFonts w:hint="eastAsia" w:ascii="宋体" w:hAnsi="宋体" w:eastAsia="宋体" w:cs="宋体"/>
              <w:color w:val="auto"/>
              <w:kern w:val="0"/>
              <w:sz w:val="32"/>
              <w:szCs w:val="48"/>
              <w:highlight w:val="none"/>
            </w:rPr>
            <w:fldChar w:fldCharType="begin"/>
          </w:r>
          <w:r>
            <w:rPr>
              <w:rFonts w:hint="eastAsia" w:ascii="宋体" w:hAnsi="宋体" w:eastAsia="宋体" w:cs="宋体"/>
              <w:color w:val="auto"/>
              <w:kern w:val="0"/>
              <w:sz w:val="32"/>
              <w:szCs w:val="48"/>
              <w:highlight w:val="none"/>
            </w:rPr>
            <w:instrText xml:space="preserve"> HYPERLINK \l _Toc19774 </w:instrText>
          </w:r>
          <w:r>
            <w:rPr>
              <w:rFonts w:hint="eastAsia" w:ascii="宋体" w:hAnsi="宋体" w:eastAsia="宋体" w:cs="宋体"/>
              <w:color w:val="auto"/>
              <w:kern w:val="0"/>
              <w:sz w:val="32"/>
              <w:szCs w:val="48"/>
              <w:highlight w:val="none"/>
            </w:rPr>
            <w:fldChar w:fldCharType="separate"/>
          </w:r>
          <w:r>
            <w:rPr>
              <w:rFonts w:hint="eastAsia"/>
              <w:bCs/>
              <w:color w:val="auto"/>
              <w:sz w:val="32"/>
              <w:szCs w:val="56"/>
              <w:highlight w:val="none"/>
            </w:rPr>
            <w:t>第一章</w:t>
          </w:r>
          <w:r>
            <w:rPr>
              <w:rFonts w:hint="eastAsia"/>
              <w:bCs/>
              <w:color w:val="auto"/>
              <w:sz w:val="32"/>
              <w:szCs w:val="56"/>
              <w:highlight w:val="none"/>
              <w:lang w:val="en-US" w:eastAsia="zh-CN"/>
            </w:rPr>
            <w:t xml:space="preserve">  </w:t>
          </w:r>
          <w:r>
            <w:rPr>
              <w:rFonts w:hint="eastAsia"/>
              <w:bCs/>
              <w:color w:val="auto"/>
              <w:sz w:val="32"/>
              <w:szCs w:val="56"/>
              <w:highlight w:val="none"/>
            </w:rPr>
            <w:t>竞争性磋商公告</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_Toc19774 \h </w:instrText>
          </w:r>
          <w:r>
            <w:rPr>
              <w:color w:val="auto"/>
              <w:sz w:val="32"/>
              <w:szCs w:val="36"/>
              <w:highlight w:val="none"/>
            </w:rPr>
            <w:fldChar w:fldCharType="separate"/>
          </w:r>
          <w:r>
            <w:rPr>
              <w:color w:val="auto"/>
              <w:sz w:val="32"/>
              <w:szCs w:val="36"/>
              <w:highlight w:val="none"/>
            </w:rPr>
            <w:t>3</w:t>
          </w:r>
          <w:r>
            <w:rPr>
              <w:color w:val="auto"/>
              <w:sz w:val="32"/>
              <w:szCs w:val="36"/>
              <w:highlight w:val="none"/>
            </w:rPr>
            <w:fldChar w:fldCharType="end"/>
          </w:r>
          <w:r>
            <w:rPr>
              <w:rFonts w:hint="eastAsia" w:ascii="宋体" w:hAnsi="宋体" w:eastAsia="宋体" w:cs="宋体"/>
              <w:color w:val="auto"/>
              <w:kern w:val="0"/>
              <w:sz w:val="32"/>
              <w:szCs w:val="48"/>
              <w:highlight w:val="none"/>
            </w:rPr>
            <w:fldChar w:fldCharType="end"/>
          </w:r>
        </w:p>
        <w:p w14:paraId="52B3A33D">
          <w:pPr>
            <w:pStyle w:val="15"/>
            <w:tabs>
              <w:tab w:val="right" w:leader="dot" w:pos="9072"/>
            </w:tabs>
            <w:rPr>
              <w:color w:val="auto"/>
              <w:sz w:val="32"/>
              <w:szCs w:val="36"/>
              <w:highlight w:val="none"/>
            </w:rPr>
          </w:pPr>
          <w:r>
            <w:rPr>
              <w:rFonts w:hint="eastAsia" w:ascii="宋体" w:hAnsi="宋体" w:eastAsia="宋体" w:cs="宋体"/>
              <w:color w:val="auto"/>
              <w:kern w:val="0"/>
              <w:sz w:val="32"/>
              <w:szCs w:val="48"/>
              <w:highlight w:val="none"/>
            </w:rPr>
            <w:fldChar w:fldCharType="begin"/>
          </w:r>
          <w:r>
            <w:rPr>
              <w:rFonts w:hint="eastAsia" w:ascii="宋体" w:hAnsi="宋体" w:eastAsia="宋体" w:cs="宋体"/>
              <w:color w:val="auto"/>
              <w:kern w:val="0"/>
              <w:sz w:val="32"/>
              <w:szCs w:val="48"/>
              <w:highlight w:val="none"/>
            </w:rPr>
            <w:instrText xml:space="preserve"> HYPERLINK \l _Toc8976 </w:instrText>
          </w:r>
          <w:r>
            <w:rPr>
              <w:rFonts w:hint="eastAsia" w:ascii="宋体" w:hAnsi="宋体" w:eastAsia="宋体" w:cs="宋体"/>
              <w:color w:val="auto"/>
              <w:kern w:val="0"/>
              <w:sz w:val="32"/>
              <w:szCs w:val="48"/>
              <w:highlight w:val="none"/>
            </w:rPr>
            <w:fldChar w:fldCharType="separate"/>
          </w:r>
          <w:r>
            <w:rPr>
              <w:rFonts w:hint="eastAsia"/>
              <w:bCs/>
              <w:color w:val="auto"/>
              <w:sz w:val="32"/>
              <w:szCs w:val="56"/>
              <w:highlight w:val="none"/>
            </w:rPr>
            <w:t>第二章</w:t>
          </w:r>
          <w:r>
            <w:rPr>
              <w:rFonts w:hint="eastAsia"/>
              <w:bCs/>
              <w:color w:val="auto"/>
              <w:sz w:val="32"/>
              <w:szCs w:val="56"/>
              <w:highlight w:val="none"/>
              <w:lang w:val="en-US" w:eastAsia="zh-CN"/>
            </w:rPr>
            <w:t xml:space="preserve">  </w:t>
          </w:r>
          <w:r>
            <w:rPr>
              <w:rFonts w:hint="eastAsia"/>
              <w:bCs/>
              <w:color w:val="auto"/>
              <w:sz w:val="32"/>
              <w:szCs w:val="56"/>
              <w:highlight w:val="none"/>
              <w:lang w:eastAsia="zh-CN"/>
            </w:rPr>
            <w:t>供应商</w:t>
          </w:r>
          <w:r>
            <w:rPr>
              <w:rFonts w:hint="eastAsia"/>
              <w:bCs/>
              <w:color w:val="auto"/>
              <w:sz w:val="32"/>
              <w:szCs w:val="56"/>
              <w:highlight w:val="none"/>
            </w:rPr>
            <w:t>须知</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_Toc8976 \h </w:instrText>
          </w:r>
          <w:r>
            <w:rPr>
              <w:color w:val="auto"/>
              <w:sz w:val="32"/>
              <w:szCs w:val="36"/>
              <w:highlight w:val="none"/>
            </w:rPr>
            <w:fldChar w:fldCharType="separate"/>
          </w:r>
          <w:r>
            <w:rPr>
              <w:color w:val="auto"/>
              <w:sz w:val="32"/>
              <w:szCs w:val="36"/>
              <w:highlight w:val="none"/>
            </w:rPr>
            <w:t>7</w:t>
          </w:r>
          <w:r>
            <w:rPr>
              <w:color w:val="auto"/>
              <w:sz w:val="32"/>
              <w:szCs w:val="36"/>
              <w:highlight w:val="none"/>
            </w:rPr>
            <w:fldChar w:fldCharType="end"/>
          </w:r>
          <w:r>
            <w:rPr>
              <w:rFonts w:hint="eastAsia" w:ascii="宋体" w:hAnsi="宋体" w:eastAsia="宋体" w:cs="宋体"/>
              <w:color w:val="auto"/>
              <w:kern w:val="0"/>
              <w:sz w:val="32"/>
              <w:szCs w:val="48"/>
              <w:highlight w:val="none"/>
            </w:rPr>
            <w:fldChar w:fldCharType="end"/>
          </w:r>
        </w:p>
        <w:p w14:paraId="2BD47CD2">
          <w:pPr>
            <w:pStyle w:val="15"/>
            <w:tabs>
              <w:tab w:val="right" w:leader="dot" w:pos="9072"/>
            </w:tabs>
            <w:rPr>
              <w:color w:val="auto"/>
              <w:sz w:val="32"/>
              <w:szCs w:val="36"/>
              <w:highlight w:val="none"/>
            </w:rPr>
          </w:pPr>
          <w:r>
            <w:rPr>
              <w:rFonts w:hint="eastAsia" w:ascii="宋体" w:hAnsi="宋体" w:eastAsia="宋体" w:cs="宋体"/>
              <w:color w:val="auto"/>
              <w:kern w:val="0"/>
              <w:sz w:val="32"/>
              <w:szCs w:val="48"/>
              <w:highlight w:val="none"/>
            </w:rPr>
            <w:fldChar w:fldCharType="begin"/>
          </w:r>
          <w:r>
            <w:rPr>
              <w:rFonts w:hint="eastAsia" w:ascii="宋体" w:hAnsi="宋体" w:eastAsia="宋体" w:cs="宋体"/>
              <w:color w:val="auto"/>
              <w:kern w:val="0"/>
              <w:sz w:val="32"/>
              <w:szCs w:val="48"/>
              <w:highlight w:val="none"/>
            </w:rPr>
            <w:instrText xml:space="preserve"> HYPERLINK \l _Toc16201 </w:instrText>
          </w:r>
          <w:r>
            <w:rPr>
              <w:rFonts w:hint="eastAsia" w:ascii="宋体" w:hAnsi="宋体" w:eastAsia="宋体" w:cs="宋体"/>
              <w:color w:val="auto"/>
              <w:kern w:val="0"/>
              <w:sz w:val="32"/>
              <w:szCs w:val="48"/>
              <w:highlight w:val="none"/>
            </w:rPr>
            <w:fldChar w:fldCharType="separate"/>
          </w:r>
          <w:r>
            <w:rPr>
              <w:rFonts w:hint="eastAsia"/>
              <w:bCs/>
              <w:color w:val="auto"/>
              <w:sz w:val="32"/>
              <w:szCs w:val="56"/>
              <w:highlight w:val="none"/>
            </w:rPr>
            <w:t>第</w:t>
          </w:r>
          <w:r>
            <w:rPr>
              <w:rFonts w:hint="eastAsia"/>
              <w:bCs/>
              <w:color w:val="auto"/>
              <w:sz w:val="32"/>
              <w:szCs w:val="56"/>
              <w:highlight w:val="none"/>
              <w:lang w:val="en-US" w:eastAsia="zh-CN"/>
            </w:rPr>
            <w:t>三</w:t>
          </w:r>
          <w:r>
            <w:rPr>
              <w:rFonts w:hint="eastAsia"/>
              <w:bCs/>
              <w:color w:val="auto"/>
              <w:sz w:val="32"/>
              <w:szCs w:val="56"/>
              <w:highlight w:val="none"/>
            </w:rPr>
            <w:t>章  评标办法（综合评</w:t>
          </w:r>
          <w:r>
            <w:rPr>
              <w:rFonts w:hint="eastAsia"/>
              <w:bCs/>
              <w:color w:val="auto"/>
              <w:sz w:val="32"/>
              <w:szCs w:val="56"/>
              <w:highlight w:val="none"/>
              <w:lang w:val="en-US" w:eastAsia="zh-CN"/>
            </w:rPr>
            <w:t>分</w:t>
          </w:r>
          <w:r>
            <w:rPr>
              <w:rFonts w:hint="eastAsia"/>
              <w:bCs/>
              <w:color w:val="auto"/>
              <w:sz w:val="32"/>
              <w:szCs w:val="56"/>
              <w:highlight w:val="none"/>
            </w:rPr>
            <w:t>法）</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_Toc16201 \h </w:instrText>
          </w:r>
          <w:r>
            <w:rPr>
              <w:color w:val="auto"/>
              <w:sz w:val="32"/>
              <w:szCs w:val="36"/>
              <w:highlight w:val="none"/>
            </w:rPr>
            <w:fldChar w:fldCharType="separate"/>
          </w:r>
          <w:r>
            <w:rPr>
              <w:color w:val="auto"/>
              <w:sz w:val="32"/>
              <w:szCs w:val="36"/>
              <w:highlight w:val="none"/>
            </w:rPr>
            <w:t>23</w:t>
          </w:r>
          <w:r>
            <w:rPr>
              <w:color w:val="auto"/>
              <w:sz w:val="32"/>
              <w:szCs w:val="36"/>
              <w:highlight w:val="none"/>
            </w:rPr>
            <w:fldChar w:fldCharType="end"/>
          </w:r>
          <w:r>
            <w:rPr>
              <w:rFonts w:hint="eastAsia" w:ascii="宋体" w:hAnsi="宋体" w:eastAsia="宋体" w:cs="宋体"/>
              <w:color w:val="auto"/>
              <w:kern w:val="0"/>
              <w:sz w:val="32"/>
              <w:szCs w:val="48"/>
              <w:highlight w:val="none"/>
            </w:rPr>
            <w:fldChar w:fldCharType="end"/>
          </w:r>
        </w:p>
        <w:p w14:paraId="4752C2C5">
          <w:pPr>
            <w:pStyle w:val="15"/>
            <w:tabs>
              <w:tab w:val="right" w:leader="dot" w:pos="9072"/>
            </w:tabs>
            <w:rPr>
              <w:color w:val="auto"/>
              <w:sz w:val="32"/>
              <w:szCs w:val="36"/>
              <w:highlight w:val="none"/>
            </w:rPr>
          </w:pPr>
          <w:r>
            <w:rPr>
              <w:rFonts w:hint="eastAsia" w:ascii="宋体" w:hAnsi="宋体" w:eastAsia="宋体" w:cs="宋体"/>
              <w:color w:val="auto"/>
              <w:kern w:val="0"/>
              <w:sz w:val="32"/>
              <w:szCs w:val="48"/>
              <w:highlight w:val="none"/>
            </w:rPr>
            <w:fldChar w:fldCharType="begin"/>
          </w:r>
          <w:r>
            <w:rPr>
              <w:rFonts w:hint="eastAsia" w:ascii="宋体" w:hAnsi="宋体" w:eastAsia="宋体" w:cs="宋体"/>
              <w:color w:val="auto"/>
              <w:kern w:val="0"/>
              <w:sz w:val="32"/>
              <w:szCs w:val="48"/>
              <w:highlight w:val="none"/>
            </w:rPr>
            <w:instrText xml:space="preserve"> HYPERLINK \l _Toc19897 </w:instrText>
          </w:r>
          <w:r>
            <w:rPr>
              <w:rFonts w:hint="eastAsia" w:ascii="宋体" w:hAnsi="宋体" w:eastAsia="宋体" w:cs="宋体"/>
              <w:color w:val="auto"/>
              <w:kern w:val="0"/>
              <w:sz w:val="32"/>
              <w:szCs w:val="48"/>
              <w:highlight w:val="none"/>
            </w:rPr>
            <w:fldChar w:fldCharType="separate"/>
          </w:r>
          <w:r>
            <w:rPr>
              <w:rFonts w:hint="eastAsia"/>
              <w:bCs/>
              <w:color w:val="auto"/>
              <w:sz w:val="32"/>
              <w:szCs w:val="56"/>
              <w:highlight w:val="none"/>
              <w:lang w:val="en-US" w:eastAsia="zh-CN"/>
            </w:rPr>
            <w:t>第四章  设计规范</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_Toc19897 \h </w:instrText>
          </w:r>
          <w:r>
            <w:rPr>
              <w:color w:val="auto"/>
              <w:sz w:val="32"/>
              <w:szCs w:val="36"/>
              <w:highlight w:val="none"/>
            </w:rPr>
            <w:fldChar w:fldCharType="separate"/>
          </w:r>
          <w:r>
            <w:rPr>
              <w:color w:val="auto"/>
              <w:sz w:val="32"/>
              <w:szCs w:val="36"/>
              <w:highlight w:val="none"/>
            </w:rPr>
            <w:t>31</w:t>
          </w:r>
          <w:r>
            <w:rPr>
              <w:color w:val="auto"/>
              <w:sz w:val="32"/>
              <w:szCs w:val="36"/>
              <w:highlight w:val="none"/>
            </w:rPr>
            <w:fldChar w:fldCharType="end"/>
          </w:r>
          <w:r>
            <w:rPr>
              <w:rFonts w:hint="eastAsia" w:ascii="宋体" w:hAnsi="宋体" w:eastAsia="宋体" w:cs="宋体"/>
              <w:color w:val="auto"/>
              <w:kern w:val="0"/>
              <w:sz w:val="32"/>
              <w:szCs w:val="48"/>
              <w:highlight w:val="none"/>
            </w:rPr>
            <w:fldChar w:fldCharType="end"/>
          </w:r>
        </w:p>
        <w:p w14:paraId="6B426205">
          <w:pPr>
            <w:pStyle w:val="15"/>
            <w:tabs>
              <w:tab w:val="right" w:leader="dot" w:pos="9072"/>
            </w:tabs>
            <w:rPr>
              <w:color w:val="auto"/>
              <w:sz w:val="32"/>
              <w:szCs w:val="36"/>
              <w:highlight w:val="none"/>
            </w:rPr>
          </w:pPr>
          <w:r>
            <w:rPr>
              <w:rFonts w:hint="eastAsia" w:ascii="宋体" w:hAnsi="宋体" w:eastAsia="宋体" w:cs="宋体"/>
              <w:color w:val="auto"/>
              <w:kern w:val="0"/>
              <w:sz w:val="32"/>
              <w:szCs w:val="48"/>
              <w:highlight w:val="none"/>
            </w:rPr>
            <w:fldChar w:fldCharType="begin"/>
          </w:r>
          <w:r>
            <w:rPr>
              <w:rFonts w:hint="eastAsia" w:ascii="宋体" w:hAnsi="宋体" w:eastAsia="宋体" w:cs="宋体"/>
              <w:color w:val="auto"/>
              <w:kern w:val="0"/>
              <w:sz w:val="32"/>
              <w:szCs w:val="48"/>
              <w:highlight w:val="none"/>
            </w:rPr>
            <w:instrText xml:space="preserve"> HYPERLINK \l _Toc4546 </w:instrText>
          </w:r>
          <w:r>
            <w:rPr>
              <w:rFonts w:hint="eastAsia" w:ascii="宋体" w:hAnsi="宋体" w:eastAsia="宋体" w:cs="宋体"/>
              <w:color w:val="auto"/>
              <w:kern w:val="0"/>
              <w:sz w:val="32"/>
              <w:szCs w:val="48"/>
              <w:highlight w:val="none"/>
            </w:rPr>
            <w:fldChar w:fldCharType="separate"/>
          </w:r>
          <w:r>
            <w:rPr>
              <w:rFonts w:hint="eastAsia"/>
              <w:bCs/>
              <w:color w:val="auto"/>
              <w:sz w:val="32"/>
              <w:szCs w:val="56"/>
              <w:highlight w:val="none"/>
              <w:lang w:val="en-US" w:eastAsia="zh-CN"/>
            </w:rPr>
            <w:t>第五章  合同条款</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_Toc4546 \h </w:instrText>
          </w:r>
          <w:r>
            <w:rPr>
              <w:color w:val="auto"/>
              <w:sz w:val="32"/>
              <w:szCs w:val="36"/>
              <w:highlight w:val="none"/>
            </w:rPr>
            <w:fldChar w:fldCharType="separate"/>
          </w:r>
          <w:r>
            <w:rPr>
              <w:color w:val="auto"/>
              <w:sz w:val="32"/>
              <w:szCs w:val="36"/>
              <w:highlight w:val="none"/>
            </w:rPr>
            <w:t>32</w:t>
          </w:r>
          <w:r>
            <w:rPr>
              <w:color w:val="auto"/>
              <w:sz w:val="32"/>
              <w:szCs w:val="36"/>
              <w:highlight w:val="none"/>
            </w:rPr>
            <w:fldChar w:fldCharType="end"/>
          </w:r>
          <w:r>
            <w:rPr>
              <w:rFonts w:hint="eastAsia" w:ascii="宋体" w:hAnsi="宋体" w:eastAsia="宋体" w:cs="宋体"/>
              <w:color w:val="auto"/>
              <w:kern w:val="0"/>
              <w:sz w:val="32"/>
              <w:szCs w:val="48"/>
              <w:highlight w:val="none"/>
            </w:rPr>
            <w:fldChar w:fldCharType="end"/>
          </w:r>
        </w:p>
        <w:p w14:paraId="57E5763F">
          <w:pPr>
            <w:pStyle w:val="15"/>
            <w:tabs>
              <w:tab w:val="right" w:leader="dot" w:pos="9072"/>
            </w:tabs>
            <w:rPr>
              <w:color w:val="auto"/>
              <w:sz w:val="32"/>
              <w:szCs w:val="36"/>
              <w:highlight w:val="none"/>
            </w:rPr>
          </w:pPr>
          <w:r>
            <w:rPr>
              <w:rFonts w:hint="eastAsia" w:ascii="宋体" w:hAnsi="宋体" w:eastAsia="宋体" w:cs="宋体"/>
              <w:color w:val="auto"/>
              <w:kern w:val="0"/>
              <w:sz w:val="32"/>
              <w:szCs w:val="48"/>
              <w:highlight w:val="none"/>
            </w:rPr>
            <w:fldChar w:fldCharType="begin"/>
          </w:r>
          <w:r>
            <w:rPr>
              <w:rFonts w:hint="eastAsia" w:ascii="宋体" w:hAnsi="宋体" w:eastAsia="宋体" w:cs="宋体"/>
              <w:color w:val="auto"/>
              <w:kern w:val="0"/>
              <w:sz w:val="32"/>
              <w:szCs w:val="48"/>
              <w:highlight w:val="none"/>
            </w:rPr>
            <w:instrText xml:space="preserve"> HYPERLINK \l _Toc26446 </w:instrText>
          </w:r>
          <w:r>
            <w:rPr>
              <w:rFonts w:hint="eastAsia" w:ascii="宋体" w:hAnsi="宋体" w:eastAsia="宋体" w:cs="宋体"/>
              <w:color w:val="auto"/>
              <w:kern w:val="0"/>
              <w:sz w:val="32"/>
              <w:szCs w:val="48"/>
              <w:highlight w:val="none"/>
            </w:rPr>
            <w:fldChar w:fldCharType="separate"/>
          </w:r>
          <w:r>
            <w:rPr>
              <w:rFonts w:hint="eastAsia"/>
              <w:bCs/>
              <w:color w:val="auto"/>
              <w:sz w:val="32"/>
              <w:szCs w:val="56"/>
              <w:highlight w:val="none"/>
            </w:rPr>
            <w:t>第</w:t>
          </w:r>
          <w:r>
            <w:rPr>
              <w:rFonts w:hint="eastAsia"/>
              <w:bCs/>
              <w:color w:val="auto"/>
              <w:sz w:val="32"/>
              <w:szCs w:val="56"/>
              <w:highlight w:val="none"/>
              <w:lang w:val="en-US" w:eastAsia="zh-CN"/>
            </w:rPr>
            <w:t>六</w:t>
          </w:r>
          <w:r>
            <w:rPr>
              <w:rFonts w:hint="eastAsia"/>
              <w:bCs/>
              <w:color w:val="auto"/>
              <w:sz w:val="32"/>
              <w:szCs w:val="56"/>
              <w:highlight w:val="none"/>
            </w:rPr>
            <w:t>章  响应性文件格式</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_Toc26446 \h </w:instrText>
          </w:r>
          <w:r>
            <w:rPr>
              <w:color w:val="auto"/>
              <w:sz w:val="32"/>
              <w:szCs w:val="36"/>
              <w:highlight w:val="none"/>
            </w:rPr>
            <w:fldChar w:fldCharType="separate"/>
          </w:r>
          <w:r>
            <w:rPr>
              <w:color w:val="auto"/>
              <w:sz w:val="32"/>
              <w:szCs w:val="36"/>
              <w:highlight w:val="none"/>
            </w:rPr>
            <w:t>61</w:t>
          </w:r>
          <w:r>
            <w:rPr>
              <w:color w:val="auto"/>
              <w:sz w:val="32"/>
              <w:szCs w:val="36"/>
              <w:highlight w:val="none"/>
            </w:rPr>
            <w:fldChar w:fldCharType="end"/>
          </w:r>
          <w:r>
            <w:rPr>
              <w:rFonts w:hint="eastAsia" w:ascii="宋体" w:hAnsi="宋体" w:eastAsia="宋体" w:cs="宋体"/>
              <w:color w:val="auto"/>
              <w:kern w:val="0"/>
              <w:sz w:val="32"/>
              <w:szCs w:val="48"/>
              <w:highlight w:val="none"/>
            </w:rPr>
            <w:fldChar w:fldCharType="end"/>
          </w:r>
        </w:p>
        <w:p w14:paraId="60225E25">
          <w:pPr>
            <w:pStyle w:val="15"/>
            <w:tabs>
              <w:tab w:val="right" w:leader="dot" w:pos="9072"/>
            </w:tabs>
            <w:rPr>
              <w:color w:val="auto"/>
              <w:highlight w:val="none"/>
            </w:rPr>
          </w:pPr>
        </w:p>
        <w:p w14:paraId="3CEC368F">
          <w:pPr>
            <w:pageBreakBefore w:val="0"/>
            <w:kinsoku/>
            <w:overflowPunct/>
            <w:topLinePunct w:val="0"/>
            <w:bidi w:val="0"/>
            <w:spacing w:line="480" w:lineRule="auto"/>
            <w:outlineLvl w:val="9"/>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szCs w:val="32"/>
              <w:highlight w:val="none"/>
            </w:rPr>
            <w:fldChar w:fldCharType="end"/>
          </w:r>
        </w:p>
      </w:sdtContent>
    </w:sdt>
    <w:p w14:paraId="353A62AC">
      <w:pPr>
        <w:pStyle w:val="18"/>
        <w:rPr>
          <w:rFonts w:hint="eastAsia"/>
          <w:color w:val="auto"/>
          <w:highlight w:val="none"/>
        </w:rPr>
      </w:pPr>
    </w:p>
    <w:p w14:paraId="50EBD6FA">
      <w:pPr>
        <w:pageBreakBefore w:val="0"/>
        <w:kinsoku/>
        <w:overflowPunct/>
        <w:topLinePunct w:val="0"/>
        <w:bidi w:val="0"/>
        <w:spacing w:line="360" w:lineRule="auto"/>
        <w:outlineLvl w:val="9"/>
        <w:rPr>
          <w:rFonts w:hint="eastAsia" w:ascii="宋体" w:hAnsi="宋体" w:eastAsia="宋体" w:cs="宋体"/>
          <w:b/>
          <w:color w:val="auto"/>
          <w:sz w:val="28"/>
          <w:szCs w:val="28"/>
          <w:highlight w:val="none"/>
        </w:rPr>
      </w:pPr>
    </w:p>
    <w:p w14:paraId="707A4633">
      <w:pPr>
        <w:pageBreakBefore w:val="0"/>
        <w:kinsoku/>
        <w:overflowPunct/>
        <w:topLinePunct w:val="0"/>
        <w:bidi w:val="0"/>
        <w:outlineLvl w:val="9"/>
        <w:rPr>
          <w:rFonts w:hint="eastAsia"/>
          <w:color w:val="auto"/>
          <w:highlight w:val="none"/>
        </w:rPr>
        <w:sectPr>
          <w:footerReference r:id="rId4" w:type="default"/>
          <w:pgSz w:w="11906" w:h="16838"/>
          <w:pgMar w:top="1247" w:right="1417" w:bottom="1134" w:left="1417" w:header="851" w:footer="992" w:gutter="0"/>
          <w:cols w:space="720" w:num="1"/>
          <w:docGrid w:type="lines" w:linePitch="312" w:charSpace="0"/>
        </w:sectPr>
      </w:pPr>
      <w:bookmarkStart w:id="7" w:name="_Toc69718831"/>
      <w:bookmarkEnd w:id="7"/>
      <w:bookmarkStart w:id="8" w:name="_Toc28061"/>
    </w:p>
    <w:p w14:paraId="336F0FF4">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color w:val="auto"/>
          <w:sz w:val="36"/>
          <w:szCs w:val="40"/>
          <w:highlight w:val="none"/>
        </w:rPr>
      </w:pPr>
      <w:bookmarkStart w:id="9" w:name="_Toc3955"/>
      <w:bookmarkStart w:id="10" w:name="_Toc19774"/>
      <w:r>
        <w:rPr>
          <w:rFonts w:hint="eastAsia"/>
          <w:b/>
          <w:bCs/>
          <w:color w:val="auto"/>
          <w:sz w:val="36"/>
          <w:szCs w:val="40"/>
          <w:highlight w:val="none"/>
        </w:rPr>
        <w:t>第一章</w:t>
      </w:r>
      <w:r>
        <w:rPr>
          <w:rFonts w:hint="eastAsia"/>
          <w:b/>
          <w:bCs/>
          <w:color w:val="auto"/>
          <w:sz w:val="36"/>
          <w:szCs w:val="40"/>
          <w:highlight w:val="none"/>
          <w:lang w:val="en-US" w:eastAsia="zh-CN"/>
        </w:rPr>
        <w:t xml:space="preserve">  </w:t>
      </w:r>
      <w:r>
        <w:rPr>
          <w:rFonts w:hint="eastAsia"/>
          <w:b/>
          <w:bCs/>
          <w:color w:val="auto"/>
          <w:sz w:val="36"/>
          <w:szCs w:val="40"/>
          <w:highlight w:val="none"/>
        </w:rPr>
        <w:t>竞争性磋商公告</w:t>
      </w:r>
      <w:bookmarkEnd w:id="8"/>
      <w:bookmarkEnd w:id="9"/>
      <w:bookmarkEnd w:id="10"/>
    </w:p>
    <w:p w14:paraId="19A3CA91">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三门峡市湖滨区师家渠村及周边棚户区改造（A地块）配套管网基础设施建设设计项目，</w:t>
      </w:r>
      <w:r>
        <w:rPr>
          <w:rFonts w:hint="eastAsia" w:ascii="宋体" w:hAnsi="宋体" w:eastAsia="宋体" w:cs="宋体"/>
          <w:color w:val="auto"/>
          <w:sz w:val="24"/>
          <w:szCs w:val="24"/>
          <w:highlight w:val="none"/>
        </w:rPr>
        <w:t>资金来源为</w:t>
      </w:r>
      <w:r>
        <w:rPr>
          <w:rFonts w:hint="eastAsia" w:ascii="宋体" w:hAnsi="宋体" w:eastAsia="宋体" w:cs="宋体"/>
          <w:color w:val="auto"/>
          <w:sz w:val="24"/>
          <w:szCs w:val="24"/>
          <w:highlight w:val="none"/>
          <w:lang w:eastAsia="zh-CN"/>
        </w:rPr>
        <w:t>财政资金</w:t>
      </w:r>
      <w:r>
        <w:rPr>
          <w:rFonts w:hint="eastAsia" w:ascii="宋体" w:hAnsi="宋体" w:eastAsia="宋体" w:cs="宋体"/>
          <w:color w:val="auto"/>
          <w:sz w:val="24"/>
          <w:szCs w:val="24"/>
          <w:highlight w:val="none"/>
        </w:rPr>
        <w:t>，采购人为三门峡市湖滨区建设局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采购代理机构为</w:t>
      </w:r>
      <w:r>
        <w:rPr>
          <w:rFonts w:hint="eastAsia" w:ascii="宋体" w:hAnsi="宋体" w:eastAsia="宋体" w:cs="宋体"/>
          <w:color w:val="auto"/>
          <w:sz w:val="24"/>
          <w:szCs w:val="24"/>
          <w:highlight w:val="none"/>
          <w:lang w:eastAsia="zh-CN"/>
        </w:rPr>
        <w:t>河南恒泽顺工程管理有限公司</w:t>
      </w:r>
      <w:r>
        <w:rPr>
          <w:rFonts w:hint="eastAsia" w:ascii="宋体" w:hAnsi="宋体" w:eastAsia="宋体" w:cs="宋体"/>
          <w:color w:val="auto"/>
          <w:sz w:val="24"/>
          <w:szCs w:val="24"/>
          <w:highlight w:val="none"/>
        </w:rPr>
        <w:t>。项目已具备招标条件，现对该项目进行竞争性磋商。</w:t>
      </w:r>
    </w:p>
    <w:p w14:paraId="13616022">
      <w:pPr>
        <w:pageBreakBefore w:val="0"/>
        <w:kinsoku/>
        <w:overflowPunct/>
        <w:topLinePunct w:val="0"/>
        <w:bidi w:val="0"/>
        <w:spacing w:line="360" w:lineRule="auto"/>
        <w:ind w:firstLine="482" w:firstLineChars="200"/>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一、项目概况与磋商范围</w:t>
      </w:r>
    </w:p>
    <w:p w14:paraId="37A2A65B">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项目名称：三门峡市湖滨区师家渠村及周边棚户区改造（A地块）配套管网基础设施建设</w:t>
      </w:r>
      <w:r>
        <w:rPr>
          <w:rFonts w:hint="eastAsia" w:ascii="宋体" w:hAnsi="宋体" w:eastAsia="宋体" w:cs="宋体"/>
          <w:color w:val="auto"/>
          <w:sz w:val="24"/>
          <w:szCs w:val="24"/>
          <w:highlight w:val="none"/>
          <w:lang w:eastAsia="zh-CN"/>
        </w:rPr>
        <w:t>设计项目；</w:t>
      </w:r>
    </w:p>
    <w:p w14:paraId="4565DB5A">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项目编号：湖滨竞磋采购</w:t>
      </w:r>
      <w:r>
        <w:rPr>
          <w:rFonts w:hint="eastAsia" w:ascii="宋体" w:hAnsi="宋体" w:eastAsia="宋体" w:cs="宋体"/>
          <w:color w:val="auto"/>
          <w:sz w:val="24"/>
          <w:szCs w:val="24"/>
          <w:highlight w:val="none"/>
          <w:lang w:val="en-US" w:eastAsia="zh-CN"/>
        </w:rPr>
        <w:t>-2025-25、SGZ[2025]444-ZC298；</w:t>
      </w:r>
    </w:p>
    <w:p w14:paraId="08564989">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.采购内容：</w:t>
      </w:r>
      <w:r>
        <w:rPr>
          <w:rFonts w:hint="eastAsia" w:ascii="宋体" w:hAnsi="宋体" w:eastAsia="宋体" w:cs="宋体"/>
          <w:color w:val="auto"/>
          <w:sz w:val="24"/>
          <w:szCs w:val="24"/>
          <w:highlight w:val="none"/>
        </w:rPr>
        <w:t>三门峡市湖滨区师家渠村及周边棚户区改造（A地块）配套管网基础设施建设</w:t>
      </w:r>
      <w:r>
        <w:rPr>
          <w:rFonts w:hint="eastAsia" w:ascii="宋体" w:hAnsi="宋体" w:eastAsia="宋体" w:cs="宋体"/>
          <w:color w:val="auto"/>
          <w:sz w:val="24"/>
          <w:szCs w:val="24"/>
          <w:highlight w:val="none"/>
          <w:lang w:eastAsia="zh-CN"/>
        </w:rPr>
        <w:t>设计项目</w:t>
      </w:r>
      <w:r>
        <w:rPr>
          <w:rFonts w:hint="eastAsia" w:ascii="宋体" w:hAnsi="宋体" w:eastAsia="宋体" w:cs="宋体"/>
          <w:color w:val="auto"/>
          <w:sz w:val="24"/>
          <w:szCs w:val="24"/>
          <w:highlight w:val="none"/>
          <w:lang w:val="en-US" w:eastAsia="zh-CN"/>
        </w:rPr>
        <w:t>,总投资约1746万元，</w:t>
      </w:r>
      <w:r>
        <w:rPr>
          <w:rFonts w:hint="eastAsia" w:ascii="宋体" w:hAnsi="宋体" w:cs="宋体"/>
          <w:color w:val="auto"/>
          <w:sz w:val="24"/>
          <w:highlight w:val="none"/>
          <w:lang w:bidi="ar"/>
        </w:rPr>
        <w:t>设计的主要内容为</w:t>
      </w:r>
      <w:r>
        <w:rPr>
          <w:rFonts w:hint="eastAsia" w:ascii="宋体" w:hAnsi="宋体" w:eastAsia="宋体" w:cs="宋体"/>
          <w:b w:val="0"/>
          <w:bCs w:val="0"/>
          <w:color w:val="auto"/>
          <w:kern w:val="2"/>
          <w:sz w:val="24"/>
          <w:szCs w:val="24"/>
          <w:highlight w:val="none"/>
          <w:lang w:val="en-US" w:eastAsia="zh-CN" w:bidi="ar"/>
        </w:rPr>
        <w:t>更新改造、新建燃气管道、新建供水管道、新建排水管道、新建供热管道，</w:t>
      </w:r>
      <w:r>
        <w:rPr>
          <w:rFonts w:hint="eastAsia" w:ascii="宋体" w:hAnsi="宋体" w:cs="宋体"/>
          <w:color w:val="auto"/>
          <w:sz w:val="24"/>
          <w:highlight w:val="none"/>
          <w:lang w:val="en-US" w:eastAsia="zh-CN" w:bidi="ar"/>
        </w:rPr>
        <w:t>等改造内容</w:t>
      </w:r>
      <w:r>
        <w:rPr>
          <w:rFonts w:hint="eastAsia" w:ascii="宋体" w:hAnsi="宋体" w:cs="宋体"/>
          <w:color w:val="auto"/>
          <w:sz w:val="24"/>
          <w:highlight w:val="none"/>
          <w:lang w:eastAsia="zh-CN" w:bidi="ar"/>
        </w:rPr>
        <w:t>提供相关设计服务</w:t>
      </w:r>
      <w:r>
        <w:rPr>
          <w:rFonts w:hint="eastAsia" w:ascii="宋体" w:hAnsi="宋体" w:eastAsia="宋体" w:cs="宋体"/>
          <w:color w:val="auto"/>
          <w:sz w:val="24"/>
          <w:szCs w:val="24"/>
          <w:highlight w:val="none"/>
          <w:lang w:val="en-US" w:eastAsia="zh-CN"/>
        </w:rPr>
        <w:t>，具</w:t>
      </w:r>
      <w:r>
        <w:rPr>
          <w:rFonts w:hint="eastAsia" w:ascii="宋体" w:hAnsi="宋体" w:eastAsia="宋体"/>
          <w:color w:val="auto"/>
          <w:sz w:val="24"/>
          <w:szCs w:val="24"/>
          <w:highlight w:val="none"/>
        </w:rPr>
        <w:t>体要求详见竞争性磋商文件</w:t>
      </w:r>
      <w:r>
        <w:rPr>
          <w:rFonts w:hint="eastAsia" w:ascii="宋体" w:hAnsi="宋体" w:eastAsia="宋体" w:cs="宋体"/>
          <w:color w:val="auto"/>
          <w:sz w:val="24"/>
          <w:szCs w:val="24"/>
          <w:highlight w:val="none"/>
        </w:rPr>
        <w:t>；</w:t>
      </w:r>
    </w:p>
    <w:p w14:paraId="34D19A0D">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4.采购</w:t>
      </w:r>
      <w:r>
        <w:rPr>
          <w:rFonts w:ascii="宋体" w:hAnsi="宋体" w:cs="宋体"/>
          <w:color w:val="auto"/>
          <w:sz w:val="24"/>
          <w:highlight w:val="none"/>
          <w:lang w:bidi="ar"/>
        </w:rPr>
        <w:t>控制价</w:t>
      </w:r>
      <w:r>
        <w:rPr>
          <w:rFonts w:hint="eastAsia" w:ascii="宋体" w:hAnsi="宋体" w:cs="宋体"/>
          <w:color w:val="auto"/>
          <w:sz w:val="24"/>
          <w:highlight w:val="none"/>
          <w:lang w:bidi="ar"/>
        </w:rPr>
        <w:t>：实际设计内容的</w:t>
      </w:r>
      <w:r>
        <w:rPr>
          <w:rFonts w:hint="eastAsia" w:ascii="宋体" w:hAnsi="宋体" w:cs="宋体"/>
          <w:color w:val="auto"/>
          <w:sz w:val="24"/>
          <w:szCs w:val="28"/>
          <w:highlight w:val="none"/>
          <w:lang w:val="en-US" w:eastAsia="zh-CN"/>
        </w:rPr>
        <w:t>3.5</w:t>
      </w:r>
      <w:r>
        <w:rPr>
          <w:rFonts w:hint="eastAsia" w:ascii="宋体" w:hAnsi="宋体" w:cs="宋体"/>
          <w:color w:val="auto"/>
          <w:sz w:val="24"/>
          <w:szCs w:val="28"/>
          <w:highlight w:val="none"/>
        </w:rPr>
        <w:t>%</w:t>
      </w:r>
      <w:r>
        <w:rPr>
          <w:rFonts w:hint="eastAsia" w:ascii="宋体" w:hAnsi="宋体" w:eastAsia="宋体" w:cs="宋体"/>
          <w:color w:val="auto"/>
          <w:sz w:val="24"/>
          <w:szCs w:val="24"/>
          <w:highlight w:val="none"/>
          <w:lang w:eastAsia="zh-CN"/>
        </w:rPr>
        <w:t>；</w:t>
      </w:r>
    </w:p>
    <w:p w14:paraId="13FB6DC8">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资金来源</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eastAsia="zh-CN"/>
        </w:rPr>
        <w:t>财政资金</w:t>
      </w:r>
      <w:r>
        <w:rPr>
          <w:rFonts w:hint="eastAsia" w:ascii="宋体" w:hAnsi="宋体" w:eastAsia="宋体"/>
          <w:color w:val="auto"/>
          <w:sz w:val="24"/>
          <w:szCs w:val="24"/>
          <w:highlight w:val="none"/>
        </w:rPr>
        <w:t>，已落</w:t>
      </w:r>
      <w:r>
        <w:rPr>
          <w:rFonts w:hint="eastAsia" w:ascii="宋体" w:hAnsi="宋体" w:eastAsia="宋体" w:cs="宋体"/>
          <w:color w:val="auto"/>
          <w:sz w:val="24"/>
          <w:szCs w:val="24"/>
          <w:highlight w:val="none"/>
        </w:rPr>
        <w:t>实</w:t>
      </w:r>
      <w:r>
        <w:rPr>
          <w:rFonts w:hint="eastAsia" w:ascii="宋体" w:hAnsi="宋体" w:eastAsia="宋体" w:cs="宋体"/>
          <w:color w:val="auto"/>
          <w:sz w:val="24"/>
          <w:szCs w:val="24"/>
          <w:highlight w:val="none"/>
          <w:lang w:eastAsia="zh-CN"/>
        </w:rPr>
        <w:t>；</w:t>
      </w:r>
    </w:p>
    <w:p w14:paraId="6BC9A614">
      <w:pPr>
        <w:keepNext w:val="0"/>
        <w:keepLines w:val="0"/>
        <w:pageBreakBefore w:val="0"/>
        <w:widowControl/>
        <w:kinsoku/>
        <w:wordWrap/>
        <w:overflowPunct/>
        <w:topLinePunct w:val="0"/>
        <w:autoSpaceDE/>
        <w:autoSpaceDN/>
        <w:bidi w:val="0"/>
        <w:spacing w:line="360" w:lineRule="auto"/>
        <w:ind w:firstLine="480" w:firstLineChars="200"/>
        <w:rPr>
          <w:rFonts w:hint="eastAsia" w:ascii="宋体" w:hAnsi="宋体" w:cs="宋体"/>
          <w:color w:val="auto"/>
          <w:kern w:val="0"/>
          <w:sz w:val="24"/>
          <w:highlight w:val="none"/>
          <w:shd w:val="clear" w:color="auto" w:fill="FFFFFF" w:themeFill="background1"/>
          <w:lang w:val="en-US" w:eastAsia="zh-CN"/>
        </w:rPr>
      </w:pPr>
      <w:r>
        <w:rPr>
          <w:rFonts w:hint="eastAsia" w:ascii="宋体" w:hAnsi="宋体" w:cs="宋体"/>
          <w:color w:val="auto"/>
          <w:kern w:val="0"/>
          <w:sz w:val="24"/>
          <w:highlight w:val="none"/>
          <w:shd w:val="clear" w:color="auto" w:fill="FFFFFF" w:themeFill="background1"/>
          <w:lang w:val="en-US" w:eastAsia="zh-CN"/>
        </w:rPr>
        <w:t>6.项目地点：三门峡市湖滨区；</w:t>
      </w:r>
    </w:p>
    <w:p w14:paraId="4182CF6E">
      <w:pPr>
        <w:pageBreakBefore w:val="0"/>
        <w:kinsoku/>
        <w:overflowPunct/>
        <w:topLinePunct w:val="0"/>
        <w:bidi w:val="0"/>
        <w:spacing w:line="360" w:lineRule="auto"/>
        <w:ind w:firstLine="480" w:firstLineChars="200"/>
        <w:jc w:val="lef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7.磋商范围：竞争性磋商文件及第四章设计规范的全部内容；</w:t>
      </w:r>
    </w:p>
    <w:p w14:paraId="3D6BC840">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8.服务要求：完成本项目施工图设计、提供后续服务等在内的全部设计任务，配合施工图审查工作，确保并按要求向采购人提交相关设计成果文件；</w:t>
      </w:r>
    </w:p>
    <w:p w14:paraId="7D1B44C2">
      <w:pPr>
        <w:pageBreakBefore w:val="0"/>
        <w:kinsoku/>
        <w:overflowPunct/>
        <w:topLinePunct w:val="0"/>
        <w:bidi w:val="0"/>
        <w:spacing w:line="360" w:lineRule="auto"/>
        <w:ind w:firstLine="480" w:firstLineChars="200"/>
        <w:jc w:val="lef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olor w:val="auto"/>
          <w:sz w:val="24"/>
          <w:szCs w:val="24"/>
          <w:highlight w:val="none"/>
          <w:lang w:eastAsia="zh-CN"/>
        </w:rPr>
        <w:t>设计周期</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合同签订</w:t>
      </w:r>
      <w:r>
        <w:rPr>
          <w:rFonts w:hint="eastAsia" w:ascii="宋体" w:hAnsi="宋体" w:eastAsia="宋体"/>
          <w:color w:val="auto"/>
          <w:sz w:val="24"/>
          <w:szCs w:val="24"/>
          <w:highlight w:val="none"/>
          <w:lang w:eastAsia="zh-CN"/>
        </w:rPr>
        <w:t>后</w:t>
      </w:r>
      <w:r>
        <w:rPr>
          <w:rFonts w:hint="eastAsia" w:ascii="宋体" w:hAnsi="宋体" w:eastAsia="宋体"/>
          <w:color w:val="auto"/>
          <w:sz w:val="24"/>
          <w:szCs w:val="24"/>
          <w:highlight w:val="none"/>
          <w:lang w:val="en-US" w:eastAsia="zh-CN"/>
        </w:rPr>
        <w:t>30日历天内出具成果文件</w:t>
      </w:r>
      <w:r>
        <w:rPr>
          <w:rFonts w:hint="eastAsia" w:ascii="宋体" w:hAnsi="宋体" w:eastAsia="宋体" w:cs="宋体"/>
          <w:color w:val="auto"/>
          <w:sz w:val="24"/>
          <w:szCs w:val="24"/>
          <w:highlight w:val="none"/>
          <w:lang w:eastAsia="zh-CN"/>
        </w:rPr>
        <w:t>；</w:t>
      </w:r>
    </w:p>
    <w:p w14:paraId="60CBD8E6">
      <w:pPr>
        <w:pageBreakBefore w:val="0"/>
        <w:kinsoku/>
        <w:overflowPunct/>
        <w:topLinePunct w:val="0"/>
        <w:bidi w:val="0"/>
        <w:spacing w:line="360" w:lineRule="auto"/>
        <w:ind w:firstLine="480" w:firstLineChars="200"/>
        <w:jc w:val="left"/>
        <w:outlineLvl w:val="9"/>
        <w:rPr>
          <w:rFonts w:hint="eastAsia" w:ascii="宋体" w:hAnsi="宋体" w:cs="宋体"/>
          <w:color w:val="auto"/>
          <w:kern w:val="0"/>
          <w:sz w:val="24"/>
          <w:highlight w:val="none"/>
          <w:shd w:val="clear" w:color="auto" w:fill="FFFFFF" w:themeFill="background1"/>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olor w:val="auto"/>
          <w:sz w:val="24"/>
          <w:szCs w:val="24"/>
          <w:highlight w:val="none"/>
        </w:rPr>
        <w:t>质量要求</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符合国家</w:t>
      </w:r>
      <w:r>
        <w:rPr>
          <w:rFonts w:hint="eastAsia" w:ascii="宋体" w:hAnsi="宋体" w:eastAsia="宋体"/>
          <w:color w:val="auto"/>
          <w:sz w:val="24"/>
          <w:szCs w:val="24"/>
          <w:highlight w:val="none"/>
          <w:lang w:eastAsia="zh-CN"/>
        </w:rPr>
        <w:t>现行相关规程和</w:t>
      </w:r>
      <w:r>
        <w:rPr>
          <w:rFonts w:hint="eastAsia" w:ascii="宋体" w:hAnsi="宋体" w:eastAsia="宋体"/>
          <w:color w:val="auto"/>
          <w:sz w:val="24"/>
          <w:szCs w:val="24"/>
          <w:highlight w:val="none"/>
        </w:rPr>
        <w:t>规范</w:t>
      </w:r>
      <w:r>
        <w:rPr>
          <w:rFonts w:hint="eastAsia" w:ascii="宋体" w:hAnsi="宋体" w:eastAsia="宋体"/>
          <w:color w:val="auto"/>
          <w:sz w:val="24"/>
          <w:szCs w:val="24"/>
          <w:highlight w:val="none"/>
          <w:lang w:eastAsia="zh-CN"/>
        </w:rPr>
        <w:t>要求</w:t>
      </w:r>
      <w:r>
        <w:rPr>
          <w:rFonts w:hint="eastAsia" w:ascii="宋体" w:hAnsi="宋体" w:eastAsia="宋体" w:cs="宋体"/>
          <w:color w:val="auto"/>
          <w:sz w:val="24"/>
          <w:szCs w:val="24"/>
          <w:highlight w:val="none"/>
          <w:lang w:eastAsia="zh-CN"/>
        </w:rPr>
        <w:t>；</w:t>
      </w:r>
    </w:p>
    <w:p w14:paraId="091648C4">
      <w:pPr>
        <w:keepNext w:val="0"/>
        <w:keepLines w:val="0"/>
        <w:pageBreakBefore w:val="0"/>
        <w:widowControl/>
        <w:kinsoku/>
        <w:wordWrap/>
        <w:overflowPunct/>
        <w:topLinePunct w:val="0"/>
        <w:autoSpaceDE/>
        <w:autoSpaceDN/>
        <w:bidi w:val="0"/>
        <w:spacing w:line="360" w:lineRule="auto"/>
        <w:ind w:firstLine="480" w:firstLineChars="200"/>
        <w:rPr>
          <w:rFonts w:hint="eastAsia" w:ascii="宋体" w:hAnsi="宋体" w:cs="宋体" w:eastAsiaTheme="minorEastAsia"/>
          <w:color w:val="auto"/>
          <w:sz w:val="24"/>
          <w:szCs w:val="24"/>
          <w:highlight w:val="none"/>
          <w:lang w:eastAsia="zh-CN"/>
        </w:rPr>
      </w:pPr>
      <w:r>
        <w:rPr>
          <w:rFonts w:hint="eastAsia" w:ascii="宋体" w:hAnsi="宋体" w:cs="宋体"/>
          <w:color w:val="auto"/>
          <w:kern w:val="0"/>
          <w:sz w:val="24"/>
          <w:highlight w:val="none"/>
          <w:shd w:val="clear" w:color="auto" w:fill="FFFFFF" w:themeFill="background1"/>
          <w:lang w:val="en-US" w:eastAsia="zh-CN"/>
        </w:rPr>
        <w:t>11.</w:t>
      </w:r>
      <w:r>
        <w:rPr>
          <w:rFonts w:hint="eastAsia" w:ascii="宋体" w:hAnsi="宋体" w:cs="宋体"/>
          <w:color w:val="auto"/>
          <w:sz w:val="24"/>
          <w:szCs w:val="22"/>
          <w:highlight w:val="none"/>
        </w:rPr>
        <w:t>执行的政府采购政策：促进中小型企业发展政策（监狱企业、残疾人福利性企业视同小微企业）等政府采购政策</w:t>
      </w:r>
      <w:r>
        <w:rPr>
          <w:rFonts w:hint="eastAsia" w:ascii="宋体" w:hAnsi="宋体" w:cs="宋体"/>
          <w:color w:val="auto"/>
          <w:kern w:val="0"/>
          <w:sz w:val="24"/>
          <w:highlight w:val="none"/>
          <w:shd w:val="clear" w:color="auto" w:fill="FFFFFF" w:themeFill="background1"/>
          <w:lang w:eastAsia="zh-CN"/>
        </w:rPr>
        <w:t>；</w:t>
      </w:r>
    </w:p>
    <w:p w14:paraId="37DCE04A">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标段划分：本项目不划分标段</w:t>
      </w:r>
      <w:r>
        <w:rPr>
          <w:rFonts w:hint="eastAsia" w:ascii="宋体" w:hAnsi="宋体" w:eastAsia="宋体" w:cs="宋体"/>
          <w:color w:val="auto"/>
          <w:sz w:val="24"/>
          <w:szCs w:val="24"/>
          <w:highlight w:val="none"/>
          <w:lang w:eastAsia="zh-CN"/>
        </w:rPr>
        <w:t>。</w:t>
      </w:r>
    </w:p>
    <w:p w14:paraId="1C4F3B8B">
      <w:pPr>
        <w:pageBreakBefore w:val="0"/>
        <w:kinsoku/>
        <w:overflowPunct/>
        <w:topLinePunct w:val="0"/>
        <w:bidi w:val="0"/>
        <w:spacing w:line="360" w:lineRule="auto"/>
        <w:ind w:firstLine="482" w:firstLineChars="200"/>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资格要求</w:t>
      </w:r>
    </w:p>
    <w:p w14:paraId="5A2D410B">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8"/>
          <w:highlight w:val="none"/>
          <w:lang w:val="en-US" w:eastAsia="zh-CN"/>
        </w:rPr>
        <w:t>1.供应商须具有有效的营业执照</w:t>
      </w:r>
      <w:r>
        <w:rPr>
          <w:rFonts w:hint="eastAsia" w:ascii="宋体" w:hAnsi="宋体" w:eastAsia="宋体" w:cs="宋体"/>
          <w:color w:val="auto"/>
          <w:sz w:val="24"/>
          <w:szCs w:val="22"/>
          <w:highlight w:val="none"/>
          <w:lang w:eastAsia="zh-CN"/>
        </w:rPr>
        <w:t>；</w:t>
      </w:r>
    </w:p>
    <w:p w14:paraId="29CDABA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2.供应商须具有建筑行业（建筑工程）甲级及以上设计资质，并在人员、设备、资金等方面具有相应能力；</w:t>
      </w:r>
    </w:p>
    <w:p w14:paraId="45E4EE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3.供应商拟派项目负责人须具备相关专业中级及以上技术职称，为本单位员工，</w:t>
      </w:r>
      <w:r>
        <w:rPr>
          <w:rFonts w:hint="eastAsia" w:ascii="宋体" w:hAnsi="宋体" w:eastAsia="宋体" w:cs="宋体"/>
          <w:color w:val="auto"/>
          <w:sz w:val="24"/>
          <w:highlight w:val="none"/>
        </w:rPr>
        <w:t>并具有劳动合同及养老保险缴费证明</w:t>
      </w:r>
      <w:r>
        <w:rPr>
          <w:rFonts w:hint="eastAsia" w:ascii="宋体" w:hAnsi="宋体" w:eastAsia="宋体" w:cs="宋体"/>
          <w:color w:val="auto"/>
          <w:sz w:val="24"/>
          <w:highlight w:val="none"/>
          <w:lang w:eastAsia="zh-CN"/>
        </w:rPr>
        <w:t>；</w:t>
      </w:r>
    </w:p>
    <w:p w14:paraId="2106506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2"/>
          <w:highlight w:val="none"/>
        </w:rPr>
        <w:t>供应商参加本次采购活动必须符合《中华人民共和国政府采购法》第二十二条的规定</w:t>
      </w:r>
      <w:r>
        <w:rPr>
          <w:rFonts w:hint="eastAsia" w:hAnsi="宋体" w:cs="宋体"/>
          <w:color w:val="auto"/>
          <w:sz w:val="24"/>
          <w:szCs w:val="22"/>
          <w:highlight w:val="none"/>
        </w:rPr>
        <w:t>，须</w:t>
      </w:r>
      <w:r>
        <w:rPr>
          <w:rFonts w:hint="eastAsia" w:ascii="宋体" w:hAnsi="宋体" w:cs="宋体"/>
          <w:color w:val="auto"/>
          <w:sz w:val="24"/>
          <w:szCs w:val="22"/>
          <w:highlight w:val="none"/>
        </w:rPr>
        <w:t>提供</w:t>
      </w:r>
      <w:r>
        <w:rPr>
          <w:rFonts w:hint="eastAsia" w:ascii="宋体" w:hAnsi="宋体" w:cs="宋体"/>
          <w:b/>
          <w:bCs/>
          <w:color w:val="auto"/>
          <w:sz w:val="24"/>
          <w:szCs w:val="22"/>
          <w:highlight w:val="none"/>
        </w:rPr>
        <w:t>承诺</w:t>
      </w:r>
      <w:r>
        <w:rPr>
          <w:rFonts w:hint="eastAsia" w:ascii="宋体" w:hAnsi="宋体" w:cs="宋体"/>
          <w:b/>
          <w:bCs/>
          <w:color w:val="auto"/>
          <w:sz w:val="24"/>
          <w:szCs w:val="22"/>
          <w:highlight w:val="none"/>
          <w:lang w:eastAsia="zh-CN"/>
        </w:rPr>
        <w:t>书</w:t>
      </w:r>
      <w:r>
        <w:rPr>
          <w:rFonts w:hint="eastAsia" w:hAnsi="宋体" w:cs="宋体"/>
          <w:color w:val="auto"/>
          <w:sz w:val="24"/>
          <w:szCs w:val="22"/>
          <w:highlight w:val="none"/>
        </w:rPr>
        <w:t>，格式</w:t>
      </w:r>
      <w:r>
        <w:rPr>
          <w:rFonts w:hint="eastAsia" w:hAnsi="宋体" w:cs="宋体"/>
          <w:color w:val="auto"/>
          <w:sz w:val="24"/>
          <w:szCs w:val="22"/>
          <w:highlight w:val="none"/>
          <w:lang w:eastAsia="zh-CN"/>
        </w:rPr>
        <w:t>自拟</w:t>
      </w:r>
      <w:r>
        <w:rPr>
          <w:rFonts w:hint="eastAsia" w:ascii="宋体" w:hAnsi="宋体" w:eastAsia="宋体" w:cs="宋体"/>
          <w:color w:val="auto"/>
          <w:sz w:val="24"/>
          <w:szCs w:val="24"/>
          <w:highlight w:val="none"/>
          <w:lang w:val="en-US" w:eastAsia="zh-CN"/>
        </w:rPr>
        <w:t>；</w:t>
      </w:r>
    </w:p>
    <w:p w14:paraId="37D71AA3">
      <w:pPr>
        <w:keepNext w:val="0"/>
        <w:keepLines w:val="0"/>
        <w:pageBreakBefore w:val="0"/>
        <w:widowControl/>
        <w:shd w:val="clear" w:color="auto" w:fill="auto"/>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8"/>
          <w:highlight w:val="none"/>
          <w:lang w:val="en-US" w:eastAsia="zh-CN"/>
        </w:rPr>
      </w:pPr>
      <w:bookmarkStart w:id="11" w:name="_Toc26152"/>
      <w:bookmarkStart w:id="12" w:name="_Toc7295"/>
      <w:bookmarkStart w:id="13" w:name="_Toc20621"/>
      <w:bookmarkStart w:id="14" w:name="_Toc4582"/>
      <w:r>
        <w:rPr>
          <w:rFonts w:hint="eastAsia" w:ascii="宋体" w:hAnsi="宋体" w:eastAsia="宋体" w:cs="宋体"/>
          <w:color w:val="auto"/>
          <w:sz w:val="24"/>
          <w:szCs w:val="28"/>
          <w:highlight w:val="none"/>
          <w:lang w:val="en-US" w:eastAsia="zh-CN"/>
        </w:rPr>
        <w:t>5.</w:t>
      </w:r>
      <w:r>
        <w:rPr>
          <w:rFonts w:hint="eastAsia" w:ascii="宋体" w:hAnsi="宋体" w:eastAsia="宋体" w:cs="宋体"/>
          <w:color w:val="auto"/>
          <w:sz w:val="24"/>
          <w:szCs w:val="24"/>
          <w:highlight w:val="none"/>
          <w:lang w:eastAsia="zh-CN"/>
        </w:rPr>
        <w:t>供应商须自行出具本单位无商业贿赂及无不正当竞争行为的承诺书</w:t>
      </w:r>
      <w:r>
        <w:rPr>
          <w:rFonts w:hint="eastAsia"/>
          <w:color w:val="auto"/>
          <w:sz w:val="24"/>
          <w:szCs w:val="24"/>
          <w:highlight w:val="none"/>
          <w:lang w:val="en-US" w:eastAsia="zh-CN"/>
        </w:rPr>
        <w:t>（承诺书格式自拟）；</w:t>
      </w:r>
    </w:p>
    <w:p w14:paraId="4CFD2343">
      <w:pPr>
        <w:keepNext w:val="0"/>
        <w:keepLines w:val="0"/>
        <w:pageBreakBefore w:val="0"/>
        <w:widowControl/>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6.</w:t>
      </w:r>
      <w:bookmarkEnd w:id="11"/>
      <w:bookmarkEnd w:id="12"/>
      <w:bookmarkEnd w:id="13"/>
      <w:bookmarkStart w:id="15" w:name="_Toc10177"/>
      <w:bookmarkStart w:id="16" w:name="_Toc2143"/>
      <w:bookmarkStart w:id="17" w:name="_Toc17281"/>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color w:val="auto"/>
          <w:sz w:val="24"/>
          <w:highlight w:val="none"/>
          <w:lang w:val="en-US" w:eastAsia="zh-CN"/>
        </w:rPr>
        <w:t>查询日期为本公告发布之日起，网站截图应含有日期且显示查询结果；</w:t>
      </w:r>
    </w:p>
    <w:p w14:paraId="7CF8B01A">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7.</w:t>
      </w:r>
      <w:bookmarkEnd w:id="14"/>
      <w:bookmarkEnd w:id="15"/>
      <w:bookmarkEnd w:id="16"/>
      <w:bookmarkEnd w:id="17"/>
      <w:r>
        <w:rPr>
          <w:rFonts w:hint="eastAsia" w:ascii="宋体" w:hAnsi="宋体" w:eastAsia="宋体" w:cs="宋体"/>
          <w:color w:val="auto"/>
          <w:sz w:val="24"/>
          <w:szCs w:val="24"/>
          <w:highlight w:val="none"/>
        </w:rPr>
        <w:t>本项目不接受联合体磋商</w:t>
      </w:r>
      <w:r>
        <w:rPr>
          <w:rFonts w:hint="eastAsia" w:ascii="宋体" w:hAnsi="宋体" w:eastAsia="宋体" w:cs="宋体"/>
          <w:color w:val="auto"/>
          <w:sz w:val="24"/>
          <w:szCs w:val="24"/>
          <w:highlight w:val="none"/>
          <w:lang w:eastAsia="zh-CN"/>
        </w:rPr>
        <w:t>，</w:t>
      </w:r>
      <w:r>
        <w:rPr>
          <w:rFonts w:hint="eastAsia"/>
          <w:color w:val="auto"/>
          <w:sz w:val="24"/>
          <w:szCs w:val="24"/>
          <w:highlight w:val="none"/>
          <w:lang w:val="en-US" w:eastAsia="zh-CN"/>
        </w:rPr>
        <w:t>供应商须提供非联合体承诺书（承诺书格式自拟）</w:t>
      </w:r>
      <w:r>
        <w:rPr>
          <w:rFonts w:hint="eastAsia" w:ascii="宋体" w:hAnsi="宋体" w:eastAsia="宋体" w:cs="宋体"/>
          <w:color w:val="auto"/>
          <w:sz w:val="24"/>
          <w:highlight w:val="none"/>
          <w:lang w:val="en-US" w:eastAsia="zh-CN"/>
        </w:rPr>
        <w:t>；</w:t>
      </w:r>
    </w:p>
    <w:p w14:paraId="0D42BB6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auto"/>
          <w:sz w:val="24"/>
          <w:szCs w:val="28"/>
          <w:highlight w:val="none"/>
          <w:lang w:val="en-US" w:eastAsia="zh-CN"/>
        </w:rPr>
      </w:pPr>
      <w:r>
        <w:rPr>
          <w:rFonts w:hint="eastAsia" w:ascii="宋体" w:hAnsi="宋体" w:eastAsia="宋体" w:cs="宋体"/>
          <w:b w:val="0"/>
          <w:bCs w:val="0"/>
          <w:color w:val="auto"/>
          <w:sz w:val="24"/>
          <w:szCs w:val="28"/>
          <w:highlight w:val="none"/>
          <w:lang w:val="en-US" w:eastAsia="zh-CN"/>
        </w:rPr>
        <w:t>8.本项目实行资格后审，资格审查的具体要求见竞争性磋商文件。</w:t>
      </w:r>
    </w:p>
    <w:p w14:paraId="76F0F448">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三、竞争性磋商文件获取方式 </w:t>
      </w:r>
    </w:p>
    <w:p w14:paraId="50750D2F">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日至</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p>
    <w:p w14:paraId="43223631">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2.地点：三门峡市公共资源交易中心；</w:t>
      </w:r>
    </w:p>
    <w:p w14:paraId="381D9791">
      <w:pPr>
        <w:keepNext w:val="0"/>
        <w:keepLines w:val="0"/>
        <w:pageBreakBefore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3.方式：响应人凭CA数字证书通过三门峡市公共资源交易中心网（网址：</w:t>
      </w:r>
      <w:r>
        <w:rPr>
          <w:rFonts w:hint="eastAsia" w:ascii="宋体" w:hAnsi="宋体" w:eastAsia="宋体" w:cs="宋体"/>
          <w:color w:val="auto"/>
          <w:sz w:val="24"/>
          <w:szCs w:val="24"/>
          <w:highlight w:val="none"/>
        </w:rPr>
        <w:t>gzjy.smx.gov.cn</w:t>
      </w:r>
      <w:r>
        <w:rPr>
          <w:rFonts w:hint="eastAsia" w:ascii="宋体" w:hAnsi="宋体" w:cs="宋体"/>
          <w:color w:val="auto"/>
          <w:sz w:val="24"/>
          <w:szCs w:val="24"/>
          <w:highlight w:val="none"/>
        </w:rPr>
        <w:t>），点击交易平台选择“</w:t>
      </w:r>
      <w:r>
        <w:rPr>
          <w:rFonts w:hint="eastAsia" w:ascii="宋体" w:hAnsi="宋体" w:cs="宋体"/>
          <w:color w:val="auto"/>
          <w:sz w:val="24"/>
          <w:szCs w:val="24"/>
          <w:highlight w:val="none"/>
          <w:lang w:eastAsia="zh-CN"/>
        </w:rPr>
        <w:t>交易主体登录</w:t>
      </w:r>
      <w:r>
        <w:rPr>
          <w:rFonts w:hint="eastAsia" w:ascii="宋体" w:hAnsi="宋体" w:cs="宋体"/>
          <w:color w:val="auto"/>
          <w:sz w:val="24"/>
          <w:szCs w:val="24"/>
          <w:highlight w:val="none"/>
        </w:rPr>
        <w:t>”，在所参与项目右侧点击参与投标，即可直接下载本项目竞争性磋商文件。</w:t>
      </w:r>
    </w:p>
    <w:p w14:paraId="2C5FCCA6">
      <w:pPr>
        <w:keepNext w:val="0"/>
        <w:keepLines w:val="0"/>
        <w:pageBreakBefore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办理CA证书链接：</w:t>
      </w:r>
      <w:r>
        <w:rPr>
          <w:rFonts w:hint="eastAsia" w:ascii="宋体" w:hAnsi="宋体" w:cs="宋体"/>
          <w:color w:val="auto"/>
          <w:sz w:val="24"/>
          <w:szCs w:val="24"/>
          <w:highlight w:val="none"/>
          <w:lang w:val="en-US" w:eastAsia="zh-CN"/>
        </w:rPr>
        <w:t>http://gzjy.smx.gov.cn/bzzx/008001/20231102/4defc9b5-408e-47f2-9e9f-1f376a06ee1f.html</w:t>
      </w:r>
    </w:p>
    <w:p w14:paraId="11E2409F">
      <w:pPr>
        <w:spacing w:line="360" w:lineRule="auto"/>
        <w:ind w:firstLine="487" w:firstLineChars="202"/>
        <w:rPr>
          <w:rFonts w:hint="eastAsia" w:ascii="宋体" w:hAnsi="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sz w:val="24"/>
          <w:szCs w:val="24"/>
          <w:highlight w:val="none"/>
          <w:lang w:eastAsia="zh-CN"/>
        </w:rPr>
        <w:t>响应文件提交</w:t>
      </w:r>
      <w:r>
        <w:rPr>
          <w:rFonts w:hint="eastAsia" w:ascii="宋体" w:hAnsi="宋体" w:cs="宋体"/>
          <w:b/>
          <w:bCs/>
          <w:color w:val="auto"/>
          <w:sz w:val="24"/>
          <w:szCs w:val="24"/>
          <w:highlight w:val="none"/>
        </w:rPr>
        <w:t>截止时间及地点</w:t>
      </w:r>
    </w:p>
    <w:p w14:paraId="14B4F7B8">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1.时间：</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（北京时间）</w:t>
      </w:r>
      <w:r>
        <w:rPr>
          <w:rFonts w:hint="eastAsia" w:ascii="宋体" w:hAnsi="宋体" w:cs="宋体"/>
          <w:color w:val="auto"/>
          <w:sz w:val="24"/>
          <w:szCs w:val="24"/>
          <w:highlight w:val="none"/>
        </w:rPr>
        <w:t>；</w:t>
      </w:r>
    </w:p>
    <w:p w14:paraId="11F1913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2.地点：加密电子竞争性磋商响应文件须在磋商截止时间前通过三门峡市公共资源交易中心电子交易平台加密上传；</w:t>
      </w:r>
    </w:p>
    <w:p w14:paraId="66B79AA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kern w:val="0"/>
          <w:sz w:val="24"/>
          <w:szCs w:val="24"/>
          <w:highlight w:val="none"/>
          <w:lang w:eastAsia="zh-CN"/>
        </w:rPr>
      </w:pPr>
      <w:r>
        <w:rPr>
          <w:rFonts w:hint="eastAsia" w:ascii="宋体" w:hAnsi="宋体" w:cs="宋体"/>
          <w:color w:val="auto"/>
          <w:sz w:val="24"/>
          <w:szCs w:val="24"/>
          <w:highlight w:val="none"/>
        </w:rPr>
        <w:t>注：本项目为不见面开标项目，开标当日，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无需到开标现场参加开标会议，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应当在投标截止时间前，登陆不见面开标大厅 （http://120.194.249.36:10094/BidOpening/bidopeninghallaction/hall/login）选择登陆三门峡市公共资源电子招投标系统进行登陆,在线准时参加开标活动并进行投标（响应）文件解密等。每位</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的解密时间为开标时间起30分钟内完成</w:t>
      </w:r>
      <w:r>
        <w:rPr>
          <w:rFonts w:hint="eastAsia" w:ascii="宋体" w:hAnsi="宋体" w:cs="宋体"/>
          <w:color w:val="auto"/>
          <w:sz w:val="24"/>
          <w:szCs w:val="24"/>
          <w:highlight w:val="none"/>
          <w:lang w:eastAsia="zh-CN"/>
        </w:rPr>
        <w:t>，因投标人原因未能解密、解密失败或解密超时的将被拒绝。</w:t>
      </w:r>
    </w:p>
    <w:p w14:paraId="0183E9AE">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、磋商时间和地点</w:t>
      </w:r>
    </w:p>
    <w:p w14:paraId="6B57C1FD">
      <w:pPr>
        <w:pageBreakBefore w:val="0"/>
        <w:widowControl/>
        <w:kinsoku/>
        <w:overflowPunct/>
        <w:topLinePunct w:val="0"/>
        <w:bidi w:val="0"/>
        <w:spacing w:line="480" w:lineRule="exact"/>
        <w:ind w:right="-57" w:rightChars="-27"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磋商时间：</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r>
        <w:rPr>
          <w:rFonts w:hint="eastAsia" w:ascii="宋体" w:hAnsi="宋体" w:eastAsia="宋体" w:cs="宋体"/>
          <w:color w:val="auto"/>
          <w:kern w:val="0"/>
          <w:sz w:val="24"/>
          <w:szCs w:val="24"/>
          <w:highlight w:val="none"/>
        </w:rPr>
        <w:t>；</w:t>
      </w:r>
    </w:p>
    <w:p w14:paraId="4C5F8E5A">
      <w:pPr>
        <w:pageBreakBefore w:val="0"/>
        <w:widowControl/>
        <w:kinsoku/>
        <w:overflowPunct/>
        <w:topLinePunct w:val="0"/>
        <w:bidi w:val="0"/>
        <w:spacing w:line="480" w:lineRule="exact"/>
        <w:ind w:right="-57" w:rightChars="-27"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磋商地点：三门峡市公共资源交易中心</w:t>
      </w:r>
      <w:r>
        <w:rPr>
          <w:rFonts w:hint="eastAsia" w:ascii="宋体" w:hAnsi="宋体" w:eastAsia="宋体" w:cs="宋体"/>
          <w:color w:val="auto"/>
          <w:kern w:val="0"/>
          <w:sz w:val="24"/>
          <w:szCs w:val="24"/>
          <w:highlight w:val="none"/>
          <w:lang w:eastAsia="zh-CN"/>
        </w:rPr>
        <w:t>五楼</w:t>
      </w:r>
      <w:r>
        <w:rPr>
          <w:rFonts w:hint="eastAsia" w:ascii="宋体" w:hAnsi="宋体" w:eastAsia="宋体" w:cs="宋体"/>
          <w:color w:val="auto"/>
          <w:kern w:val="0"/>
          <w:sz w:val="24"/>
          <w:szCs w:val="24"/>
          <w:highlight w:val="none"/>
        </w:rPr>
        <w:t>开标区。</w:t>
      </w:r>
    </w:p>
    <w:p w14:paraId="50696989">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sz w:val="24"/>
          <w:szCs w:val="24"/>
          <w:highlight w:val="none"/>
        </w:rPr>
        <w:t>发布公告的媒介</w:t>
      </w:r>
    </w:p>
    <w:p w14:paraId="026F365A">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本次竞争性磋商公告同时在</w:t>
      </w:r>
      <w:r>
        <w:rPr>
          <w:rFonts w:hint="eastAsia" w:ascii="宋体" w:hAnsi="宋体" w:eastAsia="宋体" w:cs="宋体"/>
          <w:color w:val="auto"/>
          <w:kern w:val="0"/>
          <w:sz w:val="24"/>
          <w:szCs w:val="24"/>
          <w:highlight w:val="none"/>
          <w:lang w:eastAsia="zh-CN"/>
        </w:rPr>
        <w:t>《河南省政府采购网》、</w:t>
      </w:r>
      <w:r>
        <w:rPr>
          <w:rFonts w:hint="eastAsia" w:ascii="宋体" w:hAnsi="宋体" w:cs="宋体"/>
          <w:color w:val="auto"/>
          <w:sz w:val="24"/>
          <w:highlight w:val="none"/>
          <w:lang w:bidi="ar"/>
        </w:rPr>
        <w:t>《中国采购与招标网》</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w:t>
      </w:r>
      <w:r>
        <w:rPr>
          <w:rFonts w:hint="eastAsia" w:ascii="宋体" w:hAnsi="宋体" w:cs="宋体"/>
          <w:color w:val="auto"/>
          <w:sz w:val="24"/>
          <w:highlight w:val="none"/>
          <w:lang w:eastAsia="zh-CN" w:bidi="ar"/>
        </w:rPr>
        <w:t>中国</w:t>
      </w:r>
      <w:r>
        <w:rPr>
          <w:rFonts w:hint="eastAsia" w:ascii="宋体" w:hAnsi="宋体" w:cs="宋体"/>
          <w:color w:val="auto"/>
          <w:sz w:val="24"/>
          <w:highlight w:val="none"/>
          <w:lang w:bidi="ar"/>
        </w:rPr>
        <w:t>招标投标公共服务平台》</w:t>
      </w:r>
      <w:r>
        <w:rPr>
          <w:rFonts w:hint="eastAsia" w:ascii="宋体" w:hAnsi="宋体" w:cs="宋体"/>
          <w:color w:val="auto"/>
          <w:sz w:val="24"/>
          <w:highlight w:val="none"/>
          <w:lang w:val="en-US" w:eastAsia="zh-CN" w:bidi="ar"/>
        </w:rPr>
        <w:t>和</w:t>
      </w:r>
      <w:r>
        <w:rPr>
          <w:rFonts w:hint="eastAsia" w:ascii="宋体" w:hAnsi="宋体" w:cs="宋体"/>
          <w:color w:val="auto"/>
          <w:sz w:val="24"/>
          <w:highlight w:val="none"/>
          <w:lang w:bidi="ar"/>
        </w:rPr>
        <w:t>《三门峡市公共资源交易中心</w:t>
      </w:r>
      <w:r>
        <w:rPr>
          <w:rFonts w:hint="eastAsia" w:ascii="宋体" w:hAnsi="宋体" w:cs="宋体"/>
          <w:color w:val="auto"/>
          <w:sz w:val="24"/>
          <w:highlight w:val="none"/>
          <w:lang w:val="en-US" w:eastAsia="zh-CN" w:bidi="ar"/>
        </w:rPr>
        <w:t>网</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网站</w:t>
      </w:r>
      <w:r>
        <w:rPr>
          <w:rFonts w:hint="eastAsia" w:ascii="宋体" w:hAnsi="宋体" w:eastAsia="宋体" w:cs="宋体"/>
          <w:color w:val="auto"/>
          <w:kern w:val="0"/>
          <w:sz w:val="24"/>
          <w:szCs w:val="24"/>
          <w:highlight w:val="none"/>
        </w:rPr>
        <w:t>上发布。</w:t>
      </w:r>
    </w:p>
    <w:p w14:paraId="1C3286EF">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七</w:t>
      </w:r>
      <w:r>
        <w:rPr>
          <w:rFonts w:hint="eastAsia" w:ascii="宋体" w:hAnsi="宋体" w:eastAsia="宋体" w:cs="宋体"/>
          <w:b/>
          <w:bCs/>
          <w:color w:val="auto"/>
          <w:kern w:val="0"/>
          <w:sz w:val="24"/>
          <w:szCs w:val="24"/>
          <w:highlight w:val="none"/>
        </w:rPr>
        <w:t>、</w:t>
      </w:r>
      <w:r>
        <w:rPr>
          <w:rFonts w:hint="eastAsia" w:ascii="宋体" w:hAnsi="宋体" w:cs="宋体"/>
          <w:b/>
          <w:bCs/>
          <w:color w:val="auto"/>
          <w:sz w:val="24"/>
          <w:szCs w:val="24"/>
          <w:highlight w:val="none"/>
        </w:rPr>
        <w:t>其他补充事宜</w:t>
      </w:r>
    </w:p>
    <w:p w14:paraId="39571187">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1.按照《河南省财政厅关于优化政府采购营商环境有关问题的通知》（豫财购[2019]4号文）的要求本项目不再收取磋商保证金。</w:t>
      </w:r>
    </w:p>
    <w:p w14:paraId="049D0C63">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.以投标文件业绩信息为准，可使用电子营业执照。</w:t>
      </w:r>
    </w:p>
    <w:p w14:paraId="27DC9BCB">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.本项目实行资格后审，根据优化营商环境的要求，评标时审查内容以投标（响应）文件为准：</w:t>
      </w:r>
    </w:p>
    <w:p w14:paraId="0DB8FEA6">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（1）资格评（预）审部分：资格评（预）</w:t>
      </w:r>
      <w:r>
        <w:rPr>
          <w:rFonts w:hint="eastAsia" w:ascii="宋体" w:hAnsi="宋体" w:cs="宋体"/>
          <w:color w:val="auto"/>
          <w:sz w:val="24"/>
          <w:szCs w:val="24"/>
          <w:highlight w:val="none"/>
          <w:lang w:eastAsia="zh-CN"/>
        </w:rPr>
        <w:t>审</w:t>
      </w:r>
      <w:r>
        <w:rPr>
          <w:rFonts w:hint="eastAsia" w:ascii="宋体" w:hAnsi="宋体" w:cs="宋体"/>
          <w:color w:val="auto"/>
          <w:sz w:val="24"/>
          <w:szCs w:val="24"/>
          <w:highlight w:val="none"/>
        </w:rPr>
        <w:t>以投标（响应）文件为准，其上传资料真实性由供应商自行承担，同时，供应商要完善主体库。</w:t>
      </w:r>
    </w:p>
    <w:p w14:paraId="7FB8FDB0">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（2）评标打分部分：评标打分部分仍按照100分制原则进行，涉及到资格审查、企业荣誉、人员业绩、企业业绩等计分部分时，以供应商自行上传到投标（响应）文件中的相应内容为准。</w:t>
      </w:r>
    </w:p>
    <w:p w14:paraId="2E3FF6E5">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响应文件编制部分：在招标文件中要求供应商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24A50C51">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.供应商递交的资料和投标（响应）文件不论</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与否均不予退还；</w:t>
      </w:r>
    </w:p>
    <w:p w14:paraId="6591510A">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.采购人不组织供应商踏勘现场。</w:t>
      </w:r>
    </w:p>
    <w:p w14:paraId="09952BB8">
      <w:pPr>
        <w:spacing w:line="360" w:lineRule="auto"/>
        <w:ind w:firstLine="484" w:firstLineChars="202"/>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16EF248E">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八</w:t>
      </w:r>
      <w:r>
        <w:rPr>
          <w:rFonts w:hint="eastAsia" w:ascii="宋体" w:hAnsi="宋体" w:eastAsia="宋体" w:cs="宋体"/>
          <w:b/>
          <w:bCs/>
          <w:color w:val="auto"/>
          <w:kern w:val="0"/>
          <w:sz w:val="24"/>
          <w:szCs w:val="24"/>
          <w:highlight w:val="none"/>
        </w:rPr>
        <w:t>、联系方式</w:t>
      </w:r>
    </w:p>
    <w:p w14:paraId="4814D079">
      <w:pPr>
        <w:pageBreakBefore w:val="0"/>
        <w:widowControl/>
        <w:kinsoku/>
        <w:overflowPunct/>
        <w:topLinePunct w:val="0"/>
        <w:bidi w:val="0"/>
        <w:spacing w:line="480" w:lineRule="exact"/>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监督单位：三门峡市湖滨区建设工程施工招标投标管理办公室</w:t>
      </w:r>
    </w:p>
    <w:p w14:paraId="79CE51DD">
      <w:pPr>
        <w:pageBreakBefore w:val="0"/>
        <w:widowControl/>
        <w:kinsoku/>
        <w:overflowPunct/>
        <w:topLinePunct w:val="0"/>
        <w:bidi w:val="0"/>
        <w:spacing w:line="480" w:lineRule="exact"/>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  话： 0398-2906166</w:t>
      </w:r>
    </w:p>
    <w:p w14:paraId="62A87E65">
      <w:pPr>
        <w:pageBreakBefore w:val="0"/>
        <w:widowControl/>
        <w:kinsoku/>
        <w:overflowPunct/>
        <w:topLinePunct w:val="0"/>
        <w:bidi w:val="0"/>
        <w:spacing w:line="480" w:lineRule="exact"/>
        <w:ind w:firstLine="480" w:firstLineChars="200"/>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采购人：</w:t>
      </w:r>
      <w:r>
        <w:rPr>
          <w:rFonts w:hint="eastAsia" w:ascii="宋体" w:hAnsi="宋体" w:eastAsia="宋体" w:cs="宋体"/>
          <w:color w:val="auto"/>
          <w:sz w:val="24"/>
          <w:szCs w:val="24"/>
          <w:highlight w:val="none"/>
        </w:rPr>
        <w:t>三门峡市湖滨区建设局</w:t>
      </w:r>
      <w:r>
        <w:rPr>
          <w:rFonts w:hint="eastAsia" w:ascii="宋体" w:hAnsi="宋体" w:eastAsia="宋体" w:cs="宋体"/>
          <w:color w:val="auto"/>
          <w:kern w:val="0"/>
          <w:sz w:val="24"/>
          <w:szCs w:val="24"/>
          <w:highlight w:val="none"/>
          <w:lang w:eastAsia="zh-CN"/>
        </w:rPr>
        <w:t xml:space="preserve"> </w:t>
      </w:r>
    </w:p>
    <w:p w14:paraId="21CA7D13">
      <w:pPr>
        <w:pageBreakBefore w:val="0"/>
        <w:widowControl/>
        <w:kinsoku/>
        <w:overflowPunct/>
        <w:topLinePunct w:val="0"/>
        <w:bidi w:val="0"/>
        <w:spacing w:line="480" w:lineRule="exact"/>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址：三门峡市湖滨区青龙路科创大厦八楼</w:t>
      </w:r>
    </w:p>
    <w:p w14:paraId="62507E9F">
      <w:pPr>
        <w:pageBreakBefore w:val="0"/>
        <w:widowControl/>
        <w:kinsoku/>
        <w:overflowPunct/>
        <w:topLinePunct w:val="0"/>
        <w:bidi w:val="0"/>
        <w:spacing w:line="480" w:lineRule="exact"/>
        <w:ind w:firstLine="480" w:firstLineChars="200"/>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联系人：赵先生</w:t>
      </w:r>
    </w:p>
    <w:p w14:paraId="07B62BE4">
      <w:pPr>
        <w:pageBreakBefore w:val="0"/>
        <w:widowControl/>
        <w:kinsoku/>
        <w:overflowPunct/>
        <w:topLinePunct w:val="0"/>
        <w:bidi w:val="0"/>
        <w:spacing w:line="480" w:lineRule="exact"/>
        <w:ind w:firstLine="480" w:firstLineChars="200"/>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  话</w:t>
      </w:r>
      <w:r>
        <w:rPr>
          <w:rFonts w:hint="eastAsia" w:ascii="宋体" w:hAnsi="宋体" w:eastAsia="宋体" w:cs="宋体"/>
          <w:color w:val="auto"/>
          <w:kern w:val="0"/>
          <w:sz w:val="24"/>
          <w:szCs w:val="24"/>
          <w:highlight w:val="none"/>
        </w:rPr>
        <w:t>：0398-2958508</w:t>
      </w:r>
    </w:p>
    <w:p w14:paraId="01167261">
      <w:pPr>
        <w:pageBreakBefore w:val="0"/>
        <w:widowControl/>
        <w:kinsoku/>
        <w:overflowPunct/>
        <w:topLinePunct w:val="0"/>
        <w:bidi w:val="0"/>
        <w:spacing w:line="480" w:lineRule="exact"/>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w:t>
      </w:r>
      <w:r>
        <w:rPr>
          <w:rFonts w:hint="eastAsia" w:ascii="宋体" w:hAnsi="宋体" w:eastAsia="宋体" w:cs="宋体"/>
          <w:color w:val="auto"/>
          <w:kern w:val="0"/>
          <w:sz w:val="24"/>
          <w:szCs w:val="24"/>
          <w:highlight w:val="none"/>
          <w:lang w:eastAsia="zh-CN"/>
        </w:rPr>
        <w:t>河南恒泽顺工程管理有限公司</w:t>
      </w:r>
      <w:r>
        <w:rPr>
          <w:rFonts w:hint="eastAsia" w:ascii="宋体" w:hAnsi="宋体" w:eastAsia="宋体" w:cs="宋体"/>
          <w:color w:val="auto"/>
          <w:kern w:val="0"/>
          <w:sz w:val="24"/>
          <w:szCs w:val="24"/>
          <w:highlight w:val="none"/>
        </w:rPr>
        <w:t xml:space="preserve"> </w:t>
      </w:r>
    </w:p>
    <w:p w14:paraId="10FD775E">
      <w:pPr>
        <w:pageBreakBefore w:val="0"/>
        <w:widowControl/>
        <w:kinsoku/>
        <w:overflowPunct/>
        <w:topLinePunct w:val="0"/>
        <w:bidi w:val="0"/>
        <w:spacing w:line="480" w:lineRule="exact"/>
        <w:ind w:firstLine="480" w:firstLineChars="200"/>
        <w:outlineLvl w:val="9"/>
        <w:rPr>
          <w:rFonts w:hint="eastAsia" w:ascii="宋体" w:hAnsi="宋体" w:cs="宋体"/>
          <w:color w:val="auto"/>
          <w:sz w:val="24"/>
          <w:highlight w:val="none"/>
          <w:lang w:bidi="ar"/>
        </w:rPr>
      </w:pPr>
      <w:r>
        <w:rPr>
          <w:rFonts w:hint="eastAsia" w:ascii="宋体" w:hAnsi="宋体" w:cs="宋体"/>
          <w:color w:val="auto"/>
          <w:sz w:val="24"/>
          <w:highlight w:val="none"/>
          <w:lang w:bidi="ar"/>
        </w:rPr>
        <w:t>地</w:t>
      </w:r>
      <w:r>
        <w:rPr>
          <w:rFonts w:hint="eastAsia" w:ascii="宋体" w:hAnsi="宋体" w:cs="宋体"/>
          <w:color w:val="auto"/>
          <w:sz w:val="24"/>
          <w:highlight w:val="none"/>
          <w:lang w:val="en-US" w:eastAsia="zh-CN" w:bidi="ar"/>
        </w:rPr>
        <w:t xml:space="preserve"> </w:t>
      </w:r>
      <w:r>
        <w:rPr>
          <w:rFonts w:hint="eastAsia" w:ascii="宋体" w:hAnsi="宋体" w:cs="宋体"/>
          <w:color w:val="auto"/>
          <w:sz w:val="24"/>
          <w:highlight w:val="none"/>
          <w:lang w:bidi="ar"/>
        </w:rPr>
        <w:t xml:space="preserve"> 址：三门峡市工商联大厦B座1102室</w:t>
      </w:r>
    </w:p>
    <w:p w14:paraId="31C22B80">
      <w:pPr>
        <w:pageBreakBefore w:val="0"/>
        <w:widowControl/>
        <w:kinsoku/>
        <w:overflowPunct/>
        <w:topLinePunct w:val="0"/>
        <w:bidi w:val="0"/>
        <w:spacing w:line="480" w:lineRule="exact"/>
        <w:ind w:firstLine="480" w:firstLineChars="200"/>
        <w:outlineLvl w:val="9"/>
        <w:rPr>
          <w:rFonts w:hint="eastAsia" w:ascii="宋体" w:hAnsi="宋体" w:cs="宋体"/>
          <w:color w:val="auto"/>
          <w:sz w:val="24"/>
          <w:highlight w:val="none"/>
          <w:lang w:bidi="ar"/>
        </w:rPr>
      </w:pPr>
      <w:r>
        <w:rPr>
          <w:rFonts w:hint="eastAsia" w:ascii="宋体" w:hAnsi="宋体" w:cs="宋体"/>
          <w:color w:val="auto"/>
          <w:sz w:val="24"/>
          <w:highlight w:val="none"/>
          <w:lang w:bidi="ar"/>
        </w:rPr>
        <w:t>联系人：</w:t>
      </w:r>
      <w:r>
        <w:rPr>
          <w:rFonts w:hint="eastAsia" w:ascii="宋体" w:hAnsi="宋体" w:cs="宋体"/>
          <w:color w:val="auto"/>
          <w:sz w:val="24"/>
          <w:highlight w:val="none"/>
          <w:lang w:val="en-US" w:eastAsia="zh-CN" w:bidi="ar"/>
        </w:rPr>
        <w:t>柯</w:t>
      </w:r>
      <w:r>
        <w:rPr>
          <w:rFonts w:hint="eastAsia" w:ascii="宋体" w:hAnsi="宋体" w:cs="宋体"/>
          <w:color w:val="auto"/>
          <w:sz w:val="24"/>
          <w:highlight w:val="none"/>
          <w:lang w:bidi="ar"/>
        </w:rPr>
        <w:t>女士</w:t>
      </w:r>
    </w:p>
    <w:p w14:paraId="0B98EF75">
      <w:pPr>
        <w:pageBreakBefore w:val="0"/>
        <w:widowControl/>
        <w:kinsoku/>
        <w:overflowPunct/>
        <w:topLinePunct w:val="0"/>
        <w:bidi w:val="0"/>
        <w:spacing w:line="480" w:lineRule="exact"/>
        <w:ind w:firstLine="480" w:firstLineChars="200"/>
        <w:outlineLvl w:val="9"/>
        <w:rPr>
          <w:rFonts w:hint="default" w:ascii="宋体" w:hAnsi="宋体" w:cs="宋体"/>
          <w:color w:val="auto"/>
          <w:sz w:val="24"/>
          <w:highlight w:val="none"/>
          <w:lang w:val="en-US" w:eastAsia="zh-CN" w:bidi="ar"/>
        </w:rPr>
      </w:pPr>
      <w:r>
        <w:rPr>
          <w:rFonts w:hint="eastAsia" w:ascii="宋体" w:hAnsi="宋体" w:cs="宋体"/>
          <w:color w:val="auto"/>
          <w:sz w:val="24"/>
          <w:highlight w:val="none"/>
          <w:lang w:bidi="ar"/>
        </w:rPr>
        <w:t>电</w:t>
      </w:r>
      <w:r>
        <w:rPr>
          <w:rFonts w:hint="eastAsia" w:ascii="宋体" w:hAnsi="宋体" w:cs="宋体"/>
          <w:color w:val="auto"/>
          <w:sz w:val="24"/>
          <w:highlight w:val="none"/>
          <w:lang w:val="en-US" w:eastAsia="zh-CN" w:bidi="ar"/>
        </w:rPr>
        <w:t xml:space="preserve"> </w:t>
      </w:r>
      <w:r>
        <w:rPr>
          <w:rFonts w:hint="eastAsia" w:ascii="宋体" w:hAnsi="宋体" w:cs="宋体"/>
          <w:color w:val="auto"/>
          <w:sz w:val="24"/>
          <w:highlight w:val="none"/>
          <w:lang w:bidi="ar"/>
        </w:rPr>
        <w:t xml:space="preserve"> 话：</w:t>
      </w:r>
      <w:r>
        <w:rPr>
          <w:rFonts w:hint="eastAsia" w:ascii="宋体" w:hAnsi="宋体" w:cs="宋体"/>
          <w:color w:val="auto"/>
          <w:sz w:val="24"/>
          <w:highlight w:val="none"/>
          <w:lang w:val="en-US" w:eastAsia="zh-CN" w:bidi="ar"/>
        </w:rPr>
        <w:t>18939080858</w:t>
      </w:r>
    </w:p>
    <w:p w14:paraId="09A76639">
      <w:pPr>
        <w:pageBreakBefore w:val="0"/>
        <w:widowControl/>
        <w:kinsoku/>
        <w:overflowPunct/>
        <w:topLinePunct w:val="0"/>
        <w:bidi w:val="0"/>
        <w:spacing w:line="480" w:lineRule="exact"/>
        <w:ind w:firstLine="480" w:firstLineChars="200"/>
        <w:outlineLvl w:val="9"/>
        <w:rPr>
          <w:rFonts w:hint="eastAsia" w:ascii="宋体" w:hAnsi="宋体" w:cs="宋体"/>
          <w:color w:val="auto"/>
          <w:sz w:val="24"/>
          <w:highlight w:val="none"/>
          <w:lang w:bidi="ar"/>
        </w:rPr>
      </w:pPr>
      <w:r>
        <w:rPr>
          <w:rFonts w:hint="eastAsia" w:ascii="宋体" w:hAnsi="宋体" w:cs="宋体"/>
          <w:color w:val="auto"/>
          <w:sz w:val="24"/>
          <w:highlight w:val="none"/>
          <w:lang w:bidi="ar"/>
        </w:rPr>
        <w:t>电子邮</w:t>
      </w:r>
      <w:r>
        <w:rPr>
          <w:rFonts w:hint="eastAsia" w:ascii="宋体" w:hAnsi="宋体" w:cs="宋体"/>
          <w:color w:val="auto"/>
          <w:sz w:val="24"/>
          <w:highlight w:val="none"/>
          <w:lang w:val="en-US" w:eastAsia="zh-CN" w:bidi="ar"/>
        </w:rPr>
        <w:t>箱</w:t>
      </w:r>
      <w:r>
        <w:rPr>
          <w:rFonts w:hint="eastAsia" w:ascii="宋体" w:hAnsi="宋体" w:cs="宋体"/>
          <w:color w:val="auto"/>
          <w:sz w:val="24"/>
          <w:highlight w:val="none"/>
          <w:lang w:bidi="ar"/>
        </w:rPr>
        <w:t>：</w:t>
      </w:r>
      <w:r>
        <w:rPr>
          <w:rFonts w:hint="eastAsia" w:ascii="宋体" w:hAnsi="宋体" w:cs="宋体"/>
          <w:color w:val="auto"/>
          <w:sz w:val="24"/>
          <w:highlight w:val="none"/>
          <w:lang w:bidi="ar"/>
        </w:rPr>
        <w:fldChar w:fldCharType="begin"/>
      </w:r>
      <w:r>
        <w:rPr>
          <w:rFonts w:hint="eastAsia" w:ascii="宋体" w:hAnsi="宋体" w:cs="宋体"/>
          <w:color w:val="auto"/>
          <w:sz w:val="24"/>
          <w:highlight w:val="none"/>
          <w:lang w:bidi="ar"/>
        </w:rPr>
        <w:instrText xml:space="preserve"> HYPERLINK "mailto:henanhengzeshunzb@126.com" </w:instrText>
      </w:r>
      <w:r>
        <w:rPr>
          <w:rFonts w:hint="eastAsia" w:ascii="宋体" w:hAnsi="宋体" w:cs="宋体"/>
          <w:color w:val="auto"/>
          <w:sz w:val="24"/>
          <w:highlight w:val="none"/>
          <w:lang w:bidi="ar"/>
        </w:rPr>
        <w:fldChar w:fldCharType="separate"/>
      </w:r>
      <w:r>
        <w:rPr>
          <w:rFonts w:hint="eastAsia" w:ascii="宋体" w:hAnsi="宋体" w:cs="宋体"/>
          <w:color w:val="auto"/>
          <w:sz w:val="24"/>
          <w:highlight w:val="none"/>
          <w:lang w:bidi="ar"/>
        </w:rPr>
        <w:t>henanhengzeshunzb@126.com</w:t>
      </w:r>
      <w:r>
        <w:rPr>
          <w:rFonts w:hint="eastAsia" w:ascii="宋体" w:hAnsi="宋体" w:cs="宋体"/>
          <w:color w:val="auto"/>
          <w:sz w:val="24"/>
          <w:highlight w:val="none"/>
          <w:lang w:bidi="ar"/>
        </w:rPr>
        <w:fldChar w:fldCharType="end"/>
      </w:r>
    </w:p>
    <w:p w14:paraId="3997BF62">
      <w:pPr>
        <w:pageBreakBefore w:val="0"/>
        <w:widowControl/>
        <w:kinsoku/>
        <w:overflowPunct/>
        <w:topLinePunct w:val="0"/>
        <w:bidi w:val="0"/>
        <w:spacing w:line="480" w:lineRule="exact"/>
        <w:ind w:firstLine="480" w:firstLineChars="200"/>
        <w:outlineLvl w:val="9"/>
        <w:rPr>
          <w:rFonts w:hint="eastAsia" w:ascii="宋体" w:hAnsi="宋体" w:cs="宋体"/>
          <w:color w:val="auto"/>
          <w:sz w:val="24"/>
          <w:highlight w:val="none"/>
          <w:lang w:val="en-US" w:eastAsia="zh-CN" w:bidi="ar"/>
        </w:rPr>
      </w:pPr>
    </w:p>
    <w:p w14:paraId="3277F81E">
      <w:pPr>
        <w:pageBreakBefore w:val="0"/>
        <w:widowControl/>
        <w:kinsoku/>
        <w:overflowPunct/>
        <w:topLinePunct w:val="0"/>
        <w:bidi w:val="0"/>
        <w:spacing w:line="480" w:lineRule="exact"/>
        <w:ind w:firstLine="480" w:firstLineChars="200"/>
        <w:jc w:val="right"/>
        <w:outlineLvl w:val="9"/>
        <w:rPr>
          <w:rFonts w:hint="default"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2025年10月15日</w:t>
      </w:r>
    </w:p>
    <w:p w14:paraId="425A5353">
      <w:pPr>
        <w:pageBreakBefore w:val="0"/>
        <w:kinsoku/>
        <w:overflowPunct/>
        <w:topLinePunct w:val="0"/>
        <w:bidi w:val="0"/>
        <w:outlineLvl w:val="9"/>
        <w:rPr>
          <w:rFonts w:hint="eastAsia"/>
          <w:color w:val="auto"/>
          <w:highlight w:val="none"/>
        </w:rPr>
      </w:pPr>
      <w:bookmarkStart w:id="18" w:name="_Toc69718832"/>
      <w:bookmarkEnd w:id="18"/>
      <w:bookmarkStart w:id="19" w:name="_Toc114"/>
      <w:r>
        <w:rPr>
          <w:rFonts w:hint="eastAsia"/>
          <w:color w:val="auto"/>
          <w:highlight w:val="none"/>
        </w:rPr>
        <w:br w:type="page"/>
      </w:r>
    </w:p>
    <w:p w14:paraId="2860E670">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color w:val="auto"/>
          <w:sz w:val="36"/>
          <w:szCs w:val="40"/>
          <w:highlight w:val="none"/>
        </w:rPr>
      </w:pPr>
      <w:bookmarkStart w:id="20" w:name="_Toc14672"/>
      <w:bookmarkStart w:id="21" w:name="_Toc8976"/>
      <w:r>
        <w:rPr>
          <w:rFonts w:hint="eastAsia"/>
          <w:b/>
          <w:bCs/>
          <w:color w:val="auto"/>
          <w:sz w:val="36"/>
          <w:szCs w:val="40"/>
          <w:highlight w:val="none"/>
        </w:rPr>
        <w:t>第二章</w:t>
      </w:r>
      <w:r>
        <w:rPr>
          <w:rFonts w:hint="eastAsia"/>
          <w:b/>
          <w:bCs/>
          <w:color w:val="auto"/>
          <w:sz w:val="36"/>
          <w:szCs w:val="40"/>
          <w:highlight w:val="none"/>
          <w:lang w:val="en-US" w:eastAsia="zh-CN"/>
        </w:rPr>
        <w:t xml:space="preserve">  </w:t>
      </w:r>
      <w:r>
        <w:rPr>
          <w:rFonts w:hint="eastAsia"/>
          <w:b/>
          <w:bCs/>
          <w:color w:val="auto"/>
          <w:sz w:val="36"/>
          <w:szCs w:val="40"/>
          <w:highlight w:val="none"/>
          <w:lang w:eastAsia="zh-CN"/>
        </w:rPr>
        <w:t>供应商</w:t>
      </w:r>
      <w:r>
        <w:rPr>
          <w:rFonts w:hint="eastAsia"/>
          <w:b/>
          <w:bCs/>
          <w:color w:val="auto"/>
          <w:sz w:val="36"/>
          <w:szCs w:val="40"/>
          <w:highlight w:val="none"/>
        </w:rPr>
        <w:t>须知</w:t>
      </w:r>
      <w:bookmarkEnd w:id="19"/>
      <w:bookmarkEnd w:id="20"/>
      <w:bookmarkEnd w:id="21"/>
    </w:p>
    <w:p w14:paraId="6B26E43D">
      <w:pPr>
        <w:pageBreakBefore w:val="0"/>
        <w:kinsoku/>
        <w:overflowPunct/>
        <w:topLinePunct w:val="0"/>
        <w:bidi w:val="0"/>
        <w:spacing w:line="360" w:lineRule="auto"/>
        <w:ind w:firstLine="20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须知前附表</w:t>
      </w:r>
    </w:p>
    <w:tbl>
      <w:tblPr>
        <w:tblStyle w:val="20"/>
        <w:tblW w:w="9235" w:type="dxa"/>
        <w:jc w:val="center"/>
        <w:tblLayout w:type="fixed"/>
        <w:tblCellMar>
          <w:top w:w="0" w:type="dxa"/>
          <w:left w:w="108" w:type="dxa"/>
          <w:bottom w:w="0" w:type="dxa"/>
          <w:right w:w="108" w:type="dxa"/>
        </w:tblCellMar>
      </w:tblPr>
      <w:tblGrid>
        <w:gridCol w:w="1010"/>
        <w:gridCol w:w="2870"/>
        <w:gridCol w:w="5355"/>
      </w:tblGrid>
      <w:tr w14:paraId="1BACD524">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384E4741">
            <w:pPr>
              <w:pageBreakBefore w:val="0"/>
              <w:kinsoku/>
              <w:overflowPunct/>
              <w:topLinePunct w:val="0"/>
              <w:bidi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870" w:type="dxa"/>
            <w:tcBorders>
              <w:top w:val="single" w:color="auto" w:sz="4" w:space="0"/>
              <w:left w:val="nil"/>
              <w:bottom w:val="single" w:color="auto" w:sz="4" w:space="0"/>
              <w:right w:val="single" w:color="auto" w:sz="4" w:space="0"/>
            </w:tcBorders>
            <w:vAlign w:val="center"/>
          </w:tcPr>
          <w:p w14:paraId="591E7547">
            <w:pPr>
              <w:pageBreakBefore w:val="0"/>
              <w:kinsoku/>
              <w:overflowPunct/>
              <w:topLinePunct w:val="0"/>
              <w:bidi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5355" w:type="dxa"/>
            <w:tcBorders>
              <w:top w:val="single" w:color="auto" w:sz="4" w:space="0"/>
              <w:left w:val="nil"/>
              <w:bottom w:val="single" w:color="auto" w:sz="4" w:space="0"/>
              <w:right w:val="single" w:color="auto" w:sz="4" w:space="0"/>
            </w:tcBorders>
            <w:vAlign w:val="center"/>
          </w:tcPr>
          <w:p w14:paraId="1F774BB9">
            <w:pPr>
              <w:pageBreakBefore w:val="0"/>
              <w:kinsoku/>
              <w:overflowPunct/>
              <w:topLinePunct w:val="0"/>
              <w:bidi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7CB3E783">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78D3383">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870" w:type="dxa"/>
            <w:tcBorders>
              <w:top w:val="single" w:color="auto" w:sz="4" w:space="0"/>
              <w:left w:val="nil"/>
              <w:bottom w:val="single" w:color="auto" w:sz="4" w:space="0"/>
              <w:right w:val="single" w:color="auto" w:sz="4" w:space="0"/>
            </w:tcBorders>
            <w:vAlign w:val="center"/>
          </w:tcPr>
          <w:p w14:paraId="2E1464BF">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w:t>
            </w:r>
          </w:p>
        </w:tc>
        <w:tc>
          <w:tcPr>
            <w:tcW w:w="5355" w:type="dxa"/>
            <w:tcBorders>
              <w:top w:val="single" w:color="auto" w:sz="4" w:space="0"/>
              <w:left w:val="nil"/>
              <w:bottom w:val="single" w:color="auto" w:sz="4" w:space="0"/>
              <w:right w:val="single" w:color="auto" w:sz="4" w:space="0"/>
            </w:tcBorders>
            <w:vAlign w:val="center"/>
          </w:tcPr>
          <w:p w14:paraId="181BB625">
            <w:pPr>
              <w:pageBreakBefore w:val="0"/>
              <w:widowControl/>
              <w:kinsoku/>
              <w:overflowPunct/>
              <w:topLinePunct w:val="0"/>
              <w:bidi w:val="0"/>
              <w:spacing w:line="480" w:lineRule="exact"/>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采购人：</w:t>
            </w:r>
            <w:r>
              <w:rPr>
                <w:rFonts w:hint="eastAsia" w:ascii="宋体" w:hAnsi="宋体" w:eastAsia="宋体" w:cs="宋体"/>
                <w:color w:val="auto"/>
                <w:sz w:val="24"/>
                <w:szCs w:val="24"/>
                <w:highlight w:val="none"/>
              </w:rPr>
              <w:t>三门峡市湖滨区建设局</w:t>
            </w:r>
            <w:r>
              <w:rPr>
                <w:rFonts w:hint="eastAsia" w:ascii="宋体" w:hAnsi="宋体" w:eastAsia="宋体" w:cs="宋体"/>
                <w:color w:val="auto"/>
                <w:kern w:val="0"/>
                <w:sz w:val="24"/>
                <w:szCs w:val="24"/>
                <w:highlight w:val="none"/>
                <w:lang w:eastAsia="zh-CN"/>
              </w:rPr>
              <w:t xml:space="preserve"> </w:t>
            </w:r>
          </w:p>
          <w:p w14:paraId="70F181F6">
            <w:pPr>
              <w:pageBreakBefore w:val="0"/>
              <w:widowControl/>
              <w:kinsoku/>
              <w:overflowPunct/>
              <w:topLinePunct w:val="0"/>
              <w:bidi w:val="0"/>
              <w:spacing w:line="480" w:lineRule="exac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址：三门峡市湖滨区青龙路科创大厦八楼</w:t>
            </w:r>
          </w:p>
          <w:p w14:paraId="58D26776">
            <w:pPr>
              <w:pageBreakBefore w:val="0"/>
              <w:widowControl/>
              <w:kinsoku/>
              <w:overflowPunct/>
              <w:topLinePunct w:val="0"/>
              <w:bidi w:val="0"/>
              <w:spacing w:line="480" w:lineRule="exact"/>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联系人：赵先生</w:t>
            </w:r>
          </w:p>
          <w:p w14:paraId="427C6AF7">
            <w:pPr>
              <w:pageBreakBefore w:val="0"/>
              <w:widowControl/>
              <w:kinsoku/>
              <w:overflowPunct/>
              <w:topLinePunct w:val="0"/>
              <w:bidi w:val="0"/>
              <w:spacing w:line="480" w:lineRule="exact"/>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rPr>
              <w:t>电  话</w:t>
            </w:r>
            <w:r>
              <w:rPr>
                <w:rFonts w:hint="eastAsia" w:ascii="宋体" w:hAnsi="宋体" w:eastAsia="宋体" w:cs="宋体"/>
                <w:color w:val="auto"/>
                <w:kern w:val="0"/>
                <w:sz w:val="24"/>
                <w:szCs w:val="24"/>
                <w:highlight w:val="none"/>
              </w:rPr>
              <w:t>：0398-2958508</w:t>
            </w:r>
          </w:p>
        </w:tc>
      </w:tr>
      <w:tr w14:paraId="2AB2DB3E">
        <w:tblPrEx>
          <w:tblCellMar>
            <w:top w:w="0" w:type="dxa"/>
            <w:left w:w="108" w:type="dxa"/>
            <w:bottom w:w="0" w:type="dxa"/>
            <w:right w:w="108" w:type="dxa"/>
          </w:tblCellMar>
        </w:tblPrEx>
        <w:trPr>
          <w:trHeight w:val="244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5AED1C4">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870" w:type="dxa"/>
            <w:tcBorders>
              <w:top w:val="single" w:color="auto" w:sz="4" w:space="0"/>
              <w:left w:val="nil"/>
              <w:bottom w:val="single" w:color="auto" w:sz="4" w:space="0"/>
              <w:right w:val="single" w:color="auto" w:sz="4" w:space="0"/>
            </w:tcBorders>
            <w:vAlign w:val="center"/>
          </w:tcPr>
          <w:p w14:paraId="7A96511A">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w:t>
            </w:r>
          </w:p>
        </w:tc>
        <w:tc>
          <w:tcPr>
            <w:tcW w:w="5355" w:type="dxa"/>
            <w:tcBorders>
              <w:top w:val="single" w:color="auto" w:sz="4" w:space="0"/>
              <w:left w:val="nil"/>
              <w:bottom w:val="single" w:color="auto" w:sz="4" w:space="0"/>
              <w:right w:val="single" w:color="auto" w:sz="4" w:space="0"/>
            </w:tcBorders>
            <w:vAlign w:val="center"/>
          </w:tcPr>
          <w:p w14:paraId="4D254557">
            <w:pPr>
              <w:pageBreakBefore w:val="0"/>
              <w:widowControl/>
              <w:kinsoku/>
              <w:overflowPunct/>
              <w:topLinePunct w:val="0"/>
              <w:bidi w:val="0"/>
              <w:spacing w:line="48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河南恒泽顺工程管理有限公司</w:t>
            </w:r>
            <w:r>
              <w:rPr>
                <w:rFonts w:hint="eastAsia" w:ascii="宋体" w:hAnsi="宋体" w:eastAsia="宋体" w:cs="宋体"/>
                <w:color w:val="auto"/>
                <w:sz w:val="24"/>
                <w:szCs w:val="24"/>
                <w:highlight w:val="none"/>
              </w:rPr>
              <w:t xml:space="preserve"> </w:t>
            </w:r>
          </w:p>
          <w:p w14:paraId="72B6AC44">
            <w:pPr>
              <w:pageBreakBefore w:val="0"/>
              <w:widowControl/>
              <w:kinsoku/>
              <w:overflowPunct/>
              <w:topLinePunct w:val="0"/>
              <w:bidi w:val="0"/>
              <w:spacing w:line="48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址：三门峡市工商联大厦B座1102室</w:t>
            </w:r>
          </w:p>
          <w:p w14:paraId="2D230B8A">
            <w:pPr>
              <w:pageBreakBefore w:val="0"/>
              <w:widowControl/>
              <w:kinsoku/>
              <w:overflowPunct/>
              <w:topLinePunct w:val="0"/>
              <w:bidi w:val="0"/>
              <w:spacing w:line="480" w:lineRule="exact"/>
              <w:outlineLvl w:val="9"/>
              <w:rPr>
                <w:rFonts w:hint="eastAsia" w:ascii="宋体" w:hAnsi="宋体" w:cs="宋体"/>
                <w:color w:val="auto"/>
                <w:sz w:val="24"/>
                <w:highlight w:val="none"/>
                <w:lang w:bidi="ar"/>
              </w:rPr>
            </w:pPr>
            <w:r>
              <w:rPr>
                <w:rFonts w:hint="eastAsia" w:ascii="宋体" w:hAnsi="宋体" w:cs="宋体"/>
                <w:color w:val="auto"/>
                <w:sz w:val="24"/>
                <w:highlight w:val="none"/>
                <w:lang w:bidi="ar"/>
              </w:rPr>
              <w:t>联系人：</w:t>
            </w:r>
            <w:r>
              <w:rPr>
                <w:rFonts w:hint="eastAsia" w:ascii="宋体" w:hAnsi="宋体" w:cs="宋体"/>
                <w:color w:val="auto"/>
                <w:sz w:val="24"/>
                <w:highlight w:val="none"/>
                <w:lang w:val="en-US" w:eastAsia="zh-CN" w:bidi="ar"/>
              </w:rPr>
              <w:t>柯</w:t>
            </w:r>
            <w:r>
              <w:rPr>
                <w:rFonts w:hint="eastAsia" w:ascii="宋体" w:hAnsi="宋体" w:cs="宋体"/>
                <w:color w:val="auto"/>
                <w:sz w:val="24"/>
                <w:highlight w:val="none"/>
                <w:lang w:bidi="ar"/>
              </w:rPr>
              <w:t>女士</w:t>
            </w:r>
          </w:p>
          <w:p w14:paraId="7D4E527D">
            <w:pPr>
              <w:pageBreakBefore w:val="0"/>
              <w:widowControl/>
              <w:kinsoku/>
              <w:overflowPunct/>
              <w:topLinePunct w:val="0"/>
              <w:bidi w:val="0"/>
              <w:spacing w:line="480" w:lineRule="exact"/>
              <w:outlineLvl w:val="9"/>
              <w:rPr>
                <w:rFonts w:hint="eastAsia" w:ascii="宋体" w:hAnsi="宋体" w:cs="宋体"/>
                <w:color w:val="auto"/>
                <w:sz w:val="24"/>
                <w:highlight w:val="none"/>
                <w:lang w:val="en-US" w:eastAsia="zh-CN" w:bidi="ar"/>
              </w:rPr>
            </w:pPr>
            <w:r>
              <w:rPr>
                <w:rFonts w:hint="eastAsia" w:ascii="宋体" w:hAnsi="宋体" w:cs="宋体"/>
                <w:color w:val="auto"/>
                <w:sz w:val="24"/>
                <w:highlight w:val="none"/>
                <w:lang w:bidi="ar"/>
              </w:rPr>
              <w:t>电</w:t>
            </w:r>
            <w:r>
              <w:rPr>
                <w:rFonts w:hint="eastAsia" w:ascii="宋体" w:hAnsi="宋体" w:cs="宋体"/>
                <w:color w:val="auto"/>
                <w:sz w:val="24"/>
                <w:highlight w:val="none"/>
                <w:lang w:val="en-US" w:eastAsia="zh-CN" w:bidi="ar"/>
              </w:rPr>
              <w:t xml:space="preserve"> </w:t>
            </w:r>
            <w:r>
              <w:rPr>
                <w:rFonts w:hint="eastAsia" w:ascii="宋体" w:hAnsi="宋体" w:cs="宋体"/>
                <w:color w:val="auto"/>
                <w:sz w:val="24"/>
                <w:highlight w:val="none"/>
                <w:lang w:bidi="ar"/>
              </w:rPr>
              <w:t xml:space="preserve"> 话：</w:t>
            </w:r>
            <w:r>
              <w:rPr>
                <w:rFonts w:hint="eastAsia" w:ascii="宋体" w:hAnsi="宋体" w:cs="宋体"/>
                <w:color w:val="auto"/>
                <w:sz w:val="24"/>
                <w:highlight w:val="none"/>
                <w:lang w:val="en-US" w:eastAsia="zh-CN" w:bidi="ar"/>
              </w:rPr>
              <w:t>18939080858</w:t>
            </w:r>
          </w:p>
          <w:p w14:paraId="66472113">
            <w:pPr>
              <w:pageBreakBefore w:val="0"/>
              <w:widowControl/>
              <w:kinsoku/>
              <w:overflowPunct/>
              <w:topLinePunct w:val="0"/>
              <w:bidi w:val="0"/>
              <w:spacing w:line="48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val="en-US" w:eastAsia="zh-CN"/>
              </w:rPr>
              <w:t>邮箱</w:t>
            </w:r>
            <w:r>
              <w:rPr>
                <w:rFonts w:hint="eastAsia" w:ascii="宋体" w:hAnsi="宋体" w:eastAsia="宋体" w:cs="宋体"/>
                <w:color w:val="auto"/>
                <w:sz w:val="24"/>
                <w:szCs w:val="24"/>
                <w:highlight w:val="none"/>
              </w:rPr>
              <w:t>：henanhengzeshunzb@126.com</w:t>
            </w:r>
          </w:p>
        </w:tc>
      </w:tr>
      <w:tr w14:paraId="214A2DAF">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3BC16F1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870" w:type="dxa"/>
            <w:tcBorders>
              <w:top w:val="single" w:color="auto" w:sz="4" w:space="0"/>
              <w:left w:val="nil"/>
              <w:bottom w:val="single" w:color="auto" w:sz="4" w:space="0"/>
              <w:right w:val="single" w:color="auto" w:sz="4" w:space="0"/>
            </w:tcBorders>
            <w:vAlign w:val="center"/>
          </w:tcPr>
          <w:p w14:paraId="1D3B292B">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5355" w:type="dxa"/>
            <w:tcBorders>
              <w:top w:val="single" w:color="auto" w:sz="4" w:space="0"/>
              <w:left w:val="nil"/>
              <w:bottom w:val="single" w:color="auto" w:sz="4" w:space="0"/>
              <w:right w:val="single" w:color="auto" w:sz="4" w:space="0"/>
            </w:tcBorders>
            <w:vAlign w:val="center"/>
          </w:tcPr>
          <w:p w14:paraId="0449C97C">
            <w:pPr>
              <w:pageBreakBefore w:val="0"/>
              <w:kinsoku/>
              <w:overflowPunct/>
              <w:topLinePunct w:val="0"/>
              <w:bidi w:val="0"/>
              <w:spacing w:line="360" w:lineRule="auto"/>
              <w:jc w:val="lef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三门峡市湖滨区师家渠村及周边棚户区改造（A地块）配套管网基础设施建设设计项目</w:t>
            </w:r>
          </w:p>
        </w:tc>
      </w:tr>
      <w:tr w14:paraId="5CBD4096">
        <w:tblPrEx>
          <w:tblCellMar>
            <w:top w:w="0" w:type="dxa"/>
            <w:left w:w="108" w:type="dxa"/>
            <w:bottom w:w="0" w:type="dxa"/>
            <w:right w:w="108" w:type="dxa"/>
          </w:tblCellMar>
        </w:tblPrEx>
        <w:trPr>
          <w:trHeight w:val="526"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FC451A2">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870" w:type="dxa"/>
            <w:tcBorders>
              <w:top w:val="single" w:color="auto" w:sz="4" w:space="0"/>
              <w:left w:val="nil"/>
              <w:bottom w:val="single" w:color="auto" w:sz="4" w:space="0"/>
              <w:right w:val="single" w:color="auto" w:sz="4" w:space="0"/>
            </w:tcBorders>
            <w:vAlign w:val="center"/>
          </w:tcPr>
          <w:p w14:paraId="6A1FE4E9">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项目地点</w:t>
            </w:r>
          </w:p>
        </w:tc>
        <w:tc>
          <w:tcPr>
            <w:tcW w:w="5355" w:type="dxa"/>
            <w:tcBorders>
              <w:top w:val="single" w:color="auto" w:sz="4" w:space="0"/>
              <w:left w:val="nil"/>
              <w:bottom w:val="single" w:color="auto" w:sz="4" w:space="0"/>
              <w:right w:val="single" w:color="auto" w:sz="4" w:space="0"/>
            </w:tcBorders>
            <w:vAlign w:val="center"/>
          </w:tcPr>
          <w:p w14:paraId="1244CBE4">
            <w:pPr>
              <w:pageBreakBefore w:val="0"/>
              <w:kinsoku/>
              <w:overflowPunct/>
              <w:topLinePunct w:val="0"/>
              <w:bidi w:val="0"/>
              <w:spacing w:line="360" w:lineRule="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三门峡市湖滨区</w:t>
            </w:r>
          </w:p>
        </w:tc>
      </w:tr>
      <w:tr w14:paraId="6CB2468F">
        <w:tblPrEx>
          <w:tblCellMar>
            <w:top w:w="0" w:type="dxa"/>
            <w:left w:w="108" w:type="dxa"/>
            <w:bottom w:w="0" w:type="dxa"/>
            <w:right w:w="108" w:type="dxa"/>
          </w:tblCellMar>
        </w:tblPrEx>
        <w:trPr>
          <w:trHeight w:val="98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A9E82F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870" w:type="dxa"/>
            <w:tcBorders>
              <w:top w:val="single" w:color="auto" w:sz="4" w:space="0"/>
              <w:left w:val="nil"/>
              <w:bottom w:val="single" w:color="auto" w:sz="4" w:space="0"/>
              <w:right w:val="single" w:color="auto" w:sz="4" w:space="0"/>
            </w:tcBorders>
            <w:vAlign w:val="center"/>
          </w:tcPr>
          <w:p w14:paraId="5403C5D8">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采购内容</w:t>
            </w:r>
          </w:p>
        </w:tc>
        <w:tc>
          <w:tcPr>
            <w:tcW w:w="5355" w:type="dxa"/>
            <w:tcBorders>
              <w:top w:val="single" w:color="auto" w:sz="4" w:space="0"/>
              <w:left w:val="nil"/>
              <w:bottom w:val="single" w:color="auto" w:sz="4" w:space="0"/>
              <w:right w:val="single" w:color="auto" w:sz="4" w:space="0"/>
            </w:tcBorders>
            <w:vAlign w:val="center"/>
          </w:tcPr>
          <w:p w14:paraId="62F8F461">
            <w:pPr>
              <w:pageBreakBefore w:val="0"/>
              <w:kinsoku/>
              <w:overflowPunct/>
              <w:topLinePunct w:val="0"/>
              <w:bidi w:val="0"/>
              <w:spacing w:line="360" w:lineRule="auto"/>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三门峡市湖滨区师家渠村及周边棚户区改造（A地块）配套管网基础设施建设</w:t>
            </w:r>
            <w:r>
              <w:rPr>
                <w:rFonts w:hint="eastAsia" w:ascii="宋体" w:hAnsi="宋体" w:eastAsia="宋体" w:cs="宋体"/>
                <w:color w:val="auto"/>
                <w:sz w:val="24"/>
                <w:szCs w:val="24"/>
                <w:highlight w:val="none"/>
                <w:lang w:eastAsia="zh-CN"/>
              </w:rPr>
              <w:t>设计项目</w:t>
            </w:r>
            <w:r>
              <w:rPr>
                <w:rFonts w:hint="eastAsia" w:ascii="宋体" w:hAnsi="宋体" w:eastAsia="宋体" w:cs="宋体"/>
                <w:color w:val="auto"/>
                <w:sz w:val="24"/>
                <w:szCs w:val="24"/>
                <w:highlight w:val="none"/>
                <w:lang w:val="en-US" w:eastAsia="zh-CN"/>
              </w:rPr>
              <w:t>,总投资约1746万元，</w:t>
            </w:r>
            <w:r>
              <w:rPr>
                <w:rFonts w:hint="eastAsia" w:ascii="宋体" w:hAnsi="宋体" w:cs="宋体"/>
                <w:color w:val="auto"/>
                <w:sz w:val="24"/>
                <w:highlight w:val="none"/>
                <w:lang w:bidi="ar"/>
              </w:rPr>
              <w:t>设计的主要内容为</w:t>
            </w:r>
            <w:r>
              <w:rPr>
                <w:rFonts w:hint="eastAsia" w:ascii="宋体" w:hAnsi="宋体" w:eastAsia="宋体" w:cs="宋体"/>
                <w:b w:val="0"/>
                <w:bCs w:val="0"/>
                <w:color w:val="auto"/>
                <w:kern w:val="2"/>
                <w:sz w:val="24"/>
                <w:szCs w:val="24"/>
                <w:highlight w:val="none"/>
                <w:lang w:val="en-US" w:eastAsia="zh-CN" w:bidi="ar"/>
              </w:rPr>
              <w:t>更新改造、新建燃气管道、新建供水管道、新建排水管道、新建供热管道，</w:t>
            </w:r>
            <w:r>
              <w:rPr>
                <w:rFonts w:hint="eastAsia" w:ascii="宋体" w:hAnsi="宋体" w:cs="宋体"/>
                <w:color w:val="auto"/>
                <w:sz w:val="24"/>
                <w:highlight w:val="none"/>
                <w:lang w:val="en-US" w:eastAsia="zh-CN" w:bidi="ar"/>
              </w:rPr>
              <w:t>等改造内容</w:t>
            </w:r>
            <w:r>
              <w:rPr>
                <w:rFonts w:hint="eastAsia" w:ascii="宋体" w:hAnsi="宋体" w:cs="宋体"/>
                <w:color w:val="auto"/>
                <w:sz w:val="24"/>
                <w:highlight w:val="none"/>
                <w:lang w:eastAsia="zh-CN" w:bidi="ar"/>
              </w:rPr>
              <w:t>提供相关设计服务</w:t>
            </w:r>
            <w:r>
              <w:rPr>
                <w:rFonts w:hint="eastAsia" w:ascii="宋体" w:hAnsi="宋体" w:eastAsia="宋体" w:cs="宋体"/>
                <w:color w:val="auto"/>
                <w:sz w:val="24"/>
                <w:szCs w:val="24"/>
                <w:highlight w:val="none"/>
                <w:lang w:val="en-US" w:eastAsia="zh-CN"/>
              </w:rPr>
              <w:t>，具</w:t>
            </w:r>
            <w:r>
              <w:rPr>
                <w:rFonts w:hint="eastAsia" w:ascii="宋体" w:hAnsi="宋体" w:eastAsia="宋体"/>
                <w:color w:val="auto"/>
                <w:sz w:val="24"/>
                <w:szCs w:val="24"/>
                <w:highlight w:val="none"/>
              </w:rPr>
              <w:t>体要求详见竞争性磋商文件</w:t>
            </w:r>
            <w:r>
              <w:rPr>
                <w:rFonts w:hint="eastAsia" w:ascii="宋体" w:hAnsi="宋体" w:eastAsia="宋体" w:cs="宋体"/>
                <w:color w:val="auto"/>
                <w:sz w:val="24"/>
                <w:szCs w:val="24"/>
                <w:highlight w:val="none"/>
              </w:rPr>
              <w:t>；</w:t>
            </w:r>
          </w:p>
        </w:tc>
      </w:tr>
      <w:tr w14:paraId="132A944E">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09E8B063">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870" w:type="dxa"/>
            <w:tcBorders>
              <w:top w:val="single" w:color="auto" w:sz="4" w:space="0"/>
              <w:left w:val="nil"/>
              <w:bottom w:val="single" w:color="auto" w:sz="4" w:space="0"/>
              <w:right w:val="single" w:color="auto" w:sz="4" w:space="0"/>
            </w:tcBorders>
            <w:vAlign w:val="center"/>
          </w:tcPr>
          <w:p w14:paraId="51E4FCAD">
            <w:pPr>
              <w:pageBreakBefore w:val="0"/>
              <w:widowControl/>
              <w:kinsoku/>
              <w:overflowPunct/>
              <w:topLinePunct w:val="0"/>
              <w:bidi w:val="0"/>
              <w:spacing w:line="480" w:lineRule="exact"/>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tc>
        <w:tc>
          <w:tcPr>
            <w:tcW w:w="5355" w:type="dxa"/>
            <w:tcBorders>
              <w:top w:val="single" w:color="auto" w:sz="4" w:space="0"/>
              <w:left w:val="nil"/>
              <w:bottom w:val="single" w:color="auto" w:sz="4" w:space="0"/>
              <w:right w:val="single" w:color="auto" w:sz="4" w:space="0"/>
            </w:tcBorders>
            <w:vAlign w:val="center"/>
          </w:tcPr>
          <w:p w14:paraId="436A96AC">
            <w:pPr>
              <w:pageBreakBefore w:val="0"/>
              <w:widowControl/>
              <w:kinsoku/>
              <w:overflowPunct/>
              <w:topLinePunct w:val="0"/>
              <w:bidi w:val="0"/>
              <w:spacing w:line="480" w:lineRule="exact"/>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财政资金。</w:t>
            </w:r>
          </w:p>
        </w:tc>
      </w:tr>
      <w:tr w14:paraId="45156569">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4CE1F904">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870" w:type="dxa"/>
            <w:tcBorders>
              <w:top w:val="single" w:color="auto" w:sz="4" w:space="0"/>
              <w:left w:val="nil"/>
              <w:bottom w:val="single" w:color="auto" w:sz="4" w:space="0"/>
              <w:right w:val="single" w:color="auto" w:sz="4" w:space="0"/>
            </w:tcBorders>
            <w:vAlign w:val="center"/>
          </w:tcPr>
          <w:p w14:paraId="122EA705">
            <w:pPr>
              <w:pageBreakBefore w:val="0"/>
              <w:widowControl/>
              <w:kinsoku/>
              <w:overflowPunct/>
              <w:topLinePunct w:val="0"/>
              <w:bidi w:val="0"/>
              <w:spacing w:line="480" w:lineRule="exact"/>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资金落实情况</w:t>
            </w:r>
          </w:p>
        </w:tc>
        <w:tc>
          <w:tcPr>
            <w:tcW w:w="5355" w:type="dxa"/>
            <w:tcBorders>
              <w:top w:val="single" w:color="auto" w:sz="4" w:space="0"/>
              <w:left w:val="nil"/>
              <w:bottom w:val="single" w:color="auto" w:sz="4" w:space="0"/>
              <w:right w:val="single" w:color="auto" w:sz="4" w:space="0"/>
            </w:tcBorders>
            <w:vAlign w:val="center"/>
          </w:tcPr>
          <w:p w14:paraId="1F0B8327">
            <w:pPr>
              <w:pageBreakBefore w:val="0"/>
              <w:widowControl/>
              <w:kinsoku/>
              <w:overflowPunct/>
              <w:topLinePunct w:val="0"/>
              <w:bidi w:val="0"/>
              <w:spacing w:line="480" w:lineRule="exact"/>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已落实</w:t>
            </w:r>
            <w:r>
              <w:rPr>
                <w:rFonts w:hint="eastAsia" w:ascii="宋体" w:hAnsi="宋体" w:eastAsia="宋体" w:cs="宋体"/>
                <w:color w:val="auto"/>
                <w:kern w:val="0"/>
                <w:sz w:val="24"/>
                <w:szCs w:val="24"/>
                <w:highlight w:val="none"/>
                <w:lang w:eastAsia="zh-CN"/>
              </w:rPr>
              <w:t>。</w:t>
            </w:r>
          </w:p>
        </w:tc>
      </w:tr>
      <w:tr w14:paraId="7C97DD28">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68536ECF">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870" w:type="dxa"/>
            <w:tcBorders>
              <w:top w:val="single" w:color="auto" w:sz="4" w:space="0"/>
              <w:left w:val="nil"/>
              <w:bottom w:val="single" w:color="auto" w:sz="4" w:space="0"/>
              <w:right w:val="single" w:color="auto" w:sz="4" w:space="0"/>
            </w:tcBorders>
            <w:vAlign w:val="center"/>
          </w:tcPr>
          <w:p w14:paraId="19064884">
            <w:pPr>
              <w:pageBreakBefore w:val="0"/>
              <w:widowControl/>
              <w:kinsoku/>
              <w:overflowPunct/>
              <w:topLinePunct w:val="0"/>
              <w:bidi w:val="0"/>
              <w:spacing w:line="480" w:lineRule="exact"/>
              <w:jc w:val="center"/>
              <w:outlineLvl w:val="9"/>
              <w:rPr>
                <w:rFonts w:hint="eastAsia" w:ascii="宋体" w:hAnsi="宋体" w:eastAsia="宋体" w:cs="宋体"/>
                <w:color w:val="auto"/>
                <w:kern w:val="0"/>
                <w:sz w:val="24"/>
                <w:szCs w:val="24"/>
                <w:highlight w:val="none"/>
                <w:lang w:eastAsia="zh-CN"/>
              </w:rPr>
            </w:pPr>
            <w:r>
              <w:rPr>
                <w:rFonts w:hint="eastAsia" w:ascii="宋体" w:hAnsi="宋体" w:eastAsia="宋体"/>
                <w:color w:val="auto"/>
                <w:sz w:val="24"/>
                <w:szCs w:val="24"/>
                <w:highlight w:val="none"/>
                <w:lang w:eastAsia="zh-CN"/>
              </w:rPr>
              <w:t>设计周期</w:t>
            </w:r>
          </w:p>
        </w:tc>
        <w:tc>
          <w:tcPr>
            <w:tcW w:w="5355" w:type="dxa"/>
            <w:tcBorders>
              <w:top w:val="single" w:color="auto" w:sz="4" w:space="0"/>
              <w:left w:val="nil"/>
              <w:bottom w:val="single" w:color="auto" w:sz="4" w:space="0"/>
              <w:right w:val="single" w:color="auto" w:sz="4" w:space="0"/>
            </w:tcBorders>
            <w:vAlign w:val="center"/>
          </w:tcPr>
          <w:p w14:paraId="4B912AEB">
            <w:pPr>
              <w:pageBreakBefore w:val="0"/>
              <w:widowControl/>
              <w:kinsoku/>
              <w:overflowPunct/>
              <w:topLinePunct w:val="0"/>
              <w:bidi w:val="0"/>
              <w:spacing w:line="480" w:lineRule="exact"/>
              <w:outlineLvl w:val="9"/>
              <w:rPr>
                <w:rFonts w:hint="eastAsia" w:ascii="宋体" w:hAnsi="宋体" w:eastAsia="宋体" w:cs="宋体"/>
                <w:color w:val="auto"/>
                <w:kern w:val="0"/>
                <w:sz w:val="24"/>
                <w:szCs w:val="24"/>
                <w:highlight w:val="none"/>
              </w:rPr>
            </w:pPr>
            <w:r>
              <w:rPr>
                <w:rFonts w:hint="eastAsia" w:ascii="宋体" w:hAnsi="宋体" w:eastAsia="宋体"/>
                <w:color w:val="auto"/>
                <w:sz w:val="24"/>
                <w:szCs w:val="24"/>
                <w:highlight w:val="none"/>
              </w:rPr>
              <w:t>合同签订</w:t>
            </w:r>
            <w:r>
              <w:rPr>
                <w:rFonts w:hint="eastAsia" w:ascii="宋体" w:hAnsi="宋体" w:eastAsia="宋体"/>
                <w:color w:val="auto"/>
                <w:sz w:val="24"/>
                <w:szCs w:val="24"/>
                <w:highlight w:val="none"/>
                <w:lang w:eastAsia="zh-CN"/>
              </w:rPr>
              <w:t>后</w:t>
            </w:r>
            <w:r>
              <w:rPr>
                <w:rFonts w:hint="eastAsia" w:ascii="宋体" w:hAnsi="宋体" w:eastAsia="宋体"/>
                <w:color w:val="auto"/>
                <w:sz w:val="24"/>
                <w:szCs w:val="24"/>
                <w:highlight w:val="none"/>
                <w:lang w:val="en-US" w:eastAsia="zh-CN"/>
              </w:rPr>
              <w:t>30日历天内出具成果文件</w:t>
            </w:r>
            <w:r>
              <w:rPr>
                <w:rFonts w:hint="eastAsia" w:ascii="宋体" w:hAnsi="宋体" w:eastAsia="宋体" w:cs="宋体"/>
                <w:color w:val="auto"/>
                <w:kern w:val="0"/>
                <w:sz w:val="24"/>
                <w:szCs w:val="24"/>
                <w:highlight w:val="none"/>
                <w:lang w:val="en-US" w:eastAsia="zh-CN"/>
              </w:rPr>
              <w:t>。</w:t>
            </w:r>
          </w:p>
        </w:tc>
      </w:tr>
      <w:tr w14:paraId="2A8D27FC">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42551FD">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2870" w:type="dxa"/>
            <w:tcBorders>
              <w:top w:val="single" w:color="auto" w:sz="4" w:space="0"/>
              <w:left w:val="nil"/>
              <w:bottom w:val="single" w:color="auto" w:sz="4" w:space="0"/>
              <w:right w:val="single" w:color="auto" w:sz="4" w:space="0"/>
            </w:tcBorders>
            <w:vAlign w:val="center"/>
          </w:tcPr>
          <w:p w14:paraId="75669720">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质量要求</w:t>
            </w:r>
          </w:p>
        </w:tc>
        <w:tc>
          <w:tcPr>
            <w:tcW w:w="5355" w:type="dxa"/>
            <w:tcBorders>
              <w:top w:val="single" w:color="auto" w:sz="4" w:space="0"/>
              <w:left w:val="nil"/>
              <w:bottom w:val="single" w:color="auto" w:sz="4" w:space="0"/>
              <w:right w:val="single" w:color="auto" w:sz="4" w:space="0"/>
            </w:tcBorders>
            <w:vAlign w:val="center"/>
          </w:tcPr>
          <w:p w14:paraId="4C185CD4">
            <w:pPr>
              <w:pageBreakBefore w:val="0"/>
              <w:kinsoku/>
              <w:overflowPunct/>
              <w:topLinePunct w:val="0"/>
              <w:bidi w:val="0"/>
              <w:spacing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4"/>
                <w:highlight w:val="none"/>
              </w:rPr>
              <w:t>符合国家</w:t>
            </w:r>
            <w:r>
              <w:rPr>
                <w:rFonts w:hint="eastAsia" w:ascii="宋体" w:hAnsi="宋体" w:eastAsia="宋体"/>
                <w:color w:val="auto"/>
                <w:sz w:val="24"/>
                <w:szCs w:val="24"/>
                <w:highlight w:val="none"/>
                <w:lang w:eastAsia="zh-CN"/>
              </w:rPr>
              <w:t>现行相关规程和</w:t>
            </w:r>
            <w:r>
              <w:rPr>
                <w:rFonts w:hint="eastAsia" w:ascii="宋体" w:hAnsi="宋体" w:eastAsia="宋体"/>
                <w:color w:val="auto"/>
                <w:sz w:val="24"/>
                <w:szCs w:val="24"/>
                <w:highlight w:val="none"/>
              </w:rPr>
              <w:t>规范</w:t>
            </w:r>
            <w:r>
              <w:rPr>
                <w:rFonts w:hint="eastAsia" w:ascii="宋体" w:hAnsi="宋体" w:eastAsia="宋体"/>
                <w:color w:val="auto"/>
                <w:sz w:val="24"/>
                <w:szCs w:val="24"/>
                <w:highlight w:val="none"/>
                <w:lang w:eastAsia="zh-CN"/>
              </w:rPr>
              <w:t>要求</w:t>
            </w:r>
            <w:r>
              <w:rPr>
                <w:rFonts w:hint="eastAsia" w:ascii="宋体" w:hAnsi="宋体" w:eastAsia="宋体" w:cs="宋体"/>
                <w:color w:val="auto"/>
                <w:sz w:val="24"/>
                <w:szCs w:val="24"/>
                <w:highlight w:val="none"/>
                <w:lang w:eastAsia="zh-CN"/>
              </w:rPr>
              <w:t>。</w:t>
            </w:r>
          </w:p>
        </w:tc>
      </w:tr>
      <w:tr w14:paraId="4C67E62F">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9B188B8">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870" w:type="dxa"/>
            <w:tcBorders>
              <w:top w:val="single" w:color="auto" w:sz="4" w:space="0"/>
              <w:left w:val="nil"/>
              <w:bottom w:val="single" w:color="auto" w:sz="4" w:space="0"/>
              <w:right w:val="single" w:color="auto" w:sz="4" w:space="0"/>
            </w:tcBorders>
            <w:vAlign w:val="center"/>
          </w:tcPr>
          <w:p w14:paraId="2B891E30">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服务要求</w:t>
            </w:r>
          </w:p>
        </w:tc>
        <w:tc>
          <w:tcPr>
            <w:tcW w:w="5355" w:type="dxa"/>
            <w:tcBorders>
              <w:top w:val="single" w:color="auto" w:sz="4" w:space="0"/>
              <w:left w:val="nil"/>
              <w:bottom w:val="single" w:color="auto" w:sz="4" w:space="0"/>
              <w:right w:val="single" w:color="auto" w:sz="4" w:space="0"/>
            </w:tcBorders>
            <w:vAlign w:val="center"/>
          </w:tcPr>
          <w:p w14:paraId="5262A8B9">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完成本项目施工图设计、提供后续服务等在内的全部设计任务，配合施工图审查工作，确保并按要求向采购人提交相关设计成果文件</w:t>
            </w:r>
            <w:r>
              <w:rPr>
                <w:rFonts w:hint="eastAsia" w:ascii="宋体" w:hAnsi="宋体" w:cs="宋体"/>
                <w:color w:val="auto"/>
                <w:kern w:val="0"/>
                <w:sz w:val="24"/>
                <w:highlight w:val="none"/>
                <w:shd w:val="clear" w:color="auto" w:fill="FFFFFF" w:themeFill="background1"/>
                <w:lang w:val="en-US" w:eastAsia="zh-CN"/>
              </w:rPr>
              <w:t>。</w:t>
            </w:r>
          </w:p>
        </w:tc>
      </w:tr>
      <w:tr w14:paraId="1336AFE8">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4A60F60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870" w:type="dxa"/>
            <w:tcBorders>
              <w:top w:val="single" w:color="auto" w:sz="4" w:space="0"/>
              <w:left w:val="nil"/>
              <w:bottom w:val="single" w:color="auto" w:sz="4" w:space="0"/>
              <w:right w:val="single" w:color="auto" w:sz="4" w:space="0"/>
            </w:tcBorders>
            <w:vAlign w:val="center"/>
          </w:tcPr>
          <w:p w14:paraId="21CEA61F">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资格要求</w:t>
            </w:r>
          </w:p>
        </w:tc>
        <w:tc>
          <w:tcPr>
            <w:tcW w:w="5355" w:type="dxa"/>
            <w:tcBorders>
              <w:top w:val="single" w:color="auto" w:sz="4" w:space="0"/>
              <w:left w:val="nil"/>
              <w:bottom w:val="single" w:color="auto" w:sz="4" w:space="0"/>
              <w:right w:val="single" w:color="auto" w:sz="4" w:space="0"/>
            </w:tcBorders>
            <w:vAlign w:val="center"/>
          </w:tcPr>
          <w:p w14:paraId="49F8C86E">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8"/>
                <w:highlight w:val="none"/>
                <w:lang w:val="en-US" w:eastAsia="zh-CN"/>
              </w:rPr>
              <w:t>1.供应商须具有有效的营业执照</w:t>
            </w:r>
            <w:r>
              <w:rPr>
                <w:rFonts w:hint="eastAsia" w:ascii="宋体" w:hAnsi="宋体" w:eastAsia="宋体" w:cs="宋体"/>
                <w:color w:val="auto"/>
                <w:sz w:val="24"/>
                <w:szCs w:val="22"/>
                <w:highlight w:val="none"/>
                <w:lang w:eastAsia="zh-CN"/>
              </w:rPr>
              <w:t>；</w:t>
            </w:r>
          </w:p>
          <w:p w14:paraId="1105F5E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2.供应商须具有建筑行业（建筑工程）甲级及以上设计资质，并在人员、设备、资金等方面具有相应能力；</w:t>
            </w:r>
          </w:p>
          <w:p w14:paraId="2B4897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3.供应商拟派项目负责人须具备相关专业中级及以上技术职称，为本单位员工，</w:t>
            </w:r>
            <w:r>
              <w:rPr>
                <w:rFonts w:hint="eastAsia" w:ascii="宋体" w:hAnsi="宋体" w:eastAsia="宋体" w:cs="宋体"/>
                <w:color w:val="auto"/>
                <w:sz w:val="24"/>
                <w:highlight w:val="none"/>
              </w:rPr>
              <w:t>并具有劳动合同及养老保险缴费证明</w:t>
            </w:r>
            <w:r>
              <w:rPr>
                <w:rFonts w:hint="eastAsia" w:ascii="宋体" w:hAnsi="宋体" w:eastAsia="宋体" w:cs="宋体"/>
                <w:color w:val="auto"/>
                <w:sz w:val="24"/>
                <w:highlight w:val="none"/>
                <w:lang w:eastAsia="zh-CN"/>
              </w:rPr>
              <w:t>；</w:t>
            </w:r>
          </w:p>
          <w:p w14:paraId="7F9CFE6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2"/>
                <w:highlight w:val="none"/>
              </w:rPr>
              <w:t>供应商参加本次采购活动必须符合《中华人民共和国政府采购法》第二十二条的规定</w:t>
            </w:r>
            <w:r>
              <w:rPr>
                <w:rFonts w:hint="eastAsia" w:hAnsi="宋体" w:cs="宋体"/>
                <w:color w:val="auto"/>
                <w:sz w:val="24"/>
                <w:szCs w:val="22"/>
                <w:highlight w:val="none"/>
              </w:rPr>
              <w:t>，须</w:t>
            </w:r>
            <w:r>
              <w:rPr>
                <w:rFonts w:hint="eastAsia" w:ascii="宋体" w:hAnsi="宋体" w:cs="宋体"/>
                <w:color w:val="auto"/>
                <w:sz w:val="24"/>
                <w:szCs w:val="22"/>
                <w:highlight w:val="none"/>
              </w:rPr>
              <w:t>提供</w:t>
            </w:r>
            <w:r>
              <w:rPr>
                <w:rFonts w:hint="eastAsia" w:ascii="宋体" w:hAnsi="宋体" w:cs="宋体"/>
                <w:b/>
                <w:bCs/>
                <w:color w:val="auto"/>
                <w:sz w:val="24"/>
                <w:szCs w:val="22"/>
                <w:highlight w:val="none"/>
              </w:rPr>
              <w:t>承诺</w:t>
            </w:r>
            <w:r>
              <w:rPr>
                <w:rFonts w:hint="eastAsia" w:ascii="宋体" w:hAnsi="宋体" w:cs="宋体"/>
                <w:b/>
                <w:bCs/>
                <w:color w:val="auto"/>
                <w:sz w:val="24"/>
                <w:szCs w:val="22"/>
                <w:highlight w:val="none"/>
                <w:lang w:eastAsia="zh-CN"/>
              </w:rPr>
              <w:t>书</w:t>
            </w:r>
            <w:r>
              <w:rPr>
                <w:rFonts w:hint="eastAsia" w:hAnsi="宋体" w:cs="宋体"/>
                <w:color w:val="auto"/>
                <w:sz w:val="24"/>
                <w:szCs w:val="22"/>
                <w:highlight w:val="none"/>
              </w:rPr>
              <w:t>，格式</w:t>
            </w:r>
            <w:r>
              <w:rPr>
                <w:rFonts w:hint="eastAsia" w:hAnsi="宋体" w:cs="宋体"/>
                <w:color w:val="auto"/>
                <w:sz w:val="24"/>
                <w:szCs w:val="22"/>
                <w:highlight w:val="none"/>
                <w:lang w:eastAsia="zh-CN"/>
              </w:rPr>
              <w:t>自拟</w:t>
            </w:r>
            <w:r>
              <w:rPr>
                <w:rFonts w:hint="eastAsia" w:ascii="宋体" w:hAnsi="宋体" w:eastAsia="宋体" w:cs="宋体"/>
                <w:color w:val="auto"/>
                <w:sz w:val="24"/>
                <w:szCs w:val="24"/>
                <w:highlight w:val="none"/>
                <w:lang w:val="en-US" w:eastAsia="zh-CN"/>
              </w:rPr>
              <w:t>；</w:t>
            </w:r>
          </w:p>
          <w:p w14:paraId="5DBFFFC7">
            <w:pPr>
              <w:keepNext w:val="0"/>
              <w:keepLines w:val="0"/>
              <w:pageBreakBefore w:val="0"/>
              <w:widowControl/>
              <w:shd w:val="clear" w:color="auto" w:fill="auto"/>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5.</w:t>
            </w:r>
            <w:r>
              <w:rPr>
                <w:rFonts w:hint="eastAsia" w:ascii="宋体" w:hAnsi="宋体" w:eastAsia="宋体" w:cs="宋体"/>
                <w:color w:val="auto"/>
                <w:sz w:val="24"/>
                <w:szCs w:val="24"/>
                <w:highlight w:val="none"/>
                <w:lang w:eastAsia="zh-CN"/>
              </w:rPr>
              <w:t>供应商须自行出具本单位无商业贿赂及无不正当竞争行为的承诺书</w:t>
            </w:r>
            <w:r>
              <w:rPr>
                <w:rFonts w:hint="eastAsia"/>
                <w:color w:val="auto"/>
                <w:sz w:val="24"/>
                <w:szCs w:val="24"/>
                <w:highlight w:val="none"/>
                <w:lang w:val="en-US" w:eastAsia="zh-CN"/>
              </w:rPr>
              <w:t>（承诺书格式自拟）；</w:t>
            </w:r>
          </w:p>
          <w:p w14:paraId="4BB8B776">
            <w:pPr>
              <w:keepNext w:val="0"/>
              <w:keepLines w:val="0"/>
              <w:pageBreakBefore w:val="0"/>
              <w:widowControl/>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6.</w:t>
            </w: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color w:val="auto"/>
                <w:sz w:val="24"/>
                <w:highlight w:val="none"/>
                <w:lang w:val="en-US" w:eastAsia="zh-CN"/>
              </w:rPr>
              <w:t>查询日期为本公告发布之日起，网站截图应含有日期且显示查询结果；</w:t>
            </w:r>
          </w:p>
          <w:p w14:paraId="383C7E8A">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7.</w:t>
            </w:r>
            <w:r>
              <w:rPr>
                <w:rFonts w:hint="eastAsia" w:ascii="宋体" w:hAnsi="宋体" w:eastAsia="宋体" w:cs="宋体"/>
                <w:color w:val="auto"/>
                <w:sz w:val="24"/>
                <w:szCs w:val="24"/>
                <w:highlight w:val="none"/>
              </w:rPr>
              <w:t>本项目不接受联合体磋商</w:t>
            </w:r>
            <w:r>
              <w:rPr>
                <w:rFonts w:hint="eastAsia" w:ascii="宋体" w:hAnsi="宋体" w:eastAsia="宋体" w:cs="宋体"/>
                <w:color w:val="auto"/>
                <w:sz w:val="24"/>
                <w:szCs w:val="24"/>
                <w:highlight w:val="none"/>
                <w:lang w:eastAsia="zh-CN"/>
              </w:rPr>
              <w:t>，</w:t>
            </w:r>
            <w:r>
              <w:rPr>
                <w:rFonts w:hint="eastAsia"/>
                <w:color w:val="auto"/>
                <w:sz w:val="24"/>
                <w:szCs w:val="24"/>
                <w:highlight w:val="none"/>
                <w:lang w:val="en-US" w:eastAsia="zh-CN"/>
              </w:rPr>
              <w:t>供应商须提供非联合体承诺书（承诺书格式自拟）</w:t>
            </w:r>
            <w:r>
              <w:rPr>
                <w:rFonts w:hint="eastAsia" w:ascii="宋体" w:hAnsi="宋体" w:eastAsia="宋体" w:cs="宋体"/>
                <w:color w:val="auto"/>
                <w:sz w:val="24"/>
                <w:highlight w:val="none"/>
                <w:lang w:val="en-US" w:eastAsia="zh-CN"/>
              </w:rPr>
              <w:t>；</w:t>
            </w:r>
          </w:p>
          <w:p w14:paraId="502E265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8"/>
                <w:highlight w:val="none"/>
                <w:lang w:val="en-US" w:eastAsia="zh-CN"/>
              </w:rPr>
              <w:t>8.本项目实行资格后审，资格审查的具体要求见竞争性磋商文件。</w:t>
            </w:r>
          </w:p>
        </w:tc>
      </w:tr>
      <w:tr w14:paraId="1A7C7ABA">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4DE87C2C">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870" w:type="dxa"/>
            <w:tcBorders>
              <w:top w:val="single" w:color="auto" w:sz="4" w:space="0"/>
              <w:left w:val="nil"/>
              <w:bottom w:val="single" w:color="auto" w:sz="4" w:space="0"/>
              <w:right w:val="single" w:color="auto" w:sz="4" w:space="0"/>
            </w:tcBorders>
            <w:vAlign w:val="center"/>
          </w:tcPr>
          <w:p w14:paraId="1194CD90">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355" w:type="dxa"/>
            <w:tcBorders>
              <w:top w:val="single" w:color="auto" w:sz="4" w:space="0"/>
              <w:left w:val="nil"/>
              <w:bottom w:val="single" w:color="auto" w:sz="4" w:space="0"/>
              <w:right w:val="single" w:color="auto" w:sz="4" w:space="0"/>
            </w:tcBorders>
            <w:vAlign w:val="center"/>
          </w:tcPr>
          <w:p w14:paraId="044FAB2A">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自行踏勘</w:t>
            </w:r>
          </w:p>
        </w:tc>
      </w:tr>
      <w:tr w14:paraId="6C9ABB96">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064B06F9">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870" w:type="dxa"/>
            <w:tcBorders>
              <w:top w:val="single" w:color="auto" w:sz="4" w:space="0"/>
              <w:left w:val="nil"/>
              <w:bottom w:val="single" w:color="auto" w:sz="4" w:space="0"/>
              <w:right w:val="single" w:color="auto" w:sz="4" w:space="0"/>
            </w:tcBorders>
            <w:vAlign w:val="center"/>
          </w:tcPr>
          <w:p w14:paraId="41372F94">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提出问题的截止时间</w:t>
            </w:r>
          </w:p>
        </w:tc>
        <w:tc>
          <w:tcPr>
            <w:tcW w:w="5355" w:type="dxa"/>
            <w:tcBorders>
              <w:top w:val="single" w:color="auto" w:sz="4" w:space="0"/>
              <w:left w:val="nil"/>
              <w:bottom w:val="single" w:color="auto" w:sz="4" w:space="0"/>
              <w:right w:val="single" w:color="auto" w:sz="4" w:space="0"/>
            </w:tcBorders>
            <w:vAlign w:val="center"/>
          </w:tcPr>
          <w:p w14:paraId="4CEFD6A5">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响应性文件递交截止时间5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前</w:t>
            </w:r>
          </w:p>
        </w:tc>
      </w:tr>
      <w:tr w14:paraId="1484628F">
        <w:tblPrEx>
          <w:tblCellMar>
            <w:top w:w="0" w:type="dxa"/>
            <w:left w:w="108" w:type="dxa"/>
            <w:bottom w:w="0" w:type="dxa"/>
            <w:right w:w="108" w:type="dxa"/>
          </w:tblCellMar>
        </w:tblPrEx>
        <w:trPr>
          <w:trHeight w:val="563"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D54B58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870" w:type="dxa"/>
            <w:tcBorders>
              <w:top w:val="single" w:color="auto" w:sz="4" w:space="0"/>
              <w:left w:val="nil"/>
              <w:bottom w:val="single" w:color="auto" w:sz="4" w:space="0"/>
              <w:right w:val="single" w:color="auto" w:sz="4" w:space="0"/>
            </w:tcBorders>
            <w:vAlign w:val="center"/>
          </w:tcPr>
          <w:p w14:paraId="338B9968">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书面澄清的时间</w:t>
            </w:r>
          </w:p>
        </w:tc>
        <w:tc>
          <w:tcPr>
            <w:tcW w:w="5355" w:type="dxa"/>
            <w:tcBorders>
              <w:top w:val="single" w:color="auto" w:sz="4" w:space="0"/>
              <w:left w:val="nil"/>
              <w:bottom w:val="single" w:color="auto" w:sz="4" w:space="0"/>
              <w:right w:val="single" w:color="auto" w:sz="4" w:space="0"/>
            </w:tcBorders>
            <w:vAlign w:val="center"/>
          </w:tcPr>
          <w:p w14:paraId="7651C9B9">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响应性文件递交截止时间5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前</w:t>
            </w:r>
          </w:p>
        </w:tc>
      </w:tr>
      <w:tr w14:paraId="516575C0">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42E26414">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870" w:type="dxa"/>
            <w:tcBorders>
              <w:top w:val="single" w:color="auto" w:sz="4" w:space="0"/>
              <w:left w:val="nil"/>
              <w:bottom w:val="single" w:color="auto" w:sz="4" w:space="0"/>
              <w:right w:val="single" w:color="auto" w:sz="4" w:space="0"/>
            </w:tcBorders>
            <w:vAlign w:val="center"/>
          </w:tcPr>
          <w:p w14:paraId="2FEC4A1A">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355" w:type="dxa"/>
            <w:tcBorders>
              <w:top w:val="single" w:color="auto" w:sz="4" w:space="0"/>
              <w:left w:val="nil"/>
              <w:bottom w:val="single" w:color="auto" w:sz="4" w:space="0"/>
              <w:right w:val="single" w:color="auto" w:sz="4" w:space="0"/>
            </w:tcBorders>
            <w:vAlign w:val="center"/>
          </w:tcPr>
          <w:p w14:paraId="7778E6D3">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055FEB17">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20F84E48">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870" w:type="dxa"/>
            <w:tcBorders>
              <w:top w:val="single" w:color="auto" w:sz="4" w:space="0"/>
              <w:left w:val="nil"/>
              <w:bottom w:val="single" w:color="auto" w:sz="4" w:space="0"/>
              <w:right w:val="single" w:color="auto" w:sz="4" w:space="0"/>
            </w:tcBorders>
            <w:vAlign w:val="center"/>
          </w:tcPr>
          <w:p w14:paraId="3F5BFBC4">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5355" w:type="dxa"/>
            <w:tcBorders>
              <w:top w:val="single" w:color="auto" w:sz="4" w:space="0"/>
              <w:left w:val="nil"/>
              <w:bottom w:val="single" w:color="auto" w:sz="4" w:space="0"/>
              <w:right w:val="single" w:color="auto" w:sz="4" w:space="0"/>
            </w:tcBorders>
            <w:vAlign w:val="center"/>
          </w:tcPr>
          <w:p w14:paraId="67BDF7A6">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7C2D0C93">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7E827416">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870" w:type="dxa"/>
            <w:tcBorders>
              <w:top w:val="single" w:color="auto" w:sz="4" w:space="0"/>
              <w:left w:val="nil"/>
              <w:bottom w:val="single" w:color="auto" w:sz="4" w:space="0"/>
              <w:right w:val="single" w:color="auto" w:sz="4" w:space="0"/>
            </w:tcBorders>
            <w:vAlign w:val="center"/>
          </w:tcPr>
          <w:p w14:paraId="0345818A">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响应性文件递交截止时间</w:t>
            </w:r>
          </w:p>
        </w:tc>
        <w:tc>
          <w:tcPr>
            <w:tcW w:w="5355" w:type="dxa"/>
            <w:tcBorders>
              <w:top w:val="single" w:color="auto" w:sz="4" w:space="0"/>
              <w:left w:val="nil"/>
              <w:bottom w:val="single" w:color="auto" w:sz="4" w:space="0"/>
              <w:right w:val="single" w:color="auto" w:sz="4" w:space="0"/>
            </w:tcBorders>
            <w:vAlign w:val="center"/>
          </w:tcPr>
          <w:p w14:paraId="34D2BE96">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p>
        </w:tc>
      </w:tr>
      <w:tr w14:paraId="7257EFC8">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6AD10A57">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870" w:type="dxa"/>
            <w:tcBorders>
              <w:top w:val="single" w:color="auto" w:sz="4" w:space="0"/>
              <w:left w:val="nil"/>
              <w:bottom w:val="single" w:color="auto" w:sz="4" w:space="0"/>
              <w:right w:val="single" w:color="auto" w:sz="4" w:space="0"/>
            </w:tcBorders>
            <w:vAlign w:val="center"/>
          </w:tcPr>
          <w:p w14:paraId="3429D129">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确认收到磋商文件的澄清时间</w:t>
            </w:r>
          </w:p>
        </w:tc>
        <w:tc>
          <w:tcPr>
            <w:tcW w:w="5355" w:type="dxa"/>
            <w:tcBorders>
              <w:top w:val="single" w:color="auto" w:sz="4" w:space="0"/>
              <w:left w:val="nil"/>
              <w:bottom w:val="single" w:color="auto" w:sz="4" w:space="0"/>
              <w:right w:val="single" w:color="auto" w:sz="4" w:space="0"/>
            </w:tcBorders>
            <w:vAlign w:val="center"/>
          </w:tcPr>
          <w:p w14:paraId="1B7ADF19">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收到澄清后24小时内（以发出时间为准）</w:t>
            </w:r>
          </w:p>
        </w:tc>
      </w:tr>
      <w:tr w14:paraId="45A401CE">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06EF1B9D">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870" w:type="dxa"/>
            <w:tcBorders>
              <w:top w:val="single" w:color="auto" w:sz="4" w:space="0"/>
              <w:left w:val="nil"/>
              <w:bottom w:val="single" w:color="auto" w:sz="4" w:space="0"/>
              <w:right w:val="single" w:color="auto" w:sz="4" w:space="0"/>
            </w:tcBorders>
            <w:vAlign w:val="center"/>
          </w:tcPr>
          <w:p w14:paraId="7F36F674">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确认收到磋商文件的修改时间</w:t>
            </w:r>
          </w:p>
        </w:tc>
        <w:tc>
          <w:tcPr>
            <w:tcW w:w="5355" w:type="dxa"/>
            <w:tcBorders>
              <w:top w:val="single" w:color="auto" w:sz="4" w:space="0"/>
              <w:left w:val="nil"/>
              <w:bottom w:val="single" w:color="auto" w:sz="4" w:space="0"/>
              <w:right w:val="single" w:color="auto" w:sz="4" w:space="0"/>
            </w:tcBorders>
            <w:vAlign w:val="center"/>
          </w:tcPr>
          <w:p w14:paraId="481F5E09">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收到澄清后24小时内（以发出时间为准）</w:t>
            </w:r>
          </w:p>
        </w:tc>
      </w:tr>
      <w:tr w14:paraId="4703BA41">
        <w:tblPrEx>
          <w:tblCellMar>
            <w:top w:w="0" w:type="dxa"/>
            <w:left w:w="108" w:type="dxa"/>
            <w:bottom w:w="0" w:type="dxa"/>
            <w:right w:w="108" w:type="dxa"/>
          </w:tblCellMar>
        </w:tblPrEx>
        <w:trPr>
          <w:trHeight w:val="5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8E27AB6">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870" w:type="dxa"/>
            <w:tcBorders>
              <w:top w:val="single" w:color="auto" w:sz="4" w:space="0"/>
              <w:left w:val="nil"/>
              <w:bottom w:val="single" w:color="auto" w:sz="4" w:space="0"/>
              <w:right w:val="single" w:color="auto" w:sz="4" w:space="0"/>
            </w:tcBorders>
            <w:vAlign w:val="center"/>
          </w:tcPr>
          <w:p w14:paraId="4FF677B8">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5355" w:type="dxa"/>
            <w:tcBorders>
              <w:top w:val="single" w:color="auto" w:sz="4" w:space="0"/>
              <w:left w:val="nil"/>
              <w:bottom w:val="single" w:color="auto" w:sz="4" w:space="0"/>
              <w:right w:val="single" w:color="auto" w:sz="4" w:space="0"/>
            </w:tcBorders>
            <w:vAlign w:val="center"/>
          </w:tcPr>
          <w:p w14:paraId="148CA169">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cs="宋体"/>
                <w:color w:val="auto"/>
                <w:kern w:val="10"/>
                <w:sz w:val="24"/>
                <w:szCs w:val="24"/>
                <w:highlight w:val="none"/>
              </w:rPr>
              <w:t>提交响应文件截止</w:t>
            </w:r>
            <w:r>
              <w:rPr>
                <w:rFonts w:hint="eastAsia" w:ascii="宋体" w:hAnsi="宋体" w:cs="宋体"/>
                <w:color w:val="auto"/>
                <w:kern w:val="10"/>
                <w:sz w:val="24"/>
                <w:szCs w:val="24"/>
                <w:highlight w:val="none"/>
                <w:lang w:eastAsia="zh-CN"/>
              </w:rPr>
              <w:t>之日起</w:t>
            </w:r>
            <w:r>
              <w:rPr>
                <w:rFonts w:hint="eastAsia" w:ascii="宋体" w:hAnsi="宋体" w:cs="宋体"/>
                <w:color w:val="auto"/>
                <w:kern w:val="10"/>
                <w:sz w:val="24"/>
                <w:szCs w:val="24"/>
                <w:highlight w:val="none"/>
              </w:rPr>
              <w:t>60日历天，有效期短于该期限的</w:t>
            </w:r>
            <w:r>
              <w:rPr>
                <w:rFonts w:hint="eastAsia" w:ascii="宋体" w:hAnsi="宋体" w:cs="宋体"/>
                <w:color w:val="auto"/>
                <w:spacing w:val="-11"/>
                <w:sz w:val="24"/>
                <w:szCs w:val="24"/>
                <w:highlight w:val="none"/>
              </w:rPr>
              <w:t>响应文件</w:t>
            </w:r>
            <w:r>
              <w:rPr>
                <w:rFonts w:hint="eastAsia" w:ascii="宋体" w:hAnsi="宋体" w:cs="宋体"/>
                <w:color w:val="auto"/>
                <w:kern w:val="10"/>
                <w:sz w:val="24"/>
                <w:szCs w:val="24"/>
                <w:highlight w:val="none"/>
              </w:rPr>
              <w:t>将被拒绝。</w:t>
            </w:r>
          </w:p>
        </w:tc>
      </w:tr>
      <w:tr w14:paraId="4A3BAED8">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7187EA2C">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870" w:type="dxa"/>
            <w:tcBorders>
              <w:top w:val="single" w:color="auto" w:sz="4" w:space="0"/>
              <w:left w:val="nil"/>
              <w:bottom w:val="single" w:color="auto" w:sz="4" w:space="0"/>
              <w:right w:val="single" w:color="auto" w:sz="4" w:space="0"/>
            </w:tcBorders>
            <w:vAlign w:val="center"/>
          </w:tcPr>
          <w:p w14:paraId="279B1080">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5355" w:type="dxa"/>
            <w:tcBorders>
              <w:top w:val="single" w:color="auto" w:sz="4" w:space="0"/>
              <w:left w:val="nil"/>
              <w:bottom w:val="single" w:color="auto" w:sz="4" w:space="0"/>
              <w:right w:val="single" w:color="auto" w:sz="4" w:space="0"/>
            </w:tcBorders>
            <w:vAlign w:val="center"/>
          </w:tcPr>
          <w:p w14:paraId="49B23AED">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按照《河南省财政厅关于优化政府采购营商环境有关问题的通知》（豫财购[2019]4号文）的要求本项目不再收取磋商保证金。</w:t>
            </w:r>
          </w:p>
        </w:tc>
      </w:tr>
      <w:tr w14:paraId="27372E02">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6CB09609">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870" w:type="dxa"/>
            <w:tcBorders>
              <w:top w:val="single" w:color="auto" w:sz="4" w:space="0"/>
              <w:left w:val="nil"/>
              <w:bottom w:val="single" w:color="auto" w:sz="4" w:space="0"/>
              <w:right w:val="single" w:color="auto" w:sz="4" w:space="0"/>
            </w:tcBorders>
            <w:vAlign w:val="center"/>
          </w:tcPr>
          <w:p w14:paraId="684F0C21">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电子化响应文件的签章</w:t>
            </w:r>
          </w:p>
        </w:tc>
        <w:tc>
          <w:tcPr>
            <w:tcW w:w="5355" w:type="dxa"/>
            <w:tcBorders>
              <w:top w:val="single" w:color="auto" w:sz="4" w:space="0"/>
              <w:left w:val="nil"/>
              <w:bottom w:val="single" w:color="auto" w:sz="4" w:space="0"/>
              <w:right w:val="single" w:color="auto" w:sz="4" w:space="0"/>
            </w:tcBorders>
            <w:vAlign w:val="center"/>
          </w:tcPr>
          <w:p w14:paraId="7BBEDFC9">
            <w:pPr>
              <w:pageBreakBefore w:val="0"/>
              <w:kinsoku/>
              <w:overflowPunct/>
              <w:topLinePunct w:val="0"/>
              <w:bidi w:val="0"/>
              <w:spacing w:line="360" w:lineRule="auto"/>
              <w:outlineLvl w:val="9"/>
              <w:rPr>
                <w:rFonts w:hint="eastAsia" w:ascii="宋体" w:hAnsi="宋体" w:eastAsia="宋体" w:cs="宋体"/>
                <w:color w:val="auto"/>
                <w:spacing w:val="6"/>
                <w:sz w:val="24"/>
                <w:szCs w:val="24"/>
                <w:highlight w:val="none"/>
              </w:rPr>
            </w:pPr>
            <w:r>
              <w:rPr>
                <w:rFonts w:hint="eastAsia" w:ascii="宋体" w:hAnsi="宋体" w:cs="宋体"/>
                <w:color w:val="auto"/>
                <w:sz w:val="24"/>
                <w:szCs w:val="24"/>
                <w:highlight w:val="none"/>
              </w:rPr>
              <w:t>磋商响应供应商在进行电子化磋商响应文件签章时，竞争性磋商文件中要求磋商响应供应商盖章的，以签盖单位章为准；要求法定代表人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自然人或者经营者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签章的，以签盖法定代表人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自然人或者经营者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签章为准。</w:t>
            </w:r>
          </w:p>
        </w:tc>
      </w:tr>
      <w:tr w14:paraId="496CDF52">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03BF7DCF">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2870" w:type="dxa"/>
            <w:tcBorders>
              <w:top w:val="single" w:color="auto" w:sz="4" w:space="0"/>
              <w:left w:val="nil"/>
              <w:bottom w:val="single" w:color="auto" w:sz="4" w:space="0"/>
              <w:right w:val="single" w:color="auto" w:sz="4" w:space="0"/>
            </w:tcBorders>
            <w:vAlign w:val="center"/>
          </w:tcPr>
          <w:p w14:paraId="15DE82A1">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磋商地点</w:t>
            </w:r>
          </w:p>
        </w:tc>
        <w:tc>
          <w:tcPr>
            <w:tcW w:w="5355" w:type="dxa"/>
            <w:tcBorders>
              <w:top w:val="single" w:color="auto" w:sz="4" w:space="0"/>
              <w:left w:val="nil"/>
              <w:bottom w:val="single" w:color="auto" w:sz="4" w:space="0"/>
              <w:right w:val="single" w:color="auto" w:sz="4" w:space="0"/>
            </w:tcBorders>
            <w:vAlign w:val="center"/>
          </w:tcPr>
          <w:p w14:paraId="27D2AD92">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三门峡市公共资源交易中心</w:t>
            </w:r>
            <w:r>
              <w:rPr>
                <w:rFonts w:hint="eastAsia" w:ascii="宋体" w:hAnsi="宋体" w:eastAsia="宋体" w:cs="宋体"/>
                <w:color w:val="auto"/>
                <w:sz w:val="24"/>
                <w:szCs w:val="24"/>
                <w:highlight w:val="none"/>
                <w:lang w:eastAsia="zh-CN"/>
              </w:rPr>
              <w:t>五楼</w:t>
            </w:r>
            <w:r>
              <w:rPr>
                <w:rFonts w:hint="eastAsia" w:ascii="宋体" w:hAnsi="宋体" w:eastAsia="宋体" w:cs="宋体"/>
                <w:color w:val="auto"/>
                <w:sz w:val="24"/>
                <w:szCs w:val="24"/>
                <w:highlight w:val="none"/>
              </w:rPr>
              <w:t>开标区</w:t>
            </w:r>
          </w:p>
        </w:tc>
      </w:tr>
      <w:tr w14:paraId="7EC0E401">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15903A9">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2870" w:type="dxa"/>
            <w:tcBorders>
              <w:top w:val="single" w:color="auto" w:sz="4" w:space="0"/>
              <w:left w:val="nil"/>
              <w:bottom w:val="single" w:color="auto" w:sz="4" w:space="0"/>
              <w:right w:val="single" w:color="auto" w:sz="4" w:space="0"/>
            </w:tcBorders>
            <w:vAlign w:val="center"/>
          </w:tcPr>
          <w:p w14:paraId="19B903EF">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磋商小组</w:t>
            </w:r>
            <w:r>
              <w:rPr>
                <w:rFonts w:hint="eastAsia" w:ascii="宋体" w:hAnsi="宋体" w:eastAsia="宋体" w:cs="宋体"/>
                <w:color w:val="auto"/>
                <w:sz w:val="24"/>
                <w:szCs w:val="24"/>
                <w:highlight w:val="none"/>
                <w:lang w:val="en-US" w:eastAsia="zh-CN"/>
              </w:rPr>
              <w:t>的组建</w:t>
            </w:r>
          </w:p>
        </w:tc>
        <w:tc>
          <w:tcPr>
            <w:tcW w:w="5355" w:type="dxa"/>
            <w:tcBorders>
              <w:top w:val="single" w:color="auto" w:sz="4" w:space="0"/>
              <w:left w:val="nil"/>
              <w:bottom w:val="single" w:color="auto" w:sz="4" w:space="0"/>
              <w:right w:val="single" w:color="auto" w:sz="4" w:space="0"/>
            </w:tcBorders>
            <w:vAlign w:val="center"/>
          </w:tcPr>
          <w:p w14:paraId="663BD4C8">
            <w:pPr>
              <w:pageBreakBefore w:val="0"/>
              <w:kinsoku/>
              <w:overflowPunct/>
              <w:topLinePunct w:val="0"/>
              <w:bidi w:val="0"/>
              <w:spacing w:line="420" w:lineRule="exac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磋商小组构成:</w:t>
            </w:r>
            <w:r>
              <w:rPr>
                <w:rFonts w:hint="eastAsia" w:ascii="宋体" w:hAnsi="宋体" w:cs="宋体"/>
                <w:color w:val="auto"/>
                <w:sz w:val="24"/>
                <w:szCs w:val="24"/>
                <w:highlight w:val="none"/>
                <w:u w:val="single"/>
              </w:rPr>
              <w:t xml:space="preserve">  3  </w:t>
            </w:r>
            <w:r>
              <w:rPr>
                <w:rFonts w:hint="eastAsia" w:ascii="宋体" w:hAnsi="宋体" w:cs="宋体"/>
                <w:color w:val="auto"/>
                <w:sz w:val="24"/>
                <w:szCs w:val="24"/>
                <w:highlight w:val="none"/>
              </w:rPr>
              <w:t>人 ，其中</w:t>
            </w:r>
            <w:r>
              <w:rPr>
                <w:rFonts w:hint="eastAsia" w:ascii="宋体" w:hAnsi="宋体" w:cs="宋体"/>
                <w:color w:val="auto"/>
                <w:sz w:val="24"/>
                <w:szCs w:val="24"/>
                <w:highlight w:val="none"/>
                <w:lang w:eastAsia="zh-CN"/>
              </w:rPr>
              <w:t>经济、技术</w:t>
            </w:r>
            <w:r>
              <w:rPr>
                <w:rFonts w:hint="eastAsia" w:ascii="宋体" w:hAnsi="宋体" w:cs="宋体"/>
                <w:color w:val="auto"/>
                <w:sz w:val="24"/>
                <w:szCs w:val="24"/>
                <w:highlight w:val="none"/>
              </w:rPr>
              <w:t>评审专家人数不得少于磋商小组成员总数的2/3；</w:t>
            </w:r>
          </w:p>
          <w:p w14:paraId="3C84FE75">
            <w:pPr>
              <w:pageBreakBefore w:val="0"/>
              <w:kinsoku/>
              <w:overflowPunct/>
              <w:topLinePunct w:val="0"/>
              <w:bidi w:val="0"/>
              <w:spacing w:line="420" w:lineRule="exac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磋商专家确定方式</w:t>
            </w:r>
            <w:r>
              <w:rPr>
                <w:rFonts w:hint="eastAsia" w:ascii="宋体" w:hAnsi="宋体" w:cs="宋体"/>
                <w:color w:val="auto"/>
                <w:sz w:val="24"/>
                <w:szCs w:val="24"/>
                <w:highlight w:val="none"/>
                <w:lang w:eastAsia="zh-CN"/>
              </w:rPr>
              <w:t>：采购人评标代表</w:t>
            </w:r>
            <w:r>
              <w:rPr>
                <w:rFonts w:hint="eastAsia" w:ascii="宋体" w:hAnsi="宋体" w:cs="宋体"/>
                <w:color w:val="auto"/>
                <w:sz w:val="24"/>
                <w:szCs w:val="24"/>
                <w:highlight w:val="none"/>
                <w:lang w:val="en-US" w:eastAsia="zh-CN"/>
              </w:rPr>
              <w:t>1人和从河南省电子化政府采购系统评标专家库</w:t>
            </w:r>
            <w:r>
              <w:rPr>
                <w:rFonts w:hint="eastAsia" w:ascii="宋体" w:hAnsi="宋体" w:cs="宋体"/>
                <w:color w:val="auto"/>
                <w:sz w:val="24"/>
                <w:szCs w:val="24"/>
                <w:highlight w:val="none"/>
              </w:rPr>
              <w:t>中随机抽取</w:t>
            </w:r>
            <w:r>
              <w:rPr>
                <w:rFonts w:hint="eastAsia" w:ascii="宋体" w:hAnsi="宋体" w:cs="宋体"/>
                <w:color w:val="auto"/>
                <w:sz w:val="24"/>
                <w:szCs w:val="24"/>
                <w:highlight w:val="none"/>
                <w:lang w:eastAsia="zh-CN"/>
              </w:rPr>
              <w:t>技术、</w:t>
            </w:r>
            <w:r>
              <w:rPr>
                <w:rFonts w:hint="eastAsia" w:ascii="宋体" w:hAnsi="宋体" w:cs="宋体"/>
                <w:color w:val="auto"/>
                <w:sz w:val="24"/>
                <w:szCs w:val="24"/>
                <w:highlight w:val="none"/>
                <w:lang w:val="en-US" w:eastAsia="zh-CN"/>
              </w:rPr>
              <w:t>经济专家各1人，共3人确定</w:t>
            </w:r>
            <w:r>
              <w:rPr>
                <w:rFonts w:hint="eastAsia" w:ascii="宋体" w:hAnsi="宋体" w:cs="宋体"/>
                <w:color w:val="auto"/>
                <w:sz w:val="24"/>
                <w:szCs w:val="24"/>
                <w:highlight w:val="none"/>
              </w:rPr>
              <w:t>。</w:t>
            </w:r>
          </w:p>
          <w:p w14:paraId="50A79732">
            <w:pPr>
              <w:pageBreakBefore w:val="0"/>
              <w:kinsoku/>
              <w:overflowPunct/>
              <w:topLinePunct w:val="0"/>
              <w:bidi w:val="0"/>
              <w:spacing w:line="420" w:lineRule="exact"/>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lang w:val="en-US" w:eastAsia="zh-CN"/>
              </w:rPr>
              <w:t>备注：业主评委无评标劳务费用。</w:t>
            </w:r>
          </w:p>
        </w:tc>
      </w:tr>
      <w:tr w14:paraId="7D49C062">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040D3B0D">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2870" w:type="dxa"/>
            <w:tcBorders>
              <w:top w:val="single" w:color="auto" w:sz="4" w:space="0"/>
              <w:left w:val="nil"/>
              <w:bottom w:val="single" w:color="auto" w:sz="4" w:space="0"/>
              <w:right w:val="single" w:color="auto" w:sz="4" w:space="0"/>
            </w:tcBorders>
            <w:vAlign w:val="center"/>
          </w:tcPr>
          <w:p w14:paraId="60B3A04E">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是否授权磋商小组确定</w:t>
            </w:r>
            <w:r>
              <w:rPr>
                <w:rFonts w:hint="eastAsia" w:ascii="宋体" w:hAnsi="宋体" w:eastAsia="宋体" w:cs="宋体"/>
                <w:color w:val="auto"/>
                <w:sz w:val="24"/>
                <w:szCs w:val="24"/>
                <w:highlight w:val="none"/>
                <w:lang w:val="en-US" w:eastAsia="zh-CN"/>
              </w:rPr>
              <w:t>成交供应商</w:t>
            </w:r>
          </w:p>
        </w:tc>
        <w:tc>
          <w:tcPr>
            <w:tcW w:w="5355" w:type="dxa"/>
            <w:tcBorders>
              <w:top w:val="single" w:color="auto" w:sz="4" w:space="0"/>
              <w:left w:val="nil"/>
              <w:bottom w:val="single" w:color="auto" w:sz="4" w:space="0"/>
              <w:right w:val="single" w:color="auto" w:sz="4" w:space="0"/>
            </w:tcBorders>
            <w:vAlign w:val="center"/>
          </w:tcPr>
          <w:p w14:paraId="17F7FA91">
            <w:pPr>
              <w:pageBreakBefore w:val="0"/>
              <w:kinsoku/>
              <w:overflowPunct/>
              <w:topLinePunct w:val="0"/>
              <w:bidi w:val="0"/>
              <w:spacing w:line="360" w:lineRule="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否，推荐三名成交候选人，</w:t>
            </w:r>
            <w:r>
              <w:rPr>
                <w:rFonts w:hint="eastAsia" w:ascii="宋体" w:hAnsi="宋体" w:cs="宋体"/>
                <w:color w:val="auto"/>
                <w:sz w:val="24"/>
                <w:szCs w:val="24"/>
                <w:highlight w:val="none"/>
                <w:lang w:val="en-US" w:eastAsia="zh-CN"/>
              </w:rPr>
              <w:t>并标明排序</w:t>
            </w:r>
            <w:r>
              <w:rPr>
                <w:rFonts w:hint="eastAsia" w:ascii="宋体" w:hAnsi="宋体" w:eastAsia="宋体"/>
                <w:bCs/>
                <w:color w:val="auto"/>
                <w:sz w:val="24"/>
                <w:szCs w:val="24"/>
                <w:highlight w:val="none"/>
              </w:rPr>
              <w:t>。</w:t>
            </w:r>
          </w:p>
        </w:tc>
      </w:tr>
      <w:tr w14:paraId="12B2EC99">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52F20C3B">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2870" w:type="dxa"/>
            <w:tcBorders>
              <w:top w:val="single" w:color="auto" w:sz="4" w:space="0"/>
              <w:left w:val="nil"/>
              <w:bottom w:val="single" w:color="auto" w:sz="4" w:space="0"/>
              <w:right w:val="single" w:color="auto" w:sz="4" w:space="0"/>
            </w:tcBorders>
            <w:vAlign w:val="center"/>
          </w:tcPr>
          <w:p w14:paraId="7452FF46">
            <w:pPr>
              <w:keepLines/>
              <w:spacing w:line="46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付款方式</w:t>
            </w:r>
          </w:p>
        </w:tc>
        <w:tc>
          <w:tcPr>
            <w:tcW w:w="5355" w:type="dxa"/>
            <w:tcBorders>
              <w:top w:val="single" w:color="auto" w:sz="4" w:space="0"/>
              <w:left w:val="nil"/>
              <w:bottom w:val="single" w:color="auto" w:sz="4" w:space="0"/>
              <w:right w:val="single" w:color="auto" w:sz="4" w:space="0"/>
            </w:tcBorders>
            <w:vAlign w:val="center"/>
          </w:tcPr>
          <w:p w14:paraId="52A9BAAD">
            <w:pPr>
              <w:pStyle w:val="36"/>
              <w:keepNext w:val="0"/>
              <w:keepLines w:val="0"/>
              <w:pageBreakBefore/>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bookmarkStart w:id="22" w:name="_Toc14984"/>
            <w:r>
              <w:rPr>
                <w:rFonts w:hint="eastAsia" w:ascii="宋体" w:hAnsi="宋体" w:eastAsia="宋体" w:cs="宋体"/>
                <w:color w:val="auto"/>
                <w:kern w:val="2"/>
                <w:sz w:val="24"/>
                <w:szCs w:val="24"/>
                <w:highlight w:val="none"/>
                <w:lang w:val="en-US" w:eastAsia="zh-CN" w:bidi="ar-SA"/>
              </w:rPr>
              <w:t>根据合同约定执行。</w:t>
            </w:r>
            <w:bookmarkEnd w:id="22"/>
          </w:p>
        </w:tc>
      </w:tr>
      <w:tr w14:paraId="4084C997">
        <w:tblPrEx>
          <w:tblCellMar>
            <w:top w:w="0" w:type="dxa"/>
            <w:left w:w="108" w:type="dxa"/>
            <w:bottom w:w="0" w:type="dxa"/>
            <w:right w:w="108" w:type="dxa"/>
          </w:tblCellMar>
        </w:tblPrEx>
        <w:trPr>
          <w:trHeight w:val="4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DF4774E">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2870" w:type="dxa"/>
            <w:tcBorders>
              <w:top w:val="single" w:color="auto" w:sz="4" w:space="0"/>
              <w:left w:val="nil"/>
              <w:bottom w:val="single" w:color="auto" w:sz="4" w:space="0"/>
              <w:right w:val="single" w:color="auto" w:sz="4" w:space="0"/>
            </w:tcBorders>
            <w:vAlign w:val="center"/>
          </w:tcPr>
          <w:p w14:paraId="7A933988">
            <w:pPr>
              <w:pageBreakBefore w:val="0"/>
              <w:kinsoku/>
              <w:overflowPunct/>
              <w:topLinePunct w:val="0"/>
              <w:bidi w:val="0"/>
              <w:adjustRightInd w:val="0"/>
              <w:spacing w:line="360" w:lineRule="auto"/>
              <w:jc w:val="center"/>
              <w:outlineLvl w:val="9"/>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采购控制价</w:t>
            </w:r>
          </w:p>
        </w:tc>
        <w:tc>
          <w:tcPr>
            <w:tcW w:w="5355" w:type="dxa"/>
            <w:tcBorders>
              <w:top w:val="single" w:color="auto" w:sz="4" w:space="0"/>
              <w:left w:val="nil"/>
              <w:bottom w:val="single" w:color="auto" w:sz="4" w:space="0"/>
              <w:right w:val="single" w:color="auto" w:sz="4" w:space="0"/>
            </w:tcBorders>
            <w:vAlign w:val="center"/>
          </w:tcPr>
          <w:p w14:paraId="7D9BF26B">
            <w:pPr>
              <w:pageBreakBefore w:val="0"/>
              <w:kinsoku/>
              <w:overflowPunct/>
              <w:topLinePunct w:val="0"/>
              <w:autoSpaceDE w:val="0"/>
              <w:autoSpaceDN w:val="0"/>
              <w:bidi w:val="0"/>
              <w:adjustRightInd w:val="0"/>
              <w:spacing w:line="360" w:lineRule="auto"/>
              <w:outlineLvl w:val="9"/>
              <w:rPr>
                <w:rFonts w:hint="eastAsia" w:ascii="宋体" w:hAnsi="宋体" w:cs="宋体" w:eastAsiaTheme="minorEastAsia"/>
                <w:color w:val="auto"/>
                <w:sz w:val="24"/>
                <w:szCs w:val="28"/>
                <w:highlight w:val="none"/>
                <w:lang w:val="en-US" w:eastAsia="zh-CN"/>
              </w:rPr>
            </w:pPr>
            <w:r>
              <w:rPr>
                <w:rFonts w:hint="eastAsia" w:ascii="宋体" w:hAnsi="宋体" w:cs="宋体"/>
                <w:color w:val="auto"/>
                <w:sz w:val="24"/>
                <w:szCs w:val="28"/>
                <w:highlight w:val="none"/>
                <w:lang w:val="en-US" w:eastAsia="zh-CN"/>
              </w:rPr>
              <w:t>大写：实际设计内容的百分之三点五</w:t>
            </w:r>
          </w:p>
          <w:p w14:paraId="7230B741">
            <w:pPr>
              <w:pageBreakBefore w:val="0"/>
              <w:kinsoku/>
              <w:overflowPunct/>
              <w:topLinePunct w:val="0"/>
              <w:autoSpaceDE w:val="0"/>
              <w:autoSpaceDN w:val="0"/>
              <w:bidi w:val="0"/>
              <w:adjustRightInd w:val="0"/>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8"/>
                <w:highlight w:val="none"/>
                <w:lang w:val="en-US" w:eastAsia="zh-CN"/>
              </w:rPr>
              <w:t>小写：实际设计内容的3.5</w:t>
            </w:r>
            <w:r>
              <w:rPr>
                <w:rFonts w:hint="eastAsia" w:ascii="宋体" w:hAnsi="宋体" w:cs="宋体"/>
                <w:color w:val="auto"/>
                <w:sz w:val="24"/>
                <w:szCs w:val="28"/>
                <w:highlight w:val="none"/>
              </w:rPr>
              <w:t>%</w:t>
            </w:r>
            <w:r>
              <w:rPr>
                <w:rFonts w:hint="eastAsia" w:ascii="宋体" w:hAnsi="宋体" w:cs="宋体"/>
                <w:color w:val="auto"/>
                <w:sz w:val="24"/>
                <w:szCs w:val="24"/>
                <w:highlight w:val="none"/>
              </w:rPr>
              <w:t>，凡磋商响应供应商的磋商报价超出“</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控制价”的，该磋商响应供应商的磋商响应文件应作无效标处理。</w:t>
            </w:r>
          </w:p>
          <w:p w14:paraId="01EE46CC">
            <w:pPr>
              <w:pageBreakBefore w:val="0"/>
              <w:kinsoku/>
              <w:overflowPunct/>
              <w:topLinePunct w:val="0"/>
              <w:autoSpaceDE w:val="0"/>
              <w:autoSpaceDN w:val="0"/>
              <w:bidi w:val="0"/>
              <w:adjustRightInd w:val="0"/>
              <w:spacing w:line="360" w:lineRule="auto"/>
              <w:outlineLvl w:val="9"/>
              <w:rPr>
                <w:rFonts w:hint="eastAsia" w:ascii="宋体" w:hAnsi="宋体" w:eastAsia="宋体" w:cs="宋体"/>
                <w:b/>
                <w:bCs/>
                <w:color w:val="0000FF"/>
                <w:spacing w:val="6"/>
                <w:sz w:val="24"/>
                <w:szCs w:val="24"/>
                <w:highlight w:val="none"/>
                <w:lang w:val="en-US" w:eastAsia="zh-CN"/>
              </w:rPr>
            </w:pPr>
            <w:r>
              <w:rPr>
                <w:rFonts w:hint="eastAsia" w:ascii="宋体" w:hAnsi="宋体" w:eastAsia="宋体" w:cs="宋体"/>
                <w:b/>
                <w:bCs/>
                <w:color w:val="0000FF"/>
                <w:spacing w:val="6"/>
                <w:sz w:val="24"/>
                <w:szCs w:val="24"/>
                <w:highlight w:val="none"/>
                <w:lang w:val="en-US" w:eastAsia="zh-CN"/>
              </w:rPr>
              <w:t>本项目为河南省政府采购系统互联互通项目，推送至交易中心系统显示控制价为61.11万元，（控制价费率：实际设计内容的3.5%，计费基数为项目总投资额约1746万元）。</w:t>
            </w:r>
          </w:p>
          <w:p w14:paraId="4040B620">
            <w:pPr>
              <w:pageBreakBefore w:val="0"/>
              <w:kinsoku/>
              <w:overflowPunct/>
              <w:topLinePunct w:val="0"/>
              <w:autoSpaceDE w:val="0"/>
              <w:autoSpaceDN w:val="0"/>
              <w:bidi w:val="0"/>
              <w:adjustRightInd w:val="0"/>
              <w:spacing w:line="360" w:lineRule="auto"/>
              <w:outlineLvl w:val="9"/>
              <w:rPr>
                <w:rFonts w:hint="eastAsia" w:ascii="宋体" w:hAnsi="宋体" w:eastAsia="宋体" w:cs="宋体"/>
                <w:b/>
                <w:bCs/>
                <w:color w:val="0000FF"/>
                <w:spacing w:val="6"/>
                <w:sz w:val="24"/>
                <w:szCs w:val="24"/>
                <w:highlight w:val="none"/>
                <w:lang w:val="en-US" w:eastAsia="zh-CN"/>
              </w:rPr>
            </w:pPr>
            <w:r>
              <w:rPr>
                <w:rFonts w:hint="eastAsia" w:ascii="宋体" w:hAnsi="宋体" w:eastAsia="宋体" w:cs="宋体"/>
                <w:b/>
                <w:bCs/>
                <w:color w:val="0000FF"/>
                <w:spacing w:val="6"/>
                <w:sz w:val="24"/>
                <w:szCs w:val="24"/>
                <w:highlight w:val="none"/>
                <w:lang w:val="en-US" w:eastAsia="zh-CN"/>
              </w:rPr>
              <w:t>计算方式：17460000×3.5%=611100</w:t>
            </w:r>
          </w:p>
          <w:p w14:paraId="3F4B28E9">
            <w:pPr>
              <w:pageBreakBefore w:val="0"/>
              <w:kinsoku/>
              <w:overflowPunct/>
              <w:topLinePunct w:val="0"/>
              <w:autoSpaceDE w:val="0"/>
              <w:autoSpaceDN w:val="0"/>
              <w:bidi w:val="0"/>
              <w:adjustRightInd w:val="0"/>
              <w:spacing w:line="360" w:lineRule="auto"/>
              <w:outlineLvl w:val="9"/>
              <w:rPr>
                <w:rFonts w:hint="default" w:ascii="宋体" w:hAnsi="宋体" w:eastAsia="宋体" w:cs="宋体"/>
                <w:b/>
                <w:bCs/>
                <w:color w:val="0000FF"/>
                <w:spacing w:val="6"/>
                <w:sz w:val="24"/>
                <w:szCs w:val="24"/>
                <w:highlight w:val="none"/>
                <w:lang w:val="en-US" w:eastAsia="zh-CN"/>
              </w:rPr>
            </w:pPr>
            <w:r>
              <w:rPr>
                <w:rFonts w:hint="eastAsia" w:ascii="宋体" w:hAnsi="宋体" w:eastAsia="宋体" w:cs="宋体"/>
                <w:b/>
                <w:bCs/>
                <w:color w:val="0000FF"/>
                <w:spacing w:val="6"/>
                <w:sz w:val="24"/>
                <w:szCs w:val="24"/>
                <w:highlight w:val="none"/>
                <w:lang w:val="en-US" w:eastAsia="zh-CN"/>
              </w:rPr>
              <w:t>开标一览表、磋商函附录及二次报价中的费率报价均按以上计算方式计算。</w:t>
            </w:r>
          </w:p>
        </w:tc>
      </w:tr>
      <w:tr w14:paraId="5D8E6970">
        <w:tblPrEx>
          <w:tblCellMar>
            <w:top w:w="0" w:type="dxa"/>
            <w:left w:w="108" w:type="dxa"/>
            <w:bottom w:w="0" w:type="dxa"/>
            <w:right w:w="108" w:type="dxa"/>
          </w:tblCellMar>
        </w:tblPrEx>
        <w:trPr>
          <w:trHeight w:val="4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97318BD">
            <w:pPr>
              <w:pageBreakBefore w:val="0"/>
              <w:kinsoku/>
              <w:overflowPunct/>
              <w:topLinePunct w:val="0"/>
              <w:bidi w:val="0"/>
              <w:spacing w:line="360" w:lineRule="auto"/>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29</w:t>
            </w:r>
          </w:p>
        </w:tc>
        <w:tc>
          <w:tcPr>
            <w:tcW w:w="2870" w:type="dxa"/>
            <w:tcBorders>
              <w:top w:val="single" w:color="auto" w:sz="4" w:space="0"/>
              <w:left w:val="nil"/>
              <w:bottom w:val="single" w:color="auto" w:sz="4" w:space="0"/>
              <w:right w:val="single" w:color="auto" w:sz="4" w:space="0"/>
            </w:tcBorders>
            <w:vAlign w:val="center"/>
          </w:tcPr>
          <w:p w14:paraId="52568980">
            <w:pPr>
              <w:pageBreakBefore w:val="0"/>
              <w:kinsoku/>
              <w:overflowPunct/>
              <w:topLinePunct w:val="0"/>
              <w:bidi w:val="0"/>
              <w:adjustRightInd w:val="0"/>
              <w:spacing w:line="360" w:lineRule="auto"/>
              <w:jc w:val="center"/>
              <w:outlineLvl w:val="9"/>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rPr>
              <w:t>报价</w:t>
            </w:r>
            <w:r>
              <w:rPr>
                <w:rFonts w:hint="eastAsia" w:ascii="宋体" w:hAnsi="宋体" w:eastAsia="宋体" w:cs="宋体"/>
                <w:b/>
                <w:bCs/>
                <w:color w:val="auto"/>
                <w:spacing w:val="6"/>
                <w:kern w:val="0"/>
                <w:sz w:val="24"/>
                <w:szCs w:val="24"/>
                <w:highlight w:val="none"/>
                <w:lang w:eastAsia="zh-CN"/>
              </w:rPr>
              <w:t>方式及</w:t>
            </w:r>
            <w:r>
              <w:rPr>
                <w:rFonts w:hint="eastAsia" w:ascii="宋体" w:hAnsi="宋体" w:eastAsia="宋体" w:cs="宋体"/>
                <w:b/>
                <w:bCs/>
                <w:color w:val="auto"/>
                <w:spacing w:val="6"/>
                <w:kern w:val="0"/>
                <w:sz w:val="24"/>
                <w:szCs w:val="24"/>
                <w:highlight w:val="none"/>
                <w:lang w:val="en-US" w:eastAsia="zh-CN"/>
              </w:rPr>
              <w:t>要求</w:t>
            </w:r>
          </w:p>
        </w:tc>
        <w:tc>
          <w:tcPr>
            <w:tcW w:w="5355" w:type="dxa"/>
            <w:tcBorders>
              <w:top w:val="single" w:color="auto" w:sz="4" w:space="0"/>
              <w:left w:val="nil"/>
              <w:bottom w:val="single" w:color="auto" w:sz="4" w:space="0"/>
              <w:right w:val="single" w:color="auto" w:sz="4" w:space="0"/>
            </w:tcBorders>
            <w:vAlign w:val="center"/>
          </w:tcPr>
          <w:p w14:paraId="0B1643B7">
            <w:pPr>
              <w:pageBreakBefore w:val="0"/>
              <w:kinsoku/>
              <w:overflowPunct/>
              <w:topLinePunct w:val="0"/>
              <w:autoSpaceDE w:val="0"/>
              <w:autoSpaceDN w:val="0"/>
              <w:bidi w:val="0"/>
              <w:adjustRightInd w:val="0"/>
              <w:spacing w:line="360" w:lineRule="auto"/>
              <w:outlineLvl w:val="9"/>
              <w:rPr>
                <w:rFonts w:hint="eastAsia" w:ascii="宋体" w:hAnsi="宋体" w:eastAsia="宋体" w:cs="宋体"/>
                <w:b w:val="0"/>
                <w:bCs w:val="0"/>
                <w:color w:val="auto"/>
                <w:spacing w:val="6"/>
                <w:sz w:val="24"/>
                <w:szCs w:val="24"/>
                <w:highlight w:val="none"/>
                <w:lang w:eastAsia="zh-CN"/>
              </w:rPr>
            </w:pPr>
            <w:r>
              <w:rPr>
                <w:rFonts w:hint="eastAsia" w:ascii="宋体" w:hAnsi="宋体" w:eastAsia="宋体" w:cs="宋体"/>
                <w:b w:val="0"/>
                <w:bCs w:val="0"/>
                <w:color w:val="auto"/>
                <w:spacing w:val="6"/>
                <w:sz w:val="24"/>
                <w:szCs w:val="24"/>
                <w:highlight w:val="none"/>
                <w:lang w:eastAsia="zh-CN"/>
              </w:rPr>
              <w:t>本项目为费率报价；</w:t>
            </w:r>
          </w:p>
          <w:p w14:paraId="2FC65169">
            <w:pPr>
              <w:pageBreakBefore w:val="0"/>
              <w:kinsoku/>
              <w:overflowPunct/>
              <w:topLinePunct w:val="0"/>
              <w:autoSpaceDE w:val="0"/>
              <w:autoSpaceDN w:val="0"/>
              <w:bidi w:val="0"/>
              <w:adjustRightInd w:val="0"/>
              <w:spacing w:line="360" w:lineRule="auto"/>
              <w:outlineLvl w:val="9"/>
              <w:rPr>
                <w:rFonts w:hint="default" w:ascii="宋体" w:hAnsi="宋体" w:eastAsia="宋体" w:cs="宋体"/>
                <w:color w:val="auto"/>
                <w:spacing w:val="6"/>
                <w:sz w:val="24"/>
                <w:szCs w:val="24"/>
                <w:highlight w:val="none"/>
                <w:lang w:val="en-US" w:eastAsia="zh-CN"/>
              </w:rPr>
            </w:pPr>
            <w:r>
              <w:rPr>
                <w:rFonts w:hint="eastAsia" w:ascii="宋体" w:hAnsi="宋体" w:eastAsia="宋体" w:cs="宋体"/>
                <w:b w:val="0"/>
                <w:bCs w:val="0"/>
                <w:color w:val="auto"/>
                <w:spacing w:val="6"/>
                <w:sz w:val="24"/>
                <w:szCs w:val="24"/>
                <w:highlight w:val="none"/>
              </w:rPr>
              <w:t>本次磋商为二轮报价，磋商响应文件中为一次报价，二次报价由</w:t>
            </w:r>
            <w:r>
              <w:rPr>
                <w:rFonts w:hint="eastAsia" w:ascii="宋体" w:hAnsi="宋体" w:eastAsia="宋体" w:cs="宋体"/>
                <w:b w:val="0"/>
                <w:bCs w:val="0"/>
                <w:color w:val="auto"/>
                <w:spacing w:val="6"/>
                <w:sz w:val="24"/>
                <w:szCs w:val="24"/>
                <w:highlight w:val="none"/>
                <w:lang w:eastAsia="zh-CN"/>
              </w:rPr>
              <w:t>磋商小组</w:t>
            </w:r>
            <w:r>
              <w:rPr>
                <w:rFonts w:hint="eastAsia" w:ascii="宋体" w:hAnsi="宋体" w:eastAsia="宋体" w:cs="宋体"/>
                <w:b w:val="0"/>
                <w:bCs w:val="0"/>
                <w:color w:val="auto"/>
                <w:spacing w:val="6"/>
                <w:sz w:val="24"/>
                <w:szCs w:val="24"/>
                <w:highlight w:val="none"/>
              </w:rPr>
              <w:t>发起进行报价，二次报价即为最终报价，最终报价为响应文件的一部分。</w:t>
            </w:r>
          </w:p>
        </w:tc>
      </w:tr>
      <w:tr w14:paraId="4833E2D7">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0701B607">
            <w:pPr>
              <w:pageBreakBefore w:val="0"/>
              <w:kinsoku/>
              <w:overflowPunct/>
              <w:topLinePunct w:val="0"/>
              <w:bidi w:val="0"/>
              <w:spacing w:line="360" w:lineRule="auto"/>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30</w:t>
            </w:r>
          </w:p>
        </w:tc>
        <w:tc>
          <w:tcPr>
            <w:tcW w:w="2870" w:type="dxa"/>
            <w:tcBorders>
              <w:top w:val="single" w:color="auto" w:sz="4" w:space="0"/>
              <w:left w:val="nil"/>
              <w:bottom w:val="single" w:color="auto" w:sz="4" w:space="0"/>
              <w:right w:val="single" w:color="auto" w:sz="4" w:space="0"/>
            </w:tcBorders>
            <w:vAlign w:val="center"/>
          </w:tcPr>
          <w:p w14:paraId="32FEAA75">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代理服务费</w:t>
            </w:r>
          </w:p>
        </w:tc>
        <w:tc>
          <w:tcPr>
            <w:tcW w:w="5355" w:type="dxa"/>
            <w:tcBorders>
              <w:top w:val="single" w:color="auto" w:sz="4" w:space="0"/>
              <w:left w:val="nil"/>
              <w:bottom w:val="single" w:color="auto" w:sz="4" w:space="0"/>
              <w:right w:val="single" w:color="auto" w:sz="4" w:space="0"/>
            </w:tcBorders>
            <w:vAlign w:val="center"/>
          </w:tcPr>
          <w:p w14:paraId="5417E48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1.收取标准：参考河南省招标代理服务收费指导意见（豫招协[2023]002号）规定的收费标准计算。</w:t>
            </w:r>
          </w:p>
          <w:p w14:paraId="0147BAD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2.收取方式：</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供应商在领取</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通知书时，以现金或转账的方式一次性向代理机构缴纳招标代理服务费。</w:t>
            </w:r>
          </w:p>
          <w:p w14:paraId="6786BE2D">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highlight w:val="none"/>
                <w:lang w:val="en-US" w:eastAsia="zh-CN"/>
              </w:rPr>
              <w:t>3.成交单位领取成交通知书时将贰份与</w:t>
            </w:r>
            <w:r>
              <w:rPr>
                <w:rFonts w:hint="eastAsia" w:ascii="宋体" w:hAnsi="宋体" w:eastAsia="宋体" w:cs="宋体"/>
                <w:b/>
                <w:bCs/>
                <w:color w:val="auto"/>
                <w:highlight w:val="none"/>
              </w:rPr>
              <w:t>电子化投标</w:t>
            </w:r>
            <w:r>
              <w:rPr>
                <w:rFonts w:hint="eastAsia" w:ascii="宋体" w:hAnsi="宋体" w:eastAsia="宋体" w:cs="宋体"/>
                <w:b/>
                <w:bCs/>
                <w:color w:val="auto"/>
                <w:highlight w:val="none"/>
                <w:lang w:eastAsia="zh-CN"/>
              </w:rPr>
              <w:t>（响应）</w:t>
            </w:r>
            <w:r>
              <w:rPr>
                <w:rFonts w:hint="eastAsia" w:ascii="宋体" w:hAnsi="宋体" w:eastAsia="宋体" w:cs="宋体"/>
                <w:b/>
                <w:bCs/>
                <w:color w:val="auto"/>
                <w:highlight w:val="none"/>
              </w:rPr>
              <w:t>文件</w:t>
            </w:r>
            <w:r>
              <w:rPr>
                <w:rFonts w:hint="eastAsia" w:ascii="宋体" w:hAnsi="宋体" w:eastAsia="宋体" w:cs="宋体"/>
                <w:b/>
                <w:bCs/>
                <w:color w:val="auto"/>
                <w:highlight w:val="none"/>
                <w:lang w:eastAsia="zh-CN"/>
              </w:rPr>
              <w:t>相同</w:t>
            </w:r>
            <w:r>
              <w:rPr>
                <w:rFonts w:hint="eastAsia" w:ascii="宋体" w:hAnsi="宋体" w:eastAsia="宋体" w:cs="宋体"/>
                <w:b w:val="0"/>
                <w:bCs/>
                <w:color w:val="auto"/>
                <w:sz w:val="24"/>
                <w:highlight w:val="none"/>
                <w:lang w:val="en-US" w:eastAsia="zh-CN"/>
              </w:rPr>
              <w:t>的纸质磋商响应文件提交至采购代理机构，磋商响应文件应按以下要求装订：胶装（不得采用活页装订），应有目录，并逐页标注连续页码，需加盖公章。</w:t>
            </w:r>
          </w:p>
        </w:tc>
      </w:tr>
      <w:tr w14:paraId="4F2C2C44">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BCB6DE6">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2870" w:type="dxa"/>
            <w:tcBorders>
              <w:top w:val="single" w:color="auto" w:sz="4" w:space="0"/>
              <w:left w:val="nil"/>
              <w:bottom w:val="single" w:color="auto" w:sz="4" w:space="0"/>
              <w:right w:val="single" w:color="auto" w:sz="4" w:space="0"/>
            </w:tcBorders>
            <w:vAlign w:val="center"/>
          </w:tcPr>
          <w:p w14:paraId="323DD683">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项目所属行业</w:t>
            </w:r>
          </w:p>
        </w:tc>
        <w:tc>
          <w:tcPr>
            <w:tcW w:w="5355" w:type="dxa"/>
            <w:tcBorders>
              <w:top w:val="single" w:color="auto" w:sz="4" w:space="0"/>
              <w:left w:val="nil"/>
              <w:bottom w:val="single" w:color="auto" w:sz="4" w:space="0"/>
              <w:right w:val="single" w:color="auto" w:sz="4" w:space="0"/>
            </w:tcBorders>
            <w:vAlign w:val="center"/>
          </w:tcPr>
          <w:p w14:paraId="0BEC821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其他未列明行业</w:t>
            </w:r>
          </w:p>
        </w:tc>
      </w:tr>
      <w:tr w14:paraId="2824CA27">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FF67437">
            <w:pPr>
              <w:pageBreakBefore w:val="0"/>
              <w:kinsoku/>
              <w:overflowPunct/>
              <w:topLinePunct w:val="0"/>
              <w:bidi w:val="0"/>
              <w:spacing w:line="360" w:lineRule="auto"/>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32</w:t>
            </w:r>
          </w:p>
        </w:tc>
        <w:tc>
          <w:tcPr>
            <w:tcW w:w="2870" w:type="dxa"/>
            <w:tcBorders>
              <w:top w:val="single" w:color="auto" w:sz="4" w:space="0"/>
              <w:left w:val="nil"/>
              <w:bottom w:val="single" w:color="auto" w:sz="4" w:space="0"/>
              <w:right w:val="single" w:color="auto" w:sz="4" w:space="0"/>
            </w:tcBorders>
            <w:vAlign w:val="center"/>
          </w:tcPr>
          <w:p w14:paraId="48DE22A6">
            <w:pPr>
              <w:spacing w:line="46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其他</w:t>
            </w:r>
          </w:p>
        </w:tc>
        <w:tc>
          <w:tcPr>
            <w:tcW w:w="5355" w:type="dxa"/>
            <w:tcBorders>
              <w:top w:val="single" w:color="auto" w:sz="4" w:space="0"/>
              <w:left w:val="nil"/>
              <w:bottom w:val="single" w:color="auto" w:sz="4" w:space="0"/>
              <w:right w:val="single" w:color="auto" w:sz="4" w:space="0"/>
            </w:tcBorders>
            <w:vAlign w:val="center"/>
          </w:tcPr>
          <w:p w14:paraId="5B893131">
            <w:pPr>
              <w:pStyle w:val="11"/>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1.以投标文件业绩信息为准，可使用电子营业执照。</w:t>
            </w:r>
          </w:p>
          <w:p w14:paraId="1EF670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.本项目实行资格后审，根据优化营商环境的要求，评标时审查内容以投标（响应）文件为准：</w:t>
            </w:r>
          </w:p>
          <w:p w14:paraId="1E95839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（1）资格评（预）审部分：资格评（预）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以投标（响应）文件为准，其上传资料真实性由供应商自行承担，同时，供应商要完善主体库。</w:t>
            </w:r>
          </w:p>
          <w:p w14:paraId="741AB7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（2）评标打分部分：评标打分部分仍按照100分制原则进行，涉及到资格审查、企业荣誉、人员业绩、企业业绩等计分部分时，以供应商自行上传到投标（响应）文件中的相应内容为准。</w:t>
            </w:r>
          </w:p>
          <w:p w14:paraId="598F271A">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 xml:space="preserve">（3）响应文件编制部分：在招标文件中要求供应商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tc>
      </w:tr>
      <w:tr w14:paraId="5F3F1333">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8E97B1E">
            <w:pPr>
              <w:pageBreakBefore w:val="0"/>
              <w:kinsoku/>
              <w:overflowPunct/>
              <w:topLinePunct w:val="0"/>
              <w:bidi w:val="0"/>
              <w:spacing w:line="360" w:lineRule="auto"/>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33</w:t>
            </w:r>
          </w:p>
        </w:tc>
        <w:tc>
          <w:tcPr>
            <w:tcW w:w="2870" w:type="dxa"/>
            <w:tcBorders>
              <w:top w:val="single" w:color="auto" w:sz="4" w:space="0"/>
              <w:left w:val="nil"/>
              <w:bottom w:val="single" w:color="auto" w:sz="4" w:space="0"/>
              <w:right w:val="single" w:color="auto" w:sz="4" w:space="0"/>
            </w:tcBorders>
            <w:vAlign w:val="center"/>
          </w:tcPr>
          <w:p w14:paraId="0DB965B0">
            <w:pPr>
              <w:pageBreakBefore w:val="0"/>
              <w:widowControl/>
              <w:kinsoku/>
              <w:overflowPunct/>
              <w:topLinePunct w:val="0"/>
              <w:bidi w:val="0"/>
              <w:spacing w:line="360" w:lineRule="auto"/>
              <w:jc w:val="center"/>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电子化注意事项</w:t>
            </w:r>
          </w:p>
        </w:tc>
        <w:tc>
          <w:tcPr>
            <w:tcW w:w="5355" w:type="dxa"/>
            <w:tcBorders>
              <w:top w:val="single" w:color="auto" w:sz="4" w:space="0"/>
              <w:left w:val="nil"/>
              <w:bottom w:val="single" w:color="auto" w:sz="4" w:space="0"/>
              <w:right w:val="single" w:color="auto" w:sz="4" w:space="0"/>
            </w:tcBorders>
            <w:vAlign w:val="center"/>
          </w:tcPr>
          <w:p w14:paraId="1DDE11D6">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具体要求：本项目为电子化、无纸化交易项目，磋商响应文件是供应商通过中心磋商响应文件制作系统制作，并经过签章和加密后生成的电子版磋商响应文件。</w:t>
            </w:r>
          </w:p>
          <w:p w14:paraId="35460690">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电子化磋商响应文件具体制作文件请点击http://gzjy.smx.gov.cn/fwzn/004003/20200330/0de4b849-7eb7-4f4e-9a30-ae8b6a961d7f.html进行下载。</w:t>
            </w:r>
          </w:p>
          <w:p w14:paraId="1E40EC28">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温馨提示：本项目为电子化、无纸化交易项目，为保证您能投标成功，请需仔细阅读以下条款。</w:t>
            </w:r>
          </w:p>
          <w:p w14:paraId="7F0DDBD9">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一、电子化投标</w:t>
            </w:r>
          </w:p>
          <w:p w14:paraId="4D6E00D8">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（一）网上磋商保证金的缴纳</w:t>
            </w:r>
          </w:p>
          <w:p w14:paraId="31DB63EF">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szCs w:val="24"/>
                <w:highlight w:val="none"/>
              </w:rPr>
              <w:t>根据《河南省财政厅关于优化政府采购营商环境有关问题的通知》（豫财购【2019】4号）第6条的规定，磋商保证金不再收取</w:t>
            </w:r>
            <w:r>
              <w:rPr>
                <w:rFonts w:hint="eastAsia" w:ascii="宋体" w:hAnsi="宋体" w:cs="宋体"/>
                <w:color w:val="auto"/>
                <w:sz w:val="24"/>
                <w:highlight w:val="none"/>
              </w:rPr>
              <w:t>。</w:t>
            </w:r>
          </w:p>
          <w:p w14:paraId="65DACD77">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（二）电子化磋商响应文件的签章</w:t>
            </w:r>
          </w:p>
          <w:p w14:paraId="4CC80017">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1、供应商在生成电子化磋商响应文件后，应对电子化磋商响应文件进行签章，未进行签章的视为无效投标。</w:t>
            </w:r>
          </w:p>
          <w:p w14:paraId="38370463">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竞争性磋商文件中要求磋商响应供应商盖章的，以签盖单位章为准；要求法定代表人</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自然人或者经营者</w:t>
            </w:r>
            <w:r>
              <w:rPr>
                <w:rFonts w:hint="eastAsia" w:ascii="宋体" w:hAnsi="宋体" w:cs="宋体"/>
                <w:b/>
                <w:color w:val="auto"/>
                <w:sz w:val="24"/>
                <w:highlight w:val="none"/>
                <w:lang w:eastAsia="zh-CN"/>
              </w:rPr>
              <w:t>）</w:t>
            </w:r>
            <w:r>
              <w:rPr>
                <w:rFonts w:hint="eastAsia" w:ascii="宋体" w:hAnsi="宋体" w:cs="宋体"/>
                <w:b/>
                <w:color w:val="auto"/>
                <w:sz w:val="24"/>
                <w:highlight w:val="none"/>
              </w:rPr>
              <w:t>或授权代理人签章的，以签盖法定代表人</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自然人或者经营者</w:t>
            </w:r>
            <w:r>
              <w:rPr>
                <w:rFonts w:hint="eastAsia" w:ascii="宋体" w:hAnsi="宋体" w:cs="宋体"/>
                <w:b/>
                <w:color w:val="auto"/>
                <w:sz w:val="24"/>
                <w:highlight w:val="none"/>
                <w:lang w:eastAsia="zh-CN"/>
              </w:rPr>
              <w:t>）</w:t>
            </w:r>
            <w:r>
              <w:rPr>
                <w:rFonts w:hint="eastAsia" w:ascii="宋体" w:hAnsi="宋体" w:cs="宋体"/>
                <w:b/>
                <w:color w:val="auto"/>
                <w:sz w:val="24"/>
                <w:highlight w:val="none"/>
              </w:rPr>
              <w:t>签章为准</w:t>
            </w:r>
            <w:r>
              <w:rPr>
                <w:rFonts w:hint="eastAsia" w:ascii="宋体" w:hAnsi="宋体" w:cs="宋体"/>
                <w:color w:val="auto"/>
                <w:sz w:val="24"/>
                <w:highlight w:val="none"/>
              </w:rPr>
              <w:t>。</w:t>
            </w:r>
          </w:p>
          <w:p w14:paraId="5BAB4F90">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（三）电子化磋商响应文件的格式及上传投标</w:t>
            </w:r>
          </w:p>
          <w:p w14:paraId="22BE2EFE">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542C7BA1">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2、电子化磋商响应文件应在投标截止时间前成功上传至三门峡市公共资源电子化交易系统。至投标截止时间止，仍未上传成功的电子化磋商响应文件将不予接收。</w:t>
            </w:r>
          </w:p>
          <w:p w14:paraId="6073AD68">
            <w:pPr>
              <w:spacing w:line="360" w:lineRule="auto"/>
              <w:ind w:firstLine="241" w:firstLineChars="100"/>
              <w:rPr>
                <w:rFonts w:hint="eastAsia" w:ascii="宋体" w:hAnsi="宋体" w:cs="宋体"/>
                <w:color w:val="auto"/>
                <w:sz w:val="24"/>
                <w:highlight w:val="none"/>
              </w:rPr>
            </w:pPr>
            <w:r>
              <w:rPr>
                <w:rFonts w:hint="eastAsia" w:ascii="宋体" w:hAnsi="宋体" w:cs="宋体"/>
                <w:b/>
                <w:color w:val="auto"/>
                <w:sz w:val="24"/>
                <w:highlight w:val="none"/>
              </w:rPr>
              <w:t>注：</w:t>
            </w:r>
            <w:r>
              <w:rPr>
                <w:rFonts w:hint="eastAsia" w:ascii="宋体" w:hAnsi="宋体" w:cs="宋体"/>
                <w:color w:val="auto"/>
                <w:sz w:val="24"/>
                <w:highlight w:val="none"/>
              </w:rPr>
              <w:t>如按照电子化投标操作教材制作完成的电子化磋商响应文件无法上传的，供应商应在</w:t>
            </w:r>
            <w:r>
              <w:rPr>
                <w:rFonts w:hint="eastAsia" w:ascii="宋体" w:hAnsi="宋体" w:cs="宋体"/>
                <w:b/>
                <w:color w:val="auto"/>
                <w:sz w:val="24"/>
                <w:highlight w:val="none"/>
              </w:rPr>
              <w:t>投标截止时间前尽早的</w:t>
            </w:r>
            <w:r>
              <w:rPr>
                <w:rFonts w:hint="eastAsia" w:ascii="宋体" w:hAnsi="宋体" w:cs="宋体"/>
                <w:color w:val="auto"/>
                <w:sz w:val="24"/>
                <w:highlight w:val="none"/>
              </w:rPr>
              <w:t>联系中心技术人员，以便有充分的时间进行处理。</w:t>
            </w:r>
            <w:r>
              <w:rPr>
                <w:rFonts w:hint="eastAsia" w:ascii="宋体" w:hAnsi="宋体" w:cs="宋体"/>
                <w:b/>
                <w:color w:val="auto"/>
                <w:sz w:val="24"/>
                <w:highlight w:val="none"/>
              </w:rPr>
              <w:t>供应商应充分考虑到处理技术问题和上传数据等工作所需的时间问题，磋商响应文件未在投标截止时间前成功上传的，其磋商响应文件不予接收。</w:t>
            </w:r>
          </w:p>
          <w:p w14:paraId="038BFEDD">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（四）电子化项目开标、解密、评标</w:t>
            </w:r>
          </w:p>
          <w:p w14:paraId="50FBA050">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1、本项目采</w:t>
            </w:r>
            <w:r>
              <w:rPr>
                <w:rFonts w:hint="eastAsia" w:ascii="宋体" w:hAnsi="宋体" w:cs="宋体"/>
                <w:b w:val="0"/>
                <w:bCs w:val="0"/>
                <w:color w:val="auto"/>
                <w:sz w:val="24"/>
                <w:highlight w:val="none"/>
              </w:rPr>
              <w:t>用电子化、无纸化进行</w:t>
            </w:r>
            <w:r>
              <w:rPr>
                <w:rFonts w:hint="eastAsia" w:ascii="宋体" w:hAnsi="宋体" w:cs="宋体"/>
                <w:color w:val="auto"/>
                <w:sz w:val="24"/>
                <w:highlight w:val="none"/>
              </w:rPr>
              <w:t>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13F6C572">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w:t>
            </w:r>
          </w:p>
          <w:p w14:paraId="1C2B139C">
            <w:pPr>
              <w:spacing w:line="360" w:lineRule="auto"/>
              <w:ind w:firstLine="120" w:firstLineChars="50"/>
              <w:rPr>
                <w:rFonts w:hint="eastAsia" w:ascii="宋体" w:hAnsi="宋体" w:cs="宋体"/>
                <w:b/>
                <w:color w:val="auto"/>
                <w:sz w:val="24"/>
                <w:highlight w:val="none"/>
              </w:rPr>
            </w:pPr>
            <w:r>
              <w:rPr>
                <w:rFonts w:hint="eastAsia" w:ascii="宋体" w:hAnsi="宋体" w:cs="宋体"/>
                <w:color w:val="auto"/>
                <w:sz w:val="24"/>
                <w:highlight w:val="none"/>
              </w:rPr>
              <w:t>3、电子化磋商响应文件解密异常的处理</w:t>
            </w:r>
          </w:p>
          <w:p w14:paraId="34776E5A">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如出现供应商的电子磋商响应文件无法解密等异常情况，供应商应及时致电中介服务机构说明。磋商响应文件异常，按以下步骤进行处理：</w:t>
            </w:r>
          </w:p>
          <w:p w14:paraId="51117254">
            <w:pPr>
              <w:spacing w:line="360" w:lineRule="auto"/>
              <w:rPr>
                <w:rFonts w:hint="eastAsia" w:ascii="宋体" w:hAnsi="宋体" w:cs="宋体"/>
                <w:color w:val="auto"/>
                <w:sz w:val="24"/>
                <w:highlight w:val="none"/>
              </w:rPr>
            </w:pPr>
            <w:r>
              <w:rPr>
                <w:rFonts w:hint="eastAsia" w:ascii="宋体" w:hAnsi="宋体" w:cs="宋体"/>
                <w:color w:val="auto"/>
                <w:sz w:val="24"/>
                <w:highlight w:val="none"/>
              </w:rPr>
              <w:t>（1）首先由技术人员进行问题排查。</w:t>
            </w:r>
          </w:p>
          <w:p w14:paraId="2DF17668">
            <w:pPr>
              <w:spacing w:line="360" w:lineRule="auto"/>
              <w:rPr>
                <w:rFonts w:hint="eastAsia" w:ascii="宋体" w:hAnsi="宋体" w:cs="宋体"/>
                <w:color w:val="auto"/>
                <w:sz w:val="24"/>
                <w:highlight w:val="none"/>
              </w:rPr>
            </w:pPr>
            <w:r>
              <w:rPr>
                <w:rFonts w:hint="eastAsia" w:ascii="宋体" w:hAnsi="宋体" w:cs="宋体"/>
                <w:color w:val="auto"/>
                <w:sz w:val="24"/>
                <w:highlight w:val="none"/>
              </w:rPr>
              <w:t>（2）经技术人员排查后，是供应商文件自身问题导致磋商响应文件无法解密的，该磋商响应文件将不予接收、解密。开标会议继续进行。</w:t>
            </w:r>
          </w:p>
          <w:p w14:paraId="7E9FD217">
            <w:pPr>
              <w:spacing w:line="360" w:lineRule="auto"/>
              <w:rPr>
                <w:rFonts w:hint="eastAsia" w:ascii="宋体" w:hAnsi="宋体" w:cs="宋体"/>
                <w:color w:val="auto"/>
                <w:sz w:val="24"/>
                <w:highlight w:val="none"/>
              </w:rPr>
            </w:pPr>
            <w:r>
              <w:rPr>
                <w:rFonts w:hint="eastAsia" w:ascii="宋体" w:hAnsi="宋体" w:cs="宋体"/>
                <w:color w:val="auto"/>
                <w:sz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35C6886A">
            <w:pPr>
              <w:spacing w:line="360" w:lineRule="auto"/>
              <w:rPr>
                <w:rFonts w:hint="eastAsia" w:ascii="宋体" w:hAnsi="宋体" w:cs="宋体"/>
                <w:color w:val="auto"/>
                <w:sz w:val="24"/>
                <w:highlight w:val="none"/>
              </w:rPr>
            </w:pPr>
            <w:r>
              <w:rPr>
                <w:rFonts w:hint="eastAsia" w:ascii="宋体" w:hAnsi="宋体" w:cs="宋体"/>
                <w:color w:val="auto"/>
                <w:sz w:val="24"/>
                <w:highlight w:val="none"/>
              </w:rPr>
              <w:t>4、待所有供应商磋商响应文件解密完成后，由中介服务机构操作，对所有已解密磋商响应文件</w:t>
            </w:r>
            <w:r>
              <w:rPr>
                <w:rFonts w:hint="eastAsia" w:ascii="宋体" w:hAnsi="宋体" w:cs="宋体"/>
                <w:color w:val="auto"/>
                <w:sz w:val="24"/>
                <w:highlight w:val="none"/>
                <w:lang w:eastAsia="zh-CN"/>
              </w:rPr>
              <w:t>继续</w:t>
            </w:r>
            <w:r>
              <w:rPr>
                <w:rFonts w:hint="eastAsia" w:ascii="宋体" w:hAnsi="宋体" w:cs="宋体"/>
                <w:color w:val="auto"/>
                <w:sz w:val="24"/>
                <w:highlight w:val="none"/>
              </w:rPr>
              <w:t>进行</w:t>
            </w:r>
            <w:r>
              <w:rPr>
                <w:rFonts w:hint="eastAsia" w:ascii="宋体" w:hAnsi="宋体" w:cs="宋体"/>
                <w:color w:val="auto"/>
                <w:sz w:val="24"/>
                <w:highlight w:val="none"/>
                <w:lang w:eastAsia="zh-CN"/>
              </w:rPr>
              <w:t>开标，直至开标会议结束</w:t>
            </w:r>
            <w:r>
              <w:rPr>
                <w:rFonts w:hint="eastAsia" w:ascii="宋体" w:hAnsi="宋体" w:cs="宋体"/>
                <w:color w:val="auto"/>
                <w:sz w:val="24"/>
                <w:highlight w:val="none"/>
              </w:rPr>
              <w:t>。</w:t>
            </w:r>
          </w:p>
          <w:p w14:paraId="1CEC80A7">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供应商应保证在开标期间电话、电脑、网络能够正常工作，供应商因停电、电脑病毒、网络堵塞等原因，未在规定的解密时间内对磋商响应文件进行解密的，其磋商响应文件不予接收。</w:t>
            </w:r>
          </w:p>
          <w:p w14:paraId="35FB1EEC">
            <w:pPr>
              <w:spacing w:line="360" w:lineRule="auto"/>
              <w:rPr>
                <w:rFonts w:hint="eastAsia" w:ascii="宋体" w:hAnsi="宋体" w:cs="宋体"/>
                <w:color w:val="auto"/>
                <w:sz w:val="24"/>
                <w:highlight w:val="none"/>
              </w:rPr>
            </w:pPr>
            <w:r>
              <w:rPr>
                <w:rFonts w:hint="eastAsia" w:ascii="宋体" w:hAnsi="宋体" w:cs="宋体"/>
                <w:color w:val="auto"/>
                <w:sz w:val="24"/>
                <w:highlight w:val="none"/>
              </w:rPr>
              <w:t>5、评标时，评标委员会对电子化磋商响应文件有质疑的，将通过电子化交易系统对供应商发起质疑，并在监督人员的监督下，用免提模式致电需要答复的供应商对质疑进行回复。供应商的回复文件必须以经过供应商和其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自然人或者经营者</w:t>
            </w:r>
            <w:r>
              <w:rPr>
                <w:rFonts w:hint="eastAsia" w:ascii="宋体" w:hAnsi="宋体" w:cs="宋体"/>
                <w:color w:val="auto"/>
                <w:sz w:val="24"/>
                <w:highlight w:val="none"/>
                <w:lang w:eastAsia="zh-CN"/>
              </w:rPr>
              <w:t>）</w:t>
            </w:r>
            <w:r>
              <w:rPr>
                <w:rFonts w:hint="eastAsia" w:ascii="宋体" w:hAnsi="宋体" w:cs="宋体"/>
                <w:color w:val="auto"/>
                <w:sz w:val="24"/>
                <w:highlight w:val="none"/>
              </w:rPr>
              <w:t>签章的PDF格式文件为准，并通过电子化交易系统提交至评标委员会。</w:t>
            </w:r>
          </w:p>
          <w:p w14:paraId="7028BF4D">
            <w:pPr>
              <w:spacing w:line="360" w:lineRule="auto"/>
              <w:rPr>
                <w:rFonts w:hint="eastAsia" w:ascii="宋体" w:hAnsi="宋体" w:cs="宋体"/>
                <w:color w:val="auto"/>
                <w:sz w:val="24"/>
                <w:highlight w:val="none"/>
              </w:rPr>
            </w:pPr>
            <w:r>
              <w:rPr>
                <w:rFonts w:hint="eastAsia" w:ascii="宋体" w:hAnsi="宋体" w:cs="宋体"/>
                <w:color w:val="auto"/>
                <w:sz w:val="24"/>
                <w:highlight w:val="none"/>
              </w:rPr>
              <w:t>6、如评标委员会对需要回复的供应商连续三次致电未接通的，视为供应商放弃回复，评标委员会将自行对需要回复的内容进行认定。</w:t>
            </w:r>
          </w:p>
          <w:p w14:paraId="662AA3A5">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二、相关</w:t>
            </w:r>
            <w:r>
              <w:rPr>
                <w:rFonts w:hint="eastAsia" w:ascii="宋体" w:hAnsi="宋体" w:cs="宋体"/>
                <w:b/>
                <w:bCs/>
                <w:color w:val="auto"/>
                <w:sz w:val="24"/>
                <w:highlight w:val="none"/>
                <w:lang w:val="en-US" w:eastAsia="zh-CN"/>
              </w:rPr>
              <w:t>资料</w:t>
            </w:r>
            <w:r>
              <w:rPr>
                <w:rFonts w:hint="eastAsia" w:ascii="宋体" w:hAnsi="宋体" w:cs="宋体"/>
                <w:b/>
                <w:bCs/>
                <w:color w:val="auto"/>
                <w:sz w:val="24"/>
                <w:highlight w:val="none"/>
              </w:rPr>
              <w:t>的提交</w:t>
            </w:r>
          </w:p>
          <w:p w14:paraId="62CEF194">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本项目实行资格后审，</w:t>
            </w:r>
            <w:r>
              <w:rPr>
                <w:rFonts w:hint="eastAsia" w:ascii="宋体" w:hAnsi="宋体" w:cs="宋体"/>
                <w:b/>
                <w:bCs/>
                <w:color w:val="auto"/>
                <w:sz w:val="24"/>
                <w:highlight w:val="none"/>
              </w:rPr>
              <w:t>以</w:t>
            </w:r>
            <w:r>
              <w:rPr>
                <w:rFonts w:hint="eastAsia" w:ascii="宋体" w:hAnsi="宋体" w:cs="宋体"/>
                <w:b/>
                <w:bCs/>
                <w:color w:val="auto"/>
                <w:sz w:val="24"/>
                <w:highlight w:val="none"/>
                <w:lang w:val="en-US" w:eastAsia="zh-CN"/>
              </w:rPr>
              <w:t>响应</w:t>
            </w:r>
            <w:r>
              <w:rPr>
                <w:rFonts w:hint="eastAsia" w:ascii="宋体" w:hAnsi="宋体" w:cs="宋体"/>
                <w:b/>
                <w:bCs/>
                <w:color w:val="auto"/>
                <w:sz w:val="24"/>
                <w:highlight w:val="none"/>
              </w:rPr>
              <w:t>文件为准</w:t>
            </w:r>
            <w:r>
              <w:rPr>
                <w:rFonts w:hint="eastAsia" w:ascii="宋体" w:hAnsi="宋体" w:cs="宋体"/>
                <w:color w:val="auto"/>
                <w:sz w:val="24"/>
                <w:highlight w:val="none"/>
              </w:rPr>
              <w:t>，其上传资料真实性由</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自行承担。</w:t>
            </w:r>
          </w:p>
          <w:p w14:paraId="544A29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供应商需应仔细阅读操作手册，保证上传内容齐全，真实有效，原件扫描件清晰可辨。因供应商上传原因导致应得分项而未得分或资格审查不合格等情况的，由供应商自行承担责任。</w:t>
            </w:r>
          </w:p>
          <w:p w14:paraId="7E3B147D">
            <w:pPr>
              <w:pageBreakBefore w:val="0"/>
              <w:kinsoku/>
              <w:overflowPunct/>
              <w:topLinePunct w:val="0"/>
              <w:bidi w:val="0"/>
              <w:snapToGrid w:val="0"/>
              <w:spacing w:line="360" w:lineRule="auto"/>
              <w:outlineLvl w:val="9"/>
              <w:rPr>
                <w:rFonts w:hint="eastAsia" w:ascii="宋体" w:hAnsi="宋体" w:eastAsia="宋体" w:cs="宋体"/>
                <w:color w:val="auto"/>
                <w:spacing w:val="6"/>
                <w:sz w:val="24"/>
                <w:szCs w:val="24"/>
                <w:highlight w:val="none"/>
              </w:rPr>
            </w:pPr>
            <w:r>
              <w:rPr>
                <w:rFonts w:hint="eastAsia" w:ascii="宋体" w:hAnsi="宋体" w:cs="宋体"/>
                <w:b/>
                <w:color w:val="auto"/>
                <w:sz w:val="24"/>
                <w:highlight w:val="none"/>
              </w:rPr>
              <w:t>提示：本项目为电子化、无纸化交易项目，为保证您能投标成功，请需仔细阅读以上条款。</w:t>
            </w:r>
          </w:p>
        </w:tc>
      </w:tr>
    </w:tbl>
    <w:p w14:paraId="2B568DFD">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D6961FF">
      <w:pPr>
        <w:pageBreakBefore w:val="0"/>
        <w:kinsoku/>
        <w:overflowPunct/>
        <w:topLinePunct w:val="0"/>
        <w:bidi w:val="0"/>
        <w:spacing w:line="360" w:lineRule="auto"/>
        <w:contextualSpacing/>
        <w:jc w:val="center"/>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总则</w:t>
      </w:r>
    </w:p>
    <w:p w14:paraId="4C675A9E">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1、适用范围</w:t>
      </w:r>
    </w:p>
    <w:p w14:paraId="53D52389">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本竞争性磋商文件仅适用于本次竞争性磋商文件、磋商公告中的所叙述的内容。</w:t>
      </w:r>
    </w:p>
    <w:p w14:paraId="71FF36F7">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2、合格的</w:t>
      </w:r>
      <w:r>
        <w:rPr>
          <w:rFonts w:hint="eastAsia" w:ascii="宋体" w:hAnsi="宋体" w:eastAsia="宋体" w:cs="宋体"/>
          <w:b/>
          <w:bCs/>
          <w:color w:val="auto"/>
          <w:sz w:val="24"/>
          <w:szCs w:val="24"/>
          <w:highlight w:val="none"/>
          <w:lang w:eastAsia="zh-CN"/>
        </w:rPr>
        <w:t>供应商</w:t>
      </w:r>
    </w:p>
    <w:p w14:paraId="0C4A691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须知前附表11项。</w:t>
      </w:r>
    </w:p>
    <w:p w14:paraId="1E558F40">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其他</w:t>
      </w:r>
    </w:p>
    <w:p w14:paraId="7C5231E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ascii="宋体" w:hAnsi="宋体" w:eastAsia="宋体" w:cs="宋体"/>
          <w:color w:val="auto"/>
          <w:sz w:val="24"/>
          <w:szCs w:val="24"/>
          <w:highlight w:val="none"/>
          <w:lang w:eastAsia="zh-CN"/>
        </w:rPr>
        <w:t>竞争性</w:t>
      </w:r>
      <w:r>
        <w:rPr>
          <w:rFonts w:hint="eastAsia" w:ascii="宋体" w:hAnsi="宋体" w:eastAsia="宋体" w:cs="宋体"/>
          <w:color w:val="auto"/>
          <w:sz w:val="24"/>
          <w:szCs w:val="24"/>
          <w:highlight w:val="none"/>
        </w:rPr>
        <w:t>磋商结果</w:t>
      </w:r>
      <w:r>
        <w:rPr>
          <w:rFonts w:hint="eastAsia" w:ascii="宋体" w:hAnsi="宋体" w:eastAsia="宋体" w:cs="宋体"/>
          <w:color w:val="auto"/>
          <w:sz w:val="24"/>
          <w:szCs w:val="24"/>
          <w:highlight w:val="none"/>
          <w:lang w:eastAsia="zh-CN"/>
        </w:rPr>
        <w:t>以成交公告的形式，</w:t>
      </w:r>
      <w:r>
        <w:rPr>
          <w:rFonts w:hint="eastAsia" w:ascii="宋体" w:hAnsi="宋体" w:cs="宋体"/>
          <w:color w:val="auto"/>
          <w:sz w:val="24"/>
          <w:szCs w:val="24"/>
          <w:highlight w:val="none"/>
        </w:rPr>
        <w:t>通知所有</w:t>
      </w:r>
      <w:r>
        <w:rPr>
          <w:rFonts w:hint="eastAsia" w:ascii="宋体" w:hAnsi="宋体" w:cs="宋体"/>
          <w:color w:val="auto"/>
          <w:sz w:val="24"/>
          <w:szCs w:val="24"/>
          <w:highlight w:val="none"/>
          <w:lang w:eastAsia="zh-CN"/>
        </w:rPr>
        <w:t>参与</w:t>
      </w:r>
      <w:r>
        <w:rPr>
          <w:rFonts w:hint="eastAsia" w:ascii="宋体" w:hAnsi="宋体" w:cs="宋体"/>
          <w:color w:val="auto"/>
          <w:sz w:val="24"/>
          <w:szCs w:val="24"/>
          <w:highlight w:val="none"/>
        </w:rPr>
        <w:t>磋商响应</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供应商</w:t>
      </w:r>
      <w:r>
        <w:rPr>
          <w:rFonts w:hint="eastAsia" w:ascii="宋体" w:hAnsi="宋体" w:eastAsia="宋体" w:cs="宋体"/>
          <w:color w:val="auto"/>
          <w:sz w:val="24"/>
          <w:szCs w:val="24"/>
          <w:highlight w:val="none"/>
        </w:rPr>
        <w:t>。</w:t>
      </w:r>
    </w:p>
    <w:p w14:paraId="3D8679D3">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4、磋商文件的组成</w:t>
      </w:r>
    </w:p>
    <w:p w14:paraId="0E553D3B">
      <w:pPr>
        <w:pageBreakBefore w:val="0"/>
        <w:kinsoku/>
        <w:overflowPunct/>
        <w:topLinePunct w:val="0"/>
        <w:bidi w:val="0"/>
        <w:spacing w:line="360" w:lineRule="auto"/>
        <w:ind w:firstLine="480"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4.1具体包括以下内容</w:t>
      </w:r>
    </w:p>
    <w:p w14:paraId="269E1D51">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6313E2D4">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p>
    <w:p w14:paraId="74C8B8A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综合评分法</w:t>
      </w:r>
      <w:r>
        <w:rPr>
          <w:rFonts w:hint="eastAsia" w:ascii="宋体" w:hAnsi="宋体" w:eastAsia="宋体" w:cs="宋体"/>
          <w:color w:val="auto"/>
          <w:sz w:val="24"/>
          <w:szCs w:val="24"/>
          <w:highlight w:val="none"/>
          <w:lang w:eastAsia="zh-CN"/>
        </w:rPr>
        <w:t>）</w:t>
      </w:r>
    </w:p>
    <w:p w14:paraId="7052C43D">
      <w:pPr>
        <w:pageBreakBefore w:val="0"/>
        <w:kinsoku/>
        <w:overflowPunct/>
        <w:topLinePunct w:val="0"/>
        <w:bidi w:val="0"/>
        <w:spacing w:line="360" w:lineRule="auto"/>
        <w:ind w:firstLine="480" w:firstLineChars="200"/>
        <w:contextualSpacing/>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设计规范</w:t>
      </w:r>
    </w:p>
    <w:p w14:paraId="234E8CE4">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）合同条款</w:t>
      </w:r>
    </w:p>
    <w:p w14:paraId="7E37240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）响应性文件格式</w:t>
      </w:r>
    </w:p>
    <w:p w14:paraId="744C392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磋商文件以中文编印，且以中文为准。</w:t>
      </w:r>
    </w:p>
    <w:p w14:paraId="26BBD1C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除非有特殊要求，磋商文件不单独提供项目所在地的自然环境、气候条件、公用设施等情况，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被视为熟悉上述与履行合同有关的一切情况。</w:t>
      </w:r>
    </w:p>
    <w:p w14:paraId="4FD431CB">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磋商文件的澄清和修改</w:t>
      </w:r>
    </w:p>
    <w:p w14:paraId="431B4D29">
      <w:pPr>
        <w:pageBreakBefore w:val="0"/>
        <w:kinsoku/>
        <w:overflowPunct/>
        <w:topLinePunct w:val="0"/>
        <w:bidi w:val="0"/>
        <w:spacing w:line="360" w:lineRule="auto"/>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4.4.1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对磋商文件如有需要澄清或疑问，应当在提交首次响应文件截止之日前，在系统内提出。在规定的时间内未提出疑问的，将被视为对磋商文件完全认可。</w:t>
      </w:r>
    </w:p>
    <w:p w14:paraId="1F3C33AF">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代理机构将按规定对收到的要求澄清的问题以公告形式予以答复，并构成磋商文件的一部分，对所有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均具有约束力。</w:t>
      </w:r>
    </w:p>
    <w:p w14:paraId="688527DE">
      <w:pPr>
        <w:pageBreakBefore w:val="0"/>
        <w:numPr>
          <w:ilvl w:val="0"/>
          <w:numId w:val="0"/>
        </w:numPr>
        <w:kinsoku/>
        <w:overflowPunct/>
        <w:topLinePunct w:val="0"/>
        <w:bidi w:val="0"/>
        <w:spacing w:line="360" w:lineRule="auto"/>
        <w:ind w:left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响应性文件的组成</w:t>
      </w:r>
    </w:p>
    <w:p w14:paraId="78EC31C3">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一、磋商函及磋商函附录</w:t>
      </w:r>
    </w:p>
    <w:p w14:paraId="7DFEF7D3">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二、法定代表人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自然人或者经营者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身份证明及授权委托书</w:t>
      </w:r>
    </w:p>
    <w:p w14:paraId="5786E1F7">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磋商承诺函</w:t>
      </w:r>
    </w:p>
    <w:p w14:paraId="7FC39675">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lang w:eastAsia="zh-CN"/>
        </w:rPr>
        <w:t>资格</w:t>
      </w:r>
      <w:r>
        <w:rPr>
          <w:rFonts w:hint="eastAsia" w:ascii="宋体" w:hAnsi="宋体" w:eastAsia="宋体" w:cs="宋体"/>
          <w:bCs/>
          <w:color w:val="auto"/>
          <w:sz w:val="24"/>
          <w:szCs w:val="24"/>
          <w:highlight w:val="none"/>
          <w:lang w:val="en-US" w:eastAsia="zh-CN"/>
        </w:rPr>
        <w:t>审查资料</w:t>
      </w:r>
    </w:p>
    <w:p w14:paraId="105D85B6">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企业业绩</w:t>
      </w:r>
    </w:p>
    <w:p w14:paraId="29F8E19C">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六、项目负责人业绩</w:t>
      </w:r>
    </w:p>
    <w:p w14:paraId="1957A603">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七、服务方案</w:t>
      </w:r>
    </w:p>
    <w:p w14:paraId="15DCBB33">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八、人员配备</w:t>
      </w:r>
    </w:p>
    <w:p w14:paraId="2C9A3A21">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服务承诺</w:t>
      </w:r>
    </w:p>
    <w:p w14:paraId="4F07FD6E">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十</w:t>
      </w:r>
      <w:r>
        <w:rPr>
          <w:rFonts w:hint="eastAsia" w:ascii="宋体" w:hAnsi="宋体" w:eastAsia="宋体" w:cs="宋体"/>
          <w:bCs/>
          <w:color w:val="auto"/>
          <w:sz w:val="24"/>
          <w:szCs w:val="24"/>
          <w:highlight w:val="none"/>
        </w:rPr>
        <w:t>、其他资料</w:t>
      </w:r>
    </w:p>
    <w:p w14:paraId="5DC7864F">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eastAsia="宋体" w:cs="宋体"/>
          <w:color w:val="auto"/>
          <w:sz w:val="24"/>
          <w:szCs w:val="24"/>
          <w:highlight w:val="none"/>
        </w:rPr>
        <w:t>响应性文件的编制</w:t>
      </w:r>
    </w:p>
    <w:p w14:paraId="6C18069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6.1响应性文件应按“响应性文件格式”进行编写，如有必要，可以增加附页，作为响应性文件的组成部分。其中，报价函附录在满足磋商文件实质性要求的基础上，可以提出比磋商文件要求更有利于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的承诺。</w:t>
      </w:r>
      <w:r>
        <w:rPr>
          <w:rFonts w:hint="eastAsia" w:ascii="宋体" w:hAnsi="宋体" w:eastAsia="宋体" w:cs="宋体"/>
          <w:color w:val="auto"/>
          <w:sz w:val="24"/>
          <w:szCs w:val="24"/>
          <w:highlight w:val="none"/>
          <w:lang w:val="en-US" w:eastAsia="zh-CN"/>
        </w:rPr>
        <w:t xml:space="preserve"> </w:t>
      </w:r>
    </w:p>
    <w:p w14:paraId="17CB949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6.2响应文件应当对磋商文件有关</w:t>
      </w:r>
      <w:r>
        <w:rPr>
          <w:rFonts w:hint="eastAsia" w:ascii="宋体" w:hAnsi="宋体" w:eastAsia="宋体" w:cs="宋体"/>
          <w:color w:val="auto"/>
          <w:sz w:val="24"/>
          <w:szCs w:val="24"/>
          <w:highlight w:val="none"/>
          <w:lang w:val="en-US" w:eastAsia="zh-CN"/>
        </w:rPr>
        <w:t>设计周期、服务要求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质量要求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投标有效期等实质性内容作出响应。</w:t>
      </w:r>
    </w:p>
    <w:p w14:paraId="1D8FCF5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在生成电子化响应文件后，应对电子化响应文件进行签章，未进行签章的视为无效响应。</w:t>
      </w:r>
    </w:p>
    <w:p w14:paraId="46D997D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6.4磋商文件中要求签章的，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在进行电子化响应文件签章时，以单位和法定代表人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自然人或者经营者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电子签章为准。</w:t>
      </w:r>
    </w:p>
    <w:p w14:paraId="329BCE47">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7、响应性文件的递交</w:t>
      </w:r>
    </w:p>
    <w:p w14:paraId="70D38F09">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电子化响应性文件应在磋商截止时间前成功上传至三门峡市公共资源电子化交易系统。至磋商截止时间止，仍未上传成功的电子化响应性文件将不予接收。</w:t>
      </w:r>
    </w:p>
    <w:p w14:paraId="203C9FF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文件无法上传的，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应在磋商截止时间前尽早的联系中心技术人员，以便有充分的时间进行处理。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应充分考虑到处理技术问题和上传数据等工作所需的时间问题，响应性文件未在磋商截止时间前成功上传的，其响应性文件不予接收。</w:t>
      </w:r>
    </w:p>
    <w:p w14:paraId="190144D8">
      <w:pPr>
        <w:pageBreakBefore w:val="0"/>
        <w:kinsoku/>
        <w:overflowPunct/>
        <w:topLinePunct w:val="0"/>
        <w:bidi w:val="0"/>
        <w:ind w:firstLine="482" w:firstLineChars="200"/>
        <w:outlineLvl w:val="9"/>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4"/>
          <w:szCs w:val="24"/>
          <w:highlight w:val="none"/>
        </w:rPr>
        <w:t>8、</w:t>
      </w:r>
      <w:bookmarkStart w:id="23" w:name="_Toc531936128"/>
      <w:bookmarkEnd w:id="23"/>
      <w:bookmarkStart w:id="24" w:name="_Toc530665439"/>
      <w:bookmarkEnd w:id="24"/>
      <w:bookmarkStart w:id="25" w:name="_Toc511663232"/>
      <w:bookmarkEnd w:id="25"/>
      <w:bookmarkStart w:id="26" w:name="_Toc530663936"/>
      <w:bookmarkEnd w:id="26"/>
      <w:bookmarkStart w:id="27" w:name="_Toc530664092"/>
      <w:bookmarkEnd w:id="27"/>
      <w:bookmarkStart w:id="28" w:name="_Toc511897549"/>
      <w:r>
        <w:rPr>
          <w:rFonts w:hint="eastAsia" w:ascii="宋体" w:hAnsi="宋体" w:eastAsia="宋体" w:cs="宋体"/>
          <w:b/>
          <w:color w:val="auto"/>
          <w:kern w:val="0"/>
          <w:sz w:val="24"/>
          <w:szCs w:val="24"/>
          <w:highlight w:val="none"/>
        </w:rPr>
        <w:t>电子化项目开标、解密、评标</w:t>
      </w:r>
      <w:bookmarkEnd w:id="28"/>
    </w:p>
    <w:p w14:paraId="6471C1BD">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8.1本项目采用电子化、无纸化进行招标，开标当日，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无需到开标现场参加开标会议，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应当在投标截止时间前，登陆不见面开标大厅选择登陆三门峡市公共资源电子招投标系统进行登陆,在线准时参加开标活动并进行</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文件解密等。</w:t>
      </w:r>
    </w:p>
    <w:p w14:paraId="535D7DE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文件采用一次加密方式。开标时，由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使用CA 证书，在规定时间内对其电子化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文件进行解密。每位投标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的解密时间为开标时间起30 分钟内，如在规定时间内未完成解密的，其磋商文件不予开标。</w:t>
      </w:r>
    </w:p>
    <w:p w14:paraId="191321C3">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文件异常情况的处理</w:t>
      </w:r>
    </w:p>
    <w:p w14:paraId="24862712">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文件无法解密等异常情况，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应及时致电中介服务机构说明。磋商文件异常，按以下步骤进行处理：</w:t>
      </w:r>
    </w:p>
    <w:p w14:paraId="1ECDF55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09E4302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文件自身问题导致</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文件无法解密的，该</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文件将不予接收、解密。开标会议继续进行。</w:t>
      </w:r>
    </w:p>
    <w:p w14:paraId="73ABFAB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647F6760">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8.4待所有</w:t>
      </w:r>
      <w:r>
        <w:rPr>
          <w:rFonts w:hint="eastAsia" w:ascii="宋体" w:hAnsi="宋体" w:eastAsia="宋体" w:cs="宋体"/>
          <w:color w:val="auto"/>
          <w:sz w:val="24"/>
          <w:szCs w:val="24"/>
          <w:highlight w:val="none"/>
          <w:lang w:eastAsia="zh-CN"/>
        </w:rPr>
        <w:t>供应商响应</w:t>
      </w:r>
      <w:r>
        <w:rPr>
          <w:rFonts w:hint="eastAsia" w:ascii="宋体" w:hAnsi="宋体" w:eastAsia="宋体" w:cs="宋体"/>
          <w:color w:val="auto"/>
          <w:sz w:val="24"/>
          <w:szCs w:val="24"/>
          <w:highlight w:val="none"/>
        </w:rPr>
        <w:t>文件解密完成后，由中介服务机构操作，</w:t>
      </w:r>
      <w:r>
        <w:rPr>
          <w:rFonts w:hint="eastAsia" w:ascii="宋体" w:hAnsi="宋体" w:cs="宋体"/>
          <w:color w:val="auto"/>
          <w:sz w:val="24"/>
          <w:highlight w:val="none"/>
        </w:rPr>
        <w:t>对所有已解密磋商响应文件</w:t>
      </w:r>
      <w:r>
        <w:rPr>
          <w:rFonts w:hint="eastAsia" w:ascii="宋体" w:hAnsi="宋体" w:cs="宋体"/>
          <w:color w:val="auto"/>
          <w:sz w:val="24"/>
          <w:highlight w:val="none"/>
          <w:lang w:eastAsia="zh-CN"/>
        </w:rPr>
        <w:t>继续</w:t>
      </w:r>
      <w:r>
        <w:rPr>
          <w:rFonts w:hint="eastAsia" w:ascii="宋体" w:hAnsi="宋体" w:cs="宋体"/>
          <w:color w:val="auto"/>
          <w:sz w:val="24"/>
          <w:highlight w:val="none"/>
        </w:rPr>
        <w:t>进行</w:t>
      </w:r>
      <w:r>
        <w:rPr>
          <w:rFonts w:hint="eastAsia" w:ascii="宋体" w:hAnsi="宋体" w:cs="宋体"/>
          <w:color w:val="auto"/>
          <w:sz w:val="24"/>
          <w:highlight w:val="none"/>
          <w:lang w:eastAsia="zh-CN"/>
        </w:rPr>
        <w:t>开标，直至开标会议结束</w:t>
      </w:r>
      <w:r>
        <w:rPr>
          <w:rFonts w:hint="eastAsia" w:ascii="宋体" w:hAnsi="宋体" w:cs="宋体"/>
          <w:color w:val="auto"/>
          <w:sz w:val="24"/>
          <w:szCs w:val="24"/>
          <w:highlight w:val="none"/>
        </w:rPr>
        <w:t>。</w:t>
      </w:r>
    </w:p>
    <w:p w14:paraId="3CE6DB3F">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应保证在开标期间电话、电脑、网络能够正常工作，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因停电、电脑病毒、网络堵塞等原因，未在规定的解密时间内对</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文件进行解密的，其</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文件不予接收。</w:t>
      </w:r>
    </w:p>
    <w:p w14:paraId="60E0E5AC">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评标时，</w:t>
      </w:r>
      <w:r>
        <w:rPr>
          <w:rFonts w:hint="eastAsia" w:ascii="宋体" w:hAnsi="宋体" w:eastAsia="宋体" w:cs="宋体"/>
          <w:color w:val="auto"/>
          <w:spacing w:val="6"/>
          <w:sz w:val="24"/>
          <w:szCs w:val="24"/>
          <w:highlight w:val="none"/>
          <w:lang w:eastAsia="zh-CN"/>
        </w:rPr>
        <w:t>磋商小组</w:t>
      </w:r>
      <w:r>
        <w:rPr>
          <w:rFonts w:hint="eastAsia" w:ascii="宋体" w:hAnsi="宋体" w:eastAsia="宋体" w:cs="宋体"/>
          <w:color w:val="auto"/>
          <w:sz w:val="24"/>
          <w:szCs w:val="24"/>
          <w:highlight w:val="none"/>
        </w:rPr>
        <w:t>对电子化</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文件有质疑的，将通过电子化交易系统对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发起质疑。质疑回复内容确认后，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的回复文件必须以经过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和其法定代表人</w:t>
      </w:r>
      <w:r>
        <w:rPr>
          <w:rFonts w:hint="eastAsia" w:hAnsi="宋体"/>
          <w:bCs/>
          <w:color w:val="auto"/>
          <w:highlight w:val="none"/>
          <w:lang w:eastAsia="zh-CN"/>
        </w:rPr>
        <w:t>（</w:t>
      </w:r>
      <w:r>
        <w:rPr>
          <w:rFonts w:hint="eastAsia" w:hAnsi="宋体"/>
          <w:bCs/>
          <w:color w:val="auto"/>
          <w:highlight w:val="none"/>
          <w:lang w:val="en-US" w:eastAsia="zh-CN"/>
        </w:rPr>
        <w:t>自然人或者经营者</w:t>
      </w:r>
      <w:r>
        <w:rPr>
          <w:rFonts w:hint="eastAsia" w:hAnsi="宋体"/>
          <w:bCs/>
          <w:color w:val="auto"/>
          <w:highlight w:val="none"/>
          <w:lang w:eastAsia="zh-CN"/>
        </w:rPr>
        <w:t>）</w:t>
      </w:r>
      <w:r>
        <w:rPr>
          <w:rFonts w:hint="eastAsia" w:ascii="宋体" w:hAnsi="宋体" w:eastAsia="宋体" w:cs="宋体"/>
          <w:color w:val="auto"/>
          <w:sz w:val="24"/>
          <w:szCs w:val="24"/>
          <w:highlight w:val="none"/>
        </w:rPr>
        <w:t>签章的PDF格式文件为准，并通过电子化交易系统提交至</w:t>
      </w:r>
      <w:r>
        <w:rPr>
          <w:rFonts w:hint="eastAsia" w:ascii="宋体" w:hAnsi="宋体" w:eastAsia="宋体" w:cs="宋体"/>
          <w:color w:val="auto"/>
          <w:spacing w:val="6"/>
          <w:sz w:val="24"/>
          <w:szCs w:val="24"/>
          <w:highlight w:val="none"/>
          <w:lang w:eastAsia="zh-CN"/>
        </w:rPr>
        <w:t>磋商小组</w:t>
      </w:r>
      <w:r>
        <w:rPr>
          <w:rFonts w:hint="eastAsia" w:ascii="宋体" w:hAnsi="宋体" w:eastAsia="宋体" w:cs="宋体"/>
          <w:color w:val="auto"/>
          <w:sz w:val="24"/>
          <w:szCs w:val="24"/>
          <w:highlight w:val="none"/>
        </w:rPr>
        <w:t>。</w:t>
      </w:r>
    </w:p>
    <w:p w14:paraId="784368BB">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w:t>
      </w:r>
      <w:r>
        <w:rPr>
          <w:rFonts w:hint="eastAsia" w:ascii="宋体" w:hAnsi="宋体" w:eastAsia="宋体" w:cs="宋体"/>
          <w:color w:val="auto"/>
          <w:spacing w:val="6"/>
          <w:sz w:val="24"/>
          <w:szCs w:val="24"/>
          <w:highlight w:val="none"/>
          <w:lang w:eastAsia="zh-CN"/>
        </w:rPr>
        <w:t>磋商小组</w:t>
      </w:r>
      <w:r>
        <w:rPr>
          <w:rFonts w:hint="eastAsia" w:ascii="宋体" w:hAnsi="宋体" w:eastAsia="宋体" w:cs="宋体"/>
          <w:color w:val="auto"/>
          <w:sz w:val="24"/>
          <w:szCs w:val="24"/>
          <w:highlight w:val="none"/>
        </w:rPr>
        <w:t>对需要</w:t>
      </w:r>
      <w:r>
        <w:rPr>
          <w:rFonts w:hint="eastAsia" w:ascii="宋体" w:hAnsi="宋体" w:eastAsia="宋体" w:cs="宋体"/>
          <w:color w:val="auto"/>
          <w:sz w:val="24"/>
          <w:szCs w:val="24"/>
          <w:highlight w:val="none"/>
          <w:lang w:eastAsia="zh-CN"/>
        </w:rPr>
        <w:t>答</w:t>
      </w:r>
      <w:r>
        <w:rPr>
          <w:rFonts w:hint="eastAsia" w:ascii="宋体" w:hAnsi="宋体" w:eastAsia="宋体" w:cs="宋体"/>
          <w:color w:val="auto"/>
          <w:sz w:val="24"/>
          <w:szCs w:val="24"/>
          <w:highlight w:val="none"/>
        </w:rPr>
        <w:t>复的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连续三次</w:t>
      </w:r>
      <w:r>
        <w:rPr>
          <w:rFonts w:hint="eastAsia" w:ascii="宋体" w:hAnsi="宋体" w:eastAsia="宋体" w:cs="宋体"/>
          <w:color w:val="auto"/>
          <w:sz w:val="24"/>
          <w:szCs w:val="24"/>
          <w:highlight w:val="none"/>
          <w:lang w:eastAsia="zh-CN"/>
        </w:rPr>
        <w:t>提出质疑</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eastAsia="zh-CN"/>
        </w:rPr>
        <w:t>答复</w:t>
      </w:r>
      <w:r>
        <w:rPr>
          <w:rFonts w:hint="eastAsia" w:ascii="宋体" w:hAnsi="宋体" w:eastAsia="宋体" w:cs="宋体"/>
          <w:color w:val="auto"/>
          <w:sz w:val="24"/>
          <w:szCs w:val="24"/>
          <w:highlight w:val="none"/>
        </w:rPr>
        <w:t>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放弃</w:t>
      </w:r>
      <w:r>
        <w:rPr>
          <w:rFonts w:hint="eastAsia" w:ascii="宋体" w:hAnsi="宋体" w:eastAsia="宋体" w:cs="宋体"/>
          <w:color w:val="auto"/>
          <w:sz w:val="24"/>
          <w:szCs w:val="24"/>
          <w:highlight w:val="none"/>
          <w:lang w:eastAsia="zh-CN"/>
        </w:rPr>
        <w:t>答</w:t>
      </w:r>
      <w:r>
        <w:rPr>
          <w:rFonts w:hint="eastAsia" w:ascii="宋体" w:hAnsi="宋体" w:eastAsia="宋体" w:cs="宋体"/>
          <w:strike w:val="0"/>
          <w:dstrike w:val="0"/>
          <w:color w:val="auto"/>
          <w:sz w:val="24"/>
          <w:szCs w:val="24"/>
          <w:highlight w:val="none"/>
        </w:rPr>
        <w:t>复，评标委员会将自行对需要回复的内容进行认定</w:t>
      </w:r>
      <w:r>
        <w:rPr>
          <w:rFonts w:hint="eastAsia" w:ascii="宋体" w:hAnsi="宋体" w:eastAsia="宋体" w:cs="宋体"/>
          <w:color w:val="auto"/>
          <w:sz w:val="24"/>
          <w:szCs w:val="24"/>
          <w:highlight w:val="none"/>
        </w:rPr>
        <w:t>。</w:t>
      </w:r>
    </w:p>
    <w:p w14:paraId="1A53697B">
      <w:pPr>
        <w:pageBreakBefore w:val="0"/>
        <w:kinsoku/>
        <w:overflowPunct/>
        <w:topLinePunct w:val="0"/>
        <w:bidi w:val="0"/>
        <w:outlineLvl w:val="9"/>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color w:val="auto"/>
          <w:kern w:val="0"/>
          <w:sz w:val="24"/>
          <w:szCs w:val="24"/>
          <w:highlight w:val="none"/>
        </w:rPr>
        <w:t>竞争性磋商</w:t>
      </w:r>
    </w:p>
    <w:p w14:paraId="77285372">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9.1磋商小组由评审专家共3人以上单数组成，其中</w:t>
      </w:r>
      <w:r>
        <w:rPr>
          <w:rFonts w:hint="eastAsia" w:ascii="宋体" w:hAnsi="宋体" w:eastAsia="宋体" w:cs="宋体"/>
          <w:color w:val="auto"/>
          <w:kern w:val="0"/>
          <w:sz w:val="24"/>
          <w:szCs w:val="24"/>
          <w:highlight w:val="none"/>
          <w:lang w:eastAsia="zh-CN"/>
        </w:rPr>
        <w:t>经济、技术</w:t>
      </w:r>
      <w:r>
        <w:rPr>
          <w:rFonts w:hint="eastAsia" w:ascii="宋体" w:hAnsi="宋体" w:eastAsia="宋体" w:cs="宋体"/>
          <w:color w:val="auto"/>
          <w:kern w:val="0"/>
          <w:sz w:val="24"/>
          <w:szCs w:val="24"/>
          <w:highlight w:val="none"/>
        </w:rPr>
        <w:t>评审专家人数不得少于磋商小组成员总数的2/3。磋商小组对供应商的响应文件进行审查、质疑、评审、比较，集中与单一供应商分别进行磋商。</w:t>
      </w:r>
    </w:p>
    <w:p w14:paraId="5E2AD7ED">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9.2磋商小组制定磋商文件或确认磋商文件符合</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政策规定，整个磋商过程将严格按照 “公开、公平、公正”的原则进行。</w:t>
      </w:r>
    </w:p>
    <w:p w14:paraId="008975CA">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sz w:val="24"/>
          <w:szCs w:val="24"/>
          <w:highlight w:val="none"/>
        </w:rPr>
        <w:t>磋商小组首先要对各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递交响应文件的</w:t>
      </w:r>
      <w:r>
        <w:rPr>
          <w:rFonts w:hint="eastAsia" w:ascii="宋体" w:hAnsi="宋体" w:eastAsia="宋体" w:cs="宋体"/>
          <w:color w:val="auto"/>
          <w:sz w:val="24"/>
          <w:szCs w:val="24"/>
          <w:highlight w:val="none"/>
          <w:lang w:eastAsia="zh-CN"/>
        </w:rPr>
        <w:t>形式，资格，响应性</w:t>
      </w:r>
      <w:r>
        <w:rPr>
          <w:rFonts w:hint="eastAsia" w:ascii="宋体" w:hAnsi="宋体" w:eastAsia="宋体" w:cs="宋体"/>
          <w:color w:val="auto"/>
          <w:sz w:val="24"/>
          <w:szCs w:val="24"/>
          <w:highlight w:val="none"/>
        </w:rPr>
        <w:t>进行审阅，以判定各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有效性，审阅结束后，要确定进入最终报价磋商阶段的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名单；</w:t>
      </w:r>
    </w:p>
    <w:p w14:paraId="62C2B678">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.1在初审阶段，属于下列情况的响应文件将不得进入磋商阶段：</w:t>
      </w:r>
    </w:p>
    <w:p w14:paraId="133085C7">
      <w:pPr>
        <w:pageBreakBefore w:val="0"/>
        <w:kinsoku/>
        <w:overflowPunct/>
        <w:topLinePunct w:val="0"/>
        <w:autoSpaceDE w:val="0"/>
        <w:autoSpaceDN w:val="0"/>
        <w:bidi w:val="0"/>
        <w:adjustRightInd w:val="0"/>
        <w:spacing w:line="360" w:lineRule="auto"/>
        <w:ind w:firstLine="240" w:firstLineChars="1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在生成电子化响应文件后，应对电子化响应文件进行签章，未进行签章的视为无效投标。</w:t>
      </w:r>
    </w:p>
    <w:p w14:paraId="2BA3135A">
      <w:pPr>
        <w:pageBreakBefore w:val="0"/>
        <w:kinsoku/>
        <w:overflowPunct/>
        <w:topLinePunct w:val="0"/>
        <w:autoSpaceDE w:val="0"/>
        <w:autoSpaceDN w:val="0"/>
        <w:bidi w:val="0"/>
        <w:adjustRightInd w:val="0"/>
        <w:spacing w:line="360" w:lineRule="auto"/>
        <w:ind w:firstLine="240" w:firstLineChars="1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（2）响应文件中有</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不能接受的其它条件；</w:t>
      </w:r>
    </w:p>
    <w:p w14:paraId="3F1F893C">
      <w:pPr>
        <w:pageBreakBefore w:val="0"/>
        <w:kinsoku/>
        <w:overflowPunct/>
        <w:topLinePunct w:val="0"/>
        <w:autoSpaceDE w:val="0"/>
        <w:autoSpaceDN w:val="0"/>
        <w:bidi w:val="0"/>
        <w:adjustRightInd w:val="0"/>
        <w:spacing w:line="360" w:lineRule="auto"/>
        <w:ind w:firstLine="240" w:firstLineChars="1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（3）资格不合格的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4E4F9DBF">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bookmarkStart w:id="29" w:name="_Toc90712538"/>
      <w:bookmarkEnd w:id="29"/>
      <w:bookmarkStart w:id="30" w:name="_Toc109550798"/>
      <w:bookmarkEnd w:id="30"/>
      <w:bookmarkStart w:id="31" w:name="_Toc109537522"/>
      <w:bookmarkEnd w:id="31"/>
      <w:bookmarkStart w:id="32" w:name="_Toc90713357"/>
      <w:r>
        <w:rPr>
          <w:rFonts w:hint="eastAsia" w:ascii="宋体" w:hAnsi="宋体" w:eastAsia="宋体" w:cs="宋体"/>
          <w:color w:val="auto"/>
          <w:kern w:val="0"/>
          <w:sz w:val="24"/>
          <w:szCs w:val="24"/>
          <w:highlight w:val="none"/>
        </w:rPr>
        <w:t>9.4.2在初审阶段,响应文件出现以下情况之一者，属于重大偏差，为未能对磋商文件作出实质性响应，作废标处理：</w:t>
      </w:r>
      <w:bookmarkEnd w:id="32"/>
    </w:p>
    <w:p w14:paraId="3F201D73">
      <w:pPr>
        <w:pageBreakBefore w:val="0"/>
        <w:kinsoku/>
        <w:overflowPunct/>
        <w:topLinePunct w:val="0"/>
        <w:bidi w:val="0"/>
        <w:spacing w:line="360" w:lineRule="auto"/>
        <w:ind w:firstLine="420" w:firstLineChars="175"/>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（1）响应文件未按规定的格式填写、内容不全的；</w:t>
      </w:r>
    </w:p>
    <w:p w14:paraId="2336F923">
      <w:pPr>
        <w:pageBreakBefore w:val="0"/>
        <w:kinsoku/>
        <w:overflowPunct/>
        <w:topLinePunct w:val="0"/>
        <w:bidi w:val="0"/>
        <w:spacing w:line="360" w:lineRule="auto"/>
        <w:ind w:firstLine="420" w:firstLineChars="175"/>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（2）响应文件中无报价、无</w:t>
      </w:r>
      <w:r>
        <w:rPr>
          <w:rFonts w:hint="eastAsia" w:ascii="宋体" w:hAnsi="宋体" w:eastAsia="宋体" w:cs="宋体"/>
          <w:b w:val="0"/>
          <w:bCs/>
          <w:color w:val="auto"/>
          <w:sz w:val="24"/>
          <w:szCs w:val="24"/>
          <w:highlight w:val="none"/>
          <w:lang w:val="en-US" w:eastAsia="zh-CN"/>
        </w:rPr>
        <w:t>设计周期</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无服务要求、</w:t>
      </w:r>
      <w:r>
        <w:rPr>
          <w:rFonts w:hint="eastAsia" w:ascii="宋体" w:hAnsi="宋体" w:eastAsia="宋体" w:cs="宋体"/>
          <w:b w:val="0"/>
          <w:bCs/>
          <w:color w:val="auto"/>
          <w:sz w:val="24"/>
          <w:szCs w:val="24"/>
          <w:highlight w:val="none"/>
        </w:rPr>
        <w:t>无</w:t>
      </w:r>
      <w:r>
        <w:rPr>
          <w:rFonts w:hint="eastAsia" w:ascii="宋体" w:hAnsi="宋体" w:eastAsia="宋体" w:cs="宋体"/>
          <w:b w:val="0"/>
          <w:bCs/>
          <w:color w:val="auto"/>
          <w:sz w:val="24"/>
          <w:szCs w:val="24"/>
          <w:highlight w:val="none"/>
          <w:lang w:val="en-US" w:eastAsia="zh-CN"/>
        </w:rPr>
        <w:t>质量要求</w:t>
      </w:r>
      <w:r>
        <w:rPr>
          <w:rFonts w:hint="eastAsia" w:ascii="宋体" w:hAnsi="宋体" w:eastAsia="宋体" w:cs="宋体"/>
          <w:b w:val="0"/>
          <w:bCs/>
          <w:color w:val="auto"/>
          <w:sz w:val="24"/>
          <w:szCs w:val="24"/>
          <w:highlight w:val="none"/>
        </w:rPr>
        <w:t>的</w:t>
      </w:r>
      <w:r>
        <w:rPr>
          <w:rFonts w:hint="eastAsia" w:ascii="宋体" w:hAnsi="宋体" w:eastAsia="宋体" w:cs="宋体"/>
          <w:b w:val="0"/>
          <w:bCs/>
          <w:color w:val="auto"/>
          <w:sz w:val="24"/>
          <w:szCs w:val="24"/>
          <w:highlight w:val="none"/>
          <w:lang w:eastAsia="zh-CN"/>
        </w:rPr>
        <w:t>。</w:t>
      </w:r>
    </w:p>
    <w:p w14:paraId="16A10CDB">
      <w:pPr>
        <w:pageBreakBefore w:val="0"/>
        <w:kinsoku/>
        <w:overflowPunct/>
        <w:topLinePunct w:val="0"/>
        <w:autoSpaceDE w:val="0"/>
        <w:autoSpaceDN w:val="0"/>
        <w:bidi w:val="0"/>
        <w:adjustRightInd w:val="0"/>
        <w:spacing w:line="360" w:lineRule="auto"/>
        <w:ind w:firstLine="480" w:firstLineChars="200"/>
        <w:outlineLvl w:val="9"/>
        <w:rPr>
          <w:rFonts w:hint="default"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报价超过招标控制价的。</w:t>
      </w:r>
    </w:p>
    <w:p w14:paraId="28468EF5">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9.4.3详细磋商</w:t>
      </w:r>
    </w:p>
    <w:p w14:paraId="7E4B64DB">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）磋商小组集中与单一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分别进行磋商。在磋商中，磋商双方可以就磋商项目所涉及的价格、技术、服务等进行实质性磋商，但磋商的任何一方不得透露与磋商有关的其他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的商业秘密、技术资料、价格和其他信息，不得变动磋商文件中的其他内容。</w:t>
      </w:r>
    </w:p>
    <w:p w14:paraId="67B99276">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）磋商小组可以要求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对响应文件中含义不明确、同类问题表述不一致或者有明显文字和计算错误的内容等作出必要的澄清、说明或者更正。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的澄清、说明或者更正不得超出响应文件的范围或者改变响应文件的实质性内容。</w:t>
      </w:r>
    </w:p>
    <w:p w14:paraId="4BB0EA25">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）磋商小组要求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澄清、说明或者更正响应文件应当在系统内作出。</w:t>
      </w:r>
    </w:p>
    <w:p w14:paraId="6DE44E23">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）在磋商过程中，磋商小组可以根据磋商文件要求</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，但不得变动磋商文件中的其他内容。实质性变动的内容，须经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代表确认。对磋商文件作出的实质性变动是磋商文件的有效组成部分，磋商小组应当在系统内通知所有参加磋商的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41409884">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）磋商结束后，磋商小组应当要求所有继续参加磋商的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在规定时间时间内提交最后报价。</w:t>
      </w:r>
    </w:p>
    <w:p w14:paraId="1A2144ED">
      <w:pPr>
        <w:pageBreakBefore w:val="0"/>
        <w:kinsoku/>
        <w:overflowPunct/>
        <w:topLinePunct w:val="0"/>
        <w:bidi w:val="0"/>
        <w:spacing w:line="520" w:lineRule="exact"/>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）供应商提交的最后报价不得高于其前一次报价。</w:t>
      </w:r>
    </w:p>
    <w:p w14:paraId="7A3F4C15">
      <w:pPr>
        <w:pageBreakBefore w:val="0"/>
        <w:kinsoku/>
        <w:overflowPunct/>
        <w:topLinePunct w:val="0"/>
        <w:bidi w:val="0"/>
        <w:spacing w:line="520" w:lineRule="exact"/>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）原则上进行二轮报价，如遇特殊情况，根据磋商现场情况经磋商小组讨论研究，可进行多轮报价。</w:t>
      </w:r>
    </w:p>
    <w:p w14:paraId="6F24120B">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由磋商小组</w:t>
      </w:r>
      <w:r>
        <w:rPr>
          <w:rFonts w:hint="eastAsia" w:ascii="宋体" w:hAnsi="宋体" w:cs="宋体"/>
          <w:color w:val="auto"/>
          <w:sz w:val="24"/>
          <w:szCs w:val="24"/>
          <w:highlight w:val="none"/>
        </w:rPr>
        <w:t>按照磋商文件“评</w:t>
      </w:r>
      <w:r>
        <w:rPr>
          <w:rFonts w:hint="eastAsia" w:ascii="宋体" w:hAnsi="宋体" w:cs="宋体"/>
          <w:color w:val="auto"/>
          <w:sz w:val="24"/>
          <w:szCs w:val="24"/>
          <w:highlight w:val="none"/>
          <w:lang w:val="en-US" w:eastAsia="zh-CN"/>
        </w:rPr>
        <w:t>标</w:t>
      </w:r>
      <w:r>
        <w:rPr>
          <w:rFonts w:hint="eastAsia" w:ascii="宋体" w:hAnsi="宋体" w:cs="宋体"/>
          <w:color w:val="auto"/>
          <w:sz w:val="24"/>
          <w:szCs w:val="24"/>
          <w:highlight w:val="none"/>
        </w:rPr>
        <w:t>办法（</w:t>
      </w:r>
      <w:r>
        <w:rPr>
          <w:rFonts w:hint="eastAsia" w:ascii="宋体" w:hAnsi="宋体" w:cs="宋体"/>
          <w:color w:val="auto"/>
          <w:sz w:val="24"/>
          <w:szCs w:val="24"/>
          <w:highlight w:val="none"/>
          <w:lang w:val="zh-CN"/>
        </w:rPr>
        <w:t>综合评分法）</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对提交最终报价的供应商的响应文件和最终报价进行综合评分，</w:t>
      </w:r>
      <w:r>
        <w:rPr>
          <w:rFonts w:hint="eastAsia" w:ascii="宋体" w:hAnsi="宋体" w:eastAsia="宋体" w:cs="宋体"/>
          <w:color w:val="auto"/>
          <w:kern w:val="0"/>
          <w:sz w:val="24"/>
          <w:szCs w:val="24"/>
          <w:highlight w:val="none"/>
        </w:rPr>
        <w:t>磋商小组根据综合评分情况，按照评审得分由高到低顺序推荐</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候选</w:t>
      </w:r>
      <w:r>
        <w:rPr>
          <w:rFonts w:hint="eastAsia" w:ascii="宋体" w:hAnsi="宋体" w:eastAsia="宋体" w:cs="宋体"/>
          <w:color w:val="auto"/>
          <w:kern w:val="0"/>
          <w:sz w:val="24"/>
          <w:szCs w:val="24"/>
          <w:highlight w:val="none"/>
          <w:lang w:eastAsia="zh-CN"/>
        </w:rPr>
        <w:t>人</w:t>
      </w:r>
      <w:r>
        <w:rPr>
          <w:rFonts w:hint="eastAsia" w:ascii="宋体" w:hAnsi="宋体" w:eastAsia="宋体" w:cs="宋体"/>
          <w:color w:val="auto"/>
          <w:kern w:val="0"/>
          <w:sz w:val="24"/>
          <w:szCs w:val="24"/>
          <w:highlight w:val="none"/>
        </w:rPr>
        <w:t>，并编写评审报告。评审得分相同的，按照最后报价由低到高的顺序推荐。评审得分且最后报价相同的，按照技术指标优劣顺序推荐。</w:t>
      </w:r>
    </w:p>
    <w:p w14:paraId="6902D709">
      <w:pPr>
        <w:pageBreakBefore w:val="0"/>
        <w:kinsoku/>
        <w:overflowPunct/>
        <w:topLinePunct w:val="0"/>
        <w:bidi w:val="0"/>
        <w:spacing w:line="360" w:lineRule="auto"/>
        <w:ind w:firstLine="480"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9.4.4</w:t>
      </w:r>
      <w:r>
        <w:rPr>
          <w:rFonts w:hint="eastAsia" w:ascii="宋体" w:hAnsi="宋体" w:eastAsia="宋体" w:cs="宋体"/>
          <w:bCs/>
          <w:color w:val="auto"/>
          <w:sz w:val="24"/>
          <w:szCs w:val="24"/>
          <w:highlight w:val="none"/>
        </w:rPr>
        <w:t>磋商报价</w:t>
      </w:r>
    </w:p>
    <w:p w14:paraId="5F78356C">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供应商结合自身实力及市场行情自主报价。</w:t>
      </w:r>
    </w:p>
    <w:p w14:paraId="30A3E701">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项目总报价中应包括完成本项目可能发生的各项费用，以及所有相关费用，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文件未列明</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，在合同实施时，买方将不予支付供应商没有填列的项目费用，并认为此项目的费用已包括在合同价格中。</w:t>
      </w:r>
    </w:p>
    <w:p w14:paraId="1655BED6">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供应商须按要求填报投标报价表。</w:t>
      </w:r>
    </w:p>
    <w:p w14:paraId="38BE84BD">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7EF014B0">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供应商只能提</w:t>
      </w:r>
      <w:r>
        <w:rPr>
          <w:rFonts w:hint="eastAsia" w:ascii="宋体" w:hAnsi="宋体" w:eastAsia="宋体" w:cs="宋体"/>
          <w:color w:val="auto"/>
          <w:kern w:val="0"/>
          <w:sz w:val="24"/>
          <w:szCs w:val="24"/>
          <w:highlight w:val="none"/>
          <w:lang w:eastAsia="zh-CN"/>
        </w:rPr>
        <w:t>供</w:t>
      </w:r>
      <w:r>
        <w:rPr>
          <w:rFonts w:hint="eastAsia" w:ascii="宋体" w:hAnsi="宋体" w:eastAsia="宋体" w:cs="宋体"/>
          <w:color w:val="auto"/>
          <w:kern w:val="0"/>
          <w:sz w:val="24"/>
          <w:szCs w:val="24"/>
          <w:highlight w:val="none"/>
        </w:rPr>
        <w:t>一个</w:t>
      </w:r>
      <w:r>
        <w:rPr>
          <w:rFonts w:hint="eastAsia" w:ascii="宋体" w:hAnsi="宋体" w:eastAsia="宋体" w:cs="宋体"/>
          <w:color w:val="auto"/>
          <w:kern w:val="0"/>
          <w:sz w:val="24"/>
          <w:szCs w:val="24"/>
          <w:highlight w:val="none"/>
          <w:lang w:eastAsia="zh-CN"/>
        </w:rPr>
        <w:t>有效报价</w:t>
      </w:r>
      <w:r>
        <w:rPr>
          <w:rFonts w:hint="eastAsia" w:ascii="宋体" w:hAnsi="宋体" w:eastAsia="宋体" w:cs="宋体"/>
          <w:color w:val="auto"/>
          <w:kern w:val="0"/>
          <w:sz w:val="24"/>
          <w:szCs w:val="24"/>
          <w:highlight w:val="none"/>
        </w:rPr>
        <w:t>，采购人不接受任何选择</w:t>
      </w:r>
      <w:r>
        <w:rPr>
          <w:rFonts w:hint="eastAsia" w:ascii="宋体" w:hAnsi="宋体" w:eastAsia="宋体" w:cs="宋体"/>
          <w:color w:val="auto"/>
          <w:kern w:val="0"/>
          <w:sz w:val="24"/>
          <w:szCs w:val="24"/>
          <w:highlight w:val="none"/>
          <w:lang w:eastAsia="zh-CN"/>
        </w:rPr>
        <w:t>性报</w:t>
      </w:r>
      <w:r>
        <w:rPr>
          <w:rFonts w:hint="eastAsia" w:ascii="宋体" w:hAnsi="宋体" w:eastAsia="宋体" w:cs="宋体"/>
          <w:color w:val="auto"/>
          <w:kern w:val="0"/>
          <w:sz w:val="24"/>
          <w:szCs w:val="24"/>
          <w:highlight w:val="none"/>
        </w:rPr>
        <w:t>价。</w:t>
      </w:r>
    </w:p>
    <w:p w14:paraId="5247C0B4">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全部报价均应以人民币为计量币种，并以人民币进行结算。</w:t>
      </w:r>
    </w:p>
    <w:p w14:paraId="4A2B76CB">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kern w:val="0"/>
          <w:sz w:val="24"/>
          <w:szCs w:val="24"/>
          <w:highlight w:val="none"/>
        </w:rPr>
        <w:t>原则</w:t>
      </w:r>
    </w:p>
    <w:p w14:paraId="7E4BC6AD">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spacing w:val="10"/>
          <w:kern w:val="0"/>
          <w:sz w:val="24"/>
          <w:szCs w:val="24"/>
          <w:highlight w:val="none"/>
        </w:rPr>
      </w:pPr>
      <w:r>
        <w:rPr>
          <w:rFonts w:hint="eastAsia" w:ascii="宋体" w:hAnsi="宋体" w:eastAsia="宋体" w:cs="宋体"/>
          <w:color w:val="auto"/>
          <w:sz w:val="24"/>
          <w:szCs w:val="24"/>
          <w:highlight w:val="none"/>
        </w:rPr>
        <w:t>磋商小组根据综合评分情况，按照评审得分由高到低顺序推荐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，并编写评审报告</w:t>
      </w:r>
      <w:r>
        <w:rPr>
          <w:rFonts w:hint="eastAsia" w:ascii="宋体" w:hAnsi="宋体" w:eastAsia="宋体" w:cs="宋体"/>
          <w:color w:val="auto"/>
          <w:kern w:val="0"/>
          <w:sz w:val="24"/>
          <w:szCs w:val="24"/>
          <w:highlight w:val="none"/>
        </w:rPr>
        <w:t>并</w:t>
      </w:r>
      <w:r>
        <w:rPr>
          <w:rFonts w:hint="eastAsia" w:ascii="宋体" w:hAnsi="宋体" w:eastAsia="宋体" w:cs="宋体"/>
          <w:color w:val="auto"/>
          <w:spacing w:val="10"/>
          <w:kern w:val="0"/>
          <w:sz w:val="24"/>
          <w:szCs w:val="24"/>
          <w:highlight w:val="none"/>
        </w:rPr>
        <w:t>在报告上签字</w:t>
      </w:r>
      <w:r>
        <w:rPr>
          <w:rFonts w:hint="eastAsia" w:ascii="宋体" w:hAnsi="宋体" w:eastAsia="宋体" w:cs="宋体"/>
          <w:color w:val="auto"/>
          <w:sz w:val="24"/>
          <w:szCs w:val="24"/>
          <w:highlight w:val="none"/>
        </w:rPr>
        <w:t>。评审得分相同的，按照最后报价由低到高的顺序推荐。评审得分且最后报价相同的，按照技术指标优劣顺序推荐</w:t>
      </w:r>
      <w:r>
        <w:rPr>
          <w:rFonts w:hint="eastAsia" w:ascii="宋体" w:hAnsi="宋体" w:eastAsia="宋体" w:cs="宋体"/>
          <w:color w:val="auto"/>
          <w:spacing w:val="10"/>
          <w:kern w:val="0"/>
          <w:sz w:val="24"/>
          <w:szCs w:val="24"/>
          <w:highlight w:val="none"/>
        </w:rPr>
        <w:t>。</w:t>
      </w:r>
    </w:p>
    <w:p w14:paraId="4AB8F0DA">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10.1评审报告</w:t>
      </w:r>
    </w:p>
    <w:p w14:paraId="1B6441FD">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磋商小组应当根据评审记录和评审结果编写评审报告，其主要内容包括：</w:t>
      </w:r>
    </w:p>
    <w:p w14:paraId="45C633CD">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（1）磋商活动的具体方式和相关情况，以及参加磋商活动的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名单；</w:t>
      </w:r>
    </w:p>
    <w:p w14:paraId="0C39CF8A">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（2）评审日期和地点，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小组成员名单；</w:t>
      </w:r>
    </w:p>
    <w:p w14:paraId="03C1958D">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（3）评审情况记录和说明，包括对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的资格审查情况、响应文件评审情况、报价情况等；</w:t>
      </w:r>
    </w:p>
    <w:p w14:paraId="6808265D">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（4）提出的</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候选人的名单。</w:t>
      </w:r>
    </w:p>
    <w:p w14:paraId="1E1AEAA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评审报告应当由磋商小组全体人员签字认可。磋商小组成员对评审报告有异议的，磋商小组按照少数服从多数的原则推荐</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049AA7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33" w:name="_Toc463011495"/>
      <w:bookmarkEnd w:id="33"/>
      <w:bookmarkStart w:id="34" w:name="_Toc511897551"/>
      <w:bookmarkEnd w:id="34"/>
      <w:bookmarkStart w:id="35" w:name="_Toc422126473"/>
      <w:bookmarkEnd w:id="35"/>
      <w:bookmarkStart w:id="36" w:name="_Toc511663234"/>
      <w:bookmarkEnd w:id="36"/>
      <w:bookmarkStart w:id="37" w:name="_Toc531936130"/>
      <w:bookmarkEnd w:id="37"/>
      <w:bookmarkStart w:id="38" w:name="_Toc530665441"/>
      <w:bookmarkEnd w:id="38"/>
      <w:bookmarkStart w:id="39" w:name="_Toc454788286"/>
      <w:bookmarkEnd w:id="39"/>
      <w:bookmarkStart w:id="40" w:name="_Toc455678256"/>
      <w:bookmarkEnd w:id="40"/>
      <w:bookmarkStart w:id="41" w:name="_Toc428276599"/>
      <w:bookmarkEnd w:id="41"/>
      <w:bookmarkStart w:id="42" w:name="_Toc530663938"/>
      <w:bookmarkEnd w:id="42"/>
      <w:bookmarkStart w:id="43" w:name="_Toc530664094"/>
      <w:r>
        <w:rPr>
          <w:rFonts w:hint="eastAsia" w:ascii="宋体" w:hAnsi="宋体" w:eastAsia="宋体" w:cs="宋体"/>
          <w:color w:val="auto"/>
          <w:sz w:val="24"/>
          <w:szCs w:val="24"/>
          <w:highlight w:val="none"/>
        </w:rPr>
        <w:t>11、磋商过程的保密性</w:t>
      </w:r>
      <w:bookmarkEnd w:id="43"/>
    </w:p>
    <w:p w14:paraId="437825D2">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11.1磋商期间，直到授予</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人合同止，凡是与响应文件审查、澄清、评价、比较以及推荐</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人等方面的情况，均不得向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或其他无关的人员透露。</w:t>
      </w:r>
    </w:p>
    <w:p w14:paraId="0851310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44" w:name="_Toc531936131"/>
      <w:bookmarkEnd w:id="44"/>
      <w:bookmarkStart w:id="45" w:name="_Toc511897552"/>
      <w:bookmarkEnd w:id="45"/>
      <w:bookmarkStart w:id="46" w:name="_Toc530664095"/>
      <w:bookmarkEnd w:id="46"/>
      <w:bookmarkStart w:id="47" w:name="_Toc455678257"/>
      <w:bookmarkEnd w:id="47"/>
      <w:bookmarkStart w:id="48" w:name="_Toc463011496"/>
      <w:bookmarkEnd w:id="48"/>
      <w:bookmarkStart w:id="49" w:name="_Toc530665442"/>
      <w:bookmarkEnd w:id="49"/>
      <w:bookmarkStart w:id="50" w:name="_Toc530663939"/>
      <w:bookmarkEnd w:id="50"/>
      <w:bookmarkStart w:id="51" w:name="_Toc511663235"/>
      <w:r>
        <w:rPr>
          <w:rFonts w:hint="eastAsia" w:ascii="宋体" w:hAnsi="宋体" w:eastAsia="宋体" w:cs="宋体"/>
          <w:color w:val="auto"/>
          <w:sz w:val="24"/>
          <w:szCs w:val="24"/>
          <w:highlight w:val="none"/>
        </w:rPr>
        <w:t>12、终止竞争性磋商采购活动</w:t>
      </w:r>
      <w:bookmarkEnd w:id="51"/>
    </w:p>
    <w:p w14:paraId="7AFE14A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应当终止竞争性磋商采购活动，发布项目终止公告并说明原因，重新开展采购活动：</w:t>
      </w:r>
    </w:p>
    <w:p w14:paraId="64E46C7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3DD18B7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523ABF7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过程中符合竞争要求的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或者报价未超过招标预算的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p>
    <w:p w14:paraId="7B4297A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52" w:name="_Toc428351660"/>
      <w:bookmarkEnd w:id="52"/>
      <w:bookmarkStart w:id="53" w:name="_Toc530665443"/>
      <w:bookmarkEnd w:id="53"/>
      <w:bookmarkStart w:id="54" w:name="_Toc463011497"/>
      <w:bookmarkEnd w:id="54"/>
      <w:bookmarkStart w:id="55" w:name="_Toc530664096"/>
      <w:bookmarkEnd w:id="55"/>
      <w:bookmarkStart w:id="56" w:name="_Toc531936132"/>
      <w:bookmarkEnd w:id="56"/>
      <w:bookmarkStart w:id="57" w:name="_Toc454788040"/>
      <w:bookmarkEnd w:id="57"/>
      <w:bookmarkStart w:id="58" w:name="_Toc455678258"/>
      <w:bookmarkEnd w:id="58"/>
      <w:bookmarkStart w:id="59" w:name="_Toc511897553"/>
      <w:bookmarkEnd w:id="59"/>
      <w:bookmarkStart w:id="60" w:name="_Toc511663236"/>
      <w:bookmarkEnd w:id="60"/>
      <w:bookmarkStart w:id="61" w:name="_Toc530663940"/>
      <w:r>
        <w:rPr>
          <w:rFonts w:hint="eastAsia" w:ascii="宋体" w:hAnsi="宋体" w:eastAsia="宋体" w:cs="宋体"/>
          <w:color w:val="auto"/>
          <w:sz w:val="24"/>
          <w:szCs w:val="24"/>
          <w:highlight w:val="none"/>
        </w:rPr>
        <w:t>13、确定</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人</w:t>
      </w:r>
      <w:bookmarkEnd w:id="61"/>
    </w:p>
    <w:p w14:paraId="46A569AC">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代理机构应当在磋商结束后2个工作日内将评审报告送</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应当在收到评审报告后5个工作日内，按照评审报告中推荐的成交候选人顺序确定成交人，并将结果发布网上</w:t>
      </w:r>
      <w:r>
        <w:rPr>
          <w:rFonts w:hint="eastAsia" w:ascii="宋体" w:hAnsi="宋体" w:eastAsia="宋体" w:cs="宋体"/>
          <w:color w:val="auto"/>
          <w:sz w:val="24"/>
          <w:szCs w:val="24"/>
          <w:highlight w:val="none"/>
          <w:lang w:eastAsia="zh-CN"/>
        </w:rPr>
        <w:t>；</w:t>
      </w:r>
    </w:p>
    <w:p w14:paraId="3161FF53">
      <w:pPr>
        <w:pageBreakBefore w:val="0"/>
        <w:kinsoku/>
        <w:overflowPunct/>
        <w:topLinePunct w:val="0"/>
        <w:bidi w:val="0"/>
        <w:spacing w:line="360" w:lineRule="auto"/>
        <w:ind w:firstLine="480" w:firstLineChars="200"/>
        <w:contextualSpacing/>
        <w:outlineLvl w:val="9"/>
        <w:rPr>
          <w:rFonts w:hint="eastAsia"/>
          <w:color w:val="auto"/>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也可以书面授权磋商小组直接确定成交人。磋商小组直接确定成交人的应在磋商文件中写明。</w:t>
      </w:r>
    </w:p>
    <w:p w14:paraId="16C866CB">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62" w:name="_Toc530664097"/>
      <w:bookmarkEnd w:id="62"/>
      <w:bookmarkStart w:id="63" w:name="_Toc455678134"/>
      <w:bookmarkEnd w:id="63"/>
      <w:bookmarkStart w:id="64" w:name="_Toc428351661"/>
      <w:bookmarkEnd w:id="64"/>
      <w:bookmarkStart w:id="65" w:name="_Toc531936133"/>
      <w:bookmarkEnd w:id="65"/>
      <w:bookmarkStart w:id="66" w:name="_Toc530663941"/>
      <w:bookmarkEnd w:id="66"/>
      <w:bookmarkStart w:id="67" w:name="_Toc428276601"/>
      <w:bookmarkEnd w:id="67"/>
      <w:bookmarkStart w:id="68" w:name="_Toc454788041"/>
      <w:bookmarkEnd w:id="68"/>
      <w:bookmarkStart w:id="69" w:name="_Toc511897554"/>
      <w:bookmarkEnd w:id="69"/>
      <w:bookmarkStart w:id="70" w:name="_Toc422126474"/>
      <w:bookmarkEnd w:id="70"/>
      <w:bookmarkStart w:id="71" w:name="_Toc463011498"/>
      <w:bookmarkEnd w:id="71"/>
      <w:bookmarkStart w:id="72" w:name="_Toc530665444"/>
      <w:bookmarkEnd w:id="72"/>
      <w:bookmarkStart w:id="73" w:name="_Toc511663237"/>
      <w:r>
        <w:rPr>
          <w:rFonts w:hint="eastAsia" w:ascii="宋体" w:hAnsi="宋体" w:eastAsia="宋体" w:cs="宋体"/>
          <w:color w:val="auto"/>
          <w:sz w:val="24"/>
          <w:szCs w:val="24"/>
          <w:highlight w:val="none"/>
        </w:rPr>
        <w:t>14、成交结果</w:t>
      </w:r>
      <w:bookmarkEnd w:id="73"/>
      <w:r>
        <w:rPr>
          <w:rFonts w:hint="eastAsia" w:ascii="宋体" w:hAnsi="宋体" w:eastAsia="宋体" w:cs="宋体"/>
          <w:color w:val="auto"/>
          <w:sz w:val="24"/>
          <w:szCs w:val="24"/>
          <w:highlight w:val="none"/>
        </w:rPr>
        <w:t>公告</w:t>
      </w:r>
    </w:p>
    <w:p w14:paraId="4D44747A">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应当在成交人确定后2个工作日内，在</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公告发布的同一媒介上发布成交结果，同时向成交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发出成交通知书，并将磋商文件随成交结果同时公告，公告期限1个工作日。</w:t>
      </w:r>
      <w:bookmarkStart w:id="74" w:name="_Toc454788042"/>
      <w:bookmarkEnd w:id="74"/>
    </w:p>
    <w:p w14:paraId="6A41750D">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75" w:name="_Toc531936134"/>
      <w:bookmarkEnd w:id="75"/>
      <w:bookmarkStart w:id="76" w:name="_Toc270604607"/>
      <w:bookmarkEnd w:id="76"/>
      <w:bookmarkStart w:id="77" w:name="_Toc530663942"/>
      <w:bookmarkEnd w:id="77"/>
      <w:bookmarkStart w:id="78" w:name="_Toc530665445"/>
      <w:bookmarkEnd w:id="78"/>
      <w:bookmarkStart w:id="79" w:name="_Toc530664098"/>
      <w:r>
        <w:rPr>
          <w:rFonts w:hint="eastAsia" w:ascii="宋体" w:hAnsi="宋体" w:eastAsia="宋体" w:cs="宋体"/>
          <w:color w:val="auto"/>
          <w:sz w:val="24"/>
          <w:szCs w:val="24"/>
          <w:highlight w:val="none"/>
        </w:rPr>
        <w:t>15、合同授予</w:t>
      </w:r>
      <w:bookmarkEnd w:id="79"/>
    </w:p>
    <w:p w14:paraId="4FA3DE2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15.1成交结果公示的同时，</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以书面形式向</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人发出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336D3B62">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80" w:name="_Toc511897557"/>
      <w:bookmarkEnd w:id="80"/>
      <w:bookmarkStart w:id="81" w:name="_Toc530665447"/>
      <w:bookmarkEnd w:id="81"/>
      <w:bookmarkStart w:id="82" w:name="_Toc511663240"/>
      <w:bookmarkEnd w:id="82"/>
      <w:bookmarkStart w:id="83" w:name="_Toc463011501"/>
      <w:bookmarkEnd w:id="83"/>
      <w:bookmarkStart w:id="84" w:name="_Toc530664100"/>
      <w:bookmarkEnd w:id="84"/>
      <w:bookmarkStart w:id="85" w:name="_Toc455678262"/>
      <w:bookmarkEnd w:id="85"/>
      <w:bookmarkStart w:id="86" w:name="_Toc530663944"/>
      <w:bookmarkEnd w:id="86"/>
      <w:bookmarkStart w:id="87" w:name="_Toc531936136"/>
      <w:bookmarkEnd w:id="87"/>
      <w:bookmarkStart w:id="88" w:name="_Toc269470335"/>
      <w:r>
        <w:rPr>
          <w:rFonts w:hint="eastAsia" w:ascii="宋体" w:hAnsi="宋体" w:eastAsia="宋体" w:cs="宋体"/>
          <w:color w:val="auto"/>
          <w:sz w:val="24"/>
          <w:szCs w:val="24"/>
          <w:highlight w:val="none"/>
        </w:rPr>
        <w:t xml:space="preserve">15.2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的最后一轮报价为成交价，成交价即为合同价。</w:t>
      </w:r>
      <w:bookmarkEnd w:id="88"/>
    </w:p>
    <w:p w14:paraId="756D742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89" w:name="_Toc463011502"/>
      <w:bookmarkEnd w:id="89"/>
      <w:bookmarkStart w:id="90" w:name="_Toc531936137"/>
      <w:bookmarkEnd w:id="90"/>
      <w:bookmarkStart w:id="91" w:name="_Toc530665448"/>
      <w:bookmarkEnd w:id="91"/>
      <w:bookmarkStart w:id="92" w:name="_Toc530664101"/>
      <w:bookmarkEnd w:id="92"/>
      <w:bookmarkStart w:id="93" w:name="_Toc530663945"/>
      <w:bookmarkEnd w:id="93"/>
      <w:bookmarkStart w:id="94" w:name="_Toc511897558"/>
      <w:bookmarkEnd w:id="94"/>
      <w:bookmarkStart w:id="95" w:name="_Toc511663241"/>
      <w:bookmarkEnd w:id="95"/>
      <w:bookmarkStart w:id="96" w:name="_Toc455678263"/>
      <w:r>
        <w:rPr>
          <w:rFonts w:hint="eastAsia" w:ascii="宋体" w:hAnsi="宋体" w:eastAsia="宋体" w:cs="宋体"/>
          <w:color w:val="auto"/>
          <w:sz w:val="24"/>
          <w:szCs w:val="24"/>
          <w:highlight w:val="none"/>
        </w:rPr>
        <w:t xml:space="preserve">15.3 </w:t>
      </w:r>
      <w:r>
        <w:rPr>
          <w:rFonts w:hint="eastAsia" w:ascii="宋体" w:hAnsi="宋体" w:cs="宋体"/>
          <w:color w:val="auto"/>
          <w:sz w:val="24"/>
          <w:szCs w:val="24"/>
          <w:highlight w:val="none"/>
          <w:lang w:val="en-US" w:eastAsia="zh-CN"/>
        </w:rPr>
        <w:t>根据（三财购【2021】9号），</w:t>
      </w:r>
      <w:r>
        <w:rPr>
          <w:rFonts w:hint="eastAsia" w:ascii="宋体" w:hAnsi="宋体" w:cs="宋体"/>
          <w:color w:val="auto"/>
          <w:sz w:val="24"/>
          <w:szCs w:val="24"/>
          <w:highlight w:val="none"/>
        </w:rPr>
        <w:t>集中采购目录以外政府采购项目，原则上自中标通知书发出之日起2个工作日内与中标(成交)供应商按照采购文件确定的事项与供应商签订政府采购合同，具体的合同条款待甲乙双方商定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合同签订应</w:t>
      </w:r>
      <w:r>
        <w:rPr>
          <w:rFonts w:hint="eastAsia" w:ascii="宋体" w:hAnsi="宋体" w:eastAsia="宋体" w:cs="宋体"/>
          <w:color w:val="auto"/>
          <w:sz w:val="24"/>
          <w:szCs w:val="24"/>
          <w:highlight w:val="none"/>
        </w:rPr>
        <w:t>根据竞争性磋商文件、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的响应性文件及在磋商过程中对响应性文件作出的澄清、解释订立书面合同。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无正当理由拒签合同的，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取消其成交资格，并追究其违约责任。</w:t>
      </w:r>
      <w:bookmarkEnd w:id="96"/>
      <w:r>
        <w:rPr>
          <w:rFonts w:hint="eastAsia" w:ascii="宋体" w:hAnsi="宋体" w:eastAsia="宋体" w:cs="宋体"/>
          <w:color w:val="auto"/>
          <w:sz w:val="24"/>
          <w:szCs w:val="24"/>
          <w:highlight w:val="none"/>
        </w:rPr>
        <w:t>在此情况下，</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可将合同授予排名次</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585A308D">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15.4在签订合同过程中，如发现成交人以他人名义磋商或者以其他方式弄虚作假，骗取成交的，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有权取消其成交资格。</w:t>
      </w:r>
    </w:p>
    <w:p w14:paraId="46A8802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97" w:name="_Toc530663946"/>
      <w:bookmarkEnd w:id="97"/>
      <w:bookmarkStart w:id="98" w:name="_Toc530663950"/>
      <w:bookmarkEnd w:id="98"/>
      <w:bookmarkStart w:id="99" w:name="_Toc530665449"/>
      <w:bookmarkEnd w:id="99"/>
      <w:bookmarkStart w:id="100" w:name="_Toc455678266"/>
      <w:bookmarkEnd w:id="100"/>
      <w:bookmarkStart w:id="101" w:name="_Toc530664102"/>
      <w:bookmarkEnd w:id="101"/>
      <w:bookmarkStart w:id="102" w:name="_Toc269470338"/>
      <w:bookmarkEnd w:id="102"/>
      <w:bookmarkStart w:id="103" w:name="_Toc531936142"/>
      <w:bookmarkEnd w:id="103"/>
      <w:bookmarkStart w:id="104" w:name="_Toc455678264"/>
      <w:bookmarkEnd w:id="104"/>
      <w:bookmarkStart w:id="105" w:name="_Toc530664106"/>
      <w:bookmarkEnd w:id="105"/>
      <w:bookmarkStart w:id="106" w:name="_Toc530665453"/>
      <w:bookmarkEnd w:id="106"/>
      <w:bookmarkStart w:id="107" w:name="_Toc531936138"/>
      <w:bookmarkEnd w:id="107"/>
      <w:bookmarkStart w:id="108" w:name="_Toc463011503"/>
      <w:bookmarkEnd w:id="108"/>
      <w:bookmarkStart w:id="109" w:name="_Toc511663242"/>
      <w:bookmarkEnd w:id="109"/>
      <w:bookmarkStart w:id="110" w:name="_Toc270604610"/>
      <w:r>
        <w:rPr>
          <w:rFonts w:hint="eastAsia" w:ascii="宋体" w:hAnsi="宋体" w:eastAsia="宋体" w:cs="宋体"/>
          <w:color w:val="auto"/>
          <w:sz w:val="24"/>
          <w:szCs w:val="24"/>
          <w:highlight w:val="none"/>
        </w:rPr>
        <w:t>16、纪律和监督</w:t>
      </w:r>
      <w:bookmarkEnd w:id="110"/>
      <w:bookmarkStart w:id="111" w:name="_Toc428276606"/>
      <w:bookmarkEnd w:id="111"/>
      <w:bookmarkStart w:id="112" w:name="_Toc530665454"/>
      <w:bookmarkEnd w:id="112"/>
      <w:bookmarkStart w:id="113" w:name="_Toc531936143"/>
      <w:bookmarkEnd w:id="113"/>
      <w:bookmarkStart w:id="114" w:name="_Toc530664107"/>
      <w:bookmarkEnd w:id="114"/>
      <w:bookmarkStart w:id="115" w:name="_Toc270604838"/>
      <w:bookmarkEnd w:id="115"/>
      <w:bookmarkStart w:id="116" w:name="_Toc454788293"/>
      <w:bookmarkEnd w:id="116"/>
      <w:bookmarkStart w:id="117" w:name="_Toc455678274"/>
      <w:bookmarkEnd w:id="117"/>
      <w:bookmarkStart w:id="118" w:name="_Toc270604611"/>
      <w:bookmarkEnd w:id="118"/>
      <w:bookmarkStart w:id="119" w:name="_Toc511897564"/>
      <w:bookmarkEnd w:id="119"/>
      <w:bookmarkStart w:id="120" w:name="_Toc269470339"/>
      <w:bookmarkEnd w:id="120"/>
      <w:bookmarkStart w:id="121" w:name="_Toc511663247"/>
      <w:bookmarkEnd w:id="121"/>
      <w:bookmarkStart w:id="122" w:name="_Toc530663951"/>
      <w:bookmarkEnd w:id="122"/>
      <w:bookmarkStart w:id="123" w:name="_Toc277149399"/>
      <w:bookmarkEnd w:id="123"/>
      <w:bookmarkStart w:id="124" w:name="_Toc463011513"/>
      <w:bookmarkEnd w:id="124"/>
    </w:p>
    <w:p w14:paraId="57280A9C">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的纪律要求：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不得泄漏竞争性磋商中应当保密的情况和资料，不得与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串通损害国家利益、社会公共利益或者他人合法权益。</w:t>
      </w:r>
    </w:p>
    <w:p w14:paraId="4A0735F9">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25" w:name="_Toc454788294"/>
      <w:bookmarkEnd w:id="125"/>
      <w:bookmarkStart w:id="126" w:name="_Toc511663248"/>
      <w:bookmarkEnd w:id="126"/>
      <w:bookmarkStart w:id="127" w:name="_Toc270604612"/>
      <w:bookmarkEnd w:id="127"/>
      <w:bookmarkStart w:id="128" w:name="_Toc455678275"/>
      <w:bookmarkEnd w:id="128"/>
      <w:bookmarkStart w:id="129" w:name="_Toc270604839"/>
      <w:bookmarkEnd w:id="129"/>
      <w:bookmarkStart w:id="130" w:name="_Toc463011514"/>
      <w:bookmarkEnd w:id="130"/>
      <w:bookmarkStart w:id="131" w:name="_Toc428276607"/>
      <w:bookmarkEnd w:id="131"/>
      <w:bookmarkStart w:id="132" w:name="_Toc530663952"/>
      <w:bookmarkEnd w:id="132"/>
      <w:bookmarkStart w:id="133" w:name="_Toc530664108"/>
      <w:bookmarkEnd w:id="133"/>
      <w:bookmarkStart w:id="134" w:name="_Toc277149400"/>
      <w:bookmarkEnd w:id="134"/>
      <w:bookmarkStart w:id="135" w:name="_Toc531936144"/>
      <w:bookmarkEnd w:id="135"/>
      <w:bookmarkStart w:id="136" w:name="_Toc530665455"/>
      <w:bookmarkEnd w:id="136"/>
      <w:bookmarkStart w:id="137" w:name="_Toc269470340"/>
      <w:bookmarkEnd w:id="137"/>
      <w:bookmarkStart w:id="138" w:name="_Toc511897565"/>
      <w:r>
        <w:rPr>
          <w:rFonts w:hint="eastAsia" w:ascii="宋体" w:hAnsi="宋体" w:eastAsia="宋体" w:cs="宋体"/>
          <w:color w:val="auto"/>
          <w:sz w:val="24"/>
          <w:szCs w:val="24"/>
          <w:highlight w:val="none"/>
        </w:rPr>
        <w:t>16.2对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的纪律要求</w:t>
      </w:r>
      <w:bookmarkEnd w:id="138"/>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不得相互串通或者与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串通，不得向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或者磋商小组成员行贿谋取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，不得以他人名义磋商或者以其他方式弄虚作假骗取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不得以任何方式干扰、影响磋商工作。</w:t>
      </w:r>
    </w:p>
    <w:p w14:paraId="3481F90F">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39" w:name="_Toc428276608"/>
      <w:bookmarkEnd w:id="139"/>
      <w:bookmarkStart w:id="140" w:name="_Toc277149401"/>
      <w:bookmarkEnd w:id="140"/>
      <w:bookmarkStart w:id="141" w:name="_Toc454788295"/>
      <w:bookmarkEnd w:id="141"/>
      <w:bookmarkStart w:id="142" w:name="_Toc455678276"/>
      <w:bookmarkEnd w:id="142"/>
      <w:bookmarkStart w:id="143" w:name="_Toc511897566"/>
      <w:bookmarkEnd w:id="143"/>
      <w:bookmarkStart w:id="144" w:name="_Toc531936145"/>
      <w:bookmarkEnd w:id="144"/>
      <w:bookmarkStart w:id="145" w:name="_Toc530665456"/>
      <w:bookmarkEnd w:id="145"/>
      <w:bookmarkStart w:id="146" w:name="_Toc530664109"/>
      <w:bookmarkEnd w:id="146"/>
      <w:bookmarkStart w:id="147" w:name="_Toc269470341"/>
      <w:bookmarkEnd w:id="147"/>
      <w:bookmarkStart w:id="148" w:name="_Toc270604840"/>
      <w:bookmarkEnd w:id="148"/>
      <w:bookmarkStart w:id="149" w:name="_Toc463011515"/>
      <w:bookmarkEnd w:id="149"/>
      <w:bookmarkStart w:id="150" w:name="_Toc530663953"/>
      <w:bookmarkEnd w:id="150"/>
      <w:bookmarkStart w:id="151" w:name="_Toc270604613"/>
      <w:bookmarkEnd w:id="151"/>
      <w:bookmarkStart w:id="152" w:name="_Toc511663249"/>
      <w:r>
        <w:rPr>
          <w:rFonts w:hint="eastAsia" w:ascii="宋体" w:hAnsi="宋体" w:eastAsia="宋体" w:cs="宋体"/>
          <w:color w:val="auto"/>
          <w:sz w:val="24"/>
          <w:szCs w:val="24"/>
          <w:highlight w:val="none"/>
        </w:rPr>
        <w:t>16.3对磋商小组成员的纪律要求</w:t>
      </w:r>
      <w:bookmarkEnd w:id="152"/>
      <w:r>
        <w:rPr>
          <w:rFonts w:hint="eastAsia" w:ascii="宋体" w:hAnsi="宋体" w:eastAsia="宋体" w:cs="宋体"/>
          <w:color w:val="auto"/>
          <w:sz w:val="24"/>
          <w:szCs w:val="24"/>
          <w:highlight w:val="none"/>
        </w:rPr>
        <w:t>：磋商小组成员不得收受他人的财物或者其他好处，不得向他人透漏对响应文件的评审和比较、</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候选人的推荐情况以及与磋商有关的其他情况。在磋商活动中，磋商小组成员不得擅离职守，影响磋商程序正常进行。</w:t>
      </w:r>
    </w:p>
    <w:p w14:paraId="23975FEB">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53" w:name="_Toc270604614"/>
      <w:bookmarkEnd w:id="153"/>
      <w:bookmarkStart w:id="154" w:name="_Toc269470342"/>
      <w:bookmarkEnd w:id="154"/>
      <w:bookmarkStart w:id="155" w:name="_Toc530665457"/>
      <w:bookmarkEnd w:id="155"/>
      <w:bookmarkStart w:id="156" w:name="_Toc511897567"/>
      <w:bookmarkEnd w:id="156"/>
      <w:bookmarkStart w:id="157" w:name="_Toc511663250"/>
      <w:bookmarkEnd w:id="157"/>
      <w:bookmarkStart w:id="158" w:name="_Toc270604841"/>
      <w:bookmarkEnd w:id="158"/>
      <w:bookmarkStart w:id="159" w:name="_Toc530663954"/>
      <w:bookmarkEnd w:id="159"/>
      <w:bookmarkStart w:id="160" w:name="_Toc454788296"/>
      <w:bookmarkEnd w:id="160"/>
      <w:bookmarkStart w:id="161" w:name="_Toc463011516"/>
      <w:bookmarkEnd w:id="161"/>
      <w:bookmarkStart w:id="162" w:name="_Toc277149402"/>
      <w:bookmarkEnd w:id="162"/>
      <w:bookmarkStart w:id="163" w:name="_Toc455678277"/>
      <w:bookmarkEnd w:id="163"/>
      <w:bookmarkStart w:id="164" w:name="_Toc530664110"/>
      <w:bookmarkEnd w:id="164"/>
      <w:bookmarkStart w:id="165" w:name="_Toc531936146"/>
      <w:bookmarkEnd w:id="165"/>
      <w:bookmarkStart w:id="166" w:name="_Toc428276609"/>
      <w:r>
        <w:rPr>
          <w:rFonts w:hint="eastAsia" w:ascii="宋体" w:hAnsi="宋体" w:eastAsia="宋体" w:cs="宋体"/>
          <w:color w:val="auto"/>
          <w:sz w:val="24"/>
          <w:szCs w:val="24"/>
          <w:highlight w:val="none"/>
        </w:rPr>
        <w:t>16.4对与磋商活动有关的工作人员的纪律要求</w:t>
      </w:r>
      <w:bookmarkEnd w:id="166"/>
      <w:r>
        <w:rPr>
          <w:rFonts w:hint="eastAsia" w:ascii="宋体" w:hAnsi="宋体" w:eastAsia="宋体" w:cs="宋体"/>
          <w:color w:val="auto"/>
          <w:sz w:val="24"/>
          <w:szCs w:val="24"/>
          <w:highlight w:val="none"/>
        </w:rPr>
        <w:t>：与磋商活动有关的工作人员不得收受他人的财物或者其他好处，不得向他人透漏对响应文件的评审和比较、</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候选人的推荐情况以及与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有关的其他情况。在磋商活动中，与磋商活动有关的工作人员不得擅离职守，影响磋商程序正常进行。</w:t>
      </w:r>
    </w:p>
    <w:p w14:paraId="0331638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67" w:name="_Toc270604842"/>
      <w:bookmarkEnd w:id="167"/>
      <w:bookmarkStart w:id="168" w:name="_Toc530663955"/>
      <w:bookmarkEnd w:id="168"/>
      <w:bookmarkStart w:id="169" w:name="_Toc455678278"/>
      <w:bookmarkEnd w:id="169"/>
      <w:bookmarkStart w:id="170" w:name="_Toc277149403"/>
      <w:bookmarkEnd w:id="170"/>
      <w:bookmarkStart w:id="171" w:name="_Toc428276610"/>
      <w:bookmarkEnd w:id="171"/>
      <w:bookmarkStart w:id="172" w:name="_Toc270604615"/>
      <w:bookmarkEnd w:id="172"/>
      <w:bookmarkStart w:id="173" w:name="_Toc531936147"/>
      <w:bookmarkEnd w:id="173"/>
      <w:bookmarkStart w:id="174" w:name="_Toc269470343"/>
      <w:bookmarkEnd w:id="174"/>
      <w:bookmarkStart w:id="175" w:name="_Toc463011517"/>
      <w:bookmarkEnd w:id="175"/>
      <w:bookmarkStart w:id="176" w:name="_Toc530664111"/>
      <w:bookmarkEnd w:id="176"/>
      <w:bookmarkStart w:id="177" w:name="_Toc454788297"/>
      <w:bookmarkEnd w:id="177"/>
      <w:bookmarkStart w:id="178" w:name="_Toc511897568"/>
      <w:bookmarkEnd w:id="178"/>
      <w:bookmarkStart w:id="179" w:name="_Toc530665458"/>
      <w:bookmarkEnd w:id="179"/>
      <w:bookmarkStart w:id="180" w:name="_Toc511663251"/>
      <w:r>
        <w:rPr>
          <w:rFonts w:hint="eastAsia" w:ascii="宋体" w:hAnsi="宋体" w:eastAsia="宋体" w:cs="宋体"/>
          <w:color w:val="auto"/>
          <w:sz w:val="24"/>
          <w:szCs w:val="24"/>
          <w:highlight w:val="none"/>
        </w:rPr>
        <w:t>17、投诉</w:t>
      </w:r>
      <w:bookmarkEnd w:id="180"/>
    </w:p>
    <w:p w14:paraId="17A5B0A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和其他利害关系人认为本次竞争性磋商违反法律、法规和规章规定的，有权向有关行政监督部门投诉。</w:t>
      </w:r>
    </w:p>
    <w:p w14:paraId="2012DE4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81" w:name="_Toc531936148"/>
      <w:bookmarkEnd w:id="181"/>
      <w:bookmarkStart w:id="182" w:name="_Toc428351670"/>
      <w:bookmarkEnd w:id="182"/>
      <w:bookmarkStart w:id="183" w:name="_Toc530664112"/>
      <w:bookmarkEnd w:id="183"/>
      <w:bookmarkStart w:id="184" w:name="_Toc530665459"/>
      <w:bookmarkEnd w:id="184"/>
      <w:bookmarkStart w:id="185" w:name="_Toc530663956"/>
      <w:bookmarkEnd w:id="185"/>
      <w:bookmarkStart w:id="186" w:name="_Toc454788050"/>
      <w:r>
        <w:rPr>
          <w:rFonts w:hint="eastAsia" w:ascii="宋体" w:hAnsi="宋体" w:eastAsia="宋体" w:cs="宋体"/>
          <w:color w:val="auto"/>
          <w:sz w:val="24"/>
          <w:szCs w:val="24"/>
          <w:highlight w:val="none"/>
        </w:rPr>
        <w:t>17.1询问、质疑和投诉</w:t>
      </w:r>
      <w:bookmarkEnd w:id="186"/>
    </w:p>
    <w:p w14:paraId="67172BD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87" w:name="_Toc531936149"/>
      <w:bookmarkEnd w:id="187"/>
      <w:bookmarkStart w:id="188" w:name="_Toc530664113"/>
      <w:bookmarkEnd w:id="188"/>
      <w:bookmarkStart w:id="189" w:name="_Toc530665460"/>
      <w:bookmarkEnd w:id="189"/>
      <w:bookmarkStart w:id="190" w:name="_Toc463011519"/>
      <w:bookmarkEnd w:id="190"/>
      <w:bookmarkStart w:id="191" w:name="_Toc455678154"/>
      <w:bookmarkEnd w:id="191"/>
      <w:bookmarkStart w:id="192" w:name="_Toc530663957"/>
      <w:bookmarkEnd w:id="192"/>
      <w:bookmarkStart w:id="193" w:name="_Toc511663253"/>
      <w:bookmarkEnd w:id="193"/>
      <w:bookmarkStart w:id="194" w:name="_Toc511897570"/>
      <w:bookmarkEnd w:id="194"/>
      <w:bookmarkStart w:id="195" w:name="_Toc45478805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或有关当事人对磋商过程、成交结果有异议的，可以向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提出询问。</w:t>
      </w:r>
      <w:bookmarkEnd w:id="195"/>
    </w:p>
    <w:p w14:paraId="6F082DCE">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96" w:name="_Toc530665461"/>
      <w:bookmarkEnd w:id="196"/>
      <w:bookmarkStart w:id="197" w:name="_Toc511663254"/>
      <w:bookmarkEnd w:id="197"/>
      <w:bookmarkStart w:id="198" w:name="_Toc511897571"/>
      <w:bookmarkEnd w:id="198"/>
      <w:bookmarkStart w:id="199" w:name="_Toc455678155"/>
      <w:bookmarkEnd w:id="199"/>
      <w:bookmarkStart w:id="200" w:name="_Toc531936150"/>
      <w:bookmarkEnd w:id="200"/>
      <w:bookmarkStart w:id="201" w:name="_Toc530664114"/>
      <w:bookmarkEnd w:id="201"/>
      <w:bookmarkStart w:id="202" w:name="_Toc463011520"/>
      <w:bookmarkEnd w:id="202"/>
      <w:bookmarkStart w:id="203" w:name="_Toc53066395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应当在三个工作日内对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依法提出的询问作出答复。</w:t>
      </w:r>
      <w:bookmarkEnd w:id="203"/>
    </w:p>
    <w:p w14:paraId="176290DA">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04" w:name="_Toc531936151"/>
      <w:bookmarkEnd w:id="204"/>
      <w:bookmarkStart w:id="205" w:name="_Toc463011521"/>
      <w:bookmarkEnd w:id="205"/>
      <w:bookmarkStart w:id="206" w:name="_Toc530663959"/>
      <w:bookmarkEnd w:id="206"/>
      <w:bookmarkStart w:id="207" w:name="_Toc511897572"/>
      <w:bookmarkEnd w:id="207"/>
      <w:bookmarkStart w:id="208" w:name="_Toc530664115"/>
      <w:bookmarkEnd w:id="208"/>
      <w:bookmarkStart w:id="209" w:name="_Toc511663255"/>
      <w:bookmarkEnd w:id="209"/>
      <w:bookmarkStart w:id="210" w:name="_Toc455678156"/>
      <w:bookmarkEnd w:id="210"/>
      <w:bookmarkStart w:id="211" w:name="_Toc530665462"/>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认为磋商文件、磋商过程使自己的权益受到损害的，可以在知道或者应知其权益受到损害之日起七个工作日内，以书面形式向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提出质疑。</w:t>
      </w:r>
      <w:bookmarkEnd w:id="211"/>
    </w:p>
    <w:p w14:paraId="30DBCDC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12" w:name="_Toc455678157"/>
      <w:bookmarkEnd w:id="212"/>
      <w:bookmarkStart w:id="213" w:name="_Toc511897574"/>
      <w:bookmarkEnd w:id="213"/>
      <w:bookmarkStart w:id="214" w:name="_Toc530663961"/>
      <w:bookmarkEnd w:id="214"/>
      <w:bookmarkStart w:id="215" w:name="_Toc531936153"/>
      <w:bookmarkEnd w:id="215"/>
      <w:bookmarkStart w:id="216" w:name="_Toc530665464"/>
      <w:bookmarkEnd w:id="216"/>
      <w:bookmarkStart w:id="217" w:name="_Toc511663257"/>
      <w:bookmarkEnd w:id="217"/>
      <w:bookmarkStart w:id="218" w:name="_Toc530664117"/>
      <w:bookmarkEnd w:id="218"/>
      <w:bookmarkStart w:id="219" w:name="_Toc463011523"/>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应当在收到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的书面质疑后七个工作日内作出答复，并以书面形式通知质疑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，但答复的内容不得涉及商业秘密。</w:t>
      </w:r>
      <w:bookmarkEnd w:id="219"/>
    </w:p>
    <w:p w14:paraId="613C1A33">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20" w:name="_Toc530665465"/>
      <w:bookmarkEnd w:id="220"/>
      <w:bookmarkStart w:id="221" w:name="_Toc463011524"/>
      <w:bookmarkEnd w:id="221"/>
      <w:bookmarkStart w:id="222" w:name="_Toc530663962"/>
      <w:bookmarkEnd w:id="222"/>
      <w:bookmarkStart w:id="223" w:name="_Toc530664118"/>
      <w:bookmarkEnd w:id="223"/>
      <w:bookmarkStart w:id="224" w:name="_Toc511663258"/>
      <w:bookmarkEnd w:id="224"/>
      <w:bookmarkStart w:id="225" w:name="_Toc511897575"/>
      <w:bookmarkEnd w:id="225"/>
      <w:bookmarkStart w:id="226" w:name="_Toc531936154"/>
      <w:bookmarkEnd w:id="226"/>
      <w:bookmarkStart w:id="227" w:name="_Toc455678158"/>
      <w:r>
        <w:rPr>
          <w:rFonts w:hint="eastAsia" w:ascii="宋体" w:hAnsi="宋体" w:eastAsia="宋体" w:cs="宋体"/>
          <w:color w:val="auto"/>
          <w:sz w:val="24"/>
          <w:szCs w:val="24"/>
          <w:highlight w:val="none"/>
        </w:rPr>
        <w:t>（5）质疑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的答复不满意或者</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未在规定的时间内作出答复的，可以在答复期满后十五个工作日内向同级政府招标监督管理部门投诉。</w:t>
      </w:r>
      <w:bookmarkEnd w:id="227"/>
    </w:p>
    <w:p w14:paraId="65C8CFB1">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28" w:name="_Toc463011525"/>
      <w:bookmarkEnd w:id="228"/>
      <w:bookmarkStart w:id="229" w:name="_Toc511897576"/>
      <w:bookmarkEnd w:id="229"/>
      <w:bookmarkStart w:id="230" w:name="_Toc530664119"/>
      <w:bookmarkEnd w:id="230"/>
      <w:bookmarkStart w:id="231" w:name="_Toc531936155"/>
      <w:bookmarkEnd w:id="231"/>
      <w:bookmarkStart w:id="232" w:name="_Toc511663259"/>
      <w:bookmarkEnd w:id="232"/>
      <w:bookmarkStart w:id="233" w:name="_Toc455678159"/>
      <w:bookmarkEnd w:id="233"/>
      <w:bookmarkStart w:id="234" w:name="_Toc530665466"/>
      <w:bookmarkEnd w:id="234"/>
      <w:bookmarkStart w:id="235" w:name="_Toc530663963"/>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质疑、投诉应当有明确的请求和必要的证明材料。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投诉的事项不得超出已质疑事项的范围。</w:t>
      </w:r>
      <w:bookmarkEnd w:id="235"/>
    </w:p>
    <w:p w14:paraId="4C3100B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36" w:name="_Toc530663964"/>
      <w:bookmarkEnd w:id="236"/>
      <w:bookmarkStart w:id="237" w:name="_Toc530665467"/>
      <w:bookmarkEnd w:id="237"/>
      <w:bookmarkStart w:id="238" w:name="_Toc531936156"/>
      <w:bookmarkEnd w:id="238"/>
      <w:bookmarkStart w:id="239" w:name="_Toc530664120"/>
      <w:r>
        <w:rPr>
          <w:rFonts w:hint="eastAsia" w:ascii="宋体" w:hAnsi="宋体" w:eastAsia="宋体" w:cs="宋体"/>
          <w:color w:val="auto"/>
          <w:sz w:val="24"/>
          <w:szCs w:val="24"/>
          <w:highlight w:val="none"/>
        </w:rPr>
        <w:t>18、需要补充的其他内容</w:t>
      </w:r>
      <w:bookmarkEnd w:id="239"/>
    </w:p>
    <w:p w14:paraId="6B409B5D">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0000FF"/>
          <w:sz w:val="24"/>
          <w:szCs w:val="24"/>
          <w:highlight w:val="none"/>
          <w:lang w:eastAsia="zh-CN"/>
        </w:rPr>
        <w:t>成交供应商的实际结算价以实际设计内容的项目金额乘以最终成交费率。</w:t>
      </w:r>
    </w:p>
    <w:p w14:paraId="7076D251">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62061309">
      <w:pPr>
        <w:pageBreakBefore w:val="0"/>
        <w:kinsoku/>
        <w:overflowPunct/>
        <w:topLinePunct w:val="0"/>
        <w:bidi w:val="0"/>
        <w:outlineLvl w:val="9"/>
        <w:rPr>
          <w:rFonts w:hint="eastAsia" w:ascii="宋体" w:hAnsi="宋体" w:eastAsia="宋体" w:cs="宋体"/>
          <w:color w:val="auto"/>
          <w:kern w:val="0"/>
          <w:szCs w:val="21"/>
          <w:highlight w:val="none"/>
        </w:rPr>
      </w:pPr>
    </w:p>
    <w:p w14:paraId="5FB10576">
      <w:pPr>
        <w:pageBreakBefore w:val="0"/>
        <w:kinsoku/>
        <w:overflowPunct/>
        <w:topLinePunct w:val="0"/>
        <w:bidi w:val="0"/>
        <w:outlineLvl w:val="9"/>
        <w:rPr>
          <w:rFonts w:hint="eastAsia" w:ascii="宋体" w:hAnsi="宋体" w:eastAsia="宋体" w:cs="宋体"/>
          <w:color w:val="auto"/>
          <w:kern w:val="0"/>
          <w:szCs w:val="21"/>
          <w:highlight w:val="none"/>
        </w:rPr>
      </w:pPr>
    </w:p>
    <w:p w14:paraId="020B9E1D">
      <w:pPr>
        <w:pStyle w:val="19"/>
        <w:rPr>
          <w:rFonts w:hint="eastAsia" w:ascii="宋体" w:hAnsi="宋体" w:eastAsia="宋体" w:cs="宋体"/>
          <w:color w:val="auto"/>
          <w:sz w:val="24"/>
          <w:szCs w:val="24"/>
          <w:highlight w:val="none"/>
          <w:lang w:val="en-US" w:eastAsia="zh-CN"/>
        </w:rPr>
      </w:pPr>
      <w:bookmarkStart w:id="240" w:name="_Toc16964"/>
    </w:p>
    <w:p w14:paraId="5AA5B75D">
      <w:pPr>
        <w:rPr>
          <w:rFonts w:hint="eastAsia"/>
          <w:b/>
          <w:bCs/>
          <w:color w:val="auto"/>
          <w:sz w:val="36"/>
          <w:szCs w:val="40"/>
          <w:highlight w:val="none"/>
        </w:rPr>
      </w:pPr>
      <w:bookmarkStart w:id="241" w:name="_Toc30845"/>
      <w:r>
        <w:rPr>
          <w:rFonts w:hint="eastAsia"/>
          <w:b/>
          <w:bCs/>
          <w:color w:val="auto"/>
          <w:sz w:val="36"/>
          <w:szCs w:val="40"/>
          <w:highlight w:val="none"/>
        </w:rPr>
        <w:br w:type="page"/>
      </w:r>
    </w:p>
    <w:p w14:paraId="59B41FD6">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color w:val="auto"/>
          <w:sz w:val="36"/>
          <w:szCs w:val="40"/>
          <w:highlight w:val="none"/>
        </w:rPr>
      </w:pPr>
      <w:bookmarkStart w:id="242" w:name="_Toc16201"/>
      <w:r>
        <w:rPr>
          <w:rFonts w:hint="eastAsia"/>
          <w:b/>
          <w:bCs/>
          <w:color w:val="auto"/>
          <w:sz w:val="36"/>
          <w:szCs w:val="40"/>
          <w:highlight w:val="none"/>
        </w:rPr>
        <w:t>第</w:t>
      </w:r>
      <w:r>
        <w:rPr>
          <w:rFonts w:hint="eastAsia"/>
          <w:b/>
          <w:bCs/>
          <w:color w:val="auto"/>
          <w:sz w:val="36"/>
          <w:szCs w:val="40"/>
          <w:highlight w:val="none"/>
          <w:lang w:val="en-US" w:eastAsia="zh-CN"/>
        </w:rPr>
        <w:t>三</w:t>
      </w:r>
      <w:r>
        <w:rPr>
          <w:rFonts w:hint="eastAsia"/>
          <w:b/>
          <w:bCs/>
          <w:color w:val="auto"/>
          <w:sz w:val="36"/>
          <w:szCs w:val="40"/>
          <w:highlight w:val="none"/>
        </w:rPr>
        <w:t>章  评标办法（综合评</w:t>
      </w:r>
      <w:r>
        <w:rPr>
          <w:rFonts w:hint="eastAsia"/>
          <w:b/>
          <w:bCs/>
          <w:color w:val="auto"/>
          <w:sz w:val="36"/>
          <w:szCs w:val="40"/>
          <w:highlight w:val="none"/>
          <w:lang w:val="en-US" w:eastAsia="zh-CN"/>
        </w:rPr>
        <w:t>分</w:t>
      </w:r>
      <w:r>
        <w:rPr>
          <w:rFonts w:hint="eastAsia"/>
          <w:b/>
          <w:bCs/>
          <w:color w:val="auto"/>
          <w:sz w:val="36"/>
          <w:szCs w:val="40"/>
          <w:highlight w:val="none"/>
        </w:rPr>
        <w:t>法）</w:t>
      </w:r>
      <w:bookmarkEnd w:id="240"/>
      <w:bookmarkEnd w:id="241"/>
      <w:bookmarkEnd w:id="242"/>
    </w:p>
    <w:p w14:paraId="5C28A33E">
      <w:pPr>
        <w:pageBreakBefore w:val="0"/>
        <w:kinsoku/>
        <w:overflowPunct/>
        <w:topLinePunct w:val="0"/>
        <w:bidi w:val="0"/>
        <w:jc w:val="center"/>
        <w:outlineLvl w:val="9"/>
        <w:rPr>
          <w:rFonts w:hint="eastAsia" w:ascii="宋体" w:hAnsi="宋体" w:eastAsia="宋体" w:cs="宋体"/>
          <w:b/>
          <w:bCs/>
          <w:color w:val="auto"/>
          <w:kern w:val="0"/>
          <w:sz w:val="28"/>
          <w:szCs w:val="32"/>
          <w:highlight w:val="none"/>
          <w:lang w:val="zh-CN"/>
        </w:rPr>
      </w:pPr>
      <w:bookmarkStart w:id="243" w:name="_Toc246996985"/>
      <w:bookmarkEnd w:id="243"/>
      <w:bookmarkStart w:id="244" w:name="_Toc387669600"/>
      <w:bookmarkEnd w:id="244"/>
      <w:bookmarkStart w:id="245" w:name="_Toc246996243"/>
      <w:bookmarkEnd w:id="245"/>
      <w:bookmarkStart w:id="246" w:name="_Toc1005"/>
      <w:bookmarkEnd w:id="246"/>
      <w:bookmarkStart w:id="247" w:name="_Toc152042377"/>
      <w:bookmarkEnd w:id="247"/>
      <w:bookmarkStart w:id="248" w:name="_Toc246996242"/>
      <w:bookmarkEnd w:id="248"/>
      <w:bookmarkStart w:id="249" w:name="_Toc246996986"/>
      <w:bookmarkEnd w:id="249"/>
      <w:bookmarkStart w:id="250" w:name="_Toc7518073"/>
      <w:bookmarkEnd w:id="250"/>
      <w:bookmarkStart w:id="251" w:name="_Toc247085758"/>
      <w:bookmarkEnd w:id="251"/>
      <w:bookmarkStart w:id="252" w:name="_Toc247085757"/>
      <w:bookmarkEnd w:id="252"/>
      <w:bookmarkStart w:id="253" w:name="_Toc358707206"/>
      <w:bookmarkEnd w:id="253"/>
      <w:bookmarkStart w:id="254" w:name="_Toc152042376"/>
      <w:bookmarkEnd w:id="254"/>
      <w:bookmarkStart w:id="255" w:name="_Toc144974566"/>
      <w:bookmarkEnd w:id="255"/>
      <w:bookmarkStart w:id="256" w:name="_Toc179632618"/>
      <w:bookmarkEnd w:id="256"/>
      <w:bookmarkStart w:id="257" w:name="_Toc4293"/>
      <w:bookmarkEnd w:id="257"/>
      <w:bookmarkStart w:id="258" w:name="_Toc7518074"/>
      <w:bookmarkEnd w:id="258"/>
      <w:bookmarkStart w:id="259" w:name="_Toc358707205"/>
      <w:bookmarkEnd w:id="259"/>
      <w:bookmarkStart w:id="260" w:name="_Toc179632617"/>
      <w:bookmarkEnd w:id="260"/>
      <w:bookmarkStart w:id="261" w:name="_Toc144974567"/>
      <w:bookmarkEnd w:id="261"/>
      <w:bookmarkStart w:id="262" w:name="_Toc57105664"/>
      <w:bookmarkStart w:id="263" w:name="_Toc152045600"/>
      <w:r>
        <w:rPr>
          <w:rFonts w:hint="eastAsia" w:ascii="宋体" w:hAnsi="宋体" w:eastAsia="宋体" w:cs="宋体"/>
          <w:b/>
          <w:bCs/>
          <w:color w:val="auto"/>
          <w:kern w:val="0"/>
          <w:sz w:val="28"/>
          <w:szCs w:val="32"/>
          <w:highlight w:val="none"/>
          <w:lang w:val="zh-CN"/>
        </w:rPr>
        <w:t>评标</w:t>
      </w:r>
      <w:r>
        <w:rPr>
          <w:rFonts w:hint="eastAsia" w:ascii="宋体" w:hAnsi="宋体" w:eastAsia="宋体" w:cs="宋体"/>
          <w:b/>
          <w:color w:val="auto"/>
          <w:kern w:val="0"/>
          <w:sz w:val="28"/>
          <w:szCs w:val="32"/>
          <w:highlight w:val="none"/>
          <w:lang w:val="zh-CN"/>
        </w:rPr>
        <w:t>办法前</w:t>
      </w:r>
      <w:r>
        <w:rPr>
          <w:rFonts w:hint="eastAsia" w:ascii="宋体" w:hAnsi="宋体" w:eastAsia="宋体" w:cs="宋体"/>
          <w:b/>
          <w:bCs/>
          <w:color w:val="auto"/>
          <w:kern w:val="0"/>
          <w:sz w:val="28"/>
          <w:szCs w:val="32"/>
          <w:highlight w:val="none"/>
          <w:lang w:val="zh-CN"/>
        </w:rPr>
        <w:t>附表</w:t>
      </w:r>
      <w:bookmarkEnd w:id="262"/>
    </w:p>
    <w:tbl>
      <w:tblPr>
        <w:tblStyle w:val="20"/>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005"/>
        <w:gridCol w:w="75"/>
        <w:gridCol w:w="1511"/>
        <w:gridCol w:w="4864"/>
      </w:tblGrid>
      <w:tr w14:paraId="391B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15" w:type="dxa"/>
            <w:gridSpan w:val="3"/>
            <w:tcMar>
              <w:left w:w="57" w:type="dxa"/>
              <w:right w:w="57" w:type="dxa"/>
            </w:tcMar>
            <w:vAlign w:val="center"/>
          </w:tcPr>
          <w:p w14:paraId="30B83E79">
            <w:pPr>
              <w:pStyle w:val="40"/>
              <w:pageBreakBefore w:val="0"/>
              <w:kinsoku/>
              <w:overflowPunct/>
              <w:topLinePunct w:val="0"/>
              <w:bidi w:val="0"/>
              <w:spacing w:before="206"/>
              <w:ind w:left="147" w:right="139"/>
              <w:jc w:val="both"/>
              <w:outlineLvl w:val="9"/>
              <w:rPr>
                <w:b/>
                <w:bCs/>
                <w:color w:val="auto"/>
                <w:sz w:val="24"/>
                <w:szCs w:val="22"/>
                <w:highlight w:val="none"/>
              </w:rPr>
            </w:pPr>
            <w:r>
              <w:rPr>
                <w:rFonts w:hint="eastAsia"/>
                <w:b/>
                <w:bCs/>
                <w:color w:val="auto"/>
                <w:sz w:val="24"/>
                <w:szCs w:val="22"/>
                <w:highlight w:val="none"/>
              </w:rPr>
              <w:t>条款号</w:t>
            </w:r>
          </w:p>
        </w:tc>
        <w:tc>
          <w:tcPr>
            <w:tcW w:w="1511" w:type="dxa"/>
            <w:tcMar>
              <w:left w:w="57" w:type="dxa"/>
              <w:right w:w="57" w:type="dxa"/>
            </w:tcMar>
            <w:vAlign w:val="center"/>
          </w:tcPr>
          <w:p w14:paraId="746095BF">
            <w:pPr>
              <w:pStyle w:val="40"/>
              <w:pageBreakBefore w:val="0"/>
              <w:kinsoku/>
              <w:overflowPunct/>
              <w:topLinePunct w:val="0"/>
              <w:bidi w:val="0"/>
              <w:spacing w:before="206"/>
              <w:ind w:left="147" w:right="139"/>
              <w:jc w:val="both"/>
              <w:outlineLvl w:val="9"/>
              <w:rPr>
                <w:b/>
                <w:bCs/>
                <w:color w:val="auto"/>
                <w:sz w:val="24"/>
                <w:szCs w:val="22"/>
                <w:highlight w:val="none"/>
              </w:rPr>
            </w:pPr>
            <w:r>
              <w:rPr>
                <w:rFonts w:hint="eastAsia"/>
                <w:b/>
                <w:bCs/>
                <w:color w:val="auto"/>
                <w:sz w:val="24"/>
                <w:szCs w:val="22"/>
                <w:highlight w:val="none"/>
              </w:rPr>
              <w:t>评审因素</w:t>
            </w:r>
          </w:p>
        </w:tc>
        <w:tc>
          <w:tcPr>
            <w:tcW w:w="4864" w:type="dxa"/>
            <w:tcMar>
              <w:left w:w="57" w:type="dxa"/>
              <w:right w:w="57" w:type="dxa"/>
            </w:tcMar>
            <w:vAlign w:val="center"/>
          </w:tcPr>
          <w:p w14:paraId="39EB404A">
            <w:pPr>
              <w:pStyle w:val="40"/>
              <w:pageBreakBefore w:val="0"/>
              <w:kinsoku/>
              <w:overflowPunct/>
              <w:topLinePunct w:val="0"/>
              <w:bidi w:val="0"/>
              <w:spacing w:before="206"/>
              <w:ind w:left="147" w:right="139"/>
              <w:jc w:val="both"/>
              <w:outlineLvl w:val="9"/>
              <w:rPr>
                <w:b/>
                <w:bCs/>
                <w:color w:val="auto"/>
                <w:sz w:val="24"/>
                <w:szCs w:val="22"/>
                <w:highlight w:val="none"/>
              </w:rPr>
            </w:pPr>
            <w:r>
              <w:rPr>
                <w:rFonts w:hint="eastAsia"/>
                <w:b/>
                <w:bCs/>
                <w:color w:val="auto"/>
                <w:sz w:val="24"/>
                <w:szCs w:val="22"/>
                <w:highlight w:val="none"/>
              </w:rPr>
              <w:t>评审标准</w:t>
            </w:r>
          </w:p>
        </w:tc>
      </w:tr>
      <w:tr w14:paraId="4D4C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5" w:type="dxa"/>
            <w:vMerge w:val="restart"/>
            <w:tcMar>
              <w:left w:w="57" w:type="dxa"/>
              <w:right w:w="57" w:type="dxa"/>
            </w:tcMar>
            <w:vAlign w:val="center"/>
          </w:tcPr>
          <w:p w14:paraId="32374E6D">
            <w:pPr>
              <w:pStyle w:val="17"/>
              <w:pageBreakBefore w:val="0"/>
              <w:kinsoku/>
              <w:overflowPunct/>
              <w:topLinePunct w:val="0"/>
              <w:bidi w:val="0"/>
              <w:spacing w:before="0" w:beforeAutospacing="0" w:after="0" w:afterAutospacing="0" w:line="360" w:lineRule="auto"/>
              <w:jc w:val="center"/>
              <w:outlineLvl w:val="9"/>
              <w:rPr>
                <w:rFonts w:hint="default"/>
                <w:color w:val="auto"/>
                <w:highlight w:val="none"/>
              </w:rPr>
            </w:pPr>
            <w:r>
              <w:rPr>
                <w:rFonts w:hint="eastAsia" w:ascii="宋体" w:hAnsi="宋体" w:eastAsia="宋体" w:cs="宋体"/>
                <w:color w:val="auto"/>
                <w:highlight w:val="none"/>
              </w:rPr>
              <w:t>2.1.1</w:t>
            </w:r>
          </w:p>
        </w:tc>
        <w:tc>
          <w:tcPr>
            <w:tcW w:w="1080" w:type="dxa"/>
            <w:gridSpan w:val="2"/>
            <w:vMerge w:val="restart"/>
            <w:tcMar>
              <w:left w:w="57" w:type="dxa"/>
              <w:right w:w="57" w:type="dxa"/>
            </w:tcMar>
            <w:vAlign w:val="center"/>
          </w:tcPr>
          <w:p w14:paraId="4937B7DE">
            <w:pPr>
              <w:pageBreakBefore w:val="0"/>
              <w:kinsoku/>
              <w:overflowPunct/>
              <w:topLinePunct w:val="0"/>
              <w:bidi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形式评审标准</w:t>
            </w:r>
          </w:p>
        </w:tc>
        <w:tc>
          <w:tcPr>
            <w:tcW w:w="1511" w:type="dxa"/>
            <w:tcMar>
              <w:left w:w="57" w:type="dxa"/>
              <w:right w:w="57" w:type="dxa"/>
            </w:tcMar>
            <w:vAlign w:val="center"/>
          </w:tcPr>
          <w:p w14:paraId="4159F8F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4864" w:type="dxa"/>
            <w:tcMar>
              <w:left w:w="57" w:type="dxa"/>
              <w:right w:w="57" w:type="dxa"/>
            </w:tcMar>
            <w:vAlign w:val="center"/>
          </w:tcPr>
          <w:p w14:paraId="2C2D64B4">
            <w:pPr>
              <w:pageBreakBefore w:val="0"/>
              <w:kinsoku/>
              <w:overflowPunct/>
              <w:topLinePunct w:val="0"/>
              <w:bidi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与营业执照一致。</w:t>
            </w:r>
          </w:p>
        </w:tc>
      </w:tr>
      <w:tr w14:paraId="47A4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5" w:type="dxa"/>
            <w:vMerge w:val="continue"/>
            <w:tcMar>
              <w:left w:w="57" w:type="dxa"/>
              <w:right w:w="57" w:type="dxa"/>
            </w:tcMar>
            <w:vAlign w:val="center"/>
          </w:tcPr>
          <w:p w14:paraId="1551E458">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080" w:type="dxa"/>
            <w:gridSpan w:val="2"/>
            <w:vMerge w:val="continue"/>
            <w:tcMar>
              <w:left w:w="57" w:type="dxa"/>
              <w:right w:w="57" w:type="dxa"/>
            </w:tcMar>
            <w:vAlign w:val="center"/>
          </w:tcPr>
          <w:p w14:paraId="603EA863">
            <w:pPr>
              <w:pageBreakBefore w:val="0"/>
              <w:kinsoku/>
              <w:overflowPunct/>
              <w:topLinePunct w:val="0"/>
              <w:bidi w:val="0"/>
              <w:spacing w:line="360" w:lineRule="auto"/>
              <w:jc w:val="left"/>
              <w:outlineLvl w:val="9"/>
              <w:rPr>
                <w:rFonts w:hint="eastAsia" w:ascii="宋体" w:hAnsi="宋体" w:eastAsia="宋体" w:cs="宋体"/>
                <w:color w:val="auto"/>
                <w:sz w:val="24"/>
                <w:szCs w:val="24"/>
                <w:highlight w:val="none"/>
              </w:rPr>
            </w:pPr>
          </w:p>
        </w:tc>
        <w:tc>
          <w:tcPr>
            <w:tcW w:w="1511" w:type="dxa"/>
            <w:tcMar>
              <w:left w:w="57" w:type="dxa"/>
              <w:right w:w="57" w:type="dxa"/>
            </w:tcMar>
            <w:vAlign w:val="center"/>
          </w:tcPr>
          <w:p w14:paraId="16596DFF">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签字盖章</w:t>
            </w:r>
          </w:p>
        </w:tc>
        <w:tc>
          <w:tcPr>
            <w:tcW w:w="4864" w:type="dxa"/>
            <w:tcMar>
              <w:left w:w="57" w:type="dxa"/>
              <w:right w:w="57" w:type="dxa"/>
            </w:tcMar>
            <w:vAlign w:val="center"/>
          </w:tcPr>
          <w:p w14:paraId="1745AF11">
            <w:pPr>
              <w:pageBreakBefore w:val="0"/>
              <w:kinsoku/>
              <w:overflowPunct/>
              <w:topLinePunct w:val="0"/>
              <w:bidi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自然人或者经营者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电子签章并加盖单位公章。</w:t>
            </w:r>
          </w:p>
        </w:tc>
      </w:tr>
      <w:tr w14:paraId="0CEE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5" w:type="dxa"/>
            <w:vMerge w:val="continue"/>
            <w:tcMar>
              <w:left w:w="57" w:type="dxa"/>
              <w:right w:w="57" w:type="dxa"/>
            </w:tcMar>
            <w:vAlign w:val="center"/>
          </w:tcPr>
          <w:p w14:paraId="2365774E">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080" w:type="dxa"/>
            <w:gridSpan w:val="2"/>
            <w:vMerge w:val="continue"/>
            <w:tcMar>
              <w:left w:w="57" w:type="dxa"/>
              <w:right w:w="57" w:type="dxa"/>
            </w:tcMar>
            <w:vAlign w:val="center"/>
          </w:tcPr>
          <w:p w14:paraId="576520F6">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511" w:type="dxa"/>
            <w:tcMar>
              <w:left w:w="57" w:type="dxa"/>
              <w:right w:w="57" w:type="dxa"/>
            </w:tcMar>
            <w:vAlign w:val="center"/>
          </w:tcPr>
          <w:p w14:paraId="03DA6B81">
            <w:pPr>
              <w:pageBreakBefore w:val="0"/>
              <w:kinsoku/>
              <w:overflowPunct/>
              <w:topLinePunct w:val="0"/>
              <w:bidi w:val="0"/>
              <w:spacing w:line="360" w:lineRule="auto"/>
              <w:jc w:val="center"/>
              <w:outlineLvl w:val="9"/>
              <w:rPr>
                <w:rFonts w:ascii="宋体" w:hAnsi="宋体" w:cs="宋体"/>
                <w:color w:val="auto"/>
                <w:sz w:val="24"/>
                <w:szCs w:val="24"/>
                <w:highlight w:val="none"/>
              </w:rPr>
            </w:pPr>
            <w:r>
              <w:rPr>
                <w:rFonts w:hint="eastAsia" w:ascii="宋体" w:hAnsi="宋体" w:eastAsia="宋体" w:cs="宋体"/>
                <w:color w:val="auto"/>
                <w:sz w:val="24"/>
                <w:szCs w:val="24"/>
                <w:highlight w:val="none"/>
              </w:rPr>
              <w:t>报价唯一</w:t>
            </w:r>
          </w:p>
        </w:tc>
        <w:tc>
          <w:tcPr>
            <w:tcW w:w="4864" w:type="dxa"/>
            <w:tcMar>
              <w:left w:w="57" w:type="dxa"/>
              <w:right w:w="57" w:type="dxa"/>
            </w:tcMar>
            <w:vAlign w:val="center"/>
          </w:tcPr>
          <w:p w14:paraId="03B1EA53">
            <w:pPr>
              <w:pageBreakBefore w:val="0"/>
              <w:kinsoku/>
              <w:overflowPunct/>
              <w:topLinePunct w:val="0"/>
              <w:bidi w:val="0"/>
              <w:spacing w:line="360" w:lineRule="auto"/>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只能有一个有效报价</w:t>
            </w:r>
            <w:r>
              <w:rPr>
                <w:rFonts w:hint="eastAsia" w:ascii="宋体" w:hAnsi="宋体" w:eastAsia="宋体" w:cs="宋体"/>
                <w:color w:val="auto"/>
                <w:sz w:val="24"/>
                <w:szCs w:val="24"/>
                <w:highlight w:val="none"/>
                <w:lang w:eastAsia="zh-CN"/>
              </w:rPr>
              <w:t>。</w:t>
            </w:r>
          </w:p>
        </w:tc>
      </w:tr>
      <w:tr w14:paraId="0F44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restart"/>
            <w:tcMar>
              <w:left w:w="57" w:type="dxa"/>
              <w:right w:w="57" w:type="dxa"/>
            </w:tcMar>
            <w:vAlign w:val="center"/>
          </w:tcPr>
          <w:p w14:paraId="5A243DA5">
            <w:pPr>
              <w:pageBreakBefore w:val="0"/>
              <w:kinsoku/>
              <w:overflowPunct/>
              <w:topLinePunct w:val="0"/>
              <w:bidi w:val="0"/>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2.1.2</w:t>
            </w:r>
          </w:p>
        </w:tc>
        <w:tc>
          <w:tcPr>
            <w:tcW w:w="1080" w:type="dxa"/>
            <w:gridSpan w:val="2"/>
            <w:vMerge w:val="restart"/>
            <w:tcMar>
              <w:left w:w="57" w:type="dxa"/>
              <w:right w:w="57" w:type="dxa"/>
            </w:tcMar>
            <w:vAlign w:val="center"/>
          </w:tcPr>
          <w:p w14:paraId="4F01DDAF">
            <w:pPr>
              <w:pageBreakBefore w:val="0"/>
              <w:kinsoku/>
              <w:overflowPunct/>
              <w:topLinePunct w:val="0"/>
              <w:bidi w:val="0"/>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资格评审标准</w:t>
            </w:r>
          </w:p>
        </w:tc>
        <w:tc>
          <w:tcPr>
            <w:tcW w:w="1511" w:type="dxa"/>
            <w:tcMar>
              <w:left w:w="57" w:type="dxa"/>
              <w:right w:w="57" w:type="dxa"/>
            </w:tcMar>
            <w:vAlign w:val="center"/>
          </w:tcPr>
          <w:p w14:paraId="11197EF7">
            <w:pPr>
              <w:pageBreakBefore w:val="0"/>
              <w:kinsoku/>
              <w:overflowPunct/>
              <w:topLinePunct w:val="0"/>
              <w:bidi w:val="0"/>
              <w:spacing w:line="360" w:lineRule="auto"/>
              <w:jc w:val="center"/>
              <w:outlineLvl w:val="9"/>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rPr>
              <w:t>营业执照</w:t>
            </w:r>
          </w:p>
        </w:tc>
        <w:tc>
          <w:tcPr>
            <w:tcW w:w="4864" w:type="dxa"/>
            <w:vAlign w:val="center"/>
          </w:tcPr>
          <w:p w14:paraId="1A98585B">
            <w:pPr>
              <w:pageBreakBefore w:val="0"/>
              <w:kinsoku/>
              <w:overflowPunct/>
              <w:topLinePunct w:val="0"/>
              <w:bidi w:val="0"/>
              <w:spacing w:line="360" w:lineRule="auto"/>
              <w:jc w:val="left"/>
              <w:outlineLvl w:val="9"/>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color w:val="auto"/>
                <w:sz w:val="24"/>
                <w:szCs w:val="28"/>
                <w:highlight w:val="none"/>
                <w:lang w:val="en-US" w:eastAsia="zh-CN"/>
              </w:rPr>
              <w:t>供应商须具有有效的营业执照</w:t>
            </w:r>
            <w:r>
              <w:rPr>
                <w:rFonts w:hint="eastAsia" w:ascii="宋体" w:hAnsi="宋体" w:eastAsia="宋体" w:cs="宋体"/>
                <w:color w:val="auto"/>
                <w:sz w:val="24"/>
                <w:szCs w:val="24"/>
                <w:highlight w:val="none"/>
              </w:rPr>
              <w:t>。</w:t>
            </w:r>
          </w:p>
        </w:tc>
      </w:tr>
      <w:tr w14:paraId="39C4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935" w:type="dxa"/>
            <w:vMerge w:val="continue"/>
            <w:tcMar>
              <w:left w:w="57" w:type="dxa"/>
              <w:right w:w="57" w:type="dxa"/>
            </w:tcMar>
            <w:vAlign w:val="center"/>
          </w:tcPr>
          <w:p w14:paraId="02C87891">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080" w:type="dxa"/>
            <w:gridSpan w:val="2"/>
            <w:vMerge w:val="continue"/>
            <w:tcMar>
              <w:left w:w="57" w:type="dxa"/>
              <w:right w:w="57" w:type="dxa"/>
            </w:tcMar>
            <w:vAlign w:val="center"/>
          </w:tcPr>
          <w:p w14:paraId="16DCA840">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511" w:type="dxa"/>
            <w:tcMar>
              <w:left w:w="57" w:type="dxa"/>
              <w:right w:w="57" w:type="dxa"/>
            </w:tcMar>
            <w:vAlign w:val="center"/>
          </w:tcPr>
          <w:p w14:paraId="20198129">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供应商资质</w:t>
            </w:r>
          </w:p>
        </w:tc>
        <w:tc>
          <w:tcPr>
            <w:tcW w:w="4864" w:type="dxa"/>
            <w:vAlign w:val="center"/>
          </w:tcPr>
          <w:p w14:paraId="38EB78E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供应商须具有建筑行业（建筑工程）甲级及以上设计资质，并在人员、设备、资金等方面具有相应能力。</w:t>
            </w:r>
          </w:p>
        </w:tc>
      </w:tr>
      <w:tr w14:paraId="1F55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935" w:type="dxa"/>
            <w:vMerge w:val="continue"/>
            <w:tcMar>
              <w:left w:w="57" w:type="dxa"/>
              <w:right w:w="57" w:type="dxa"/>
            </w:tcMar>
            <w:vAlign w:val="center"/>
          </w:tcPr>
          <w:p w14:paraId="6280F8FB">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080" w:type="dxa"/>
            <w:gridSpan w:val="2"/>
            <w:vMerge w:val="continue"/>
            <w:tcMar>
              <w:left w:w="57" w:type="dxa"/>
              <w:right w:w="57" w:type="dxa"/>
            </w:tcMar>
            <w:vAlign w:val="center"/>
          </w:tcPr>
          <w:p w14:paraId="1491C966">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511" w:type="dxa"/>
            <w:tcMar>
              <w:left w:w="57" w:type="dxa"/>
              <w:right w:w="57" w:type="dxa"/>
            </w:tcMar>
            <w:vAlign w:val="center"/>
          </w:tcPr>
          <w:p w14:paraId="15726CDE">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拟派项目负责人</w:t>
            </w:r>
          </w:p>
        </w:tc>
        <w:tc>
          <w:tcPr>
            <w:tcW w:w="4864" w:type="dxa"/>
            <w:vAlign w:val="center"/>
          </w:tcPr>
          <w:p w14:paraId="6013F97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供应商拟派项目负责人须具备相关专业中级及以上技术职称，为本单位员工，</w:t>
            </w:r>
            <w:r>
              <w:rPr>
                <w:rFonts w:hint="eastAsia" w:ascii="宋体" w:hAnsi="宋体" w:eastAsia="宋体" w:cs="宋体"/>
                <w:color w:val="auto"/>
                <w:sz w:val="24"/>
                <w:highlight w:val="none"/>
              </w:rPr>
              <w:t>并具有劳动合同及养老保险缴费证明</w:t>
            </w:r>
            <w:r>
              <w:rPr>
                <w:rFonts w:hint="eastAsia" w:ascii="宋体" w:hAnsi="宋体" w:eastAsia="宋体" w:cs="宋体"/>
                <w:color w:val="auto"/>
                <w:sz w:val="24"/>
                <w:highlight w:val="none"/>
                <w:lang w:eastAsia="zh-CN"/>
              </w:rPr>
              <w:t>。</w:t>
            </w:r>
          </w:p>
        </w:tc>
      </w:tr>
      <w:tr w14:paraId="70F8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935" w:type="dxa"/>
            <w:vMerge w:val="continue"/>
            <w:tcMar>
              <w:left w:w="57" w:type="dxa"/>
              <w:right w:w="57" w:type="dxa"/>
            </w:tcMar>
            <w:vAlign w:val="center"/>
          </w:tcPr>
          <w:p w14:paraId="62C2ABCE">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080" w:type="dxa"/>
            <w:gridSpan w:val="2"/>
            <w:vMerge w:val="continue"/>
            <w:tcMar>
              <w:left w:w="57" w:type="dxa"/>
              <w:right w:w="57" w:type="dxa"/>
            </w:tcMar>
            <w:vAlign w:val="center"/>
          </w:tcPr>
          <w:p w14:paraId="0A11A5D1">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511" w:type="dxa"/>
            <w:tcMar>
              <w:left w:w="57" w:type="dxa"/>
              <w:right w:w="57" w:type="dxa"/>
            </w:tcMar>
            <w:vAlign w:val="center"/>
          </w:tcPr>
          <w:p w14:paraId="62E26426">
            <w:pPr>
              <w:pageBreakBefore w:val="0"/>
              <w:kinsoku/>
              <w:overflowPunct/>
              <w:topLinePunct w:val="0"/>
              <w:bidi w:val="0"/>
              <w:spacing w:line="360" w:lineRule="auto"/>
              <w:jc w:val="center"/>
              <w:outlineLvl w:val="9"/>
              <w:rPr>
                <w:rFonts w:ascii="宋体" w:hAnsi="宋体" w:cs="宋体" w:eastAsiaTheme="minorEastAsia"/>
                <w:color w:val="auto"/>
                <w:kern w:val="2"/>
                <w:sz w:val="24"/>
                <w:szCs w:val="24"/>
                <w:highlight w:val="none"/>
                <w:lang w:val="en-US" w:eastAsia="zh-CN" w:bidi="ar-SA"/>
              </w:rPr>
            </w:pPr>
            <w:r>
              <w:rPr>
                <w:rFonts w:hint="eastAsia" w:ascii="宋体" w:hAnsi="宋体" w:cs="宋体"/>
                <w:color w:val="auto"/>
                <w:sz w:val="24"/>
                <w:szCs w:val="22"/>
                <w:highlight w:val="none"/>
              </w:rPr>
              <w:t>符合《中华人民共和国政府采购法》第二十二条的规定</w:t>
            </w:r>
          </w:p>
        </w:tc>
        <w:tc>
          <w:tcPr>
            <w:tcW w:w="4864" w:type="dxa"/>
            <w:vAlign w:val="center"/>
          </w:tcPr>
          <w:p w14:paraId="7754970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szCs w:val="22"/>
                <w:highlight w:val="none"/>
              </w:rPr>
              <w:t>供应商参加本次采购活动必须符合《中华人民共和国政府采购法》第二十二条的规定</w:t>
            </w:r>
            <w:r>
              <w:rPr>
                <w:rFonts w:hint="eastAsia" w:hAnsi="宋体" w:cs="宋体"/>
                <w:color w:val="auto"/>
                <w:sz w:val="24"/>
                <w:szCs w:val="22"/>
                <w:highlight w:val="none"/>
              </w:rPr>
              <w:t>，须</w:t>
            </w:r>
            <w:r>
              <w:rPr>
                <w:rFonts w:hint="eastAsia" w:ascii="宋体" w:hAnsi="宋体" w:cs="宋体"/>
                <w:color w:val="auto"/>
                <w:sz w:val="24"/>
                <w:szCs w:val="22"/>
                <w:highlight w:val="none"/>
              </w:rPr>
              <w:t>提供</w:t>
            </w:r>
            <w:r>
              <w:rPr>
                <w:rFonts w:hint="eastAsia" w:ascii="宋体" w:hAnsi="宋体" w:cs="宋体"/>
                <w:b/>
                <w:bCs/>
                <w:color w:val="auto"/>
                <w:sz w:val="24"/>
                <w:szCs w:val="22"/>
                <w:highlight w:val="none"/>
              </w:rPr>
              <w:t>承诺</w:t>
            </w:r>
            <w:r>
              <w:rPr>
                <w:rFonts w:hint="eastAsia" w:ascii="宋体" w:hAnsi="宋体" w:cs="宋体"/>
                <w:b/>
                <w:bCs/>
                <w:color w:val="auto"/>
                <w:sz w:val="24"/>
                <w:szCs w:val="22"/>
                <w:highlight w:val="none"/>
                <w:lang w:eastAsia="zh-CN"/>
              </w:rPr>
              <w:t>书</w:t>
            </w:r>
            <w:r>
              <w:rPr>
                <w:rFonts w:hint="eastAsia" w:hAnsi="宋体" w:cs="宋体"/>
                <w:color w:val="auto"/>
                <w:sz w:val="24"/>
                <w:szCs w:val="22"/>
                <w:highlight w:val="none"/>
              </w:rPr>
              <w:t>，格式</w:t>
            </w:r>
            <w:r>
              <w:rPr>
                <w:rFonts w:hint="eastAsia" w:hAnsi="宋体" w:cs="宋体"/>
                <w:color w:val="auto"/>
                <w:sz w:val="24"/>
                <w:szCs w:val="22"/>
                <w:highlight w:val="none"/>
                <w:lang w:eastAsia="zh-CN"/>
              </w:rPr>
              <w:t>自拟。</w:t>
            </w:r>
          </w:p>
        </w:tc>
      </w:tr>
      <w:tr w14:paraId="1337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35" w:type="dxa"/>
            <w:vMerge w:val="continue"/>
            <w:tcMar>
              <w:left w:w="57" w:type="dxa"/>
              <w:right w:w="57" w:type="dxa"/>
            </w:tcMar>
            <w:vAlign w:val="center"/>
          </w:tcPr>
          <w:p w14:paraId="2799E861">
            <w:pPr>
              <w:pageBreakBefore w:val="0"/>
              <w:kinsoku/>
              <w:overflowPunct/>
              <w:topLinePunct w:val="0"/>
              <w:bidi w:val="0"/>
              <w:spacing w:line="360" w:lineRule="auto"/>
              <w:outlineLvl w:val="9"/>
              <w:rPr>
                <w:rFonts w:ascii="宋体" w:hAnsi="宋体" w:cs="宋体"/>
                <w:color w:val="auto"/>
                <w:sz w:val="24"/>
                <w:szCs w:val="24"/>
                <w:highlight w:val="none"/>
              </w:rPr>
            </w:pPr>
          </w:p>
        </w:tc>
        <w:tc>
          <w:tcPr>
            <w:tcW w:w="1080" w:type="dxa"/>
            <w:gridSpan w:val="2"/>
            <w:vMerge w:val="continue"/>
            <w:tcMar>
              <w:left w:w="57" w:type="dxa"/>
              <w:right w:w="57" w:type="dxa"/>
            </w:tcMar>
            <w:vAlign w:val="center"/>
          </w:tcPr>
          <w:p w14:paraId="339620A2">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511" w:type="dxa"/>
            <w:tcMar>
              <w:left w:w="57" w:type="dxa"/>
              <w:right w:w="57" w:type="dxa"/>
            </w:tcMar>
            <w:vAlign w:val="center"/>
          </w:tcPr>
          <w:p w14:paraId="56DFEC8A">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无商业贿赂及无不正当竞争行为的承诺</w:t>
            </w:r>
          </w:p>
        </w:tc>
        <w:tc>
          <w:tcPr>
            <w:tcW w:w="4864" w:type="dxa"/>
            <w:vAlign w:val="center"/>
          </w:tcPr>
          <w:p w14:paraId="408E2FF2">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eastAsia="zh-CN"/>
              </w:rPr>
              <w:t>供应商须自行出具本单位无商业贿赂及无不正当竞争行为的承诺书</w:t>
            </w:r>
            <w:r>
              <w:rPr>
                <w:rFonts w:hint="eastAsia"/>
                <w:color w:val="auto"/>
                <w:sz w:val="24"/>
                <w:szCs w:val="24"/>
                <w:highlight w:val="none"/>
                <w:lang w:val="en-US" w:eastAsia="zh-CN"/>
              </w:rPr>
              <w:t>（承诺书格式自拟）。</w:t>
            </w:r>
          </w:p>
        </w:tc>
      </w:tr>
      <w:tr w14:paraId="0CB8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35" w:type="dxa"/>
            <w:vMerge w:val="continue"/>
            <w:tcMar>
              <w:left w:w="57" w:type="dxa"/>
              <w:right w:w="57" w:type="dxa"/>
            </w:tcMar>
            <w:vAlign w:val="center"/>
          </w:tcPr>
          <w:p w14:paraId="4C9F50F0">
            <w:pPr>
              <w:pageBreakBefore w:val="0"/>
              <w:kinsoku/>
              <w:overflowPunct/>
              <w:topLinePunct w:val="0"/>
              <w:bidi w:val="0"/>
              <w:spacing w:line="360" w:lineRule="auto"/>
              <w:outlineLvl w:val="9"/>
              <w:rPr>
                <w:rFonts w:ascii="宋体" w:hAnsi="宋体" w:cs="宋体"/>
                <w:color w:val="auto"/>
                <w:sz w:val="24"/>
                <w:szCs w:val="24"/>
                <w:highlight w:val="none"/>
              </w:rPr>
            </w:pPr>
          </w:p>
        </w:tc>
        <w:tc>
          <w:tcPr>
            <w:tcW w:w="1080" w:type="dxa"/>
            <w:gridSpan w:val="2"/>
            <w:vMerge w:val="continue"/>
            <w:tcMar>
              <w:left w:w="57" w:type="dxa"/>
              <w:right w:w="57" w:type="dxa"/>
            </w:tcMar>
            <w:vAlign w:val="center"/>
          </w:tcPr>
          <w:p w14:paraId="4535CE0C">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511" w:type="dxa"/>
            <w:tcMar>
              <w:left w:w="57" w:type="dxa"/>
              <w:right w:w="57" w:type="dxa"/>
            </w:tcMar>
            <w:vAlign w:val="center"/>
          </w:tcPr>
          <w:p w14:paraId="2523B0BE">
            <w:pPr>
              <w:pageBreakBefore w:val="0"/>
              <w:kinsoku/>
              <w:overflowPunct/>
              <w:topLinePunct w:val="0"/>
              <w:bidi w:val="0"/>
              <w:spacing w:line="360" w:lineRule="auto"/>
              <w:jc w:val="center"/>
              <w:outlineLvl w:val="9"/>
              <w:rPr>
                <w:rFonts w:ascii="宋体" w:hAnsi="宋体" w:cs="宋体" w:eastAsia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rPr>
              <w:t>信用查询</w:t>
            </w:r>
          </w:p>
        </w:tc>
        <w:tc>
          <w:tcPr>
            <w:tcW w:w="4864" w:type="dxa"/>
            <w:vAlign w:val="center"/>
          </w:tcPr>
          <w:p w14:paraId="2C49B7CB">
            <w:pPr>
              <w:keepNext w:val="0"/>
              <w:keepLines w:val="0"/>
              <w:pageBreakBefore w:val="0"/>
              <w:widowControl/>
              <w:kinsoku/>
              <w:wordWrap w:val="0"/>
              <w:overflowPunct/>
              <w:topLinePunct w:val="0"/>
              <w:autoSpaceDE/>
              <w:autoSpaceDN/>
              <w:bidi w:val="0"/>
              <w:adjustRightInd/>
              <w:snapToGrid/>
              <w:spacing w:line="360" w:lineRule="auto"/>
              <w:textAlignment w:val="auto"/>
              <w:rPr>
                <w:rFonts w:ascii="宋体" w:hAnsi="宋体" w:cs="宋体" w:eastAsia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color w:val="auto"/>
                <w:sz w:val="24"/>
                <w:highlight w:val="none"/>
                <w:lang w:val="en-US" w:eastAsia="zh-CN"/>
              </w:rPr>
              <w:t>查询日期为本公告发布之日起，网站截图应含有日期且显示查询结果。</w:t>
            </w:r>
          </w:p>
        </w:tc>
      </w:tr>
      <w:tr w14:paraId="29ED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35" w:type="dxa"/>
            <w:vMerge w:val="continue"/>
            <w:tcMar>
              <w:left w:w="57" w:type="dxa"/>
              <w:right w:w="57" w:type="dxa"/>
            </w:tcMar>
            <w:vAlign w:val="center"/>
          </w:tcPr>
          <w:p w14:paraId="2819C275">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080" w:type="dxa"/>
            <w:gridSpan w:val="2"/>
            <w:vMerge w:val="continue"/>
            <w:tcMar>
              <w:left w:w="57" w:type="dxa"/>
              <w:right w:w="57" w:type="dxa"/>
            </w:tcMar>
            <w:vAlign w:val="center"/>
          </w:tcPr>
          <w:p w14:paraId="1B421596">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511" w:type="dxa"/>
            <w:tcMar>
              <w:left w:w="57" w:type="dxa"/>
              <w:right w:w="57" w:type="dxa"/>
            </w:tcMar>
            <w:vAlign w:val="center"/>
          </w:tcPr>
          <w:p w14:paraId="6DCBC397">
            <w:pPr>
              <w:pageBreakBefore w:val="0"/>
              <w:kinsoku/>
              <w:overflowPunct/>
              <w:topLinePunct w:val="0"/>
              <w:bidi w:val="0"/>
              <w:spacing w:line="360" w:lineRule="auto"/>
              <w:jc w:val="center"/>
              <w:outlineLvl w:val="9"/>
              <w:rPr>
                <w:rFonts w:hint="default" w:ascii="宋体" w:hAnsi="宋体" w:cs="宋体" w:eastAsiaTheme="minorEastAsia"/>
                <w:color w:val="auto"/>
                <w:sz w:val="24"/>
                <w:szCs w:val="24"/>
                <w:highlight w:val="none"/>
                <w:lang w:val="en-US" w:eastAsia="zh-CN"/>
              </w:rPr>
            </w:pPr>
            <w:r>
              <w:rPr>
                <w:rFonts w:hint="eastAsia" w:ascii="宋体" w:hAnsi="宋体" w:eastAsia="宋体" w:cs="宋体"/>
                <w:color w:val="auto"/>
                <w:sz w:val="24"/>
                <w:szCs w:val="24"/>
                <w:highlight w:val="none"/>
                <w:lang w:eastAsia="zh-CN"/>
              </w:rPr>
              <w:t>非</w:t>
            </w:r>
            <w:r>
              <w:rPr>
                <w:rFonts w:hint="eastAsia" w:ascii="宋体" w:hAnsi="宋体" w:eastAsia="宋体" w:cs="宋体"/>
                <w:color w:val="auto"/>
                <w:sz w:val="24"/>
                <w:szCs w:val="24"/>
                <w:highlight w:val="none"/>
              </w:rPr>
              <w:t>联合体磋商</w:t>
            </w:r>
          </w:p>
        </w:tc>
        <w:tc>
          <w:tcPr>
            <w:tcW w:w="4864" w:type="dxa"/>
            <w:vAlign w:val="center"/>
          </w:tcPr>
          <w:p w14:paraId="7CF60089">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本项目不接受联合体磋商</w:t>
            </w:r>
            <w:r>
              <w:rPr>
                <w:rFonts w:hint="eastAsia" w:ascii="宋体" w:hAnsi="宋体" w:eastAsia="宋体" w:cs="宋体"/>
                <w:color w:val="auto"/>
                <w:sz w:val="24"/>
                <w:szCs w:val="24"/>
                <w:highlight w:val="none"/>
                <w:lang w:eastAsia="zh-CN"/>
              </w:rPr>
              <w:t>，</w:t>
            </w:r>
            <w:r>
              <w:rPr>
                <w:rFonts w:hint="eastAsia"/>
                <w:color w:val="auto"/>
                <w:sz w:val="24"/>
                <w:szCs w:val="24"/>
                <w:highlight w:val="none"/>
                <w:lang w:val="en-US" w:eastAsia="zh-CN"/>
              </w:rPr>
              <w:t>供应商须提供非联合体承诺书（承诺书格式自拟）。</w:t>
            </w:r>
          </w:p>
        </w:tc>
      </w:tr>
      <w:tr w14:paraId="0FF3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35" w:type="dxa"/>
            <w:vMerge w:val="restart"/>
            <w:tcMar>
              <w:left w:w="57" w:type="dxa"/>
              <w:right w:w="57" w:type="dxa"/>
            </w:tcMar>
            <w:vAlign w:val="center"/>
          </w:tcPr>
          <w:p w14:paraId="314825E9">
            <w:pPr>
              <w:pageBreakBefore w:val="0"/>
              <w:kinsoku/>
              <w:overflowPunct/>
              <w:topLinePunct w:val="0"/>
              <w:bidi w:val="0"/>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2.1.3</w:t>
            </w:r>
          </w:p>
        </w:tc>
        <w:tc>
          <w:tcPr>
            <w:tcW w:w="1080" w:type="dxa"/>
            <w:gridSpan w:val="2"/>
            <w:vMerge w:val="restart"/>
            <w:tcMar>
              <w:left w:w="57" w:type="dxa"/>
              <w:right w:w="57" w:type="dxa"/>
            </w:tcMar>
            <w:vAlign w:val="center"/>
          </w:tcPr>
          <w:p w14:paraId="5D299D74">
            <w:pPr>
              <w:pageBreakBefore w:val="0"/>
              <w:kinsoku/>
              <w:overflowPunct/>
              <w:topLinePunct w:val="0"/>
              <w:bidi w:val="0"/>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响应性评审标准</w:t>
            </w:r>
          </w:p>
        </w:tc>
        <w:tc>
          <w:tcPr>
            <w:tcW w:w="1511" w:type="dxa"/>
            <w:tcMar>
              <w:left w:w="57" w:type="dxa"/>
              <w:right w:w="57" w:type="dxa"/>
            </w:tcMar>
            <w:vAlign w:val="center"/>
          </w:tcPr>
          <w:p w14:paraId="5320F255">
            <w:pPr>
              <w:pageBreakBefore w:val="0"/>
              <w:kinsoku/>
              <w:overflowPunct/>
              <w:topLinePunct w:val="0"/>
              <w:bidi w:val="0"/>
              <w:spacing w:line="360" w:lineRule="auto"/>
              <w:jc w:val="center"/>
              <w:outlineLvl w:val="9"/>
              <w:rPr>
                <w:rFonts w:hint="eastAsia"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采购内容</w:t>
            </w:r>
          </w:p>
        </w:tc>
        <w:tc>
          <w:tcPr>
            <w:tcW w:w="4864" w:type="dxa"/>
            <w:vAlign w:val="center"/>
          </w:tcPr>
          <w:p w14:paraId="1A5405D1">
            <w:pPr>
              <w:pageBreakBefore w:val="0"/>
              <w:kinsoku/>
              <w:overflowPunct/>
              <w:topLinePunct w:val="0"/>
              <w:bidi w:val="0"/>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三门峡市湖滨区师家渠村及周边棚户区改造（A地块）配套管网基础设施建设</w:t>
            </w:r>
            <w:r>
              <w:rPr>
                <w:rFonts w:hint="eastAsia" w:ascii="宋体" w:hAnsi="宋体" w:eastAsia="宋体" w:cs="宋体"/>
                <w:color w:val="auto"/>
                <w:sz w:val="24"/>
                <w:szCs w:val="24"/>
                <w:highlight w:val="none"/>
                <w:lang w:eastAsia="zh-CN"/>
              </w:rPr>
              <w:t>设计项目</w:t>
            </w:r>
            <w:r>
              <w:rPr>
                <w:rFonts w:hint="eastAsia" w:ascii="宋体" w:hAnsi="宋体" w:eastAsia="宋体" w:cs="宋体"/>
                <w:color w:val="auto"/>
                <w:sz w:val="24"/>
                <w:szCs w:val="24"/>
                <w:highlight w:val="none"/>
                <w:lang w:val="en-US" w:eastAsia="zh-CN"/>
              </w:rPr>
              <w:t>,总投资约1746万元，</w:t>
            </w:r>
            <w:r>
              <w:rPr>
                <w:rFonts w:hint="eastAsia" w:ascii="宋体" w:hAnsi="宋体" w:cs="宋体"/>
                <w:color w:val="auto"/>
                <w:sz w:val="24"/>
                <w:highlight w:val="none"/>
                <w:lang w:bidi="ar"/>
              </w:rPr>
              <w:t>设计的主要内容为</w:t>
            </w:r>
            <w:r>
              <w:rPr>
                <w:rFonts w:hint="eastAsia" w:ascii="宋体" w:hAnsi="宋体" w:eastAsia="宋体" w:cs="宋体"/>
                <w:b w:val="0"/>
                <w:bCs w:val="0"/>
                <w:color w:val="auto"/>
                <w:kern w:val="2"/>
                <w:sz w:val="24"/>
                <w:szCs w:val="24"/>
                <w:highlight w:val="none"/>
                <w:lang w:val="en-US" w:eastAsia="zh-CN" w:bidi="ar"/>
              </w:rPr>
              <w:t>更新改造、新建燃气管道、新建供水管道、新建排水管道、新建供热管道，</w:t>
            </w:r>
            <w:r>
              <w:rPr>
                <w:rFonts w:hint="eastAsia" w:ascii="宋体" w:hAnsi="宋体" w:cs="宋体"/>
                <w:color w:val="auto"/>
                <w:sz w:val="24"/>
                <w:highlight w:val="none"/>
                <w:lang w:val="en-US" w:eastAsia="zh-CN" w:bidi="ar"/>
              </w:rPr>
              <w:t>等改造内容</w:t>
            </w:r>
            <w:r>
              <w:rPr>
                <w:rFonts w:hint="eastAsia" w:ascii="宋体" w:hAnsi="宋体" w:cs="宋体"/>
                <w:color w:val="auto"/>
                <w:sz w:val="24"/>
                <w:highlight w:val="none"/>
                <w:lang w:eastAsia="zh-CN" w:bidi="ar"/>
              </w:rPr>
              <w:t>提供相关设计服务</w:t>
            </w:r>
            <w:r>
              <w:rPr>
                <w:rFonts w:hint="eastAsia" w:ascii="宋体" w:hAnsi="宋体" w:eastAsia="宋体" w:cs="宋体"/>
                <w:color w:val="auto"/>
                <w:sz w:val="24"/>
                <w:szCs w:val="24"/>
                <w:highlight w:val="none"/>
                <w:lang w:val="en-US" w:eastAsia="zh-CN"/>
              </w:rPr>
              <w:t>，具</w:t>
            </w:r>
            <w:r>
              <w:rPr>
                <w:rFonts w:hint="eastAsia" w:ascii="宋体" w:hAnsi="宋体" w:eastAsia="宋体"/>
                <w:color w:val="auto"/>
                <w:sz w:val="24"/>
                <w:szCs w:val="24"/>
                <w:highlight w:val="none"/>
              </w:rPr>
              <w:t>体要求详见竞争性磋商文件</w:t>
            </w:r>
            <w:r>
              <w:rPr>
                <w:rFonts w:hint="eastAsia" w:ascii="宋体" w:hAnsi="宋体" w:eastAsia="宋体"/>
                <w:color w:val="auto"/>
                <w:sz w:val="24"/>
                <w:szCs w:val="24"/>
                <w:highlight w:val="none"/>
                <w:lang w:eastAsia="zh-CN"/>
              </w:rPr>
              <w:t>。</w:t>
            </w:r>
          </w:p>
        </w:tc>
      </w:tr>
      <w:tr w14:paraId="57B0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35" w:type="dxa"/>
            <w:vMerge w:val="continue"/>
            <w:tcMar>
              <w:left w:w="57" w:type="dxa"/>
              <w:right w:w="57" w:type="dxa"/>
            </w:tcMar>
            <w:vAlign w:val="center"/>
          </w:tcPr>
          <w:p w14:paraId="4D13A2A8">
            <w:pPr>
              <w:pageBreakBefore w:val="0"/>
              <w:kinsoku/>
              <w:overflowPunct/>
              <w:topLinePunct w:val="0"/>
              <w:bidi w:val="0"/>
              <w:spacing w:line="360" w:lineRule="auto"/>
              <w:jc w:val="center"/>
              <w:outlineLvl w:val="9"/>
              <w:rPr>
                <w:rFonts w:hint="eastAsia" w:ascii="宋体" w:hAnsi="宋体" w:cs="宋体"/>
                <w:color w:val="auto"/>
                <w:sz w:val="24"/>
                <w:szCs w:val="24"/>
                <w:highlight w:val="none"/>
              </w:rPr>
            </w:pPr>
          </w:p>
        </w:tc>
        <w:tc>
          <w:tcPr>
            <w:tcW w:w="1080" w:type="dxa"/>
            <w:gridSpan w:val="2"/>
            <w:vMerge w:val="continue"/>
            <w:tcMar>
              <w:left w:w="57" w:type="dxa"/>
              <w:right w:w="57" w:type="dxa"/>
            </w:tcMar>
            <w:vAlign w:val="center"/>
          </w:tcPr>
          <w:p w14:paraId="2CE1CEE4">
            <w:pPr>
              <w:pageBreakBefore w:val="0"/>
              <w:kinsoku/>
              <w:overflowPunct/>
              <w:topLinePunct w:val="0"/>
              <w:bidi w:val="0"/>
              <w:spacing w:line="360" w:lineRule="auto"/>
              <w:jc w:val="center"/>
              <w:outlineLvl w:val="9"/>
              <w:rPr>
                <w:rFonts w:hint="eastAsia" w:ascii="宋体" w:hAnsi="宋体" w:cs="宋体"/>
                <w:color w:val="auto"/>
                <w:sz w:val="24"/>
                <w:szCs w:val="24"/>
                <w:highlight w:val="none"/>
              </w:rPr>
            </w:pPr>
          </w:p>
        </w:tc>
        <w:tc>
          <w:tcPr>
            <w:tcW w:w="1511" w:type="dxa"/>
            <w:tcMar>
              <w:left w:w="57" w:type="dxa"/>
              <w:right w:w="57" w:type="dxa"/>
            </w:tcMar>
            <w:vAlign w:val="center"/>
          </w:tcPr>
          <w:p w14:paraId="3B36C02B">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磋商范围</w:t>
            </w:r>
          </w:p>
        </w:tc>
        <w:tc>
          <w:tcPr>
            <w:tcW w:w="4864" w:type="dxa"/>
            <w:vAlign w:val="center"/>
          </w:tcPr>
          <w:p w14:paraId="663D657E">
            <w:pPr>
              <w:pageBreakBefore w:val="0"/>
              <w:kinsoku/>
              <w:overflowPunct/>
              <w:topLinePunct w:val="0"/>
              <w:bidi w:val="0"/>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竞争性磋商文件及第四章设计规范的全部内容。</w:t>
            </w:r>
          </w:p>
        </w:tc>
      </w:tr>
      <w:tr w14:paraId="6B3F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5" w:type="dxa"/>
            <w:vMerge w:val="continue"/>
            <w:tcMar>
              <w:left w:w="57" w:type="dxa"/>
              <w:right w:w="57" w:type="dxa"/>
            </w:tcMar>
            <w:vAlign w:val="center"/>
          </w:tcPr>
          <w:p w14:paraId="54CF711F">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080" w:type="dxa"/>
            <w:gridSpan w:val="2"/>
            <w:vMerge w:val="continue"/>
            <w:tcMar>
              <w:left w:w="57" w:type="dxa"/>
              <w:right w:w="57" w:type="dxa"/>
            </w:tcMar>
            <w:vAlign w:val="center"/>
          </w:tcPr>
          <w:p w14:paraId="3302D2B1">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511" w:type="dxa"/>
            <w:tcMar>
              <w:left w:w="57" w:type="dxa"/>
              <w:right w:w="57" w:type="dxa"/>
            </w:tcMar>
            <w:vAlign w:val="center"/>
          </w:tcPr>
          <w:p w14:paraId="324C3592">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服务要求</w:t>
            </w:r>
          </w:p>
        </w:tc>
        <w:tc>
          <w:tcPr>
            <w:tcW w:w="4864" w:type="dxa"/>
            <w:vAlign w:val="center"/>
          </w:tcPr>
          <w:p w14:paraId="0722D2FE">
            <w:pPr>
              <w:pageBreakBefore w:val="0"/>
              <w:kinsoku/>
              <w:overflowPunct/>
              <w:topLinePunct w:val="0"/>
              <w:bidi w:val="0"/>
              <w:spacing w:line="360" w:lineRule="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完成本项目施工图设计、提供后续服务等在内的全部设计任务，配合施工图审查工作，确保并按要求向采购人提交相关设计成果文件。</w:t>
            </w:r>
          </w:p>
        </w:tc>
      </w:tr>
      <w:tr w14:paraId="2BD6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5" w:type="dxa"/>
            <w:vMerge w:val="continue"/>
            <w:tcMar>
              <w:left w:w="57" w:type="dxa"/>
              <w:right w:w="57" w:type="dxa"/>
            </w:tcMar>
            <w:vAlign w:val="center"/>
          </w:tcPr>
          <w:p w14:paraId="4371E4F1">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080" w:type="dxa"/>
            <w:gridSpan w:val="2"/>
            <w:vMerge w:val="continue"/>
            <w:tcMar>
              <w:left w:w="57" w:type="dxa"/>
              <w:right w:w="57" w:type="dxa"/>
            </w:tcMar>
            <w:vAlign w:val="center"/>
          </w:tcPr>
          <w:p w14:paraId="1043DFE0">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511" w:type="dxa"/>
            <w:tcMar>
              <w:left w:w="57" w:type="dxa"/>
              <w:right w:w="57" w:type="dxa"/>
            </w:tcMar>
            <w:vAlign w:val="center"/>
          </w:tcPr>
          <w:p w14:paraId="5EE22651">
            <w:pPr>
              <w:pageBreakBefore w:val="0"/>
              <w:kinsoku/>
              <w:overflowPunct/>
              <w:topLinePunct w:val="0"/>
              <w:bidi w:val="0"/>
              <w:spacing w:line="360" w:lineRule="auto"/>
              <w:jc w:val="center"/>
              <w:outlineLvl w:val="9"/>
              <w:rPr>
                <w:rFonts w:hint="eastAsia" w:ascii="宋体" w:hAnsi="宋体" w:cs="宋体" w:eastAsiaTheme="minorEastAsia"/>
                <w:color w:val="auto"/>
                <w:sz w:val="24"/>
                <w:szCs w:val="24"/>
                <w:highlight w:val="none"/>
                <w:lang w:eastAsia="zh-CN"/>
              </w:rPr>
            </w:pPr>
            <w:r>
              <w:rPr>
                <w:rFonts w:hint="eastAsia" w:ascii="宋体" w:hAnsi="宋体" w:eastAsia="宋体" w:cs="宋体"/>
                <w:color w:val="auto"/>
                <w:sz w:val="24"/>
                <w:szCs w:val="24"/>
                <w:highlight w:val="none"/>
                <w:lang w:val="en-US" w:eastAsia="zh-CN"/>
              </w:rPr>
              <w:t>设计周期</w:t>
            </w:r>
          </w:p>
        </w:tc>
        <w:tc>
          <w:tcPr>
            <w:tcW w:w="4864" w:type="dxa"/>
            <w:vAlign w:val="center"/>
          </w:tcPr>
          <w:p w14:paraId="2C7473CB">
            <w:pPr>
              <w:pageBreakBefore w:val="0"/>
              <w:kinsoku/>
              <w:overflowPunct/>
              <w:topLinePunct w:val="0"/>
              <w:bidi w:val="0"/>
              <w:spacing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4"/>
                <w:highlight w:val="none"/>
              </w:rPr>
              <w:t>合同签订</w:t>
            </w:r>
            <w:r>
              <w:rPr>
                <w:rFonts w:hint="eastAsia" w:ascii="宋体" w:hAnsi="宋体" w:eastAsia="宋体"/>
                <w:color w:val="auto"/>
                <w:sz w:val="24"/>
                <w:szCs w:val="24"/>
                <w:highlight w:val="none"/>
                <w:lang w:eastAsia="zh-CN"/>
              </w:rPr>
              <w:t>后</w:t>
            </w:r>
            <w:r>
              <w:rPr>
                <w:rFonts w:hint="eastAsia" w:ascii="宋体" w:hAnsi="宋体" w:eastAsia="宋体"/>
                <w:color w:val="auto"/>
                <w:sz w:val="24"/>
                <w:szCs w:val="24"/>
                <w:highlight w:val="none"/>
                <w:lang w:val="en-US" w:eastAsia="zh-CN"/>
              </w:rPr>
              <w:t>30日历天内出具成果文件</w:t>
            </w:r>
            <w:r>
              <w:rPr>
                <w:rFonts w:hint="eastAsia" w:ascii="宋体" w:hAnsi="宋体" w:eastAsia="宋体" w:cs="宋体"/>
                <w:color w:val="auto"/>
                <w:sz w:val="24"/>
                <w:szCs w:val="24"/>
                <w:highlight w:val="none"/>
                <w:lang w:eastAsia="zh-CN"/>
              </w:rPr>
              <w:t>。</w:t>
            </w:r>
          </w:p>
        </w:tc>
      </w:tr>
      <w:tr w14:paraId="5D08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Mar>
              <w:left w:w="57" w:type="dxa"/>
              <w:right w:w="57" w:type="dxa"/>
            </w:tcMar>
            <w:vAlign w:val="center"/>
          </w:tcPr>
          <w:p w14:paraId="6397D890">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080" w:type="dxa"/>
            <w:gridSpan w:val="2"/>
            <w:vMerge w:val="continue"/>
            <w:tcMar>
              <w:left w:w="57" w:type="dxa"/>
              <w:right w:w="57" w:type="dxa"/>
            </w:tcMar>
            <w:vAlign w:val="center"/>
          </w:tcPr>
          <w:p w14:paraId="2C5886F0">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511" w:type="dxa"/>
            <w:tcMar>
              <w:left w:w="57" w:type="dxa"/>
              <w:right w:w="57" w:type="dxa"/>
            </w:tcMar>
            <w:vAlign w:val="center"/>
          </w:tcPr>
          <w:p w14:paraId="384358DA">
            <w:pPr>
              <w:pageBreakBefore w:val="0"/>
              <w:kinsoku/>
              <w:overflowPunct/>
              <w:topLinePunct w:val="0"/>
              <w:bidi w:val="0"/>
              <w:spacing w:line="360" w:lineRule="auto"/>
              <w:jc w:val="center"/>
              <w:outlineLvl w:val="9"/>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质量要求</w:t>
            </w:r>
          </w:p>
        </w:tc>
        <w:tc>
          <w:tcPr>
            <w:tcW w:w="4864" w:type="dxa"/>
            <w:vAlign w:val="center"/>
          </w:tcPr>
          <w:p w14:paraId="283026CC">
            <w:pPr>
              <w:pageBreakBefore w:val="0"/>
              <w:kinsoku/>
              <w:overflowPunct/>
              <w:topLinePunct w:val="0"/>
              <w:bidi w:val="0"/>
              <w:spacing w:line="360" w:lineRule="auto"/>
              <w:outlineLvl w:val="9"/>
              <w:rPr>
                <w:rFonts w:ascii="宋体" w:hAnsi="宋体" w:cs="宋体"/>
                <w:color w:val="auto"/>
                <w:sz w:val="24"/>
                <w:szCs w:val="24"/>
                <w:highlight w:val="none"/>
              </w:rPr>
            </w:pPr>
            <w:r>
              <w:rPr>
                <w:rFonts w:hint="eastAsia" w:ascii="宋体" w:hAnsi="宋体" w:eastAsia="宋体"/>
                <w:color w:val="auto"/>
                <w:sz w:val="24"/>
                <w:szCs w:val="24"/>
                <w:highlight w:val="none"/>
              </w:rPr>
              <w:t>符合国家</w:t>
            </w:r>
            <w:r>
              <w:rPr>
                <w:rFonts w:hint="eastAsia" w:ascii="宋体" w:hAnsi="宋体" w:eastAsia="宋体"/>
                <w:color w:val="auto"/>
                <w:sz w:val="24"/>
                <w:szCs w:val="24"/>
                <w:highlight w:val="none"/>
                <w:lang w:eastAsia="zh-CN"/>
              </w:rPr>
              <w:t>现行相关规程和</w:t>
            </w:r>
            <w:r>
              <w:rPr>
                <w:rFonts w:hint="eastAsia" w:ascii="宋体" w:hAnsi="宋体" w:eastAsia="宋体"/>
                <w:color w:val="auto"/>
                <w:sz w:val="24"/>
                <w:szCs w:val="24"/>
                <w:highlight w:val="none"/>
              </w:rPr>
              <w:t>规范</w:t>
            </w:r>
            <w:r>
              <w:rPr>
                <w:rFonts w:hint="eastAsia" w:ascii="宋体" w:hAnsi="宋体" w:eastAsia="宋体"/>
                <w:color w:val="auto"/>
                <w:sz w:val="24"/>
                <w:szCs w:val="24"/>
                <w:highlight w:val="none"/>
                <w:lang w:eastAsia="zh-CN"/>
              </w:rPr>
              <w:t>要求</w:t>
            </w:r>
            <w:r>
              <w:rPr>
                <w:rFonts w:hint="eastAsia" w:ascii="宋体" w:hAnsi="宋体" w:eastAsia="宋体" w:cs="宋体"/>
                <w:color w:val="auto"/>
                <w:sz w:val="24"/>
                <w:szCs w:val="24"/>
                <w:highlight w:val="none"/>
                <w:lang w:eastAsia="zh-CN"/>
              </w:rPr>
              <w:t>。</w:t>
            </w:r>
          </w:p>
        </w:tc>
      </w:tr>
      <w:tr w14:paraId="19FA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tcMar>
              <w:left w:w="57" w:type="dxa"/>
              <w:right w:w="57" w:type="dxa"/>
            </w:tcMar>
            <w:vAlign w:val="center"/>
          </w:tcPr>
          <w:p w14:paraId="78FFE24A">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080" w:type="dxa"/>
            <w:gridSpan w:val="2"/>
            <w:vMerge w:val="continue"/>
            <w:tcMar>
              <w:left w:w="57" w:type="dxa"/>
              <w:right w:w="57" w:type="dxa"/>
            </w:tcMar>
            <w:vAlign w:val="center"/>
          </w:tcPr>
          <w:p w14:paraId="31767AC3">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511" w:type="dxa"/>
            <w:tcMar>
              <w:left w:w="57" w:type="dxa"/>
              <w:right w:w="57" w:type="dxa"/>
            </w:tcMar>
            <w:vAlign w:val="center"/>
          </w:tcPr>
          <w:p w14:paraId="354C5D06">
            <w:pPr>
              <w:pageBreakBefore w:val="0"/>
              <w:kinsoku/>
              <w:overflowPunct/>
              <w:topLinePunct w:val="0"/>
              <w:bidi w:val="0"/>
              <w:spacing w:line="360" w:lineRule="auto"/>
              <w:jc w:val="center"/>
              <w:outlineLvl w:val="9"/>
              <w:rPr>
                <w:rFonts w:ascii="宋体" w:hAnsi="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4864" w:type="dxa"/>
            <w:vAlign w:val="center"/>
          </w:tcPr>
          <w:p w14:paraId="7FAC98EF">
            <w:pPr>
              <w:pageBreakBefore w:val="0"/>
              <w:kinsoku/>
              <w:overflowPunct/>
              <w:topLinePunct w:val="0"/>
              <w:bidi w:val="0"/>
              <w:spacing w:line="360" w:lineRule="auto"/>
              <w:outlineLvl w:val="9"/>
              <w:rPr>
                <w:rFonts w:ascii="宋体" w:hAnsi="宋体" w:cs="宋体"/>
                <w:color w:val="auto"/>
                <w:sz w:val="24"/>
                <w:szCs w:val="24"/>
                <w:highlight w:val="none"/>
              </w:rPr>
            </w:pPr>
            <w:r>
              <w:rPr>
                <w:rFonts w:hint="eastAsia" w:ascii="宋体" w:hAnsi="宋体" w:cs="宋体"/>
                <w:color w:val="auto"/>
                <w:kern w:val="10"/>
                <w:sz w:val="24"/>
                <w:szCs w:val="24"/>
                <w:highlight w:val="none"/>
              </w:rPr>
              <w:t>提交响应文件截止</w:t>
            </w:r>
            <w:r>
              <w:rPr>
                <w:rFonts w:hint="eastAsia" w:ascii="宋体" w:hAnsi="宋体" w:cs="宋体"/>
                <w:color w:val="auto"/>
                <w:kern w:val="10"/>
                <w:sz w:val="24"/>
                <w:szCs w:val="24"/>
                <w:highlight w:val="none"/>
                <w:lang w:eastAsia="zh-CN"/>
              </w:rPr>
              <w:t>之日起</w:t>
            </w:r>
            <w:r>
              <w:rPr>
                <w:rFonts w:hint="eastAsia" w:ascii="宋体" w:hAnsi="宋体" w:cs="宋体"/>
                <w:color w:val="auto"/>
                <w:kern w:val="10"/>
                <w:sz w:val="24"/>
                <w:szCs w:val="24"/>
                <w:highlight w:val="none"/>
              </w:rPr>
              <w:t>60日历天，有效期短于该期限的</w:t>
            </w:r>
            <w:r>
              <w:rPr>
                <w:rFonts w:hint="eastAsia" w:ascii="宋体" w:hAnsi="宋体" w:cs="宋体"/>
                <w:color w:val="auto"/>
                <w:spacing w:val="-11"/>
                <w:sz w:val="24"/>
                <w:szCs w:val="24"/>
                <w:highlight w:val="none"/>
              </w:rPr>
              <w:t>响应文件</w:t>
            </w:r>
            <w:r>
              <w:rPr>
                <w:rFonts w:hint="eastAsia" w:ascii="宋体" w:hAnsi="宋体" w:cs="宋体"/>
                <w:color w:val="auto"/>
                <w:kern w:val="10"/>
                <w:sz w:val="24"/>
                <w:szCs w:val="24"/>
                <w:highlight w:val="none"/>
              </w:rPr>
              <w:t>将被拒绝。</w:t>
            </w:r>
          </w:p>
        </w:tc>
      </w:tr>
      <w:tr w14:paraId="12EE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tcMar>
              <w:left w:w="57" w:type="dxa"/>
              <w:right w:w="57" w:type="dxa"/>
            </w:tcMar>
            <w:vAlign w:val="center"/>
          </w:tcPr>
          <w:p w14:paraId="358AAB2F">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080" w:type="dxa"/>
            <w:gridSpan w:val="2"/>
            <w:vMerge w:val="continue"/>
            <w:tcMar>
              <w:left w:w="57" w:type="dxa"/>
              <w:right w:w="57" w:type="dxa"/>
            </w:tcMar>
            <w:vAlign w:val="center"/>
          </w:tcPr>
          <w:p w14:paraId="673F21F6">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511" w:type="dxa"/>
            <w:tcMar>
              <w:left w:w="57" w:type="dxa"/>
              <w:right w:w="57" w:type="dxa"/>
            </w:tcMar>
            <w:vAlign w:val="center"/>
          </w:tcPr>
          <w:p w14:paraId="77E1E01B">
            <w:pPr>
              <w:pageBreakBefore w:val="0"/>
              <w:kinsoku/>
              <w:overflowPunct/>
              <w:topLinePunct w:val="0"/>
              <w:bidi w:val="0"/>
              <w:spacing w:line="360" w:lineRule="auto"/>
              <w:jc w:val="center"/>
              <w:outlineLvl w:val="9"/>
              <w:rPr>
                <w:rFonts w:ascii="宋体" w:hAnsi="宋体" w:cs="宋体"/>
                <w:color w:val="auto"/>
                <w:sz w:val="24"/>
                <w:szCs w:val="24"/>
                <w:highlight w:val="none"/>
              </w:rPr>
            </w:pPr>
            <w:r>
              <w:rPr>
                <w:rFonts w:hint="eastAsia" w:ascii="宋体" w:hAnsi="宋体" w:eastAsia="宋体" w:cs="宋体"/>
                <w:color w:val="auto"/>
                <w:sz w:val="24"/>
                <w:szCs w:val="24"/>
                <w:highlight w:val="none"/>
              </w:rPr>
              <w:t>磋商价格</w:t>
            </w:r>
          </w:p>
        </w:tc>
        <w:tc>
          <w:tcPr>
            <w:tcW w:w="4864" w:type="dxa"/>
            <w:vAlign w:val="center"/>
          </w:tcPr>
          <w:p w14:paraId="27ECAC53">
            <w:pPr>
              <w:pageBreakBefore w:val="0"/>
              <w:kinsoku/>
              <w:overflowPunct/>
              <w:topLinePunct w:val="0"/>
              <w:bidi w:val="0"/>
              <w:spacing w:line="360" w:lineRule="auto"/>
              <w:outlineLvl w:val="9"/>
              <w:rPr>
                <w:rFonts w:ascii="宋体" w:hAnsi="宋体" w:cs="宋体"/>
                <w:color w:val="auto"/>
                <w:sz w:val="24"/>
                <w:szCs w:val="24"/>
                <w:highlight w:val="none"/>
              </w:rPr>
            </w:pPr>
            <w:r>
              <w:rPr>
                <w:rFonts w:hint="eastAsia" w:ascii="宋体" w:hAnsi="宋体" w:cs="宋体"/>
                <w:bCs/>
                <w:color w:val="auto"/>
                <w:sz w:val="24"/>
                <w:szCs w:val="24"/>
                <w:highlight w:val="none"/>
              </w:rPr>
              <w:t>本次磋商采用二轮（最终）报价法，供应商递交的响应文件中的报价为第一轮报价，</w:t>
            </w:r>
            <w:r>
              <w:rPr>
                <w:color w:val="auto"/>
                <w:sz w:val="24"/>
                <w:highlight w:val="none"/>
              </w:rPr>
              <w:t>供应商</w:t>
            </w:r>
            <w:r>
              <w:rPr>
                <w:rFonts w:hint="eastAsia"/>
                <w:color w:val="auto"/>
                <w:sz w:val="24"/>
                <w:highlight w:val="none"/>
              </w:rPr>
              <w:t>的两轮磋商</w:t>
            </w:r>
            <w:r>
              <w:rPr>
                <w:color w:val="auto"/>
                <w:sz w:val="24"/>
                <w:highlight w:val="none"/>
              </w:rPr>
              <w:t>报价</w:t>
            </w:r>
            <w:r>
              <w:rPr>
                <w:rFonts w:hint="eastAsia"/>
                <w:color w:val="auto"/>
                <w:sz w:val="24"/>
                <w:highlight w:val="none"/>
              </w:rPr>
              <w:t>都</w:t>
            </w:r>
            <w:r>
              <w:rPr>
                <w:color w:val="auto"/>
                <w:sz w:val="24"/>
                <w:highlight w:val="none"/>
              </w:rPr>
              <w:t>不得高于采购人公布的</w:t>
            </w:r>
            <w:r>
              <w:rPr>
                <w:rFonts w:hint="eastAsia"/>
                <w:color w:val="auto"/>
                <w:sz w:val="24"/>
                <w:highlight w:val="none"/>
              </w:rPr>
              <w:t>控制价</w:t>
            </w:r>
            <w:r>
              <w:rPr>
                <w:color w:val="auto"/>
                <w:sz w:val="24"/>
                <w:highlight w:val="none"/>
              </w:rPr>
              <w:t>，否则其投标将被否决。</w:t>
            </w:r>
          </w:p>
        </w:tc>
      </w:tr>
      <w:tr w14:paraId="48C0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015" w:type="dxa"/>
            <w:gridSpan w:val="3"/>
            <w:tcMar>
              <w:left w:w="57" w:type="dxa"/>
              <w:right w:w="57" w:type="dxa"/>
            </w:tcMar>
            <w:vAlign w:val="center"/>
          </w:tcPr>
          <w:p w14:paraId="7F1CA66C">
            <w:pPr>
              <w:pStyle w:val="17"/>
              <w:pageBreakBefore w:val="0"/>
              <w:tabs>
                <w:tab w:val="right" w:pos="2948"/>
              </w:tabs>
              <w:kinsoku/>
              <w:overflowPunct/>
              <w:topLinePunct w:val="0"/>
              <w:bidi w:val="0"/>
              <w:spacing w:before="0" w:beforeAutospacing="0" w:after="0" w:afterAutospacing="0" w:line="360" w:lineRule="auto"/>
              <w:jc w:val="center"/>
              <w:outlineLvl w:val="9"/>
              <w:rPr>
                <w:rFonts w:hint="default"/>
                <w:b/>
                <w:bCs/>
                <w:color w:val="auto"/>
                <w:highlight w:val="none"/>
              </w:rPr>
            </w:pPr>
            <w:r>
              <w:rPr>
                <w:b/>
                <w:bCs/>
                <w:color w:val="auto"/>
                <w:highlight w:val="none"/>
              </w:rPr>
              <w:t>条款号</w:t>
            </w:r>
          </w:p>
        </w:tc>
        <w:tc>
          <w:tcPr>
            <w:tcW w:w="1511" w:type="dxa"/>
            <w:tcMar>
              <w:left w:w="57" w:type="dxa"/>
              <w:right w:w="57" w:type="dxa"/>
            </w:tcMar>
            <w:vAlign w:val="center"/>
          </w:tcPr>
          <w:p w14:paraId="29C59702">
            <w:pPr>
              <w:pStyle w:val="17"/>
              <w:pageBreakBefore w:val="0"/>
              <w:kinsoku/>
              <w:overflowPunct/>
              <w:topLinePunct w:val="0"/>
              <w:bidi w:val="0"/>
              <w:spacing w:before="0" w:beforeAutospacing="0" w:after="0" w:afterAutospacing="0" w:line="360" w:lineRule="auto"/>
              <w:jc w:val="center"/>
              <w:outlineLvl w:val="9"/>
              <w:rPr>
                <w:rFonts w:hint="default"/>
                <w:b/>
                <w:bCs/>
                <w:color w:val="auto"/>
                <w:highlight w:val="none"/>
              </w:rPr>
            </w:pPr>
            <w:r>
              <w:rPr>
                <w:b/>
                <w:bCs/>
                <w:color w:val="auto"/>
                <w:highlight w:val="none"/>
              </w:rPr>
              <w:t>条款内容</w:t>
            </w:r>
          </w:p>
        </w:tc>
        <w:tc>
          <w:tcPr>
            <w:tcW w:w="4864" w:type="dxa"/>
            <w:tcMar>
              <w:left w:w="57" w:type="dxa"/>
              <w:right w:w="57" w:type="dxa"/>
            </w:tcMar>
            <w:vAlign w:val="center"/>
          </w:tcPr>
          <w:p w14:paraId="2DD392CB">
            <w:pPr>
              <w:pStyle w:val="17"/>
              <w:pageBreakBefore w:val="0"/>
              <w:kinsoku/>
              <w:overflowPunct/>
              <w:topLinePunct w:val="0"/>
              <w:bidi w:val="0"/>
              <w:spacing w:before="0" w:beforeAutospacing="0" w:after="0" w:afterAutospacing="0" w:line="360" w:lineRule="auto"/>
              <w:jc w:val="both"/>
              <w:outlineLvl w:val="9"/>
              <w:rPr>
                <w:rFonts w:hint="default"/>
                <w:b/>
                <w:bCs/>
                <w:color w:val="auto"/>
                <w:highlight w:val="none"/>
              </w:rPr>
            </w:pPr>
            <w:r>
              <w:rPr>
                <w:b/>
                <w:bCs/>
                <w:color w:val="auto"/>
                <w:highlight w:val="none"/>
              </w:rPr>
              <w:t>编列内容</w:t>
            </w:r>
          </w:p>
        </w:tc>
      </w:tr>
      <w:tr w14:paraId="3468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015" w:type="dxa"/>
            <w:gridSpan w:val="3"/>
            <w:tcMar>
              <w:left w:w="57" w:type="dxa"/>
              <w:right w:w="57" w:type="dxa"/>
            </w:tcMar>
            <w:vAlign w:val="center"/>
          </w:tcPr>
          <w:p w14:paraId="3AD60FA8">
            <w:pPr>
              <w:pStyle w:val="17"/>
              <w:pageBreakBefore w:val="0"/>
              <w:kinsoku/>
              <w:overflowPunct/>
              <w:topLinePunct w:val="0"/>
              <w:bidi w:val="0"/>
              <w:spacing w:before="0" w:beforeAutospacing="0" w:after="0" w:afterAutospacing="0" w:line="360" w:lineRule="auto"/>
              <w:jc w:val="center"/>
              <w:outlineLvl w:val="9"/>
              <w:rPr>
                <w:rFonts w:hint="default"/>
                <w:color w:val="auto"/>
                <w:highlight w:val="none"/>
              </w:rPr>
            </w:pPr>
            <w:r>
              <w:rPr>
                <w:rFonts w:hint="eastAsia" w:ascii="宋体" w:hAnsi="宋体" w:eastAsia="宋体" w:cs="宋体"/>
                <w:color w:val="auto"/>
                <w:highlight w:val="none"/>
              </w:rPr>
              <w:t>2.2.1</w:t>
            </w:r>
          </w:p>
        </w:tc>
        <w:tc>
          <w:tcPr>
            <w:tcW w:w="1511" w:type="dxa"/>
            <w:tcMar>
              <w:left w:w="57" w:type="dxa"/>
              <w:right w:w="57" w:type="dxa"/>
            </w:tcMar>
            <w:vAlign w:val="center"/>
          </w:tcPr>
          <w:p w14:paraId="0FD2EA6B">
            <w:pPr>
              <w:pStyle w:val="17"/>
              <w:pageBreakBefore w:val="0"/>
              <w:kinsoku/>
              <w:overflowPunct/>
              <w:topLinePunct w:val="0"/>
              <w:bidi w:val="0"/>
              <w:spacing w:before="0" w:beforeAutospacing="0" w:after="0" w:afterAutospacing="0" w:line="360" w:lineRule="auto"/>
              <w:jc w:val="center"/>
              <w:outlineLvl w:val="9"/>
              <w:rPr>
                <w:rFonts w:hint="default"/>
                <w:color w:val="auto"/>
                <w:highlight w:val="none"/>
              </w:rPr>
            </w:pPr>
            <w:r>
              <w:rPr>
                <w:color w:val="auto"/>
                <w:highlight w:val="none"/>
              </w:rPr>
              <w:t>分值构成</w:t>
            </w:r>
          </w:p>
          <w:p w14:paraId="39020983">
            <w:pPr>
              <w:pStyle w:val="17"/>
              <w:pageBreakBefore w:val="0"/>
              <w:kinsoku/>
              <w:overflowPunct/>
              <w:topLinePunct w:val="0"/>
              <w:bidi w:val="0"/>
              <w:spacing w:before="0" w:beforeAutospacing="0" w:after="0" w:afterAutospacing="0" w:line="360" w:lineRule="auto"/>
              <w:jc w:val="center"/>
              <w:outlineLvl w:val="9"/>
              <w:rPr>
                <w:rFonts w:hint="default"/>
                <w:color w:val="auto"/>
                <w:highlight w:val="none"/>
              </w:rPr>
            </w:pPr>
            <w:r>
              <w:rPr>
                <w:color w:val="auto"/>
                <w:highlight w:val="none"/>
              </w:rPr>
              <w:t>（总分</w:t>
            </w:r>
            <w:r>
              <w:rPr>
                <w:rFonts w:hint="eastAsia" w:ascii="宋体" w:hAnsi="宋体" w:eastAsia="宋体" w:cs="宋体"/>
                <w:color w:val="auto"/>
                <w:highlight w:val="none"/>
                <w:lang w:val="en-US" w:eastAsia="zh-CN"/>
              </w:rPr>
              <w:t>100</w:t>
            </w:r>
            <w:r>
              <w:rPr>
                <w:color w:val="auto"/>
                <w:highlight w:val="none"/>
              </w:rPr>
              <w:t>分）</w:t>
            </w:r>
          </w:p>
        </w:tc>
        <w:tc>
          <w:tcPr>
            <w:tcW w:w="4864" w:type="dxa"/>
            <w:tcMar>
              <w:left w:w="57" w:type="dxa"/>
              <w:right w:w="57" w:type="dxa"/>
            </w:tcMar>
            <w:vAlign w:val="center"/>
          </w:tcPr>
          <w:p w14:paraId="7B02E3B2">
            <w:pPr>
              <w:spacing w:line="500" w:lineRule="exact"/>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磋商报价：</w:t>
            </w:r>
            <w:r>
              <w:rPr>
                <w:rFonts w:hint="eastAsia" w:ascii="宋体" w:hAnsi="宋体" w:eastAsia="宋体"/>
                <w:bCs/>
                <w:color w:val="auto"/>
                <w:sz w:val="24"/>
                <w:szCs w:val="24"/>
                <w:highlight w:val="none"/>
                <w:u w:val="single"/>
              </w:rPr>
              <w:t>3</w:t>
            </w:r>
            <w:r>
              <w:rPr>
                <w:rFonts w:hint="eastAsia" w:ascii="宋体" w:hAnsi="宋体" w:eastAsia="宋体"/>
                <w:bCs/>
                <w:color w:val="auto"/>
                <w:sz w:val="24"/>
                <w:szCs w:val="24"/>
                <w:highlight w:val="none"/>
                <w:u w:val="single"/>
                <w:lang w:val="en-US" w:eastAsia="zh-CN"/>
              </w:rPr>
              <w:t>0</w:t>
            </w:r>
            <w:r>
              <w:rPr>
                <w:rFonts w:hint="eastAsia" w:ascii="宋体" w:hAnsi="宋体" w:eastAsia="宋体"/>
                <w:bCs/>
                <w:color w:val="auto"/>
                <w:sz w:val="24"/>
                <w:szCs w:val="24"/>
                <w:highlight w:val="none"/>
              </w:rPr>
              <w:t>分；</w:t>
            </w:r>
          </w:p>
          <w:p w14:paraId="209DF2AD">
            <w:pPr>
              <w:spacing w:line="500" w:lineRule="exact"/>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技术评分：</w:t>
            </w:r>
            <w:r>
              <w:rPr>
                <w:rFonts w:hint="eastAsia" w:ascii="宋体" w:hAnsi="宋体" w:eastAsia="宋体"/>
                <w:bCs/>
                <w:color w:val="auto"/>
                <w:sz w:val="24"/>
                <w:szCs w:val="24"/>
                <w:highlight w:val="none"/>
                <w:u w:val="single"/>
                <w:lang w:val="en-US" w:eastAsia="zh-CN"/>
              </w:rPr>
              <w:t>45</w:t>
            </w:r>
            <w:r>
              <w:rPr>
                <w:rFonts w:hint="eastAsia" w:ascii="宋体" w:hAnsi="宋体" w:eastAsia="宋体"/>
                <w:bCs/>
                <w:color w:val="auto"/>
                <w:sz w:val="24"/>
                <w:szCs w:val="24"/>
                <w:highlight w:val="none"/>
              </w:rPr>
              <w:t>分；</w:t>
            </w:r>
          </w:p>
          <w:p w14:paraId="52434431">
            <w:pPr>
              <w:pageBreakBefore w:val="0"/>
              <w:kinsoku/>
              <w:overflowPunct/>
              <w:topLinePunct w:val="0"/>
              <w:bidi w:val="0"/>
              <w:spacing w:line="360" w:lineRule="auto"/>
              <w:jc w:val="both"/>
              <w:outlineLvl w:val="9"/>
              <w:rPr>
                <w:rFonts w:ascii="宋体" w:hAnsi="宋体" w:cs="宋体"/>
                <w:color w:val="auto"/>
                <w:sz w:val="24"/>
                <w:szCs w:val="24"/>
                <w:highlight w:val="none"/>
              </w:rPr>
            </w:pPr>
            <w:r>
              <w:rPr>
                <w:rFonts w:hint="eastAsia" w:ascii="宋体" w:hAnsi="宋体" w:eastAsia="宋体"/>
                <w:bCs/>
                <w:color w:val="auto"/>
                <w:sz w:val="24"/>
                <w:szCs w:val="24"/>
                <w:highlight w:val="none"/>
              </w:rPr>
              <w:t>商务评分：</w:t>
            </w:r>
            <w:r>
              <w:rPr>
                <w:rFonts w:hint="eastAsia" w:ascii="宋体" w:hAnsi="宋体" w:eastAsia="宋体"/>
                <w:bCs/>
                <w:color w:val="auto"/>
                <w:sz w:val="24"/>
                <w:szCs w:val="24"/>
                <w:highlight w:val="none"/>
                <w:u w:val="single"/>
              </w:rPr>
              <w:t>2</w:t>
            </w:r>
            <w:r>
              <w:rPr>
                <w:rFonts w:hint="eastAsia" w:ascii="宋体" w:hAnsi="宋体" w:eastAsia="宋体"/>
                <w:bCs/>
                <w:color w:val="auto"/>
                <w:sz w:val="24"/>
                <w:szCs w:val="24"/>
                <w:highlight w:val="none"/>
                <w:u w:val="single"/>
                <w:lang w:val="en-US" w:eastAsia="zh-CN"/>
              </w:rPr>
              <w:t>5</w:t>
            </w:r>
            <w:r>
              <w:rPr>
                <w:rFonts w:hint="eastAsia" w:ascii="宋体" w:hAnsi="宋体" w:eastAsia="宋体"/>
                <w:bCs/>
                <w:color w:val="auto"/>
                <w:sz w:val="24"/>
                <w:szCs w:val="24"/>
                <w:highlight w:val="none"/>
              </w:rPr>
              <w:t>分</w:t>
            </w:r>
          </w:p>
        </w:tc>
      </w:tr>
      <w:tr w14:paraId="248A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15" w:type="dxa"/>
            <w:gridSpan w:val="3"/>
            <w:tcMar>
              <w:left w:w="57" w:type="dxa"/>
              <w:right w:w="57" w:type="dxa"/>
            </w:tcMar>
            <w:vAlign w:val="center"/>
          </w:tcPr>
          <w:p w14:paraId="08A77140">
            <w:pPr>
              <w:pStyle w:val="17"/>
              <w:pageBreakBefore w:val="0"/>
              <w:tabs>
                <w:tab w:val="right" w:pos="2948"/>
              </w:tabs>
              <w:kinsoku/>
              <w:overflowPunct/>
              <w:topLinePunct w:val="0"/>
              <w:bidi w:val="0"/>
              <w:spacing w:before="0" w:beforeAutospacing="0" w:after="0" w:afterAutospacing="0" w:line="360" w:lineRule="auto"/>
              <w:jc w:val="center"/>
              <w:outlineLvl w:val="9"/>
              <w:rPr>
                <w:rFonts w:hint="default"/>
                <w:color w:val="auto"/>
                <w:highlight w:val="none"/>
              </w:rPr>
            </w:pPr>
            <w:r>
              <w:rPr>
                <w:b/>
                <w:bCs/>
                <w:color w:val="auto"/>
                <w:highlight w:val="none"/>
              </w:rPr>
              <w:t>条款号</w:t>
            </w:r>
          </w:p>
        </w:tc>
        <w:tc>
          <w:tcPr>
            <w:tcW w:w="1511" w:type="dxa"/>
            <w:tcMar>
              <w:left w:w="57" w:type="dxa"/>
              <w:right w:w="57" w:type="dxa"/>
            </w:tcMar>
            <w:vAlign w:val="center"/>
          </w:tcPr>
          <w:p w14:paraId="027C0A8B">
            <w:pPr>
              <w:pStyle w:val="17"/>
              <w:pageBreakBefore w:val="0"/>
              <w:kinsoku/>
              <w:overflowPunct/>
              <w:topLinePunct w:val="0"/>
              <w:bidi w:val="0"/>
              <w:spacing w:before="0" w:beforeAutospacing="0" w:after="0" w:afterAutospacing="0" w:line="360" w:lineRule="auto"/>
              <w:jc w:val="center"/>
              <w:outlineLvl w:val="9"/>
              <w:rPr>
                <w:rFonts w:hint="default"/>
                <w:color w:val="auto"/>
                <w:highlight w:val="none"/>
              </w:rPr>
            </w:pPr>
            <w:r>
              <w:rPr>
                <w:b/>
                <w:color w:val="auto"/>
                <w:highlight w:val="none"/>
              </w:rPr>
              <w:t>评分因素</w:t>
            </w:r>
          </w:p>
        </w:tc>
        <w:tc>
          <w:tcPr>
            <w:tcW w:w="4864" w:type="dxa"/>
            <w:tcMar>
              <w:left w:w="57" w:type="dxa"/>
              <w:right w:w="57" w:type="dxa"/>
            </w:tcMar>
            <w:vAlign w:val="center"/>
          </w:tcPr>
          <w:p w14:paraId="7ABB3DBC">
            <w:pPr>
              <w:pStyle w:val="17"/>
              <w:pageBreakBefore w:val="0"/>
              <w:kinsoku/>
              <w:overflowPunct/>
              <w:topLinePunct w:val="0"/>
              <w:bidi w:val="0"/>
              <w:spacing w:before="0" w:beforeAutospacing="0" w:after="0" w:afterAutospacing="0" w:line="360" w:lineRule="auto"/>
              <w:jc w:val="both"/>
              <w:outlineLvl w:val="9"/>
              <w:rPr>
                <w:rFonts w:hint="default"/>
                <w:color w:val="auto"/>
                <w:highlight w:val="none"/>
              </w:rPr>
            </w:pPr>
            <w:r>
              <w:rPr>
                <w:b/>
                <w:bCs/>
                <w:color w:val="auto"/>
                <w:highlight w:val="none"/>
              </w:rPr>
              <w:t>评分标准</w:t>
            </w:r>
          </w:p>
        </w:tc>
      </w:tr>
      <w:tr w14:paraId="034F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3526" w:type="dxa"/>
            <w:gridSpan w:val="4"/>
            <w:tcMar>
              <w:left w:w="57" w:type="dxa"/>
              <w:right w:w="57" w:type="dxa"/>
            </w:tcMar>
            <w:vAlign w:val="center"/>
          </w:tcPr>
          <w:p w14:paraId="456B9FE5">
            <w:pPr>
              <w:spacing w:line="500" w:lineRule="exact"/>
              <w:jc w:val="cente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评标基准值计算</w:t>
            </w:r>
          </w:p>
          <w:p w14:paraId="39A194C5">
            <w:pPr>
              <w:wordWrap w:val="0"/>
              <w:topLinePunct/>
              <w:adjustRightInd w:val="0"/>
              <w:jc w:val="center"/>
              <w:rPr>
                <w:rFonts w:hint="eastAsia" w:ascii="宋体" w:hAnsi="宋体" w:cs="宋体"/>
                <w:color w:val="auto"/>
                <w:sz w:val="24"/>
                <w:szCs w:val="24"/>
                <w:highlight w:val="none"/>
              </w:rPr>
            </w:pPr>
            <w:r>
              <w:rPr>
                <w:rFonts w:hint="eastAsia" w:ascii="宋体" w:hAnsi="宋体" w:eastAsia="宋体"/>
                <w:bCs/>
                <w:color w:val="auto"/>
                <w:sz w:val="24"/>
                <w:szCs w:val="24"/>
                <w:highlight w:val="none"/>
              </w:rPr>
              <w:t>方法</w:t>
            </w:r>
          </w:p>
        </w:tc>
        <w:tc>
          <w:tcPr>
            <w:tcW w:w="4864" w:type="dxa"/>
            <w:tcMar>
              <w:left w:w="57" w:type="dxa"/>
              <w:right w:w="57" w:type="dxa"/>
            </w:tcMar>
            <w:vAlign w:val="center"/>
          </w:tcPr>
          <w:p w14:paraId="01E316C3">
            <w:pPr>
              <w:wordWrap w:val="0"/>
              <w:topLinePunct/>
              <w:spacing w:line="360" w:lineRule="auto"/>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1、低于采购最高限价且通过初步评审的有效供应商报价为有效报价。</w:t>
            </w:r>
          </w:p>
          <w:p w14:paraId="542BF8AD">
            <w:pPr>
              <w:wordWrap w:val="0"/>
              <w:topLinePunct/>
              <w:spacing w:line="360" w:lineRule="auto"/>
              <w:textAlignment w:val="center"/>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rPr>
              <w:t>2、评标基准价=满足竞争性磋商文件要求的最低有效报价为基准价</w:t>
            </w:r>
            <w:r>
              <w:rPr>
                <w:rFonts w:hint="eastAsia" w:ascii="宋体" w:hAnsi="宋体" w:cs="宋体"/>
                <w:color w:val="auto"/>
                <w:sz w:val="24"/>
                <w:szCs w:val="24"/>
                <w:highlight w:val="none"/>
                <w:lang w:eastAsia="zh-CN"/>
              </w:rPr>
              <w:t>。</w:t>
            </w:r>
          </w:p>
        </w:tc>
      </w:tr>
      <w:tr w14:paraId="59A7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5" w:type="dxa"/>
            <w:tcMar>
              <w:left w:w="57" w:type="dxa"/>
              <w:right w:w="57" w:type="dxa"/>
            </w:tcMar>
            <w:vAlign w:val="center"/>
          </w:tcPr>
          <w:p w14:paraId="08B3BB2A">
            <w:pPr>
              <w:pStyle w:val="17"/>
              <w:pageBreakBefore w:val="0"/>
              <w:kinsoku/>
              <w:overflowPunct/>
              <w:topLinePunct w:val="0"/>
              <w:bidi w:val="0"/>
              <w:spacing w:before="0" w:beforeAutospacing="0" w:after="0" w:afterAutospacing="0" w:line="360" w:lineRule="auto"/>
              <w:jc w:val="center"/>
              <w:outlineLvl w:val="9"/>
              <w:rPr>
                <w:rFonts w:hint="default" w:eastAsiaTheme="minorEastAsia"/>
                <w:color w:val="auto"/>
                <w:highlight w:val="none"/>
                <w:lang w:val="en-US" w:eastAsia="zh-CN"/>
              </w:rPr>
            </w:pPr>
            <w:r>
              <w:rPr>
                <w:rFonts w:hint="eastAsia" w:ascii="宋体" w:hAnsi="宋体" w:eastAsia="宋体" w:cs="宋体"/>
                <w:color w:val="auto"/>
                <w:highlight w:val="none"/>
                <w:lang w:val="en-US" w:eastAsia="zh-CN"/>
              </w:rPr>
              <w:t>2.2.2（1）</w:t>
            </w:r>
          </w:p>
        </w:tc>
        <w:tc>
          <w:tcPr>
            <w:tcW w:w="2591" w:type="dxa"/>
            <w:gridSpan w:val="3"/>
            <w:tcMar>
              <w:left w:w="57" w:type="dxa"/>
              <w:right w:w="57" w:type="dxa"/>
            </w:tcMar>
            <w:vAlign w:val="center"/>
          </w:tcPr>
          <w:p w14:paraId="0429917E">
            <w:pPr>
              <w:pageBreakBefore w:val="0"/>
              <w:kinsoku/>
              <w:overflowPunct/>
              <w:topLinePunct w:val="0"/>
              <w:bidi w:val="0"/>
              <w:spacing w:line="360" w:lineRule="auto"/>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磋商报价</w:t>
            </w:r>
            <w:r>
              <w:rPr>
                <w:rFonts w:hint="eastAsia" w:ascii="宋体" w:hAnsi="宋体" w:cs="宋体" w:eastAsiaTheme="minorEastAsia"/>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30</w:t>
            </w:r>
            <w:r>
              <w:rPr>
                <w:rFonts w:hint="eastAsia" w:ascii="宋体" w:hAnsi="宋体" w:cs="宋体" w:eastAsiaTheme="minorEastAsia"/>
                <w:color w:val="auto"/>
                <w:kern w:val="2"/>
                <w:sz w:val="24"/>
                <w:szCs w:val="24"/>
                <w:highlight w:val="none"/>
                <w:lang w:val="en-US" w:eastAsia="zh-CN" w:bidi="ar-SA"/>
              </w:rPr>
              <w:t>分</w:t>
            </w:r>
            <w:r>
              <w:rPr>
                <w:color w:val="auto"/>
                <w:highlight w:val="none"/>
              </w:rPr>
              <w:t>）</w:t>
            </w:r>
          </w:p>
        </w:tc>
        <w:tc>
          <w:tcPr>
            <w:tcW w:w="4864" w:type="dxa"/>
            <w:tcMar>
              <w:left w:w="57" w:type="dxa"/>
              <w:right w:w="57" w:type="dxa"/>
            </w:tcMar>
            <w:vAlign w:val="center"/>
          </w:tcPr>
          <w:p w14:paraId="05E0E9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val="en-US" w:eastAsia="zh-CN"/>
              </w:rPr>
              <w:t>1.</w:t>
            </w:r>
            <w:r>
              <w:rPr>
                <w:rFonts w:hint="eastAsia" w:ascii="宋体" w:hAnsi="宋体" w:eastAsia="宋体"/>
                <w:bCs/>
                <w:color w:val="auto"/>
                <w:sz w:val="24"/>
                <w:szCs w:val="24"/>
                <w:highlight w:val="none"/>
              </w:rPr>
              <w:t>价格分采用低价优先法计算，即通过</w:t>
            </w:r>
            <w:r>
              <w:rPr>
                <w:rFonts w:hint="eastAsia" w:ascii="宋体" w:hAnsi="宋体" w:eastAsia="宋体"/>
                <w:bCs/>
                <w:color w:val="auto"/>
                <w:sz w:val="24"/>
                <w:szCs w:val="24"/>
                <w:highlight w:val="none"/>
                <w:lang w:val="en-US" w:eastAsia="zh-CN"/>
              </w:rPr>
              <w:t>形式</w:t>
            </w:r>
            <w:r>
              <w:rPr>
                <w:rFonts w:hint="eastAsia" w:ascii="宋体" w:hAnsi="宋体" w:eastAsia="宋体"/>
                <w:bCs/>
                <w:color w:val="auto"/>
                <w:sz w:val="24"/>
                <w:szCs w:val="24"/>
                <w:highlight w:val="none"/>
              </w:rPr>
              <w:t>性</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lang w:val="en-US" w:eastAsia="zh-CN"/>
              </w:rPr>
              <w:t>资格和响应</w:t>
            </w:r>
            <w:r>
              <w:rPr>
                <w:rFonts w:hint="eastAsia" w:ascii="宋体" w:hAnsi="宋体" w:eastAsia="宋体"/>
                <w:bCs/>
                <w:color w:val="auto"/>
                <w:sz w:val="24"/>
                <w:szCs w:val="24"/>
                <w:highlight w:val="none"/>
              </w:rPr>
              <w:t>性审查且最终报价最低的供应商的价格为磋商基准价，其价格得分为满分3</w:t>
            </w:r>
            <w:r>
              <w:rPr>
                <w:rFonts w:hint="eastAsia" w:ascii="宋体" w:hAnsi="宋体" w:eastAsia="宋体"/>
                <w:bCs/>
                <w:color w:val="auto"/>
                <w:sz w:val="24"/>
                <w:szCs w:val="24"/>
                <w:highlight w:val="none"/>
                <w:lang w:val="en-US" w:eastAsia="zh-CN"/>
              </w:rPr>
              <w:t>0</w:t>
            </w:r>
            <w:r>
              <w:rPr>
                <w:rFonts w:hint="eastAsia" w:ascii="宋体" w:hAnsi="宋体" w:eastAsia="宋体"/>
                <w:bCs/>
                <w:color w:val="auto"/>
                <w:sz w:val="24"/>
                <w:szCs w:val="24"/>
                <w:highlight w:val="none"/>
              </w:rPr>
              <w:t>分。</w:t>
            </w:r>
          </w:p>
          <w:p w14:paraId="4F454B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val="en-US" w:eastAsia="zh-CN"/>
              </w:rPr>
              <w:t>2.</w:t>
            </w:r>
            <w:r>
              <w:rPr>
                <w:rFonts w:hint="eastAsia" w:ascii="宋体" w:hAnsi="宋体" w:eastAsia="宋体"/>
                <w:bCs/>
                <w:color w:val="auto"/>
                <w:sz w:val="24"/>
                <w:szCs w:val="24"/>
                <w:highlight w:val="none"/>
              </w:rPr>
              <w:t>其他供应商的价格分统一按照下列公式计算：磋商报价得分=(磋商基准价／最终报价)×3</w:t>
            </w:r>
            <w:r>
              <w:rPr>
                <w:rFonts w:hint="eastAsia" w:ascii="宋体" w:hAnsi="宋体" w:eastAsia="宋体"/>
                <w:bCs/>
                <w:color w:val="auto"/>
                <w:sz w:val="24"/>
                <w:szCs w:val="24"/>
                <w:highlight w:val="none"/>
                <w:lang w:val="en-US" w:eastAsia="zh-CN"/>
              </w:rPr>
              <w:t>0</w:t>
            </w:r>
          </w:p>
          <w:p w14:paraId="6A92A3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注：</w:t>
            </w:r>
            <w:r>
              <w:rPr>
                <w:rFonts w:hint="eastAsia" w:ascii="宋体" w:hAnsi="宋体" w:eastAsia="宋体"/>
                <w:bCs/>
                <w:color w:val="auto"/>
                <w:sz w:val="24"/>
                <w:szCs w:val="24"/>
                <w:highlight w:val="none"/>
                <w:lang w:val="en-US" w:eastAsia="zh-CN"/>
              </w:rPr>
              <w:t>（1）</w:t>
            </w:r>
            <w:r>
              <w:rPr>
                <w:rFonts w:hint="eastAsia" w:ascii="宋体" w:hAnsi="宋体" w:eastAsia="宋体"/>
                <w:bCs/>
                <w:color w:val="auto"/>
                <w:sz w:val="24"/>
                <w:szCs w:val="24"/>
                <w:highlight w:val="none"/>
              </w:rPr>
              <w:t>价格分计算保留</w:t>
            </w:r>
            <w:r>
              <w:rPr>
                <w:rFonts w:hint="eastAsia" w:ascii="宋体" w:hAnsi="宋体" w:eastAsia="宋体"/>
                <w:bCs/>
                <w:color w:val="auto"/>
                <w:sz w:val="24"/>
                <w:szCs w:val="24"/>
                <w:highlight w:val="none"/>
                <w:lang w:eastAsia="zh-CN"/>
              </w:rPr>
              <w:t>两位小数</w:t>
            </w:r>
            <w:r>
              <w:rPr>
                <w:rFonts w:hint="eastAsia" w:ascii="宋体" w:hAnsi="宋体" w:eastAsia="宋体"/>
                <w:bCs/>
                <w:color w:val="auto"/>
                <w:sz w:val="24"/>
                <w:szCs w:val="24"/>
                <w:highlight w:val="none"/>
              </w:rPr>
              <w:t>。</w:t>
            </w:r>
          </w:p>
          <w:p w14:paraId="0C1D44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val="en-US" w:eastAsia="zh-CN"/>
              </w:rPr>
              <w:t>（2）</w:t>
            </w:r>
            <w:r>
              <w:rPr>
                <w:rFonts w:hint="eastAsia" w:ascii="宋体" w:hAnsi="宋体" w:eastAsia="宋体"/>
                <w:bCs/>
                <w:color w:val="auto"/>
                <w:sz w:val="24"/>
                <w:szCs w:val="24"/>
                <w:highlight w:val="none"/>
              </w:rPr>
              <w:t>磋商小组认为供应商的报价明显低于其他通过</w:t>
            </w:r>
            <w:r>
              <w:rPr>
                <w:rFonts w:hint="eastAsia" w:ascii="宋体" w:hAnsi="宋体" w:eastAsia="宋体"/>
                <w:bCs/>
                <w:color w:val="auto"/>
                <w:sz w:val="24"/>
                <w:szCs w:val="24"/>
                <w:highlight w:val="none"/>
                <w:lang w:val="en-US" w:eastAsia="zh-CN"/>
              </w:rPr>
              <w:t>形式</w:t>
            </w:r>
            <w:r>
              <w:rPr>
                <w:rFonts w:hint="eastAsia" w:ascii="宋体" w:hAnsi="宋体" w:eastAsia="宋体"/>
                <w:bCs/>
                <w:color w:val="auto"/>
                <w:sz w:val="24"/>
                <w:szCs w:val="24"/>
                <w:highlight w:val="none"/>
              </w:rPr>
              <w:t>性</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lang w:val="en-US" w:eastAsia="zh-CN"/>
              </w:rPr>
              <w:t>资格和响应</w:t>
            </w:r>
            <w:r>
              <w:rPr>
                <w:rFonts w:hint="eastAsia" w:ascii="宋体" w:hAnsi="宋体" w:eastAsia="宋体"/>
                <w:bCs/>
                <w:color w:val="auto"/>
                <w:sz w:val="24"/>
                <w:szCs w:val="24"/>
                <w:highlight w:val="none"/>
              </w:rPr>
              <w:t>性供应商的报价，有可能影响项目质量或者不能诚信履约的，应当要求其在评审现场合理的时间内提供书面说明，必要时提交相关证明材料；供应商不能证明其报价合理性的，磋商小组应当将其作为无效标处理。</w:t>
            </w:r>
          </w:p>
          <w:p w14:paraId="716B00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3.（1）根据《三门峡市2023年政府采购领域优化营商环境工作实施方案的通知》三财办【2023】4号、《三门峡市财政局关于进一步加大政府采购支持中小企业发展有关事项的通知》三财购【2022】9号的规定，对小型、微型企业产品的价格给予20%的扣除，本项目小型、微型企业按20%扣除。对于中型企业产品的价格不予扣除。</w:t>
            </w:r>
          </w:p>
          <w:p w14:paraId="2C24E1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所投小微企业产品报价=所投小微企业产品报价×（1-20%）</w:t>
            </w:r>
          </w:p>
          <w:p w14:paraId="1F11B3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（2）根据财政部司法部《关于政府采购支持监狱企业发展有关问题的通知》（财库〔2014〕68号）规定，对于监狱企业视同为小型、微型企业，价格给予20%的扣除。</w:t>
            </w:r>
          </w:p>
          <w:p w14:paraId="188565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所投监狱企业产品报价=所投监狱企业产品报价×（1-20%）</w:t>
            </w:r>
          </w:p>
          <w:p w14:paraId="3AD01B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（3）根据财政部民政部中国残疾人联合会《关于促进残疾人就业政府采购政策的通知》（财库〔2017〕141号）规定，对于残疾人福利性单位视同为小型、微型企业，价格给予 20%的扣除。</w:t>
            </w:r>
          </w:p>
          <w:p w14:paraId="62AD00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所投残疾人福利性单位企业产品报价=所投残疾人福利性单位企业产品报价×（1-20%）。</w:t>
            </w:r>
          </w:p>
          <w:p w14:paraId="529BCB9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ascii="宋体" w:hAnsi="宋体" w:eastAsia="宋体"/>
                <w:b/>
                <w:bCs w:val="0"/>
                <w:color w:val="auto"/>
                <w:sz w:val="24"/>
                <w:szCs w:val="24"/>
                <w:highlight w:val="none"/>
                <w:lang w:val="en-US" w:eastAsia="zh-CN"/>
              </w:rPr>
              <w:t>同一投标人，中小微企业产品、监狱企业产品、残疾人福利性单位产品的价格扣除优惠只享受一次，不得重复享受。</w:t>
            </w:r>
          </w:p>
        </w:tc>
      </w:tr>
      <w:tr w14:paraId="66BC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35" w:type="dxa"/>
            <w:vMerge w:val="restart"/>
            <w:tcMar>
              <w:left w:w="57" w:type="dxa"/>
              <w:right w:w="57" w:type="dxa"/>
            </w:tcMar>
            <w:vAlign w:val="center"/>
          </w:tcPr>
          <w:p w14:paraId="41CF09F3">
            <w:pPr>
              <w:pStyle w:val="17"/>
              <w:pageBreakBefore w:val="0"/>
              <w:kinsoku/>
              <w:overflowPunct/>
              <w:topLinePunct w:val="0"/>
              <w:bidi w:val="0"/>
              <w:spacing w:before="0" w:beforeAutospacing="0" w:after="0" w:afterAutospacing="0" w:line="360" w:lineRule="auto"/>
              <w:jc w:val="center"/>
              <w:outlineLvl w:val="9"/>
              <w:rPr>
                <w:rFonts w:hint="default"/>
                <w:color w:val="auto"/>
                <w:highlight w:val="none"/>
              </w:rPr>
            </w:pPr>
            <w:r>
              <w:rPr>
                <w:rFonts w:hint="eastAsia" w:ascii="宋体" w:hAnsi="宋体" w:eastAsia="宋体" w:cs="宋体"/>
                <w:color w:val="auto"/>
                <w:highlight w:val="none"/>
                <w:lang w:val="en-US" w:eastAsia="zh-CN"/>
              </w:rPr>
              <w:t>2.2.2 (2)</w:t>
            </w:r>
          </w:p>
        </w:tc>
        <w:tc>
          <w:tcPr>
            <w:tcW w:w="1005" w:type="dxa"/>
            <w:vMerge w:val="restart"/>
            <w:tcMar>
              <w:left w:w="57" w:type="dxa"/>
              <w:right w:w="57" w:type="dxa"/>
            </w:tcMar>
            <w:vAlign w:val="center"/>
          </w:tcPr>
          <w:p w14:paraId="638F3CDC">
            <w:pPr>
              <w:pageBreakBefore w:val="0"/>
              <w:kinsoku/>
              <w:overflowPunct/>
              <w:topLinePunct w:val="0"/>
              <w:bidi w:val="0"/>
              <w:spacing w:line="360" w:lineRule="auto"/>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技术标评分</w:t>
            </w:r>
          </w:p>
          <w:p w14:paraId="49DE6DBF">
            <w:pPr>
              <w:pageBreakBefore w:val="0"/>
              <w:kinsoku/>
              <w:overflowPunct/>
              <w:topLinePunct w:val="0"/>
              <w:bidi w:val="0"/>
              <w:spacing w:line="360" w:lineRule="auto"/>
              <w:jc w:val="center"/>
              <w:outlineLvl w:val="9"/>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45</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tc>
        <w:tc>
          <w:tcPr>
            <w:tcW w:w="1586" w:type="dxa"/>
            <w:gridSpan w:val="2"/>
            <w:tcMar>
              <w:left w:w="57" w:type="dxa"/>
              <w:right w:w="57" w:type="dxa"/>
            </w:tcMar>
            <w:vAlign w:val="center"/>
          </w:tcPr>
          <w:p w14:paraId="5C2DFC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对项目的理解和总体设计思路</w:t>
            </w:r>
          </w:p>
          <w:p w14:paraId="470B9B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
                <w:color w:val="auto"/>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分）</w:t>
            </w:r>
          </w:p>
        </w:tc>
        <w:tc>
          <w:tcPr>
            <w:tcW w:w="4864" w:type="dxa"/>
            <w:tcMar>
              <w:left w:w="57" w:type="dxa"/>
              <w:right w:w="57" w:type="dxa"/>
            </w:tcMar>
            <w:vAlign w:val="center"/>
          </w:tcPr>
          <w:p w14:paraId="137A88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对项目理解深刻、到位，总体设计思路表述清晰、完整、严谨、合理：</w:t>
            </w:r>
          </w:p>
          <w:p w14:paraId="5D44A3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内容详实、考虑周全、措施到位、可行性强得10分；</w:t>
            </w:r>
          </w:p>
          <w:p w14:paraId="720254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内容基本完整、考虑基本周全、措施有待优化、可行性一般得6分；</w:t>
            </w:r>
          </w:p>
          <w:p w14:paraId="16BECC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内容不完整、考虑不周全、措施不到位、可行性差得3分；</w:t>
            </w:r>
          </w:p>
          <w:p w14:paraId="2AD35D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缺项得0分。</w:t>
            </w:r>
          </w:p>
        </w:tc>
      </w:tr>
      <w:tr w14:paraId="7BB8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935" w:type="dxa"/>
            <w:vMerge w:val="continue"/>
            <w:tcMar>
              <w:left w:w="57" w:type="dxa"/>
              <w:right w:w="57" w:type="dxa"/>
            </w:tcMar>
            <w:vAlign w:val="center"/>
          </w:tcPr>
          <w:p w14:paraId="48485263">
            <w:pPr>
              <w:pStyle w:val="17"/>
              <w:pageBreakBefore w:val="0"/>
              <w:kinsoku/>
              <w:overflowPunct/>
              <w:topLinePunct w:val="0"/>
              <w:bidi w:val="0"/>
              <w:spacing w:before="0" w:beforeAutospacing="0" w:after="0" w:afterAutospacing="0" w:line="360" w:lineRule="auto"/>
              <w:jc w:val="center"/>
              <w:outlineLvl w:val="9"/>
              <w:rPr>
                <w:rFonts w:hint="default"/>
                <w:color w:val="auto"/>
                <w:highlight w:val="none"/>
              </w:rPr>
            </w:pPr>
          </w:p>
        </w:tc>
        <w:tc>
          <w:tcPr>
            <w:tcW w:w="1005" w:type="dxa"/>
            <w:vMerge w:val="continue"/>
            <w:tcMar>
              <w:left w:w="57" w:type="dxa"/>
              <w:right w:w="57" w:type="dxa"/>
            </w:tcMar>
            <w:vAlign w:val="center"/>
          </w:tcPr>
          <w:p w14:paraId="1937C67E">
            <w:pPr>
              <w:pStyle w:val="17"/>
              <w:pageBreakBefore w:val="0"/>
              <w:kinsoku/>
              <w:overflowPunct/>
              <w:topLinePunct w:val="0"/>
              <w:bidi w:val="0"/>
              <w:spacing w:before="0" w:beforeAutospacing="0" w:after="0" w:afterAutospacing="0" w:line="360" w:lineRule="auto"/>
              <w:jc w:val="center"/>
              <w:outlineLvl w:val="9"/>
              <w:rPr>
                <w:rFonts w:hint="default"/>
                <w:color w:val="auto"/>
                <w:highlight w:val="none"/>
              </w:rPr>
            </w:pPr>
          </w:p>
        </w:tc>
        <w:tc>
          <w:tcPr>
            <w:tcW w:w="1586" w:type="dxa"/>
            <w:gridSpan w:val="2"/>
            <w:tcMar>
              <w:left w:w="57" w:type="dxa"/>
              <w:right w:w="57" w:type="dxa"/>
            </w:tcMar>
            <w:vAlign w:val="center"/>
          </w:tcPr>
          <w:p w14:paraId="1D93ED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对项目设计的特点、关键技术问题的认识及其对策措施</w:t>
            </w:r>
          </w:p>
          <w:p w14:paraId="0DE6BA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（10分）</w:t>
            </w:r>
          </w:p>
        </w:tc>
        <w:tc>
          <w:tcPr>
            <w:tcW w:w="4864" w:type="dxa"/>
            <w:tcMar>
              <w:left w:w="57" w:type="dxa"/>
              <w:right w:w="57" w:type="dxa"/>
            </w:tcMar>
            <w:vAlign w:val="center"/>
          </w:tcPr>
          <w:p w14:paraId="3ACD8C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对项目设计特点描述准确、到位，对关键技术问题有深入的表述，解决方案完整、经济、安全、切实可行，措施得力：</w:t>
            </w:r>
          </w:p>
          <w:p w14:paraId="1C37B9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内容详实、考虑周全、措施到位、可行性强得10分；</w:t>
            </w:r>
          </w:p>
          <w:p w14:paraId="3ED7AD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内容基本完整、考虑基本周全、措施有待优化、可行性一般得6分；</w:t>
            </w:r>
          </w:p>
          <w:p w14:paraId="6D43895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内容不完整、考虑不周全、措施不到位、可行性差得3分；</w:t>
            </w:r>
          </w:p>
          <w:p w14:paraId="4E8D66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缺项得0分。</w:t>
            </w:r>
          </w:p>
        </w:tc>
      </w:tr>
      <w:tr w14:paraId="1B5C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35" w:type="dxa"/>
            <w:vMerge w:val="continue"/>
            <w:tcMar>
              <w:left w:w="57" w:type="dxa"/>
              <w:right w:w="57" w:type="dxa"/>
            </w:tcMar>
            <w:vAlign w:val="center"/>
          </w:tcPr>
          <w:p w14:paraId="764F8C5E">
            <w:pPr>
              <w:pStyle w:val="17"/>
              <w:pageBreakBefore w:val="0"/>
              <w:kinsoku/>
              <w:overflowPunct/>
              <w:topLinePunct w:val="0"/>
              <w:bidi w:val="0"/>
              <w:spacing w:before="0" w:beforeAutospacing="0" w:after="0" w:afterAutospacing="0" w:line="360" w:lineRule="auto"/>
              <w:jc w:val="center"/>
              <w:outlineLvl w:val="9"/>
              <w:rPr>
                <w:rFonts w:hint="default"/>
                <w:color w:val="auto"/>
                <w:highlight w:val="none"/>
              </w:rPr>
            </w:pPr>
          </w:p>
        </w:tc>
        <w:tc>
          <w:tcPr>
            <w:tcW w:w="1005" w:type="dxa"/>
            <w:vMerge w:val="continue"/>
            <w:tcMar>
              <w:left w:w="57" w:type="dxa"/>
              <w:right w:w="57" w:type="dxa"/>
            </w:tcMar>
            <w:vAlign w:val="center"/>
          </w:tcPr>
          <w:p w14:paraId="6E126B3E">
            <w:pPr>
              <w:pStyle w:val="17"/>
              <w:pageBreakBefore w:val="0"/>
              <w:kinsoku/>
              <w:overflowPunct/>
              <w:topLinePunct w:val="0"/>
              <w:bidi w:val="0"/>
              <w:spacing w:before="0" w:beforeAutospacing="0" w:after="0" w:afterAutospacing="0" w:line="360" w:lineRule="auto"/>
              <w:jc w:val="center"/>
              <w:outlineLvl w:val="9"/>
              <w:rPr>
                <w:rFonts w:hint="default"/>
                <w:color w:val="auto"/>
                <w:highlight w:val="none"/>
              </w:rPr>
            </w:pPr>
          </w:p>
        </w:tc>
        <w:tc>
          <w:tcPr>
            <w:tcW w:w="1586" w:type="dxa"/>
            <w:gridSpan w:val="2"/>
            <w:tcMar>
              <w:left w:w="57" w:type="dxa"/>
              <w:right w:w="57" w:type="dxa"/>
            </w:tcMar>
            <w:vAlign w:val="center"/>
          </w:tcPr>
          <w:p w14:paraId="14520E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设计的质量保证措施</w:t>
            </w:r>
          </w:p>
          <w:p w14:paraId="71AE4B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分）</w:t>
            </w:r>
          </w:p>
        </w:tc>
        <w:tc>
          <w:tcPr>
            <w:tcW w:w="4864" w:type="dxa"/>
            <w:tcMar>
              <w:left w:w="57" w:type="dxa"/>
              <w:right w:w="57" w:type="dxa"/>
            </w:tcMar>
            <w:vAlign w:val="center"/>
          </w:tcPr>
          <w:p w14:paraId="68E789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质量标准符合招标文件要求，明确质量目标，项目整体及分项工程有完整的质量保证体系，各专业的有机衔接，对可能出现的质量偏差有应对措施等：</w:t>
            </w:r>
          </w:p>
          <w:p w14:paraId="040057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内容详实、考虑周全、措施到位、针对性强得8分；</w:t>
            </w:r>
          </w:p>
          <w:p w14:paraId="3CB8E8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内容基本完整、考虑基本周全、措施有待优化、针对性一般得5分；</w:t>
            </w:r>
          </w:p>
          <w:p w14:paraId="4F0B74E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内容不完整、考虑不周全、措施不到位、针对性差得3分；</w:t>
            </w:r>
          </w:p>
          <w:p w14:paraId="27D0A2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缺项得0分。</w:t>
            </w:r>
          </w:p>
        </w:tc>
      </w:tr>
      <w:tr w14:paraId="2369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35" w:type="dxa"/>
            <w:vMerge w:val="continue"/>
            <w:tcMar>
              <w:left w:w="57" w:type="dxa"/>
              <w:right w:w="57" w:type="dxa"/>
            </w:tcMar>
            <w:vAlign w:val="center"/>
          </w:tcPr>
          <w:p w14:paraId="367708F9">
            <w:pPr>
              <w:pStyle w:val="17"/>
              <w:pageBreakBefore w:val="0"/>
              <w:kinsoku/>
              <w:overflowPunct/>
              <w:topLinePunct w:val="0"/>
              <w:bidi w:val="0"/>
              <w:spacing w:before="0" w:beforeAutospacing="0" w:after="0" w:afterAutospacing="0" w:line="360" w:lineRule="auto"/>
              <w:jc w:val="center"/>
              <w:outlineLvl w:val="9"/>
              <w:rPr>
                <w:rFonts w:hint="default"/>
                <w:color w:val="auto"/>
                <w:highlight w:val="none"/>
              </w:rPr>
            </w:pPr>
          </w:p>
        </w:tc>
        <w:tc>
          <w:tcPr>
            <w:tcW w:w="1005" w:type="dxa"/>
            <w:vMerge w:val="continue"/>
            <w:tcMar>
              <w:left w:w="57" w:type="dxa"/>
              <w:right w:w="57" w:type="dxa"/>
            </w:tcMar>
            <w:vAlign w:val="center"/>
          </w:tcPr>
          <w:p w14:paraId="3D16156E">
            <w:pPr>
              <w:pStyle w:val="17"/>
              <w:pageBreakBefore w:val="0"/>
              <w:kinsoku/>
              <w:overflowPunct/>
              <w:topLinePunct w:val="0"/>
              <w:bidi w:val="0"/>
              <w:spacing w:before="0" w:beforeAutospacing="0" w:after="0" w:afterAutospacing="0" w:line="360" w:lineRule="auto"/>
              <w:jc w:val="center"/>
              <w:outlineLvl w:val="9"/>
              <w:rPr>
                <w:rFonts w:hint="default"/>
                <w:color w:val="auto"/>
                <w:highlight w:val="none"/>
              </w:rPr>
            </w:pPr>
          </w:p>
        </w:tc>
        <w:tc>
          <w:tcPr>
            <w:tcW w:w="1586" w:type="dxa"/>
            <w:gridSpan w:val="2"/>
            <w:tcMar>
              <w:left w:w="57" w:type="dxa"/>
              <w:right w:w="57" w:type="dxa"/>
            </w:tcMar>
            <w:vAlign w:val="center"/>
          </w:tcPr>
          <w:p w14:paraId="795E2E5E">
            <w:pPr>
              <w:spacing w:line="500" w:lineRule="exact"/>
              <w:jc w:val="center"/>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设计的进度保证措施</w:t>
            </w:r>
          </w:p>
          <w:p w14:paraId="2713B576">
            <w:pPr>
              <w:spacing w:line="500" w:lineRule="exact"/>
              <w:jc w:val="center"/>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lang w:val="en-US" w:eastAsia="zh-CN"/>
              </w:rPr>
              <w:t>8分</w:t>
            </w:r>
            <w:r>
              <w:rPr>
                <w:rFonts w:hint="eastAsia" w:ascii="宋体" w:hAnsi="宋体" w:eastAsia="宋体"/>
                <w:bCs/>
                <w:color w:val="auto"/>
                <w:sz w:val="24"/>
                <w:szCs w:val="24"/>
                <w:highlight w:val="none"/>
                <w:lang w:eastAsia="zh-CN"/>
              </w:rPr>
              <w:t>）</w:t>
            </w:r>
          </w:p>
        </w:tc>
        <w:tc>
          <w:tcPr>
            <w:tcW w:w="4864" w:type="dxa"/>
            <w:tcMar>
              <w:left w:w="57" w:type="dxa"/>
              <w:right w:w="57" w:type="dxa"/>
            </w:tcMar>
            <w:vAlign w:val="center"/>
          </w:tcPr>
          <w:p w14:paraId="7B4BA277">
            <w:pPr>
              <w:spacing w:line="500" w:lineRule="exact"/>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设计进度保证措施的合理性、可行性等</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lang w:val="en-US" w:eastAsia="zh-CN"/>
              </w:rPr>
              <w:t>1.</w:t>
            </w:r>
            <w:r>
              <w:rPr>
                <w:rFonts w:hint="eastAsia" w:ascii="宋体" w:hAnsi="宋体" w:eastAsia="宋体"/>
                <w:bCs/>
                <w:color w:val="auto"/>
                <w:sz w:val="24"/>
                <w:szCs w:val="24"/>
                <w:highlight w:val="none"/>
              </w:rPr>
              <w:t>内容详实、考虑周全、措施到位、可行性强得8分；</w:t>
            </w:r>
          </w:p>
          <w:p w14:paraId="1A32491F">
            <w:pPr>
              <w:spacing w:line="500" w:lineRule="exact"/>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val="en-US" w:eastAsia="zh-CN"/>
              </w:rPr>
              <w:t>2.</w:t>
            </w:r>
            <w:r>
              <w:rPr>
                <w:rFonts w:hint="eastAsia" w:ascii="宋体" w:hAnsi="宋体" w:eastAsia="宋体"/>
                <w:bCs/>
                <w:color w:val="auto"/>
                <w:sz w:val="24"/>
                <w:szCs w:val="24"/>
                <w:highlight w:val="none"/>
              </w:rPr>
              <w:t>内容基本完整、考虑基本周全、措施有待优化、可行性一般得5分；</w:t>
            </w:r>
          </w:p>
          <w:p w14:paraId="1A49BA3B">
            <w:pPr>
              <w:spacing w:line="500" w:lineRule="exact"/>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val="en-US" w:eastAsia="zh-CN"/>
              </w:rPr>
              <w:t>3.</w:t>
            </w:r>
            <w:r>
              <w:rPr>
                <w:rFonts w:hint="eastAsia" w:ascii="宋体" w:hAnsi="宋体" w:eastAsia="宋体"/>
                <w:bCs/>
                <w:color w:val="auto"/>
                <w:sz w:val="24"/>
                <w:szCs w:val="24"/>
                <w:highlight w:val="none"/>
              </w:rPr>
              <w:t>内容不完整、考虑不周全、措施不到位、可行性差得3分；</w:t>
            </w:r>
          </w:p>
          <w:p w14:paraId="0BB949B8">
            <w:pPr>
              <w:spacing w:line="500" w:lineRule="exact"/>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val="en-US" w:eastAsia="zh-CN"/>
              </w:rPr>
              <w:t>4.</w:t>
            </w:r>
            <w:r>
              <w:rPr>
                <w:rFonts w:hint="eastAsia" w:ascii="宋体" w:hAnsi="宋体" w:eastAsia="宋体"/>
                <w:bCs/>
                <w:color w:val="auto"/>
                <w:sz w:val="24"/>
                <w:szCs w:val="24"/>
                <w:highlight w:val="none"/>
                <w:lang w:eastAsia="zh-CN"/>
              </w:rPr>
              <w:t>缺项</w:t>
            </w:r>
            <w:r>
              <w:rPr>
                <w:rFonts w:hint="eastAsia" w:ascii="宋体" w:hAnsi="宋体" w:eastAsia="宋体"/>
                <w:bCs/>
                <w:color w:val="auto"/>
                <w:sz w:val="24"/>
                <w:szCs w:val="24"/>
                <w:highlight w:val="none"/>
              </w:rPr>
              <w:t>得0分。</w:t>
            </w:r>
          </w:p>
        </w:tc>
      </w:tr>
      <w:tr w14:paraId="28F5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35" w:type="dxa"/>
            <w:vMerge w:val="continue"/>
            <w:tcMar>
              <w:left w:w="57" w:type="dxa"/>
              <w:right w:w="57" w:type="dxa"/>
            </w:tcMar>
            <w:vAlign w:val="center"/>
          </w:tcPr>
          <w:p w14:paraId="170FD165">
            <w:pPr>
              <w:pStyle w:val="17"/>
              <w:pageBreakBefore w:val="0"/>
              <w:kinsoku/>
              <w:overflowPunct/>
              <w:topLinePunct w:val="0"/>
              <w:bidi w:val="0"/>
              <w:spacing w:before="0" w:beforeAutospacing="0" w:after="0" w:afterAutospacing="0" w:line="360" w:lineRule="auto"/>
              <w:jc w:val="center"/>
              <w:outlineLvl w:val="9"/>
              <w:rPr>
                <w:rFonts w:hint="default"/>
                <w:color w:val="auto"/>
                <w:highlight w:val="none"/>
              </w:rPr>
            </w:pPr>
          </w:p>
        </w:tc>
        <w:tc>
          <w:tcPr>
            <w:tcW w:w="1005" w:type="dxa"/>
            <w:vMerge w:val="continue"/>
            <w:tcMar>
              <w:left w:w="57" w:type="dxa"/>
              <w:right w:w="57" w:type="dxa"/>
            </w:tcMar>
            <w:vAlign w:val="center"/>
          </w:tcPr>
          <w:p w14:paraId="31E20077">
            <w:pPr>
              <w:pStyle w:val="17"/>
              <w:pageBreakBefore w:val="0"/>
              <w:kinsoku/>
              <w:overflowPunct/>
              <w:topLinePunct w:val="0"/>
              <w:bidi w:val="0"/>
              <w:spacing w:before="0" w:beforeAutospacing="0" w:after="0" w:afterAutospacing="0" w:line="360" w:lineRule="auto"/>
              <w:jc w:val="center"/>
              <w:outlineLvl w:val="9"/>
              <w:rPr>
                <w:rFonts w:hint="default"/>
                <w:color w:val="auto"/>
                <w:highlight w:val="none"/>
              </w:rPr>
            </w:pPr>
          </w:p>
        </w:tc>
        <w:tc>
          <w:tcPr>
            <w:tcW w:w="1586" w:type="dxa"/>
            <w:gridSpan w:val="2"/>
            <w:tcMar>
              <w:left w:w="57" w:type="dxa"/>
              <w:right w:w="57" w:type="dxa"/>
            </w:tcMar>
            <w:vAlign w:val="center"/>
          </w:tcPr>
          <w:p w14:paraId="251A704A">
            <w:pPr>
              <w:spacing w:line="500" w:lineRule="exact"/>
              <w:jc w:val="center"/>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人员及机构设置</w:t>
            </w:r>
          </w:p>
          <w:p w14:paraId="1C6CC28C">
            <w:pPr>
              <w:spacing w:line="500" w:lineRule="exact"/>
              <w:jc w:val="center"/>
              <w:rPr>
                <w:rFonts w:hint="eastAsia" w:ascii="宋体" w:hAnsi="宋体" w:cs="宋体"/>
                <w:color w:val="auto"/>
                <w:sz w:val="24"/>
                <w:szCs w:val="24"/>
                <w:highlight w:val="none"/>
              </w:rPr>
            </w:pP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lang w:val="en-US" w:eastAsia="zh-CN"/>
              </w:rPr>
              <w:t>9</w:t>
            </w:r>
            <w:r>
              <w:rPr>
                <w:rFonts w:hint="eastAsia" w:ascii="宋体" w:hAnsi="宋体" w:eastAsia="宋体"/>
                <w:bCs/>
                <w:color w:val="auto"/>
                <w:sz w:val="24"/>
                <w:szCs w:val="24"/>
                <w:highlight w:val="none"/>
              </w:rPr>
              <w:t>分）</w:t>
            </w:r>
          </w:p>
        </w:tc>
        <w:tc>
          <w:tcPr>
            <w:tcW w:w="4864" w:type="dxa"/>
            <w:tcMar>
              <w:left w:w="57" w:type="dxa"/>
              <w:right w:w="57" w:type="dxa"/>
            </w:tcMar>
            <w:vAlign w:val="center"/>
          </w:tcPr>
          <w:p w14:paraId="3B199C60">
            <w:pPr>
              <w:spacing w:line="500" w:lineRule="exact"/>
              <w:ind w:firstLine="480" w:firstLineChars="20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rPr>
              <w:t>人员及机构设置的合理性、可行性等</w:t>
            </w:r>
            <w:r>
              <w:rPr>
                <w:rFonts w:hint="eastAsia" w:ascii="宋体" w:hAnsi="宋体" w:eastAsia="宋体"/>
                <w:bCs/>
                <w:color w:val="auto"/>
                <w:sz w:val="24"/>
                <w:szCs w:val="24"/>
                <w:highlight w:val="none"/>
                <w:lang w:eastAsia="zh-CN"/>
              </w:rPr>
              <w:t>：</w:t>
            </w:r>
          </w:p>
          <w:p w14:paraId="32E17E15">
            <w:pPr>
              <w:numPr>
                <w:ilvl w:val="0"/>
                <w:numId w:val="0"/>
              </w:numPr>
              <w:spacing w:line="500" w:lineRule="exact"/>
              <w:rPr>
                <w:rFonts w:hint="eastAsia" w:ascii="宋体" w:hAnsi="宋体" w:eastAsia="宋体"/>
                <w:bCs/>
                <w:color w:val="auto"/>
                <w:sz w:val="24"/>
                <w:szCs w:val="24"/>
                <w:highlight w:val="none"/>
              </w:rPr>
            </w:pPr>
            <w:r>
              <w:rPr>
                <w:rFonts w:hint="eastAsia" w:ascii="宋体" w:hAnsi="宋体" w:eastAsia="宋体" w:cstheme="minorBidi"/>
                <w:bCs/>
                <w:color w:val="auto"/>
                <w:kern w:val="2"/>
                <w:sz w:val="24"/>
                <w:szCs w:val="24"/>
                <w:highlight w:val="none"/>
                <w:lang w:val="en-US" w:eastAsia="zh-CN" w:bidi="ar-SA"/>
              </w:rPr>
              <w:t>1.</w:t>
            </w:r>
            <w:r>
              <w:rPr>
                <w:rFonts w:hint="eastAsia" w:ascii="宋体" w:hAnsi="宋体" w:eastAsia="宋体"/>
                <w:bCs/>
                <w:color w:val="auto"/>
                <w:sz w:val="24"/>
                <w:szCs w:val="24"/>
                <w:highlight w:val="none"/>
              </w:rPr>
              <w:t>内容详实、考虑周全、措施到位、可行性强得9分；</w:t>
            </w:r>
          </w:p>
          <w:p w14:paraId="31C80876">
            <w:pPr>
              <w:numPr>
                <w:ilvl w:val="0"/>
                <w:numId w:val="0"/>
              </w:numPr>
              <w:spacing w:line="500" w:lineRule="exact"/>
              <w:rPr>
                <w:rFonts w:hint="eastAsia" w:ascii="宋体" w:hAnsi="宋体" w:eastAsia="宋体"/>
                <w:bCs/>
                <w:color w:val="auto"/>
                <w:sz w:val="24"/>
                <w:szCs w:val="24"/>
                <w:highlight w:val="none"/>
              </w:rPr>
            </w:pPr>
            <w:r>
              <w:rPr>
                <w:rFonts w:hint="eastAsia" w:ascii="宋体" w:hAnsi="宋体" w:cs="宋体" w:eastAsiaTheme="minorEastAsia"/>
                <w:color w:val="auto"/>
                <w:kern w:val="2"/>
                <w:sz w:val="24"/>
                <w:szCs w:val="24"/>
                <w:highlight w:val="none"/>
                <w:lang w:val="en-US" w:eastAsia="zh-CN" w:bidi="ar-SA"/>
              </w:rPr>
              <w:t>2.</w:t>
            </w:r>
            <w:r>
              <w:rPr>
                <w:rFonts w:hint="eastAsia" w:ascii="宋体" w:hAnsi="宋体" w:eastAsia="宋体"/>
                <w:bCs/>
                <w:color w:val="auto"/>
                <w:sz w:val="24"/>
                <w:szCs w:val="24"/>
                <w:highlight w:val="none"/>
              </w:rPr>
              <w:t>内容基本完整、考虑基本周全、措施有待优化、可行性一般得6分；</w:t>
            </w:r>
          </w:p>
          <w:p w14:paraId="5D59F6F7">
            <w:pPr>
              <w:numPr>
                <w:ilvl w:val="0"/>
                <w:numId w:val="0"/>
              </w:numPr>
              <w:spacing w:line="500" w:lineRule="exact"/>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val="en-US" w:eastAsia="zh-CN"/>
              </w:rPr>
              <w:t>3.</w:t>
            </w:r>
            <w:r>
              <w:rPr>
                <w:rFonts w:hint="eastAsia" w:ascii="宋体" w:hAnsi="宋体" w:eastAsia="宋体"/>
                <w:bCs/>
                <w:color w:val="auto"/>
                <w:sz w:val="24"/>
                <w:szCs w:val="24"/>
                <w:highlight w:val="none"/>
              </w:rPr>
              <w:t>内容不完整、考虑不周全、措施不到位、可行性差得3分；</w:t>
            </w:r>
          </w:p>
          <w:p w14:paraId="1922CB4E">
            <w:pPr>
              <w:numPr>
                <w:ilvl w:val="0"/>
                <w:numId w:val="0"/>
              </w:numPr>
              <w:spacing w:line="500" w:lineRule="exact"/>
              <w:rPr>
                <w:rFonts w:hint="eastAsia" w:ascii="宋体" w:hAnsi="宋体" w:cs="宋体"/>
                <w:color w:val="auto"/>
                <w:sz w:val="24"/>
                <w:szCs w:val="24"/>
                <w:highlight w:val="none"/>
              </w:rPr>
            </w:pPr>
            <w:r>
              <w:rPr>
                <w:rFonts w:hint="eastAsia" w:ascii="宋体" w:hAnsi="宋体" w:eastAsia="宋体"/>
                <w:bCs/>
                <w:color w:val="auto"/>
                <w:sz w:val="24"/>
                <w:szCs w:val="24"/>
                <w:highlight w:val="none"/>
                <w:lang w:val="en-US" w:eastAsia="zh-CN"/>
              </w:rPr>
              <w:t>4.</w:t>
            </w:r>
            <w:r>
              <w:rPr>
                <w:rFonts w:hint="eastAsia" w:ascii="宋体" w:hAnsi="宋体" w:eastAsia="宋体"/>
                <w:bCs/>
                <w:color w:val="auto"/>
                <w:sz w:val="24"/>
                <w:szCs w:val="24"/>
                <w:highlight w:val="none"/>
                <w:lang w:eastAsia="zh-CN"/>
              </w:rPr>
              <w:t>缺项</w:t>
            </w:r>
            <w:r>
              <w:rPr>
                <w:rFonts w:hint="eastAsia" w:ascii="宋体" w:hAnsi="宋体" w:eastAsia="宋体"/>
                <w:bCs/>
                <w:color w:val="auto"/>
                <w:sz w:val="24"/>
                <w:szCs w:val="24"/>
                <w:highlight w:val="none"/>
              </w:rPr>
              <w:t>得0分。</w:t>
            </w:r>
          </w:p>
        </w:tc>
      </w:tr>
      <w:tr w14:paraId="6D7F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35" w:type="dxa"/>
            <w:vMerge w:val="restart"/>
            <w:tcMar>
              <w:left w:w="57" w:type="dxa"/>
              <w:right w:w="57" w:type="dxa"/>
            </w:tcMar>
            <w:vAlign w:val="center"/>
          </w:tcPr>
          <w:p w14:paraId="0185CDD9">
            <w:pPr>
              <w:pStyle w:val="17"/>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2.2.2</w:t>
            </w:r>
          </w:p>
          <w:p w14:paraId="646425A4">
            <w:pPr>
              <w:pStyle w:val="17"/>
              <w:pageBreakBefore w:val="0"/>
              <w:kinsoku/>
              <w:overflowPunct/>
              <w:topLinePunct w:val="0"/>
              <w:bidi w:val="0"/>
              <w:spacing w:before="0" w:beforeAutospacing="0" w:after="0" w:afterAutospacing="0" w:line="360" w:lineRule="auto"/>
              <w:jc w:val="center"/>
              <w:outlineLvl w:val="9"/>
              <w:rPr>
                <w:rFonts w:hint="default"/>
                <w:color w:val="auto"/>
                <w:highlight w:val="none"/>
              </w:rPr>
            </w:pPr>
            <w:r>
              <w:rPr>
                <w:rFonts w:hint="eastAsia" w:ascii="宋体" w:hAnsi="宋体" w:eastAsia="宋体" w:cs="宋体"/>
                <w:color w:val="auto"/>
                <w:highlight w:val="none"/>
                <w:lang w:val="en-US" w:eastAsia="zh-CN"/>
              </w:rPr>
              <w:t>(3)</w:t>
            </w:r>
          </w:p>
        </w:tc>
        <w:tc>
          <w:tcPr>
            <w:tcW w:w="1005" w:type="dxa"/>
            <w:vMerge w:val="restart"/>
            <w:tcMar>
              <w:left w:w="57" w:type="dxa"/>
              <w:right w:w="57" w:type="dxa"/>
            </w:tcMar>
            <w:vAlign w:val="center"/>
          </w:tcPr>
          <w:p w14:paraId="15716F77">
            <w:pPr>
              <w:pageBreakBefore w:val="0"/>
              <w:kinsoku/>
              <w:overflowPunct/>
              <w:topLinePunct w:val="0"/>
              <w:bidi w:val="0"/>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综合标评分</w:t>
            </w:r>
          </w:p>
          <w:p w14:paraId="427F27C1">
            <w:pPr>
              <w:pageBreakBefore w:val="0"/>
              <w:kinsoku/>
              <w:overflowPunct/>
              <w:topLinePunct w:val="0"/>
              <w:bidi w:val="0"/>
              <w:spacing w:line="360" w:lineRule="auto"/>
              <w:jc w:val="center"/>
              <w:outlineLvl w:val="9"/>
              <w:rPr>
                <w:color w:val="auto"/>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分）</w:t>
            </w:r>
          </w:p>
        </w:tc>
        <w:tc>
          <w:tcPr>
            <w:tcW w:w="1586" w:type="dxa"/>
            <w:gridSpan w:val="2"/>
            <w:tcMar>
              <w:left w:w="57" w:type="dxa"/>
              <w:right w:w="57" w:type="dxa"/>
            </w:tcMar>
            <w:vAlign w:val="center"/>
          </w:tcPr>
          <w:p w14:paraId="167B7DF5">
            <w:pPr>
              <w:wordWrap w:val="0"/>
              <w:topLinePunct/>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企业</w:t>
            </w:r>
            <w:r>
              <w:rPr>
                <w:rFonts w:hint="eastAsia" w:ascii="宋体" w:hAnsi="宋体" w:cs="宋体"/>
                <w:color w:val="auto"/>
                <w:kern w:val="0"/>
                <w:sz w:val="24"/>
                <w:szCs w:val="24"/>
                <w:highlight w:val="none"/>
              </w:rPr>
              <w:t>业绩</w:t>
            </w:r>
          </w:p>
          <w:p w14:paraId="56315397">
            <w:pPr>
              <w:wordWrap w:val="0"/>
              <w:topLinePunct/>
              <w:spacing w:line="360" w:lineRule="auto"/>
              <w:jc w:val="center"/>
              <w:rPr>
                <w:color w:val="auto"/>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分）</w:t>
            </w:r>
          </w:p>
        </w:tc>
        <w:tc>
          <w:tcPr>
            <w:tcW w:w="4864" w:type="dxa"/>
            <w:tcMar>
              <w:left w:w="57" w:type="dxa"/>
              <w:right w:w="57" w:type="dxa"/>
            </w:tcMar>
            <w:vAlign w:val="center"/>
          </w:tcPr>
          <w:p w14:paraId="763220A4">
            <w:pPr>
              <w:autoSpaceDE w:val="0"/>
              <w:autoSpaceDN w:val="0"/>
              <w:spacing w:line="360" w:lineRule="auto"/>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自</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月1日</w:t>
            </w:r>
            <w:r>
              <w:rPr>
                <w:rFonts w:hint="eastAsia" w:ascii="宋体" w:hAnsi="宋体" w:cs="宋体"/>
                <w:color w:val="auto"/>
                <w:sz w:val="24"/>
                <w:szCs w:val="24"/>
                <w:highlight w:val="none"/>
                <w:lang w:val="en-US" w:eastAsia="zh-CN"/>
              </w:rPr>
              <w:t>以来</w:t>
            </w:r>
            <w:r>
              <w:rPr>
                <w:rFonts w:hint="eastAsia" w:ascii="宋体" w:hAnsi="宋体" w:cs="宋体"/>
                <w:color w:val="auto"/>
                <w:sz w:val="24"/>
                <w:szCs w:val="24"/>
                <w:highlight w:val="none"/>
              </w:rPr>
              <w:t>具有类似</w:t>
            </w:r>
            <w:r>
              <w:rPr>
                <w:rFonts w:hint="eastAsia" w:ascii="宋体" w:hAnsi="宋体" w:cs="宋体"/>
                <w:color w:val="auto"/>
                <w:sz w:val="24"/>
                <w:szCs w:val="24"/>
                <w:highlight w:val="none"/>
                <w:lang w:eastAsia="zh-CN"/>
              </w:rPr>
              <w:t>设计项目</w:t>
            </w: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，每</w:t>
            </w:r>
            <w:r>
              <w:rPr>
                <w:rFonts w:hint="eastAsia" w:ascii="宋体" w:hAnsi="宋体" w:cs="宋体"/>
                <w:color w:val="auto"/>
                <w:sz w:val="24"/>
                <w:szCs w:val="24"/>
                <w:highlight w:val="none"/>
                <w:lang w:eastAsia="zh-CN"/>
              </w:rPr>
              <w:t>提供一份业绩</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分，最多得</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r>
              <w:rPr>
                <w:rFonts w:hint="eastAsia" w:ascii="宋体" w:hAnsi="宋体" w:cs="宋体"/>
                <w:b/>
                <w:bCs/>
                <w:color w:val="auto"/>
                <w:sz w:val="24"/>
                <w:szCs w:val="24"/>
                <w:highlight w:val="none"/>
              </w:rPr>
              <w:t>（以合同签订时间为准，提供合同</w:t>
            </w:r>
            <w:r>
              <w:rPr>
                <w:rFonts w:hint="eastAsia" w:ascii="宋体" w:hAnsi="宋体" w:cs="宋体"/>
                <w:b/>
                <w:bCs/>
                <w:color w:val="auto"/>
                <w:sz w:val="24"/>
                <w:szCs w:val="24"/>
                <w:highlight w:val="none"/>
                <w:lang w:val="en-US" w:eastAsia="zh-CN"/>
              </w:rPr>
              <w:t>协议书的</w:t>
            </w:r>
            <w:r>
              <w:rPr>
                <w:rFonts w:hint="eastAsia" w:ascii="宋体" w:hAnsi="宋体" w:cs="宋体"/>
                <w:b/>
                <w:bCs/>
                <w:color w:val="auto"/>
                <w:sz w:val="24"/>
                <w:szCs w:val="24"/>
                <w:highlight w:val="none"/>
              </w:rPr>
              <w:t>原件扫描件</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未提供合同不得分。</w:t>
            </w:r>
            <w:r>
              <w:rPr>
                <w:rFonts w:hint="eastAsia" w:ascii="宋体" w:hAnsi="宋体" w:cs="宋体"/>
                <w:b/>
                <w:bCs/>
                <w:color w:val="auto"/>
                <w:sz w:val="24"/>
                <w:szCs w:val="24"/>
                <w:highlight w:val="none"/>
                <w:lang w:eastAsia="zh-CN"/>
              </w:rPr>
              <w:t>）</w:t>
            </w:r>
          </w:p>
        </w:tc>
      </w:tr>
      <w:tr w14:paraId="1DEC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935" w:type="dxa"/>
            <w:vMerge w:val="continue"/>
            <w:tcMar>
              <w:left w:w="57" w:type="dxa"/>
              <w:right w:w="57" w:type="dxa"/>
            </w:tcMar>
            <w:vAlign w:val="center"/>
          </w:tcPr>
          <w:p w14:paraId="7EE9D7E3">
            <w:pPr>
              <w:pStyle w:val="17"/>
              <w:pageBreakBefore w:val="0"/>
              <w:kinsoku/>
              <w:overflowPunct/>
              <w:topLinePunct w:val="0"/>
              <w:bidi w:val="0"/>
              <w:spacing w:before="0" w:beforeAutospacing="0" w:after="0" w:afterAutospacing="0" w:line="360" w:lineRule="auto"/>
              <w:jc w:val="center"/>
              <w:outlineLvl w:val="9"/>
              <w:rPr>
                <w:rFonts w:hint="default"/>
                <w:color w:val="auto"/>
                <w:highlight w:val="none"/>
              </w:rPr>
            </w:pPr>
          </w:p>
        </w:tc>
        <w:tc>
          <w:tcPr>
            <w:tcW w:w="1005" w:type="dxa"/>
            <w:vMerge w:val="continue"/>
            <w:tcMar>
              <w:left w:w="57" w:type="dxa"/>
              <w:right w:w="57" w:type="dxa"/>
            </w:tcMar>
            <w:vAlign w:val="center"/>
          </w:tcPr>
          <w:p w14:paraId="01570304">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586" w:type="dxa"/>
            <w:gridSpan w:val="2"/>
            <w:tcMar>
              <w:left w:w="57" w:type="dxa"/>
              <w:right w:w="57" w:type="dxa"/>
            </w:tcMar>
            <w:vAlign w:val="center"/>
          </w:tcPr>
          <w:p w14:paraId="117E2CF6">
            <w:pPr>
              <w:spacing w:line="500" w:lineRule="exact"/>
              <w:jc w:val="center"/>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项目负责人业绩</w:t>
            </w:r>
          </w:p>
          <w:p w14:paraId="1F4F635D">
            <w:pPr>
              <w:spacing w:line="500" w:lineRule="exact"/>
              <w:jc w:val="center"/>
              <w:rPr>
                <w:rFonts w:hint="eastAsia" w:eastAsia="仿宋"/>
                <w:color w:val="auto"/>
                <w:highlight w:val="none"/>
                <w:lang w:eastAsia="zh-CN"/>
              </w:rPr>
            </w:pP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lang w:val="en-US" w:eastAsia="zh-CN"/>
              </w:rPr>
              <w:t>6</w:t>
            </w:r>
            <w:r>
              <w:rPr>
                <w:rFonts w:hint="eastAsia" w:ascii="宋体" w:hAnsi="宋体" w:eastAsia="宋体"/>
                <w:bCs/>
                <w:color w:val="auto"/>
                <w:sz w:val="24"/>
                <w:szCs w:val="24"/>
                <w:highlight w:val="none"/>
              </w:rPr>
              <w:t>分）</w:t>
            </w:r>
          </w:p>
        </w:tc>
        <w:tc>
          <w:tcPr>
            <w:tcW w:w="4864" w:type="dxa"/>
            <w:tcMar>
              <w:left w:w="57" w:type="dxa"/>
              <w:right w:w="57" w:type="dxa"/>
            </w:tcMar>
            <w:vAlign w:val="center"/>
          </w:tcPr>
          <w:p w14:paraId="3B8A1D7C">
            <w:pPr>
              <w:spacing w:line="500" w:lineRule="exac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自</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月1日</w:t>
            </w:r>
            <w:r>
              <w:rPr>
                <w:rFonts w:hint="eastAsia" w:ascii="宋体" w:hAnsi="宋体" w:cs="宋体"/>
                <w:color w:val="auto"/>
                <w:sz w:val="24"/>
                <w:szCs w:val="24"/>
                <w:highlight w:val="none"/>
                <w:lang w:val="en-US" w:eastAsia="zh-CN"/>
              </w:rPr>
              <w:t>以来拟派项目负责人</w:t>
            </w:r>
            <w:r>
              <w:rPr>
                <w:rFonts w:hint="eastAsia" w:ascii="宋体" w:hAnsi="宋体" w:cs="宋体"/>
                <w:color w:val="auto"/>
                <w:sz w:val="24"/>
                <w:szCs w:val="24"/>
                <w:highlight w:val="none"/>
                <w:lang w:eastAsia="zh-CN"/>
              </w:rPr>
              <w:t>承担过</w:t>
            </w:r>
            <w:r>
              <w:rPr>
                <w:rFonts w:hint="eastAsia" w:ascii="宋体" w:hAnsi="宋体" w:cs="宋体"/>
                <w:color w:val="auto"/>
                <w:sz w:val="24"/>
                <w:szCs w:val="24"/>
                <w:highlight w:val="none"/>
              </w:rPr>
              <w:t>类似</w:t>
            </w:r>
            <w:r>
              <w:rPr>
                <w:rFonts w:hint="eastAsia" w:ascii="宋体" w:hAnsi="宋体" w:cs="宋体"/>
                <w:color w:val="auto"/>
                <w:sz w:val="24"/>
                <w:szCs w:val="24"/>
                <w:highlight w:val="none"/>
                <w:lang w:eastAsia="zh-CN"/>
              </w:rPr>
              <w:t>设计项目</w:t>
            </w: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，每</w:t>
            </w:r>
            <w:r>
              <w:rPr>
                <w:rFonts w:hint="eastAsia" w:ascii="宋体" w:hAnsi="宋体" w:cs="宋体"/>
                <w:color w:val="auto"/>
                <w:sz w:val="24"/>
                <w:szCs w:val="24"/>
                <w:highlight w:val="none"/>
                <w:lang w:eastAsia="zh-CN"/>
              </w:rPr>
              <w:t>提供一份业绩</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分，最多得</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r>
              <w:rPr>
                <w:rFonts w:hint="eastAsia" w:ascii="宋体" w:hAnsi="宋体" w:cs="宋体"/>
                <w:b/>
                <w:bCs/>
                <w:color w:val="auto"/>
                <w:sz w:val="24"/>
                <w:szCs w:val="24"/>
                <w:highlight w:val="none"/>
              </w:rPr>
              <w:t>（以合同签订时间为准，提供合同</w:t>
            </w:r>
            <w:r>
              <w:rPr>
                <w:rFonts w:hint="eastAsia" w:ascii="宋体" w:hAnsi="宋体" w:cs="宋体"/>
                <w:b/>
                <w:bCs/>
                <w:color w:val="auto"/>
                <w:sz w:val="24"/>
                <w:szCs w:val="24"/>
                <w:highlight w:val="none"/>
                <w:lang w:val="en-US" w:eastAsia="zh-CN"/>
              </w:rPr>
              <w:t>协议书的</w:t>
            </w:r>
            <w:r>
              <w:rPr>
                <w:rFonts w:hint="eastAsia" w:ascii="宋体" w:hAnsi="宋体" w:cs="宋体"/>
                <w:b/>
                <w:bCs/>
                <w:color w:val="auto"/>
                <w:sz w:val="24"/>
                <w:szCs w:val="24"/>
                <w:highlight w:val="none"/>
              </w:rPr>
              <w:t>原件扫描件</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未提供合同不得分。</w:t>
            </w:r>
            <w:r>
              <w:rPr>
                <w:rFonts w:hint="eastAsia" w:ascii="宋体" w:hAnsi="宋体" w:cs="宋体"/>
                <w:b/>
                <w:bCs/>
                <w:color w:val="auto"/>
                <w:sz w:val="24"/>
                <w:szCs w:val="24"/>
                <w:highlight w:val="none"/>
                <w:lang w:eastAsia="zh-CN"/>
              </w:rPr>
              <w:t>）</w:t>
            </w:r>
          </w:p>
        </w:tc>
      </w:tr>
      <w:tr w14:paraId="534E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35" w:type="dxa"/>
            <w:vMerge w:val="continue"/>
            <w:tcMar>
              <w:left w:w="57" w:type="dxa"/>
              <w:right w:w="57" w:type="dxa"/>
            </w:tcMar>
            <w:vAlign w:val="center"/>
          </w:tcPr>
          <w:p w14:paraId="54791024">
            <w:pPr>
              <w:pStyle w:val="17"/>
              <w:pageBreakBefore w:val="0"/>
              <w:kinsoku/>
              <w:overflowPunct/>
              <w:topLinePunct w:val="0"/>
              <w:bidi w:val="0"/>
              <w:spacing w:before="0" w:beforeAutospacing="0" w:after="0" w:afterAutospacing="0" w:line="360" w:lineRule="auto"/>
              <w:jc w:val="center"/>
              <w:outlineLvl w:val="9"/>
              <w:rPr>
                <w:rFonts w:hint="default"/>
                <w:color w:val="auto"/>
                <w:highlight w:val="none"/>
              </w:rPr>
            </w:pPr>
          </w:p>
        </w:tc>
        <w:tc>
          <w:tcPr>
            <w:tcW w:w="1005" w:type="dxa"/>
            <w:vMerge w:val="continue"/>
            <w:tcMar>
              <w:left w:w="57" w:type="dxa"/>
              <w:right w:w="57" w:type="dxa"/>
            </w:tcMar>
            <w:vAlign w:val="center"/>
          </w:tcPr>
          <w:p w14:paraId="1C06E411">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586" w:type="dxa"/>
            <w:gridSpan w:val="2"/>
            <w:tcMar>
              <w:left w:w="57" w:type="dxa"/>
              <w:right w:w="57" w:type="dxa"/>
            </w:tcMar>
            <w:vAlign w:val="center"/>
          </w:tcPr>
          <w:p w14:paraId="326D579A">
            <w:pPr>
              <w:spacing w:line="500" w:lineRule="exact"/>
              <w:jc w:val="center"/>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人员配备</w:t>
            </w:r>
          </w:p>
          <w:p w14:paraId="10C3EC6A">
            <w:pPr>
              <w:spacing w:line="500" w:lineRule="exact"/>
              <w:jc w:val="center"/>
              <w:rPr>
                <w:rFonts w:hint="eastAsia" w:ascii="宋体" w:hAnsi="宋体" w:cs="宋体"/>
                <w:color w:val="auto"/>
                <w:sz w:val="24"/>
                <w:szCs w:val="24"/>
                <w:highlight w:val="none"/>
              </w:rPr>
            </w:pP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lang w:val="en-US" w:eastAsia="zh-CN"/>
              </w:rPr>
              <w:t>3</w:t>
            </w:r>
            <w:r>
              <w:rPr>
                <w:rFonts w:hint="eastAsia" w:ascii="宋体" w:hAnsi="宋体" w:eastAsia="宋体"/>
                <w:bCs/>
                <w:color w:val="auto"/>
                <w:sz w:val="24"/>
                <w:szCs w:val="24"/>
                <w:highlight w:val="none"/>
              </w:rPr>
              <w:t>分）</w:t>
            </w:r>
          </w:p>
        </w:tc>
        <w:tc>
          <w:tcPr>
            <w:tcW w:w="4864" w:type="dxa"/>
            <w:tcMar>
              <w:left w:w="57" w:type="dxa"/>
              <w:right w:w="57" w:type="dxa"/>
            </w:tcMar>
            <w:vAlign w:val="center"/>
          </w:tcPr>
          <w:p w14:paraId="0AA44F3B">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除项目负责人外针对本项目配置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相关专业</w:t>
            </w:r>
            <w:r>
              <w:rPr>
                <w:rFonts w:hint="eastAsia" w:ascii="宋体" w:hAnsi="宋体" w:cs="宋体"/>
                <w:color w:val="auto"/>
                <w:sz w:val="24"/>
                <w:szCs w:val="24"/>
                <w:highlight w:val="none"/>
                <w:lang w:eastAsia="zh-CN"/>
              </w:rPr>
              <w:t>）高级（</w:t>
            </w:r>
            <w:r>
              <w:rPr>
                <w:rFonts w:hint="eastAsia" w:ascii="宋体" w:hAnsi="宋体" w:cs="宋体"/>
                <w:color w:val="auto"/>
                <w:sz w:val="24"/>
                <w:szCs w:val="24"/>
                <w:highlight w:val="none"/>
              </w:rPr>
              <w:t>含</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以上工程师的，每提供1名得1分，最多得3分。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需提供人员相关证书、身份证及社保证明并加盖公章。</w:t>
            </w:r>
            <w:r>
              <w:rPr>
                <w:rFonts w:hint="eastAsia" w:ascii="宋体" w:hAnsi="宋体" w:cs="宋体"/>
                <w:color w:val="auto"/>
                <w:sz w:val="24"/>
                <w:szCs w:val="24"/>
                <w:highlight w:val="none"/>
                <w:lang w:eastAsia="zh-CN"/>
              </w:rPr>
              <w:t>）</w:t>
            </w:r>
          </w:p>
        </w:tc>
      </w:tr>
      <w:tr w14:paraId="3234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35" w:type="dxa"/>
            <w:vMerge w:val="continue"/>
            <w:tcMar>
              <w:left w:w="57" w:type="dxa"/>
              <w:right w:w="57" w:type="dxa"/>
            </w:tcMar>
            <w:vAlign w:val="center"/>
          </w:tcPr>
          <w:p w14:paraId="2A81F8D2">
            <w:pPr>
              <w:pStyle w:val="17"/>
              <w:pageBreakBefore w:val="0"/>
              <w:kinsoku/>
              <w:overflowPunct/>
              <w:topLinePunct w:val="0"/>
              <w:bidi w:val="0"/>
              <w:spacing w:before="0" w:beforeAutospacing="0" w:after="0" w:afterAutospacing="0" w:line="360" w:lineRule="auto"/>
              <w:jc w:val="center"/>
              <w:outlineLvl w:val="9"/>
              <w:rPr>
                <w:rFonts w:hint="default"/>
                <w:color w:val="auto"/>
                <w:highlight w:val="none"/>
              </w:rPr>
            </w:pPr>
          </w:p>
        </w:tc>
        <w:tc>
          <w:tcPr>
            <w:tcW w:w="1005" w:type="dxa"/>
            <w:vMerge w:val="continue"/>
            <w:tcMar>
              <w:left w:w="57" w:type="dxa"/>
              <w:right w:w="57" w:type="dxa"/>
            </w:tcMar>
            <w:vAlign w:val="center"/>
          </w:tcPr>
          <w:p w14:paraId="5BB348B3">
            <w:pPr>
              <w:pageBreakBefore w:val="0"/>
              <w:kinsoku/>
              <w:overflowPunct/>
              <w:topLinePunct w:val="0"/>
              <w:bidi w:val="0"/>
              <w:spacing w:line="360" w:lineRule="auto"/>
              <w:jc w:val="center"/>
              <w:outlineLvl w:val="9"/>
              <w:rPr>
                <w:rFonts w:ascii="宋体" w:hAnsi="宋体" w:cs="宋体"/>
                <w:color w:val="auto"/>
                <w:sz w:val="24"/>
                <w:szCs w:val="24"/>
                <w:highlight w:val="none"/>
              </w:rPr>
            </w:pPr>
          </w:p>
        </w:tc>
        <w:tc>
          <w:tcPr>
            <w:tcW w:w="1586" w:type="dxa"/>
            <w:gridSpan w:val="2"/>
            <w:tcMar>
              <w:left w:w="57" w:type="dxa"/>
              <w:right w:w="57" w:type="dxa"/>
            </w:tcMar>
            <w:vAlign w:val="center"/>
          </w:tcPr>
          <w:p w14:paraId="7A6DDC14">
            <w:pPr>
              <w:spacing w:line="500" w:lineRule="exact"/>
              <w:jc w:val="center"/>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服务承诺</w:t>
            </w:r>
          </w:p>
          <w:p w14:paraId="01826509">
            <w:pPr>
              <w:spacing w:line="500" w:lineRule="exact"/>
              <w:jc w:val="center"/>
              <w:rPr>
                <w:rFonts w:hint="eastAsia"/>
                <w:color w:val="auto"/>
                <w:highlight w:val="none"/>
                <w:lang w:val="en-US" w:eastAsia="zh-CN"/>
              </w:rPr>
            </w:pP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lang w:val="en-US" w:eastAsia="zh-CN"/>
              </w:rPr>
              <w:t>7</w:t>
            </w:r>
            <w:r>
              <w:rPr>
                <w:rFonts w:hint="eastAsia" w:ascii="宋体" w:hAnsi="宋体" w:eastAsia="宋体"/>
                <w:bCs/>
                <w:color w:val="auto"/>
                <w:sz w:val="24"/>
                <w:szCs w:val="24"/>
                <w:highlight w:val="none"/>
              </w:rPr>
              <w:t>分）</w:t>
            </w:r>
          </w:p>
        </w:tc>
        <w:tc>
          <w:tcPr>
            <w:tcW w:w="4864" w:type="dxa"/>
            <w:tcMar>
              <w:left w:w="57" w:type="dxa"/>
              <w:right w:w="57" w:type="dxa"/>
            </w:tcMar>
            <w:vAlign w:val="center"/>
          </w:tcPr>
          <w:p w14:paraId="61121A7F">
            <w:pPr>
              <w:spacing w:line="500" w:lineRule="exact"/>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1.承诺服从采购人的工作计划安排，并积极配合工作，承诺详细、合理得3分，一般详细得2分；</w:t>
            </w:r>
          </w:p>
          <w:p w14:paraId="086DD0C8">
            <w:pPr>
              <w:spacing w:line="500" w:lineRule="exact"/>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2.对后续服务列出具体措施，评委根据其后续服务方案的完善及合理性进行评分，方案完善、合理得2分，方案基本完善，合理性有待优化得1分。</w:t>
            </w:r>
          </w:p>
          <w:p w14:paraId="306EF502">
            <w:pPr>
              <w:spacing w:line="500" w:lineRule="exact"/>
              <w:rPr>
                <w:rFonts w:hint="eastAsia" w:ascii="宋体" w:hAnsi="宋体" w:cs="宋体"/>
                <w:color w:val="auto"/>
                <w:sz w:val="24"/>
                <w:szCs w:val="24"/>
                <w:highlight w:val="none"/>
              </w:rPr>
            </w:pPr>
            <w:r>
              <w:rPr>
                <w:rFonts w:hint="eastAsia" w:ascii="宋体" w:hAnsi="宋体" w:eastAsia="宋体"/>
                <w:bCs/>
                <w:color w:val="auto"/>
                <w:sz w:val="24"/>
                <w:szCs w:val="24"/>
                <w:highlight w:val="none"/>
              </w:rPr>
              <w:t>3.承诺在项目后期招标及施工时，将及时安排人员进行服务和技术支持，承诺详细、合理得2分，一般详细得1分。</w:t>
            </w:r>
          </w:p>
        </w:tc>
      </w:tr>
    </w:tbl>
    <w:p w14:paraId="7455FD5D">
      <w:pPr>
        <w:pageBreakBefore w:val="0"/>
        <w:kinsoku/>
        <w:overflowPunct/>
        <w:topLinePunct w:val="0"/>
        <w:bidi w:val="0"/>
        <w:spacing w:line="4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bookmarkEnd w:id="263"/>
      <w:r>
        <w:rPr>
          <w:rFonts w:hint="eastAsia" w:ascii="宋体" w:hAnsi="宋体" w:eastAsia="宋体" w:cs="宋体"/>
          <w:b/>
          <w:color w:val="auto"/>
          <w:sz w:val="24"/>
          <w:szCs w:val="24"/>
          <w:highlight w:val="none"/>
        </w:rPr>
        <w:t>评标方法</w:t>
      </w:r>
    </w:p>
    <w:p w14:paraId="1C594CB4">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法。磋商小组对满足磋商文件实质性要求的响应性文件，按照本章规定的评分标准进行打分。</w:t>
      </w:r>
    </w:p>
    <w:p w14:paraId="7F2DF78E">
      <w:pPr>
        <w:pageBreakBefore w:val="0"/>
        <w:kinsoku/>
        <w:overflowPunct/>
        <w:topLinePunct w:val="0"/>
        <w:bidi w:val="0"/>
        <w:spacing w:line="360" w:lineRule="auto"/>
        <w:ind w:firstLine="482" w:firstLineChars="200"/>
        <w:outlineLvl w:val="9"/>
        <w:rPr>
          <w:rFonts w:hint="eastAsia" w:ascii="宋体" w:hAnsi="宋体" w:eastAsia="宋体" w:cs="宋体"/>
          <w:b/>
          <w:color w:val="auto"/>
          <w:sz w:val="24"/>
          <w:szCs w:val="24"/>
          <w:highlight w:val="none"/>
        </w:rPr>
      </w:pPr>
      <w:bookmarkStart w:id="264" w:name="_Toc152045601"/>
      <w:bookmarkEnd w:id="264"/>
      <w:bookmarkStart w:id="265" w:name="_Toc179632619"/>
      <w:bookmarkEnd w:id="265"/>
      <w:bookmarkStart w:id="266" w:name="_Toc152042378"/>
      <w:bookmarkEnd w:id="266"/>
      <w:bookmarkStart w:id="267" w:name="_Toc7518075"/>
      <w:bookmarkEnd w:id="267"/>
      <w:bookmarkStart w:id="268" w:name="_Toc247085759"/>
      <w:bookmarkEnd w:id="268"/>
      <w:bookmarkStart w:id="269" w:name="_Toc4725"/>
      <w:bookmarkEnd w:id="269"/>
      <w:bookmarkStart w:id="270" w:name="_Toc358707207"/>
      <w:bookmarkEnd w:id="270"/>
      <w:bookmarkStart w:id="271" w:name="_Toc144974568"/>
      <w:bookmarkEnd w:id="271"/>
      <w:bookmarkStart w:id="272" w:name="_Toc246996244"/>
      <w:bookmarkEnd w:id="272"/>
      <w:bookmarkStart w:id="273" w:name="_Toc246996987"/>
      <w:r>
        <w:rPr>
          <w:rFonts w:hint="eastAsia" w:ascii="宋体" w:hAnsi="宋体" w:eastAsia="宋体" w:cs="宋体"/>
          <w:b/>
          <w:color w:val="auto"/>
          <w:sz w:val="24"/>
          <w:szCs w:val="24"/>
          <w:highlight w:val="none"/>
        </w:rPr>
        <w:t>2.</w:t>
      </w:r>
      <w:bookmarkEnd w:id="273"/>
      <w:r>
        <w:rPr>
          <w:rFonts w:hint="eastAsia" w:ascii="宋体" w:hAnsi="宋体" w:eastAsia="宋体" w:cs="宋体"/>
          <w:b/>
          <w:color w:val="auto"/>
          <w:sz w:val="24"/>
          <w:szCs w:val="24"/>
          <w:highlight w:val="none"/>
        </w:rPr>
        <w:t>评审标准</w:t>
      </w:r>
    </w:p>
    <w:p w14:paraId="17D2F952">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bookmarkStart w:id="274" w:name="_Toc246996988"/>
      <w:bookmarkEnd w:id="274"/>
      <w:bookmarkStart w:id="275" w:name="_Toc246996245"/>
      <w:bookmarkEnd w:id="275"/>
      <w:bookmarkStart w:id="276" w:name="_Toc152045602"/>
      <w:bookmarkEnd w:id="276"/>
      <w:bookmarkStart w:id="277" w:name="_Toc179632620"/>
      <w:bookmarkEnd w:id="277"/>
      <w:bookmarkStart w:id="278" w:name="_Toc247085760"/>
      <w:bookmarkEnd w:id="278"/>
      <w:bookmarkStart w:id="279" w:name="_Toc152042379"/>
      <w:bookmarkEnd w:id="279"/>
      <w:bookmarkStart w:id="280" w:name="_Toc144974569"/>
      <w:bookmarkEnd w:id="280"/>
      <w:bookmarkStart w:id="281" w:name="_Toc358707208"/>
      <w:r>
        <w:rPr>
          <w:rFonts w:hint="eastAsia" w:ascii="宋体" w:hAnsi="宋体" w:eastAsia="宋体" w:cs="宋体"/>
          <w:color w:val="auto"/>
          <w:sz w:val="24"/>
          <w:szCs w:val="24"/>
          <w:highlight w:val="none"/>
        </w:rPr>
        <w:t xml:space="preserve">2.1 </w:t>
      </w:r>
      <w:bookmarkEnd w:id="281"/>
      <w:r>
        <w:rPr>
          <w:rFonts w:hint="eastAsia" w:ascii="宋体" w:hAnsi="宋体" w:eastAsia="宋体" w:cs="宋体"/>
          <w:color w:val="auto"/>
          <w:sz w:val="24"/>
          <w:szCs w:val="24"/>
          <w:highlight w:val="none"/>
        </w:rPr>
        <w:t>初步评审标准</w:t>
      </w:r>
    </w:p>
    <w:p w14:paraId="6A11D1EF">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r>
        <w:rPr>
          <w:rFonts w:hint="eastAsia" w:ascii="宋体" w:hAnsi="宋体" w:eastAsia="宋体" w:cs="宋体"/>
          <w:color w:val="auto"/>
          <w:sz w:val="24"/>
          <w:szCs w:val="24"/>
          <w:highlight w:val="none"/>
          <w:lang w:eastAsia="zh-CN"/>
        </w:rPr>
        <w:t>形式</w:t>
      </w:r>
      <w:r>
        <w:rPr>
          <w:rFonts w:hint="eastAsia" w:ascii="宋体" w:hAnsi="宋体" w:eastAsia="宋体" w:cs="宋体"/>
          <w:color w:val="auto"/>
          <w:sz w:val="24"/>
          <w:szCs w:val="24"/>
          <w:highlight w:val="none"/>
        </w:rPr>
        <w:t>评审标准：见评标办法前附表。</w:t>
      </w:r>
    </w:p>
    <w:p w14:paraId="2AC3E67D">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资格评审标准：见评标办法前附表。</w:t>
      </w:r>
    </w:p>
    <w:p w14:paraId="5E0CB35C">
      <w:pPr>
        <w:pageBreakBefore w:val="0"/>
        <w:kinsoku/>
        <w:overflowPunct/>
        <w:topLinePunct w:val="0"/>
        <w:bidi w:val="0"/>
        <w:spacing w:line="360" w:lineRule="auto"/>
        <w:ind w:firstLine="476" w:firstLineChars="200"/>
        <w:outlineLvl w:val="9"/>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2.1.3 响应评审标准：见评标办法前附表。</w:t>
      </w:r>
    </w:p>
    <w:p w14:paraId="532C1B99">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bookmarkStart w:id="282" w:name="_Toc246996989"/>
      <w:bookmarkEnd w:id="282"/>
      <w:bookmarkStart w:id="283" w:name="_Toc247085761"/>
      <w:bookmarkEnd w:id="283"/>
      <w:bookmarkStart w:id="284" w:name="_Toc179632621"/>
      <w:bookmarkEnd w:id="284"/>
      <w:bookmarkStart w:id="285" w:name="_Toc152045603"/>
      <w:bookmarkEnd w:id="285"/>
      <w:bookmarkStart w:id="286" w:name="_Toc246996246"/>
      <w:bookmarkEnd w:id="286"/>
      <w:bookmarkStart w:id="287" w:name="_Toc358707209"/>
      <w:bookmarkEnd w:id="287"/>
      <w:bookmarkStart w:id="288" w:name="_Toc152042380"/>
      <w:bookmarkEnd w:id="288"/>
      <w:bookmarkStart w:id="289" w:name="_Toc144974570"/>
      <w:r>
        <w:rPr>
          <w:rFonts w:hint="eastAsia" w:ascii="宋体" w:hAnsi="宋体" w:eastAsia="宋体" w:cs="宋体"/>
          <w:color w:val="auto"/>
          <w:sz w:val="24"/>
          <w:szCs w:val="24"/>
          <w:highlight w:val="none"/>
        </w:rPr>
        <w:t xml:space="preserve">2.2 </w:t>
      </w:r>
      <w:bookmarkEnd w:id="289"/>
      <w:r>
        <w:rPr>
          <w:rFonts w:hint="eastAsia" w:ascii="宋体" w:hAnsi="宋体" w:eastAsia="宋体" w:cs="宋体"/>
          <w:color w:val="auto"/>
          <w:sz w:val="24"/>
          <w:szCs w:val="24"/>
          <w:highlight w:val="none"/>
        </w:rPr>
        <w:t>评分标准</w:t>
      </w:r>
    </w:p>
    <w:p w14:paraId="055CB108">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r>
        <w:rPr>
          <w:rFonts w:hint="eastAsia" w:ascii="宋体" w:hAnsi="宋体" w:eastAsia="宋体" w:cs="宋体"/>
          <w:color w:val="auto"/>
          <w:sz w:val="24"/>
          <w:szCs w:val="24"/>
          <w:highlight w:val="none"/>
          <w:lang w:val="en-US" w:eastAsia="zh-CN"/>
        </w:rPr>
        <w:t>磋商报价</w:t>
      </w:r>
      <w:r>
        <w:rPr>
          <w:rFonts w:hint="eastAsia" w:ascii="宋体" w:hAnsi="宋体" w:eastAsia="宋体" w:cs="宋体"/>
          <w:color w:val="auto"/>
          <w:sz w:val="24"/>
          <w:szCs w:val="24"/>
          <w:highlight w:val="none"/>
        </w:rPr>
        <w:t>评分标准：见评标办法前附表；</w:t>
      </w:r>
    </w:p>
    <w:p w14:paraId="651C005E">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2.2.2技术</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评分标准：见评标办法前附表；</w:t>
      </w:r>
    </w:p>
    <w:p w14:paraId="495F137E">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val="en-US" w:eastAsia="zh-CN"/>
        </w:rPr>
        <w:t>综合标</w:t>
      </w:r>
      <w:r>
        <w:rPr>
          <w:rFonts w:hint="eastAsia" w:ascii="宋体" w:hAnsi="宋体" w:eastAsia="宋体" w:cs="宋体"/>
          <w:color w:val="auto"/>
          <w:sz w:val="24"/>
          <w:szCs w:val="24"/>
          <w:highlight w:val="none"/>
        </w:rPr>
        <w:t>评分标准：见评标办法前附表。</w:t>
      </w:r>
    </w:p>
    <w:p w14:paraId="6F6ABCC2">
      <w:pPr>
        <w:pageBreakBefore w:val="0"/>
        <w:kinsoku/>
        <w:overflowPunct/>
        <w:topLinePunct w:val="0"/>
        <w:bidi w:val="0"/>
        <w:spacing w:line="360" w:lineRule="auto"/>
        <w:ind w:firstLine="482" w:firstLineChars="200"/>
        <w:outlineLvl w:val="9"/>
        <w:rPr>
          <w:rFonts w:hint="eastAsia" w:ascii="宋体" w:hAnsi="宋体" w:eastAsia="宋体" w:cs="宋体"/>
          <w:b/>
          <w:color w:val="auto"/>
          <w:sz w:val="24"/>
          <w:szCs w:val="24"/>
          <w:highlight w:val="none"/>
        </w:rPr>
      </w:pPr>
      <w:bookmarkStart w:id="290" w:name="_Toc247085762"/>
      <w:bookmarkEnd w:id="290"/>
      <w:bookmarkStart w:id="291" w:name="_Toc7518076"/>
      <w:bookmarkEnd w:id="291"/>
      <w:bookmarkStart w:id="292" w:name="_Toc179632622"/>
      <w:bookmarkEnd w:id="292"/>
      <w:bookmarkStart w:id="293" w:name="_Toc358707210"/>
      <w:bookmarkEnd w:id="293"/>
      <w:bookmarkStart w:id="294" w:name="_Toc4463"/>
      <w:bookmarkEnd w:id="294"/>
      <w:bookmarkStart w:id="295" w:name="_Toc246996247"/>
      <w:bookmarkEnd w:id="295"/>
      <w:bookmarkStart w:id="296" w:name="_Toc144974571"/>
      <w:bookmarkEnd w:id="296"/>
      <w:bookmarkStart w:id="297" w:name="_Toc246996990"/>
      <w:bookmarkEnd w:id="297"/>
      <w:bookmarkStart w:id="298" w:name="_Toc152045604"/>
      <w:bookmarkEnd w:id="298"/>
      <w:bookmarkStart w:id="299" w:name="_Toc152042381"/>
      <w:r>
        <w:rPr>
          <w:rFonts w:hint="eastAsia" w:ascii="宋体" w:hAnsi="宋体" w:eastAsia="宋体" w:cs="宋体"/>
          <w:b/>
          <w:color w:val="auto"/>
          <w:sz w:val="24"/>
          <w:szCs w:val="24"/>
          <w:highlight w:val="none"/>
        </w:rPr>
        <w:t>3.</w:t>
      </w:r>
      <w:bookmarkEnd w:id="299"/>
      <w:r>
        <w:rPr>
          <w:rFonts w:hint="eastAsia" w:ascii="宋体" w:hAnsi="宋体" w:eastAsia="宋体" w:cs="宋体"/>
          <w:b/>
          <w:color w:val="auto"/>
          <w:sz w:val="24"/>
          <w:szCs w:val="24"/>
          <w:highlight w:val="none"/>
        </w:rPr>
        <w:t>评标程序</w:t>
      </w:r>
    </w:p>
    <w:p w14:paraId="3692D12F">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3.1.1 </w:t>
      </w:r>
      <w:r>
        <w:rPr>
          <w:rFonts w:hint="eastAsia" w:ascii="宋体" w:hAnsi="宋体" w:eastAsia="宋体" w:cs="宋体"/>
          <w:color w:val="auto"/>
          <w:spacing w:val="6"/>
          <w:sz w:val="24"/>
          <w:szCs w:val="24"/>
          <w:highlight w:val="none"/>
          <w:lang w:eastAsia="zh-CN"/>
        </w:rPr>
        <w:t>磋商小组</w:t>
      </w:r>
      <w:r>
        <w:rPr>
          <w:rFonts w:hint="eastAsia" w:ascii="宋体" w:hAnsi="宋体" w:eastAsia="宋体" w:cs="宋体"/>
          <w:color w:val="auto"/>
          <w:sz w:val="24"/>
          <w:szCs w:val="24"/>
          <w:highlight w:val="none"/>
        </w:rPr>
        <w:t>依据本章评标办法前附表第2.1.1项、第2.1.2项、第2.1.3项规定的评审标准对投标文件进行初步评审。有一项不符合评审标准的，其投标将被否决。</w:t>
      </w:r>
    </w:p>
    <w:p w14:paraId="1B2C599C">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有以下情形之一的，其投标作无效标处理：</w:t>
      </w:r>
    </w:p>
    <w:p w14:paraId="5E9C27E1">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40A39719">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（2）不按磋商小组要求澄清、说明或补正的。</w:t>
      </w:r>
    </w:p>
    <w:p w14:paraId="45B937A3">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3.3投标报价有算术错误的，磋商小组按以下原则对投标报价进行修正，修正的价格经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不接受修正价格的，其投标被否决。</w:t>
      </w:r>
    </w:p>
    <w:p w14:paraId="0A47ACF4">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bookmarkStart w:id="300" w:name="_Toc152042383"/>
      <w:bookmarkEnd w:id="300"/>
      <w:r>
        <w:rPr>
          <w:rFonts w:hint="eastAsia" w:ascii="宋体" w:hAnsi="宋体" w:eastAsia="宋体" w:cs="宋体"/>
          <w:color w:val="auto"/>
          <w:sz w:val="24"/>
          <w:szCs w:val="24"/>
          <w:highlight w:val="none"/>
        </w:rPr>
        <w:t>磋商文件中的大写金额与小写金额不一致的，以大写金额为准；</w:t>
      </w:r>
    </w:p>
    <w:p w14:paraId="593D8A21">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bookmarkStart w:id="301" w:name="_Toc246996249"/>
      <w:bookmarkEnd w:id="301"/>
      <w:bookmarkStart w:id="302" w:name="_Toc179632624"/>
      <w:bookmarkEnd w:id="302"/>
      <w:bookmarkStart w:id="303" w:name="_Toc152045606"/>
      <w:bookmarkEnd w:id="303"/>
      <w:bookmarkStart w:id="304" w:name="_Toc246996992"/>
      <w:bookmarkEnd w:id="304"/>
      <w:bookmarkStart w:id="305" w:name="_Toc144974573"/>
      <w:bookmarkEnd w:id="305"/>
      <w:bookmarkStart w:id="306" w:name="_Toc358707212"/>
      <w:bookmarkEnd w:id="306"/>
      <w:bookmarkStart w:id="307" w:name="_Toc247085764"/>
      <w:bookmarkEnd w:id="307"/>
      <w:bookmarkStart w:id="308" w:name="_Toc152042384"/>
      <w:r>
        <w:rPr>
          <w:rFonts w:hint="eastAsia" w:ascii="宋体" w:hAnsi="宋体" w:eastAsia="宋体" w:cs="宋体"/>
          <w:color w:val="auto"/>
          <w:sz w:val="24"/>
          <w:szCs w:val="24"/>
          <w:highlight w:val="none"/>
        </w:rPr>
        <w:t>3.4</w:t>
      </w:r>
      <w:bookmarkEnd w:id="308"/>
      <w:r>
        <w:rPr>
          <w:rFonts w:hint="eastAsia" w:ascii="宋体" w:hAnsi="宋体" w:eastAsia="宋体" w:cs="宋体"/>
          <w:color w:val="auto"/>
          <w:sz w:val="24"/>
          <w:szCs w:val="24"/>
          <w:highlight w:val="none"/>
        </w:rPr>
        <w:t>详细评审</w:t>
      </w:r>
    </w:p>
    <w:p w14:paraId="26DD0210">
      <w:pPr>
        <w:pageBreakBefore w:val="0"/>
        <w:kinsoku/>
        <w:overflowPunct/>
        <w:topLinePunct w:val="0"/>
        <w:bidi w:val="0"/>
        <w:spacing w:line="440" w:lineRule="exact"/>
        <w:ind w:firstLine="480" w:firstLineChars="200"/>
        <w:outlineLvl w:val="9"/>
        <w:rPr>
          <w:rFonts w:hint="eastAsia" w:ascii="宋体" w:hAnsi="宋体" w:eastAsia="宋体" w:cs="宋体"/>
          <w:color w:val="auto"/>
          <w:sz w:val="24"/>
          <w:szCs w:val="24"/>
          <w:highlight w:val="none"/>
        </w:rPr>
      </w:pPr>
      <w:bookmarkStart w:id="309" w:name="_Toc246996250"/>
      <w:bookmarkEnd w:id="309"/>
      <w:bookmarkStart w:id="310" w:name="_Toc247085765"/>
      <w:bookmarkEnd w:id="310"/>
      <w:bookmarkStart w:id="311" w:name="_Toc152045607"/>
      <w:bookmarkEnd w:id="311"/>
      <w:bookmarkStart w:id="312" w:name="_Toc246996993"/>
      <w:bookmarkEnd w:id="312"/>
      <w:bookmarkStart w:id="313" w:name="_Toc358707213"/>
      <w:bookmarkEnd w:id="313"/>
      <w:bookmarkStart w:id="314" w:name="_Toc144974575"/>
      <w:bookmarkEnd w:id="314"/>
      <w:bookmarkStart w:id="315" w:name="_Toc179632625"/>
      <w:bookmarkEnd w:id="315"/>
      <w:bookmarkStart w:id="316" w:name="_Toc152042385"/>
      <w:r>
        <w:rPr>
          <w:rFonts w:hint="eastAsia" w:ascii="宋体" w:hAnsi="宋体" w:eastAsia="宋体" w:cs="宋体"/>
          <w:color w:val="auto"/>
          <w:sz w:val="24"/>
          <w:szCs w:val="24"/>
          <w:highlight w:val="none"/>
        </w:rPr>
        <w:t>3.4.1 磋商小组按本章第2.2款规定的量化因素和分值进行打分，并计算出综合评估得分。</w:t>
      </w:r>
      <w:bookmarkEnd w:id="316"/>
    </w:p>
    <w:p w14:paraId="7013DC0C">
      <w:pPr>
        <w:pageBreakBefore w:val="0"/>
        <w:kinsoku/>
        <w:overflowPunct/>
        <w:topLinePunct w:val="0"/>
        <w:bidi w:val="0"/>
        <w:spacing w:line="440" w:lineRule="exact"/>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（1）按本章第2.2.2（1）规定的评审因素和分值对磋商报价计算出得分；</w:t>
      </w:r>
    </w:p>
    <w:p w14:paraId="2583E08A">
      <w:pPr>
        <w:pageBreakBefore w:val="0"/>
        <w:kinsoku/>
        <w:overflowPunct/>
        <w:topLinePunct w:val="0"/>
        <w:bidi w:val="0"/>
        <w:spacing w:line="440" w:lineRule="exact"/>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（2）按本章第2.2.2（2）规定的评审因素和分值对技术部分计算出得分；</w:t>
      </w:r>
    </w:p>
    <w:p w14:paraId="0B541363">
      <w:pPr>
        <w:pageBreakBefore w:val="0"/>
        <w:kinsoku/>
        <w:overflowPunct/>
        <w:topLinePunct w:val="0"/>
        <w:bidi w:val="0"/>
        <w:spacing w:line="440" w:lineRule="exact"/>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（3）按本章第2.2.2（3）规定的评审因素和分值对</w:t>
      </w:r>
      <w:r>
        <w:rPr>
          <w:rFonts w:hint="eastAsia" w:ascii="宋体" w:hAnsi="宋体" w:eastAsia="宋体" w:cs="宋体"/>
          <w:color w:val="auto"/>
          <w:sz w:val="24"/>
          <w:szCs w:val="24"/>
          <w:highlight w:val="none"/>
          <w:lang w:eastAsia="zh-CN"/>
        </w:rPr>
        <w:t>综合</w:t>
      </w:r>
      <w:r>
        <w:rPr>
          <w:rFonts w:hint="eastAsia" w:ascii="宋体" w:hAnsi="宋体" w:eastAsia="宋体" w:cs="宋体"/>
          <w:color w:val="auto"/>
          <w:sz w:val="24"/>
          <w:szCs w:val="24"/>
          <w:highlight w:val="none"/>
        </w:rPr>
        <w:t>部分计算出得分；</w:t>
      </w:r>
    </w:p>
    <w:p w14:paraId="548E5456">
      <w:pPr>
        <w:pageBreakBefore w:val="0"/>
        <w:kinsoku/>
        <w:overflowPunct/>
        <w:topLinePunct w:val="0"/>
        <w:bidi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得分=磋商报价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eastAsia="zh-CN"/>
        </w:rPr>
        <w:t>综合</w:t>
      </w:r>
      <w:r>
        <w:rPr>
          <w:rFonts w:hint="eastAsia" w:ascii="宋体" w:hAnsi="宋体" w:eastAsia="宋体" w:cs="宋体"/>
          <w:color w:val="auto"/>
          <w:sz w:val="24"/>
          <w:szCs w:val="24"/>
          <w:highlight w:val="none"/>
        </w:rPr>
        <w:t>部分。</w:t>
      </w:r>
    </w:p>
    <w:p w14:paraId="569E6FAD">
      <w:pPr>
        <w:pageBreakBefore w:val="0"/>
        <w:kinsoku/>
        <w:overflowPunct/>
        <w:topLinePunct w:val="0"/>
        <w:bidi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在磋商小组完成对技术部分、磋商报价和</w:t>
      </w:r>
      <w:r>
        <w:rPr>
          <w:rFonts w:hint="eastAsia" w:ascii="宋体" w:hAnsi="宋体" w:eastAsia="宋体" w:cs="宋体"/>
          <w:color w:val="auto"/>
          <w:sz w:val="24"/>
          <w:szCs w:val="24"/>
          <w:highlight w:val="none"/>
          <w:lang w:eastAsia="zh-CN"/>
        </w:rPr>
        <w:t>综合</w:t>
      </w:r>
      <w:r>
        <w:rPr>
          <w:rFonts w:hint="eastAsia" w:ascii="宋体" w:hAnsi="宋体" w:eastAsia="宋体" w:cs="宋体"/>
          <w:color w:val="auto"/>
          <w:sz w:val="24"/>
          <w:szCs w:val="24"/>
          <w:highlight w:val="none"/>
        </w:rPr>
        <w:t>部分的汇总后取平均值，作为该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的最终得分。</w:t>
      </w:r>
    </w:p>
    <w:p w14:paraId="10223CB3">
      <w:pPr>
        <w:pageBreakBefore w:val="0"/>
        <w:kinsoku/>
        <w:overflowPunct/>
        <w:topLinePunct w:val="0"/>
        <w:bidi w:val="0"/>
        <w:spacing w:line="44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3.4.4磋商小组发现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做出书面说明并提供相应的证明材料。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不能合理说明或者不能提供相应证明材料的，磋商小组应当认定该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以低于成本报价竞标，否决其投标。</w:t>
      </w:r>
    </w:p>
    <w:p w14:paraId="4CDDF50D">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响应性文件的澄清和补正</w:t>
      </w:r>
    </w:p>
    <w:p w14:paraId="226DB0D6">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3.5.1在评标过程中，磋商小组可以书面形式要求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对所提交响应性文件中不明确的内容进行书面澄清或说明，或者对细微偏差进行补正。磋商小组不接受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2874627">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 澄清、说明和补正不得改变响应性文件的实质性内容。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的书面澄清、说明和补正属于响应性文件的组成部分。</w:t>
      </w:r>
    </w:p>
    <w:p w14:paraId="09410E7F">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 磋商小组对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进一步澄清、说明或补正，直至满足磋商小组的要求。</w:t>
      </w:r>
    </w:p>
    <w:p w14:paraId="3F51C8D1">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bookmarkStart w:id="317" w:name="_Toc152045608"/>
      <w:bookmarkEnd w:id="317"/>
      <w:bookmarkStart w:id="318" w:name="_Toc152042386"/>
      <w:bookmarkEnd w:id="318"/>
      <w:bookmarkStart w:id="319" w:name="_Toc246996994"/>
      <w:bookmarkEnd w:id="319"/>
      <w:bookmarkStart w:id="320" w:name="_Toc246996251"/>
      <w:bookmarkEnd w:id="320"/>
      <w:bookmarkStart w:id="321" w:name="_Toc179632626"/>
      <w:bookmarkEnd w:id="321"/>
      <w:bookmarkStart w:id="322" w:name="_Toc7518077"/>
      <w:bookmarkEnd w:id="322"/>
      <w:bookmarkStart w:id="323" w:name="_Toc144974576"/>
      <w:bookmarkEnd w:id="323"/>
      <w:bookmarkStart w:id="324" w:name="_Toc358707214"/>
      <w:bookmarkEnd w:id="324"/>
      <w:bookmarkStart w:id="325" w:name="_Toc247085766"/>
      <w:r>
        <w:rPr>
          <w:rFonts w:hint="eastAsia" w:ascii="宋体" w:hAnsi="宋体" w:eastAsia="宋体" w:cs="宋体"/>
          <w:color w:val="auto"/>
          <w:sz w:val="24"/>
          <w:szCs w:val="24"/>
          <w:highlight w:val="none"/>
        </w:rPr>
        <w:t xml:space="preserve">3.6 </w:t>
      </w:r>
      <w:bookmarkEnd w:id="325"/>
      <w:r>
        <w:rPr>
          <w:rFonts w:hint="eastAsia" w:ascii="宋体" w:hAnsi="宋体" w:eastAsia="宋体" w:cs="宋体"/>
          <w:color w:val="auto"/>
          <w:sz w:val="24"/>
          <w:szCs w:val="24"/>
          <w:highlight w:val="none"/>
        </w:rPr>
        <w:t>评标结果</w:t>
      </w:r>
    </w:p>
    <w:p w14:paraId="21C7DF31">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3.6.1除第二章“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须知”前附表授权直接确定</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人外，磋商小组按照得分由高到低的顺序推荐</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w:t>
      </w:r>
    </w:p>
    <w:p w14:paraId="5275062F">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磋商小组完成评标后，应当向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提交书面评标报告。</w:t>
      </w:r>
    </w:p>
    <w:p w14:paraId="4DB6CBD3">
      <w:pPr>
        <w:pageBreakBefore w:val="0"/>
        <w:kinsoku/>
        <w:overflowPunct/>
        <w:topLinePunct w:val="0"/>
        <w:bidi w:val="0"/>
        <w:outlineLvl w:val="9"/>
        <w:rPr>
          <w:rFonts w:hint="eastAsia" w:ascii="宋体" w:hAnsi="宋体" w:eastAsia="宋体" w:cs="宋体"/>
          <w:color w:val="auto"/>
          <w:szCs w:val="21"/>
          <w:highlight w:val="none"/>
        </w:rPr>
      </w:pPr>
    </w:p>
    <w:p w14:paraId="11B7CDC6">
      <w:pPr>
        <w:pageBreakBefore w:val="0"/>
        <w:kinsoku/>
        <w:overflowPunct/>
        <w:topLinePunct w:val="0"/>
        <w:bidi w:val="0"/>
        <w:outlineLvl w:val="9"/>
        <w:rPr>
          <w:rFonts w:hint="eastAsia" w:ascii="宋体" w:hAnsi="宋体" w:eastAsia="宋体" w:cs="宋体"/>
          <w:b/>
          <w:color w:val="auto"/>
          <w:kern w:val="44"/>
          <w:sz w:val="36"/>
          <w:szCs w:val="36"/>
          <w:highlight w:val="none"/>
        </w:rPr>
      </w:pPr>
      <w:bookmarkStart w:id="326" w:name="_Toc69718834"/>
      <w:bookmarkEnd w:id="326"/>
    </w:p>
    <w:p w14:paraId="5DA613F1">
      <w:pPr>
        <w:pageBreakBefore w:val="0"/>
        <w:widowControl/>
        <w:kinsoku/>
        <w:overflowPunct/>
        <w:topLinePunct w:val="0"/>
        <w:bidi w:val="0"/>
        <w:jc w:val="left"/>
        <w:outlineLvl w:val="9"/>
        <w:rPr>
          <w:rFonts w:hint="eastAsia" w:ascii="宋体" w:hAnsi="宋体" w:eastAsia="宋体" w:cs="宋体"/>
          <w:b/>
          <w:color w:val="auto"/>
          <w:kern w:val="44"/>
          <w:sz w:val="36"/>
          <w:szCs w:val="36"/>
          <w:highlight w:val="none"/>
        </w:rPr>
      </w:pPr>
      <w:bookmarkStart w:id="327" w:name="_Toc13902"/>
      <w:r>
        <w:rPr>
          <w:rFonts w:hint="eastAsia" w:ascii="宋体" w:hAnsi="宋体" w:eastAsia="宋体" w:cs="宋体"/>
          <w:b/>
          <w:color w:val="auto"/>
          <w:kern w:val="44"/>
          <w:sz w:val="36"/>
          <w:szCs w:val="36"/>
          <w:highlight w:val="none"/>
        </w:rPr>
        <w:br w:type="page"/>
      </w:r>
    </w:p>
    <w:bookmarkEnd w:id="327"/>
    <w:p w14:paraId="313A4A84">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0"/>
        <w:rPr>
          <w:rFonts w:hint="eastAsia" w:eastAsiaTheme="minorEastAsia"/>
          <w:b/>
          <w:bCs/>
          <w:color w:val="auto"/>
          <w:sz w:val="36"/>
          <w:szCs w:val="40"/>
          <w:highlight w:val="none"/>
          <w:lang w:val="en-US" w:eastAsia="zh-CN"/>
        </w:rPr>
      </w:pPr>
      <w:bookmarkStart w:id="328" w:name="_Toc69718840"/>
      <w:bookmarkEnd w:id="328"/>
      <w:bookmarkStart w:id="329" w:name="_Toc69718838"/>
      <w:bookmarkEnd w:id="329"/>
      <w:bookmarkStart w:id="330" w:name="_Toc32083"/>
      <w:bookmarkStart w:id="331" w:name="_Toc19897"/>
      <w:bookmarkStart w:id="332" w:name="_Toc17283"/>
      <w:r>
        <w:rPr>
          <w:rFonts w:hint="eastAsia"/>
          <w:b/>
          <w:bCs/>
          <w:color w:val="auto"/>
          <w:sz w:val="36"/>
          <w:szCs w:val="40"/>
          <w:highlight w:val="none"/>
          <w:lang w:val="en-US" w:eastAsia="zh-CN"/>
        </w:rPr>
        <w:t xml:space="preserve">第四章  </w:t>
      </w:r>
      <w:bookmarkEnd w:id="330"/>
      <w:bookmarkStart w:id="333" w:name="_Toc32172"/>
      <w:r>
        <w:rPr>
          <w:rFonts w:hint="eastAsia"/>
          <w:b/>
          <w:bCs/>
          <w:color w:val="auto"/>
          <w:sz w:val="36"/>
          <w:szCs w:val="40"/>
          <w:highlight w:val="none"/>
          <w:lang w:val="en-US" w:eastAsia="zh-CN"/>
        </w:rPr>
        <w:t>设计规范</w:t>
      </w:r>
      <w:bookmarkEnd w:id="331"/>
    </w:p>
    <w:p w14:paraId="775E8508">
      <w:pPr>
        <w:spacing w:line="6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响应人应遵循国家现行规程、规范、技术标准为本项目使用规范的组成部分，成交人应遵循本规范进行项目有关内容的设计编制。如果成交人提出新的规范，其标准应等同于或高于现行标准，成交人建议的新标准如果不是国家有关部门发布的新标准则应取得招标人的同意。</w:t>
      </w:r>
    </w:p>
    <w:p w14:paraId="2F4D26A8">
      <w:pPr>
        <w:spacing w:line="6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2、本项目适用现行国家所颁布的规程、规范和技术标准。</w:t>
      </w:r>
    </w:p>
    <w:p w14:paraId="76E8A33A">
      <w:pPr>
        <w:spacing w:line="6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（1）《建筑给水排水设计规范》（GB50015-2019）</w:t>
      </w:r>
    </w:p>
    <w:p w14:paraId="39D929EB">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（2）《城市工程管线综合规划规范》GB 50289-2016</w:t>
      </w:r>
    </w:p>
    <w:p w14:paraId="252A0D72">
      <w:pPr>
        <w:spacing w:line="6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《室外给水设计标准》GB50013-2018</w:t>
      </w:r>
    </w:p>
    <w:p w14:paraId="270D0E93">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）《室外排水设计标准》GB50014-2021</w:t>
      </w:r>
    </w:p>
    <w:p w14:paraId="79B4D5B3">
      <w:pPr>
        <w:spacing w:line="6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）《城市道路绿化设计标准》CJJ/T75-2023</w:t>
      </w:r>
    </w:p>
    <w:p w14:paraId="0BD152BE">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）建筑与市政工程抗震通用规范GB55002-2021</w:t>
      </w:r>
    </w:p>
    <w:p w14:paraId="0836C6B6">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）《给水排水管道工程施工及验收规范》GB 50268-2008</w:t>
      </w:r>
    </w:p>
    <w:p w14:paraId="37FB21D7">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）《砌体结构工程施工质量验收规范》GB 50203-2011</w:t>
      </w:r>
    </w:p>
    <w:p w14:paraId="0D7B607B">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）《井盖及踏步》06MS201</w:t>
      </w:r>
    </w:p>
    <w:p w14:paraId="6AB0C374">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）三门峡市总体规划</w:t>
      </w:r>
    </w:p>
    <w:p w14:paraId="69D6EF4A">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3、招标人及主管部门要求及其它。</w:t>
      </w:r>
    </w:p>
    <w:p w14:paraId="02159A98">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b/>
          <w:bCs/>
          <w:color w:val="auto"/>
          <w:sz w:val="36"/>
          <w:szCs w:val="40"/>
          <w:highlight w:val="none"/>
          <w:lang w:val="en-US" w:eastAsia="zh-CN"/>
        </w:rPr>
      </w:pPr>
    </w:p>
    <w:p w14:paraId="20A5FE25">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b/>
          <w:bCs/>
          <w:color w:val="auto"/>
          <w:sz w:val="36"/>
          <w:szCs w:val="40"/>
          <w:highlight w:val="none"/>
          <w:lang w:val="en-US" w:eastAsia="zh-CN"/>
        </w:rPr>
      </w:pPr>
    </w:p>
    <w:p w14:paraId="42774B23">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b/>
          <w:bCs/>
          <w:color w:val="auto"/>
          <w:sz w:val="36"/>
          <w:szCs w:val="40"/>
          <w:highlight w:val="none"/>
          <w:lang w:val="en-US" w:eastAsia="zh-CN"/>
        </w:rPr>
      </w:pPr>
    </w:p>
    <w:p w14:paraId="57A70377">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b/>
          <w:bCs/>
          <w:color w:val="auto"/>
          <w:sz w:val="36"/>
          <w:szCs w:val="40"/>
          <w:highlight w:val="none"/>
          <w:lang w:val="en-US" w:eastAsia="zh-CN"/>
        </w:rPr>
      </w:pPr>
    </w:p>
    <w:p w14:paraId="6FA8021C">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b/>
          <w:bCs/>
          <w:color w:val="auto"/>
          <w:sz w:val="36"/>
          <w:szCs w:val="40"/>
          <w:highlight w:val="none"/>
          <w:lang w:val="en-US" w:eastAsia="zh-CN"/>
        </w:rPr>
      </w:pPr>
    </w:p>
    <w:p w14:paraId="63CEC63F">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b/>
          <w:bCs/>
          <w:color w:val="auto"/>
          <w:sz w:val="36"/>
          <w:szCs w:val="40"/>
          <w:highlight w:val="none"/>
          <w:lang w:val="en-US" w:eastAsia="zh-CN"/>
        </w:rPr>
      </w:pPr>
    </w:p>
    <w:p w14:paraId="5AB6B05F">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b/>
          <w:bCs/>
          <w:color w:val="auto"/>
          <w:sz w:val="36"/>
          <w:szCs w:val="40"/>
          <w:highlight w:val="none"/>
          <w:lang w:val="en-US" w:eastAsia="zh-CN"/>
        </w:rPr>
      </w:pPr>
    </w:p>
    <w:p w14:paraId="6B504EB7">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0"/>
        <w:rPr>
          <w:rFonts w:hint="eastAsia"/>
          <w:b/>
          <w:bCs/>
          <w:color w:val="auto"/>
          <w:sz w:val="36"/>
          <w:szCs w:val="40"/>
          <w:highlight w:val="none"/>
          <w:lang w:val="en-US" w:eastAsia="zh-CN"/>
        </w:rPr>
      </w:pPr>
      <w:bookmarkStart w:id="334" w:name="_Toc4546"/>
      <w:r>
        <w:rPr>
          <w:rFonts w:hint="eastAsia"/>
          <w:b/>
          <w:bCs/>
          <w:color w:val="auto"/>
          <w:sz w:val="36"/>
          <w:szCs w:val="40"/>
          <w:highlight w:val="none"/>
          <w:lang w:val="en-US" w:eastAsia="zh-CN"/>
        </w:rPr>
        <w:t>第五章  合同条款</w:t>
      </w:r>
      <w:bookmarkEnd w:id="333"/>
      <w:bookmarkEnd w:id="334"/>
    </w:p>
    <w:p w14:paraId="4A0A0E8C">
      <w:pPr>
        <w:spacing w:line="360" w:lineRule="auto"/>
        <w:jc w:val="center"/>
        <w:rPr>
          <w:rFonts w:hint="eastAsia" w:ascii="宋体" w:hAnsi="宋体" w:eastAsia="宋体" w:cs="宋体"/>
          <w:color w:val="auto"/>
          <w:sz w:val="24"/>
          <w:highlight w:val="none"/>
        </w:rPr>
      </w:pPr>
      <w:bookmarkStart w:id="335" w:name="_Toc375040676"/>
      <w:bookmarkEnd w:id="335"/>
      <w:r>
        <w:rPr>
          <w:rFonts w:hint="eastAsia" w:ascii="宋体" w:hAnsi="宋体" w:eastAsia="宋体" w:cs="宋体"/>
          <w:color w:val="auto"/>
          <w:sz w:val="24"/>
          <w:highlight w:val="none"/>
        </w:rPr>
        <w:t>（本合同格式内容提供参考，具体合同内容以双方签订合同时具体约定）</w:t>
      </w:r>
    </w:p>
    <w:p w14:paraId="6065751F">
      <w:pPr>
        <w:spacing w:line="360" w:lineRule="auto"/>
        <w:jc w:val="center"/>
        <w:rPr>
          <w:rFonts w:hint="eastAsia" w:ascii="宋体" w:hAnsi="宋体" w:eastAsia="宋体" w:cs="宋体"/>
          <w:b/>
          <w:bCs/>
          <w:color w:val="auto"/>
          <w:sz w:val="44"/>
          <w:szCs w:val="44"/>
          <w:highlight w:val="none"/>
        </w:rPr>
      </w:pPr>
    </w:p>
    <w:p w14:paraId="47506235">
      <w:pPr>
        <w:rPr>
          <w:rFonts w:hint="eastAsia" w:ascii="Times New Roman" w:hAnsi="Times New Roman" w:eastAsia="华文中宋"/>
          <w:b/>
          <w:color w:val="auto"/>
          <w:sz w:val="52"/>
          <w:szCs w:val="52"/>
          <w:highlight w:val="none"/>
        </w:rPr>
      </w:pPr>
      <w:bookmarkStart w:id="336" w:name="_Toc3651"/>
      <w:r>
        <w:rPr>
          <w:rFonts w:hint="eastAsia" w:ascii="Times New Roman" w:hAnsi="Times New Roman" w:eastAsia="仿宋_GB2312"/>
          <w:bCs/>
          <w:color w:val="auto"/>
          <w:sz w:val="30"/>
          <w:szCs w:val="30"/>
          <w:highlight w:val="none"/>
        </w:rPr>
        <w:t>GF—</w:t>
      </w:r>
      <w:r>
        <w:rPr>
          <w:rFonts w:hint="eastAsia" w:ascii="Times New Roman" w:hAnsi="Times New Roman" w:eastAsia="仿宋_GB2312"/>
          <w:bCs/>
          <w:color w:val="auto"/>
          <w:sz w:val="30"/>
          <w:szCs w:val="30"/>
          <w:highlight w:val="none"/>
          <w:lang w:val="en-US" w:eastAsia="zh-CN"/>
        </w:rPr>
        <w:t>2015</w:t>
      </w:r>
      <w:r>
        <w:rPr>
          <w:rFonts w:hint="eastAsia" w:ascii="Times New Roman" w:hAnsi="Times New Roman" w:eastAsia="仿宋_GB2312"/>
          <w:bCs/>
          <w:color w:val="auto"/>
          <w:sz w:val="30"/>
          <w:szCs w:val="30"/>
          <w:highlight w:val="none"/>
        </w:rPr>
        <w:t>—</w:t>
      </w:r>
      <w:r>
        <w:rPr>
          <w:rFonts w:hint="eastAsia" w:ascii="Times New Roman" w:hAnsi="Times New Roman" w:eastAsia="仿宋_GB2312"/>
          <w:bCs/>
          <w:color w:val="auto"/>
          <w:sz w:val="30"/>
          <w:szCs w:val="30"/>
          <w:highlight w:val="none"/>
          <w:lang w:val="en-US" w:eastAsia="zh-CN"/>
        </w:rPr>
        <w:t>0210</w:t>
      </w:r>
    </w:p>
    <w:p w14:paraId="594D2E4D">
      <w:pPr>
        <w:ind w:firstLine="5721" w:firstLineChars="1905"/>
        <w:rPr>
          <w:rFonts w:hint="eastAsia" w:ascii="Times New Roman" w:hAnsi="Times New Roman" w:eastAsia="华文中宋"/>
          <w:b/>
          <w:color w:val="auto"/>
          <w:sz w:val="30"/>
          <w:szCs w:val="30"/>
          <w:highlight w:val="none"/>
        </w:rPr>
      </w:pPr>
      <w:r>
        <w:rPr>
          <w:rFonts w:hint="eastAsia" w:ascii="Times New Roman" w:hAnsi="Times New Roman" w:eastAsia="华文中宋"/>
          <w:b/>
          <w:color w:val="auto"/>
          <w:sz w:val="30"/>
          <w:szCs w:val="30"/>
          <w:highlight w:val="none"/>
        </w:rPr>
        <w:t>合同编号：</w:t>
      </w:r>
      <w:r>
        <w:rPr>
          <w:rFonts w:hint="eastAsia" w:ascii="Times New Roman" w:hAnsi="Times New Roman" w:eastAsia="华文中宋"/>
          <w:b/>
          <w:color w:val="auto"/>
          <w:sz w:val="30"/>
          <w:szCs w:val="30"/>
          <w:highlight w:val="none"/>
          <w:u w:val="single"/>
        </w:rPr>
        <w:t xml:space="preserve">          </w:t>
      </w:r>
    </w:p>
    <w:p w14:paraId="41792FCD">
      <w:pPr>
        <w:jc w:val="center"/>
        <w:rPr>
          <w:rFonts w:ascii="Times New Roman" w:hAnsi="Times New Roman" w:eastAsia="华文中宋"/>
          <w:b/>
          <w:color w:val="auto"/>
          <w:sz w:val="30"/>
          <w:szCs w:val="30"/>
          <w:highlight w:val="none"/>
        </w:rPr>
      </w:pPr>
    </w:p>
    <w:p w14:paraId="2A84EDE2">
      <w:pPr>
        <w:jc w:val="center"/>
        <w:rPr>
          <w:rFonts w:ascii="Times New Roman" w:hAnsi="Times New Roman" w:eastAsia="华文中宋"/>
          <w:b/>
          <w:color w:val="auto"/>
          <w:sz w:val="52"/>
          <w:szCs w:val="52"/>
          <w:highlight w:val="none"/>
        </w:rPr>
      </w:pPr>
    </w:p>
    <w:p w14:paraId="66E8D16E">
      <w:pPr>
        <w:jc w:val="center"/>
        <w:rPr>
          <w:rFonts w:hint="eastAsia" w:ascii="Times New Roman" w:hAnsi="Times New Roman" w:eastAsia="华文中宋"/>
          <w:b/>
          <w:color w:val="auto"/>
          <w:sz w:val="60"/>
          <w:szCs w:val="48"/>
          <w:highlight w:val="none"/>
        </w:rPr>
      </w:pPr>
      <w:r>
        <w:rPr>
          <w:rFonts w:ascii="Times New Roman" w:hAnsi="Times New Roman" w:eastAsia="华文中宋"/>
          <w:b/>
          <w:color w:val="auto"/>
          <w:sz w:val="60"/>
          <w:szCs w:val="48"/>
          <w:highlight w:val="none"/>
        </w:rPr>
        <w:t>建设工程</w:t>
      </w:r>
      <w:r>
        <w:rPr>
          <w:rFonts w:hint="eastAsia" w:ascii="Times New Roman" w:hAnsi="Times New Roman" w:eastAsia="华文中宋"/>
          <w:b/>
          <w:color w:val="auto"/>
          <w:sz w:val="60"/>
          <w:szCs w:val="48"/>
          <w:highlight w:val="none"/>
        </w:rPr>
        <w:t>设计</w:t>
      </w:r>
      <w:r>
        <w:rPr>
          <w:rFonts w:ascii="Times New Roman" w:hAnsi="Times New Roman" w:eastAsia="华文中宋"/>
          <w:b/>
          <w:color w:val="auto"/>
          <w:sz w:val="60"/>
          <w:szCs w:val="48"/>
          <w:highlight w:val="none"/>
        </w:rPr>
        <w:t>合同</w:t>
      </w:r>
      <w:r>
        <w:rPr>
          <w:rFonts w:hint="eastAsia" w:ascii="Times New Roman" w:hAnsi="Times New Roman" w:eastAsia="华文中宋"/>
          <w:b/>
          <w:color w:val="auto"/>
          <w:sz w:val="60"/>
          <w:szCs w:val="48"/>
          <w:highlight w:val="none"/>
        </w:rPr>
        <w:t>示范文本</w:t>
      </w:r>
    </w:p>
    <w:p w14:paraId="47396110">
      <w:pPr>
        <w:jc w:val="center"/>
        <w:rPr>
          <w:rFonts w:hint="eastAsia" w:ascii="Times New Roman" w:hAnsi="Times New Roman" w:eastAsia="华文中宋"/>
          <w:b/>
          <w:color w:val="auto"/>
          <w:sz w:val="52"/>
          <w:szCs w:val="52"/>
          <w:highlight w:val="none"/>
        </w:rPr>
      </w:pPr>
      <w:r>
        <w:rPr>
          <w:rFonts w:hint="eastAsia" w:ascii="Times New Roman" w:hAnsi="Times New Roman" w:eastAsia="华文中宋"/>
          <w:b/>
          <w:color w:val="auto"/>
          <w:sz w:val="60"/>
          <w:szCs w:val="48"/>
          <w:highlight w:val="none"/>
        </w:rPr>
        <w:t>（专业建设工程）</w:t>
      </w:r>
    </w:p>
    <w:p w14:paraId="538C62FA">
      <w:pPr>
        <w:jc w:val="center"/>
        <w:rPr>
          <w:rFonts w:ascii="Times New Roman" w:hAnsi="Times New Roman" w:eastAsia="华文中宋"/>
          <w:b/>
          <w:color w:val="auto"/>
          <w:sz w:val="52"/>
          <w:szCs w:val="52"/>
          <w:highlight w:val="none"/>
        </w:rPr>
      </w:pPr>
    </w:p>
    <w:p w14:paraId="219963A5">
      <w:pPr>
        <w:jc w:val="center"/>
        <w:rPr>
          <w:rFonts w:hint="eastAsia" w:ascii="Times New Roman" w:hAnsi="Times New Roman" w:eastAsia="华文中宋"/>
          <w:b/>
          <w:color w:val="auto"/>
          <w:sz w:val="52"/>
          <w:szCs w:val="52"/>
          <w:highlight w:val="none"/>
        </w:rPr>
      </w:pPr>
    </w:p>
    <w:p w14:paraId="0DBCE558">
      <w:pPr>
        <w:rPr>
          <w:rFonts w:ascii="Times New Roman" w:hAnsi="Times New Roman"/>
          <w:b/>
          <w:color w:val="auto"/>
          <w:sz w:val="28"/>
          <w:szCs w:val="28"/>
          <w:highlight w:val="none"/>
        </w:rPr>
      </w:pPr>
    </w:p>
    <w:p w14:paraId="39670F1D">
      <w:pPr>
        <w:rPr>
          <w:rFonts w:ascii="Times New Roman" w:hAnsi="Times New Roman"/>
          <w:b/>
          <w:color w:val="auto"/>
          <w:sz w:val="28"/>
          <w:szCs w:val="28"/>
          <w:highlight w:val="none"/>
        </w:rPr>
      </w:pPr>
    </w:p>
    <w:p w14:paraId="23E8D5EE">
      <w:pPr>
        <w:rPr>
          <w:rFonts w:hint="eastAsia" w:ascii="Times New Roman" w:hAnsi="Times New Roman"/>
          <w:b/>
          <w:color w:val="auto"/>
          <w:sz w:val="28"/>
          <w:szCs w:val="28"/>
          <w:highlight w:val="none"/>
        </w:rPr>
      </w:pPr>
    </w:p>
    <w:p w14:paraId="2EF2BD2A">
      <w:pPr>
        <w:ind w:right="3360" w:rightChars="1600"/>
        <w:jc w:val="distribute"/>
        <w:rPr>
          <w:rFonts w:ascii="Times New Roman" w:hAnsi="Times New Roman"/>
          <w:b/>
          <w:color w:val="auto"/>
          <w:sz w:val="32"/>
          <w:szCs w:val="28"/>
          <w:highlight w:val="none"/>
        </w:rPr>
      </w:pPr>
      <w:r>
        <w:rPr>
          <w:rFonts w:ascii="Times New Roman" w:hAnsi="Times New Roman"/>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3749040</wp:posOffset>
                </wp:positionH>
                <wp:positionV relativeFrom="paragraph">
                  <wp:posOffset>156210</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5DEF76FC">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95.2pt;margin-top:12.3pt;height:36pt;width:57pt;z-index:251659264;mso-width-relative:page;mso-height-relative:page;" filled="f" stroked="t" coordsize="21600,21600" o:gfxdata="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IL0rnZAAAACQEAAA8AAAAAAAAAAQAgAAAAIgAAAGRy&#10;cy9kb3ducmV2LnhtbFBLAQIUABQAAAAIAIdO4kATAOsPBAIAAAwEAAAOAAAAAAAAAAEAIAAAACgB&#10;AABkcnMvZTJvRG9jLnhtbFBLBQYAAAAABgAGAFkBAACeBQAAAAA=&#10;">
                <v:fill on="f" focussize="0,0"/>
                <v:stroke color="#FFFFFF" joinstyle="miter"/>
                <v:imagedata o:title=""/>
                <o:lock v:ext="edit" aspectratio="f"/>
                <v:textbox>
                  <w:txbxContent>
                    <w:p w14:paraId="5DEF76FC">
                      <w:pPr>
                        <w:rPr>
                          <w:rFonts w:hint="eastAsia"/>
                          <w:b/>
                          <w:bCs/>
                          <w:sz w:val="32"/>
                        </w:rPr>
                      </w:pPr>
                      <w:r>
                        <w:rPr>
                          <w:rFonts w:hint="eastAsia"/>
                          <w:b/>
                          <w:bCs/>
                          <w:sz w:val="32"/>
                        </w:rPr>
                        <w:t>制定</w:t>
                      </w:r>
                    </w:p>
                  </w:txbxContent>
                </v:textbox>
              </v:shape>
            </w:pict>
          </mc:Fallback>
        </mc:AlternateContent>
      </w:r>
      <w:r>
        <w:rPr>
          <w:rFonts w:hint="eastAsia" w:ascii="Times New Roman" w:hAnsi="Times New Roman"/>
          <w:b/>
          <w:color w:val="auto"/>
          <w:sz w:val="32"/>
          <w:szCs w:val="28"/>
          <w:highlight w:val="none"/>
          <w:lang w:val="en-US" w:eastAsia="zh-CN"/>
        </w:rPr>
        <w:t xml:space="preserve">            </w:t>
      </w:r>
      <w:r>
        <w:rPr>
          <w:rFonts w:ascii="Times New Roman" w:hAnsi="Times New Roman"/>
          <w:b/>
          <w:color w:val="auto"/>
          <w:sz w:val="32"/>
          <w:szCs w:val="28"/>
          <w:highlight w:val="none"/>
        </w:rPr>
        <w:t>住房和城乡建设部</w:t>
      </w:r>
    </w:p>
    <w:p w14:paraId="73E6215A">
      <w:pPr>
        <w:ind w:right="3139" w:rightChars="1495" w:firstLine="1928" w:firstLineChars="600"/>
        <w:jc w:val="both"/>
        <w:rPr>
          <w:rFonts w:ascii="Times New Roman" w:hAnsi="Times New Roman"/>
          <w:b/>
          <w:color w:val="auto"/>
          <w:sz w:val="32"/>
          <w:szCs w:val="28"/>
          <w:highlight w:val="none"/>
        </w:rPr>
      </w:pPr>
      <w:r>
        <w:rPr>
          <w:rFonts w:ascii="Times New Roman" w:hAnsi="Times New Roman"/>
          <w:b/>
          <w:color w:val="auto"/>
          <w:sz w:val="32"/>
          <w:szCs w:val="28"/>
          <w:highlight w:val="none"/>
        </w:rPr>
        <w:t>国家工商行政管理总局</w:t>
      </w:r>
    </w:p>
    <w:p w14:paraId="5109FAAA">
      <w:pPr>
        <w:rPr>
          <w:rFonts w:hint="eastAsia" w:ascii="Times New Roman" w:hAnsi="Times New Roman"/>
          <w:b/>
          <w:color w:val="auto"/>
          <w:highlight w:val="none"/>
        </w:rPr>
      </w:pPr>
    </w:p>
    <w:p w14:paraId="2EA50241">
      <w:pPr>
        <w:rPr>
          <w:rFonts w:hint="eastAsia" w:ascii="Times New Roman" w:hAnsi="Times New Roman"/>
          <w:b/>
          <w:color w:val="auto"/>
          <w:highlight w:val="none"/>
        </w:rPr>
      </w:pPr>
    </w:p>
    <w:p w14:paraId="0C5D8AF3">
      <w:pPr>
        <w:rPr>
          <w:rFonts w:hint="eastAsia" w:ascii="Times New Roman" w:hAnsi="Times New Roman"/>
          <w:b/>
          <w:color w:val="auto"/>
          <w:highlight w:val="none"/>
        </w:rPr>
      </w:pPr>
    </w:p>
    <w:p w14:paraId="4BC7C0E5">
      <w:pPr>
        <w:rPr>
          <w:rFonts w:hint="eastAsia" w:ascii="Times New Roman" w:hAnsi="Times New Roman"/>
          <w:b/>
          <w:color w:val="auto"/>
          <w:highlight w:val="none"/>
        </w:rPr>
      </w:pPr>
    </w:p>
    <w:p w14:paraId="163351EB">
      <w:pPr>
        <w:rPr>
          <w:rFonts w:hint="eastAsia" w:ascii="Times New Roman" w:hAnsi="Times New Roman"/>
          <w:b/>
          <w:color w:val="auto"/>
          <w:highlight w:val="none"/>
        </w:rPr>
      </w:pPr>
    </w:p>
    <w:p w14:paraId="0BB971C2">
      <w:pPr>
        <w:rPr>
          <w:rFonts w:ascii="华文中宋" w:hAnsi="华文中宋" w:eastAsia="华文中宋"/>
          <w:color w:val="auto"/>
          <w:sz w:val="44"/>
          <w:szCs w:val="44"/>
          <w:highlight w:val="none"/>
        </w:rPr>
      </w:pPr>
      <w:bookmarkStart w:id="337" w:name="_Toc351203480"/>
      <w:r>
        <w:rPr>
          <w:rFonts w:ascii="华文中宋" w:hAnsi="华文中宋" w:eastAsia="华文中宋"/>
          <w:color w:val="auto"/>
          <w:sz w:val="44"/>
          <w:szCs w:val="44"/>
          <w:highlight w:val="none"/>
        </w:rPr>
        <w:br w:type="page"/>
      </w:r>
    </w:p>
    <w:p w14:paraId="765DF972">
      <w:pPr>
        <w:pStyle w:val="3"/>
        <w:pageBreakBefore w:val="0"/>
        <w:widowControl w:val="0"/>
        <w:kinsoku/>
        <w:wordWrap/>
        <w:overflowPunct/>
        <w:topLinePunct w:val="0"/>
        <w:bidi w:val="0"/>
        <w:snapToGrid/>
        <w:spacing w:line="380" w:lineRule="exact"/>
        <w:jc w:val="center"/>
        <w:textAlignment w:val="auto"/>
        <w:rPr>
          <w:rFonts w:hint="eastAsia" w:ascii="仿宋" w:hAnsi="仿宋" w:eastAsia="仿宋" w:cs="仿宋"/>
          <w:b w:val="0"/>
          <w:color w:val="auto"/>
          <w:sz w:val="44"/>
          <w:szCs w:val="44"/>
          <w:highlight w:val="none"/>
        </w:rPr>
      </w:pPr>
      <w:r>
        <w:rPr>
          <w:rFonts w:hint="eastAsia" w:ascii="仿宋" w:hAnsi="仿宋" w:eastAsia="仿宋" w:cs="仿宋"/>
          <w:color w:val="auto"/>
          <w:sz w:val="40"/>
          <w:szCs w:val="40"/>
          <w:highlight w:val="none"/>
        </w:rPr>
        <w:t>第一部分 合同协议书</w:t>
      </w:r>
      <w:bookmarkEnd w:id="337"/>
    </w:p>
    <w:p w14:paraId="0CD46A48">
      <w:pPr>
        <w:pageBreakBefore w:val="0"/>
        <w:widowControl w:val="0"/>
        <w:kinsoku/>
        <w:wordWrap/>
        <w:overflowPunct/>
        <w:topLinePunct w:val="0"/>
        <w:bidi w:val="0"/>
        <w:snapToGrid/>
        <w:spacing w:line="380" w:lineRule="exact"/>
        <w:textAlignment w:val="auto"/>
        <w:rPr>
          <w:rFonts w:hint="eastAsia" w:ascii="仿宋" w:hAnsi="仿宋" w:eastAsia="仿宋" w:cs="仿宋"/>
          <w:b/>
          <w:i w:val="0"/>
          <w:iCs w:val="0"/>
          <w:color w:val="auto"/>
          <w:sz w:val="24"/>
          <w:szCs w:val="24"/>
          <w:highlight w:val="none"/>
          <w:u w:val="single"/>
        </w:rPr>
      </w:pPr>
      <w:r>
        <w:rPr>
          <w:rFonts w:hint="eastAsia" w:ascii="仿宋" w:hAnsi="仿宋" w:eastAsia="仿宋" w:cs="仿宋"/>
          <w:b/>
          <w:i w:val="0"/>
          <w:iCs w:val="0"/>
          <w:color w:val="auto"/>
          <w:sz w:val="24"/>
          <w:szCs w:val="24"/>
          <w:highlight w:val="none"/>
        </w:rPr>
        <w:t>发包人（全称）：</w:t>
      </w:r>
      <w:r>
        <w:rPr>
          <w:rFonts w:hint="eastAsia" w:ascii="仿宋" w:hAnsi="仿宋" w:eastAsia="仿宋" w:cs="仿宋"/>
          <w:b/>
          <w:i w:val="0"/>
          <w:iCs w:val="0"/>
          <w:color w:val="auto"/>
          <w:sz w:val="24"/>
          <w:szCs w:val="24"/>
          <w:highlight w:val="none"/>
          <w:u w:val="single"/>
        </w:rPr>
        <w:t>                       </w:t>
      </w:r>
    </w:p>
    <w:p w14:paraId="51C0F8E4">
      <w:pPr>
        <w:pageBreakBefore w:val="0"/>
        <w:widowControl w:val="0"/>
        <w:kinsoku/>
        <w:wordWrap/>
        <w:overflowPunct/>
        <w:topLinePunct w:val="0"/>
        <w:bidi w:val="0"/>
        <w:snapToGrid/>
        <w:spacing w:line="380" w:lineRule="exact"/>
        <w:textAlignment w:val="auto"/>
        <w:rPr>
          <w:rFonts w:hint="eastAsia" w:ascii="仿宋" w:hAnsi="仿宋" w:eastAsia="仿宋" w:cs="仿宋"/>
          <w:b/>
          <w:i w:val="0"/>
          <w:iCs w:val="0"/>
          <w:color w:val="auto"/>
          <w:sz w:val="24"/>
          <w:szCs w:val="24"/>
          <w:highlight w:val="none"/>
          <w:u w:val="single"/>
        </w:rPr>
      </w:pPr>
      <w:r>
        <w:rPr>
          <w:rFonts w:hint="eastAsia" w:ascii="仿宋" w:hAnsi="仿宋" w:eastAsia="仿宋" w:cs="仿宋"/>
          <w:b/>
          <w:i w:val="0"/>
          <w:iCs w:val="0"/>
          <w:color w:val="auto"/>
          <w:sz w:val="24"/>
          <w:szCs w:val="24"/>
          <w:highlight w:val="none"/>
        </w:rPr>
        <w:t>设计人（全称）：</w:t>
      </w:r>
      <w:r>
        <w:rPr>
          <w:rFonts w:hint="eastAsia" w:ascii="仿宋" w:hAnsi="仿宋" w:eastAsia="仿宋" w:cs="仿宋"/>
          <w:b/>
          <w:i w:val="0"/>
          <w:iCs w:val="0"/>
          <w:color w:val="auto"/>
          <w:sz w:val="24"/>
          <w:szCs w:val="24"/>
          <w:highlight w:val="none"/>
          <w:u w:val="single"/>
        </w:rPr>
        <w:t>                      </w:t>
      </w:r>
    </w:p>
    <w:p w14:paraId="126833A0">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根据《中华人民共和国合同法》、《中华人民共和国建筑法》及有关法律规定，遵循平等、自愿、公平和诚实信用的原则，双方就</w:t>
      </w:r>
    </w:p>
    <w:p w14:paraId="365E1D34">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工程设计及有关事项协商一致，共同达成如下协议：</w:t>
      </w:r>
    </w:p>
    <w:p w14:paraId="45D08B20">
      <w:pPr>
        <w:pStyle w:val="4"/>
        <w:pageBreakBefore w:val="0"/>
        <w:widowControl w:val="0"/>
        <w:kinsoku/>
        <w:wordWrap/>
        <w:overflowPunct/>
        <w:topLinePunct w:val="0"/>
        <w:bidi w:val="0"/>
        <w:snapToGrid/>
        <w:spacing w:before="120" w:beforeLines="0" w:after="120" w:afterLines="0" w:line="380" w:lineRule="exact"/>
        <w:textAlignment w:val="auto"/>
        <w:rPr>
          <w:rFonts w:hint="eastAsia" w:ascii="仿宋" w:hAnsi="仿宋" w:eastAsia="仿宋" w:cs="仿宋"/>
          <w:bCs w:val="0"/>
          <w:i w:val="0"/>
          <w:iCs w:val="0"/>
          <w:color w:val="auto"/>
          <w:sz w:val="24"/>
          <w:szCs w:val="24"/>
          <w:highlight w:val="none"/>
        </w:rPr>
      </w:pPr>
      <w:r>
        <w:rPr>
          <w:rFonts w:hint="eastAsia" w:ascii="仿宋" w:hAnsi="仿宋" w:eastAsia="仿宋" w:cs="仿宋"/>
          <w:bCs w:val="0"/>
          <w:i w:val="0"/>
          <w:iCs w:val="0"/>
          <w:color w:val="auto"/>
          <w:sz w:val="24"/>
          <w:szCs w:val="24"/>
          <w:highlight w:val="none"/>
        </w:rPr>
        <w:t xml:space="preserve">   </w:t>
      </w:r>
      <w:r>
        <w:rPr>
          <w:rFonts w:hint="eastAsia" w:ascii="仿宋" w:hAnsi="仿宋" w:eastAsia="仿宋" w:cs="仿宋"/>
          <w:b w:val="0"/>
          <w:i w:val="0"/>
          <w:iCs w:val="0"/>
          <w:color w:val="auto"/>
          <w:sz w:val="24"/>
          <w:szCs w:val="24"/>
          <w:highlight w:val="none"/>
        </w:rPr>
        <w:t xml:space="preserve"> </w:t>
      </w:r>
      <w:bookmarkStart w:id="338" w:name="_Toc351203481"/>
      <w:r>
        <w:rPr>
          <w:rFonts w:hint="eastAsia" w:ascii="仿宋" w:hAnsi="仿宋" w:eastAsia="仿宋" w:cs="仿宋"/>
          <w:b w:val="0"/>
          <w:i w:val="0"/>
          <w:iCs w:val="0"/>
          <w:color w:val="auto"/>
          <w:sz w:val="24"/>
          <w:szCs w:val="24"/>
          <w:highlight w:val="none"/>
        </w:rPr>
        <w:t>一、工程概况</w:t>
      </w:r>
      <w:bookmarkEnd w:id="338"/>
    </w:p>
    <w:p w14:paraId="2A4FD57B">
      <w:pPr>
        <w:pageBreakBefore w:val="0"/>
        <w:widowControl w:val="0"/>
        <w:kinsoku/>
        <w:wordWrap/>
        <w:overflowPunct/>
        <w:topLinePunct w:val="0"/>
        <w:bidi w:val="0"/>
        <w:snapToGrid/>
        <w:spacing w:line="380" w:lineRule="exact"/>
        <w:ind w:firstLine="470" w:firstLineChars="196"/>
        <w:textAlignment w:val="auto"/>
        <w:rPr>
          <w:rFonts w:hint="eastAsia" w:ascii="仿宋" w:hAnsi="仿宋" w:eastAsia="仿宋" w:cs="仿宋"/>
          <w:i w:val="0"/>
          <w:iCs w:val="0"/>
          <w:color w:val="auto"/>
          <w:sz w:val="24"/>
          <w:szCs w:val="24"/>
          <w:highlight w:val="none"/>
        </w:rPr>
      </w:pPr>
      <w:r>
        <w:rPr>
          <w:rFonts w:hint="eastAsia" w:ascii="仿宋" w:hAnsi="仿宋" w:eastAsia="仿宋" w:cs="仿宋"/>
          <w:bCs/>
          <w:i w:val="0"/>
          <w:iCs w:val="0"/>
          <w:color w:val="auto"/>
          <w:sz w:val="24"/>
          <w:szCs w:val="24"/>
          <w:highlight w:val="none"/>
        </w:rPr>
        <w:t>1.工程名称</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u w:val="single"/>
        </w:rPr>
        <w:t xml:space="preserve">           </w:t>
      </w:r>
      <w:r>
        <w:rPr>
          <w:rFonts w:hint="eastAsia" w:ascii="仿宋" w:hAnsi="仿宋" w:eastAsia="仿宋" w:cs="仿宋"/>
          <w:i w:val="0"/>
          <w:iCs w:val="0"/>
          <w:color w:val="auto"/>
          <w:sz w:val="24"/>
          <w:szCs w:val="24"/>
          <w:highlight w:val="none"/>
        </w:rPr>
        <w:t>。</w:t>
      </w:r>
    </w:p>
    <w:p w14:paraId="6C1E707C">
      <w:pPr>
        <w:pageBreakBefore w:val="0"/>
        <w:widowControl w:val="0"/>
        <w:kinsoku/>
        <w:wordWrap/>
        <w:overflowPunct/>
        <w:topLinePunct w:val="0"/>
        <w:bidi w:val="0"/>
        <w:snapToGrid/>
        <w:spacing w:line="380" w:lineRule="exact"/>
        <w:ind w:firstLine="470" w:firstLineChars="196"/>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2.工程批准、核准或备案文号：</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69216F29">
      <w:pPr>
        <w:pageBreakBefore w:val="0"/>
        <w:widowControl w:val="0"/>
        <w:kinsoku/>
        <w:wordWrap/>
        <w:overflowPunct/>
        <w:topLinePunct w:val="0"/>
        <w:bidi w:val="0"/>
        <w:snapToGrid/>
        <w:spacing w:line="380" w:lineRule="exact"/>
        <w:ind w:firstLine="470" w:firstLineChars="196"/>
        <w:textAlignment w:val="auto"/>
        <w:rPr>
          <w:rFonts w:hint="eastAsia" w:ascii="仿宋" w:hAnsi="仿宋" w:eastAsia="仿宋" w:cs="仿宋"/>
          <w:i w:val="0"/>
          <w:iCs w:val="0"/>
          <w:color w:val="auto"/>
          <w:sz w:val="24"/>
          <w:szCs w:val="24"/>
          <w:highlight w:val="none"/>
        </w:rPr>
      </w:pPr>
      <w:r>
        <w:rPr>
          <w:rFonts w:hint="eastAsia" w:ascii="仿宋" w:hAnsi="仿宋" w:eastAsia="仿宋" w:cs="仿宋"/>
          <w:bCs/>
          <w:i w:val="0"/>
          <w:iCs w:val="0"/>
          <w:color w:val="auto"/>
          <w:sz w:val="24"/>
          <w:szCs w:val="24"/>
          <w:highlight w:val="none"/>
        </w:rPr>
        <w:t>3.</w:t>
      </w:r>
      <w:r>
        <w:rPr>
          <w:rFonts w:hint="eastAsia" w:ascii="仿宋" w:hAnsi="仿宋" w:eastAsia="仿宋" w:cs="仿宋"/>
          <w:i w:val="0"/>
          <w:iCs w:val="0"/>
          <w:color w:val="auto"/>
          <w:sz w:val="24"/>
          <w:szCs w:val="24"/>
          <w:highlight w:val="none"/>
        </w:rPr>
        <w:t>工程内容及规模：</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69DBF283">
      <w:pPr>
        <w:pageBreakBefore w:val="0"/>
        <w:widowControl w:val="0"/>
        <w:kinsoku/>
        <w:wordWrap/>
        <w:overflowPunct/>
        <w:topLinePunct w:val="0"/>
        <w:bidi w:val="0"/>
        <w:snapToGrid/>
        <w:spacing w:line="380" w:lineRule="exact"/>
        <w:ind w:firstLine="470" w:firstLineChars="196"/>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4.</w:t>
      </w:r>
      <w:r>
        <w:rPr>
          <w:rFonts w:hint="eastAsia" w:ascii="仿宋" w:hAnsi="仿宋" w:eastAsia="仿宋" w:cs="仿宋"/>
          <w:bCs/>
          <w:i w:val="0"/>
          <w:iCs w:val="0"/>
          <w:color w:val="auto"/>
          <w:sz w:val="24"/>
          <w:szCs w:val="24"/>
          <w:highlight w:val="none"/>
        </w:rPr>
        <w:t>工程所在地详细地址：</w:t>
      </w:r>
      <w:r>
        <w:rPr>
          <w:rFonts w:hint="eastAsia" w:ascii="仿宋" w:hAnsi="仿宋" w:eastAsia="仿宋" w:cs="仿宋"/>
          <w:i w:val="0"/>
          <w:iCs w:val="0"/>
          <w:color w:val="auto"/>
          <w:sz w:val="24"/>
          <w:szCs w:val="24"/>
          <w:highlight w:val="none"/>
          <w:u w:val="single"/>
        </w:rPr>
        <w:t>     </w:t>
      </w:r>
      <w:r>
        <w:rPr>
          <w:rFonts w:hint="eastAsia" w:ascii="仿宋" w:hAnsi="仿宋" w:eastAsia="仿宋" w:cs="仿宋"/>
          <w:i w:val="0"/>
          <w:iCs w:val="0"/>
          <w:color w:val="auto"/>
          <w:sz w:val="24"/>
          <w:szCs w:val="24"/>
          <w:highlight w:val="none"/>
        </w:rPr>
        <w:t>。</w:t>
      </w:r>
    </w:p>
    <w:p w14:paraId="41DC38A6">
      <w:pPr>
        <w:pageBreakBefore w:val="0"/>
        <w:widowControl w:val="0"/>
        <w:kinsoku/>
        <w:wordWrap/>
        <w:overflowPunct/>
        <w:topLinePunct w:val="0"/>
        <w:bidi w:val="0"/>
        <w:snapToGrid/>
        <w:spacing w:line="380" w:lineRule="exact"/>
        <w:ind w:firstLine="470" w:firstLineChars="196"/>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5.工程投资估算：</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715E0490">
      <w:pPr>
        <w:pageBreakBefore w:val="0"/>
        <w:widowControl w:val="0"/>
        <w:kinsoku/>
        <w:wordWrap/>
        <w:overflowPunct/>
        <w:topLinePunct w:val="0"/>
        <w:bidi w:val="0"/>
        <w:snapToGrid/>
        <w:spacing w:line="380" w:lineRule="exact"/>
        <w:ind w:firstLine="470" w:firstLineChars="196"/>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6.工程进度安排：</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785DFD4F">
      <w:pPr>
        <w:pageBreakBefore w:val="0"/>
        <w:widowControl w:val="0"/>
        <w:kinsoku/>
        <w:wordWrap/>
        <w:overflowPunct/>
        <w:topLinePunct w:val="0"/>
        <w:bidi w:val="0"/>
        <w:snapToGrid/>
        <w:spacing w:line="380" w:lineRule="exact"/>
        <w:ind w:firstLine="470" w:firstLineChars="196"/>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7.工程主要技术标准：</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66809130">
      <w:pPr>
        <w:pageBreakBefore w:val="0"/>
        <w:widowControl w:val="0"/>
        <w:kinsoku/>
        <w:wordWrap/>
        <w:overflowPunct/>
        <w:topLinePunct w:val="0"/>
        <w:bidi w:val="0"/>
        <w:snapToGrid/>
        <w:spacing w:line="380" w:lineRule="exact"/>
        <w:ind w:firstLine="470" w:firstLineChars="196"/>
        <w:textAlignment w:val="auto"/>
        <w:rPr>
          <w:rFonts w:hint="eastAsia" w:ascii="仿宋" w:hAnsi="仿宋" w:eastAsia="仿宋" w:cs="仿宋"/>
          <w:bCs/>
          <w:i w:val="0"/>
          <w:iCs w:val="0"/>
          <w:color w:val="auto"/>
          <w:sz w:val="24"/>
          <w:szCs w:val="24"/>
          <w:highlight w:val="none"/>
        </w:rPr>
      </w:pPr>
      <w:r>
        <w:rPr>
          <w:rFonts w:hint="eastAsia" w:ascii="仿宋" w:hAnsi="仿宋" w:eastAsia="仿宋" w:cs="仿宋"/>
          <w:i w:val="0"/>
          <w:iCs w:val="0"/>
          <w:color w:val="auto"/>
          <w:sz w:val="24"/>
          <w:szCs w:val="24"/>
          <w:highlight w:val="none"/>
        </w:rPr>
        <w:t>二、工程设计范围、阶段与服务内容</w:t>
      </w:r>
    </w:p>
    <w:p w14:paraId="2B7D43A1">
      <w:pPr>
        <w:pageBreakBefore w:val="0"/>
        <w:widowControl w:val="0"/>
        <w:kinsoku/>
        <w:wordWrap/>
        <w:overflowPunct/>
        <w:topLinePunct w:val="0"/>
        <w:bidi w:val="0"/>
        <w:snapToGrid/>
        <w:spacing w:line="380" w:lineRule="exact"/>
        <w:ind w:firstLine="470" w:firstLineChars="196"/>
        <w:textAlignment w:val="auto"/>
        <w:rPr>
          <w:rFonts w:hint="eastAsia"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rPr>
        <w:t>1.工程设计范围：</w:t>
      </w:r>
      <w:r>
        <w:rPr>
          <w:rFonts w:hint="eastAsia" w:ascii="仿宋" w:hAnsi="仿宋" w:eastAsia="仿宋" w:cs="仿宋"/>
          <w:i w:val="0"/>
          <w:iCs w:val="0"/>
          <w:color w:val="auto"/>
          <w:sz w:val="24"/>
          <w:szCs w:val="24"/>
          <w:highlight w:val="none"/>
          <w:u w:val="single"/>
        </w:rPr>
        <w:t xml:space="preserve">        </w:t>
      </w:r>
      <w:r>
        <w:rPr>
          <w:rFonts w:hint="eastAsia" w:ascii="仿宋" w:hAnsi="仿宋" w:eastAsia="仿宋" w:cs="仿宋"/>
          <w:bCs/>
          <w:i w:val="0"/>
          <w:iCs w:val="0"/>
          <w:color w:val="auto"/>
          <w:sz w:val="24"/>
          <w:szCs w:val="24"/>
          <w:highlight w:val="none"/>
        </w:rPr>
        <w:t>。</w:t>
      </w:r>
    </w:p>
    <w:p w14:paraId="2AE283D8">
      <w:pPr>
        <w:pageBreakBefore w:val="0"/>
        <w:widowControl w:val="0"/>
        <w:kinsoku/>
        <w:wordWrap/>
        <w:overflowPunct/>
        <w:topLinePunct w:val="0"/>
        <w:bidi w:val="0"/>
        <w:snapToGrid/>
        <w:spacing w:line="380" w:lineRule="exact"/>
        <w:ind w:firstLine="470" w:firstLineChars="196"/>
        <w:textAlignment w:val="auto"/>
        <w:rPr>
          <w:rFonts w:hint="eastAsia" w:ascii="仿宋" w:hAnsi="仿宋" w:eastAsia="仿宋" w:cs="仿宋"/>
          <w:bCs/>
          <w:i w:val="0"/>
          <w:iCs w:val="0"/>
          <w:color w:val="auto"/>
          <w:sz w:val="24"/>
          <w:szCs w:val="24"/>
          <w:highlight w:val="none"/>
          <w:u w:val="single"/>
        </w:rPr>
      </w:pPr>
      <w:r>
        <w:rPr>
          <w:rFonts w:hint="eastAsia" w:ascii="仿宋" w:hAnsi="仿宋" w:eastAsia="仿宋" w:cs="仿宋"/>
          <w:i w:val="0"/>
          <w:iCs w:val="0"/>
          <w:color w:val="auto"/>
          <w:sz w:val="24"/>
          <w:szCs w:val="24"/>
          <w:highlight w:val="none"/>
        </w:rPr>
        <w:t>2.工程设计阶段：</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16FC52D1">
      <w:pPr>
        <w:pageBreakBefore w:val="0"/>
        <w:widowControl w:val="0"/>
        <w:kinsoku/>
        <w:wordWrap/>
        <w:overflowPunct/>
        <w:topLinePunct w:val="0"/>
        <w:bidi w:val="0"/>
        <w:snapToGrid/>
        <w:spacing w:line="380" w:lineRule="exact"/>
        <w:ind w:firstLine="470" w:firstLineChars="196"/>
        <w:textAlignment w:val="auto"/>
        <w:rPr>
          <w:rFonts w:hint="eastAsia"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rPr>
        <w:t>3.工程设计服务内容：</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72CD1D27">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工程设计范围、阶段与服务内容详见</w:t>
      </w:r>
      <w:r>
        <w:rPr>
          <w:rFonts w:hint="eastAsia" w:ascii="仿宋" w:hAnsi="仿宋" w:eastAsia="仿宋" w:cs="仿宋"/>
          <w:i w:val="0"/>
          <w:iCs w:val="0"/>
          <w:color w:val="auto"/>
          <w:sz w:val="24"/>
          <w:szCs w:val="24"/>
          <w:highlight w:val="none"/>
          <w:lang w:eastAsia="zh-CN"/>
        </w:rPr>
        <w:t>专用合同条款</w:t>
      </w:r>
      <w:r>
        <w:rPr>
          <w:rFonts w:hint="eastAsia" w:ascii="仿宋" w:hAnsi="仿宋" w:eastAsia="仿宋" w:cs="仿宋"/>
          <w:i w:val="0"/>
          <w:iCs w:val="0"/>
          <w:color w:val="auto"/>
          <w:sz w:val="24"/>
          <w:szCs w:val="24"/>
          <w:highlight w:val="none"/>
        </w:rPr>
        <w:t>附件1。</w:t>
      </w:r>
    </w:p>
    <w:p w14:paraId="104DAC9D">
      <w:pPr>
        <w:pStyle w:val="4"/>
        <w:pageBreakBefore w:val="0"/>
        <w:widowControl w:val="0"/>
        <w:kinsoku/>
        <w:wordWrap/>
        <w:overflowPunct/>
        <w:topLinePunct w:val="0"/>
        <w:bidi w:val="0"/>
        <w:snapToGrid/>
        <w:spacing w:before="120" w:beforeLines="0" w:after="120" w:afterLines="0" w:line="380" w:lineRule="exact"/>
        <w:textAlignment w:val="auto"/>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 xml:space="preserve">   </w:t>
      </w:r>
      <w:bookmarkStart w:id="339" w:name="_Toc351203482"/>
      <w:r>
        <w:rPr>
          <w:rFonts w:hint="eastAsia" w:ascii="仿宋" w:hAnsi="仿宋" w:eastAsia="仿宋" w:cs="仿宋"/>
          <w:b w:val="0"/>
          <w:i w:val="0"/>
          <w:iCs w:val="0"/>
          <w:color w:val="auto"/>
          <w:sz w:val="24"/>
          <w:szCs w:val="24"/>
          <w:highlight w:val="none"/>
        </w:rPr>
        <w:t>三、</w:t>
      </w:r>
      <w:bookmarkEnd w:id="339"/>
      <w:r>
        <w:rPr>
          <w:rFonts w:hint="eastAsia" w:ascii="仿宋" w:hAnsi="仿宋" w:eastAsia="仿宋" w:cs="仿宋"/>
          <w:b w:val="0"/>
          <w:i w:val="0"/>
          <w:iCs w:val="0"/>
          <w:color w:val="auto"/>
          <w:sz w:val="24"/>
          <w:szCs w:val="24"/>
          <w:highlight w:val="none"/>
        </w:rPr>
        <w:t>工程设计周期</w:t>
      </w:r>
    </w:p>
    <w:p w14:paraId="03AA8D67">
      <w:pPr>
        <w:pageBreakBefore w:val="0"/>
        <w:widowControl w:val="0"/>
        <w:kinsoku/>
        <w:wordWrap/>
        <w:overflowPunct/>
        <w:topLinePunct w:val="0"/>
        <w:bidi w:val="0"/>
        <w:snapToGrid/>
        <w:spacing w:line="380" w:lineRule="exact"/>
        <w:ind w:firstLine="459"/>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计划开始设计日期：</w:t>
      </w:r>
      <w:r>
        <w:rPr>
          <w:rFonts w:hint="eastAsia" w:ascii="仿宋" w:hAnsi="仿宋" w:eastAsia="仿宋" w:cs="仿宋"/>
          <w:i w:val="0"/>
          <w:iCs w:val="0"/>
          <w:color w:val="auto"/>
          <w:sz w:val="24"/>
          <w:szCs w:val="24"/>
          <w:highlight w:val="none"/>
          <w:u w:val="single"/>
        </w:rPr>
        <w:t></w:t>
      </w:r>
      <w:r>
        <w:rPr>
          <w:rFonts w:hint="eastAsia" w:ascii="仿宋" w:hAnsi="仿宋" w:eastAsia="仿宋" w:cs="仿宋"/>
          <w:i w:val="0"/>
          <w:iCs w:val="0"/>
          <w:color w:val="auto"/>
          <w:sz w:val="24"/>
          <w:szCs w:val="24"/>
          <w:highlight w:val="none"/>
        </w:rPr>
        <w:t>年</w:t>
      </w:r>
      <w:r>
        <w:rPr>
          <w:rFonts w:hint="eastAsia" w:ascii="仿宋" w:hAnsi="仿宋" w:eastAsia="仿宋" w:cs="仿宋"/>
          <w:i w:val="0"/>
          <w:iCs w:val="0"/>
          <w:color w:val="auto"/>
          <w:sz w:val="24"/>
          <w:szCs w:val="24"/>
          <w:highlight w:val="none"/>
          <w:u w:val="single"/>
        </w:rPr>
        <w:t></w:t>
      </w:r>
      <w:r>
        <w:rPr>
          <w:rFonts w:hint="eastAsia" w:ascii="仿宋" w:hAnsi="仿宋" w:eastAsia="仿宋" w:cs="仿宋"/>
          <w:i w:val="0"/>
          <w:iCs w:val="0"/>
          <w:color w:val="auto"/>
          <w:sz w:val="24"/>
          <w:szCs w:val="24"/>
          <w:highlight w:val="none"/>
        </w:rPr>
        <w:t>月</w:t>
      </w:r>
      <w:r>
        <w:rPr>
          <w:rFonts w:hint="eastAsia" w:ascii="仿宋" w:hAnsi="仿宋" w:eastAsia="仿宋" w:cs="仿宋"/>
          <w:i w:val="0"/>
          <w:iCs w:val="0"/>
          <w:color w:val="auto"/>
          <w:sz w:val="24"/>
          <w:szCs w:val="24"/>
          <w:highlight w:val="none"/>
          <w:u w:val="single"/>
        </w:rPr>
        <w:t></w:t>
      </w:r>
      <w:r>
        <w:rPr>
          <w:rFonts w:hint="eastAsia" w:ascii="仿宋" w:hAnsi="仿宋" w:eastAsia="仿宋" w:cs="仿宋"/>
          <w:i w:val="0"/>
          <w:iCs w:val="0"/>
          <w:color w:val="auto"/>
          <w:sz w:val="24"/>
          <w:szCs w:val="24"/>
          <w:highlight w:val="none"/>
        </w:rPr>
        <w:t>日。</w:t>
      </w:r>
    </w:p>
    <w:p w14:paraId="755655B3">
      <w:pPr>
        <w:pageBreakBefore w:val="0"/>
        <w:widowControl w:val="0"/>
        <w:kinsoku/>
        <w:wordWrap/>
        <w:overflowPunct/>
        <w:topLinePunct w:val="0"/>
        <w:bidi w:val="0"/>
        <w:snapToGrid/>
        <w:spacing w:line="380" w:lineRule="exact"/>
        <w:ind w:firstLine="459"/>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计划完成设计日期：</w:t>
      </w:r>
      <w:r>
        <w:rPr>
          <w:rFonts w:hint="eastAsia" w:ascii="仿宋" w:hAnsi="仿宋" w:eastAsia="仿宋" w:cs="仿宋"/>
          <w:i w:val="0"/>
          <w:iCs w:val="0"/>
          <w:color w:val="auto"/>
          <w:sz w:val="24"/>
          <w:szCs w:val="24"/>
          <w:highlight w:val="none"/>
          <w:u w:val="single"/>
        </w:rPr>
        <w:t></w:t>
      </w:r>
      <w:r>
        <w:rPr>
          <w:rFonts w:hint="eastAsia" w:ascii="仿宋" w:hAnsi="仿宋" w:eastAsia="仿宋" w:cs="仿宋"/>
          <w:i w:val="0"/>
          <w:iCs w:val="0"/>
          <w:color w:val="auto"/>
          <w:sz w:val="24"/>
          <w:szCs w:val="24"/>
          <w:highlight w:val="none"/>
        </w:rPr>
        <w:t>年</w:t>
      </w:r>
      <w:r>
        <w:rPr>
          <w:rFonts w:hint="eastAsia" w:ascii="仿宋" w:hAnsi="仿宋" w:eastAsia="仿宋" w:cs="仿宋"/>
          <w:i w:val="0"/>
          <w:iCs w:val="0"/>
          <w:color w:val="auto"/>
          <w:sz w:val="24"/>
          <w:szCs w:val="24"/>
          <w:highlight w:val="none"/>
          <w:u w:val="single"/>
        </w:rPr>
        <w:t></w:t>
      </w:r>
      <w:r>
        <w:rPr>
          <w:rFonts w:hint="eastAsia" w:ascii="仿宋" w:hAnsi="仿宋" w:eastAsia="仿宋" w:cs="仿宋"/>
          <w:i w:val="0"/>
          <w:iCs w:val="0"/>
          <w:color w:val="auto"/>
          <w:sz w:val="24"/>
          <w:szCs w:val="24"/>
          <w:highlight w:val="none"/>
        </w:rPr>
        <w:t>月</w:t>
      </w:r>
      <w:r>
        <w:rPr>
          <w:rFonts w:hint="eastAsia" w:ascii="仿宋" w:hAnsi="仿宋" w:eastAsia="仿宋" w:cs="仿宋"/>
          <w:i w:val="0"/>
          <w:iCs w:val="0"/>
          <w:color w:val="auto"/>
          <w:sz w:val="24"/>
          <w:szCs w:val="24"/>
          <w:highlight w:val="none"/>
          <w:u w:val="single"/>
        </w:rPr>
        <w:t></w:t>
      </w:r>
      <w:r>
        <w:rPr>
          <w:rFonts w:hint="eastAsia" w:ascii="仿宋" w:hAnsi="仿宋" w:eastAsia="仿宋" w:cs="仿宋"/>
          <w:i w:val="0"/>
          <w:iCs w:val="0"/>
          <w:color w:val="auto"/>
          <w:sz w:val="24"/>
          <w:szCs w:val="24"/>
          <w:highlight w:val="none"/>
        </w:rPr>
        <w:t>日。</w:t>
      </w:r>
    </w:p>
    <w:p w14:paraId="3B25E71D">
      <w:pPr>
        <w:pageBreakBefore w:val="0"/>
        <w:widowControl w:val="0"/>
        <w:kinsoku/>
        <w:wordWrap/>
        <w:overflowPunct/>
        <w:topLinePunct w:val="0"/>
        <w:bidi w:val="0"/>
        <w:snapToGrid/>
        <w:spacing w:line="380" w:lineRule="exact"/>
        <w:ind w:firstLine="459"/>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具体工程设计周期以专用合同条款及其附件的约定为准。</w:t>
      </w:r>
    </w:p>
    <w:p w14:paraId="39BE3371">
      <w:pPr>
        <w:pStyle w:val="4"/>
        <w:pageBreakBefore w:val="0"/>
        <w:widowControl w:val="0"/>
        <w:kinsoku/>
        <w:wordWrap/>
        <w:overflowPunct/>
        <w:topLinePunct w:val="0"/>
        <w:bidi w:val="0"/>
        <w:snapToGrid/>
        <w:spacing w:before="120" w:beforeLines="0" w:after="120" w:afterLines="0" w:line="380" w:lineRule="exact"/>
        <w:textAlignment w:val="auto"/>
        <w:rPr>
          <w:rFonts w:hint="eastAsia" w:ascii="仿宋" w:hAnsi="仿宋" w:eastAsia="仿宋" w:cs="仿宋"/>
          <w:bCs w:val="0"/>
          <w:i w:val="0"/>
          <w:iCs w:val="0"/>
          <w:color w:val="auto"/>
          <w:sz w:val="24"/>
          <w:szCs w:val="24"/>
          <w:highlight w:val="none"/>
        </w:rPr>
      </w:pPr>
      <w:r>
        <w:rPr>
          <w:rFonts w:hint="eastAsia" w:ascii="仿宋" w:hAnsi="仿宋" w:eastAsia="仿宋" w:cs="仿宋"/>
          <w:bCs w:val="0"/>
          <w:i w:val="0"/>
          <w:iCs w:val="0"/>
          <w:color w:val="auto"/>
          <w:sz w:val="24"/>
          <w:szCs w:val="24"/>
          <w:highlight w:val="none"/>
        </w:rPr>
        <w:t xml:space="preserve">   </w:t>
      </w:r>
      <w:r>
        <w:rPr>
          <w:rFonts w:hint="eastAsia" w:ascii="仿宋" w:hAnsi="仿宋" w:eastAsia="仿宋" w:cs="仿宋"/>
          <w:b w:val="0"/>
          <w:i w:val="0"/>
          <w:iCs w:val="0"/>
          <w:color w:val="auto"/>
          <w:sz w:val="24"/>
          <w:szCs w:val="24"/>
          <w:highlight w:val="none"/>
        </w:rPr>
        <w:t xml:space="preserve"> </w:t>
      </w:r>
      <w:bookmarkStart w:id="340" w:name="_Toc351203484"/>
      <w:r>
        <w:rPr>
          <w:rFonts w:hint="eastAsia" w:ascii="仿宋" w:hAnsi="仿宋" w:eastAsia="仿宋" w:cs="仿宋"/>
          <w:b w:val="0"/>
          <w:i w:val="0"/>
          <w:iCs w:val="0"/>
          <w:color w:val="auto"/>
          <w:sz w:val="24"/>
          <w:szCs w:val="24"/>
          <w:highlight w:val="none"/>
        </w:rPr>
        <w:t>四、合同价格形式与签约合同价</w:t>
      </w:r>
      <w:bookmarkEnd w:id="340"/>
      <w:r>
        <w:rPr>
          <w:rFonts w:hint="eastAsia" w:ascii="仿宋" w:hAnsi="仿宋" w:eastAsia="仿宋" w:cs="仿宋"/>
          <w:b w:val="0"/>
          <w:i w:val="0"/>
          <w:iCs w:val="0"/>
          <w:color w:val="auto"/>
          <w:sz w:val="24"/>
          <w:szCs w:val="24"/>
          <w:highlight w:val="none"/>
        </w:rPr>
        <w:tab/>
      </w:r>
    </w:p>
    <w:p w14:paraId="48AA2052">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1.合同价格形式：</w:t>
      </w:r>
      <w:r>
        <w:rPr>
          <w:rFonts w:hint="eastAsia" w:ascii="仿宋" w:hAnsi="仿宋" w:eastAsia="仿宋" w:cs="仿宋"/>
          <w:i w:val="0"/>
          <w:iCs w:val="0"/>
          <w:color w:val="auto"/>
          <w:sz w:val="24"/>
          <w:szCs w:val="24"/>
          <w:highlight w:val="none"/>
          <w:u w:val="single"/>
        </w:rPr>
        <w:t>                      </w:t>
      </w:r>
      <w:r>
        <w:rPr>
          <w:rFonts w:hint="eastAsia" w:ascii="仿宋" w:hAnsi="仿宋" w:eastAsia="仿宋" w:cs="仿宋"/>
          <w:i w:val="0"/>
          <w:iCs w:val="0"/>
          <w:color w:val="auto"/>
          <w:sz w:val="24"/>
          <w:szCs w:val="24"/>
          <w:highlight w:val="none"/>
        </w:rPr>
        <w:t>；</w:t>
      </w:r>
    </w:p>
    <w:p w14:paraId="7ABA15FB">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2.签约合同价为：</w:t>
      </w:r>
    </w:p>
    <w:p w14:paraId="6DF7A57D">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人民币（大写）</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元</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w:t>
      </w:r>
    </w:p>
    <w:p w14:paraId="3A446756">
      <w:pPr>
        <w:pStyle w:val="4"/>
        <w:pageBreakBefore w:val="0"/>
        <w:widowControl w:val="0"/>
        <w:kinsoku/>
        <w:wordWrap/>
        <w:overflowPunct/>
        <w:topLinePunct w:val="0"/>
        <w:bidi w:val="0"/>
        <w:snapToGrid/>
        <w:spacing w:before="120" w:beforeLines="0" w:after="120" w:afterLines="0" w:line="380" w:lineRule="exact"/>
        <w:textAlignment w:val="auto"/>
        <w:rPr>
          <w:rFonts w:hint="eastAsia" w:ascii="仿宋" w:hAnsi="仿宋" w:eastAsia="仿宋" w:cs="仿宋"/>
          <w:b w:val="0"/>
          <w:i w:val="0"/>
          <w:iCs w:val="0"/>
          <w:color w:val="auto"/>
          <w:sz w:val="24"/>
          <w:szCs w:val="24"/>
          <w:highlight w:val="none"/>
        </w:rPr>
      </w:pPr>
      <w:r>
        <w:rPr>
          <w:rFonts w:hint="eastAsia" w:ascii="仿宋" w:hAnsi="仿宋" w:eastAsia="仿宋" w:cs="仿宋"/>
          <w:bCs w:val="0"/>
          <w:i w:val="0"/>
          <w:iCs w:val="0"/>
          <w:color w:val="auto"/>
          <w:sz w:val="24"/>
          <w:szCs w:val="24"/>
          <w:highlight w:val="none"/>
        </w:rPr>
        <w:t xml:space="preserve">   </w:t>
      </w:r>
      <w:r>
        <w:rPr>
          <w:rFonts w:hint="eastAsia" w:ascii="仿宋" w:hAnsi="仿宋" w:eastAsia="仿宋" w:cs="仿宋"/>
          <w:b w:val="0"/>
          <w:i w:val="0"/>
          <w:iCs w:val="0"/>
          <w:color w:val="auto"/>
          <w:sz w:val="24"/>
          <w:szCs w:val="24"/>
          <w:highlight w:val="none"/>
        </w:rPr>
        <w:t xml:space="preserve"> </w:t>
      </w:r>
      <w:bookmarkStart w:id="341" w:name="_Toc351203485"/>
      <w:r>
        <w:rPr>
          <w:rFonts w:hint="eastAsia" w:ascii="仿宋" w:hAnsi="仿宋" w:eastAsia="仿宋" w:cs="仿宋"/>
          <w:b w:val="0"/>
          <w:i w:val="0"/>
          <w:iCs w:val="0"/>
          <w:color w:val="auto"/>
          <w:sz w:val="24"/>
          <w:szCs w:val="24"/>
          <w:highlight w:val="none"/>
        </w:rPr>
        <w:t>五、</w:t>
      </w:r>
      <w:bookmarkEnd w:id="341"/>
      <w:r>
        <w:rPr>
          <w:rFonts w:hint="eastAsia" w:ascii="仿宋" w:hAnsi="仿宋" w:eastAsia="仿宋" w:cs="仿宋"/>
          <w:b w:val="0"/>
          <w:i w:val="0"/>
          <w:iCs w:val="0"/>
          <w:color w:val="auto"/>
          <w:sz w:val="24"/>
          <w:szCs w:val="24"/>
          <w:highlight w:val="none"/>
        </w:rPr>
        <w:t>发包人代表与设计人项目负责人</w:t>
      </w:r>
    </w:p>
    <w:p w14:paraId="0DCF6777">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发包人代表：</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5CFB7D8D">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设计人项目负责人：</w:t>
      </w:r>
      <w:r>
        <w:rPr>
          <w:rFonts w:hint="eastAsia" w:ascii="仿宋" w:hAnsi="仿宋" w:eastAsia="仿宋" w:cs="仿宋"/>
          <w:i w:val="0"/>
          <w:iCs w:val="0"/>
          <w:color w:val="auto"/>
          <w:sz w:val="24"/>
          <w:szCs w:val="24"/>
          <w:highlight w:val="none"/>
          <w:u w:val="single"/>
        </w:rPr>
        <w:t>                     </w:t>
      </w:r>
      <w:r>
        <w:rPr>
          <w:rFonts w:hint="eastAsia" w:ascii="仿宋" w:hAnsi="仿宋" w:eastAsia="仿宋" w:cs="仿宋"/>
          <w:i w:val="0"/>
          <w:iCs w:val="0"/>
          <w:color w:val="auto"/>
          <w:sz w:val="24"/>
          <w:szCs w:val="24"/>
          <w:highlight w:val="none"/>
        </w:rPr>
        <w:t>。</w:t>
      </w:r>
    </w:p>
    <w:p w14:paraId="6068DAFF">
      <w:pPr>
        <w:pStyle w:val="4"/>
        <w:pageBreakBefore w:val="0"/>
        <w:widowControl w:val="0"/>
        <w:kinsoku/>
        <w:wordWrap/>
        <w:overflowPunct/>
        <w:topLinePunct w:val="0"/>
        <w:bidi w:val="0"/>
        <w:snapToGrid/>
        <w:spacing w:before="120" w:beforeLines="0" w:after="120" w:afterLines="0" w:line="380" w:lineRule="exact"/>
        <w:textAlignment w:val="auto"/>
        <w:rPr>
          <w:rFonts w:hint="eastAsia" w:ascii="仿宋" w:hAnsi="仿宋" w:eastAsia="仿宋" w:cs="仿宋"/>
          <w:bCs w:val="0"/>
          <w:i w:val="0"/>
          <w:iCs w:val="0"/>
          <w:color w:val="auto"/>
          <w:sz w:val="24"/>
          <w:szCs w:val="24"/>
          <w:highlight w:val="none"/>
        </w:rPr>
      </w:pPr>
      <w:r>
        <w:rPr>
          <w:rFonts w:hint="eastAsia" w:ascii="仿宋" w:hAnsi="仿宋" w:eastAsia="仿宋" w:cs="仿宋"/>
          <w:bCs w:val="0"/>
          <w:i w:val="0"/>
          <w:iCs w:val="0"/>
          <w:color w:val="auto"/>
          <w:sz w:val="24"/>
          <w:szCs w:val="24"/>
          <w:highlight w:val="none"/>
        </w:rPr>
        <w:t xml:space="preserve">   </w:t>
      </w:r>
      <w:r>
        <w:rPr>
          <w:rFonts w:hint="eastAsia" w:ascii="仿宋" w:hAnsi="仿宋" w:eastAsia="仿宋" w:cs="仿宋"/>
          <w:b w:val="0"/>
          <w:i w:val="0"/>
          <w:iCs w:val="0"/>
          <w:color w:val="auto"/>
          <w:sz w:val="24"/>
          <w:szCs w:val="24"/>
          <w:highlight w:val="none"/>
        </w:rPr>
        <w:t xml:space="preserve"> </w:t>
      </w:r>
      <w:bookmarkStart w:id="342" w:name="_Toc351203486"/>
      <w:r>
        <w:rPr>
          <w:rFonts w:hint="eastAsia" w:ascii="仿宋" w:hAnsi="仿宋" w:eastAsia="仿宋" w:cs="仿宋"/>
          <w:b w:val="0"/>
          <w:i w:val="0"/>
          <w:iCs w:val="0"/>
          <w:color w:val="auto"/>
          <w:sz w:val="24"/>
          <w:szCs w:val="24"/>
          <w:highlight w:val="none"/>
        </w:rPr>
        <w:t>六、合同文件构成</w:t>
      </w:r>
      <w:bookmarkEnd w:id="342"/>
    </w:p>
    <w:p w14:paraId="5922DDEA">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rPr>
        <w:t>本协议书与下列文件一起构成合同文件：</w:t>
      </w:r>
    </w:p>
    <w:p w14:paraId="6174A0BC">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（1）专用合同条款及其附件； </w:t>
      </w:r>
    </w:p>
    <w:p w14:paraId="225493E1">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（2）通用合同条款； </w:t>
      </w:r>
    </w:p>
    <w:p w14:paraId="1D5686DA">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（3）中标通知书（如果有）；</w:t>
      </w:r>
    </w:p>
    <w:p w14:paraId="52808ED7">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（4）投标函及其附录（如果有）；</w:t>
      </w:r>
    </w:p>
    <w:p w14:paraId="3C671867">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（5）发包人要求；</w:t>
      </w:r>
    </w:p>
    <w:p w14:paraId="6675C219">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（6）技术标准；</w:t>
      </w:r>
    </w:p>
    <w:p w14:paraId="3DA9062A">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rPr>
        <w:t>（7）发包人提供的上一阶段图纸（如果有）；</w:t>
      </w:r>
    </w:p>
    <w:p w14:paraId="012264FF">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（8）其他合同文件。</w:t>
      </w:r>
    </w:p>
    <w:p w14:paraId="42B882EF">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在合同履行过程中形成的与合同有关的文件均构成合同文件组成部分。</w:t>
      </w:r>
    </w:p>
    <w:p w14:paraId="72BD34AE">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上述各项合同文件包括合同当事人就该项合同文件所作出的补充和修改，属于同一类内容的文件，应以最新签署的为准。</w:t>
      </w:r>
    </w:p>
    <w:p w14:paraId="53FF642E">
      <w:pPr>
        <w:pStyle w:val="4"/>
        <w:pageBreakBefore w:val="0"/>
        <w:widowControl w:val="0"/>
        <w:kinsoku/>
        <w:wordWrap/>
        <w:overflowPunct/>
        <w:topLinePunct w:val="0"/>
        <w:bidi w:val="0"/>
        <w:snapToGrid/>
        <w:spacing w:before="120" w:beforeLines="0" w:after="120" w:afterLines="0" w:line="380" w:lineRule="exact"/>
        <w:textAlignment w:val="auto"/>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rPr>
        <w:t xml:space="preserve">   </w:t>
      </w:r>
      <w:r>
        <w:rPr>
          <w:rFonts w:hint="eastAsia" w:ascii="仿宋" w:hAnsi="仿宋" w:eastAsia="仿宋" w:cs="仿宋"/>
          <w:b w:val="0"/>
          <w:i w:val="0"/>
          <w:iCs w:val="0"/>
          <w:color w:val="auto"/>
          <w:sz w:val="24"/>
          <w:szCs w:val="24"/>
          <w:highlight w:val="none"/>
        </w:rPr>
        <w:t xml:space="preserve"> </w:t>
      </w:r>
      <w:bookmarkStart w:id="343" w:name="_Toc351203487"/>
      <w:r>
        <w:rPr>
          <w:rFonts w:hint="eastAsia" w:ascii="仿宋" w:hAnsi="仿宋" w:eastAsia="仿宋" w:cs="仿宋"/>
          <w:b w:val="0"/>
          <w:i w:val="0"/>
          <w:iCs w:val="0"/>
          <w:color w:val="auto"/>
          <w:sz w:val="24"/>
          <w:szCs w:val="24"/>
          <w:highlight w:val="none"/>
        </w:rPr>
        <w:t>七、承诺</w:t>
      </w:r>
      <w:bookmarkEnd w:id="343"/>
    </w:p>
    <w:p w14:paraId="25FAFA44">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rPr>
        <w:t>1.发包人承诺按照法律规定履行项目审批手续，按照合同约定提供设计依据，并按合同约定的期限和方式支付合同价款。</w:t>
      </w:r>
    </w:p>
    <w:p w14:paraId="1768EA72">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rPr>
        <w:t>2.设计人承诺按照法律和技术标准规定及合同约定提供工程设计服务。</w:t>
      </w:r>
    </w:p>
    <w:p w14:paraId="2AE07CAE">
      <w:pPr>
        <w:pageBreakBefore w:val="0"/>
        <w:widowControl w:val="0"/>
        <w:kinsoku/>
        <w:wordWrap/>
        <w:overflowPunct/>
        <w:topLinePunct w:val="0"/>
        <w:bidi w:val="0"/>
        <w:snapToGrid/>
        <w:spacing w:line="380" w:lineRule="exact"/>
        <w:textAlignment w:val="auto"/>
        <w:rPr>
          <w:rFonts w:hint="eastAsia" w:ascii="仿宋" w:hAnsi="仿宋" w:eastAsia="仿宋" w:cs="仿宋"/>
          <w:bCs/>
          <w:i w:val="0"/>
          <w:iCs w:val="0"/>
          <w:color w:val="auto"/>
          <w:sz w:val="24"/>
          <w:szCs w:val="24"/>
          <w:highlight w:val="none"/>
        </w:rPr>
      </w:pPr>
      <w:bookmarkStart w:id="344" w:name="_Toc351203488"/>
      <w:r>
        <w:rPr>
          <w:rFonts w:hint="eastAsia" w:ascii="仿宋" w:hAnsi="仿宋" w:eastAsia="仿宋" w:cs="仿宋"/>
          <w:b/>
          <w:i w:val="0"/>
          <w:iCs w:val="0"/>
          <w:color w:val="auto"/>
          <w:sz w:val="24"/>
          <w:szCs w:val="24"/>
          <w:highlight w:val="none"/>
        </w:rPr>
        <w:t xml:space="preserve">   </w:t>
      </w:r>
      <w:r>
        <w:rPr>
          <w:rFonts w:hint="eastAsia" w:ascii="仿宋" w:hAnsi="仿宋" w:eastAsia="仿宋" w:cs="仿宋"/>
          <w:i w:val="0"/>
          <w:iCs w:val="0"/>
          <w:color w:val="auto"/>
          <w:sz w:val="24"/>
          <w:szCs w:val="24"/>
          <w:highlight w:val="none"/>
        </w:rPr>
        <w:t xml:space="preserve"> 八、词语含义</w:t>
      </w:r>
      <w:bookmarkEnd w:id="344"/>
    </w:p>
    <w:p w14:paraId="47145A63">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rPr>
        <w:t>本协议书中词语含义与第二部分通用合同条款中赋予的含义相同。</w:t>
      </w:r>
    </w:p>
    <w:p w14:paraId="423EEC6E">
      <w:pPr>
        <w:pStyle w:val="4"/>
        <w:pageBreakBefore w:val="0"/>
        <w:widowControl w:val="0"/>
        <w:kinsoku/>
        <w:wordWrap/>
        <w:overflowPunct/>
        <w:topLinePunct w:val="0"/>
        <w:bidi w:val="0"/>
        <w:snapToGrid/>
        <w:spacing w:before="120" w:beforeLines="0" w:after="120" w:afterLines="0" w:line="380" w:lineRule="exact"/>
        <w:textAlignment w:val="auto"/>
        <w:rPr>
          <w:rFonts w:hint="eastAsia" w:ascii="仿宋" w:hAnsi="仿宋" w:eastAsia="仿宋" w:cs="仿宋"/>
          <w:bCs w:val="0"/>
          <w:i w:val="0"/>
          <w:iCs w:val="0"/>
          <w:color w:val="auto"/>
          <w:sz w:val="24"/>
          <w:szCs w:val="24"/>
          <w:highlight w:val="none"/>
        </w:rPr>
      </w:pPr>
      <w:r>
        <w:rPr>
          <w:rFonts w:hint="eastAsia" w:ascii="仿宋" w:hAnsi="仿宋" w:eastAsia="仿宋" w:cs="仿宋"/>
          <w:bCs w:val="0"/>
          <w:i w:val="0"/>
          <w:iCs w:val="0"/>
          <w:color w:val="auto"/>
          <w:sz w:val="24"/>
          <w:szCs w:val="24"/>
          <w:highlight w:val="none"/>
        </w:rPr>
        <w:t xml:space="preserve">    </w:t>
      </w:r>
      <w:bookmarkStart w:id="345" w:name="_Toc351203490"/>
      <w:r>
        <w:rPr>
          <w:rFonts w:hint="eastAsia" w:ascii="仿宋" w:hAnsi="仿宋" w:eastAsia="仿宋" w:cs="仿宋"/>
          <w:b w:val="0"/>
          <w:i w:val="0"/>
          <w:iCs w:val="0"/>
          <w:color w:val="auto"/>
          <w:sz w:val="24"/>
          <w:szCs w:val="24"/>
          <w:highlight w:val="none"/>
        </w:rPr>
        <w:t>九、签订地点</w:t>
      </w:r>
      <w:bookmarkEnd w:id="345"/>
    </w:p>
    <w:p w14:paraId="777A12D9">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rPr>
        <w:t>本合同在</w:t>
      </w:r>
      <w:r>
        <w:rPr>
          <w:rFonts w:hint="eastAsia" w:ascii="仿宋" w:hAnsi="仿宋" w:eastAsia="仿宋" w:cs="仿宋"/>
          <w:bCs/>
          <w:i w:val="0"/>
          <w:iCs w:val="0"/>
          <w:color w:val="auto"/>
          <w:sz w:val="24"/>
          <w:szCs w:val="24"/>
          <w:highlight w:val="none"/>
          <w:u w:val="single"/>
        </w:rPr>
        <w:t xml:space="preserve">                                    </w:t>
      </w:r>
      <w:r>
        <w:rPr>
          <w:rFonts w:hint="eastAsia" w:ascii="仿宋" w:hAnsi="仿宋" w:eastAsia="仿宋" w:cs="仿宋"/>
          <w:bCs/>
          <w:i w:val="0"/>
          <w:iCs w:val="0"/>
          <w:color w:val="auto"/>
          <w:sz w:val="24"/>
          <w:szCs w:val="24"/>
          <w:highlight w:val="none"/>
        </w:rPr>
        <w:t>签订。</w:t>
      </w:r>
    </w:p>
    <w:p w14:paraId="2F3D5A27">
      <w:pPr>
        <w:pStyle w:val="4"/>
        <w:pageBreakBefore w:val="0"/>
        <w:widowControl w:val="0"/>
        <w:kinsoku/>
        <w:wordWrap/>
        <w:overflowPunct/>
        <w:topLinePunct w:val="0"/>
        <w:bidi w:val="0"/>
        <w:snapToGrid/>
        <w:spacing w:before="120" w:beforeLines="0" w:after="120" w:afterLines="0" w:line="380" w:lineRule="exact"/>
        <w:textAlignment w:val="auto"/>
        <w:rPr>
          <w:rFonts w:hint="eastAsia" w:ascii="仿宋" w:hAnsi="仿宋" w:eastAsia="仿宋" w:cs="仿宋"/>
          <w:bCs w:val="0"/>
          <w:i w:val="0"/>
          <w:iCs w:val="0"/>
          <w:color w:val="auto"/>
          <w:sz w:val="24"/>
          <w:szCs w:val="24"/>
          <w:highlight w:val="none"/>
        </w:rPr>
      </w:pPr>
      <w:r>
        <w:rPr>
          <w:rFonts w:hint="eastAsia" w:ascii="仿宋" w:hAnsi="仿宋" w:eastAsia="仿宋" w:cs="仿宋"/>
          <w:bCs w:val="0"/>
          <w:i w:val="0"/>
          <w:iCs w:val="0"/>
          <w:color w:val="auto"/>
          <w:sz w:val="24"/>
          <w:szCs w:val="24"/>
          <w:highlight w:val="none"/>
        </w:rPr>
        <w:t xml:space="preserve">    </w:t>
      </w:r>
      <w:bookmarkStart w:id="346" w:name="_Toc351203491"/>
      <w:r>
        <w:rPr>
          <w:rFonts w:hint="eastAsia" w:ascii="仿宋" w:hAnsi="仿宋" w:eastAsia="仿宋" w:cs="仿宋"/>
          <w:b w:val="0"/>
          <w:i w:val="0"/>
          <w:iCs w:val="0"/>
          <w:color w:val="auto"/>
          <w:sz w:val="24"/>
          <w:szCs w:val="24"/>
          <w:highlight w:val="none"/>
        </w:rPr>
        <w:t>十、补充协议</w:t>
      </w:r>
      <w:bookmarkEnd w:id="346"/>
    </w:p>
    <w:p w14:paraId="5D3FAFF9">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Cs/>
          <w:i w:val="0"/>
          <w:iCs w:val="0"/>
          <w:color w:val="auto"/>
          <w:sz w:val="24"/>
          <w:szCs w:val="24"/>
          <w:highlight w:val="none"/>
        </w:rPr>
        <w:t>合同未尽事宜，合同当事人另行签订补充协议，补充协议是合同的组成部分。</w:t>
      </w:r>
    </w:p>
    <w:p w14:paraId="16B35D5C">
      <w:pPr>
        <w:pStyle w:val="4"/>
        <w:pageBreakBefore w:val="0"/>
        <w:widowControl w:val="0"/>
        <w:kinsoku/>
        <w:wordWrap/>
        <w:overflowPunct/>
        <w:topLinePunct w:val="0"/>
        <w:bidi w:val="0"/>
        <w:snapToGrid/>
        <w:spacing w:before="120" w:beforeLines="0" w:after="120" w:afterLines="0" w:line="380" w:lineRule="exact"/>
        <w:textAlignment w:val="auto"/>
        <w:rPr>
          <w:rFonts w:hint="eastAsia" w:ascii="仿宋" w:hAnsi="仿宋" w:eastAsia="仿宋" w:cs="仿宋"/>
          <w:bCs w:val="0"/>
          <w:i w:val="0"/>
          <w:iCs w:val="0"/>
          <w:color w:val="auto"/>
          <w:sz w:val="24"/>
          <w:szCs w:val="24"/>
          <w:highlight w:val="none"/>
        </w:rPr>
      </w:pPr>
      <w:r>
        <w:rPr>
          <w:rFonts w:hint="eastAsia" w:ascii="仿宋" w:hAnsi="仿宋" w:eastAsia="仿宋" w:cs="仿宋"/>
          <w:bCs w:val="0"/>
          <w:i w:val="0"/>
          <w:iCs w:val="0"/>
          <w:color w:val="auto"/>
          <w:sz w:val="24"/>
          <w:szCs w:val="24"/>
          <w:highlight w:val="none"/>
        </w:rPr>
        <w:t xml:space="preserve">    </w:t>
      </w:r>
      <w:bookmarkStart w:id="347" w:name="_Toc351203492"/>
      <w:r>
        <w:rPr>
          <w:rFonts w:hint="eastAsia" w:ascii="仿宋" w:hAnsi="仿宋" w:eastAsia="仿宋" w:cs="仿宋"/>
          <w:b w:val="0"/>
          <w:i w:val="0"/>
          <w:iCs w:val="0"/>
          <w:color w:val="auto"/>
          <w:sz w:val="24"/>
          <w:szCs w:val="24"/>
          <w:highlight w:val="none"/>
        </w:rPr>
        <w:t>十一、合同生效</w:t>
      </w:r>
      <w:bookmarkEnd w:id="347"/>
    </w:p>
    <w:p w14:paraId="3E5E1876">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rPr>
        <w:t>本合同自</w:t>
      </w:r>
      <w:r>
        <w:rPr>
          <w:rFonts w:hint="eastAsia" w:ascii="仿宋" w:hAnsi="仿宋" w:eastAsia="仿宋" w:cs="仿宋"/>
          <w:bCs/>
          <w:i w:val="0"/>
          <w:iCs w:val="0"/>
          <w:color w:val="auto"/>
          <w:sz w:val="24"/>
          <w:szCs w:val="24"/>
          <w:highlight w:val="none"/>
          <w:u w:val="single"/>
        </w:rPr>
        <w:t xml:space="preserve">                                   </w:t>
      </w:r>
      <w:r>
        <w:rPr>
          <w:rFonts w:hint="eastAsia" w:ascii="仿宋" w:hAnsi="仿宋" w:eastAsia="仿宋" w:cs="仿宋"/>
          <w:bCs/>
          <w:i w:val="0"/>
          <w:iCs w:val="0"/>
          <w:color w:val="auto"/>
          <w:sz w:val="24"/>
          <w:szCs w:val="24"/>
          <w:highlight w:val="none"/>
        </w:rPr>
        <w:t>生效。</w:t>
      </w:r>
    </w:p>
    <w:p w14:paraId="118DC4DB">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Cs w:val="0"/>
          <w:i w:val="0"/>
          <w:iCs w:val="0"/>
          <w:color w:val="auto"/>
          <w:sz w:val="24"/>
          <w:szCs w:val="24"/>
          <w:highlight w:val="none"/>
        </w:rPr>
      </w:pPr>
      <w:r>
        <w:rPr>
          <w:rFonts w:hint="eastAsia" w:ascii="仿宋" w:hAnsi="仿宋" w:eastAsia="仿宋" w:cs="仿宋"/>
          <w:bCs w:val="0"/>
          <w:i w:val="0"/>
          <w:iCs w:val="0"/>
          <w:color w:val="auto"/>
          <w:sz w:val="24"/>
          <w:szCs w:val="24"/>
          <w:highlight w:val="none"/>
        </w:rPr>
        <w:t xml:space="preserve">    </w:t>
      </w:r>
      <w:bookmarkStart w:id="348" w:name="_Toc351203493"/>
      <w:r>
        <w:rPr>
          <w:rFonts w:hint="eastAsia" w:ascii="仿宋" w:hAnsi="仿宋" w:eastAsia="仿宋" w:cs="仿宋"/>
          <w:b w:val="0"/>
          <w:i w:val="0"/>
          <w:iCs w:val="0"/>
          <w:color w:val="auto"/>
          <w:sz w:val="24"/>
          <w:szCs w:val="24"/>
          <w:highlight w:val="none"/>
        </w:rPr>
        <w:t>十二、合同份数</w:t>
      </w:r>
      <w:bookmarkEnd w:id="348"/>
    </w:p>
    <w:p w14:paraId="26A5E3FE">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rPr>
        <w:t>本合同正本一式</w:t>
      </w:r>
      <w:r>
        <w:rPr>
          <w:rFonts w:hint="eastAsia" w:ascii="仿宋" w:hAnsi="仿宋" w:eastAsia="仿宋" w:cs="仿宋"/>
          <w:bCs/>
          <w:i w:val="0"/>
          <w:iCs w:val="0"/>
          <w:color w:val="auto"/>
          <w:sz w:val="24"/>
          <w:szCs w:val="24"/>
          <w:highlight w:val="none"/>
          <w:u w:val="single"/>
        </w:rPr>
        <w:t xml:space="preserve">    </w:t>
      </w:r>
      <w:r>
        <w:rPr>
          <w:rFonts w:hint="eastAsia" w:ascii="仿宋" w:hAnsi="仿宋" w:eastAsia="仿宋" w:cs="仿宋"/>
          <w:bCs/>
          <w:i w:val="0"/>
          <w:iCs w:val="0"/>
          <w:color w:val="auto"/>
          <w:sz w:val="24"/>
          <w:szCs w:val="24"/>
          <w:highlight w:val="none"/>
        </w:rPr>
        <w:t>份、副本一式</w:t>
      </w:r>
      <w:r>
        <w:rPr>
          <w:rFonts w:hint="eastAsia" w:ascii="仿宋" w:hAnsi="仿宋" w:eastAsia="仿宋" w:cs="仿宋"/>
          <w:bCs/>
          <w:i w:val="0"/>
          <w:iCs w:val="0"/>
          <w:color w:val="auto"/>
          <w:sz w:val="24"/>
          <w:szCs w:val="24"/>
          <w:highlight w:val="none"/>
          <w:u w:val="single"/>
        </w:rPr>
        <w:t xml:space="preserve">    </w:t>
      </w:r>
      <w:r>
        <w:rPr>
          <w:rFonts w:hint="eastAsia" w:ascii="仿宋" w:hAnsi="仿宋" w:eastAsia="仿宋" w:cs="仿宋"/>
          <w:bCs/>
          <w:i w:val="0"/>
          <w:iCs w:val="0"/>
          <w:color w:val="auto"/>
          <w:sz w:val="24"/>
          <w:szCs w:val="24"/>
          <w:highlight w:val="none"/>
        </w:rPr>
        <w:t>份，均具有同等法律效力，发包人执正本</w:t>
      </w:r>
      <w:r>
        <w:rPr>
          <w:rFonts w:hint="eastAsia" w:ascii="仿宋" w:hAnsi="仿宋" w:eastAsia="仿宋" w:cs="仿宋"/>
          <w:bCs/>
          <w:i w:val="0"/>
          <w:iCs w:val="0"/>
          <w:color w:val="auto"/>
          <w:sz w:val="24"/>
          <w:szCs w:val="24"/>
          <w:highlight w:val="none"/>
          <w:u w:val="single"/>
        </w:rPr>
        <w:t xml:space="preserve">    </w:t>
      </w:r>
      <w:r>
        <w:rPr>
          <w:rFonts w:hint="eastAsia" w:ascii="仿宋" w:hAnsi="仿宋" w:eastAsia="仿宋" w:cs="仿宋"/>
          <w:bCs/>
          <w:i w:val="0"/>
          <w:iCs w:val="0"/>
          <w:color w:val="auto"/>
          <w:sz w:val="24"/>
          <w:szCs w:val="24"/>
          <w:highlight w:val="none"/>
        </w:rPr>
        <w:t>份、副本</w:t>
      </w:r>
      <w:r>
        <w:rPr>
          <w:rFonts w:hint="eastAsia" w:ascii="仿宋" w:hAnsi="仿宋" w:eastAsia="仿宋" w:cs="仿宋"/>
          <w:bCs/>
          <w:i w:val="0"/>
          <w:iCs w:val="0"/>
          <w:color w:val="auto"/>
          <w:sz w:val="24"/>
          <w:szCs w:val="24"/>
          <w:highlight w:val="none"/>
          <w:u w:val="single"/>
        </w:rPr>
        <w:t xml:space="preserve">    </w:t>
      </w:r>
      <w:r>
        <w:rPr>
          <w:rFonts w:hint="eastAsia" w:ascii="仿宋" w:hAnsi="仿宋" w:eastAsia="仿宋" w:cs="仿宋"/>
          <w:bCs/>
          <w:i w:val="0"/>
          <w:iCs w:val="0"/>
          <w:color w:val="auto"/>
          <w:sz w:val="24"/>
          <w:szCs w:val="24"/>
          <w:highlight w:val="none"/>
        </w:rPr>
        <w:t>份，设计人执正本</w:t>
      </w:r>
      <w:r>
        <w:rPr>
          <w:rFonts w:hint="eastAsia" w:ascii="仿宋" w:hAnsi="仿宋" w:eastAsia="仿宋" w:cs="仿宋"/>
          <w:bCs/>
          <w:i w:val="0"/>
          <w:iCs w:val="0"/>
          <w:color w:val="auto"/>
          <w:sz w:val="24"/>
          <w:szCs w:val="24"/>
          <w:highlight w:val="none"/>
          <w:u w:val="single"/>
        </w:rPr>
        <w:t xml:space="preserve">    </w:t>
      </w:r>
      <w:r>
        <w:rPr>
          <w:rFonts w:hint="eastAsia" w:ascii="仿宋" w:hAnsi="仿宋" w:eastAsia="仿宋" w:cs="仿宋"/>
          <w:bCs/>
          <w:i w:val="0"/>
          <w:iCs w:val="0"/>
          <w:color w:val="auto"/>
          <w:sz w:val="24"/>
          <w:szCs w:val="24"/>
          <w:highlight w:val="none"/>
        </w:rPr>
        <w:t>份、副本</w:t>
      </w:r>
      <w:r>
        <w:rPr>
          <w:rFonts w:hint="eastAsia" w:ascii="仿宋" w:hAnsi="仿宋" w:eastAsia="仿宋" w:cs="仿宋"/>
          <w:bCs/>
          <w:i w:val="0"/>
          <w:iCs w:val="0"/>
          <w:color w:val="auto"/>
          <w:sz w:val="24"/>
          <w:szCs w:val="24"/>
          <w:highlight w:val="none"/>
          <w:u w:val="single"/>
        </w:rPr>
        <w:t xml:space="preserve">    </w:t>
      </w:r>
      <w:r>
        <w:rPr>
          <w:rFonts w:hint="eastAsia" w:ascii="仿宋" w:hAnsi="仿宋" w:eastAsia="仿宋" w:cs="仿宋"/>
          <w:bCs/>
          <w:i w:val="0"/>
          <w:iCs w:val="0"/>
          <w:color w:val="auto"/>
          <w:sz w:val="24"/>
          <w:szCs w:val="24"/>
          <w:highlight w:val="none"/>
        </w:rPr>
        <w:t>份。</w:t>
      </w:r>
    </w:p>
    <w:p w14:paraId="7A36CCAC">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p>
    <w:p w14:paraId="12EFC194">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发包人：  </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盖章</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 xml:space="preserve">               设计人：  </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盖章</w:t>
      </w:r>
      <w:r>
        <w:rPr>
          <w:rFonts w:hint="eastAsia" w:ascii="仿宋" w:hAnsi="仿宋" w:eastAsia="仿宋" w:cs="仿宋"/>
          <w:i w:val="0"/>
          <w:iCs w:val="0"/>
          <w:color w:val="auto"/>
          <w:sz w:val="24"/>
          <w:szCs w:val="24"/>
          <w:highlight w:val="none"/>
          <w:lang w:eastAsia="zh-CN"/>
        </w:rPr>
        <w:t>）</w:t>
      </w:r>
    </w:p>
    <w:p w14:paraId="2908AE65">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p>
    <w:p w14:paraId="6AFD7DCC">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法定代表人或其委托代理人：    法定代表人或其委托代理人：  </w:t>
      </w:r>
    </w:p>
    <w:p w14:paraId="083A9FF4">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（签字）                      （签字）</w:t>
      </w:r>
    </w:p>
    <w:p w14:paraId="1250D024">
      <w:pPr>
        <w:pageBreakBefore w:val="0"/>
        <w:widowControl w:val="0"/>
        <w:tabs>
          <w:tab w:val="left" w:pos="4410"/>
        </w:tabs>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p>
    <w:p w14:paraId="4B6D0469">
      <w:pPr>
        <w:pageBreakBefore w:val="0"/>
        <w:widowControl w:val="0"/>
        <w:tabs>
          <w:tab w:val="left" w:pos="4410"/>
        </w:tabs>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组织机构代码：</w:t>
      </w:r>
      <w:r>
        <w:rPr>
          <w:rFonts w:hint="eastAsia" w:ascii="仿宋" w:hAnsi="仿宋" w:eastAsia="仿宋" w:cs="仿宋"/>
          <w:i w:val="0"/>
          <w:iCs w:val="0"/>
          <w:color w:val="auto"/>
          <w:sz w:val="24"/>
          <w:szCs w:val="24"/>
          <w:highlight w:val="none"/>
          <w:u w:val="single"/>
        </w:rPr>
        <w:t xml:space="preserve">       </w:t>
      </w:r>
      <w:r>
        <w:rPr>
          <w:rFonts w:hint="eastAsia" w:ascii="仿宋" w:hAnsi="仿宋" w:eastAsia="仿宋" w:cs="仿宋"/>
          <w:i w:val="0"/>
          <w:iCs w:val="0"/>
          <w:color w:val="auto"/>
          <w:sz w:val="24"/>
          <w:szCs w:val="24"/>
          <w:highlight w:val="none"/>
        </w:rPr>
        <w:t xml:space="preserve">  组织机构代码：</w:t>
      </w:r>
      <w:r>
        <w:rPr>
          <w:rFonts w:hint="eastAsia" w:ascii="仿宋" w:hAnsi="仿宋" w:eastAsia="仿宋" w:cs="仿宋"/>
          <w:i w:val="0"/>
          <w:iCs w:val="0"/>
          <w:color w:val="auto"/>
          <w:sz w:val="24"/>
          <w:szCs w:val="24"/>
          <w:highlight w:val="none"/>
          <w:u w:val="single"/>
        </w:rPr>
        <w:t xml:space="preserve">          </w:t>
      </w:r>
      <w:r>
        <w:rPr>
          <w:rFonts w:hint="eastAsia" w:ascii="仿宋" w:hAnsi="仿宋" w:eastAsia="仿宋" w:cs="仿宋"/>
          <w:i w:val="0"/>
          <w:iCs w:val="0"/>
          <w:color w:val="auto"/>
          <w:sz w:val="24"/>
          <w:szCs w:val="24"/>
          <w:highlight w:val="none"/>
        </w:rPr>
        <w:t xml:space="preserve"> </w:t>
      </w:r>
    </w:p>
    <w:p w14:paraId="50BBE2FA">
      <w:pPr>
        <w:pageBreakBefore w:val="0"/>
        <w:widowControl w:val="0"/>
        <w:tabs>
          <w:tab w:val="left" w:pos="4410"/>
        </w:tabs>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纳税人识别码：</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 xml:space="preserve">  纳税人识别码：</w:t>
      </w:r>
      <w:r>
        <w:rPr>
          <w:rFonts w:hint="eastAsia" w:ascii="仿宋" w:hAnsi="仿宋" w:eastAsia="仿宋" w:cs="仿宋"/>
          <w:i w:val="0"/>
          <w:iCs w:val="0"/>
          <w:color w:val="auto"/>
          <w:sz w:val="24"/>
          <w:szCs w:val="24"/>
          <w:highlight w:val="none"/>
          <w:u w:val="single"/>
        </w:rPr>
        <w:t xml:space="preserve">               </w:t>
      </w:r>
    </w:p>
    <w:p w14:paraId="6392998F">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地  址：</w:t>
      </w:r>
      <w:r>
        <w:rPr>
          <w:rFonts w:hint="eastAsia" w:ascii="仿宋" w:hAnsi="仿宋" w:eastAsia="仿宋" w:cs="仿宋"/>
          <w:i w:val="0"/>
          <w:iCs w:val="0"/>
          <w:color w:val="auto"/>
          <w:sz w:val="24"/>
          <w:szCs w:val="24"/>
          <w:highlight w:val="none"/>
          <w:u w:val="single"/>
        </w:rPr>
        <w:t xml:space="preserve">     </w:t>
      </w:r>
      <w:r>
        <w:rPr>
          <w:rFonts w:hint="eastAsia" w:ascii="仿宋" w:hAnsi="仿宋" w:eastAsia="仿宋" w:cs="仿宋"/>
          <w:i w:val="0"/>
          <w:iCs w:val="0"/>
          <w:color w:val="auto"/>
          <w:sz w:val="24"/>
          <w:szCs w:val="24"/>
          <w:highlight w:val="none"/>
        </w:rPr>
        <w:t xml:space="preserve">  地  址：</w:t>
      </w:r>
      <w:r>
        <w:rPr>
          <w:rFonts w:hint="eastAsia" w:ascii="仿宋" w:hAnsi="仿宋" w:eastAsia="仿宋" w:cs="仿宋"/>
          <w:i w:val="0"/>
          <w:iCs w:val="0"/>
          <w:color w:val="auto"/>
          <w:sz w:val="24"/>
          <w:szCs w:val="24"/>
          <w:highlight w:val="none"/>
          <w:u w:val="single"/>
        </w:rPr>
        <w:t xml:space="preserve">        </w:t>
      </w:r>
    </w:p>
    <w:p w14:paraId="64C32931">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邮政编码：</w:t>
      </w:r>
      <w:r>
        <w:rPr>
          <w:rFonts w:hint="eastAsia" w:ascii="仿宋" w:hAnsi="仿宋" w:eastAsia="仿宋" w:cs="仿宋"/>
          <w:i w:val="0"/>
          <w:iCs w:val="0"/>
          <w:color w:val="auto"/>
          <w:sz w:val="24"/>
          <w:szCs w:val="24"/>
          <w:highlight w:val="none"/>
          <w:u w:val="single"/>
        </w:rPr>
        <w:t xml:space="preserve">      </w:t>
      </w:r>
      <w:r>
        <w:rPr>
          <w:rFonts w:hint="eastAsia" w:ascii="仿宋" w:hAnsi="仿宋" w:eastAsia="仿宋" w:cs="仿宋"/>
          <w:i w:val="0"/>
          <w:iCs w:val="0"/>
          <w:color w:val="auto"/>
          <w:sz w:val="24"/>
          <w:szCs w:val="24"/>
          <w:highlight w:val="none"/>
        </w:rPr>
        <w:t xml:space="preserve">  邮政编码：</w:t>
      </w:r>
      <w:r>
        <w:rPr>
          <w:rFonts w:hint="eastAsia" w:ascii="仿宋" w:hAnsi="仿宋" w:eastAsia="仿宋" w:cs="仿宋"/>
          <w:i w:val="0"/>
          <w:iCs w:val="0"/>
          <w:color w:val="auto"/>
          <w:sz w:val="24"/>
          <w:szCs w:val="24"/>
          <w:highlight w:val="none"/>
          <w:u w:val="single"/>
        </w:rPr>
        <w:t xml:space="preserve">   </w:t>
      </w:r>
    </w:p>
    <w:p w14:paraId="186627B6">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法定代表人：</w:t>
      </w:r>
      <w:r>
        <w:rPr>
          <w:rFonts w:hint="eastAsia" w:ascii="仿宋" w:hAnsi="仿宋" w:eastAsia="仿宋" w:cs="仿宋"/>
          <w:i w:val="0"/>
          <w:iCs w:val="0"/>
          <w:color w:val="auto"/>
          <w:sz w:val="24"/>
          <w:szCs w:val="24"/>
          <w:highlight w:val="none"/>
          <w:u w:val="single"/>
        </w:rPr>
        <w:t xml:space="preserve">           </w:t>
      </w:r>
      <w:r>
        <w:rPr>
          <w:rFonts w:hint="eastAsia" w:ascii="仿宋" w:hAnsi="仿宋" w:eastAsia="仿宋" w:cs="仿宋"/>
          <w:i w:val="0"/>
          <w:iCs w:val="0"/>
          <w:color w:val="auto"/>
          <w:sz w:val="24"/>
          <w:szCs w:val="24"/>
          <w:highlight w:val="none"/>
        </w:rPr>
        <w:t xml:space="preserve">  法定代表人：</w:t>
      </w:r>
      <w:r>
        <w:rPr>
          <w:rFonts w:hint="eastAsia" w:ascii="仿宋" w:hAnsi="仿宋" w:eastAsia="仿宋" w:cs="仿宋"/>
          <w:i w:val="0"/>
          <w:iCs w:val="0"/>
          <w:color w:val="auto"/>
          <w:sz w:val="24"/>
          <w:szCs w:val="24"/>
          <w:highlight w:val="none"/>
          <w:u w:val="single"/>
        </w:rPr>
        <w:t xml:space="preserve">             </w:t>
      </w:r>
    </w:p>
    <w:p w14:paraId="6ED52762">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委托代理人：</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 xml:space="preserve">  委托代理人：</w:t>
      </w:r>
      <w:r>
        <w:rPr>
          <w:rFonts w:hint="eastAsia" w:ascii="仿宋" w:hAnsi="仿宋" w:eastAsia="仿宋" w:cs="仿宋"/>
          <w:i w:val="0"/>
          <w:iCs w:val="0"/>
          <w:color w:val="auto"/>
          <w:sz w:val="24"/>
          <w:szCs w:val="24"/>
          <w:highlight w:val="none"/>
          <w:u w:val="single"/>
        </w:rPr>
        <w:t xml:space="preserve">             </w:t>
      </w:r>
    </w:p>
    <w:p w14:paraId="669DBB8B">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电  话：</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 xml:space="preserve">  电  话：</w:t>
      </w:r>
      <w:r>
        <w:rPr>
          <w:rFonts w:hint="eastAsia" w:ascii="仿宋" w:hAnsi="仿宋" w:eastAsia="仿宋" w:cs="仿宋"/>
          <w:i w:val="0"/>
          <w:iCs w:val="0"/>
          <w:color w:val="auto"/>
          <w:sz w:val="24"/>
          <w:szCs w:val="24"/>
          <w:highlight w:val="none"/>
          <w:u w:val="single"/>
        </w:rPr>
        <w:t xml:space="preserve">     </w:t>
      </w:r>
    </w:p>
    <w:p w14:paraId="4FE21E14">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传  真：</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 xml:space="preserve">  传  真：</w:t>
      </w:r>
      <w:r>
        <w:rPr>
          <w:rFonts w:hint="eastAsia" w:ascii="仿宋" w:hAnsi="仿宋" w:eastAsia="仿宋" w:cs="仿宋"/>
          <w:i w:val="0"/>
          <w:iCs w:val="0"/>
          <w:color w:val="auto"/>
          <w:sz w:val="24"/>
          <w:szCs w:val="24"/>
          <w:highlight w:val="none"/>
          <w:u w:val="single"/>
        </w:rPr>
        <w:t xml:space="preserve">     </w:t>
      </w:r>
    </w:p>
    <w:p w14:paraId="585F8A38">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电子信箱：</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 xml:space="preserve">  电子信箱：</w:t>
      </w:r>
      <w:r>
        <w:rPr>
          <w:rFonts w:hint="eastAsia" w:ascii="仿宋" w:hAnsi="仿宋" w:eastAsia="仿宋" w:cs="仿宋"/>
          <w:i w:val="0"/>
          <w:iCs w:val="0"/>
          <w:color w:val="auto"/>
          <w:sz w:val="24"/>
          <w:szCs w:val="24"/>
          <w:highlight w:val="none"/>
          <w:u w:val="single"/>
        </w:rPr>
        <w:t xml:space="preserve">   </w:t>
      </w:r>
    </w:p>
    <w:p w14:paraId="662B2D2A">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开户银行：</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 xml:space="preserve">  开户银行：</w:t>
      </w:r>
      <w:r>
        <w:rPr>
          <w:rFonts w:hint="eastAsia" w:ascii="仿宋" w:hAnsi="仿宋" w:eastAsia="仿宋" w:cs="仿宋"/>
          <w:i w:val="0"/>
          <w:iCs w:val="0"/>
          <w:color w:val="auto"/>
          <w:sz w:val="24"/>
          <w:szCs w:val="24"/>
          <w:highlight w:val="none"/>
          <w:u w:val="single"/>
        </w:rPr>
        <w:t xml:space="preserve">   </w:t>
      </w:r>
    </w:p>
    <w:p w14:paraId="369AFF65">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账  号：</w:t>
      </w:r>
      <w:r>
        <w:rPr>
          <w:rFonts w:hint="eastAsia" w:ascii="仿宋" w:hAnsi="仿宋" w:eastAsia="仿宋" w:cs="仿宋"/>
          <w:i w:val="0"/>
          <w:iCs w:val="0"/>
          <w:color w:val="auto"/>
          <w:sz w:val="24"/>
          <w:szCs w:val="24"/>
          <w:highlight w:val="none"/>
          <w:u w:val="single"/>
        </w:rPr>
        <w:t xml:space="preserve">       </w:t>
      </w:r>
      <w:r>
        <w:rPr>
          <w:rFonts w:hint="eastAsia" w:ascii="仿宋" w:hAnsi="仿宋" w:eastAsia="仿宋" w:cs="仿宋"/>
          <w:i w:val="0"/>
          <w:iCs w:val="0"/>
          <w:color w:val="auto"/>
          <w:sz w:val="24"/>
          <w:szCs w:val="24"/>
          <w:highlight w:val="none"/>
        </w:rPr>
        <w:t xml:space="preserve">   账  号：</w:t>
      </w:r>
      <w:r>
        <w:rPr>
          <w:rFonts w:hint="eastAsia" w:ascii="仿宋" w:hAnsi="仿宋" w:eastAsia="仿宋" w:cs="仿宋"/>
          <w:i w:val="0"/>
          <w:iCs w:val="0"/>
          <w:color w:val="auto"/>
          <w:sz w:val="24"/>
          <w:szCs w:val="24"/>
          <w:highlight w:val="none"/>
          <w:u w:val="single"/>
        </w:rPr>
        <w:t xml:space="preserve">     </w:t>
      </w:r>
    </w:p>
    <w:p w14:paraId="09223C3E">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时  间：</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年</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月</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 xml:space="preserve">日    时  间： </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年</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月</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日</w:t>
      </w:r>
    </w:p>
    <w:p w14:paraId="16FA3E18">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p>
    <w:p w14:paraId="71C2A144">
      <w:pPr>
        <w:pStyle w:val="3"/>
        <w:pageBreakBefore w:val="0"/>
        <w:widowControl w:val="0"/>
        <w:kinsoku/>
        <w:wordWrap/>
        <w:overflowPunct/>
        <w:topLinePunct w:val="0"/>
        <w:bidi w:val="0"/>
        <w:snapToGrid/>
        <w:spacing w:line="380" w:lineRule="exact"/>
        <w:jc w:val="center"/>
        <w:textAlignment w:val="auto"/>
        <w:rPr>
          <w:rFonts w:hint="eastAsia" w:ascii="仿宋" w:hAnsi="仿宋" w:eastAsia="仿宋" w:cs="仿宋"/>
          <w:i w:val="0"/>
          <w:iCs w:val="0"/>
          <w:color w:val="auto"/>
          <w:sz w:val="24"/>
          <w:szCs w:val="24"/>
          <w:highlight w:val="none"/>
        </w:rPr>
      </w:pPr>
      <w:bookmarkStart w:id="349" w:name="_Toc351203494"/>
      <w:r>
        <w:rPr>
          <w:rFonts w:hint="eastAsia" w:ascii="仿宋" w:hAnsi="仿宋" w:eastAsia="仿宋" w:cs="仿宋"/>
          <w:i w:val="0"/>
          <w:iCs w:val="0"/>
          <w:color w:val="auto"/>
          <w:sz w:val="24"/>
          <w:szCs w:val="24"/>
          <w:highlight w:val="none"/>
        </w:rPr>
        <w:t>第二部分 通用合同条款</w:t>
      </w:r>
      <w:bookmarkEnd w:id="349"/>
      <w:bookmarkStart w:id="350" w:name="_Toc337558727"/>
    </w:p>
    <w:p w14:paraId="4BCCD8AE">
      <w:pPr>
        <w:pStyle w:val="4"/>
        <w:pageBreakBefore w:val="0"/>
        <w:widowControl w:val="0"/>
        <w:kinsoku/>
        <w:wordWrap/>
        <w:overflowPunct/>
        <w:topLinePunct w:val="0"/>
        <w:bidi w:val="0"/>
        <w:snapToGrid/>
        <w:spacing w:before="120" w:beforeLines="0" w:after="120" w:afterLines="0" w:line="380" w:lineRule="exact"/>
        <w:textAlignment w:val="auto"/>
        <w:rPr>
          <w:rFonts w:hint="eastAsia" w:ascii="仿宋" w:hAnsi="仿宋" w:eastAsia="仿宋" w:cs="仿宋"/>
          <w:b w:val="0"/>
          <w:i w:val="0"/>
          <w:iCs w:val="0"/>
          <w:color w:val="auto"/>
          <w:sz w:val="24"/>
          <w:szCs w:val="24"/>
          <w:highlight w:val="none"/>
        </w:rPr>
      </w:pPr>
      <w:bookmarkStart w:id="351" w:name="_Toc351203495"/>
      <w:r>
        <w:rPr>
          <w:rFonts w:hint="eastAsia" w:ascii="仿宋" w:hAnsi="仿宋" w:eastAsia="仿宋" w:cs="仿宋"/>
          <w:b w:val="0"/>
          <w:i w:val="0"/>
          <w:iCs w:val="0"/>
          <w:color w:val="auto"/>
          <w:sz w:val="24"/>
          <w:szCs w:val="24"/>
          <w:highlight w:val="none"/>
        </w:rPr>
        <w:t>1.</w:t>
      </w:r>
      <w:bookmarkStart w:id="352" w:name="_Toc303538973"/>
      <w:bookmarkEnd w:id="352"/>
      <w:bookmarkStart w:id="353" w:name="_Toc303538976"/>
      <w:bookmarkEnd w:id="353"/>
      <w:bookmarkStart w:id="354" w:name="_Toc303538972"/>
      <w:bookmarkEnd w:id="354"/>
      <w:bookmarkStart w:id="355" w:name="_Toc303538974"/>
      <w:bookmarkEnd w:id="355"/>
      <w:bookmarkStart w:id="356" w:name="_Toc303538975"/>
      <w:bookmarkEnd w:id="356"/>
      <w:bookmarkStart w:id="357" w:name="_Toc296503027"/>
      <w:bookmarkStart w:id="358" w:name="_Toc296346528"/>
      <w:r>
        <w:rPr>
          <w:rFonts w:hint="eastAsia" w:ascii="仿宋" w:hAnsi="仿宋" w:eastAsia="仿宋" w:cs="仿宋"/>
          <w:b w:val="0"/>
          <w:i w:val="0"/>
          <w:iCs w:val="0"/>
          <w:color w:val="auto"/>
          <w:sz w:val="24"/>
          <w:szCs w:val="24"/>
          <w:highlight w:val="none"/>
        </w:rPr>
        <w:t xml:space="preserve"> 一般约定</w:t>
      </w:r>
      <w:bookmarkEnd w:id="350"/>
      <w:bookmarkEnd w:id="351"/>
      <w:bookmarkEnd w:id="357"/>
      <w:bookmarkEnd w:id="358"/>
    </w:p>
    <w:p w14:paraId="7DB9F52D">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i w:val="0"/>
          <w:iCs w:val="0"/>
          <w:color w:val="auto"/>
          <w:sz w:val="24"/>
          <w:szCs w:val="24"/>
          <w:highlight w:val="none"/>
        </w:rPr>
      </w:pPr>
      <w:bookmarkStart w:id="359" w:name="_Toc296503028"/>
      <w:bookmarkStart w:id="360" w:name="_Toc337558728"/>
      <w:bookmarkStart w:id="361" w:name="_Toc296346529"/>
      <w:bookmarkStart w:id="362" w:name="_Toc351203496"/>
      <w:r>
        <w:rPr>
          <w:rFonts w:hint="eastAsia" w:ascii="仿宋" w:hAnsi="仿宋" w:eastAsia="仿宋" w:cs="仿宋"/>
          <w:b w:val="0"/>
          <w:i w:val="0"/>
          <w:iCs w:val="0"/>
          <w:color w:val="auto"/>
          <w:sz w:val="24"/>
          <w:szCs w:val="24"/>
          <w:highlight w:val="none"/>
        </w:rPr>
        <w:t>1.1</w:t>
      </w:r>
      <w:r>
        <w:rPr>
          <w:rFonts w:hint="eastAsia" w:ascii="仿宋" w:hAnsi="仿宋" w:eastAsia="仿宋" w:cs="仿宋"/>
          <w:b w:val="0"/>
          <w:i w:val="0"/>
          <w:iCs w:val="0"/>
          <w:color w:val="auto"/>
          <w:sz w:val="24"/>
          <w:szCs w:val="24"/>
          <w:highlight w:val="none"/>
          <w:lang w:val="en-US" w:eastAsia="zh-CN"/>
        </w:rPr>
        <w:t xml:space="preserve"> </w:t>
      </w:r>
      <w:r>
        <w:rPr>
          <w:rFonts w:hint="eastAsia" w:ascii="仿宋" w:hAnsi="仿宋" w:eastAsia="仿宋" w:cs="仿宋"/>
          <w:b w:val="0"/>
          <w:i w:val="0"/>
          <w:iCs w:val="0"/>
          <w:color w:val="auto"/>
          <w:sz w:val="24"/>
          <w:szCs w:val="24"/>
          <w:highlight w:val="none"/>
        </w:rPr>
        <w:t>词语定义</w:t>
      </w:r>
      <w:bookmarkEnd w:id="359"/>
      <w:bookmarkEnd w:id="360"/>
      <w:bookmarkEnd w:id="361"/>
      <w:r>
        <w:rPr>
          <w:rFonts w:hint="eastAsia" w:ascii="仿宋" w:hAnsi="仿宋" w:eastAsia="仿宋" w:cs="仿宋"/>
          <w:b w:val="0"/>
          <w:i w:val="0"/>
          <w:iCs w:val="0"/>
          <w:color w:val="auto"/>
          <w:sz w:val="24"/>
          <w:szCs w:val="24"/>
          <w:highlight w:val="none"/>
        </w:rPr>
        <w:t>与解释</w:t>
      </w:r>
      <w:bookmarkEnd w:id="362"/>
    </w:p>
    <w:p w14:paraId="6DB7272A">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合同协议书、通用合同条款、专用合同条款中的下列词语具有本款所赋予的含义：</w:t>
      </w:r>
    </w:p>
    <w:p w14:paraId="5756BF8D">
      <w:pPr>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 xml:space="preserve">    1.1.1 合同</w:t>
      </w:r>
    </w:p>
    <w:p w14:paraId="750D3D74">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1.1.1.1 合同：是指根据法律规定和合同当事人约定具有约束力的文件，构成合同的文件包括合同协议书、专用合同条款</w:t>
      </w:r>
      <w:r>
        <w:rPr>
          <w:rFonts w:hint="eastAsia" w:ascii="仿宋" w:hAnsi="仿宋" w:eastAsia="仿宋" w:cs="仿宋"/>
          <w:i w:val="0"/>
          <w:iCs w:val="0"/>
          <w:color w:val="auto"/>
          <w:sz w:val="24"/>
          <w:szCs w:val="24"/>
          <w:highlight w:val="none"/>
        </w:rPr>
        <w:t>及其附件</w:t>
      </w:r>
      <w:r>
        <w:rPr>
          <w:rFonts w:hint="eastAsia" w:ascii="仿宋" w:hAnsi="仿宋" w:eastAsia="仿宋" w:cs="仿宋"/>
          <w:i w:val="0"/>
          <w:iCs w:val="0"/>
          <w:color w:val="auto"/>
          <w:kern w:val="0"/>
          <w:sz w:val="24"/>
          <w:szCs w:val="24"/>
          <w:highlight w:val="none"/>
        </w:rPr>
        <w:t>、通用合同条款、中标通知书（如果有）、投标函及其附录（如果有）、发包人要求、技术标准、发包人提供的上一阶段图纸（如果有）以及其他合同文件。</w:t>
      </w:r>
    </w:p>
    <w:p w14:paraId="31374B2E">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1.1.1.2 合同协议书：是指构成合同的由发包人和设计人共同签署的称为“合同协议书”的书面文件。</w:t>
      </w:r>
    </w:p>
    <w:p w14:paraId="050D292E">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 xml:space="preserve">1.1.1.3 </w:t>
      </w:r>
      <w:r>
        <w:rPr>
          <w:rFonts w:hint="eastAsia" w:ascii="仿宋" w:hAnsi="仿宋" w:eastAsia="仿宋" w:cs="仿宋"/>
          <w:i w:val="0"/>
          <w:iCs w:val="0"/>
          <w:color w:val="auto"/>
          <w:kern w:val="0"/>
          <w:sz w:val="24"/>
          <w:szCs w:val="24"/>
          <w:highlight w:val="none"/>
        </w:rPr>
        <w:t>中标通知书：是指构成合同的由发包人通知设计人中标的书面文件。</w:t>
      </w:r>
    </w:p>
    <w:p w14:paraId="232FE192">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1.1.1.4 投标函：是指构成合同的由设计人填写并签署的用于投标的称为“投标函”的文件。</w:t>
      </w:r>
    </w:p>
    <w:p w14:paraId="1242054E">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1.1.1.5 投标函附录：是指构成合同的附在投标函后的称为“投标函附录”的文件。</w:t>
      </w:r>
    </w:p>
    <w:p w14:paraId="6D86A154">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 xml:space="preserve">1.1.1.6 </w:t>
      </w:r>
      <w:r>
        <w:rPr>
          <w:rFonts w:hint="eastAsia" w:ascii="仿宋" w:hAnsi="仿宋" w:eastAsia="仿宋" w:cs="仿宋"/>
          <w:i w:val="0"/>
          <w:iCs w:val="0"/>
          <w:color w:val="auto"/>
          <w:sz w:val="24"/>
          <w:szCs w:val="24"/>
          <w:highlight w:val="none"/>
        </w:rPr>
        <w:t>发包人要求：</w:t>
      </w:r>
      <w:r>
        <w:rPr>
          <w:rFonts w:hint="eastAsia" w:ascii="仿宋" w:hAnsi="仿宋" w:eastAsia="仿宋" w:cs="仿宋"/>
          <w:i w:val="0"/>
          <w:iCs w:val="0"/>
          <w:color w:val="auto"/>
          <w:sz w:val="24"/>
          <w:szCs w:val="24"/>
          <w:highlight w:val="none"/>
          <w:lang w:eastAsia="zh-CN"/>
        </w:rPr>
        <w:t>是</w:t>
      </w:r>
      <w:r>
        <w:rPr>
          <w:rFonts w:hint="eastAsia" w:ascii="仿宋" w:hAnsi="仿宋" w:eastAsia="仿宋" w:cs="仿宋"/>
          <w:i w:val="0"/>
          <w:iCs w:val="0"/>
          <w:color w:val="auto"/>
          <w:sz w:val="24"/>
          <w:szCs w:val="24"/>
          <w:highlight w:val="none"/>
        </w:rPr>
        <w:t>指构成合同文件组成部分的，由发包人就工程项目的目的、范围、功能要求及工程设计文件审查的范围和内容等提出相应要求的书面文件，又称设计任务书。</w:t>
      </w:r>
    </w:p>
    <w:p w14:paraId="724D89D8">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1.1.1.7 技术标准：是指构成合同的设计应当遵守的或指导设计的国家、行业或地方的技术标准和要求，以及合同约定的技术标准和要求。</w:t>
      </w:r>
    </w:p>
    <w:p w14:paraId="039ADA0A">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1.1.1.8 其他合同文件：是指经合同当事人约定的与工程设计有关的具有合同约束力的文件或书面协议。合同当事人可以在专用合同条款中进行约定。</w:t>
      </w:r>
    </w:p>
    <w:p w14:paraId="0DBAA673">
      <w:pPr>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 xml:space="preserve">    1.1.2 合同当事人及其他相关方</w:t>
      </w:r>
    </w:p>
    <w:p w14:paraId="7CB799DC">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1.1.2.1 合同当事人：是指发包人和（或）设计人。</w:t>
      </w:r>
    </w:p>
    <w:p w14:paraId="5A908394">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1.1.2.2 发包人：是指与设计人签订合同协议书的当事人及取得该当事人资格的合法继承人。</w:t>
      </w:r>
    </w:p>
    <w:p w14:paraId="52782CA3">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1.1.2.3 设计人：是指与发包人签订合同协议书的，具有相应工程设计资质的当事人及取得该当事人资格的合法继承人。</w:t>
      </w:r>
    </w:p>
    <w:p w14:paraId="79B6E396">
      <w:pPr>
        <w:pageBreakBefore w:val="0"/>
        <w:widowControl w:val="0"/>
        <w:kinsoku/>
        <w:wordWrap/>
        <w:overflowPunct/>
        <w:topLinePunct w:val="0"/>
        <w:bidi w:val="0"/>
        <w:snapToGrid/>
        <w:spacing w:line="380" w:lineRule="exact"/>
        <w:ind w:firstLine="468" w:firstLineChars="195"/>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1.1.2.4 分包人：</w:t>
      </w:r>
      <w:bookmarkStart w:id="363" w:name="#go5"/>
      <w:bookmarkEnd w:id="363"/>
      <w:r>
        <w:rPr>
          <w:rFonts w:hint="eastAsia" w:ascii="仿宋" w:hAnsi="仿宋" w:eastAsia="仿宋" w:cs="仿宋"/>
          <w:i w:val="0"/>
          <w:iCs w:val="0"/>
          <w:color w:val="auto"/>
          <w:kern w:val="0"/>
          <w:sz w:val="24"/>
          <w:szCs w:val="24"/>
          <w:highlight w:val="none"/>
        </w:rPr>
        <w:t>是指按照法律规定和合同约定，分包部分工程设计工作，并与设计人签订分包合同的具有相应资质的法人。</w:t>
      </w:r>
    </w:p>
    <w:p w14:paraId="1D22FA11">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1.1.2.5 发包人代表：是指由发包人指定负责工程设计方面在发包人授权范围内行使发包人权利的人。</w:t>
      </w:r>
    </w:p>
    <w:p w14:paraId="154CAAB9">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1.1.2.6 项目负责人：是指由设计人任命负责工程设计，在设计人授权范围内负责合同履行，且按照法律规定具有相应资格的项目主持人。</w:t>
      </w:r>
    </w:p>
    <w:p w14:paraId="25065455">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1.1.2.7 联合体：是指两个以上设计人联合，以一个设计人身份为发包人提供工程设计服务的临时性组织。</w:t>
      </w:r>
    </w:p>
    <w:p w14:paraId="68128596">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1.1.3 工程设计服务、资料与文件</w:t>
      </w:r>
    </w:p>
    <w:p w14:paraId="2D51CFD3">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1.1.3.1 工程设计服务</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是指设计人按照合同约定履行的服务，包括工程设计基本服务、工程设计其他服务。</w:t>
      </w:r>
    </w:p>
    <w:p w14:paraId="2B64B5D0">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1.1.3.2 工程设计基本服务：是指设计人根据发包人的委托，提供编制专业建设工程初步设计文件（含初步设计概算）、施工图设计文件服务，并相应提供设计技术交底、解决施工中的设计技术问题、参加试车（试运行）考核和竣工验收等服务。基本服务费用包含在设计费中。</w:t>
      </w:r>
    </w:p>
    <w:p w14:paraId="27016619">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18FFDA9A">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1.1.3.4 暂停设计：是指发生设计人不能按照合同约定履行全部或部分义务情形而暂时中断工程设计服务的行为。</w:t>
      </w:r>
    </w:p>
    <w:p w14:paraId="4696C167">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rPr>
        <w:t>1.1.3.5 工程设计资料：是指</w:t>
      </w:r>
      <w:r>
        <w:rPr>
          <w:rFonts w:hint="eastAsia" w:ascii="仿宋" w:hAnsi="仿宋" w:eastAsia="仿宋" w:cs="仿宋"/>
          <w:i w:val="0"/>
          <w:iCs w:val="0"/>
          <w:color w:val="auto"/>
          <w:sz w:val="24"/>
          <w:szCs w:val="24"/>
          <w:highlight w:val="none"/>
        </w:rPr>
        <w:t>根据合同约定，发包人向设计人提供的用于完成工程设计范围与内容所需要的资料。工程设计资料包括项目基础资料和现场障碍资料。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14:paraId="4BE64D45">
      <w:pPr>
        <w:pStyle w:val="11"/>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1.1.3.6 工程设计文件：指按照合同约定和技术要求，由设计人向发包人提供的阶段性成果、最终工作成果等，且应当采用合同中双方约定的载体。</w:t>
      </w:r>
    </w:p>
    <w:p w14:paraId="24014C6F">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1.1.4 日期和期限</w:t>
      </w:r>
    </w:p>
    <w:p w14:paraId="67AB5F08">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1.1.4.1 开始设计日期：包括计划开始设计日期和实际开始设计日期。计划开始设计日期是指合同协议书约定的开始设计日期；实际开始设计日期是指发包人发出的开始设计通知中载明的开始设计日期。</w:t>
      </w:r>
    </w:p>
    <w:p w14:paraId="6989A3B0">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14:paraId="03872F46">
      <w:pPr>
        <w:pageBreakBefore w:val="0"/>
        <w:widowControl w:val="0"/>
        <w:kinsoku/>
        <w:wordWrap/>
        <w:overflowPunct/>
        <w:topLinePunct w:val="0"/>
        <w:bidi w:val="0"/>
        <w:snapToGrid/>
        <w:spacing w:line="380" w:lineRule="exact"/>
        <w:ind w:firstLine="487" w:firstLineChars="203"/>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rPr>
        <w:t>1.1.4.3 设计周期又称设计工期：是指在合同协议书约定的设计人完成工程设计及相关服务所需的期限，包括按照合同约定所作的期限变更。</w:t>
      </w:r>
    </w:p>
    <w:p w14:paraId="56DC8554">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1.1.4.4 基准日期：招标发包的工程设计以投标截止日前28天的日期为基准日期，直接发包的工程设计以合同签订日前28天的日期为基准日期。</w:t>
      </w:r>
    </w:p>
    <w:p w14:paraId="6704F72A">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1.1.4.5 天：除特别指明外，均指日历天。合同中按天计算时间的，开始当天不计入，从次日开始计算，期限最后一天的截止时间为当天24:00时。</w:t>
      </w:r>
    </w:p>
    <w:p w14:paraId="0DD58015">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1.1.5 合同价格</w:t>
      </w:r>
    </w:p>
    <w:p w14:paraId="513EEFB8">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rPr>
        <w:t>1.1.5.1 签约合同价：是指</w:t>
      </w:r>
      <w:r>
        <w:rPr>
          <w:rFonts w:hint="eastAsia" w:ascii="仿宋" w:hAnsi="仿宋" w:eastAsia="仿宋" w:cs="仿宋"/>
          <w:i w:val="0"/>
          <w:iCs w:val="0"/>
          <w:color w:val="auto"/>
          <w:sz w:val="24"/>
          <w:szCs w:val="24"/>
          <w:highlight w:val="none"/>
        </w:rPr>
        <w:t>发包人和设计人在合同协议书中确定的总金额。</w:t>
      </w:r>
    </w:p>
    <w:p w14:paraId="0E271F1C">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1.1.5.2 合同价格又称设计费：是指发包人用于支付设计人按照合同约定完成工程设计范围内全部工作的金额，包括合同履行过程中按合同约定发生的价格变化。</w:t>
      </w:r>
    </w:p>
    <w:p w14:paraId="0EB66EC6">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1.1.6 其他</w:t>
      </w:r>
    </w:p>
    <w:p w14:paraId="40D9CD83">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1.1.6.1 书面形式：是指合同书、信件和数据电文（包括电报、电传、传真、电子数据交换和电子邮件）等可以有形地表现所载内容的形式。</w:t>
      </w:r>
    </w:p>
    <w:p w14:paraId="0CAA9D05">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4"/>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 xml:space="preserve">    </w:t>
      </w:r>
      <w:bookmarkStart w:id="364" w:name="_Toc337558729"/>
      <w:bookmarkStart w:id="365" w:name="_Toc296346530"/>
      <w:bookmarkStart w:id="366" w:name="_Toc296503029"/>
      <w:bookmarkStart w:id="367" w:name="_Toc351203497"/>
      <w:r>
        <w:rPr>
          <w:rFonts w:hint="eastAsia" w:ascii="仿宋" w:hAnsi="仿宋" w:eastAsia="仿宋" w:cs="仿宋"/>
          <w:b w:val="0"/>
          <w:i w:val="0"/>
          <w:iCs w:val="0"/>
          <w:color w:val="auto"/>
          <w:sz w:val="24"/>
          <w:szCs w:val="24"/>
          <w:highlight w:val="none"/>
        </w:rPr>
        <w:t>1.2</w:t>
      </w:r>
      <w:r>
        <w:rPr>
          <w:rFonts w:hint="eastAsia" w:ascii="仿宋" w:hAnsi="仿宋" w:eastAsia="仿宋" w:cs="仿宋"/>
          <w:b w:val="0"/>
          <w:i w:val="0"/>
          <w:iCs w:val="0"/>
          <w:color w:val="auto"/>
          <w:sz w:val="24"/>
          <w:szCs w:val="24"/>
          <w:highlight w:val="none"/>
          <w:lang w:val="en-US" w:eastAsia="zh-CN"/>
        </w:rPr>
        <w:t xml:space="preserve"> </w:t>
      </w:r>
      <w:r>
        <w:rPr>
          <w:rFonts w:hint="eastAsia" w:ascii="仿宋" w:hAnsi="仿宋" w:eastAsia="仿宋" w:cs="仿宋"/>
          <w:b w:val="0"/>
          <w:i w:val="0"/>
          <w:iCs w:val="0"/>
          <w:color w:val="auto"/>
          <w:sz w:val="24"/>
          <w:szCs w:val="24"/>
          <w:highlight w:val="none"/>
        </w:rPr>
        <w:t>语言文字</w:t>
      </w:r>
      <w:bookmarkEnd w:id="364"/>
      <w:bookmarkEnd w:id="365"/>
      <w:bookmarkEnd w:id="366"/>
      <w:bookmarkEnd w:id="367"/>
    </w:p>
    <w:p w14:paraId="083E7457">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合同以中国的汉语简体文字编写、解释和说明。合同当事人在专用合同条款中约定使用两种以上语言时，汉语为优先解释和说明合同的语言。</w:t>
      </w:r>
    </w:p>
    <w:p w14:paraId="23F0D3CB">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i w:val="0"/>
          <w:iCs w:val="0"/>
          <w:color w:val="auto"/>
          <w:sz w:val="24"/>
          <w:szCs w:val="24"/>
          <w:highlight w:val="none"/>
        </w:rPr>
      </w:pPr>
      <w:bookmarkStart w:id="368" w:name="_Toc337558730"/>
      <w:bookmarkStart w:id="369" w:name="_Toc351203498"/>
      <w:bookmarkStart w:id="370" w:name="_Toc296503030"/>
      <w:bookmarkStart w:id="371" w:name="_Toc296346531"/>
      <w:r>
        <w:rPr>
          <w:rFonts w:hint="eastAsia" w:ascii="仿宋" w:hAnsi="仿宋" w:eastAsia="仿宋" w:cs="仿宋"/>
          <w:b w:val="0"/>
          <w:i w:val="0"/>
          <w:iCs w:val="0"/>
          <w:color w:val="auto"/>
          <w:sz w:val="24"/>
          <w:szCs w:val="24"/>
          <w:highlight w:val="none"/>
        </w:rPr>
        <w:t>1.3</w:t>
      </w:r>
      <w:r>
        <w:rPr>
          <w:rFonts w:hint="eastAsia" w:ascii="仿宋" w:hAnsi="仿宋" w:eastAsia="仿宋" w:cs="仿宋"/>
          <w:b w:val="0"/>
          <w:i w:val="0"/>
          <w:iCs w:val="0"/>
          <w:color w:val="auto"/>
          <w:sz w:val="24"/>
          <w:szCs w:val="24"/>
          <w:highlight w:val="none"/>
          <w:lang w:val="en-US" w:eastAsia="zh-CN"/>
        </w:rPr>
        <w:t xml:space="preserve"> </w:t>
      </w:r>
      <w:r>
        <w:rPr>
          <w:rFonts w:hint="eastAsia" w:ascii="仿宋" w:hAnsi="仿宋" w:eastAsia="仿宋" w:cs="仿宋"/>
          <w:b w:val="0"/>
          <w:i w:val="0"/>
          <w:iCs w:val="0"/>
          <w:color w:val="auto"/>
          <w:sz w:val="24"/>
          <w:szCs w:val="24"/>
          <w:highlight w:val="none"/>
        </w:rPr>
        <w:t>法律</w:t>
      </w:r>
      <w:bookmarkEnd w:id="368"/>
      <w:bookmarkEnd w:id="369"/>
      <w:bookmarkEnd w:id="370"/>
      <w:bookmarkEnd w:id="371"/>
    </w:p>
    <w:p w14:paraId="48CF5727">
      <w:pPr>
        <w:keepNext w:val="0"/>
        <w:keepLines w:val="0"/>
        <w:pageBreakBefore w:val="0"/>
        <w:widowControl w:val="0"/>
        <w:kinsoku/>
        <w:wordWrap/>
        <w:overflowPunct/>
        <w:topLinePunct w:val="0"/>
        <w:autoSpaceDE w:val="0"/>
        <w:autoSpaceDN w:val="0"/>
        <w:bidi w:val="0"/>
        <w:adjustRightInd w:val="0"/>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合同所称法律是指中华人民共和国法律、行政法规、部门规章，以及工程所在地的地方性法规、自治条例、单行条例和地方政府规章等。</w:t>
      </w:r>
    </w:p>
    <w:p w14:paraId="07DEC354">
      <w:pPr>
        <w:keepNext w:val="0"/>
        <w:keepLines w:val="0"/>
        <w:pageBreakBefore w:val="0"/>
        <w:widowControl w:val="0"/>
        <w:kinsoku/>
        <w:wordWrap/>
        <w:overflowPunct/>
        <w:topLinePunct w:val="0"/>
        <w:autoSpaceDE w:val="0"/>
        <w:autoSpaceDN w:val="0"/>
        <w:bidi w:val="0"/>
        <w:adjustRightInd w:val="0"/>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合同当事人可以在专用合同条款中约定合同适用的其他规范性文件。</w:t>
      </w:r>
    </w:p>
    <w:p w14:paraId="7A3C6377">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i w:val="0"/>
          <w:iCs w:val="0"/>
          <w:color w:val="auto"/>
          <w:sz w:val="24"/>
          <w:szCs w:val="24"/>
          <w:highlight w:val="none"/>
        </w:rPr>
      </w:pPr>
      <w:bookmarkStart w:id="372" w:name="_Toc351203499"/>
      <w:r>
        <w:rPr>
          <w:rFonts w:hint="eastAsia" w:ascii="仿宋" w:hAnsi="仿宋" w:eastAsia="仿宋" w:cs="仿宋"/>
          <w:b w:val="0"/>
          <w:i w:val="0"/>
          <w:iCs w:val="0"/>
          <w:color w:val="auto"/>
          <w:sz w:val="24"/>
          <w:szCs w:val="24"/>
          <w:highlight w:val="none"/>
        </w:rPr>
        <w:t>1.4 技术标准</w:t>
      </w:r>
      <w:bookmarkEnd w:id="372"/>
    </w:p>
    <w:p w14:paraId="6E038726">
      <w:pPr>
        <w:pageBreakBefore w:val="0"/>
        <w:widowControl w:val="0"/>
        <w:kinsoku/>
        <w:wordWrap/>
        <w:overflowPunct/>
        <w:topLinePunct w:val="0"/>
        <w:autoSpaceDE w:val="0"/>
        <w:autoSpaceDN w:val="0"/>
        <w:bidi w:val="0"/>
        <w:adjustRightInd w:val="0"/>
        <w:snapToGrid/>
        <w:spacing w:line="380" w:lineRule="exact"/>
        <w:ind w:firstLine="64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1.4.1 适用于工程的现行有效的国家标准、行业标准、工程所在地的地方性标准，以及相应的规范、规程等，合同当事人有特别要求的，应在专用合同条款中约定。</w:t>
      </w:r>
    </w:p>
    <w:p w14:paraId="47A394EC">
      <w:pPr>
        <w:pageBreakBefore w:val="0"/>
        <w:widowControl w:val="0"/>
        <w:kinsoku/>
        <w:wordWrap/>
        <w:overflowPunct/>
        <w:topLinePunct w:val="0"/>
        <w:autoSpaceDE w:val="0"/>
        <w:autoSpaceDN w:val="0"/>
        <w:bidi w:val="0"/>
        <w:adjustRightInd w:val="0"/>
        <w:snapToGrid/>
        <w:spacing w:line="380" w:lineRule="exact"/>
        <w:ind w:firstLine="64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1.4.2 发包人要求使用国外技术标准的，发包人与设计人在专用合同条款中约定原文版本和中文译本提供方及提供标准的名称、份数、时间及费用承担等事项。</w:t>
      </w:r>
    </w:p>
    <w:p w14:paraId="632298EA">
      <w:pPr>
        <w:pageBreakBefore w:val="0"/>
        <w:widowControl w:val="0"/>
        <w:kinsoku/>
        <w:wordWrap/>
        <w:overflowPunct/>
        <w:topLinePunct w:val="0"/>
        <w:autoSpaceDE w:val="0"/>
        <w:autoSpaceDN w:val="0"/>
        <w:bidi w:val="0"/>
        <w:adjustRightInd w:val="0"/>
        <w:snapToGrid/>
        <w:spacing w:line="380" w:lineRule="exact"/>
        <w:ind w:firstLine="64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03086616">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i w:val="0"/>
          <w:iCs w:val="0"/>
          <w:color w:val="auto"/>
          <w:sz w:val="24"/>
          <w:szCs w:val="24"/>
          <w:highlight w:val="none"/>
        </w:rPr>
      </w:pPr>
      <w:bookmarkStart w:id="373" w:name="_Toc351203500"/>
      <w:r>
        <w:rPr>
          <w:rFonts w:hint="eastAsia" w:ascii="仿宋" w:hAnsi="仿宋" w:eastAsia="仿宋" w:cs="仿宋"/>
          <w:b w:val="0"/>
          <w:i w:val="0"/>
          <w:iCs w:val="0"/>
          <w:color w:val="auto"/>
          <w:sz w:val="24"/>
          <w:szCs w:val="24"/>
          <w:highlight w:val="none"/>
        </w:rPr>
        <w:t>1</w:t>
      </w:r>
      <w:bookmarkStart w:id="374" w:name="_Toc337558731"/>
      <w:bookmarkStart w:id="375" w:name="_Toc296503031"/>
      <w:bookmarkStart w:id="376" w:name="_Toc296346532"/>
      <w:r>
        <w:rPr>
          <w:rFonts w:hint="eastAsia" w:ascii="仿宋" w:hAnsi="仿宋" w:eastAsia="仿宋" w:cs="仿宋"/>
          <w:b w:val="0"/>
          <w:i w:val="0"/>
          <w:iCs w:val="0"/>
          <w:color w:val="auto"/>
          <w:sz w:val="24"/>
          <w:szCs w:val="24"/>
          <w:highlight w:val="none"/>
        </w:rPr>
        <w:t>.5 合同文件的优先顺序</w:t>
      </w:r>
      <w:bookmarkEnd w:id="373"/>
    </w:p>
    <w:bookmarkEnd w:id="374"/>
    <w:bookmarkEnd w:id="375"/>
    <w:bookmarkEnd w:id="376"/>
    <w:p w14:paraId="3C68BAE3">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组成合同的各项文件应互相解释，互为说明。除专用合同条款另有约定外，解释合同文件的优先顺序如下：</w:t>
      </w:r>
    </w:p>
    <w:p w14:paraId="221C5BE9">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（1）合同协议书；</w:t>
      </w:r>
    </w:p>
    <w:p w14:paraId="6A9FB0B6">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（2）专用合同条款</w:t>
      </w:r>
      <w:r>
        <w:rPr>
          <w:rFonts w:hint="eastAsia" w:ascii="仿宋" w:hAnsi="仿宋" w:eastAsia="仿宋" w:cs="仿宋"/>
          <w:i w:val="0"/>
          <w:iCs w:val="0"/>
          <w:color w:val="auto"/>
          <w:sz w:val="24"/>
          <w:szCs w:val="24"/>
          <w:highlight w:val="none"/>
        </w:rPr>
        <w:t>及其附件</w:t>
      </w:r>
      <w:r>
        <w:rPr>
          <w:rFonts w:hint="eastAsia" w:ascii="仿宋" w:hAnsi="仿宋" w:eastAsia="仿宋" w:cs="仿宋"/>
          <w:i w:val="0"/>
          <w:iCs w:val="0"/>
          <w:color w:val="auto"/>
          <w:kern w:val="0"/>
          <w:sz w:val="24"/>
          <w:szCs w:val="24"/>
          <w:highlight w:val="none"/>
        </w:rPr>
        <w:t xml:space="preserve">； </w:t>
      </w:r>
    </w:p>
    <w:p w14:paraId="5FA3DB50">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 xml:space="preserve">（3）通用合同条款； </w:t>
      </w:r>
    </w:p>
    <w:p w14:paraId="4D881E0F">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（4）中标通知书（如果有）；</w:t>
      </w:r>
    </w:p>
    <w:p w14:paraId="20B7C579">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（5）投标函及其附录（如果有）；</w:t>
      </w:r>
    </w:p>
    <w:p w14:paraId="435A3525">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（6）发包人要求；</w:t>
      </w:r>
    </w:p>
    <w:p w14:paraId="2235F1AC">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（7）技术标准；</w:t>
      </w:r>
    </w:p>
    <w:p w14:paraId="3AFA91BB">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（8）发包人提供的上一阶段图纸（如果有）；</w:t>
      </w:r>
    </w:p>
    <w:p w14:paraId="454E651D">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rPr>
        <w:t>（9）其他合同文件。</w:t>
      </w:r>
    </w:p>
    <w:p w14:paraId="058063B3">
      <w:pPr>
        <w:pageBreakBefore w:val="0"/>
        <w:widowControl w:val="0"/>
        <w:kinsoku/>
        <w:wordWrap/>
        <w:overflowPunct/>
        <w:topLinePunct w:val="0"/>
        <w:bidi w:val="0"/>
        <w:snapToGrid/>
        <w:spacing w:line="380" w:lineRule="exact"/>
        <w:ind w:firstLine="511" w:firstLineChars="213"/>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上述各项合同文件包括合同当事人就该项合同文件所作出的补充和修改，属于同一类内容的文件，应以最新签署的为准。</w:t>
      </w:r>
    </w:p>
    <w:p w14:paraId="5ACE063E">
      <w:pPr>
        <w:pageBreakBefore w:val="0"/>
        <w:widowControl w:val="0"/>
        <w:kinsoku/>
        <w:wordWrap/>
        <w:overflowPunct/>
        <w:topLinePunct w:val="0"/>
        <w:bidi w:val="0"/>
        <w:snapToGrid/>
        <w:spacing w:line="380" w:lineRule="exact"/>
        <w:ind w:firstLine="511" w:firstLineChars="213"/>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在合同履行过程中形成的与合同有关的文件均构成合同文件组成部分，并根据其性质确定优先解释顺序。</w:t>
      </w:r>
    </w:p>
    <w:p w14:paraId="238FADF5">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i w:val="0"/>
          <w:iCs w:val="0"/>
          <w:color w:val="auto"/>
          <w:sz w:val="24"/>
          <w:szCs w:val="24"/>
          <w:highlight w:val="none"/>
        </w:rPr>
      </w:pPr>
      <w:bookmarkStart w:id="377" w:name="_Toc351203502"/>
      <w:r>
        <w:rPr>
          <w:rFonts w:hint="eastAsia" w:ascii="仿宋" w:hAnsi="仿宋" w:eastAsia="仿宋" w:cs="仿宋"/>
          <w:b w:val="0"/>
          <w:i w:val="0"/>
          <w:iCs w:val="0"/>
          <w:color w:val="auto"/>
          <w:sz w:val="24"/>
          <w:szCs w:val="24"/>
          <w:highlight w:val="none"/>
        </w:rPr>
        <w:t>1</w:t>
      </w:r>
      <w:bookmarkStart w:id="378" w:name="_Toc296346534"/>
      <w:bookmarkStart w:id="379" w:name="_Toc337558733"/>
      <w:bookmarkStart w:id="380" w:name="_Toc296503033"/>
      <w:r>
        <w:rPr>
          <w:rFonts w:hint="eastAsia" w:ascii="仿宋" w:hAnsi="仿宋" w:eastAsia="仿宋" w:cs="仿宋"/>
          <w:b w:val="0"/>
          <w:i w:val="0"/>
          <w:iCs w:val="0"/>
          <w:color w:val="auto"/>
          <w:sz w:val="24"/>
          <w:szCs w:val="24"/>
          <w:highlight w:val="none"/>
        </w:rPr>
        <w:t>.6 联络</w:t>
      </w:r>
      <w:bookmarkEnd w:id="377"/>
    </w:p>
    <w:bookmarkEnd w:id="378"/>
    <w:bookmarkEnd w:id="379"/>
    <w:bookmarkEnd w:id="380"/>
    <w:p w14:paraId="774EF379">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1.6.1 与合同有关的通知、批准、证明、证书、指示、指令、要求、请求、同意</w:t>
      </w:r>
      <w:r>
        <w:rPr>
          <w:rFonts w:hint="eastAsia" w:ascii="仿宋" w:hAnsi="仿宋" w:eastAsia="仿宋" w:cs="仿宋"/>
          <w:b/>
          <w:i w:val="0"/>
          <w:iCs w:val="0"/>
          <w:color w:val="auto"/>
          <w:kern w:val="0"/>
          <w:sz w:val="24"/>
          <w:szCs w:val="24"/>
          <w:highlight w:val="none"/>
        </w:rPr>
        <w:t>、</w:t>
      </w:r>
      <w:r>
        <w:rPr>
          <w:rFonts w:hint="eastAsia" w:ascii="仿宋" w:hAnsi="仿宋" w:eastAsia="仿宋" w:cs="仿宋"/>
          <w:i w:val="0"/>
          <w:iCs w:val="0"/>
          <w:color w:val="auto"/>
          <w:kern w:val="0"/>
          <w:sz w:val="24"/>
          <w:szCs w:val="24"/>
          <w:highlight w:val="none"/>
        </w:rPr>
        <w:t>确定和决定等，均应采用书面形式，并应在合同约定的期限内送达接收人和送达地点。</w:t>
      </w:r>
    </w:p>
    <w:p w14:paraId="7741D3C6">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15D4BD32">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1.6.3 发包人和设计人应当及时签收另一方送达至送达地点和指定接收人的来往信函，如确有充分证据证明一方无正当理由拒不签收的，视为拒绝签收一方认可往来信函的内容。</w:t>
      </w:r>
    </w:p>
    <w:p w14:paraId="7E25137A">
      <w:pPr>
        <w:pStyle w:val="5"/>
        <w:pageBreakBefore w:val="0"/>
        <w:widowControl w:val="0"/>
        <w:kinsoku/>
        <w:wordWrap/>
        <w:overflowPunct/>
        <w:topLinePunct w:val="0"/>
        <w:bidi w:val="0"/>
        <w:snapToGrid/>
        <w:spacing w:before="120" w:beforeLines="0" w:after="120" w:afterLines="0" w:line="380" w:lineRule="exact"/>
        <w:ind w:firstLine="480" w:firstLineChars="200"/>
        <w:textAlignment w:val="auto"/>
        <w:rPr>
          <w:rFonts w:hint="eastAsia" w:ascii="仿宋" w:hAnsi="仿宋" w:eastAsia="仿宋" w:cs="仿宋"/>
          <w:b w:val="0"/>
          <w:i w:val="0"/>
          <w:iCs w:val="0"/>
          <w:color w:val="auto"/>
          <w:sz w:val="24"/>
          <w:szCs w:val="24"/>
          <w:highlight w:val="none"/>
        </w:rPr>
      </w:pPr>
      <w:bookmarkStart w:id="381" w:name="_Toc351203503"/>
      <w:r>
        <w:rPr>
          <w:rFonts w:hint="eastAsia" w:ascii="仿宋" w:hAnsi="仿宋" w:eastAsia="仿宋" w:cs="仿宋"/>
          <w:b w:val="0"/>
          <w:i w:val="0"/>
          <w:iCs w:val="0"/>
          <w:color w:val="auto"/>
          <w:sz w:val="24"/>
          <w:szCs w:val="24"/>
          <w:highlight w:val="none"/>
        </w:rPr>
        <w:t>1</w:t>
      </w:r>
      <w:bookmarkStart w:id="382" w:name="_Toc296503035"/>
      <w:bookmarkStart w:id="383" w:name="_Toc337558734"/>
      <w:bookmarkStart w:id="384" w:name="_Toc296346536"/>
      <w:r>
        <w:rPr>
          <w:rFonts w:hint="eastAsia" w:ascii="仿宋" w:hAnsi="仿宋" w:eastAsia="仿宋" w:cs="仿宋"/>
          <w:b w:val="0"/>
          <w:i w:val="0"/>
          <w:iCs w:val="0"/>
          <w:color w:val="auto"/>
          <w:sz w:val="24"/>
          <w:szCs w:val="24"/>
          <w:highlight w:val="none"/>
        </w:rPr>
        <w:t>.7 严禁贿赂</w:t>
      </w:r>
      <w:bookmarkEnd w:id="381"/>
    </w:p>
    <w:bookmarkEnd w:id="382"/>
    <w:bookmarkEnd w:id="383"/>
    <w:bookmarkEnd w:id="384"/>
    <w:p w14:paraId="1FBC1786">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合同当事人不得以贿赂或变相贿赂的方式，谋取非法利益或损害对方权益。因一方合同当事人的贿赂造成对方损失的，应赔偿损失，</w:t>
      </w:r>
      <w:r>
        <w:rPr>
          <w:rFonts w:hint="eastAsia" w:ascii="仿宋" w:hAnsi="仿宋" w:eastAsia="仿宋" w:cs="仿宋"/>
          <w:i w:val="0"/>
          <w:iCs w:val="0"/>
          <w:color w:val="auto"/>
          <w:kern w:val="0"/>
          <w:sz w:val="24"/>
          <w:szCs w:val="24"/>
          <w:highlight w:val="none"/>
          <w:lang w:eastAsia="zh-CN"/>
        </w:rPr>
        <w:t>并</w:t>
      </w:r>
      <w:r>
        <w:rPr>
          <w:rFonts w:hint="eastAsia" w:ascii="仿宋" w:hAnsi="仿宋" w:eastAsia="仿宋" w:cs="仿宋"/>
          <w:i w:val="0"/>
          <w:iCs w:val="0"/>
          <w:color w:val="auto"/>
          <w:kern w:val="0"/>
          <w:sz w:val="24"/>
          <w:szCs w:val="24"/>
          <w:highlight w:val="none"/>
        </w:rPr>
        <w:t>承担相应的法律责任。</w:t>
      </w:r>
    </w:p>
    <w:p w14:paraId="09475229">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1</w:t>
      </w:r>
      <w:bookmarkStart w:id="385" w:name="_Toc337558738"/>
      <w:r>
        <w:rPr>
          <w:rFonts w:hint="eastAsia" w:ascii="仿宋" w:hAnsi="仿宋" w:eastAsia="仿宋" w:cs="仿宋"/>
          <w:b w:val="0"/>
          <w:i w:val="0"/>
          <w:iCs w:val="0"/>
          <w:color w:val="auto"/>
          <w:sz w:val="24"/>
          <w:szCs w:val="24"/>
          <w:highlight w:val="none"/>
        </w:rPr>
        <w:t>.8</w:t>
      </w:r>
      <w:r>
        <w:rPr>
          <w:rFonts w:hint="eastAsia" w:ascii="仿宋" w:hAnsi="仿宋" w:eastAsia="仿宋" w:cs="仿宋"/>
          <w:b w:val="0"/>
          <w:i w:val="0"/>
          <w:iCs w:val="0"/>
          <w:color w:val="auto"/>
          <w:sz w:val="24"/>
          <w:szCs w:val="24"/>
          <w:highlight w:val="none"/>
          <w:lang w:val="en-US" w:eastAsia="zh-CN"/>
        </w:rPr>
        <w:t xml:space="preserve"> </w:t>
      </w:r>
      <w:r>
        <w:rPr>
          <w:rFonts w:hint="eastAsia" w:ascii="仿宋" w:hAnsi="仿宋" w:eastAsia="仿宋" w:cs="仿宋"/>
          <w:b w:val="0"/>
          <w:i w:val="0"/>
          <w:iCs w:val="0"/>
          <w:color w:val="auto"/>
          <w:sz w:val="24"/>
          <w:szCs w:val="24"/>
          <w:highlight w:val="none"/>
        </w:rPr>
        <w:t>保密</w:t>
      </w:r>
    </w:p>
    <w:bookmarkEnd w:id="385"/>
    <w:p w14:paraId="527E4C40">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除法律规定或合同另有约定外，未经发包人同意，设计人不得将发包人提供的图纸、文件以及声明需要保密的资料信息等商业秘密泄露给第三方。</w:t>
      </w:r>
    </w:p>
    <w:p w14:paraId="6003D912">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除法律规定或合同另有约定外，未经设计人同意，发包人不得将设计人提供的技术文件、技术成果、技术秘密及声明需要保密的资料信息等商业秘密泄露给第三方。</w:t>
      </w:r>
    </w:p>
    <w:p w14:paraId="37F4B23F">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保密期限由发包人与设计人在专用合同条款中约定。</w:t>
      </w:r>
    </w:p>
    <w:p w14:paraId="57A7C318">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bookmarkStart w:id="386" w:name="_Toc351203509"/>
      <w:r>
        <w:rPr>
          <w:rFonts w:hint="eastAsia" w:ascii="仿宋" w:hAnsi="仿宋" w:eastAsia="仿宋" w:cs="仿宋"/>
          <w:b w:val="0"/>
          <w:i w:val="0"/>
          <w:iCs w:val="0"/>
          <w:color w:val="auto"/>
          <w:sz w:val="24"/>
          <w:szCs w:val="24"/>
          <w:highlight w:val="none"/>
        </w:rPr>
        <w:t>2</w:t>
      </w:r>
      <w:bookmarkStart w:id="387" w:name="_Toc337558739"/>
      <w:bookmarkStart w:id="388" w:name="_Toc296346539"/>
      <w:bookmarkStart w:id="389" w:name="_Toc296503038"/>
      <w:bookmarkStart w:id="390" w:name="OLE_LINK1"/>
      <w:bookmarkStart w:id="391" w:name="OLE_LINK2"/>
      <w:r>
        <w:rPr>
          <w:rFonts w:hint="eastAsia" w:ascii="仿宋" w:hAnsi="仿宋" w:eastAsia="仿宋" w:cs="仿宋"/>
          <w:b w:val="0"/>
          <w:i w:val="0"/>
          <w:iCs w:val="0"/>
          <w:color w:val="auto"/>
          <w:sz w:val="24"/>
          <w:szCs w:val="24"/>
          <w:highlight w:val="none"/>
        </w:rPr>
        <w:t>. 发包人</w:t>
      </w:r>
      <w:bookmarkEnd w:id="386"/>
    </w:p>
    <w:bookmarkEnd w:id="387"/>
    <w:bookmarkEnd w:id="388"/>
    <w:bookmarkEnd w:id="389"/>
    <w:p w14:paraId="6D5F742A">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i w:val="0"/>
          <w:iCs w:val="0"/>
          <w:color w:val="auto"/>
          <w:sz w:val="24"/>
          <w:szCs w:val="24"/>
          <w:highlight w:val="none"/>
        </w:rPr>
      </w:pPr>
      <w:bookmarkStart w:id="392" w:name="_Toc351203510"/>
      <w:r>
        <w:rPr>
          <w:rFonts w:hint="eastAsia" w:ascii="仿宋" w:hAnsi="仿宋" w:eastAsia="仿宋" w:cs="仿宋"/>
          <w:b w:val="0"/>
          <w:i w:val="0"/>
          <w:iCs w:val="0"/>
          <w:color w:val="auto"/>
          <w:sz w:val="24"/>
          <w:szCs w:val="24"/>
          <w:highlight w:val="none"/>
        </w:rPr>
        <w:t>2</w:t>
      </w:r>
      <w:bookmarkStart w:id="393" w:name="_Toc296346540"/>
      <w:bookmarkStart w:id="394" w:name="_Toc337558740"/>
      <w:bookmarkStart w:id="395" w:name="_Toc296503039"/>
      <w:r>
        <w:rPr>
          <w:rFonts w:hint="eastAsia" w:ascii="仿宋" w:hAnsi="仿宋" w:eastAsia="仿宋" w:cs="仿宋"/>
          <w:b w:val="0"/>
          <w:i w:val="0"/>
          <w:iCs w:val="0"/>
          <w:color w:val="auto"/>
          <w:sz w:val="24"/>
          <w:szCs w:val="24"/>
          <w:highlight w:val="none"/>
        </w:rPr>
        <w:t xml:space="preserve">.1 </w:t>
      </w:r>
      <w:bookmarkEnd w:id="392"/>
      <w:r>
        <w:rPr>
          <w:rFonts w:hint="eastAsia" w:ascii="仿宋" w:hAnsi="仿宋" w:eastAsia="仿宋" w:cs="仿宋"/>
          <w:b w:val="0"/>
          <w:i w:val="0"/>
          <w:iCs w:val="0"/>
          <w:color w:val="auto"/>
          <w:sz w:val="24"/>
          <w:szCs w:val="24"/>
          <w:highlight w:val="none"/>
        </w:rPr>
        <w:t>发包人一般义务</w:t>
      </w:r>
    </w:p>
    <w:p w14:paraId="787E697B">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2.1.1 发包人应遵守法律，并办理法律规定由其办理的许可、核准或备案，包括但不限于建设用地规划许可证、建设工程规划许可证等许可、核准或备案。</w:t>
      </w:r>
    </w:p>
    <w:p w14:paraId="45E1D347">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发包人负责本项目各阶段设计文件向有关管理部门的送审报批工作，并负责将报批结果书面通知设计人。</w:t>
      </w:r>
      <w:r>
        <w:rPr>
          <w:rFonts w:hint="eastAsia" w:ascii="仿宋" w:hAnsi="仿宋" w:eastAsia="仿宋" w:cs="仿宋"/>
          <w:i w:val="0"/>
          <w:iCs w:val="0"/>
          <w:color w:val="auto"/>
          <w:kern w:val="0"/>
          <w:sz w:val="24"/>
          <w:szCs w:val="24"/>
          <w:highlight w:val="none"/>
        </w:rPr>
        <w:t>因发包人原因未能及时办理完毕前述许可、核准或备案手续，导致设计工作量增加和（或）设计周期延长时，由发包人承担由此增加的设计费用和（或）延长的设计周期。</w:t>
      </w:r>
    </w:p>
    <w:p w14:paraId="18E2E627">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2.1.2 发包人应当负责工程设计的所有外部关系的协调（包括但不限于当地政府主管部门等），为设计人履行合同提供必要的外部条件。</w:t>
      </w:r>
    </w:p>
    <w:p w14:paraId="31453F66">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2.1.3 专用合同条款约定的其他义务。</w:t>
      </w:r>
    </w:p>
    <w:p w14:paraId="2FF6D5EC">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i w:val="0"/>
          <w:iCs w:val="0"/>
          <w:color w:val="auto"/>
          <w:sz w:val="24"/>
          <w:szCs w:val="24"/>
          <w:highlight w:val="none"/>
        </w:rPr>
      </w:pPr>
      <w:bookmarkStart w:id="396" w:name="_Toc351203511"/>
      <w:r>
        <w:rPr>
          <w:rFonts w:hint="eastAsia" w:ascii="仿宋" w:hAnsi="仿宋" w:eastAsia="仿宋" w:cs="仿宋"/>
          <w:b w:val="0"/>
          <w:i w:val="0"/>
          <w:iCs w:val="0"/>
          <w:color w:val="auto"/>
          <w:sz w:val="24"/>
          <w:szCs w:val="24"/>
          <w:highlight w:val="none"/>
        </w:rPr>
        <w:t>2.2 发包人代表</w:t>
      </w:r>
      <w:bookmarkEnd w:id="396"/>
    </w:p>
    <w:p w14:paraId="639356AB">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102AC61B">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发包人代表不能按照合同约定履行其职责及义务，并导致合同无法继续正常履行的，设计人可以要求发包人撤换发包人代表。</w:t>
      </w:r>
    </w:p>
    <w:p w14:paraId="12CDB040">
      <w:pPr>
        <w:pStyle w:val="5"/>
        <w:pageBreakBefore w:val="0"/>
        <w:widowControl w:val="0"/>
        <w:kinsoku/>
        <w:wordWrap/>
        <w:overflowPunct/>
        <w:topLinePunct w:val="0"/>
        <w:bidi w:val="0"/>
        <w:snapToGrid/>
        <w:spacing w:before="120" w:beforeLines="0" w:after="120" w:afterLines="0" w:line="380" w:lineRule="exact"/>
        <w:ind w:firstLine="480" w:firstLineChars="200"/>
        <w:textAlignment w:val="auto"/>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2.3 发包人决定</w:t>
      </w:r>
    </w:p>
    <w:p w14:paraId="476778D5">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rPr>
        <w:t xml:space="preserve">2.3.1 </w:t>
      </w:r>
      <w:r>
        <w:rPr>
          <w:rFonts w:hint="eastAsia" w:ascii="仿宋" w:hAnsi="仿宋" w:eastAsia="仿宋" w:cs="仿宋"/>
          <w:i w:val="0"/>
          <w:iCs w:val="0"/>
          <w:color w:val="auto"/>
          <w:sz w:val="24"/>
          <w:szCs w:val="24"/>
          <w:highlight w:val="none"/>
        </w:rPr>
        <w:t>发包人在法律允许的范围内有权对设计人的设计工作、设计项目和/或设计文件作出处理决定，设计人应按照发包人的决定执行，涉及设计周期或设计费用等问题按本合同第11条〔工程设计变更与索赔〕的</w:t>
      </w:r>
      <w:r>
        <w:rPr>
          <w:rFonts w:hint="eastAsia" w:ascii="仿宋" w:hAnsi="仿宋" w:eastAsia="仿宋" w:cs="仿宋"/>
          <w:i w:val="0"/>
          <w:iCs w:val="0"/>
          <w:color w:val="auto"/>
          <w:sz w:val="24"/>
          <w:szCs w:val="24"/>
          <w:highlight w:val="none"/>
          <w:lang w:eastAsia="zh-CN"/>
        </w:rPr>
        <w:t>约</w:t>
      </w:r>
      <w:r>
        <w:rPr>
          <w:rFonts w:hint="eastAsia" w:ascii="仿宋" w:hAnsi="仿宋" w:eastAsia="仿宋" w:cs="仿宋"/>
          <w:i w:val="0"/>
          <w:iCs w:val="0"/>
          <w:color w:val="auto"/>
          <w:sz w:val="24"/>
          <w:szCs w:val="24"/>
          <w:highlight w:val="none"/>
        </w:rPr>
        <w:t>定处理。</w:t>
      </w:r>
    </w:p>
    <w:p w14:paraId="6E44DB34">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2.3.2 发包人应在专用合同条款约定的期限内对设计人书面提出的事项作出书面决定，如发包人不在确定时间内作出书面决定，设计人的设计周期相应延长。</w:t>
      </w:r>
    </w:p>
    <w:bookmarkEnd w:id="390"/>
    <w:bookmarkEnd w:id="391"/>
    <w:bookmarkEnd w:id="393"/>
    <w:bookmarkEnd w:id="394"/>
    <w:bookmarkEnd w:id="395"/>
    <w:p w14:paraId="39CF4F3A">
      <w:pPr>
        <w:pStyle w:val="5"/>
        <w:pageBreakBefore w:val="0"/>
        <w:widowControl w:val="0"/>
        <w:kinsoku/>
        <w:wordWrap/>
        <w:overflowPunct/>
        <w:topLinePunct w:val="0"/>
        <w:bidi w:val="0"/>
        <w:snapToGrid/>
        <w:spacing w:before="120" w:beforeLines="0" w:after="120" w:afterLines="0" w:line="380" w:lineRule="exact"/>
        <w:ind w:firstLine="480" w:firstLineChars="200"/>
        <w:textAlignment w:val="auto"/>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2</w:t>
      </w:r>
      <w:bookmarkStart w:id="397" w:name="_Toc337558745"/>
      <w:bookmarkStart w:id="398" w:name="_Toc296346543"/>
      <w:bookmarkStart w:id="399" w:name="_Toc296503042"/>
      <w:r>
        <w:rPr>
          <w:rFonts w:hint="eastAsia" w:ascii="仿宋" w:hAnsi="仿宋" w:eastAsia="仿宋" w:cs="仿宋"/>
          <w:b w:val="0"/>
          <w:i w:val="0"/>
          <w:iCs w:val="0"/>
          <w:color w:val="auto"/>
          <w:sz w:val="24"/>
          <w:szCs w:val="24"/>
          <w:highlight w:val="none"/>
        </w:rPr>
        <w:t xml:space="preserve">.4 </w:t>
      </w:r>
      <w:bookmarkEnd w:id="397"/>
      <w:bookmarkEnd w:id="398"/>
      <w:bookmarkEnd w:id="399"/>
      <w:bookmarkStart w:id="400" w:name="_Toc351203515"/>
      <w:r>
        <w:rPr>
          <w:rFonts w:hint="eastAsia" w:ascii="仿宋" w:hAnsi="仿宋" w:eastAsia="仿宋" w:cs="仿宋"/>
          <w:b w:val="0"/>
          <w:i w:val="0"/>
          <w:iCs w:val="0"/>
          <w:color w:val="auto"/>
          <w:sz w:val="24"/>
          <w:szCs w:val="24"/>
          <w:highlight w:val="none"/>
        </w:rPr>
        <w:t>支付合同价款</w:t>
      </w:r>
      <w:bookmarkEnd w:id="400"/>
    </w:p>
    <w:p w14:paraId="661FD601">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发包人应按合同约定向设计人及时足额支付合同价款。</w:t>
      </w:r>
    </w:p>
    <w:p w14:paraId="631B84AF">
      <w:pPr>
        <w:pStyle w:val="5"/>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i w:val="0"/>
          <w:iCs w:val="0"/>
          <w:color w:val="auto"/>
          <w:sz w:val="24"/>
          <w:szCs w:val="24"/>
          <w:highlight w:val="none"/>
        </w:rPr>
      </w:pPr>
      <w:bookmarkStart w:id="401" w:name="_Toc351203516"/>
      <w:r>
        <w:rPr>
          <w:rFonts w:hint="eastAsia" w:ascii="仿宋" w:hAnsi="仿宋" w:eastAsia="仿宋" w:cs="仿宋"/>
          <w:b w:val="0"/>
          <w:i w:val="0"/>
          <w:iCs w:val="0"/>
          <w:color w:val="auto"/>
          <w:sz w:val="24"/>
          <w:szCs w:val="24"/>
          <w:highlight w:val="none"/>
        </w:rPr>
        <w:t xml:space="preserve">2.5 </w:t>
      </w:r>
      <w:bookmarkEnd w:id="401"/>
      <w:r>
        <w:rPr>
          <w:rFonts w:hint="eastAsia" w:ascii="仿宋" w:hAnsi="仿宋" w:eastAsia="仿宋" w:cs="仿宋"/>
          <w:b w:val="0"/>
          <w:i w:val="0"/>
          <w:iCs w:val="0"/>
          <w:color w:val="auto"/>
          <w:sz w:val="24"/>
          <w:szCs w:val="24"/>
          <w:highlight w:val="none"/>
        </w:rPr>
        <w:t>设计文件接收</w:t>
      </w:r>
    </w:p>
    <w:p w14:paraId="24169DC0">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发包人应按合同约定及时接收设计人提交的工程设计文件。</w:t>
      </w:r>
    </w:p>
    <w:p w14:paraId="5CEBF35E">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bookmarkStart w:id="402" w:name="_Toc351203518"/>
      <w:r>
        <w:rPr>
          <w:rFonts w:hint="eastAsia" w:ascii="仿宋" w:hAnsi="仿宋" w:eastAsia="仿宋" w:cs="仿宋"/>
          <w:b w:val="0"/>
          <w:i w:val="0"/>
          <w:iCs w:val="0"/>
          <w:color w:val="auto"/>
          <w:sz w:val="24"/>
          <w:szCs w:val="24"/>
          <w:highlight w:val="none"/>
        </w:rPr>
        <w:t>3</w:t>
      </w:r>
      <w:bookmarkStart w:id="403" w:name="_Toc337558746"/>
      <w:bookmarkStart w:id="404" w:name="_Toc296346546"/>
      <w:bookmarkStart w:id="405" w:name="_Toc296503045"/>
      <w:r>
        <w:rPr>
          <w:rFonts w:hint="eastAsia" w:ascii="仿宋" w:hAnsi="仿宋" w:eastAsia="仿宋" w:cs="仿宋"/>
          <w:b w:val="0"/>
          <w:i w:val="0"/>
          <w:iCs w:val="0"/>
          <w:color w:val="auto"/>
          <w:sz w:val="24"/>
          <w:szCs w:val="24"/>
          <w:highlight w:val="none"/>
        </w:rPr>
        <w:t>. 设计人</w:t>
      </w:r>
      <w:bookmarkEnd w:id="402"/>
    </w:p>
    <w:bookmarkEnd w:id="403"/>
    <w:bookmarkEnd w:id="404"/>
    <w:bookmarkEnd w:id="405"/>
    <w:p w14:paraId="6B4A9801">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i w:val="0"/>
          <w:iCs w:val="0"/>
          <w:color w:val="auto"/>
          <w:sz w:val="24"/>
          <w:szCs w:val="24"/>
          <w:highlight w:val="none"/>
        </w:rPr>
      </w:pPr>
      <w:bookmarkStart w:id="406" w:name="_Toc351203519"/>
      <w:r>
        <w:rPr>
          <w:rFonts w:hint="eastAsia" w:ascii="仿宋" w:hAnsi="仿宋" w:eastAsia="仿宋" w:cs="仿宋"/>
          <w:b w:val="0"/>
          <w:i w:val="0"/>
          <w:iCs w:val="0"/>
          <w:color w:val="auto"/>
          <w:sz w:val="24"/>
          <w:szCs w:val="24"/>
          <w:highlight w:val="none"/>
        </w:rPr>
        <w:t>3</w:t>
      </w:r>
      <w:bookmarkStart w:id="407" w:name="_Toc296346547"/>
      <w:bookmarkStart w:id="408" w:name="_Toc296503046"/>
      <w:bookmarkStart w:id="409" w:name="_Toc337558747"/>
      <w:r>
        <w:rPr>
          <w:rFonts w:hint="eastAsia" w:ascii="仿宋" w:hAnsi="仿宋" w:eastAsia="仿宋" w:cs="仿宋"/>
          <w:b w:val="0"/>
          <w:i w:val="0"/>
          <w:iCs w:val="0"/>
          <w:color w:val="auto"/>
          <w:sz w:val="24"/>
          <w:szCs w:val="24"/>
          <w:highlight w:val="none"/>
        </w:rPr>
        <w:t>.1 设计人一般义务</w:t>
      </w:r>
      <w:bookmarkEnd w:id="406"/>
    </w:p>
    <w:bookmarkEnd w:id="407"/>
    <w:bookmarkEnd w:id="408"/>
    <w:bookmarkEnd w:id="409"/>
    <w:p w14:paraId="452173E4">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3.1.1 设计人应遵守法律和有关技术标准的强制性规定，完成合同约定范围内的专业建设工程初步设计、施工图设计，提供符合技术标准及合同要求的工程设计文件，提供施工配合服务。</w:t>
      </w:r>
    </w:p>
    <w:p w14:paraId="2CAE936B">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221F789F">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3.1.2 设计人应当完成合同约定的工程设计其他服务。</w:t>
      </w:r>
    </w:p>
    <w:p w14:paraId="2E87A329">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3.1.3 专用合同条款约定的其他义务。</w:t>
      </w:r>
    </w:p>
    <w:p w14:paraId="3FBFBBA5">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i w:val="0"/>
          <w:iCs w:val="0"/>
          <w:color w:val="auto"/>
          <w:sz w:val="24"/>
          <w:szCs w:val="24"/>
          <w:highlight w:val="none"/>
        </w:rPr>
      </w:pPr>
      <w:bookmarkStart w:id="410" w:name="_Toc351203520"/>
      <w:r>
        <w:rPr>
          <w:rFonts w:hint="eastAsia" w:ascii="仿宋" w:hAnsi="仿宋" w:eastAsia="仿宋" w:cs="仿宋"/>
          <w:b w:val="0"/>
          <w:i w:val="0"/>
          <w:iCs w:val="0"/>
          <w:color w:val="auto"/>
          <w:sz w:val="24"/>
          <w:szCs w:val="24"/>
          <w:highlight w:val="none"/>
        </w:rPr>
        <w:t>3</w:t>
      </w:r>
      <w:bookmarkStart w:id="411" w:name="_Toc296503047"/>
      <w:bookmarkStart w:id="412" w:name="_Toc296346548"/>
      <w:bookmarkStart w:id="413" w:name="_Toc337558748"/>
      <w:r>
        <w:rPr>
          <w:rFonts w:hint="eastAsia" w:ascii="仿宋" w:hAnsi="仿宋" w:eastAsia="仿宋" w:cs="仿宋"/>
          <w:b w:val="0"/>
          <w:i w:val="0"/>
          <w:iCs w:val="0"/>
          <w:color w:val="auto"/>
          <w:sz w:val="24"/>
          <w:szCs w:val="24"/>
          <w:highlight w:val="none"/>
        </w:rPr>
        <w:t xml:space="preserve">.2 </w:t>
      </w:r>
      <w:bookmarkEnd w:id="410"/>
      <w:r>
        <w:rPr>
          <w:rFonts w:hint="eastAsia" w:ascii="仿宋" w:hAnsi="仿宋" w:eastAsia="仿宋" w:cs="仿宋"/>
          <w:b w:val="0"/>
          <w:i w:val="0"/>
          <w:iCs w:val="0"/>
          <w:color w:val="auto"/>
          <w:sz w:val="24"/>
          <w:szCs w:val="24"/>
          <w:highlight w:val="none"/>
        </w:rPr>
        <w:t>项目负责人</w:t>
      </w:r>
    </w:p>
    <w:bookmarkEnd w:id="411"/>
    <w:bookmarkEnd w:id="412"/>
    <w:bookmarkEnd w:id="413"/>
    <w:p w14:paraId="3A40FB25">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3.2.1 项目负责人应为合同当事人所确认的人选，并在专用合同条款中明确项目负责人的姓名、执业资格及等级与注册执业证书编号或职称、联系方式及授权范围等事项，项目负责人经设计人授权后代表设计人负责履行合同。</w:t>
      </w:r>
    </w:p>
    <w:p w14:paraId="1E891218">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3.2.2 设计人需要更换项目负责人的，应在专用合同条款约定的期限内提前书面通知发包人，并征得发包人书面同意。通知中应当载明继任项目负责人的注册执业资格或职称、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w:t>
      </w:r>
      <w:r>
        <w:rPr>
          <w:rFonts w:hint="eastAsia" w:ascii="仿宋" w:hAnsi="仿宋" w:eastAsia="仿宋" w:cs="仿宋"/>
          <w:i w:val="0"/>
          <w:iCs w:val="0"/>
          <w:color w:val="auto"/>
          <w:kern w:val="0"/>
          <w:sz w:val="24"/>
          <w:szCs w:val="24"/>
          <w:highlight w:val="none"/>
          <w:lang w:eastAsia="zh-CN"/>
        </w:rPr>
        <w:t>无正当理由不得拒绝更换</w:t>
      </w:r>
      <w:r>
        <w:rPr>
          <w:rFonts w:hint="eastAsia" w:ascii="仿宋" w:hAnsi="仿宋" w:eastAsia="仿宋" w:cs="仿宋"/>
          <w:i w:val="0"/>
          <w:iCs w:val="0"/>
          <w:color w:val="auto"/>
          <w:kern w:val="0"/>
          <w:sz w:val="24"/>
          <w:szCs w:val="24"/>
          <w:highlight w:val="none"/>
        </w:rPr>
        <w:t>。</w:t>
      </w:r>
    </w:p>
    <w:p w14:paraId="706B1C7A">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或职称、管理经验等资料书面通知发包人。继任项目负责人继续履行第3.2.1项约定的职责。设计人无正当理由拒绝更换项目负责人的，应按照专用合同条款的约定承担违约责任。</w:t>
      </w:r>
    </w:p>
    <w:p w14:paraId="56BB2089">
      <w:pPr>
        <w:pStyle w:val="5"/>
        <w:pageBreakBefore w:val="0"/>
        <w:widowControl w:val="0"/>
        <w:kinsoku/>
        <w:wordWrap/>
        <w:overflowPunct/>
        <w:topLinePunct w:val="0"/>
        <w:bidi w:val="0"/>
        <w:snapToGrid/>
        <w:spacing w:before="120" w:beforeLines="0" w:after="120" w:afterLines="0" w:line="380" w:lineRule="exact"/>
        <w:ind w:firstLine="480" w:firstLineChars="200"/>
        <w:textAlignment w:val="auto"/>
        <w:rPr>
          <w:rFonts w:hint="eastAsia" w:ascii="仿宋" w:hAnsi="仿宋" w:eastAsia="仿宋" w:cs="仿宋"/>
          <w:b w:val="0"/>
          <w:i w:val="0"/>
          <w:iCs w:val="0"/>
          <w:color w:val="auto"/>
          <w:sz w:val="24"/>
          <w:szCs w:val="24"/>
          <w:highlight w:val="none"/>
        </w:rPr>
      </w:pPr>
      <w:bookmarkStart w:id="414" w:name="_Toc351203521"/>
      <w:r>
        <w:rPr>
          <w:rFonts w:hint="eastAsia" w:ascii="仿宋" w:hAnsi="仿宋" w:eastAsia="仿宋" w:cs="仿宋"/>
          <w:b w:val="0"/>
          <w:i w:val="0"/>
          <w:iCs w:val="0"/>
          <w:color w:val="auto"/>
          <w:sz w:val="24"/>
          <w:szCs w:val="24"/>
          <w:highlight w:val="none"/>
        </w:rPr>
        <w:t>3</w:t>
      </w:r>
      <w:bookmarkStart w:id="415" w:name="_Toc296346549"/>
      <w:bookmarkStart w:id="416" w:name="_Toc296503048"/>
      <w:bookmarkStart w:id="417" w:name="_Toc337558749"/>
      <w:r>
        <w:rPr>
          <w:rFonts w:hint="eastAsia" w:ascii="仿宋" w:hAnsi="仿宋" w:eastAsia="仿宋" w:cs="仿宋"/>
          <w:b w:val="0"/>
          <w:i w:val="0"/>
          <w:iCs w:val="0"/>
          <w:color w:val="auto"/>
          <w:sz w:val="24"/>
          <w:szCs w:val="24"/>
          <w:highlight w:val="none"/>
        </w:rPr>
        <w:t xml:space="preserve">.3 </w:t>
      </w:r>
      <w:bookmarkEnd w:id="415"/>
      <w:bookmarkEnd w:id="416"/>
      <w:r>
        <w:rPr>
          <w:rFonts w:hint="eastAsia" w:ascii="仿宋" w:hAnsi="仿宋" w:eastAsia="仿宋" w:cs="仿宋"/>
          <w:b w:val="0"/>
          <w:i w:val="0"/>
          <w:iCs w:val="0"/>
          <w:color w:val="auto"/>
          <w:sz w:val="24"/>
          <w:szCs w:val="24"/>
          <w:highlight w:val="none"/>
        </w:rPr>
        <w:t>设计人人员</w:t>
      </w:r>
      <w:bookmarkEnd w:id="414"/>
    </w:p>
    <w:bookmarkEnd w:id="417"/>
    <w:p w14:paraId="713C013A">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3.3.1 除专用合同条款</w:t>
      </w:r>
      <w:r>
        <w:rPr>
          <w:rFonts w:hint="eastAsia" w:ascii="仿宋" w:hAnsi="仿宋" w:eastAsia="仿宋" w:cs="仿宋"/>
          <w:i w:val="0"/>
          <w:iCs w:val="0"/>
          <w:color w:val="auto"/>
          <w:kern w:val="0"/>
          <w:sz w:val="24"/>
          <w:szCs w:val="24"/>
          <w:highlight w:val="none"/>
          <w:lang w:eastAsia="zh-CN"/>
        </w:rPr>
        <w:t>对期限</w:t>
      </w:r>
      <w:r>
        <w:rPr>
          <w:rFonts w:hint="eastAsia" w:ascii="仿宋" w:hAnsi="仿宋" w:eastAsia="仿宋" w:cs="仿宋"/>
          <w:i w:val="0"/>
          <w:iCs w:val="0"/>
          <w:color w:val="auto"/>
          <w:kern w:val="0"/>
          <w:sz w:val="24"/>
          <w:szCs w:val="24"/>
          <w:highlight w:val="none"/>
        </w:rPr>
        <w:t>另有约定外，设计人应在接到开始设计通知后7天内，向发包人提交设计人项目管理机构及人员安排的报告，其内容应包括工艺、土建、设备等专业负责人名单及其岗位、注册执业资格或职称等。</w:t>
      </w:r>
    </w:p>
    <w:p w14:paraId="613775E3">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或职称、执业经验等资料。</w:t>
      </w:r>
    </w:p>
    <w:p w14:paraId="5426E760">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48DD8CE1">
      <w:pPr>
        <w:pStyle w:val="5"/>
        <w:pageBreakBefore w:val="0"/>
        <w:widowControl w:val="0"/>
        <w:kinsoku/>
        <w:wordWrap/>
        <w:overflowPunct/>
        <w:topLinePunct w:val="0"/>
        <w:bidi w:val="0"/>
        <w:snapToGrid/>
        <w:spacing w:before="120" w:beforeLines="0" w:after="120" w:afterLines="0" w:line="380" w:lineRule="exact"/>
        <w:ind w:firstLine="480" w:firstLineChars="200"/>
        <w:textAlignment w:val="auto"/>
        <w:rPr>
          <w:rFonts w:hint="eastAsia" w:ascii="仿宋" w:hAnsi="仿宋" w:eastAsia="仿宋" w:cs="仿宋"/>
          <w:b w:val="0"/>
          <w:i w:val="0"/>
          <w:iCs w:val="0"/>
          <w:color w:val="auto"/>
          <w:sz w:val="24"/>
          <w:szCs w:val="24"/>
          <w:highlight w:val="none"/>
        </w:rPr>
      </w:pPr>
      <w:bookmarkStart w:id="418" w:name="_Toc351203523"/>
      <w:r>
        <w:rPr>
          <w:rFonts w:hint="eastAsia" w:ascii="仿宋" w:hAnsi="仿宋" w:eastAsia="仿宋" w:cs="仿宋"/>
          <w:b w:val="0"/>
          <w:i w:val="0"/>
          <w:iCs w:val="0"/>
          <w:color w:val="auto"/>
          <w:sz w:val="24"/>
          <w:szCs w:val="24"/>
          <w:highlight w:val="none"/>
        </w:rPr>
        <w:t>3</w:t>
      </w:r>
      <w:bookmarkStart w:id="419" w:name="_Toc337558751"/>
      <w:bookmarkStart w:id="420" w:name="_Toc296503051"/>
      <w:bookmarkStart w:id="421" w:name="_Toc296346552"/>
      <w:r>
        <w:rPr>
          <w:rFonts w:hint="eastAsia" w:ascii="仿宋" w:hAnsi="仿宋" w:eastAsia="仿宋" w:cs="仿宋"/>
          <w:b w:val="0"/>
          <w:i w:val="0"/>
          <w:iCs w:val="0"/>
          <w:color w:val="auto"/>
          <w:sz w:val="24"/>
          <w:szCs w:val="24"/>
          <w:highlight w:val="none"/>
        </w:rPr>
        <w:t>.4 设计分包</w:t>
      </w:r>
      <w:bookmarkEnd w:id="418"/>
    </w:p>
    <w:bookmarkEnd w:id="419"/>
    <w:bookmarkEnd w:id="420"/>
    <w:bookmarkEnd w:id="421"/>
    <w:p w14:paraId="2B7F46B1">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3.4.1 设计分包的一般约定</w:t>
      </w:r>
    </w:p>
    <w:p w14:paraId="0B91E073">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00F7780B">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3.4.2 设计分包的确定</w:t>
      </w:r>
    </w:p>
    <w:p w14:paraId="720A1A7E">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568E9DB1">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3.4.3 设计分包管理</w:t>
      </w:r>
    </w:p>
    <w:p w14:paraId="1B609A06">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设计人应按照专用合同条款的约定向发包人提交分包人的主要工程设计人员名单、注册执业资格</w:t>
      </w:r>
      <w:r>
        <w:rPr>
          <w:rFonts w:hint="eastAsia" w:ascii="仿宋" w:hAnsi="仿宋" w:eastAsia="仿宋" w:cs="仿宋"/>
          <w:i w:val="0"/>
          <w:iCs w:val="0"/>
          <w:color w:val="auto"/>
          <w:kern w:val="0"/>
          <w:sz w:val="24"/>
          <w:szCs w:val="24"/>
          <w:highlight w:val="none"/>
          <w:lang w:eastAsia="zh-CN"/>
        </w:rPr>
        <w:t>或职称</w:t>
      </w:r>
      <w:r>
        <w:rPr>
          <w:rFonts w:hint="eastAsia" w:ascii="仿宋" w:hAnsi="仿宋" w:eastAsia="仿宋" w:cs="仿宋"/>
          <w:i w:val="0"/>
          <w:iCs w:val="0"/>
          <w:color w:val="auto"/>
          <w:kern w:val="0"/>
          <w:sz w:val="24"/>
          <w:szCs w:val="24"/>
          <w:highlight w:val="none"/>
        </w:rPr>
        <w:t>及执业经历等。</w:t>
      </w:r>
    </w:p>
    <w:p w14:paraId="770E5A90">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3.4.4 分包工程设计费</w:t>
      </w:r>
    </w:p>
    <w:p w14:paraId="419E7FB5">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（1）除本项第（2）目约定的情况或专用合同条款另有约定外，分包工程设计费由设计人与分包人结算，未经设计人同意，发包人不得向分包人支付分包工程设计费；</w:t>
      </w:r>
    </w:p>
    <w:p w14:paraId="5B4CA4EA">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（2）生效的法院判决书或仲裁裁决书要求发包人向分包人支付分包工程设计费的，发包人有权从应付设计人合同价款中扣除该部分费用。</w:t>
      </w:r>
    </w:p>
    <w:p w14:paraId="75E2A29E">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i w:val="0"/>
          <w:iCs w:val="0"/>
          <w:color w:val="auto"/>
          <w:sz w:val="24"/>
          <w:szCs w:val="24"/>
          <w:highlight w:val="none"/>
        </w:rPr>
      </w:pPr>
      <w:bookmarkStart w:id="422" w:name="_Toc351203526"/>
      <w:r>
        <w:rPr>
          <w:rFonts w:hint="eastAsia" w:ascii="仿宋" w:hAnsi="仿宋" w:eastAsia="仿宋" w:cs="仿宋"/>
          <w:b w:val="0"/>
          <w:i w:val="0"/>
          <w:iCs w:val="0"/>
          <w:color w:val="auto"/>
          <w:sz w:val="24"/>
          <w:szCs w:val="24"/>
          <w:highlight w:val="none"/>
        </w:rPr>
        <w:t>3.5 联合体</w:t>
      </w:r>
      <w:bookmarkEnd w:id="422"/>
    </w:p>
    <w:p w14:paraId="3C6F0A59">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3.5.1 联合体各方应共同与发包人签订合同协议书。联合体各方应为履行合同向发包人承担连带责任。</w:t>
      </w:r>
    </w:p>
    <w:p w14:paraId="78356C10">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3.5.2 联合体协议，应当约定联合体各成员工作分工，经发包人确认后作为合同附件。在履行合同过程中，未经发包人同意，不得修改联合体协议。</w:t>
      </w:r>
    </w:p>
    <w:p w14:paraId="7FCC94DB">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3.5.3 联合体牵头人负责与发包人联系，并接受指示，负责组织联合体各成员全面履行合同。</w:t>
      </w:r>
    </w:p>
    <w:p w14:paraId="75E00B3C">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3.5.4 发包人向联合体支付设计费用的方式在专用合同条款中约定。</w:t>
      </w:r>
    </w:p>
    <w:p w14:paraId="0542095E">
      <w:pPr>
        <w:pStyle w:val="4"/>
        <w:pageBreakBefore w:val="0"/>
        <w:widowControl w:val="0"/>
        <w:kinsoku/>
        <w:wordWrap/>
        <w:overflowPunct/>
        <w:topLinePunct w:val="0"/>
        <w:bidi w:val="0"/>
        <w:snapToGrid/>
        <w:spacing w:before="120" w:beforeLines="0" w:after="120" w:afterLines="0" w:line="380" w:lineRule="exact"/>
        <w:textAlignment w:val="auto"/>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4. 工程设计资料</w:t>
      </w:r>
    </w:p>
    <w:p w14:paraId="39612D33">
      <w:pPr>
        <w:keepNext w:val="0"/>
        <w:keepLines w:val="0"/>
        <w:pageBreakBefore w:val="0"/>
        <w:widowControl w:val="0"/>
        <w:kinsoku/>
        <w:wordWrap/>
        <w:overflowPunct/>
        <w:topLinePunct w:val="0"/>
        <w:autoSpaceDE w:val="0"/>
        <w:autoSpaceDN w:val="0"/>
        <w:bidi w:val="0"/>
        <w:adjustRightInd w:val="0"/>
        <w:snapToGrid/>
        <w:spacing w:before="120" w:beforeLines="0" w:after="120" w:afterLines="0" w:line="380" w:lineRule="exact"/>
        <w:ind w:left="0" w:leftChars="0" w:right="0" w:rightChars="0" w:firstLine="501" w:firstLineChars="209"/>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b w:val="0"/>
          <w:bCs/>
          <w:i w:val="0"/>
          <w:iCs w:val="0"/>
          <w:color w:val="auto"/>
          <w:kern w:val="2"/>
          <w:sz w:val="24"/>
          <w:szCs w:val="24"/>
          <w:highlight w:val="none"/>
          <w:lang w:val="en-US" w:eastAsia="zh-CN" w:bidi="ar-SA"/>
        </w:rPr>
        <w:t>4.1 提供工程设计资料</w:t>
      </w:r>
    </w:p>
    <w:p w14:paraId="531099E3">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发包人应当在工程设计前或专用合同条款附件</w:t>
      </w:r>
      <w:r>
        <w:rPr>
          <w:rFonts w:hint="eastAsia" w:ascii="仿宋" w:hAnsi="仿宋" w:eastAsia="仿宋" w:cs="仿宋"/>
          <w:i w:val="0"/>
          <w:iCs w:val="0"/>
          <w:color w:val="auto"/>
          <w:kern w:val="0"/>
          <w:sz w:val="24"/>
          <w:szCs w:val="24"/>
          <w:highlight w:val="none"/>
          <w:lang w:val="en-US" w:eastAsia="zh-CN"/>
        </w:rPr>
        <w:t>2</w:t>
      </w:r>
      <w:r>
        <w:rPr>
          <w:rFonts w:hint="eastAsia" w:ascii="仿宋" w:hAnsi="仿宋" w:eastAsia="仿宋" w:cs="仿宋"/>
          <w:i w:val="0"/>
          <w:iCs w:val="0"/>
          <w:color w:val="auto"/>
          <w:kern w:val="0"/>
          <w:sz w:val="24"/>
          <w:szCs w:val="24"/>
          <w:highlight w:val="none"/>
        </w:rPr>
        <w:t>约定的时间向设计人提供工程设计所必需的工程设计资料，并对所提供资料的真实性、准确性和完整性负责。</w:t>
      </w:r>
    </w:p>
    <w:p w14:paraId="009438BA">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按照法律规定确需在工程设计开始后方能提供的设计资料，发包人应及时地在相应工程设计文件提交给发包人前的合理期限内提供，合理期限应以不影响设计人的正常设计为限。</w:t>
      </w:r>
    </w:p>
    <w:p w14:paraId="1A16B4C4">
      <w:pPr>
        <w:keepNext w:val="0"/>
        <w:keepLines w:val="0"/>
        <w:pageBreakBefore w:val="0"/>
        <w:widowControl w:val="0"/>
        <w:kinsoku/>
        <w:wordWrap/>
        <w:overflowPunct/>
        <w:topLinePunct w:val="0"/>
        <w:autoSpaceDE w:val="0"/>
        <w:autoSpaceDN w:val="0"/>
        <w:bidi w:val="0"/>
        <w:adjustRightInd w:val="0"/>
        <w:snapToGrid/>
        <w:spacing w:before="120" w:beforeLines="0" w:after="120" w:afterLines="0" w:line="380" w:lineRule="exact"/>
        <w:ind w:left="0" w:leftChars="0" w:right="0" w:rightChars="0" w:firstLine="499" w:firstLineChars="208"/>
        <w:jc w:val="left"/>
        <w:textAlignment w:val="auto"/>
        <w:outlineLvl w:val="9"/>
        <w:rPr>
          <w:rFonts w:hint="eastAsia" w:ascii="仿宋" w:hAnsi="仿宋" w:eastAsia="仿宋" w:cs="仿宋"/>
          <w:b w:val="0"/>
          <w:bCs/>
          <w:i w:val="0"/>
          <w:iCs w:val="0"/>
          <w:color w:val="auto"/>
          <w:kern w:val="2"/>
          <w:sz w:val="24"/>
          <w:szCs w:val="24"/>
          <w:highlight w:val="none"/>
          <w:lang w:val="en-US" w:eastAsia="zh-CN" w:bidi="ar-SA"/>
        </w:rPr>
      </w:pPr>
      <w:r>
        <w:rPr>
          <w:rFonts w:hint="eastAsia" w:ascii="仿宋" w:hAnsi="仿宋" w:eastAsia="仿宋" w:cs="仿宋"/>
          <w:b w:val="0"/>
          <w:bCs/>
          <w:i w:val="0"/>
          <w:iCs w:val="0"/>
          <w:color w:val="auto"/>
          <w:kern w:val="2"/>
          <w:sz w:val="24"/>
          <w:szCs w:val="24"/>
          <w:highlight w:val="none"/>
          <w:lang w:val="en-US" w:eastAsia="zh-CN" w:bidi="ar-SA"/>
        </w:rPr>
        <w:t>4.2 逾期提供的责任</w:t>
      </w:r>
    </w:p>
    <w:p w14:paraId="446E88BB">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发包人提交上述文件和资料超过</w:t>
      </w:r>
      <w:r>
        <w:rPr>
          <w:rFonts w:hint="eastAsia" w:ascii="仿宋" w:hAnsi="仿宋" w:eastAsia="仿宋" w:cs="仿宋"/>
          <w:i w:val="0"/>
          <w:iCs w:val="0"/>
          <w:color w:val="auto"/>
          <w:sz w:val="24"/>
          <w:szCs w:val="24"/>
          <w:highlight w:val="none"/>
          <w:lang w:eastAsia="zh-CN"/>
        </w:rPr>
        <w:t>约</w:t>
      </w:r>
      <w:r>
        <w:rPr>
          <w:rFonts w:hint="eastAsia" w:ascii="仿宋" w:hAnsi="仿宋" w:eastAsia="仿宋" w:cs="仿宋"/>
          <w:i w:val="0"/>
          <w:iCs w:val="0"/>
          <w:color w:val="auto"/>
          <w:sz w:val="24"/>
          <w:szCs w:val="24"/>
          <w:highlight w:val="none"/>
        </w:rPr>
        <w:t>定期限的，超过</w:t>
      </w:r>
      <w:r>
        <w:rPr>
          <w:rFonts w:hint="eastAsia" w:ascii="仿宋" w:hAnsi="仿宋" w:eastAsia="仿宋" w:cs="仿宋"/>
          <w:i w:val="0"/>
          <w:iCs w:val="0"/>
          <w:color w:val="auto"/>
          <w:sz w:val="24"/>
          <w:szCs w:val="24"/>
          <w:highlight w:val="none"/>
          <w:lang w:eastAsia="zh-CN"/>
        </w:rPr>
        <w:t>约</w:t>
      </w:r>
      <w:r>
        <w:rPr>
          <w:rFonts w:hint="eastAsia" w:ascii="仿宋" w:hAnsi="仿宋" w:eastAsia="仿宋" w:cs="仿宋"/>
          <w:i w:val="0"/>
          <w:iCs w:val="0"/>
          <w:color w:val="auto"/>
          <w:sz w:val="24"/>
          <w:szCs w:val="24"/>
          <w:highlight w:val="none"/>
        </w:rPr>
        <w:t>定期限15天以内，设计人按本合同约定的交付工程设计文件时间相应顺延；超过</w:t>
      </w:r>
      <w:r>
        <w:rPr>
          <w:rFonts w:hint="eastAsia" w:ascii="仿宋" w:hAnsi="仿宋" w:eastAsia="仿宋" w:cs="仿宋"/>
          <w:i w:val="0"/>
          <w:iCs w:val="0"/>
          <w:color w:val="auto"/>
          <w:sz w:val="24"/>
          <w:szCs w:val="24"/>
          <w:highlight w:val="none"/>
          <w:lang w:eastAsia="zh-CN"/>
        </w:rPr>
        <w:t>约</w:t>
      </w:r>
      <w:r>
        <w:rPr>
          <w:rFonts w:hint="eastAsia" w:ascii="仿宋" w:hAnsi="仿宋" w:eastAsia="仿宋" w:cs="仿宋"/>
          <w:i w:val="0"/>
          <w:iCs w:val="0"/>
          <w:color w:val="auto"/>
          <w:sz w:val="24"/>
          <w:szCs w:val="24"/>
          <w:highlight w:val="none"/>
        </w:rPr>
        <w:t>定期限15天以</w:t>
      </w:r>
      <w:r>
        <w:rPr>
          <w:rFonts w:hint="eastAsia" w:ascii="仿宋" w:hAnsi="仿宋" w:eastAsia="仿宋" w:cs="仿宋"/>
          <w:i w:val="0"/>
          <w:iCs w:val="0"/>
          <w:color w:val="auto"/>
          <w:sz w:val="24"/>
          <w:szCs w:val="24"/>
          <w:highlight w:val="none"/>
          <w:lang w:eastAsia="zh-CN"/>
        </w:rPr>
        <w:t>外</w:t>
      </w:r>
      <w:r>
        <w:rPr>
          <w:rFonts w:hint="eastAsia" w:ascii="仿宋" w:hAnsi="仿宋" w:eastAsia="仿宋" w:cs="仿宋"/>
          <w:i w:val="0"/>
          <w:iCs w:val="0"/>
          <w:color w:val="auto"/>
          <w:sz w:val="24"/>
          <w:szCs w:val="24"/>
          <w:highlight w:val="none"/>
        </w:rPr>
        <w:t>时，设计人有权重新确定提交工程设计文件的时间。工程设计资料逾期提供导致增加了设计工作量的，设计人可以要求发包人另行支付相应设计费用，并相应延长设计周期。</w:t>
      </w:r>
    </w:p>
    <w:p w14:paraId="6E87631F">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4"/>
        <w:rPr>
          <w:rFonts w:hint="eastAsia" w:ascii="仿宋" w:hAnsi="仿宋" w:eastAsia="仿宋" w:cs="仿宋"/>
          <w:i w:val="0"/>
          <w:iCs w:val="0"/>
          <w:color w:val="auto"/>
          <w:sz w:val="24"/>
          <w:szCs w:val="24"/>
          <w:highlight w:val="none"/>
        </w:rPr>
      </w:pPr>
      <w:bookmarkStart w:id="423" w:name="_Toc351203532"/>
      <w:bookmarkStart w:id="424" w:name="_Toc337558758"/>
      <w:r>
        <w:rPr>
          <w:rFonts w:hint="eastAsia" w:ascii="仿宋" w:hAnsi="仿宋" w:eastAsia="仿宋" w:cs="仿宋"/>
          <w:b w:val="0"/>
          <w:i w:val="0"/>
          <w:iCs w:val="0"/>
          <w:color w:val="auto"/>
          <w:sz w:val="24"/>
          <w:szCs w:val="24"/>
          <w:highlight w:val="none"/>
        </w:rPr>
        <w:t xml:space="preserve">5. </w:t>
      </w:r>
      <w:bookmarkEnd w:id="423"/>
      <w:r>
        <w:rPr>
          <w:rFonts w:hint="eastAsia" w:ascii="仿宋" w:hAnsi="仿宋" w:eastAsia="仿宋" w:cs="仿宋"/>
          <w:b w:val="0"/>
          <w:i w:val="0"/>
          <w:iCs w:val="0"/>
          <w:color w:val="auto"/>
          <w:sz w:val="24"/>
          <w:szCs w:val="24"/>
          <w:highlight w:val="none"/>
        </w:rPr>
        <w:t>工程设计要求</w:t>
      </w:r>
    </w:p>
    <w:bookmarkEnd w:id="424"/>
    <w:p w14:paraId="5EC7839B">
      <w:pPr>
        <w:pStyle w:val="5"/>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bCs w:val="0"/>
          <w:i w:val="0"/>
          <w:iCs w:val="0"/>
          <w:color w:val="auto"/>
          <w:sz w:val="24"/>
          <w:szCs w:val="24"/>
          <w:highlight w:val="none"/>
        </w:rPr>
      </w:pPr>
      <w:bookmarkStart w:id="425" w:name="_Toc351203533"/>
      <w:bookmarkStart w:id="426" w:name="_Toc337558759"/>
      <w:r>
        <w:rPr>
          <w:rFonts w:hint="eastAsia" w:ascii="仿宋" w:hAnsi="仿宋" w:eastAsia="仿宋" w:cs="仿宋"/>
          <w:b w:val="0"/>
          <w:bCs w:val="0"/>
          <w:i w:val="0"/>
          <w:iCs w:val="0"/>
          <w:color w:val="auto"/>
          <w:kern w:val="0"/>
          <w:sz w:val="24"/>
          <w:szCs w:val="24"/>
          <w:highlight w:val="none"/>
        </w:rPr>
        <w:t>5.1</w:t>
      </w:r>
      <w:r>
        <w:rPr>
          <w:rFonts w:hint="eastAsia" w:ascii="仿宋" w:hAnsi="仿宋" w:eastAsia="仿宋" w:cs="仿宋"/>
          <w:b w:val="0"/>
          <w:i w:val="0"/>
          <w:iCs w:val="0"/>
          <w:color w:val="auto"/>
          <w:kern w:val="0"/>
          <w:sz w:val="24"/>
          <w:szCs w:val="24"/>
          <w:highlight w:val="none"/>
        </w:rPr>
        <w:t xml:space="preserve"> 工程设计一般要求</w:t>
      </w:r>
    </w:p>
    <w:p w14:paraId="3CE0C45E">
      <w:pPr>
        <w:pStyle w:val="5"/>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both"/>
        <w:textAlignment w:val="auto"/>
        <w:outlineLvl w:val="4"/>
        <w:rPr>
          <w:rFonts w:hint="eastAsia" w:ascii="仿宋" w:hAnsi="仿宋" w:eastAsia="仿宋" w:cs="仿宋"/>
          <w:b w:val="0"/>
          <w:bCs w:val="0"/>
          <w:i w:val="0"/>
          <w:iCs w:val="0"/>
          <w:color w:val="auto"/>
          <w:kern w:val="0"/>
          <w:sz w:val="24"/>
          <w:szCs w:val="24"/>
          <w:highlight w:val="none"/>
        </w:rPr>
      </w:pPr>
      <w:r>
        <w:rPr>
          <w:rFonts w:hint="eastAsia" w:ascii="仿宋" w:hAnsi="仿宋" w:eastAsia="仿宋" w:cs="仿宋"/>
          <w:b w:val="0"/>
          <w:bCs w:val="0"/>
          <w:i w:val="0"/>
          <w:iCs w:val="0"/>
          <w:color w:val="auto"/>
          <w:kern w:val="0"/>
          <w:sz w:val="24"/>
          <w:szCs w:val="24"/>
          <w:highlight w:val="none"/>
        </w:rPr>
        <w:t>5.1.1 对发包人的要求</w:t>
      </w:r>
    </w:p>
    <w:p w14:paraId="5863FC34">
      <w:pPr>
        <w:pStyle w:val="5"/>
        <w:keepNext w:val="0"/>
        <w:keepLines w:val="0"/>
        <w:pageBreakBefore w:val="0"/>
        <w:widowControl w:val="0"/>
        <w:kinsoku/>
        <w:wordWrap/>
        <w:overflowPunct/>
        <w:topLinePunct w:val="0"/>
        <w:bidi w:val="0"/>
        <w:snapToGrid/>
        <w:spacing w:before="0" w:beforeLines="0" w:after="0" w:afterLines="0" w:line="380" w:lineRule="exact"/>
        <w:ind w:firstLine="480" w:firstLineChars="200"/>
        <w:textAlignment w:val="auto"/>
        <w:rPr>
          <w:rFonts w:hint="eastAsia" w:ascii="仿宋" w:hAnsi="仿宋" w:eastAsia="仿宋" w:cs="仿宋"/>
          <w:b w:val="0"/>
          <w:bCs w:val="0"/>
          <w:i w:val="0"/>
          <w:iCs w:val="0"/>
          <w:color w:val="auto"/>
          <w:kern w:val="0"/>
          <w:sz w:val="24"/>
          <w:szCs w:val="24"/>
          <w:highlight w:val="none"/>
        </w:rPr>
      </w:pPr>
      <w:r>
        <w:rPr>
          <w:rFonts w:hint="eastAsia" w:ascii="仿宋" w:hAnsi="仿宋" w:eastAsia="仿宋" w:cs="仿宋"/>
          <w:b w:val="0"/>
          <w:bCs w:val="0"/>
          <w:i w:val="0"/>
          <w:iCs w:val="0"/>
          <w:color w:val="auto"/>
          <w:kern w:val="0"/>
          <w:sz w:val="24"/>
          <w:szCs w:val="24"/>
          <w:highlight w:val="none"/>
        </w:rPr>
        <w:t>发包人应当遵守法律和技术标准，发包人提出的有关安全、质量、环境保护和职业健康的要求应当符合法律和技术标准的规定，不得以任何理由要求设计人违反法律、技术标准进行设计。发包人鼓励设计人使用可靠的创新技术和新材料。</w:t>
      </w:r>
    </w:p>
    <w:p w14:paraId="0092B39F">
      <w:pPr>
        <w:pStyle w:val="5"/>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both"/>
        <w:textAlignment w:val="auto"/>
        <w:outlineLvl w:val="4"/>
        <w:rPr>
          <w:rFonts w:hint="eastAsia" w:ascii="仿宋" w:hAnsi="仿宋" w:eastAsia="仿宋" w:cs="仿宋"/>
          <w:b w:val="0"/>
          <w:bCs w:val="0"/>
          <w:i w:val="0"/>
          <w:iCs w:val="0"/>
          <w:color w:val="auto"/>
          <w:kern w:val="0"/>
          <w:sz w:val="24"/>
          <w:szCs w:val="24"/>
          <w:highlight w:val="none"/>
        </w:rPr>
      </w:pPr>
      <w:r>
        <w:rPr>
          <w:rFonts w:hint="eastAsia" w:ascii="仿宋" w:hAnsi="仿宋" w:eastAsia="仿宋" w:cs="仿宋"/>
          <w:b w:val="0"/>
          <w:bCs w:val="0"/>
          <w:i w:val="0"/>
          <w:iCs w:val="0"/>
          <w:color w:val="auto"/>
          <w:kern w:val="0"/>
          <w:sz w:val="24"/>
          <w:szCs w:val="24"/>
          <w:highlight w:val="none"/>
        </w:rPr>
        <w:t>5.1.2 对设计人的要求</w:t>
      </w:r>
    </w:p>
    <w:p w14:paraId="744904F4">
      <w:pPr>
        <w:pStyle w:val="5"/>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both"/>
        <w:textAlignment w:val="auto"/>
        <w:outlineLvl w:val="4"/>
        <w:rPr>
          <w:rFonts w:hint="eastAsia" w:ascii="仿宋" w:hAnsi="仿宋" w:eastAsia="仿宋" w:cs="仿宋"/>
          <w:b w:val="0"/>
          <w:bCs w:val="0"/>
          <w:i w:val="0"/>
          <w:iCs w:val="0"/>
          <w:color w:val="auto"/>
          <w:kern w:val="0"/>
          <w:sz w:val="24"/>
          <w:szCs w:val="24"/>
          <w:highlight w:val="none"/>
        </w:rPr>
      </w:pPr>
      <w:r>
        <w:rPr>
          <w:rFonts w:hint="eastAsia" w:ascii="仿宋" w:hAnsi="仿宋" w:eastAsia="仿宋" w:cs="仿宋"/>
          <w:b w:val="0"/>
          <w:bCs w:val="0"/>
          <w:i w:val="0"/>
          <w:iCs w:val="0"/>
          <w:color w:val="auto"/>
          <w:kern w:val="0"/>
          <w:sz w:val="24"/>
          <w:szCs w:val="24"/>
          <w:highlight w:val="none"/>
        </w:rPr>
        <w:t>5.1.2.1设计人应当按法律和技术标准的强制性规定及发包人要求进行工程设计。有关工程设计的特殊标准或要求由合同当事人在专用合同条款中约定。</w:t>
      </w:r>
      <w:bookmarkEnd w:id="425"/>
    </w:p>
    <w:p w14:paraId="7DBFDAD9">
      <w:pPr>
        <w:pageBreakBefore w:val="0"/>
        <w:widowControl w:val="0"/>
        <w:kinsoku/>
        <w:wordWrap/>
        <w:overflowPunct/>
        <w:topLinePunct w:val="0"/>
        <w:bidi w:val="0"/>
        <w:snapToGrid/>
        <w:spacing w:line="380" w:lineRule="exact"/>
        <w:ind w:firstLine="650"/>
        <w:textAlignment w:val="auto"/>
        <w:rPr>
          <w:rFonts w:hint="eastAsia" w:ascii="仿宋" w:hAnsi="仿宋" w:eastAsia="仿宋" w:cs="仿宋"/>
          <w:i w:val="0"/>
          <w:iCs w:val="0"/>
          <w:color w:val="auto"/>
          <w:sz w:val="24"/>
          <w:szCs w:val="24"/>
          <w:highlight w:val="none"/>
        </w:rPr>
      </w:pPr>
      <w:r>
        <w:rPr>
          <w:rFonts w:hint="eastAsia" w:ascii="仿宋" w:hAnsi="仿宋" w:eastAsia="仿宋" w:cs="仿宋"/>
          <w:bCs/>
          <w:i w:val="0"/>
          <w:iCs w:val="0"/>
          <w:color w:val="auto"/>
          <w:kern w:val="0"/>
          <w:sz w:val="24"/>
          <w:szCs w:val="24"/>
          <w:highlight w:val="none"/>
        </w:rPr>
        <w:t>设计人发现发包人提供的工程设计资料有问题的，设计人应当及时通知发包人并经发包人确认。</w:t>
      </w:r>
    </w:p>
    <w:bookmarkEnd w:id="426"/>
    <w:p w14:paraId="31DC926A">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5FD20F63">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5.1.2.3 设计人在工程设计中应当采用合同约定的技术、工艺和设备，满足</w:t>
      </w:r>
      <w:r>
        <w:rPr>
          <w:rFonts w:hint="eastAsia" w:ascii="仿宋" w:hAnsi="仿宋" w:eastAsia="仿宋" w:cs="仿宋"/>
          <w:i w:val="0"/>
          <w:iCs w:val="0"/>
          <w:color w:val="auto"/>
          <w:kern w:val="0"/>
          <w:sz w:val="24"/>
          <w:szCs w:val="24"/>
          <w:highlight w:val="none"/>
          <w:lang w:eastAsia="zh-CN"/>
        </w:rPr>
        <w:t>质量、安全、</w:t>
      </w:r>
      <w:r>
        <w:rPr>
          <w:rFonts w:hint="eastAsia" w:ascii="仿宋" w:hAnsi="仿宋" w:eastAsia="仿宋" w:cs="仿宋"/>
          <w:i w:val="0"/>
          <w:iCs w:val="0"/>
          <w:color w:val="auto"/>
          <w:kern w:val="0"/>
          <w:sz w:val="24"/>
          <w:szCs w:val="24"/>
          <w:highlight w:val="none"/>
        </w:rPr>
        <w:t>节能、环保</w:t>
      </w:r>
      <w:r>
        <w:rPr>
          <w:rFonts w:hint="eastAsia" w:ascii="仿宋" w:hAnsi="仿宋" w:eastAsia="仿宋" w:cs="仿宋"/>
          <w:i w:val="0"/>
          <w:iCs w:val="0"/>
          <w:color w:val="auto"/>
          <w:kern w:val="0"/>
          <w:sz w:val="24"/>
          <w:szCs w:val="24"/>
          <w:highlight w:val="none"/>
          <w:lang w:eastAsia="zh-CN"/>
        </w:rPr>
        <w:t>等</w:t>
      </w:r>
      <w:r>
        <w:rPr>
          <w:rFonts w:hint="eastAsia" w:ascii="仿宋" w:hAnsi="仿宋" w:eastAsia="仿宋" w:cs="仿宋"/>
          <w:i w:val="0"/>
          <w:iCs w:val="0"/>
          <w:color w:val="auto"/>
          <w:kern w:val="0"/>
          <w:sz w:val="24"/>
          <w:szCs w:val="24"/>
          <w:highlight w:val="none"/>
        </w:rPr>
        <w:t>要求。</w:t>
      </w:r>
    </w:p>
    <w:p w14:paraId="729B1828">
      <w:pPr>
        <w:keepNext w:val="0"/>
        <w:keepLines w:val="0"/>
        <w:pageBreakBefore w:val="0"/>
        <w:widowControl w:val="0"/>
        <w:kinsoku/>
        <w:wordWrap/>
        <w:overflowPunct/>
        <w:topLinePunct w:val="0"/>
        <w:autoSpaceDE w:val="0"/>
        <w:autoSpaceDN w:val="0"/>
        <w:bidi w:val="0"/>
        <w:adjustRightInd w:val="0"/>
        <w:snapToGrid/>
        <w:spacing w:before="120" w:beforeLines="0" w:after="12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5.2 工程设计保证措施</w:t>
      </w:r>
    </w:p>
    <w:p w14:paraId="001E677C">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5.2.1 发包人的保证措施</w:t>
      </w:r>
    </w:p>
    <w:p w14:paraId="19BA4905">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发包人应按照法律规定及合同约定完成与工程设计有关的各项工作。</w:t>
      </w:r>
    </w:p>
    <w:p w14:paraId="0495D83F">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5.2.2 设计人的保证措施</w:t>
      </w:r>
    </w:p>
    <w:p w14:paraId="3B8EF809">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设计人应做好工程设计的质量与技术管理工作，建立健全工程设计质量保证体系，加强工程设计全过程的质量控制，建立完整的设计文件的设计、复核、审核、会签和批准制度，明确各阶段的责任人。</w:t>
      </w:r>
    </w:p>
    <w:p w14:paraId="5B55E3E8">
      <w:pPr>
        <w:pStyle w:val="5"/>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bCs w:val="0"/>
          <w:i w:val="0"/>
          <w:iCs w:val="0"/>
          <w:color w:val="auto"/>
          <w:kern w:val="0"/>
          <w:sz w:val="24"/>
          <w:szCs w:val="24"/>
          <w:highlight w:val="none"/>
        </w:rPr>
      </w:pPr>
      <w:r>
        <w:rPr>
          <w:rFonts w:hint="eastAsia" w:ascii="仿宋" w:hAnsi="仿宋" w:eastAsia="仿宋" w:cs="仿宋"/>
          <w:b w:val="0"/>
          <w:bCs w:val="0"/>
          <w:i w:val="0"/>
          <w:iCs w:val="0"/>
          <w:color w:val="auto"/>
          <w:kern w:val="0"/>
          <w:sz w:val="24"/>
          <w:szCs w:val="24"/>
          <w:highlight w:val="none"/>
        </w:rPr>
        <w:t>5.3 工程设计文件的要求</w:t>
      </w:r>
    </w:p>
    <w:p w14:paraId="1FAD9D1F">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5.3.1 工程设计文件的编制应符合法律、技术标准的强制性规定及合同的要求。</w:t>
      </w:r>
    </w:p>
    <w:p w14:paraId="77BD7E19">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5.3.2 工程设计依据应完整、准确、可靠，设计方案论证充分，计算成果可靠，并能够实施。</w:t>
      </w:r>
    </w:p>
    <w:p w14:paraId="01DEB70C">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5.3.3 工程设计文件的深度应满足本合同相应设计阶段的规定要求，并符合国家和行业现行有效的相关规定。</w:t>
      </w:r>
    </w:p>
    <w:p w14:paraId="447A6F4E">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5.3.4 工程设计文件应当保证工程施工及投产后安全性要求，满足工程经济性包括节约投资及降低生产成本</w:t>
      </w:r>
      <w:r>
        <w:rPr>
          <w:rFonts w:hint="eastAsia" w:ascii="仿宋" w:hAnsi="仿宋" w:eastAsia="仿宋" w:cs="仿宋"/>
          <w:i w:val="0"/>
          <w:iCs w:val="0"/>
          <w:color w:val="auto"/>
          <w:kern w:val="0"/>
          <w:sz w:val="24"/>
          <w:szCs w:val="24"/>
          <w:highlight w:val="none"/>
          <w:lang w:eastAsia="zh-CN"/>
        </w:rPr>
        <w:t>要求</w:t>
      </w:r>
      <w:r>
        <w:rPr>
          <w:rFonts w:hint="eastAsia" w:ascii="仿宋" w:hAnsi="仿宋" w:eastAsia="仿宋" w:cs="仿宋"/>
          <w:i w:val="0"/>
          <w:iCs w:val="0"/>
          <w:color w:val="auto"/>
          <w:kern w:val="0"/>
          <w:sz w:val="24"/>
          <w:szCs w:val="24"/>
          <w:highlight w:val="none"/>
        </w:rPr>
        <w:t xml:space="preserve">、合理布局要求，按照有关法律规定在工程设计文件中提出保障施工作业人员安全和预防生产安全事故的措施建议，安全设施应当按规定同步设计。 </w:t>
      </w:r>
    </w:p>
    <w:p w14:paraId="1241E729">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5.3.5 应根据法律、技术标准要求，保证专业建设工程的合理使用寿命年限，并应在工程设计文件中注明相应的合理使用寿命年限。</w:t>
      </w:r>
    </w:p>
    <w:p w14:paraId="54537725">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bCs w:val="0"/>
          <w:i w:val="0"/>
          <w:iCs w:val="0"/>
          <w:color w:val="auto"/>
          <w:kern w:val="0"/>
          <w:sz w:val="24"/>
          <w:szCs w:val="24"/>
          <w:highlight w:val="none"/>
        </w:rPr>
      </w:pPr>
      <w:bookmarkStart w:id="427" w:name="_Toc351203536"/>
      <w:bookmarkStart w:id="428" w:name="_Toc337558762"/>
      <w:r>
        <w:rPr>
          <w:rFonts w:hint="eastAsia" w:ascii="仿宋" w:hAnsi="仿宋" w:eastAsia="仿宋" w:cs="仿宋"/>
          <w:b w:val="0"/>
          <w:bCs w:val="0"/>
          <w:i w:val="0"/>
          <w:iCs w:val="0"/>
          <w:color w:val="auto"/>
          <w:kern w:val="0"/>
          <w:sz w:val="24"/>
          <w:szCs w:val="24"/>
          <w:highlight w:val="none"/>
        </w:rPr>
        <w:t>5.4 不合格工程设计文件的处理</w:t>
      </w:r>
      <w:bookmarkEnd w:id="427"/>
    </w:p>
    <w:bookmarkEnd w:id="428"/>
    <w:p w14:paraId="49B13160">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 xml:space="preserve">5.4.1 因设计人原因造成工程设计文件不合格的，发包人有权要求设计人采取补救措施，直至达到合同要求的质量标准，并按第14.2款〔设计人违约责任〕的约定承担责任。 </w:t>
      </w:r>
    </w:p>
    <w:p w14:paraId="44A20729">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5.4.2 因发包人原因造成工程设计文件不合格的，设计人应当采取补救措施，直至达到合同要求的质量标准，由此增加的设计费用和（或）设计周期的延长由发包人承担。</w:t>
      </w:r>
    </w:p>
    <w:p w14:paraId="06851CAE">
      <w:pPr>
        <w:pStyle w:val="4"/>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bookmarkStart w:id="429" w:name="_Toc351203542"/>
      <w:bookmarkStart w:id="430" w:name="_Toc337558767"/>
      <w:r>
        <w:rPr>
          <w:rFonts w:hint="eastAsia" w:ascii="仿宋" w:hAnsi="仿宋" w:eastAsia="仿宋" w:cs="仿宋"/>
          <w:b w:val="0"/>
          <w:i w:val="0"/>
          <w:iCs w:val="0"/>
          <w:color w:val="auto"/>
          <w:sz w:val="24"/>
          <w:szCs w:val="24"/>
          <w:highlight w:val="none"/>
        </w:rPr>
        <w:t>6. 工程设计进度</w:t>
      </w:r>
      <w:bookmarkEnd w:id="429"/>
      <w:r>
        <w:rPr>
          <w:rFonts w:hint="eastAsia" w:ascii="仿宋" w:hAnsi="仿宋" w:eastAsia="仿宋" w:cs="仿宋"/>
          <w:b w:val="0"/>
          <w:i w:val="0"/>
          <w:iCs w:val="0"/>
          <w:color w:val="auto"/>
          <w:sz w:val="24"/>
          <w:szCs w:val="24"/>
          <w:highlight w:val="none"/>
        </w:rPr>
        <w:t>与周期</w:t>
      </w:r>
    </w:p>
    <w:bookmarkEnd w:id="430"/>
    <w:p w14:paraId="55266BC3">
      <w:pPr>
        <w:pStyle w:val="5"/>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bCs w:val="0"/>
          <w:i w:val="0"/>
          <w:iCs w:val="0"/>
          <w:color w:val="auto"/>
          <w:kern w:val="0"/>
          <w:sz w:val="24"/>
          <w:szCs w:val="24"/>
          <w:highlight w:val="none"/>
        </w:rPr>
      </w:pPr>
      <w:bookmarkStart w:id="431" w:name="_Toc351203544"/>
      <w:bookmarkStart w:id="432" w:name="_Toc337558769"/>
      <w:bookmarkStart w:id="433" w:name="_Toc296346567"/>
      <w:bookmarkStart w:id="434" w:name="_Toc296503066"/>
      <w:r>
        <w:rPr>
          <w:rFonts w:hint="eastAsia" w:ascii="仿宋" w:hAnsi="仿宋" w:eastAsia="仿宋" w:cs="仿宋"/>
          <w:b w:val="0"/>
          <w:bCs w:val="0"/>
          <w:i w:val="0"/>
          <w:iCs w:val="0"/>
          <w:color w:val="auto"/>
          <w:kern w:val="0"/>
          <w:sz w:val="24"/>
          <w:szCs w:val="24"/>
          <w:highlight w:val="none"/>
        </w:rPr>
        <w:t>6.1 工程设计进度计划</w:t>
      </w:r>
      <w:bookmarkEnd w:id="431"/>
    </w:p>
    <w:bookmarkEnd w:id="432"/>
    <w:p w14:paraId="2EA5DEFA">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6.1.1 工程设计进度计划的编制</w:t>
      </w:r>
    </w:p>
    <w:p w14:paraId="3DF73662">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2F4A100D">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工程设计进度计划中的设计周期应由发包人与设计人协商确定，明确约定各阶段设计任务的完成时间区间，</w:t>
      </w:r>
      <w:r>
        <w:rPr>
          <w:rFonts w:hint="eastAsia" w:ascii="仿宋" w:hAnsi="仿宋" w:eastAsia="仿宋" w:cs="仿宋"/>
          <w:i w:val="0"/>
          <w:iCs w:val="0"/>
          <w:color w:val="auto"/>
          <w:sz w:val="24"/>
          <w:szCs w:val="24"/>
          <w:highlight w:val="none"/>
        </w:rPr>
        <w:t>包括各阶段设计过程中设计人与发包人的交流时间，但不包括相关政府部门对设计成果的审批时间及发包人的审查时间。</w:t>
      </w:r>
    </w:p>
    <w:p w14:paraId="50C6DD31">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6.1.2 工程设计进度计划的修订</w:t>
      </w:r>
    </w:p>
    <w:p w14:paraId="184F3A5E">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工程设计进度计划不符合合同要求或与工程设计的实际进度不一致的，设计人应向发包人提交修订的工程设计进度计划，并附具有关措施和相关资料。除专用合同条款</w:t>
      </w:r>
      <w:r>
        <w:rPr>
          <w:rFonts w:hint="eastAsia" w:ascii="仿宋" w:hAnsi="仿宋" w:eastAsia="仿宋" w:cs="仿宋"/>
          <w:i w:val="0"/>
          <w:iCs w:val="0"/>
          <w:color w:val="auto"/>
          <w:kern w:val="0"/>
          <w:sz w:val="24"/>
          <w:szCs w:val="24"/>
          <w:highlight w:val="none"/>
          <w:lang w:eastAsia="zh-CN"/>
        </w:rPr>
        <w:t>对期限</w:t>
      </w:r>
      <w:r>
        <w:rPr>
          <w:rFonts w:hint="eastAsia" w:ascii="仿宋" w:hAnsi="仿宋" w:eastAsia="仿宋" w:cs="仿宋"/>
          <w:i w:val="0"/>
          <w:iCs w:val="0"/>
          <w:color w:val="auto"/>
          <w:kern w:val="0"/>
          <w:sz w:val="24"/>
          <w:szCs w:val="24"/>
          <w:highlight w:val="none"/>
        </w:rPr>
        <w:t>另有约定外，发包人应在收到修订的工程设计进度计划后5天内完成审核和批准或提出修改意见，否则视为发包人同意设计人提交的修订的工程设计进度计划。</w:t>
      </w:r>
    </w:p>
    <w:p w14:paraId="5ED8D8A9">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bCs w:val="0"/>
          <w:i w:val="0"/>
          <w:iCs w:val="0"/>
          <w:color w:val="auto"/>
          <w:kern w:val="0"/>
          <w:sz w:val="24"/>
          <w:szCs w:val="24"/>
          <w:highlight w:val="none"/>
        </w:rPr>
      </w:pPr>
      <w:bookmarkStart w:id="435" w:name="_Toc351203545"/>
      <w:bookmarkStart w:id="436" w:name="_Toc337558770"/>
      <w:r>
        <w:rPr>
          <w:rFonts w:hint="eastAsia" w:ascii="仿宋" w:hAnsi="仿宋" w:eastAsia="仿宋" w:cs="仿宋"/>
          <w:b w:val="0"/>
          <w:bCs w:val="0"/>
          <w:i w:val="0"/>
          <w:iCs w:val="0"/>
          <w:color w:val="auto"/>
          <w:kern w:val="0"/>
          <w:sz w:val="24"/>
          <w:szCs w:val="24"/>
          <w:highlight w:val="none"/>
        </w:rPr>
        <w:t xml:space="preserve">6.2 </w:t>
      </w:r>
      <w:bookmarkEnd w:id="435"/>
      <w:r>
        <w:rPr>
          <w:rFonts w:hint="eastAsia" w:ascii="仿宋" w:hAnsi="仿宋" w:eastAsia="仿宋" w:cs="仿宋"/>
          <w:b w:val="0"/>
          <w:bCs w:val="0"/>
          <w:i w:val="0"/>
          <w:iCs w:val="0"/>
          <w:color w:val="auto"/>
          <w:kern w:val="0"/>
          <w:sz w:val="24"/>
          <w:szCs w:val="24"/>
          <w:highlight w:val="none"/>
        </w:rPr>
        <w:t>工程设计开始</w:t>
      </w:r>
    </w:p>
    <w:bookmarkEnd w:id="436"/>
    <w:p w14:paraId="70916925">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501" w:firstLineChars="209"/>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发包人应按照法律规定获得工程设计所需的许可。发包人发出的开始设计通知应符合法律规定，</w:t>
      </w:r>
      <w:r>
        <w:rPr>
          <w:rFonts w:hint="eastAsia" w:ascii="仿宋" w:hAnsi="仿宋" w:eastAsia="仿宋" w:cs="仿宋"/>
          <w:i w:val="0"/>
          <w:iCs w:val="0"/>
          <w:color w:val="auto"/>
          <w:kern w:val="0"/>
          <w:sz w:val="24"/>
          <w:szCs w:val="24"/>
          <w:highlight w:val="none"/>
          <w:lang w:eastAsia="zh-CN"/>
        </w:rPr>
        <w:t>一般</w:t>
      </w:r>
      <w:r>
        <w:rPr>
          <w:rFonts w:hint="eastAsia" w:ascii="仿宋" w:hAnsi="仿宋" w:eastAsia="仿宋" w:cs="仿宋"/>
          <w:i w:val="0"/>
          <w:iCs w:val="0"/>
          <w:color w:val="auto"/>
          <w:kern w:val="0"/>
          <w:sz w:val="24"/>
          <w:szCs w:val="24"/>
          <w:highlight w:val="none"/>
        </w:rPr>
        <w:t>应在计划开始设计日期7天前向设计人发出开始工程设计工作通知，工程设计周期自开始设计通知中载明的开始设计的日期起算。</w:t>
      </w:r>
    </w:p>
    <w:p w14:paraId="6428886E">
      <w:pPr>
        <w:pageBreakBefore w:val="0"/>
        <w:widowControl w:val="0"/>
        <w:kinsoku/>
        <w:wordWrap/>
        <w:overflowPunct/>
        <w:topLinePunct w:val="0"/>
        <w:autoSpaceDE w:val="0"/>
        <w:autoSpaceDN w:val="0"/>
        <w:bidi w:val="0"/>
        <w:adjustRightInd w:val="0"/>
        <w:snapToGrid/>
        <w:spacing w:line="380" w:lineRule="exact"/>
        <w:ind w:firstLine="504" w:firstLineChars="21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设计人应当在收到发包人提供的工程设计资料及专用合同条款约定的定金或预付款后，开始工程设计工作。</w:t>
      </w:r>
    </w:p>
    <w:p w14:paraId="370E56C9">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各设计阶段的开始时间均以设计人收到的发包人发出开始设计工作的书面通知书中载明的</w:t>
      </w:r>
      <w:r>
        <w:rPr>
          <w:rFonts w:hint="eastAsia" w:ascii="仿宋" w:hAnsi="仿宋" w:eastAsia="仿宋" w:cs="仿宋"/>
          <w:i w:val="0"/>
          <w:iCs w:val="0"/>
          <w:color w:val="auto"/>
          <w:kern w:val="0"/>
          <w:sz w:val="24"/>
          <w:szCs w:val="24"/>
          <w:highlight w:val="none"/>
        </w:rPr>
        <w:t>开始设计的日期起算。</w:t>
      </w:r>
    </w:p>
    <w:bookmarkEnd w:id="433"/>
    <w:bookmarkEnd w:id="434"/>
    <w:p w14:paraId="324C32A5">
      <w:pPr>
        <w:pStyle w:val="5"/>
        <w:pageBreakBefore w:val="0"/>
        <w:widowControl w:val="0"/>
        <w:kinsoku/>
        <w:wordWrap/>
        <w:overflowPunct/>
        <w:topLinePunct w:val="0"/>
        <w:bidi w:val="0"/>
        <w:snapToGrid/>
        <w:spacing w:before="120" w:beforeLines="0" w:after="120" w:afterLines="0" w:line="380" w:lineRule="exact"/>
        <w:ind w:firstLine="480" w:firstLineChars="200"/>
        <w:textAlignment w:val="auto"/>
        <w:rPr>
          <w:rFonts w:hint="eastAsia" w:ascii="仿宋" w:hAnsi="仿宋" w:eastAsia="仿宋" w:cs="仿宋"/>
          <w:b w:val="0"/>
          <w:bCs w:val="0"/>
          <w:i w:val="0"/>
          <w:iCs w:val="0"/>
          <w:color w:val="auto"/>
          <w:kern w:val="0"/>
          <w:sz w:val="24"/>
          <w:szCs w:val="24"/>
          <w:highlight w:val="none"/>
        </w:rPr>
      </w:pPr>
      <w:bookmarkStart w:id="437" w:name="_Toc351203547"/>
      <w:bookmarkStart w:id="438" w:name="_Toc337558772"/>
      <w:bookmarkStart w:id="439" w:name="_Toc296503073"/>
      <w:bookmarkStart w:id="440" w:name="_Toc296346574"/>
      <w:r>
        <w:rPr>
          <w:rFonts w:hint="eastAsia" w:ascii="仿宋" w:hAnsi="仿宋" w:eastAsia="仿宋" w:cs="仿宋"/>
          <w:b w:val="0"/>
          <w:bCs w:val="0"/>
          <w:i w:val="0"/>
          <w:iCs w:val="0"/>
          <w:color w:val="auto"/>
          <w:kern w:val="0"/>
          <w:sz w:val="24"/>
          <w:szCs w:val="24"/>
          <w:highlight w:val="none"/>
        </w:rPr>
        <w:t>6.3 工程设计进度延误</w:t>
      </w:r>
      <w:bookmarkEnd w:id="437"/>
    </w:p>
    <w:bookmarkEnd w:id="438"/>
    <w:bookmarkEnd w:id="439"/>
    <w:bookmarkEnd w:id="440"/>
    <w:p w14:paraId="746030B6">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6.3.1 因发包人原因导致工程设计进度延误</w:t>
      </w:r>
    </w:p>
    <w:p w14:paraId="32018344">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 xml:space="preserve">在合同履行过程中，发包人导致工程设计进度延误的情形主要有： </w:t>
      </w:r>
    </w:p>
    <w:p w14:paraId="333BC611">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（1）发包人未能按合同约定提供工程设计资料或所提供的工程设计资料不符合合同约定或存在错误或疏漏的；</w:t>
      </w:r>
    </w:p>
    <w:p w14:paraId="49A611CA">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（2）发包人未能按合同约定日期足额支付定金或预付款、进度款的；</w:t>
      </w:r>
    </w:p>
    <w:p w14:paraId="0629B145">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（3）发包人提出影响设计周期的设计变更要求的；</w:t>
      </w:r>
    </w:p>
    <w:p w14:paraId="1918404F">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（4）专用合同条款中约定的其他情形。</w:t>
      </w:r>
    </w:p>
    <w:p w14:paraId="719D5A32">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因发包人原因未按计划开始设计日期开始设计的，发包人应按实际开始设计日期顺延完成设计日期。</w:t>
      </w:r>
    </w:p>
    <w:p w14:paraId="45147A0C">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除专用合同条款</w:t>
      </w:r>
      <w:r>
        <w:rPr>
          <w:rFonts w:hint="eastAsia" w:ascii="仿宋" w:hAnsi="仿宋" w:eastAsia="仿宋" w:cs="仿宋"/>
          <w:i w:val="0"/>
          <w:iCs w:val="0"/>
          <w:color w:val="auto"/>
          <w:sz w:val="24"/>
          <w:szCs w:val="24"/>
          <w:highlight w:val="none"/>
          <w:lang w:eastAsia="zh-CN"/>
        </w:rPr>
        <w:t>对期限</w:t>
      </w:r>
      <w:r>
        <w:rPr>
          <w:rFonts w:hint="eastAsia" w:ascii="仿宋" w:hAnsi="仿宋" w:eastAsia="仿宋" w:cs="仿宋"/>
          <w:i w:val="0"/>
          <w:iCs w:val="0"/>
          <w:color w:val="auto"/>
          <w:sz w:val="24"/>
          <w:szCs w:val="24"/>
          <w:highlight w:val="none"/>
        </w:rPr>
        <w:t>另有约定外，设计人应在发生上述情况后5天内向发包人发出要求延期的书面通知，在发生上述情况后</w:t>
      </w:r>
      <w:r>
        <w:rPr>
          <w:rFonts w:hint="eastAsia" w:ascii="仿宋" w:hAnsi="仿宋" w:eastAsia="仿宋" w:cs="仿宋"/>
          <w:i w:val="0"/>
          <w:iCs w:val="0"/>
          <w:color w:val="auto"/>
          <w:sz w:val="24"/>
          <w:szCs w:val="24"/>
          <w:highlight w:val="none"/>
          <w:lang w:val="en-US" w:eastAsia="zh-CN"/>
        </w:rPr>
        <w:t>10</w:t>
      </w:r>
      <w:r>
        <w:rPr>
          <w:rFonts w:hint="eastAsia" w:ascii="仿宋" w:hAnsi="仿宋" w:eastAsia="仿宋" w:cs="仿宋"/>
          <w:i w:val="0"/>
          <w:iCs w:val="0"/>
          <w:color w:val="auto"/>
          <w:sz w:val="24"/>
          <w:szCs w:val="24"/>
          <w:highlight w:val="none"/>
        </w:rPr>
        <w:t>天内提交要求延期的详细说明供发包人审查。除专用合同条款</w:t>
      </w:r>
      <w:r>
        <w:rPr>
          <w:rFonts w:hint="eastAsia" w:ascii="仿宋" w:hAnsi="仿宋" w:eastAsia="仿宋" w:cs="仿宋"/>
          <w:i w:val="0"/>
          <w:iCs w:val="0"/>
          <w:color w:val="auto"/>
          <w:sz w:val="24"/>
          <w:szCs w:val="24"/>
          <w:highlight w:val="none"/>
          <w:lang w:eastAsia="zh-CN"/>
        </w:rPr>
        <w:t>对期限</w:t>
      </w:r>
      <w:r>
        <w:rPr>
          <w:rFonts w:hint="eastAsia" w:ascii="仿宋" w:hAnsi="仿宋" w:eastAsia="仿宋" w:cs="仿宋"/>
          <w:i w:val="0"/>
          <w:iCs w:val="0"/>
          <w:color w:val="auto"/>
          <w:sz w:val="24"/>
          <w:szCs w:val="24"/>
          <w:highlight w:val="none"/>
        </w:rPr>
        <w:t>另有约定外，发包人收到设计人要求延期的详细说明后，应在5天内进行审查并就是否延长设计周期及延期天数向设计人进行书面答复。</w:t>
      </w:r>
    </w:p>
    <w:p w14:paraId="03D2AA69">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如果发包人在收到设计人</w:t>
      </w:r>
      <w:r>
        <w:rPr>
          <w:rFonts w:hint="eastAsia" w:ascii="仿宋" w:hAnsi="仿宋" w:eastAsia="仿宋" w:cs="仿宋"/>
          <w:i w:val="0"/>
          <w:iCs w:val="0"/>
          <w:color w:val="auto"/>
          <w:kern w:val="0"/>
          <w:sz w:val="24"/>
          <w:szCs w:val="24"/>
          <w:highlight w:val="none"/>
        </w:rPr>
        <w:t>提交要求</w:t>
      </w:r>
      <w:r>
        <w:rPr>
          <w:rFonts w:hint="eastAsia" w:ascii="仿宋" w:hAnsi="仿宋" w:eastAsia="仿宋" w:cs="仿宋"/>
          <w:i w:val="0"/>
          <w:iCs w:val="0"/>
          <w:color w:val="auto"/>
          <w:sz w:val="24"/>
          <w:szCs w:val="24"/>
          <w:highlight w:val="none"/>
        </w:rPr>
        <w:t>延期的详细说明后</w:t>
      </w:r>
      <w:r>
        <w:rPr>
          <w:rFonts w:hint="eastAsia" w:ascii="仿宋" w:hAnsi="仿宋" w:eastAsia="仿宋" w:cs="仿宋"/>
          <w:i w:val="0"/>
          <w:iCs w:val="0"/>
          <w:color w:val="auto"/>
          <w:sz w:val="24"/>
          <w:szCs w:val="24"/>
          <w:highlight w:val="none"/>
          <w:lang w:eastAsia="zh-CN"/>
        </w:rPr>
        <w:t>，在约定的期限内</w:t>
      </w:r>
      <w:r>
        <w:rPr>
          <w:rFonts w:hint="eastAsia" w:ascii="仿宋" w:hAnsi="仿宋" w:eastAsia="仿宋" w:cs="仿宋"/>
          <w:i w:val="0"/>
          <w:iCs w:val="0"/>
          <w:color w:val="auto"/>
          <w:sz w:val="24"/>
          <w:szCs w:val="24"/>
          <w:highlight w:val="none"/>
        </w:rPr>
        <w:t>未予答复，则视为设计人要求的延期已被发包人批准。如果设计人未能按本款</w:t>
      </w:r>
      <w:r>
        <w:rPr>
          <w:rFonts w:hint="eastAsia" w:ascii="仿宋" w:hAnsi="仿宋" w:eastAsia="仿宋" w:cs="仿宋"/>
          <w:i w:val="0"/>
          <w:iCs w:val="0"/>
          <w:color w:val="auto"/>
          <w:sz w:val="24"/>
          <w:szCs w:val="24"/>
          <w:highlight w:val="none"/>
          <w:lang w:eastAsia="zh-CN"/>
        </w:rPr>
        <w:t>约</w:t>
      </w:r>
      <w:r>
        <w:rPr>
          <w:rFonts w:hint="eastAsia" w:ascii="仿宋" w:hAnsi="仿宋" w:eastAsia="仿宋" w:cs="仿宋"/>
          <w:i w:val="0"/>
          <w:iCs w:val="0"/>
          <w:color w:val="auto"/>
          <w:sz w:val="24"/>
          <w:szCs w:val="24"/>
          <w:highlight w:val="none"/>
        </w:rPr>
        <w:t>定的时间内发出要求延期的通知并提交详细资料，则发包人可拒绝作出任何延期的决定。</w:t>
      </w:r>
    </w:p>
    <w:p w14:paraId="746A3272">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发包人上述工程设计进度延误情形</w:t>
      </w:r>
      <w:r>
        <w:rPr>
          <w:rFonts w:hint="eastAsia" w:ascii="仿宋" w:hAnsi="仿宋" w:eastAsia="仿宋" w:cs="仿宋"/>
          <w:i w:val="0"/>
          <w:iCs w:val="0"/>
          <w:color w:val="auto"/>
          <w:sz w:val="24"/>
          <w:szCs w:val="24"/>
          <w:highlight w:val="none"/>
        </w:rPr>
        <w:t>导致增加了设计工作量的，发包人应当另行支付相应设计费用。</w:t>
      </w:r>
    </w:p>
    <w:p w14:paraId="16592B2D">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rPr>
        <w:t>6.3.2 因设计人原因导致工程设计进度延误</w:t>
      </w:r>
    </w:p>
    <w:p w14:paraId="4649CFEC">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bookmarkStart w:id="441" w:name="_Toc296503076"/>
      <w:bookmarkStart w:id="442" w:name="_Toc296346577"/>
      <w:r>
        <w:rPr>
          <w:rFonts w:hint="eastAsia" w:ascii="仿宋" w:hAnsi="仿宋" w:eastAsia="仿宋" w:cs="仿宋"/>
          <w:i w:val="0"/>
          <w:iCs w:val="0"/>
          <w:color w:val="auto"/>
          <w:kern w:val="0"/>
          <w:sz w:val="24"/>
          <w:szCs w:val="24"/>
          <w:highlight w:val="none"/>
        </w:rPr>
        <w:t>因</w:t>
      </w:r>
      <w:bookmarkEnd w:id="441"/>
      <w:bookmarkEnd w:id="442"/>
      <w:r>
        <w:rPr>
          <w:rFonts w:hint="eastAsia" w:ascii="仿宋" w:hAnsi="仿宋" w:eastAsia="仿宋" w:cs="仿宋"/>
          <w:i w:val="0"/>
          <w:iCs w:val="0"/>
          <w:color w:val="auto"/>
          <w:kern w:val="0"/>
          <w:sz w:val="24"/>
          <w:szCs w:val="24"/>
          <w:highlight w:val="none"/>
        </w:rPr>
        <w:t>设计人原因导致工程设计进度延误的，设计人应当按照第14.2款〔设计人违约责任〕承担责任。设计人支付逾期完成工程设计违约金后，不免除设计人继续完成工程设计的义务。</w:t>
      </w:r>
    </w:p>
    <w:p w14:paraId="3535F58B">
      <w:pPr>
        <w:pageBreakBefore w:val="0"/>
        <w:widowControl w:val="0"/>
        <w:kinsoku/>
        <w:wordWrap/>
        <w:overflowPunct/>
        <w:topLinePunct w:val="0"/>
        <w:autoSpaceDE w:val="0"/>
        <w:autoSpaceDN w:val="0"/>
        <w:bidi w:val="0"/>
        <w:adjustRightInd w:val="0"/>
        <w:snapToGrid/>
        <w:spacing w:before="120" w:beforeLines="0" w:after="120" w:afterLines="0"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bookmarkStart w:id="443" w:name="_Toc351203550"/>
      <w:bookmarkStart w:id="444" w:name="_Toc296503077"/>
      <w:bookmarkStart w:id="445" w:name="_Toc337558775"/>
      <w:bookmarkStart w:id="446" w:name="_Toc296346578"/>
      <w:r>
        <w:rPr>
          <w:rFonts w:hint="eastAsia" w:ascii="仿宋" w:hAnsi="仿宋" w:eastAsia="仿宋" w:cs="仿宋"/>
          <w:i w:val="0"/>
          <w:iCs w:val="0"/>
          <w:color w:val="auto"/>
          <w:kern w:val="0"/>
          <w:sz w:val="24"/>
          <w:szCs w:val="24"/>
          <w:highlight w:val="none"/>
        </w:rPr>
        <w:t>6.4 暂停</w:t>
      </w:r>
      <w:bookmarkEnd w:id="443"/>
      <w:r>
        <w:rPr>
          <w:rFonts w:hint="eastAsia" w:ascii="仿宋" w:hAnsi="仿宋" w:eastAsia="仿宋" w:cs="仿宋"/>
          <w:i w:val="0"/>
          <w:iCs w:val="0"/>
          <w:color w:val="auto"/>
          <w:kern w:val="0"/>
          <w:sz w:val="24"/>
          <w:szCs w:val="24"/>
          <w:highlight w:val="none"/>
        </w:rPr>
        <w:t>设计</w:t>
      </w:r>
    </w:p>
    <w:bookmarkEnd w:id="444"/>
    <w:bookmarkEnd w:id="445"/>
    <w:bookmarkEnd w:id="446"/>
    <w:p w14:paraId="78597699">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6.4.1 发包人原因引起的暂停设计</w:t>
      </w:r>
    </w:p>
    <w:p w14:paraId="4CFFA0DA">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因发包人原因引起暂停设计的，发包人应及时下达暂停设计指示。</w:t>
      </w:r>
    </w:p>
    <w:p w14:paraId="29F7D960">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因发包人原因引起的暂停设计，发包人应承担由此增加的设计费用和（或）延长的设计周期。</w:t>
      </w:r>
    </w:p>
    <w:p w14:paraId="13D06172">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6.4.2 设计人原因引起的暂停设计</w:t>
      </w:r>
    </w:p>
    <w:p w14:paraId="09547257">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14:paraId="00CFE03B">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6.4.3 其他原因引起的暂停设计</w:t>
      </w:r>
    </w:p>
    <w:p w14:paraId="537B767F">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当出现非设计人原因造成的暂停设计，设计人应当尽快向发包人发出书面通知。</w:t>
      </w:r>
    </w:p>
    <w:p w14:paraId="097C3A33">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在上述情形下设计人的设计服务暂停，设计人的设计周期应当相应延长，复工应有发包人与设计人共同确认的合理期限。</w:t>
      </w:r>
    </w:p>
    <w:p w14:paraId="2ED8BD36">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当发生本项</w:t>
      </w:r>
      <w:r>
        <w:rPr>
          <w:rFonts w:hint="eastAsia" w:ascii="仿宋" w:hAnsi="仿宋" w:eastAsia="仿宋" w:cs="仿宋"/>
          <w:i w:val="0"/>
          <w:iCs w:val="0"/>
          <w:color w:val="auto"/>
          <w:kern w:val="0"/>
          <w:sz w:val="24"/>
          <w:szCs w:val="24"/>
          <w:highlight w:val="none"/>
          <w:lang w:eastAsia="zh-CN"/>
        </w:rPr>
        <w:t>约</w:t>
      </w:r>
      <w:r>
        <w:rPr>
          <w:rFonts w:hint="eastAsia" w:ascii="仿宋" w:hAnsi="仿宋" w:eastAsia="仿宋" w:cs="仿宋"/>
          <w:i w:val="0"/>
          <w:iCs w:val="0"/>
          <w:color w:val="auto"/>
          <w:kern w:val="0"/>
          <w:sz w:val="24"/>
          <w:szCs w:val="24"/>
          <w:highlight w:val="none"/>
        </w:rPr>
        <w:t>定的情况，导致设计人增加设计工作量的，发包人应当另行支付相应设计费用。</w:t>
      </w:r>
    </w:p>
    <w:p w14:paraId="79379DBA">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6.4.4 暂停设计后的复工</w:t>
      </w:r>
    </w:p>
    <w:p w14:paraId="723FE20C">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暂停设计后，发包人和设计人应采取有效措施积极消除暂停设计的影响。当工程具备复工条件时，发包人向设计人发出复工通知，设计人应按照复工通知要求复工。</w:t>
      </w:r>
    </w:p>
    <w:p w14:paraId="36DB24E2">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除设计人原因导致暂停设计外，设计人暂停设计后复工所增加的设计工作量，发包人应当另行支付相应设计费用。</w:t>
      </w:r>
    </w:p>
    <w:p w14:paraId="13928301">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bCs w:val="0"/>
          <w:i w:val="0"/>
          <w:iCs w:val="0"/>
          <w:color w:val="auto"/>
          <w:kern w:val="0"/>
          <w:sz w:val="24"/>
          <w:szCs w:val="24"/>
          <w:highlight w:val="none"/>
        </w:rPr>
      </w:pPr>
      <w:bookmarkStart w:id="447" w:name="_Toc351203551"/>
      <w:r>
        <w:rPr>
          <w:rFonts w:hint="eastAsia" w:ascii="仿宋" w:hAnsi="仿宋" w:eastAsia="仿宋" w:cs="仿宋"/>
          <w:b w:val="0"/>
          <w:bCs w:val="0"/>
          <w:i w:val="0"/>
          <w:iCs w:val="0"/>
          <w:color w:val="auto"/>
          <w:kern w:val="0"/>
          <w:sz w:val="24"/>
          <w:szCs w:val="24"/>
          <w:highlight w:val="none"/>
        </w:rPr>
        <w:t>6.5 提前</w:t>
      </w:r>
      <w:bookmarkEnd w:id="447"/>
      <w:r>
        <w:rPr>
          <w:rFonts w:hint="eastAsia" w:ascii="仿宋" w:hAnsi="仿宋" w:eastAsia="仿宋" w:cs="仿宋"/>
          <w:b w:val="0"/>
          <w:bCs w:val="0"/>
          <w:i w:val="0"/>
          <w:iCs w:val="0"/>
          <w:color w:val="auto"/>
          <w:kern w:val="0"/>
          <w:sz w:val="24"/>
          <w:szCs w:val="24"/>
          <w:highlight w:val="none"/>
        </w:rPr>
        <w:t>交付工程设计文件</w:t>
      </w:r>
    </w:p>
    <w:p w14:paraId="6E88782D">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14:paraId="3D72E794">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6.5.2 发包人要求设计人提前交付工程设计文件，或设计人提出提前交付工程设计文件的建议能够给发包人带来效益的，合同当事人可以在专用合同条款中约定提前交付工程设计文件的奖励。</w:t>
      </w:r>
    </w:p>
    <w:p w14:paraId="686233F1">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bookmarkStart w:id="448" w:name="_Toc296346584"/>
      <w:bookmarkStart w:id="449" w:name="_Toc296503083"/>
      <w:r>
        <w:rPr>
          <w:rFonts w:hint="eastAsia" w:ascii="仿宋" w:hAnsi="仿宋" w:eastAsia="仿宋" w:cs="仿宋"/>
          <w:b w:val="0"/>
          <w:i w:val="0"/>
          <w:iCs w:val="0"/>
          <w:color w:val="auto"/>
          <w:sz w:val="24"/>
          <w:szCs w:val="24"/>
          <w:highlight w:val="none"/>
        </w:rPr>
        <w:t>7. 工程设计文件交付</w:t>
      </w:r>
    </w:p>
    <w:p w14:paraId="4F704A06">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501" w:firstLineChars="209"/>
        <w:jc w:val="both"/>
        <w:textAlignment w:val="auto"/>
        <w:outlineLvl w:val="4"/>
        <w:rPr>
          <w:rFonts w:hint="eastAsia" w:ascii="仿宋" w:hAnsi="仿宋" w:eastAsia="仿宋" w:cs="仿宋"/>
          <w:b w:val="0"/>
          <w:bCs w:val="0"/>
          <w:i w:val="0"/>
          <w:iCs w:val="0"/>
          <w:color w:val="auto"/>
          <w:kern w:val="0"/>
          <w:sz w:val="24"/>
          <w:szCs w:val="24"/>
          <w:highlight w:val="none"/>
        </w:rPr>
      </w:pPr>
      <w:r>
        <w:rPr>
          <w:rFonts w:hint="eastAsia" w:ascii="仿宋" w:hAnsi="仿宋" w:eastAsia="仿宋" w:cs="仿宋"/>
          <w:b w:val="0"/>
          <w:bCs w:val="0"/>
          <w:i w:val="0"/>
          <w:iCs w:val="0"/>
          <w:color w:val="auto"/>
          <w:kern w:val="0"/>
          <w:sz w:val="24"/>
          <w:szCs w:val="24"/>
          <w:highlight w:val="none"/>
        </w:rPr>
        <w:t>7.1 工程设计文件交付的内容</w:t>
      </w:r>
    </w:p>
    <w:p w14:paraId="6FBF1D3D">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7.1.1</w:t>
      </w:r>
      <w:r>
        <w:rPr>
          <w:rFonts w:hint="eastAsia" w:ascii="仿宋" w:hAnsi="仿宋" w:eastAsia="仿宋" w:cs="仿宋"/>
          <w:i w:val="0"/>
          <w:iCs w:val="0"/>
          <w:color w:val="auto"/>
          <w:kern w:val="0"/>
          <w:sz w:val="24"/>
          <w:szCs w:val="24"/>
          <w:highlight w:val="none"/>
          <w:lang w:val="en-US" w:eastAsia="zh-CN"/>
        </w:rPr>
        <w:t xml:space="preserve"> </w:t>
      </w:r>
      <w:r>
        <w:rPr>
          <w:rFonts w:hint="eastAsia" w:ascii="仿宋" w:hAnsi="仿宋" w:eastAsia="仿宋" w:cs="仿宋"/>
          <w:i w:val="0"/>
          <w:iCs w:val="0"/>
          <w:color w:val="auto"/>
          <w:kern w:val="0"/>
          <w:sz w:val="24"/>
          <w:szCs w:val="24"/>
          <w:highlight w:val="none"/>
        </w:rPr>
        <w:t>工程设计图纸及设计说明。</w:t>
      </w:r>
    </w:p>
    <w:p w14:paraId="6050E5D0">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7.1.2</w:t>
      </w:r>
      <w:r>
        <w:rPr>
          <w:rFonts w:hint="eastAsia" w:ascii="仿宋" w:hAnsi="仿宋" w:eastAsia="仿宋" w:cs="仿宋"/>
          <w:i w:val="0"/>
          <w:iCs w:val="0"/>
          <w:color w:val="auto"/>
          <w:kern w:val="0"/>
          <w:sz w:val="24"/>
          <w:szCs w:val="24"/>
          <w:highlight w:val="none"/>
          <w:lang w:val="en-US" w:eastAsia="zh-CN"/>
        </w:rPr>
        <w:t xml:space="preserve"> </w:t>
      </w:r>
      <w:r>
        <w:rPr>
          <w:rFonts w:hint="eastAsia" w:ascii="仿宋" w:hAnsi="仿宋" w:eastAsia="仿宋" w:cs="仿宋"/>
          <w:i w:val="0"/>
          <w:iCs w:val="0"/>
          <w:color w:val="auto"/>
          <w:kern w:val="0"/>
          <w:sz w:val="24"/>
          <w:szCs w:val="24"/>
          <w:highlight w:val="none"/>
        </w:rPr>
        <w:t>发包人可以要求设计人提交专用合同条款约定的具体形式的</w:t>
      </w:r>
      <w:r>
        <w:rPr>
          <w:rFonts w:hint="eastAsia" w:ascii="仿宋" w:hAnsi="仿宋" w:eastAsia="仿宋" w:cs="仿宋"/>
          <w:i w:val="0"/>
          <w:iCs w:val="0"/>
          <w:color w:val="auto"/>
          <w:sz w:val="24"/>
          <w:szCs w:val="24"/>
          <w:highlight w:val="none"/>
        </w:rPr>
        <w:t>电子版设计文件</w:t>
      </w:r>
      <w:r>
        <w:rPr>
          <w:rFonts w:hint="eastAsia" w:ascii="仿宋" w:hAnsi="仿宋" w:eastAsia="仿宋" w:cs="仿宋"/>
          <w:i w:val="0"/>
          <w:iCs w:val="0"/>
          <w:color w:val="auto"/>
          <w:kern w:val="0"/>
          <w:sz w:val="24"/>
          <w:szCs w:val="24"/>
          <w:highlight w:val="none"/>
        </w:rPr>
        <w:t>。</w:t>
      </w:r>
    </w:p>
    <w:p w14:paraId="699BA39B">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7.2 工程设计文件的交付方式</w:t>
      </w:r>
    </w:p>
    <w:p w14:paraId="7C1BBB4D">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设计人交付工程设计文件给发包人，发包人应当出具书面签收单，内容包括图纸名称、图纸内容、图纸形式、份数、提交和签收日期、提交人与接收人的亲笔签名。</w:t>
      </w:r>
    </w:p>
    <w:p w14:paraId="02EFC58B">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7.3 工程设计文件交付的时间和份数</w:t>
      </w:r>
    </w:p>
    <w:p w14:paraId="3AA24319">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工程设计文件交付的名称、时间和份数在专用合同条款附件3中约定。</w:t>
      </w:r>
    </w:p>
    <w:p w14:paraId="64DFA759">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8. 工程设计文件审查</w:t>
      </w:r>
    </w:p>
    <w:p w14:paraId="4BC7145D">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8.1 设计人的工程设计文件应报发包人审查同意。审查的范围和内容在发包人要求中约定。审查的具体标准应符合法律规定、技术标准要求和本合同约定。</w:t>
      </w:r>
    </w:p>
    <w:p w14:paraId="1EDBB4DB">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除专用合同条款</w:t>
      </w:r>
      <w:r>
        <w:rPr>
          <w:rFonts w:hint="eastAsia" w:ascii="仿宋" w:hAnsi="仿宋" w:eastAsia="仿宋" w:cs="仿宋"/>
          <w:i w:val="0"/>
          <w:iCs w:val="0"/>
          <w:color w:val="auto"/>
          <w:kern w:val="0"/>
          <w:sz w:val="24"/>
          <w:szCs w:val="24"/>
          <w:highlight w:val="none"/>
          <w:lang w:eastAsia="zh-CN"/>
        </w:rPr>
        <w:t>对期限</w:t>
      </w:r>
      <w:r>
        <w:rPr>
          <w:rFonts w:hint="eastAsia" w:ascii="仿宋" w:hAnsi="仿宋" w:eastAsia="仿宋" w:cs="仿宋"/>
          <w:i w:val="0"/>
          <w:iCs w:val="0"/>
          <w:color w:val="auto"/>
          <w:kern w:val="0"/>
          <w:sz w:val="24"/>
          <w:szCs w:val="24"/>
          <w:highlight w:val="none"/>
        </w:rPr>
        <w:t>另有约定外，自发包人收到设计人的工程设计文件以及设计人的通知之日起，发包人对设计人的工程设计文件审查期不超过15天。</w:t>
      </w:r>
    </w:p>
    <w:p w14:paraId="06E90219">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发包人不同意工程设计文件的，应以书面形式通知设计人，并说明不符合</w:t>
      </w:r>
      <w:r>
        <w:rPr>
          <w:rFonts w:hint="eastAsia" w:ascii="仿宋" w:hAnsi="仿宋" w:eastAsia="仿宋" w:cs="仿宋"/>
          <w:i w:val="0"/>
          <w:iCs w:val="0"/>
          <w:color w:val="auto"/>
          <w:kern w:val="0"/>
          <w:sz w:val="24"/>
          <w:szCs w:val="24"/>
          <w:highlight w:val="none"/>
          <w:lang w:eastAsia="zh-CN"/>
        </w:rPr>
        <w:t>合同</w:t>
      </w:r>
      <w:r>
        <w:rPr>
          <w:rFonts w:hint="eastAsia" w:ascii="仿宋" w:hAnsi="仿宋" w:eastAsia="仿宋" w:cs="仿宋"/>
          <w:i w:val="0"/>
          <w:iCs w:val="0"/>
          <w:color w:val="auto"/>
          <w:kern w:val="0"/>
          <w:sz w:val="24"/>
          <w:szCs w:val="24"/>
          <w:highlight w:val="none"/>
        </w:rPr>
        <w:t>要求的具体内容。设计人应根据发包人的书面说明，对工程设计文件进行修改后重新报送发包人审查，审查期重新起算。</w:t>
      </w:r>
    </w:p>
    <w:p w14:paraId="657083DB">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合同约定的审查期满，发包人没有做出审查结论也没有提出异议的，视为设计人的工程设计文件已获发包人同意。</w:t>
      </w:r>
    </w:p>
    <w:p w14:paraId="0ECCABFC">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1BAE95C8">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8.3 工程（设计文件需政府有关部门审查或批准的，发包人应在审查同意设计人的工程设计文件后在专用合同条款约定的期限内，向政府有关部门报送工程设计文件，设计人应予以协助。</w:t>
      </w:r>
    </w:p>
    <w:p w14:paraId="1F3AC1E6">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1BA2AA92">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50DA7418">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设计人按第7条〔工程设计</w:t>
      </w:r>
      <w:r>
        <w:rPr>
          <w:rFonts w:hint="eastAsia" w:ascii="仿宋" w:hAnsi="仿宋" w:eastAsia="仿宋" w:cs="仿宋"/>
          <w:i w:val="0"/>
          <w:iCs w:val="0"/>
          <w:color w:val="auto"/>
          <w:kern w:val="0"/>
          <w:sz w:val="24"/>
          <w:szCs w:val="24"/>
          <w:highlight w:val="none"/>
          <w:lang w:eastAsia="zh-CN"/>
        </w:rPr>
        <w:t>文件交付</w:t>
      </w:r>
      <w:r>
        <w:rPr>
          <w:rFonts w:hint="eastAsia" w:ascii="仿宋" w:hAnsi="仿宋" w:eastAsia="仿宋" w:cs="仿宋"/>
          <w:i w:val="0"/>
          <w:iCs w:val="0"/>
          <w:color w:val="auto"/>
          <w:kern w:val="0"/>
          <w:sz w:val="24"/>
          <w:szCs w:val="24"/>
          <w:highlight w:val="none"/>
        </w:rPr>
        <w:t>〕的约定向发包人提交工程设计文件，有义务参加发包人组织的设计审查会议，向审查者介绍、解答、解释其工程设计文件，并提供有关补充资料。</w:t>
      </w:r>
    </w:p>
    <w:p w14:paraId="2A160CA5">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发包人有义务向设计人提供设计审查会议的批准文件和纪要。设计人有义务按照相关设计审查会议批准的文件和纪要，并依据合同约定及相关技术标准，对工程设计文件进行修改、补充和完善。</w:t>
      </w:r>
    </w:p>
    <w:p w14:paraId="7A578CC8">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8.5 因设计人原因，未能按第7条〔工程设计</w:t>
      </w:r>
      <w:r>
        <w:rPr>
          <w:rFonts w:hint="eastAsia" w:ascii="仿宋" w:hAnsi="仿宋" w:eastAsia="仿宋" w:cs="仿宋"/>
          <w:i w:val="0"/>
          <w:iCs w:val="0"/>
          <w:color w:val="auto"/>
          <w:kern w:val="0"/>
          <w:sz w:val="24"/>
          <w:szCs w:val="24"/>
          <w:highlight w:val="none"/>
          <w:lang w:eastAsia="zh-CN"/>
        </w:rPr>
        <w:t>文件交付</w:t>
      </w:r>
      <w:r>
        <w:rPr>
          <w:rFonts w:hint="eastAsia" w:ascii="仿宋" w:hAnsi="仿宋" w:eastAsia="仿宋" w:cs="仿宋"/>
          <w:i w:val="0"/>
          <w:iCs w:val="0"/>
          <w:color w:val="auto"/>
          <w:kern w:val="0"/>
          <w:sz w:val="24"/>
          <w:szCs w:val="24"/>
          <w:highlight w:val="none"/>
        </w:rPr>
        <w:t>〕约定的时间向发包人提交工程设计文件，致使工程设计文件审查无法进行或无法按期进行，造成设计周期延长、窝工损失及发包人增加费用的，设计人按第14.2款〔设计人违约责任〕的约定承担责任。</w:t>
      </w:r>
    </w:p>
    <w:p w14:paraId="7AB26BA8">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因发包人原因，致使工程设计文件审查无法进行或无法按期进行，造成设计周期延长、窝工损失及设计人增加的费用，由发包人承担。</w:t>
      </w:r>
    </w:p>
    <w:p w14:paraId="57F34D06">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 xml:space="preserve">8.6 因设计人原因造成工程设计文件不合格致使工程设计文件审查无法通过的，发包人有权要求设计人采取补救措施，直至达到合同要求的质量标准，并按第14.2款〔设计人违约责任〕的约定承担责任。 </w:t>
      </w:r>
    </w:p>
    <w:p w14:paraId="62502D95">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因发包人原因造成工程设计文件不合格致使工程设计文件审查无法通过的，由此增加的设计费用和（或）延长的设计周期由发包人承担。</w:t>
      </w:r>
    </w:p>
    <w:p w14:paraId="2FF659BF">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8.7 工程设计文件的审查，不减轻或免除设计人依据法律应当承担的责任。</w:t>
      </w:r>
    </w:p>
    <w:p w14:paraId="052196D3">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9. 施工现场配合服务</w:t>
      </w:r>
    </w:p>
    <w:p w14:paraId="338BEAB3">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9.1 除专用合同条款另有约定外，发包人应为设计人派赴现场的工作人员提供工作、生活及交通等方面的便利条件。</w:t>
      </w:r>
    </w:p>
    <w:p w14:paraId="7B3371AC">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9.2 设计人应当提供设计技术交底、解决施工中设计技术问题和参加试车（试运行）考核和竣工验收服务。如果发包人在专用合同条款约定的施工现场服务时限外仍要求设计人负责上述工作的，发包人应按所需工作量向设计人另行支付服务费用。</w:t>
      </w:r>
    </w:p>
    <w:p w14:paraId="46A502EF">
      <w:pPr>
        <w:pStyle w:val="4"/>
        <w:pageBreakBefore w:val="0"/>
        <w:widowControl w:val="0"/>
        <w:kinsoku/>
        <w:wordWrap/>
        <w:overflowPunct/>
        <w:topLinePunct w:val="0"/>
        <w:bidi w:val="0"/>
        <w:snapToGrid/>
        <w:spacing w:before="120" w:beforeLines="0" w:after="120" w:afterLines="0" w:line="380" w:lineRule="exact"/>
        <w:textAlignment w:val="auto"/>
        <w:rPr>
          <w:rFonts w:hint="eastAsia" w:ascii="仿宋" w:hAnsi="仿宋" w:eastAsia="仿宋" w:cs="仿宋"/>
          <w:b w:val="0"/>
          <w:i w:val="0"/>
          <w:iCs w:val="0"/>
          <w:color w:val="auto"/>
          <w:sz w:val="24"/>
          <w:szCs w:val="24"/>
          <w:highlight w:val="none"/>
        </w:rPr>
      </w:pPr>
      <w:bookmarkStart w:id="450" w:name="_Toc351203567"/>
      <w:r>
        <w:rPr>
          <w:rFonts w:hint="eastAsia" w:ascii="仿宋" w:hAnsi="仿宋" w:eastAsia="仿宋" w:cs="仿宋"/>
          <w:b w:val="0"/>
          <w:i w:val="0"/>
          <w:iCs w:val="0"/>
          <w:color w:val="auto"/>
          <w:sz w:val="24"/>
          <w:szCs w:val="24"/>
          <w:highlight w:val="none"/>
        </w:rPr>
        <w:t>10. 合同价款与支付</w:t>
      </w:r>
    </w:p>
    <w:p w14:paraId="5EBD4EEB">
      <w:pPr>
        <w:pStyle w:val="5"/>
        <w:pageBreakBefore w:val="0"/>
        <w:widowControl w:val="0"/>
        <w:kinsoku/>
        <w:wordWrap/>
        <w:overflowPunct/>
        <w:topLinePunct w:val="0"/>
        <w:bidi w:val="0"/>
        <w:snapToGrid/>
        <w:spacing w:before="120" w:beforeLines="0" w:after="120" w:afterLines="0" w:line="380" w:lineRule="exact"/>
        <w:ind w:firstLine="480" w:firstLineChars="200"/>
        <w:textAlignment w:val="auto"/>
        <w:rPr>
          <w:rFonts w:hint="eastAsia" w:ascii="仿宋" w:hAnsi="仿宋" w:eastAsia="仿宋" w:cs="仿宋"/>
          <w:b w:val="0"/>
          <w:bCs w:val="0"/>
          <w:i w:val="0"/>
          <w:iCs w:val="0"/>
          <w:color w:val="auto"/>
          <w:kern w:val="0"/>
          <w:sz w:val="24"/>
          <w:szCs w:val="24"/>
          <w:highlight w:val="none"/>
        </w:rPr>
      </w:pPr>
      <w:r>
        <w:rPr>
          <w:rFonts w:hint="eastAsia" w:ascii="仿宋" w:hAnsi="仿宋" w:eastAsia="仿宋" w:cs="仿宋"/>
          <w:b w:val="0"/>
          <w:bCs w:val="0"/>
          <w:i w:val="0"/>
          <w:iCs w:val="0"/>
          <w:color w:val="auto"/>
          <w:kern w:val="0"/>
          <w:sz w:val="24"/>
          <w:szCs w:val="24"/>
          <w:highlight w:val="none"/>
        </w:rPr>
        <w:t>10.1 合同价款组成</w:t>
      </w:r>
    </w:p>
    <w:p w14:paraId="7451DC55">
      <w:pPr>
        <w:pStyle w:val="5"/>
        <w:pageBreakBefore w:val="0"/>
        <w:widowControl w:val="0"/>
        <w:kinsoku/>
        <w:wordWrap/>
        <w:overflowPunct/>
        <w:topLinePunct w:val="0"/>
        <w:bidi w:val="0"/>
        <w:snapToGrid/>
        <w:spacing w:before="120" w:beforeLines="0" w:after="120" w:afterLines="0" w:line="380" w:lineRule="exact"/>
        <w:ind w:firstLine="480" w:firstLineChars="200"/>
        <w:textAlignment w:val="auto"/>
        <w:rPr>
          <w:rFonts w:hint="eastAsia" w:ascii="仿宋" w:hAnsi="仿宋" w:eastAsia="仿宋" w:cs="仿宋"/>
          <w:b w:val="0"/>
          <w:bCs w:val="0"/>
          <w:i w:val="0"/>
          <w:iCs w:val="0"/>
          <w:color w:val="auto"/>
          <w:kern w:val="0"/>
          <w:sz w:val="24"/>
          <w:szCs w:val="24"/>
          <w:highlight w:val="none"/>
        </w:rPr>
      </w:pPr>
      <w:r>
        <w:rPr>
          <w:rFonts w:hint="eastAsia" w:ascii="仿宋" w:hAnsi="仿宋" w:eastAsia="仿宋" w:cs="仿宋"/>
          <w:b w:val="0"/>
          <w:bCs w:val="0"/>
          <w:i w:val="0"/>
          <w:iCs w:val="0"/>
          <w:color w:val="auto"/>
          <w:kern w:val="0"/>
          <w:sz w:val="24"/>
          <w:szCs w:val="24"/>
          <w:highlight w:val="none"/>
        </w:rPr>
        <w:t>发包人和设计人应当在专用合同条款附件6中明确约定合同价款各组成部分的具体数额</w:t>
      </w:r>
      <w:r>
        <w:rPr>
          <w:rFonts w:hint="eastAsia" w:ascii="仿宋" w:hAnsi="仿宋" w:eastAsia="仿宋" w:cs="仿宋"/>
          <w:b w:val="0"/>
          <w:bCs w:val="0"/>
          <w:i w:val="0"/>
          <w:iCs w:val="0"/>
          <w:color w:val="auto"/>
          <w:kern w:val="0"/>
          <w:sz w:val="24"/>
          <w:szCs w:val="24"/>
          <w:highlight w:val="none"/>
          <w:lang w:eastAsia="zh-CN"/>
        </w:rPr>
        <w:t>，主要包括：</w:t>
      </w:r>
    </w:p>
    <w:p w14:paraId="6ED9963A">
      <w:pPr>
        <w:pStyle w:val="5"/>
        <w:pageBreakBefore w:val="0"/>
        <w:widowControl w:val="0"/>
        <w:kinsoku/>
        <w:wordWrap/>
        <w:overflowPunct/>
        <w:topLinePunct w:val="0"/>
        <w:bidi w:val="0"/>
        <w:snapToGrid/>
        <w:spacing w:before="120" w:beforeLines="0" w:after="120" w:afterLines="0" w:line="380" w:lineRule="exact"/>
        <w:ind w:firstLine="480" w:firstLineChars="200"/>
        <w:textAlignment w:val="auto"/>
        <w:rPr>
          <w:rFonts w:hint="eastAsia" w:ascii="仿宋" w:hAnsi="仿宋" w:eastAsia="仿宋" w:cs="仿宋"/>
          <w:b w:val="0"/>
          <w:bCs w:val="0"/>
          <w:i w:val="0"/>
          <w:iCs w:val="0"/>
          <w:color w:val="auto"/>
          <w:kern w:val="0"/>
          <w:sz w:val="24"/>
          <w:szCs w:val="24"/>
          <w:highlight w:val="none"/>
        </w:rPr>
      </w:pPr>
      <w:r>
        <w:rPr>
          <w:rFonts w:hint="eastAsia" w:ascii="仿宋" w:hAnsi="仿宋" w:eastAsia="仿宋" w:cs="仿宋"/>
          <w:b w:val="0"/>
          <w:bCs w:val="0"/>
          <w:i w:val="0"/>
          <w:iCs w:val="0"/>
          <w:color w:val="auto"/>
          <w:kern w:val="0"/>
          <w:sz w:val="24"/>
          <w:szCs w:val="24"/>
          <w:highlight w:val="none"/>
        </w:rPr>
        <w:t>（1）工程设计基本服务费用</w:t>
      </w:r>
      <w:r>
        <w:rPr>
          <w:rFonts w:hint="eastAsia" w:ascii="仿宋" w:hAnsi="仿宋" w:eastAsia="仿宋" w:cs="仿宋"/>
          <w:b w:val="0"/>
          <w:bCs w:val="0"/>
          <w:i w:val="0"/>
          <w:iCs w:val="0"/>
          <w:color w:val="auto"/>
          <w:kern w:val="0"/>
          <w:sz w:val="24"/>
          <w:szCs w:val="24"/>
          <w:highlight w:val="none"/>
          <w:lang w:eastAsia="zh-CN"/>
        </w:rPr>
        <w:t>；</w:t>
      </w:r>
    </w:p>
    <w:p w14:paraId="0D23149D">
      <w:pPr>
        <w:pStyle w:val="5"/>
        <w:pageBreakBefore w:val="0"/>
        <w:widowControl w:val="0"/>
        <w:kinsoku/>
        <w:wordWrap/>
        <w:overflowPunct/>
        <w:topLinePunct w:val="0"/>
        <w:bidi w:val="0"/>
        <w:snapToGrid/>
        <w:spacing w:before="120" w:beforeLines="0" w:after="120" w:afterLines="0" w:line="380" w:lineRule="exact"/>
        <w:ind w:firstLine="480" w:firstLineChars="200"/>
        <w:textAlignment w:val="auto"/>
        <w:rPr>
          <w:rFonts w:hint="eastAsia" w:ascii="仿宋" w:hAnsi="仿宋" w:eastAsia="仿宋" w:cs="仿宋"/>
          <w:b w:val="0"/>
          <w:bCs w:val="0"/>
          <w:i w:val="0"/>
          <w:iCs w:val="0"/>
          <w:color w:val="auto"/>
          <w:kern w:val="0"/>
          <w:sz w:val="24"/>
          <w:szCs w:val="24"/>
          <w:highlight w:val="none"/>
        </w:rPr>
      </w:pPr>
      <w:r>
        <w:rPr>
          <w:rFonts w:hint="eastAsia" w:ascii="仿宋" w:hAnsi="仿宋" w:eastAsia="仿宋" w:cs="仿宋"/>
          <w:b w:val="0"/>
          <w:bCs w:val="0"/>
          <w:i w:val="0"/>
          <w:iCs w:val="0"/>
          <w:color w:val="auto"/>
          <w:kern w:val="0"/>
          <w:sz w:val="24"/>
          <w:szCs w:val="24"/>
          <w:highlight w:val="none"/>
        </w:rPr>
        <w:t>（2）工程设计其他服务费用</w:t>
      </w:r>
      <w:r>
        <w:rPr>
          <w:rFonts w:hint="eastAsia" w:ascii="仿宋" w:hAnsi="仿宋" w:eastAsia="仿宋" w:cs="仿宋"/>
          <w:b w:val="0"/>
          <w:bCs w:val="0"/>
          <w:i w:val="0"/>
          <w:iCs w:val="0"/>
          <w:color w:val="auto"/>
          <w:kern w:val="0"/>
          <w:sz w:val="24"/>
          <w:szCs w:val="24"/>
          <w:highlight w:val="none"/>
          <w:lang w:eastAsia="zh-CN"/>
        </w:rPr>
        <w:t>；</w:t>
      </w:r>
    </w:p>
    <w:p w14:paraId="18175E79">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bCs/>
          <w:i w:val="0"/>
          <w:iCs w:val="0"/>
          <w:color w:val="auto"/>
          <w:kern w:val="0"/>
          <w:sz w:val="24"/>
          <w:szCs w:val="24"/>
          <w:highlight w:val="none"/>
        </w:rPr>
        <w:t>（3）</w:t>
      </w:r>
      <w:r>
        <w:rPr>
          <w:rFonts w:hint="eastAsia" w:ascii="仿宋" w:hAnsi="仿宋" w:eastAsia="仿宋" w:cs="仿宋"/>
          <w:i w:val="0"/>
          <w:iCs w:val="0"/>
          <w:color w:val="auto"/>
          <w:kern w:val="0"/>
          <w:sz w:val="24"/>
          <w:szCs w:val="24"/>
          <w:highlight w:val="none"/>
        </w:rPr>
        <w:t>在未签订合同前发包人已经同意或接受或已使用的设计人为发包人所做的各项工作的相应费用</w:t>
      </w:r>
      <w:r>
        <w:rPr>
          <w:rFonts w:hint="eastAsia" w:ascii="仿宋" w:hAnsi="仿宋" w:eastAsia="仿宋" w:cs="仿宋"/>
          <w:i w:val="0"/>
          <w:iCs w:val="0"/>
          <w:color w:val="auto"/>
          <w:kern w:val="0"/>
          <w:sz w:val="24"/>
          <w:szCs w:val="24"/>
          <w:highlight w:val="none"/>
          <w:lang w:eastAsia="zh-CN"/>
        </w:rPr>
        <w:t>等。</w:t>
      </w:r>
    </w:p>
    <w:p w14:paraId="538A95BA">
      <w:pPr>
        <w:pStyle w:val="5"/>
        <w:pageBreakBefore w:val="0"/>
        <w:widowControl w:val="0"/>
        <w:kinsoku/>
        <w:wordWrap/>
        <w:overflowPunct/>
        <w:topLinePunct w:val="0"/>
        <w:bidi w:val="0"/>
        <w:snapToGrid/>
        <w:spacing w:before="120" w:beforeLines="0" w:after="120" w:afterLines="0" w:line="380" w:lineRule="exact"/>
        <w:ind w:firstLine="480" w:firstLineChars="200"/>
        <w:textAlignment w:val="auto"/>
        <w:rPr>
          <w:rFonts w:hint="eastAsia" w:ascii="仿宋" w:hAnsi="仿宋" w:eastAsia="仿宋" w:cs="仿宋"/>
          <w:b w:val="0"/>
          <w:bCs w:val="0"/>
          <w:i w:val="0"/>
          <w:iCs w:val="0"/>
          <w:color w:val="auto"/>
          <w:kern w:val="0"/>
          <w:sz w:val="24"/>
          <w:szCs w:val="24"/>
          <w:highlight w:val="none"/>
        </w:rPr>
      </w:pPr>
      <w:r>
        <w:rPr>
          <w:rFonts w:hint="eastAsia" w:ascii="仿宋" w:hAnsi="仿宋" w:eastAsia="仿宋" w:cs="仿宋"/>
          <w:b w:val="0"/>
          <w:bCs w:val="0"/>
          <w:i w:val="0"/>
          <w:iCs w:val="0"/>
          <w:color w:val="auto"/>
          <w:kern w:val="0"/>
          <w:sz w:val="24"/>
          <w:szCs w:val="24"/>
          <w:highlight w:val="none"/>
        </w:rPr>
        <w:t>10.2 合同价格形式</w:t>
      </w:r>
    </w:p>
    <w:p w14:paraId="4AE972FB">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 xml:space="preserve">发包人和设计人应在合同协议书中选择下列一种合同价格形式： </w:t>
      </w:r>
    </w:p>
    <w:p w14:paraId="3CA529DB">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（1）单价合同</w:t>
      </w:r>
    </w:p>
    <w:p w14:paraId="31F70256">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单价合同是指合同当事人约定以建筑面积（包括地上建筑面积和地下建筑面积）每平方米单价或实际投资总额的一定比例等双方认可方式进行合同价格计算、调整和确认的建设工程设计合同，</w:t>
      </w:r>
      <w:r>
        <w:rPr>
          <w:rFonts w:hint="eastAsia" w:ascii="仿宋" w:hAnsi="仿宋" w:eastAsia="仿宋" w:cs="仿宋"/>
          <w:i w:val="0"/>
          <w:iCs w:val="0"/>
          <w:color w:val="auto"/>
          <w:sz w:val="24"/>
          <w:szCs w:val="24"/>
          <w:highlight w:val="none"/>
        </w:rPr>
        <w:t>在约定的范围内合同单价不作调整</w:t>
      </w:r>
      <w:r>
        <w:rPr>
          <w:rFonts w:hint="eastAsia" w:ascii="仿宋" w:hAnsi="仿宋" w:eastAsia="仿宋" w:cs="仿宋"/>
          <w:i w:val="0"/>
          <w:iCs w:val="0"/>
          <w:color w:val="auto"/>
          <w:kern w:val="0"/>
          <w:sz w:val="24"/>
          <w:szCs w:val="24"/>
          <w:highlight w:val="none"/>
        </w:rPr>
        <w:t>。合同当事人应在专用合同条款中约定单价包含的风险范围和风险费用的计算方法</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kern w:val="0"/>
          <w:sz w:val="24"/>
          <w:szCs w:val="24"/>
          <w:highlight w:val="none"/>
        </w:rPr>
        <w:t>并约定风险范围以外的合同价格的调整方法。</w:t>
      </w:r>
    </w:p>
    <w:p w14:paraId="24EEA074">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（2）总价合同</w:t>
      </w:r>
    </w:p>
    <w:p w14:paraId="632F64F1">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总价合同是指合同当事人约定以发包人提供的上一阶段工程设计文件及有关条件进行合同价格计算、调整和确认的建设工程设计合同，</w:t>
      </w:r>
      <w:r>
        <w:rPr>
          <w:rFonts w:hint="eastAsia" w:ascii="仿宋" w:hAnsi="仿宋" w:eastAsia="仿宋" w:cs="仿宋"/>
          <w:i w:val="0"/>
          <w:iCs w:val="0"/>
          <w:color w:val="auto"/>
          <w:sz w:val="24"/>
          <w:szCs w:val="24"/>
          <w:highlight w:val="none"/>
        </w:rPr>
        <w:t>在约定的范围内合同总价不作调整</w:t>
      </w:r>
      <w:r>
        <w:rPr>
          <w:rFonts w:hint="eastAsia" w:ascii="仿宋" w:hAnsi="仿宋" w:eastAsia="仿宋" w:cs="仿宋"/>
          <w:i w:val="0"/>
          <w:iCs w:val="0"/>
          <w:color w:val="auto"/>
          <w:kern w:val="0"/>
          <w:sz w:val="24"/>
          <w:szCs w:val="24"/>
          <w:highlight w:val="none"/>
        </w:rPr>
        <w:t>。合同当事人应在专用合同条款中约定总价包含的风险范围和风险费用的计算方法，并约定风险范围以外的合同价格的调整方法。</w:t>
      </w:r>
    </w:p>
    <w:p w14:paraId="28181A42">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（3）其它价格形式</w:t>
      </w:r>
    </w:p>
    <w:p w14:paraId="02244385">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合同当事人可在专用合同条款中约定其他合同价格形式。</w:t>
      </w:r>
    </w:p>
    <w:p w14:paraId="043456C8">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10.3</w:t>
      </w:r>
      <w:r>
        <w:rPr>
          <w:rFonts w:hint="eastAsia" w:ascii="仿宋" w:hAnsi="仿宋" w:eastAsia="仿宋" w:cs="仿宋"/>
          <w:b w:val="0"/>
          <w:i w:val="0"/>
          <w:iCs w:val="0"/>
          <w:color w:val="auto"/>
          <w:sz w:val="24"/>
          <w:szCs w:val="24"/>
          <w:highlight w:val="none"/>
          <w:lang w:val="en-US" w:eastAsia="zh-CN"/>
        </w:rPr>
        <w:t xml:space="preserve"> </w:t>
      </w:r>
      <w:r>
        <w:rPr>
          <w:rFonts w:hint="eastAsia" w:ascii="仿宋" w:hAnsi="仿宋" w:eastAsia="仿宋" w:cs="仿宋"/>
          <w:b w:val="0"/>
          <w:i w:val="0"/>
          <w:iCs w:val="0"/>
          <w:color w:val="auto"/>
          <w:sz w:val="24"/>
          <w:szCs w:val="24"/>
          <w:highlight w:val="none"/>
        </w:rPr>
        <w:t>定金或预付款</w:t>
      </w:r>
    </w:p>
    <w:p w14:paraId="2099E41E">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 xml:space="preserve">10.3.1 </w:t>
      </w:r>
      <w:r>
        <w:rPr>
          <w:rFonts w:hint="eastAsia" w:ascii="仿宋" w:hAnsi="仿宋" w:eastAsia="仿宋" w:cs="仿宋"/>
          <w:i w:val="0"/>
          <w:iCs w:val="0"/>
          <w:color w:val="auto"/>
          <w:kern w:val="0"/>
          <w:sz w:val="24"/>
          <w:szCs w:val="24"/>
          <w:highlight w:val="none"/>
        </w:rPr>
        <w:t>定金或预付款的比例</w:t>
      </w:r>
    </w:p>
    <w:p w14:paraId="1485EF6E">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定金的比例不应超过合同总价款的20%。预付款的比例由发包人与设计人协商确定，一般不低于合同总价款的20%。</w:t>
      </w:r>
    </w:p>
    <w:p w14:paraId="35974FE0">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10.3.2 定金或预付款的支付</w:t>
      </w:r>
    </w:p>
    <w:p w14:paraId="03B12B99">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定金或预付款的支付按照专用合同条款约定执行，但最迟应在开始设计通知载明的开始设计日期前专用合同条款约定的期限内支付。</w:t>
      </w:r>
    </w:p>
    <w:p w14:paraId="597CB2D1">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14:paraId="276A507B">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10.4 进度款支付</w:t>
      </w:r>
    </w:p>
    <w:p w14:paraId="7781435C">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10.4.1 发包人应当按照专用合同条款附件6约定的付款条件及时向设计人支付进度款。</w:t>
      </w:r>
    </w:p>
    <w:p w14:paraId="448229F3">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10.4.2 进度付款的修正</w:t>
      </w:r>
    </w:p>
    <w:p w14:paraId="27031AC5">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在对已付进度款进行汇总和复核中发现错误、遗漏或重复的，发包人和设计人均有权提出修正申请。经发包人和设计人同意的修正，应在下期进度付款中支付或扣除。</w:t>
      </w:r>
    </w:p>
    <w:p w14:paraId="70F8AF2A">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10.5 合同价款的结算与支付</w:t>
      </w:r>
    </w:p>
    <w:p w14:paraId="0D900727">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bCs/>
          <w:i w:val="0"/>
          <w:iCs w:val="0"/>
          <w:color w:val="auto"/>
          <w:kern w:val="0"/>
          <w:sz w:val="24"/>
          <w:szCs w:val="24"/>
          <w:highlight w:val="none"/>
        </w:rPr>
      </w:pPr>
      <w:r>
        <w:rPr>
          <w:rFonts w:hint="eastAsia" w:ascii="仿宋" w:hAnsi="仿宋" w:eastAsia="仿宋" w:cs="仿宋"/>
          <w:bCs/>
          <w:i w:val="0"/>
          <w:iCs w:val="0"/>
          <w:color w:val="auto"/>
          <w:kern w:val="0"/>
          <w:sz w:val="24"/>
          <w:szCs w:val="24"/>
          <w:highlight w:val="none"/>
        </w:rPr>
        <w:t>10.5.1 对于采取固定总价形式的合同，发包人应当按照专用合同条款附件6的约定及时支付尾款。</w:t>
      </w:r>
    </w:p>
    <w:p w14:paraId="74E0C6D3">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10.5.2 对于采取固定单价形式的合同，发包人与设计人应当按照专用合同条款附件6约定的结算方式及时结清工程设计费，并将结清未支付的款项一次性支付给设计人。</w:t>
      </w:r>
    </w:p>
    <w:p w14:paraId="691F91A5">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10.5.3 对于采取其他价格形式的，也应按专用合同条款的约定及时结算和支付。</w:t>
      </w:r>
    </w:p>
    <w:p w14:paraId="0DCE68BE">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10.6支付账户</w:t>
      </w:r>
    </w:p>
    <w:p w14:paraId="15C71853">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发包人应将合同价款支付至合同协议书中约定的设计人账户。</w:t>
      </w:r>
    </w:p>
    <w:p w14:paraId="1EB57035">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11. 工程设计变更与索赔</w:t>
      </w:r>
    </w:p>
    <w:p w14:paraId="40A4C720">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11.1 发包人变更工程设计的内容、规模、功能、条件等，应当向设计人提供书面要求，设计人在不违反法律规定以及技术标准强制性规定的前提下应当按照发包人要求变更工程设计。</w:t>
      </w:r>
    </w:p>
    <w:p w14:paraId="0AA59B15">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11.2 发包人变更工程设计的内容、规模、功能、条件或因提交的设计资料存在错误或作较大修改时，发包人应按设计人所耗工作量向设计人增付设计费，设计人可按本条约定和专用合同条款附件7的</w:t>
      </w:r>
      <w:r>
        <w:rPr>
          <w:rFonts w:hint="eastAsia" w:ascii="仿宋" w:hAnsi="仿宋" w:eastAsia="仿宋" w:cs="仿宋"/>
          <w:i w:val="0"/>
          <w:iCs w:val="0"/>
          <w:color w:val="auto"/>
          <w:kern w:val="0"/>
          <w:sz w:val="24"/>
          <w:szCs w:val="24"/>
          <w:highlight w:val="none"/>
          <w:lang w:eastAsia="zh-CN"/>
        </w:rPr>
        <w:t>约</w:t>
      </w:r>
      <w:r>
        <w:rPr>
          <w:rFonts w:hint="eastAsia" w:ascii="仿宋" w:hAnsi="仿宋" w:eastAsia="仿宋" w:cs="仿宋"/>
          <w:i w:val="0"/>
          <w:iCs w:val="0"/>
          <w:color w:val="auto"/>
          <w:kern w:val="0"/>
          <w:sz w:val="24"/>
          <w:szCs w:val="24"/>
          <w:highlight w:val="none"/>
        </w:rPr>
        <w:t>定，与发包人协商对合同价格和/或完工时间做可共同接受的修改。</w:t>
      </w:r>
    </w:p>
    <w:p w14:paraId="39D02702">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 xml:space="preserve">11.3 </w:t>
      </w:r>
      <w:r>
        <w:rPr>
          <w:rFonts w:hint="eastAsia" w:ascii="仿宋" w:hAnsi="仿宋" w:eastAsia="仿宋" w:cs="仿宋"/>
          <w:i w:val="0"/>
          <w:iCs w:val="0"/>
          <w:color w:val="auto"/>
          <w:sz w:val="24"/>
          <w:szCs w:val="24"/>
          <w:highlight w:val="none"/>
        </w:rPr>
        <w:t>如果由于发包人要求更改而造成的项目复杂性的变更或性质的变更使得设计人的设计工作减少，发包人</w:t>
      </w:r>
      <w:r>
        <w:rPr>
          <w:rFonts w:hint="eastAsia" w:ascii="仿宋" w:hAnsi="仿宋" w:eastAsia="仿宋" w:cs="仿宋"/>
          <w:i w:val="0"/>
          <w:iCs w:val="0"/>
          <w:color w:val="auto"/>
          <w:kern w:val="0"/>
          <w:sz w:val="24"/>
          <w:szCs w:val="24"/>
          <w:highlight w:val="none"/>
        </w:rPr>
        <w:t>可按本条约定和专用合同条款附件7的</w:t>
      </w:r>
      <w:r>
        <w:rPr>
          <w:rFonts w:hint="eastAsia" w:ascii="仿宋" w:hAnsi="仿宋" w:eastAsia="仿宋" w:cs="仿宋"/>
          <w:i w:val="0"/>
          <w:iCs w:val="0"/>
          <w:color w:val="auto"/>
          <w:kern w:val="0"/>
          <w:sz w:val="24"/>
          <w:szCs w:val="24"/>
          <w:highlight w:val="none"/>
          <w:lang w:eastAsia="zh-CN"/>
        </w:rPr>
        <w:t>约</w:t>
      </w:r>
      <w:r>
        <w:rPr>
          <w:rFonts w:hint="eastAsia" w:ascii="仿宋" w:hAnsi="仿宋" w:eastAsia="仿宋" w:cs="仿宋"/>
          <w:i w:val="0"/>
          <w:iCs w:val="0"/>
          <w:color w:val="auto"/>
          <w:kern w:val="0"/>
          <w:sz w:val="24"/>
          <w:szCs w:val="24"/>
          <w:highlight w:val="none"/>
        </w:rPr>
        <w:t>定，与设计人协商对合同价格和/或完工时间做可共同接受的修改。</w:t>
      </w:r>
    </w:p>
    <w:p w14:paraId="657E8D35">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11.4 基准日期后，与工程设计服务有关的法律、技术标准的强制性规定的颁布及修改，由此增加的设计费用和（或）延长的设计周期由发包人承担。</w:t>
      </w:r>
    </w:p>
    <w:p w14:paraId="1FDC394E">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11.5 如果发生设计人认为有理由提出增加合同价款或延长设计周期的要求事项，除专用合同条款</w:t>
      </w:r>
      <w:r>
        <w:rPr>
          <w:rFonts w:hint="eastAsia" w:ascii="仿宋" w:hAnsi="仿宋" w:eastAsia="仿宋" w:cs="仿宋"/>
          <w:i w:val="0"/>
          <w:iCs w:val="0"/>
          <w:color w:val="auto"/>
          <w:kern w:val="0"/>
          <w:sz w:val="24"/>
          <w:szCs w:val="24"/>
          <w:highlight w:val="none"/>
          <w:lang w:eastAsia="zh-CN"/>
        </w:rPr>
        <w:t>对期限</w:t>
      </w:r>
      <w:r>
        <w:rPr>
          <w:rFonts w:hint="eastAsia" w:ascii="仿宋" w:hAnsi="仿宋" w:eastAsia="仿宋" w:cs="仿宋"/>
          <w:i w:val="0"/>
          <w:iCs w:val="0"/>
          <w:color w:val="auto"/>
          <w:kern w:val="0"/>
          <w:sz w:val="24"/>
          <w:szCs w:val="24"/>
          <w:highlight w:val="none"/>
        </w:rPr>
        <w:t>另有约定外，设计人应于该事项发生后5天内书面通知发包人。除专用合同条款</w:t>
      </w:r>
      <w:r>
        <w:rPr>
          <w:rFonts w:hint="eastAsia" w:ascii="仿宋" w:hAnsi="仿宋" w:eastAsia="仿宋" w:cs="仿宋"/>
          <w:i w:val="0"/>
          <w:iCs w:val="0"/>
          <w:color w:val="auto"/>
          <w:kern w:val="0"/>
          <w:sz w:val="24"/>
          <w:szCs w:val="24"/>
          <w:highlight w:val="none"/>
          <w:lang w:eastAsia="zh-CN"/>
        </w:rPr>
        <w:t>对期限</w:t>
      </w:r>
      <w:r>
        <w:rPr>
          <w:rFonts w:hint="eastAsia" w:ascii="仿宋" w:hAnsi="仿宋" w:eastAsia="仿宋" w:cs="仿宋"/>
          <w:i w:val="0"/>
          <w:iCs w:val="0"/>
          <w:color w:val="auto"/>
          <w:kern w:val="0"/>
          <w:sz w:val="24"/>
          <w:szCs w:val="24"/>
          <w:highlight w:val="none"/>
        </w:rPr>
        <w:t>另有约定外，在该事项发生后</w:t>
      </w:r>
      <w:r>
        <w:rPr>
          <w:rFonts w:hint="eastAsia" w:ascii="仿宋" w:hAnsi="仿宋" w:eastAsia="仿宋" w:cs="仿宋"/>
          <w:i w:val="0"/>
          <w:iCs w:val="0"/>
          <w:color w:val="auto"/>
          <w:kern w:val="0"/>
          <w:sz w:val="24"/>
          <w:szCs w:val="24"/>
          <w:highlight w:val="none"/>
          <w:lang w:val="en-US" w:eastAsia="zh-CN"/>
        </w:rPr>
        <w:t>10</w:t>
      </w:r>
      <w:r>
        <w:rPr>
          <w:rFonts w:hint="eastAsia" w:ascii="仿宋" w:hAnsi="仿宋" w:eastAsia="仿宋" w:cs="仿宋"/>
          <w:i w:val="0"/>
          <w:iCs w:val="0"/>
          <w:color w:val="auto"/>
          <w:kern w:val="0"/>
          <w:sz w:val="24"/>
          <w:szCs w:val="24"/>
          <w:highlight w:val="none"/>
        </w:rPr>
        <w:t>天内，设计人应向发包人提供证明设计人要求的书面声明，其中包括设计人关于因该事项引起的合同价款和设计周期的变化的详细计算。除专用合同条款</w:t>
      </w:r>
      <w:r>
        <w:rPr>
          <w:rFonts w:hint="eastAsia" w:ascii="仿宋" w:hAnsi="仿宋" w:eastAsia="仿宋" w:cs="仿宋"/>
          <w:i w:val="0"/>
          <w:iCs w:val="0"/>
          <w:color w:val="auto"/>
          <w:kern w:val="0"/>
          <w:sz w:val="24"/>
          <w:szCs w:val="24"/>
          <w:highlight w:val="none"/>
          <w:lang w:eastAsia="zh-CN"/>
        </w:rPr>
        <w:t>对期限</w:t>
      </w:r>
      <w:r>
        <w:rPr>
          <w:rFonts w:hint="eastAsia" w:ascii="仿宋" w:hAnsi="仿宋" w:eastAsia="仿宋" w:cs="仿宋"/>
          <w:i w:val="0"/>
          <w:iCs w:val="0"/>
          <w:color w:val="auto"/>
          <w:kern w:val="0"/>
          <w:sz w:val="24"/>
          <w:szCs w:val="24"/>
          <w:highlight w:val="none"/>
        </w:rPr>
        <w:t>另有约定外，发包人应在接到设计人书面声明后的5天内，予以书面答复。逾期未答复的，视为发包人同意设计人关于增加合同价款或延长设计周期的要求。</w:t>
      </w:r>
    </w:p>
    <w:p w14:paraId="71725F74">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12. 专业责任与保险</w:t>
      </w:r>
    </w:p>
    <w:p w14:paraId="0C093D3E">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12.1 设计人应运用一切合理的专业技术和经验知识，按照公认的职业标准尽其全部职责和谨慎、勤勉地履行其在本合同项下的责任和义务。</w:t>
      </w:r>
    </w:p>
    <w:p w14:paraId="693E784D">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12.2 除专用合同条款另有约定外，设计人应具有发包人认可的、履行本合同所需要的工程设计责任保险并使其于合同责任期内保持有效。</w:t>
      </w:r>
    </w:p>
    <w:p w14:paraId="6872CB2C">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12.3 工程设计责任保险应承担由于设计人的疏忽或过失而引发的工程质量事故所造成的建设工程本身的物质损失以及第三者人身伤亡、财产损失或费用的赔偿责任。</w:t>
      </w:r>
    </w:p>
    <w:p w14:paraId="2AFCB8D4">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13. 知识产权</w:t>
      </w:r>
    </w:p>
    <w:p w14:paraId="263774ED">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43D06F61">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0A7AFE7B">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13.3 合同当事人保证在履行合同过程中不侵犯对方及第三方的知识产权。设计人在工程设计时，因侵犯他人的专利权或其他知识产权所引起的责任，由设计人承担；因发包人提供的基础资料导致侵权的，由发包人承担责任。</w:t>
      </w:r>
    </w:p>
    <w:p w14:paraId="4AA39041">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13.4 合同当事人双方均有权在不损害对方利益和保密约定的前提下，在自己宣传用的印刷品或其他出版物上，或申报奖项时等情形下公布有关项目的文字和图片材料。</w:t>
      </w:r>
    </w:p>
    <w:p w14:paraId="219CEB69">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13.5 除专用合同条款另有约定外，设计人在合同签订前和签订时已确定采用的专利、专有技术的使用费应包含在签约合同价中。</w:t>
      </w:r>
    </w:p>
    <w:bookmarkEnd w:id="448"/>
    <w:bookmarkEnd w:id="449"/>
    <w:bookmarkEnd w:id="450"/>
    <w:p w14:paraId="7E460186">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bookmarkStart w:id="451" w:name="_Toc351203603"/>
      <w:bookmarkStart w:id="452" w:name="_Toc337558820"/>
      <w:r>
        <w:rPr>
          <w:rFonts w:hint="eastAsia" w:ascii="仿宋" w:hAnsi="仿宋" w:eastAsia="仿宋" w:cs="仿宋"/>
          <w:b w:val="0"/>
          <w:i w:val="0"/>
          <w:iCs w:val="0"/>
          <w:color w:val="auto"/>
          <w:sz w:val="24"/>
          <w:szCs w:val="24"/>
          <w:highlight w:val="none"/>
        </w:rPr>
        <w:t>14. 违约</w:t>
      </w:r>
      <w:bookmarkEnd w:id="451"/>
      <w:r>
        <w:rPr>
          <w:rFonts w:hint="eastAsia" w:ascii="仿宋" w:hAnsi="仿宋" w:eastAsia="仿宋" w:cs="仿宋"/>
          <w:b w:val="0"/>
          <w:i w:val="0"/>
          <w:iCs w:val="0"/>
          <w:color w:val="auto"/>
          <w:sz w:val="24"/>
          <w:szCs w:val="24"/>
          <w:highlight w:val="none"/>
        </w:rPr>
        <w:t>责任</w:t>
      </w:r>
    </w:p>
    <w:bookmarkEnd w:id="452"/>
    <w:p w14:paraId="3A6A8343">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bookmarkStart w:id="453" w:name="_Toc296503129"/>
      <w:bookmarkStart w:id="454" w:name="_Toc296346630"/>
      <w:bookmarkStart w:id="455" w:name="_Toc351203604"/>
      <w:bookmarkStart w:id="456" w:name="_Toc337558821"/>
      <w:r>
        <w:rPr>
          <w:rFonts w:hint="eastAsia" w:ascii="仿宋" w:hAnsi="仿宋" w:eastAsia="仿宋" w:cs="仿宋"/>
          <w:i w:val="0"/>
          <w:iCs w:val="0"/>
          <w:color w:val="auto"/>
          <w:sz w:val="24"/>
          <w:szCs w:val="24"/>
          <w:highlight w:val="none"/>
        </w:rPr>
        <w:t>14.1 发</w:t>
      </w:r>
      <w:bookmarkEnd w:id="453"/>
      <w:bookmarkEnd w:id="454"/>
      <w:r>
        <w:rPr>
          <w:rFonts w:hint="eastAsia" w:ascii="仿宋" w:hAnsi="仿宋" w:eastAsia="仿宋" w:cs="仿宋"/>
          <w:i w:val="0"/>
          <w:iCs w:val="0"/>
          <w:color w:val="auto"/>
          <w:sz w:val="24"/>
          <w:szCs w:val="24"/>
          <w:highlight w:val="none"/>
        </w:rPr>
        <w:t>包人违约</w:t>
      </w:r>
      <w:bookmarkEnd w:id="455"/>
      <w:r>
        <w:rPr>
          <w:rFonts w:hint="eastAsia" w:ascii="仿宋" w:hAnsi="仿宋" w:eastAsia="仿宋" w:cs="仿宋"/>
          <w:i w:val="0"/>
          <w:iCs w:val="0"/>
          <w:color w:val="auto"/>
          <w:sz w:val="24"/>
          <w:szCs w:val="24"/>
          <w:highlight w:val="none"/>
        </w:rPr>
        <w:t>责任</w:t>
      </w:r>
    </w:p>
    <w:bookmarkEnd w:id="456"/>
    <w:p w14:paraId="042F2CFF">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67EC39F1">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14.1.2 发包人未按专用合同条款附件6</w:t>
      </w:r>
      <w:r>
        <w:rPr>
          <w:rFonts w:hint="eastAsia" w:ascii="仿宋" w:hAnsi="仿宋" w:eastAsia="仿宋" w:cs="仿宋"/>
          <w:i w:val="0"/>
          <w:iCs w:val="0"/>
          <w:color w:val="auto"/>
          <w:kern w:val="0"/>
          <w:sz w:val="24"/>
          <w:szCs w:val="24"/>
          <w:highlight w:val="none"/>
          <w:lang w:eastAsia="zh-CN"/>
        </w:rPr>
        <w:t>约</w:t>
      </w:r>
      <w:r>
        <w:rPr>
          <w:rFonts w:hint="eastAsia" w:ascii="仿宋" w:hAnsi="仿宋" w:eastAsia="仿宋" w:cs="仿宋"/>
          <w:i w:val="0"/>
          <w:iCs w:val="0"/>
          <w:color w:val="auto"/>
          <w:kern w:val="0"/>
          <w:sz w:val="24"/>
          <w:szCs w:val="24"/>
          <w:highlight w:val="none"/>
        </w:rPr>
        <w:t>定的金额和期限向设计人支付设计费</w:t>
      </w:r>
      <w:r>
        <w:rPr>
          <w:rFonts w:hint="eastAsia" w:ascii="仿宋" w:hAnsi="仿宋" w:eastAsia="仿宋" w:cs="仿宋"/>
          <w:i w:val="0"/>
          <w:iCs w:val="0"/>
          <w:color w:val="auto"/>
          <w:kern w:val="0"/>
          <w:sz w:val="24"/>
          <w:szCs w:val="24"/>
          <w:highlight w:val="none"/>
          <w:lang w:eastAsia="zh-CN"/>
        </w:rPr>
        <w:t>的</w:t>
      </w:r>
      <w:r>
        <w:rPr>
          <w:rFonts w:hint="eastAsia" w:ascii="仿宋" w:hAnsi="仿宋" w:eastAsia="仿宋" w:cs="仿宋"/>
          <w:i w:val="0"/>
          <w:iCs w:val="0"/>
          <w:color w:val="auto"/>
          <w:kern w:val="0"/>
          <w:sz w:val="24"/>
          <w:szCs w:val="24"/>
          <w:highlight w:val="none"/>
        </w:rPr>
        <w:t>，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261C87F2">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14.1.3 发包人的上级或设计审批部门对设计文件不进行审批或本合同工程停建、缓建，发包人应在事件发生之日起15天内按本合同第16条</w:t>
      </w:r>
      <w:r>
        <w:rPr>
          <w:rFonts w:hint="eastAsia" w:ascii="仿宋" w:hAnsi="仿宋" w:eastAsia="仿宋" w:cs="仿宋"/>
          <w:i w:val="0"/>
          <w:iCs w:val="0"/>
          <w:color w:val="auto"/>
          <w:sz w:val="24"/>
          <w:szCs w:val="24"/>
          <w:highlight w:val="none"/>
        </w:rPr>
        <w:t>〔合同解除〕</w:t>
      </w:r>
      <w:r>
        <w:rPr>
          <w:rFonts w:hint="eastAsia" w:ascii="仿宋" w:hAnsi="仿宋" w:eastAsia="仿宋" w:cs="仿宋"/>
          <w:i w:val="0"/>
          <w:iCs w:val="0"/>
          <w:color w:val="auto"/>
          <w:kern w:val="0"/>
          <w:sz w:val="24"/>
          <w:szCs w:val="24"/>
          <w:highlight w:val="none"/>
        </w:rPr>
        <w:t>的约定向设计人结算并支付设计费。</w:t>
      </w:r>
    </w:p>
    <w:p w14:paraId="0AEC4EA0">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14.1.4 发包人擅自将设计人的设计文件用于本工程以外的工程或交第三方使用时，应承担相应法律责任，并应赔偿设计人因此遭受的损失。</w:t>
      </w:r>
    </w:p>
    <w:p w14:paraId="6538F9ED">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bCs w:val="0"/>
          <w:i w:val="0"/>
          <w:iCs w:val="0"/>
          <w:color w:val="auto"/>
          <w:kern w:val="0"/>
          <w:sz w:val="24"/>
          <w:szCs w:val="24"/>
          <w:highlight w:val="none"/>
        </w:rPr>
      </w:pPr>
      <w:bookmarkStart w:id="457" w:name="_Toc351203605"/>
      <w:bookmarkStart w:id="458" w:name="_Toc296503131"/>
      <w:bookmarkStart w:id="459" w:name="_Toc337558822"/>
      <w:bookmarkStart w:id="460" w:name="_Toc296346632"/>
      <w:r>
        <w:rPr>
          <w:rFonts w:hint="eastAsia" w:ascii="仿宋" w:hAnsi="仿宋" w:eastAsia="仿宋" w:cs="仿宋"/>
          <w:b w:val="0"/>
          <w:bCs w:val="0"/>
          <w:i w:val="0"/>
          <w:iCs w:val="0"/>
          <w:color w:val="auto"/>
          <w:kern w:val="0"/>
          <w:sz w:val="24"/>
          <w:szCs w:val="24"/>
          <w:highlight w:val="none"/>
        </w:rPr>
        <w:t>14.2 设计人违约</w:t>
      </w:r>
      <w:bookmarkEnd w:id="457"/>
      <w:r>
        <w:rPr>
          <w:rFonts w:hint="eastAsia" w:ascii="仿宋" w:hAnsi="仿宋" w:eastAsia="仿宋" w:cs="仿宋"/>
          <w:b w:val="0"/>
          <w:bCs w:val="0"/>
          <w:i w:val="0"/>
          <w:iCs w:val="0"/>
          <w:color w:val="auto"/>
          <w:kern w:val="0"/>
          <w:sz w:val="24"/>
          <w:szCs w:val="24"/>
          <w:highlight w:val="none"/>
        </w:rPr>
        <w:t>责任</w:t>
      </w:r>
    </w:p>
    <w:bookmarkEnd w:id="458"/>
    <w:bookmarkEnd w:id="459"/>
    <w:bookmarkEnd w:id="460"/>
    <w:p w14:paraId="02B8A3E6">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14.2.1 合同生效后，设计人因自身原因要求终止或解除合同，设计人应按发包人已支付的定金金额双倍返还给发包人或设计人按照专用合同条款的约定向发包人支付违约金。</w:t>
      </w:r>
    </w:p>
    <w:p w14:paraId="141373B3">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14.2.2 由于设计人原因，未按专用合同条款附件3</w:t>
      </w:r>
      <w:r>
        <w:rPr>
          <w:rFonts w:hint="eastAsia" w:ascii="仿宋" w:hAnsi="仿宋" w:eastAsia="仿宋" w:cs="仿宋"/>
          <w:i w:val="0"/>
          <w:iCs w:val="0"/>
          <w:color w:val="auto"/>
          <w:kern w:val="0"/>
          <w:sz w:val="24"/>
          <w:szCs w:val="24"/>
          <w:highlight w:val="none"/>
          <w:lang w:eastAsia="zh-CN"/>
        </w:rPr>
        <w:t>约</w:t>
      </w:r>
      <w:r>
        <w:rPr>
          <w:rFonts w:hint="eastAsia" w:ascii="仿宋" w:hAnsi="仿宋" w:eastAsia="仿宋" w:cs="仿宋"/>
          <w:i w:val="0"/>
          <w:iCs w:val="0"/>
          <w:color w:val="auto"/>
          <w:kern w:val="0"/>
          <w:sz w:val="24"/>
          <w:szCs w:val="24"/>
          <w:highlight w:val="none"/>
        </w:rPr>
        <w:t>定的时间交付工程设计文件的，应按专用合同条款的约定向发包人支付违约金，前述违约金经双方确认后可在发包人应付设计费中扣减。</w:t>
      </w:r>
    </w:p>
    <w:p w14:paraId="60BB94C0">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13F7DA71">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14.2.4 设计人未经发包人同意擅自对工程设计进行分包的，发包人有权要求设计人解除未经发包人同意的设计分包合同，设计人应当按照专用合同条款的约定承担违约责任。</w:t>
      </w:r>
    </w:p>
    <w:p w14:paraId="2D5B288C">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bookmarkStart w:id="461" w:name="_Toc351203607"/>
      <w:bookmarkStart w:id="462" w:name="_Toc296346617"/>
      <w:bookmarkStart w:id="463" w:name="_Toc296503116"/>
      <w:bookmarkStart w:id="464" w:name="_Toc337558823"/>
      <w:r>
        <w:rPr>
          <w:rFonts w:hint="eastAsia" w:ascii="仿宋" w:hAnsi="仿宋" w:eastAsia="仿宋" w:cs="仿宋"/>
          <w:b w:val="0"/>
          <w:i w:val="0"/>
          <w:iCs w:val="0"/>
          <w:color w:val="auto"/>
          <w:sz w:val="24"/>
          <w:szCs w:val="24"/>
          <w:highlight w:val="none"/>
        </w:rPr>
        <w:t>15. 不可抗力</w:t>
      </w:r>
      <w:bookmarkEnd w:id="461"/>
      <w:r>
        <w:rPr>
          <w:rFonts w:hint="eastAsia" w:ascii="仿宋" w:hAnsi="仿宋" w:eastAsia="仿宋" w:cs="仿宋"/>
          <w:b w:val="0"/>
          <w:i w:val="0"/>
          <w:iCs w:val="0"/>
          <w:color w:val="auto"/>
          <w:sz w:val="24"/>
          <w:szCs w:val="24"/>
          <w:highlight w:val="none"/>
        </w:rPr>
        <w:t xml:space="preserve"> </w:t>
      </w:r>
      <w:bookmarkEnd w:id="462"/>
      <w:bookmarkEnd w:id="463"/>
      <w:bookmarkEnd w:id="464"/>
    </w:p>
    <w:p w14:paraId="0BE367CC">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4"/>
        <w:rPr>
          <w:rFonts w:hint="eastAsia" w:ascii="仿宋" w:hAnsi="仿宋" w:eastAsia="仿宋" w:cs="仿宋"/>
          <w:b w:val="0"/>
          <w:bCs w:val="0"/>
          <w:i w:val="0"/>
          <w:iCs w:val="0"/>
          <w:color w:val="auto"/>
          <w:kern w:val="0"/>
          <w:sz w:val="24"/>
          <w:szCs w:val="24"/>
          <w:highlight w:val="none"/>
        </w:rPr>
      </w:pPr>
      <w:bookmarkStart w:id="465" w:name="_Toc351203608"/>
      <w:bookmarkStart w:id="466" w:name="_Toc296346618"/>
      <w:bookmarkStart w:id="467" w:name="_Toc337558824"/>
      <w:bookmarkStart w:id="468" w:name="_Toc296503117"/>
      <w:r>
        <w:rPr>
          <w:rFonts w:hint="eastAsia" w:ascii="仿宋" w:hAnsi="仿宋" w:eastAsia="仿宋" w:cs="仿宋"/>
          <w:b w:val="0"/>
          <w:bCs w:val="0"/>
          <w:i w:val="0"/>
          <w:iCs w:val="0"/>
          <w:color w:val="auto"/>
          <w:kern w:val="0"/>
          <w:sz w:val="24"/>
          <w:szCs w:val="24"/>
          <w:highlight w:val="none"/>
        </w:rPr>
        <w:t>15.1 不可抗力的确认</w:t>
      </w:r>
      <w:bookmarkEnd w:id="465"/>
    </w:p>
    <w:bookmarkEnd w:id="466"/>
    <w:bookmarkEnd w:id="467"/>
    <w:bookmarkEnd w:id="468"/>
    <w:p w14:paraId="3433B29B">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5F5479FC">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不可抗力发生后，发包人和设计人应收集证明不可抗力发生及不可抗力造成损失的证据，并及时认真统计所造成的损失。合同当事人对是否属于不可抗力或其损失发生争议时，按第17条〔争议解决〕的约定处理。</w:t>
      </w:r>
    </w:p>
    <w:p w14:paraId="316EE024">
      <w:pPr>
        <w:pStyle w:val="5"/>
        <w:pageBreakBefore w:val="0"/>
        <w:widowControl w:val="0"/>
        <w:kinsoku/>
        <w:wordWrap/>
        <w:overflowPunct/>
        <w:topLinePunct w:val="0"/>
        <w:bidi w:val="0"/>
        <w:snapToGrid/>
        <w:spacing w:before="120" w:beforeLines="0" w:after="120" w:afterLines="0" w:line="380" w:lineRule="exact"/>
        <w:ind w:firstLine="480" w:firstLineChars="200"/>
        <w:textAlignment w:val="auto"/>
        <w:rPr>
          <w:rFonts w:hint="eastAsia" w:ascii="仿宋" w:hAnsi="仿宋" w:eastAsia="仿宋" w:cs="仿宋"/>
          <w:b w:val="0"/>
          <w:bCs w:val="0"/>
          <w:i w:val="0"/>
          <w:iCs w:val="0"/>
          <w:color w:val="auto"/>
          <w:kern w:val="0"/>
          <w:sz w:val="24"/>
          <w:szCs w:val="24"/>
          <w:highlight w:val="none"/>
        </w:rPr>
      </w:pPr>
      <w:bookmarkStart w:id="469" w:name="_Toc351203609"/>
      <w:bookmarkStart w:id="470" w:name="_Toc296503118"/>
      <w:bookmarkStart w:id="471" w:name="_Toc337558825"/>
      <w:bookmarkStart w:id="472" w:name="_Toc296346619"/>
      <w:r>
        <w:rPr>
          <w:rFonts w:hint="eastAsia" w:ascii="仿宋" w:hAnsi="仿宋" w:eastAsia="仿宋" w:cs="仿宋"/>
          <w:b w:val="0"/>
          <w:bCs w:val="0"/>
          <w:i w:val="0"/>
          <w:iCs w:val="0"/>
          <w:color w:val="auto"/>
          <w:kern w:val="0"/>
          <w:sz w:val="24"/>
          <w:szCs w:val="24"/>
          <w:highlight w:val="none"/>
        </w:rPr>
        <w:t>15.2 不可抗力的通知</w:t>
      </w:r>
      <w:bookmarkEnd w:id="469"/>
    </w:p>
    <w:bookmarkEnd w:id="470"/>
    <w:bookmarkEnd w:id="471"/>
    <w:bookmarkEnd w:id="472"/>
    <w:p w14:paraId="6AEC66E4">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合同一方当事人遇到不可抗力事件，使其履行合同义务受到阻碍时，应立即通知合同另一方当事人，书面说明不可抗力和受阻碍的详细情况，并在合理期限内提供必要的证明。</w:t>
      </w:r>
    </w:p>
    <w:p w14:paraId="4944585C">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不可抗力持续发生的，合同一方当事人应及时向合同另一方当事人提交中间报告，说明不可抗力和履行合同受阻的情况，并于不可抗力事件结束后28天内提交最终报告及有关资料。</w:t>
      </w:r>
    </w:p>
    <w:p w14:paraId="7634A1D0">
      <w:pPr>
        <w:pStyle w:val="5"/>
        <w:pageBreakBefore w:val="0"/>
        <w:widowControl w:val="0"/>
        <w:kinsoku/>
        <w:wordWrap/>
        <w:overflowPunct/>
        <w:topLinePunct w:val="0"/>
        <w:bidi w:val="0"/>
        <w:snapToGrid/>
        <w:spacing w:before="120" w:beforeLines="0" w:after="120" w:afterLines="0" w:line="380" w:lineRule="exact"/>
        <w:ind w:firstLine="480" w:firstLineChars="200"/>
        <w:textAlignment w:val="auto"/>
        <w:rPr>
          <w:rFonts w:hint="eastAsia" w:ascii="仿宋" w:hAnsi="仿宋" w:eastAsia="仿宋" w:cs="仿宋"/>
          <w:b w:val="0"/>
          <w:bCs w:val="0"/>
          <w:i w:val="0"/>
          <w:iCs w:val="0"/>
          <w:color w:val="auto"/>
          <w:kern w:val="0"/>
          <w:sz w:val="24"/>
          <w:szCs w:val="24"/>
          <w:highlight w:val="none"/>
        </w:rPr>
      </w:pPr>
      <w:bookmarkStart w:id="473" w:name="_Toc351203610"/>
      <w:bookmarkStart w:id="474" w:name="_Toc337558826"/>
      <w:bookmarkStart w:id="475" w:name="_Toc296346620"/>
      <w:bookmarkStart w:id="476" w:name="_Toc296503119"/>
      <w:r>
        <w:rPr>
          <w:rFonts w:hint="eastAsia" w:ascii="仿宋" w:hAnsi="仿宋" w:eastAsia="仿宋" w:cs="仿宋"/>
          <w:b w:val="0"/>
          <w:bCs w:val="0"/>
          <w:i w:val="0"/>
          <w:iCs w:val="0"/>
          <w:color w:val="auto"/>
          <w:kern w:val="0"/>
          <w:sz w:val="24"/>
          <w:szCs w:val="24"/>
          <w:highlight w:val="none"/>
        </w:rPr>
        <w:t>15.3 不可抗力后果的承担</w:t>
      </w:r>
      <w:bookmarkEnd w:id="473"/>
    </w:p>
    <w:bookmarkEnd w:id="474"/>
    <w:bookmarkEnd w:id="475"/>
    <w:bookmarkEnd w:id="476"/>
    <w:p w14:paraId="3842741B">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不可抗力引起的后果及造成的损失由合同当事人按照法律规定及合同约定各自承担。不可抗力发生前已完成的工程设计应当按照合同约定进行支付。</w:t>
      </w:r>
    </w:p>
    <w:p w14:paraId="38CE169D">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不可抗力发生后，合同当事人均应采取措施尽量避免和减少损失的扩大，任何一方当事人没有采取有效措施导致损失扩大的，应对扩大的损失承担责任。</w:t>
      </w:r>
    </w:p>
    <w:p w14:paraId="597B5249">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因合同一方迟延履行合同义务，在迟延履行期间遭遇不可抗力的，不免除其违约责任。</w:t>
      </w:r>
    </w:p>
    <w:p w14:paraId="48EF7136">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16. 合同解除</w:t>
      </w:r>
    </w:p>
    <w:p w14:paraId="41FA0851">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16.1 发包人与设计人协商一致，可以解除合同。</w:t>
      </w:r>
    </w:p>
    <w:p w14:paraId="3F7A8E3C">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16.2 有下列情形之一的</w:t>
      </w:r>
      <w:r>
        <w:rPr>
          <w:rFonts w:hint="eastAsia" w:ascii="仿宋" w:hAnsi="仿宋" w:eastAsia="仿宋" w:cs="仿宋"/>
          <w:i w:val="0"/>
          <w:iCs w:val="0"/>
          <w:color w:val="auto"/>
          <w:sz w:val="24"/>
          <w:szCs w:val="24"/>
          <w:highlight w:val="none"/>
          <w:lang w:eastAsia="zh-CN"/>
        </w:rPr>
        <w:t>，合同当事人一方或双方</w:t>
      </w:r>
      <w:r>
        <w:rPr>
          <w:rFonts w:hint="eastAsia" w:ascii="仿宋" w:hAnsi="仿宋" w:eastAsia="仿宋" w:cs="仿宋"/>
          <w:i w:val="0"/>
          <w:iCs w:val="0"/>
          <w:color w:val="auto"/>
          <w:sz w:val="24"/>
          <w:szCs w:val="24"/>
          <w:highlight w:val="none"/>
        </w:rPr>
        <w:t>可以解除合同：</w:t>
      </w:r>
    </w:p>
    <w:p w14:paraId="19637D7F">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（1）设计人工程设计文件存在重大质量问题</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经发包人催告后</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在合理期限内修改后仍不能满足国家现行深度要求或不能达到合同约定的设计质量要求的</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发包人可以解除合同</w:t>
      </w:r>
      <w:r>
        <w:rPr>
          <w:rFonts w:hint="eastAsia" w:ascii="仿宋" w:hAnsi="仿宋" w:eastAsia="仿宋" w:cs="仿宋"/>
          <w:i w:val="0"/>
          <w:iCs w:val="0"/>
          <w:color w:val="auto"/>
          <w:sz w:val="24"/>
          <w:szCs w:val="24"/>
          <w:highlight w:val="none"/>
          <w:lang w:eastAsia="zh-CN"/>
        </w:rPr>
        <w:t>；</w:t>
      </w:r>
    </w:p>
    <w:p w14:paraId="7540CA63">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（2）发包人未按合同约定支付设计费用</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经设计人催告后</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在30天内仍未支付的</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设计人可以解除合同</w:t>
      </w:r>
      <w:r>
        <w:rPr>
          <w:rFonts w:hint="eastAsia" w:ascii="仿宋" w:hAnsi="仿宋" w:eastAsia="仿宋" w:cs="仿宋"/>
          <w:i w:val="0"/>
          <w:iCs w:val="0"/>
          <w:color w:val="auto"/>
          <w:sz w:val="24"/>
          <w:szCs w:val="24"/>
          <w:highlight w:val="none"/>
          <w:lang w:eastAsia="zh-CN"/>
        </w:rPr>
        <w:t>；</w:t>
      </w:r>
    </w:p>
    <w:p w14:paraId="53FF4EC6">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（3）暂停设计期限已连续超过180天，专用合同条款另有约定的除外；</w:t>
      </w:r>
    </w:p>
    <w:p w14:paraId="23001FA1">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（4）因不可抗力致使合同无法履行；</w:t>
      </w:r>
    </w:p>
    <w:p w14:paraId="46353B2E">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（5）因一方违约致使合同无法实际履行或实际履行已无必要；</w:t>
      </w:r>
    </w:p>
    <w:p w14:paraId="5D8C7A24">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（6）因本工程项目条件发生重大变化，使合同无法继续履行。</w:t>
      </w:r>
    </w:p>
    <w:p w14:paraId="125FF00E">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16.3 任何一方因故需解除合同时，应提前30天书面通知对方，对合同中的遗留问题应取得一致意见并形成书面协议。</w:t>
      </w:r>
    </w:p>
    <w:p w14:paraId="262EE8BB">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16.4 合同解除后，发包人除应按</w:t>
      </w:r>
      <w:r>
        <w:rPr>
          <w:rFonts w:hint="eastAsia" w:ascii="仿宋" w:hAnsi="仿宋" w:eastAsia="仿宋" w:cs="仿宋"/>
          <w:i w:val="0"/>
          <w:iCs w:val="0"/>
          <w:color w:val="auto"/>
          <w:sz w:val="24"/>
          <w:szCs w:val="24"/>
          <w:highlight w:val="none"/>
          <w:lang w:eastAsia="zh-CN"/>
        </w:rPr>
        <w:t>第</w:t>
      </w:r>
      <w:r>
        <w:rPr>
          <w:rFonts w:hint="eastAsia" w:ascii="仿宋" w:hAnsi="仿宋" w:eastAsia="仿宋" w:cs="仿宋"/>
          <w:i w:val="0"/>
          <w:iCs w:val="0"/>
          <w:color w:val="auto"/>
          <w:sz w:val="24"/>
          <w:szCs w:val="24"/>
          <w:highlight w:val="none"/>
        </w:rPr>
        <w:t>14.1.1</w:t>
      </w:r>
      <w:r>
        <w:rPr>
          <w:rFonts w:hint="eastAsia" w:ascii="仿宋" w:hAnsi="仿宋" w:eastAsia="仿宋" w:cs="仿宋"/>
          <w:i w:val="0"/>
          <w:iCs w:val="0"/>
          <w:color w:val="auto"/>
          <w:sz w:val="24"/>
          <w:szCs w:val="24"/>
          <w:highlight w:val="none"/>
          <w:lang w:eastAsia="zh-CN"/>
        </w:rPr>
        <w:t>项</w:t>
      </w:r>
      <w:r>
        <w:rPr>
          <w:rFonts w:hint="eastAsia" w:ascii="仿宋" w:hAnsi="仿宋" w:eastAsia="仿宋" w:cs="仿宋"/>
          <w:i w:val="0"/>
          <w:iCs w:val="0"/>
          <w:color w:val="auto"/>
          <w:sz w:val="24"/>
          <w:szCs w:val="24"/>
          <w:highlight w:val="none"/>
        </w:rPr>
        <w:t>的约定及专用合同条款约定期限内向设计人支付已完工作的设计费外，应当向设计人支付由于非设计人原因合同解除导致设计人增加的设计费用，违约一方应当承担相应的违约责任。</w:t>
      </w:r>
    </w:p>
    <w:p w14:paraId="319C9E5F">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bookmarkStart w:id="477" w:name="_Toc351203626"/>
      <w:bookmarkStart w:id="478" w:name="_Toc296346647"/>
      <w:bookmarkStart w:id="479" w:name="_Toc296503146"/>
      <w:bookmarkStart w:id="480" w:name="_Toc337558840"/>
      <w:r>
        <w:rPr>
          <w:rFonts w:hint="eastAsia" w:ascii="仿宋" w:hAnsi="仿宋" w:eastAsia="仿宋" w:cs="仿宋"/>
          <w:b w:val="0"/>
          <w:i w:val="0"/>
          <w:iCs w:val="0"/>
          <w:color w:val="auto"/>
          <w:sz w:val="24"/>
          <w:szCs w:val="24"/>
          <w:highlight w:val="none"/>
        </w:rPr>
        <w:t>17. 争议解决</w:t>
      </w:r>
      <w:bookmarkEnd w:id="477"/>
    </w:p>
    <w:bookmarkEnd w:id="478"/>
    <w:bookmarkEnd w:id="479"/>
    <w:bookmarkEnd w:id="480"/>
    <w:p w14:paraId="1B9115B0">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kern w:val="0"/>
          <w:sz w:val="24"/>
          <w:szCs w:val="24"/>
          <w:highlight w:val="none"/>
        </w:rPr>
      </w:pPr>
      <w:bookmarkStart w:id="481" w:name="_Toc351203627"/>
      <w:bookmarkStart w:id="482" w:name="_Toc296346648"/>
      <w:bookmarkStart w:id="483" w:name="_Toc337558841"/>
      <w:bookmarkStart w:id="484" w:name="_Toc296503147"/>
      <w:r>
        <w:rPr>
          <w:rFonts w:hint="eastAsia" w:ascii="仿宋" w:hAnsi="仿宋" w:eastAsia="仿宋" w:cs="仿宋"/>
          <w:i w:val="0"/>
          <w:iCs w:val="0"/>
          <w:color w:val="auto"/>
          <w:kern w:val="0"/>
          <w:sz w:val="24"/>
          <w:szCs w:val="24"/>
          <w:highlight w:val="none"/>
        </w:rPr>
        <w:t>17.1 和解</w:t>
      </w:r>
      <w:bookmarkEnd w:id="481"/>
    </w:p>
    <w:bookmarkEnd w:id="482"/>
    <w:bookmarkEnd w:id="483"/>
    <w:bookmarkEnd w:id="484"/>
    <w:p w14:paraId="15D0E3C3">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合同当事人可以就争议自行和解，自行和解达成协议的经双方签字并盖章后作为合同补充文件，双方均应遵照执行。</w:t>
      </w:r>
    </w:p>
    <w:p w14:paraId="2EE6E7F3">
      <w:pPr>
        <w:pageBreakBefore w:val="0"/>
        <w:widowControl w:val="0"/>
        <w:kinsoku/>
        <w:wordWrap/>
        <w:overflowPunct/>
        <w:topLinePunct w:val="0"/>
        <w:bidi w:val="0"/>
        <w:snapToGrid/>
        <w:spacing w:before="120" w:beforeLines="0" w:after="120" w:afterLines="0" w:line="380" w:lineRule="exact"/>
        <w:ind w:firstLine="480" w:firstLineChars="200"/>
        <w:textAlignment w:val="auto"/>
        <w:rPr>
          <w:rFonts w:hint="eastAsia" w:ascii="仿宋" w:hAnsi="仿宋" w:eastAsia="仿宋" w:cs="仿宋"/>
          <w:i w:val="0"/>
          <w:iCs w:val="0"/>
          <w:color w:val="auto"/>
          <w:kern w:val="0"/>
          <w:sz w:val="24"/>
          <w:szCs w:val="24"/>
          <w:highlight w:val="none"/>
        </w:rPr>
      </w:pPr>
      <w:bookmarkStart w:id="485" w:name="_Toc351203628"/>
      <w:bookmarkStart w:id="486" w:name="_Toc296346649"/>
      <w:bookmarkStart w:id="487" w:name="_Toc296503148"/>
      <w:bookmarkStart w:id="488" w:name="_Toc337558842"/>
      <w:r>
        <w:rPr>
          <w:rFonts w:hint="eastAsia" w:ascii="仿宋" w:hAnsi="仿宋" w:eastAsia="仿宋" w:cs="仿宋"/>
          <w:i w:val="0"/>
          <w:iCs w:val="0"/>
          <w:color w:val="auto"/>
          <w:kern w:val="0"/>
          <w:sz w:val="24"/>
          <w:szCs w:val="24"/>
          <w:highlight w:val="none"/>
        </w:rPr>
        <w:t>17.2 调解</w:t>
      </w:r>
      <w:bookmarkEnd w:id="485"/>
    </w:p>
    <w:bookmarkEnd w:id="486"/>
    <w:bookmarkEnd w:id="487"/>
    <w:bookmarkEnd w:id="488"/>
    <w:p w14:paraId="6C284CE9">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合同当事人可以就争议请求相关行政主管部门、行业协会或其他第三方进行调解，调解达成协议的，经双方签字并盖章后作为合同补充文件，双方均应遵照执行。</w:t>
      </w:r>
    </w:p>
    <w:p w14:paraId="4835BB1F">
      <w:pPr>
        <w:pageBreakBefore w:val="0"/>
        <w:widowControl w:val="0"/>
        <w:kinsoku/>
        <w:wordWrap/>
        <w:overflowPunct/>
        <w:topLinePunct w:val="0"/>
        <w:bidi w:val="0"/>
        <w:snapToGrid/>
        <w:spacing w:before="120" w:beforeLines="0" w:after="120" w:afterLines="0" w:line="380" w:lineRule="exact"/>
        <w:ind w:firstLine="480" w:firstLineChars="200"/>
        <w:textAlignment w:val="auto"/>
        <w:rPr>
          <w:rFonts w:hint="eastAsia" w:ascii="仿宋" w:hAnsi="仿宋" w:eastAsia="仿宋" w:cs="仿宋"/>
          <w:i w:val="0"/>
          <w:iCs w:val="0"/>
          <w:color w:val="auto"/>
          <w:kern w:val="0"/>
          <w:sz w:val="24"/>
          <w:szCs w:val="24"/>
          <w:highlight w:val="none"/>
        </w:rPr>
      </w:pPr>
      <w:bookmarkStart w:id="489" w:name="_Toc351203629"/>
      <w:bookmarkStart w:id="490" w:name="_Toc337558843"/>
      <w:bookmarkStart w:id="491" w:name="_Toc296503149"/>
      <w:bookmarkStart w:id="492" w:name="_Toc296346650"/>
      <w:r>
        <w:rPr>
          <w:rFonts w:hint="eastAsia" w:ascii="仿宋" w:hAnsi="仿宋" w:eastAsia="仿宋" w:cs="仿宋"/>
          <w:i w:val="0"/>
          <w:iCs w:val="0"/>
          <w:color w:val="auto"/>
          <w:kern w:val="0"/>
          <w:sz w:val="24"/>
          <w:szCs w:val="24"/>
          <w:highlight w:val="none"/>
        </w:rPr>
        <w:t>17.3 争议评审</w:t>
      </w:r>
      <w:bookmarkEnd w:id="489"/>
    </w:p>
    <w:bookmarkEnd w:id="490"/>
    <w:bookmarkEnd w:id="491"/>
    <w:bookmarkEnd w:id="492"/>
    <w:p w14:paraId="10851203">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 xml:space="preserve">合同当事人在专用合同条款中约定采取争议评审方式解决争议以及评审规则，并按下列约定执行： </w:t>
      </w:r>
    </w:p>
    <w:p w14:paraId="6D02C473">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17.3.1 争议评审小组的确定</w:t>
      </w:r>
    </w:p>
    <w:p w14:paraId="09EA4F03">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1C08CD05">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0DC5676D">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除专用合同条款另有约定外，评审所发生的费用由发包人和设计人各承担一半。</w:t>
      </w:r>
    </w:p>
    <w:p w14:paraId="63DD64F4">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17.3.2 争议评审小组的决定</w:t>
      </w:r>
    </w:p>
    <w:p w14:paraId="446569BF">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合同当事人可在任何时间将与合同有关的任何争议共同提请争议评审小组进行评审。争议评审小组应秉持客观、公正原则，充分听取合同当事人的意见，依据相关法律、技术标准、行业惯例等，自收到争议评审申请报告后14天内作出书面决定，并说明理由。合同当事人可以在专用合同条款中对本事项另行约定。</w:t>
      </w:r>
    </w:p>
    <w:p w14:paraId="731D2DB0">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17.3.3 争议评审小组决定的效力</w:t>
      </w:r>
    </w:p>
    <w:p w14:paraId="3E3179A2">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争议评审小组作出的书面决定经合同当事人签字确认后，对双方具有约束力，双方应遵照执行。</w:t>
      </w:r>
    </w:p>
    <w:p w14:paraId="2CE9261B">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任何一方当事人不接受争议评审小组决定或不履行争议评审小组决定的，双方可选择采用其他争议解决方式。</w:t>
      </w:r>
    </w:p>
    <w:p w14:paraId="7520953B">
      <w:pPr>
        <w:pageBreakBefore w:val="0"/>
        <w:widowControl w:val="0"/>
        <w:kinsoku/>
        <w:wordWrap/>
        <w:overflowPunct/>
        <w:topLinePunct w:val="0"/>
        <w:bidi w:val="0"/>
        <w:snapToGrid/>
        <w:spacing w:before="120" w:beforeLines="0" w:after="120" w:afterLines="0" w:line="380" w:lineRule="exact"/>
        <w:ind w:firstLine="480" w:firstLineChars="200"/>
        <w:textAlignment w:val="auto"/>
        <w:rPr>
          <w:rFonts w:hint="eastAsia" w:ascii="仿宋" w:hAnsi="仿宋" w:eastAsia="仿宋" w:cs="仿宋"/>
          <w:i w:val="0"/>
          <w:iCs w:val="0"/>
          <w:color w:val="auto"/>
          <w:kern w:val="0"/>
          <w:sz w:val="24"/>
          <w:szCs w:val="24"/>
          <w:highlight w:val="none"/>
        </w:rPr>
      </w:pPr>
      <w:bookmarkStart w:id="493" w:name="_Toc351203630"/>
      <w:bookmarkStart w:id="494" w:name="_Toc296503150"/>
      <w:bookmarkStart w:id="495" w:name="_Toc337558844"/>
      <w:bookmarkStart w:id="496" w:name="_Toc296346651"/>
      <w:r>
        <w:rPr>
          <w:rFonts w:hint="eastAsia" w:ascii="仿宋" w:hAnsi="仿宋" w:eastAsia="仿宋" w:cs="仿宋"/>
          <w:i w:val="0"/>
          <w:iCs w:val="0"/>
          <w:color w:val="auto"/>
          <w:kern w:val="0"/>
          <w:sz w:val="24"/>
          <w:szCs w:val="24"/>
          <w:highlight w:val="none"/>
        </w:rPr>
        <w:t>17.4 仲裁或诉讼</w:t>
      </w:r>
      <w:bookmarkEnd w:id="493"/>
    </w:p>
    <w:bookmarkEnd w:id="494"/>
    <w:bookmarkEnd w:id="495"/>
    <w:bookmarkEnd w:id="496"/>
    <w:p w14:paraId="381B5407">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因合同及合同有关事项产生的争议，合同当事人可以在专用合同条款中约定以下一种方式解决争议：</w:t>
      </w:r>
    </w:p>
    <w:p w14:paraId="463DE5B4">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（1）向约定的仲裁委员会申请仲裁；</w:t>
      </w:r>
    </w:p>
    <w:p w14:paraId="34E42BAB">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（2）向有管辖权的人民法院起诉。</w:t>
      </w:r>
    </w:p>
    <w:p w14:paraId="615E73DE">
      <w:pPr>
        <w:pageBreakBefore w:val="0"/>
        <w:widowControl w:val="0"/>
        <w:kinsoku/>
        <w:wordWrap/>
        <w:overflowPunct/>
        <w:topLinePunct w:val="0"/>
        <w:bidi w:val="0"/>
        <w:snapToGrid/>
        <w:spacing w:before="120" w:beforeLines="0" w:after="120" w:afterLines="0" w:line="380" w:lineRule="exact"/>
        <w:ind w:firstLine="480" w:firstLineChars="200"/>
        <w:textAlignment w:val="auto"/>
        <w:rPr>
          <w:rFonts w:hint="eastAsia" w:ascii="仿宋" w:hAnsi="仿宋" w:eastAsia="仿宋" w:cs="仿宋"/>
          <w:i w:val="0"/>
          <w:iCs w:val="0"/>
          <w:color w:val="auto"/>
          <w:kern w:val="0"/>
          <w:sz w:val="24"/>
          <w:szCs w:val="24"/>
          <w:highlight w:val="none"/>
        </w:rPr>
      </w:pPr>
      <w:bookmarkStart w:id="497" w:name="_Toc351203631"/>
      <w:bookmarkStart w:id="498" w:name="_Toc296503152"/>
      <w:bookmarkStart w:id="499" w:name="_Toc337558845"/>
      <w:bookmarkStart w:id="500" w:name="_Toc296346653"/>
      <w:r>
        <w:rPr>
          <w:rFonts w:hint="eastAsia" w:ascii="仿宋" w:hAnsi="仿宋" w:eastAsia="仿宋" w:cs="仿宋"/>
          <w:i w:val="0"/>
          <w:iCs w:val="0"/>
          <w:color w:val="auto"/>
          <w:kern w:val="0"/>
          <w:sz w:val="24"/>
          <w:szCs w:val="24"/>
          <w:highlight w:val="none"/>
        </w:rPr>
        <w:t>17.5 争议解决条款效力</w:t>
      </w:r>
      <w:bookmarkEnd w:id="497"/>
    </w:p>
    <w:bookmarkEnd w:id="498"/>
    <w:bookmarkEnd w:id="499"/>
    <w:bookmarkEnd w:id="500"/>
    <w:p w14:paraId="63485D74">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 xml:space="preserve">合同有关争议解决的条款独立存在，合同的变更、解除、终止、无效或者被撤销均不影响其效力。 </w:t>
      </w:r>
    </w:p>
    <w:p w14:paraId="1AEED2A0">
      <w:pPr>
        <w:pStyle w:val="3"/>
        <w:pageBreakBefore w:val="0"/>
        <w:widowControl w:val="0"/>
        <w:kinsoku/>
        <w:wordWrap/>
        <w:overflowPunct/>
        <w:topLinePunct w:val="0"/>
        <w:bidi w:val="0"/>
        <w:snapToGrid/>
        <w:spacing w:line="380" w:lineRule="exact"/>
        <w:jc w:val="center"/>
        <w:textAlignment w:val="auto"/>
        <w:rPr>
          <w:rFonts w:hint="eastAsia" w:ascii="仿宋" w:hAnsi="仿宋" w:eastAsia="仿宋" w:cs="仿宋"/>
          <w:i w:val="0"/>
          <w:iCs w:val="0"/>
          <w:color w:val="auto"/>
          <w:sz w:val="24"/>
          <w:szCs w:val="24"/>
          <w:highlight w:val="none"/>
        </w:rPr>
      </w:pPr>
      <w:bookmarkStart w:id="501" w:name="_Toc351203632"/>
      <w:r>
        <w:rPr>
          <w:rFonts w:hint="eastAsia" w:ascii="仿宋" w:hAnsi="仿宋" w:eastAsia="仿宋" w:cs="仿宋"/>
          <w:i w:val="0"/>
          <w:iCs w:val="0"/>
          <w:color w:val="auto"/>
          <w:sz w:val="24"/>
          <w:szCs w:val="24"/>
          <w:highlight w:val="none"/>
        </w:rPr>
        <w:br w:type="page"/>
      </w:r>
      <w:r>
        <w:rPr>
          <w:rFonts w:hint="eastAsia" w:ascii="仿宋" w:hAnsi="仿宋" w:eastAsia="仿宋" w:cs="仿宋"/>
          <w:i w:val="0"/>
          <w:iCs w:val="0"/>
          <w:color w:val="auto"/>
          <w:sz w:val="24"/>
          <w:szCs w:val="24"/>
          <w:highlight w:val="none"/>
        </w:rPr>
        <w:t>第三部分 专用合同条款</w:t>
      </w:r>
    </w:p>
    <w:p w14:paraId="22E37BC9">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1. 一般约定</w:t>
      </w:r>
    </w:p>
    <w:p w14:paraId="2BBE8F11">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1.1 词语定义与解释</w:t>
      </w:r>
    </w:p>
    <w:p w14:paraId="7AD7DB60">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1.1.1合同</w:t>
      </w:r>
    </w:p>
    <w:p w14:paraId="535FACD0">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kern w:val="0"/>
          <w:sz w:val="24"/>
          <w:szCs w:val="24"/>
          <w:highlight w:val="none"/>
        </w:rPr>
        <w:t>1.1.1.8 其他合同文件包括：</w:t>
      </w:r>
      <w:r>
        <w:rPr>
          <w:rFonts w:hint="eastAsia" w:ascii="仿宋" w:hAnsi="仿宋" w:eastAsia="仿宋" w:cs="仿宋"/>
          <w:i w:val="0"/>
          <w:iCs w:val="0"/>
          <w:color w:val="auto"/>
          <w:sz w:val="24"/>
          <w:szCs w:val="24"/>
          <w:highlight w:val="none"/>
          <w:u w:val="single"/>
        </w:rPr>
        <w:t xml:space="preserve">                         </w:t>
      </w:r>
      <w:r>
        <w:rPr>
          <w:rFonts w:hint="eastAsia" w:ascii="仿宋" w:hAnsi="仿宋" w:eastAsia="仿宋" w:cs="仿宋"/>
          <w:i w:val="0"/>
          <w:iCs w:val="0"/>
          <w:color w:val="auto"/>
          <w:sz w:val="24"/>
          <w:szCs w:val="24"/>
          <w:highlight w:val="none"/>
        </w:rPr>
        <w:t>。</w:t>
      </w:r>
    </w:p>
    <w:p w14:paraId="20727C02">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1.3</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 xml:space="preserve">法律 </w:t>
      </w:r>
    </w:p>
    <w:p w14:paraId="155114E3">
      <w:pPr>
        <w:pageBreakBefore w:val="0"/>
        <w:widowControl w:val="0"/>
        <w:kinsoku/>
        <w:wordWrap/>
        <w:overflowPunct/>
        <w:topLinePunct w:val="0"/>
        <w:bidi w:val="0"/>
        <w:snapToGrid/>
        <w:spacing w:line="380" w:lineRule="exact"/>
        <w:ind w:left="1319" w:leftChars="228" w:hanging="840" w:hangingChars="350"/>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适用于合同的其他规范性文件：</w:t>
      </w:r>
      <w:r>
        <w:rPr>
          <w:rFonts w:hint="eastAsia" w:ascii="仿宋" w:hAnsi="仿宋" w:eastAsia="仿宋" w:cs="仿宋"/>
          <w:i w:val="0"/>
          <w:iCs w:val="0"/>
          <w:color w:val="auto"/>
          <w:sz w:val="24"/>
          <w:szCs w:val="24"/>
          <w:highlight w:val="none"/>
          <w:u w:val="single"/>
        </w:rPr>
        <w:t xml:space="preserve">      </w:t>
      </w:r>
      <w:r>
        <w:rPr>
          <w:rFonts w:hint="eastAsia" w:ascii="仿宋" w:hAnsi="仿宋" w:eastAsia="仿宋" w:cs="仿宋"/>
          <w:i w:val="0"/>
          <w:iCs w:val="0"/>
          <w:color w:val="auto"/>
          <w:sz w:val="24"/>
          <w:szCs w:val="24"/>
          <w:highlight w:val="none"/>
        </w:rPr>
        <w:t>。</w:t>
      </w:r>
    </w:p>
    <w:p w14:paraId="70E8CD6C">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1.4 技术标准</w:t>
      </w:r>
    </w:p>
    <w:p w14:paraId="50091681">
      <w:pPr>
        <w:pageBreakBefore w:val="0"/>
        <w:widowControl w:val="0"/>
        <w:kinsoku/>
        <w:wordWrap/>
        <w:overflowPunct/>
        <w:topLinePunct w:val="0"/>
        <w:bidi w:val="0"/>
        <w:snapToGrid/>
        <w:spacing w:line="380" w:lineRule="exact"/>
        <w:ind w:left="596" w:leftChars="284"/>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1.4.1适用于工程的技术标准包括：</w:t>
      </w:r>
      <w:r>
        <w:rPr>
          <w:rFonts w:hint="eastAsia" w:ascii="仿宋" w:hAnsi="仿宋" w:eastAsia="仿宋" w:cs="仿宋"/>
          <w:i w:val="0"/>
          <w:iCs w:val="0"/>
          <w:color w:val="auto"/>
          <w:sz w:val="24"/>
          <w:szCs w:val="24"/>
          <w:highlight w:val="none"/>
          <w:u w:val="single"/>
        </w:rPr>
        <w:t xml:space="preserve">             </w:t>
      </w:r>
      <w:r>
        <w:rPr>
          <w:rFonts w:hint="eastAsia" w:ascii="仿宋" w:hAnsi="仿宋" w:eastAsia="仿宋" w:cs="仿宋"/>
          <w:i w:val="0"/>
          <w:iCs w:val="0"/>
          <w:color w:val="auto"/>
          <w:sz w:val="24"/>
          <w:szCs w:val="24"/>
          <w:highlight w:val="none"/>
        </w:rPr>
        <w:t>。</w:t>
      </w:r>
    </w:p>
    <w:p w14:paraId="11A82224">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kern w:val="0"/>
          <w:sz w:val="24"/>
          <w:szCs w:val="24"/>
          <w:highlight w:val="none"/>
        </w:rPr>
        <w:t>1.4.2 国外技术标准原文版本和中文译本的提供方：</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51BDCF0B">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kern w:val="0"/>
          <w:sz w:val="24"/>
          <w:szCs w:val="24"/>
          <w:highlight w:val="none"/>
        </w:rPr>
        <w:t>提供国外技术标准的名称：</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kern w:val="0"/>
          <w:sz w:val="24"/>
          <w:szCs w:val="24"/>
          <w:highlight w:val="none"/>
        </w:rPr>
        <w:t xml:space="preserve">； </w:t>
      </w:r>
    </w:p>
    <w:p w14:paraId="3F3F7EDC">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提供国外技术标准的份数：</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10307E46">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提供国外技术标准的时间：</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48340449">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rPr>
        <w:t>提供国外技术标准的费用承担：</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34F1FBD6">
      <w:pPr>
        <w:pageBreakBefore w:val="0"/>
        <w:widowControl w:val="0"/>
        <w:kinsoku/>
        <w:wordWrap/>
        <w:overflowPunct/>
        <w:topLinePunct w:val="0"/>
        <w:bidi w:val="0"/>
        <w:snapToGrid/>
        <w:spacing w:line="380" w:lineRule="exact"/>
        <w:ind w:left="596" w:leftChars="284"/>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1.4.3 发包人对工程的技术标准和功能要求的特殊要求：</w:t>
      </w:r>
      <w:r>
        <w:rPr>
          <w:rFonts w:hint="eastAsia" w:ascii="仿宋" w:hAnsi="仿宋" w:eastAsia="仿宋" w:cs="仿宋"/>
          <w:i w:val="0"/>
          <w:iCs w:val="0"/>
          <w:color w:val="auto"/>
          <w:sz w:val="24"/>
          <w:szCs w:val="24"/>
          <w:highlight w:val="none"/>
          <w:u w:val="single" w:color="auto"/>
          <w:lang w:val="en-US" w:eastAsia="zh-CN"/>
        </w:rPr>
        <w:t xml:space="preserve">     </w:t>
      </w:r>
      <w:r>
        <w:rPr>
          <w:rFonts w:hint="eastAsia" w:ascii="仿宋" w:hAnsi="仿宋" w:eastAsia="仿宋" w:cs="仿宋"/>
          <w:i w:val="0"/>
          <w:iCs w:val="0"/>
          <w:color w:val="auto"/>
          <w:sz w:val="24"/>
          <w:szCs w:val="24"/>
          <w:highlight w:val="none"/>
        </w:rPr>
        <w:t xml:space="preserve">。             </w:t>
      </w:r>
      <w:r>
        <w:rPr>
          <w:rFonts w:hint="eastAsia" w:ascii="仿宋" w:hAnsi="仿宋" w:eastAsia="仿宋" w:cs="仿宋"/>
          <w:i w:val="0"/>
          <w:iCs w:val="0"/>
          <w:color w:val="auto"/>
          <w:sz w:val="24"/>
          <w:szCs w:val="24"/>
          <w:highlight w:val="none"/>
          <w:u w:val="none" w:color="auto"/>
        </w:rPr>
        <w:t xml:space="preserve">           </w:t>
      </w:r>
    </w:p>
    <w:p w14:paraId="060F1074">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1.5 合同文件的优先顺序</w:t>
      </w:r>
    </w:p>
    <w:p w14:paraId="674891B4">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合同文件组成及优先顺序为：</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4FC54D92">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1.6 联络</w:t>
      </w:r>
    </w:p>
    <w:p w14:paraId="18DB6BB4">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1.6.1 发包人和设计人应当在</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kern w:val="0"/>
          <w:sz w:val="24"/>
          <w:szCs w:val="24"/>
          <w:highlight w:val="none"/>
        </w:rPr>
        <w:t>天内将与合同有关的通知、批准、证明、证书、指示、指令、要求、请求、同意、确定和决定等书面函件送达对方当事人。</w:t>
      </w:r>
    </w:p>
    <w:p w14:paraId="3CA7F31B">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1.6.2 发包人和设计人联系信息</w:t>
      </w:r>
    </w:p>
    <w:p w14:paraId="51EA251E">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发包人接收文件的地点：</w:t>
      </w:r>
      <w:r>
        <w:rPr>
          <w:rFonts w:hint="eastAsia" w:ascii="仿宋" w:hAnsi="仿宋" w:eastAsia="仿宋" w:cs="仿宋"/>
          <w:i w:val="0"/>
          <w:iCs w:val="0"/>
          <w:color w:val="auto"/>
          <w:sz w:val="24"/>
          <w:szCs w:val="24"/>
          <w:highlight w:val="none"/>
          <w:u w:val="single"/>
        </w:rPr>
        <w:t xml:space="preserve">              </w:t>
      </w:r>
      <w:r>
        <w:rPr>
          <w:rFonts w:hint="eastAsia" w:ascii="仿宋" w:hAnsi="仿宋" w:eastAsia="仿宋" w:cs="仿宋"/>
          <w:i w:val="0"/>
          <w:iCs w:val="0"/>
          <w:color w:val="auto"/>
          <w:kern w:val="0"/>
          <w:sz w:val="24"/>
          <w:szCs w:val="24"/>
          <w:highlight w:val="none"/>
        </w:rPr>
        <w:t>；</w:t>
      </w:r>
    </w:p>
    <w:p w14:paraId="7C2579CE">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rPr>
        <w:t>发包人指定的接收人为：</w:t>
      </w:r>
      <w:r>
        <w:rPr>
          <w:rFonts w:hint="eastAsia" w:ascii="仿宋" w:hAnsi="仿宋" w:eastAsia="仿宋" w:cs="仿宋"/>
          <w:i w:val="0"/>
          <w:iCs w:val="0"/>
          <w:color w:val="auto"/>
          <w:sz w:val="24"/>
          <w:szCs w:val="24"/>
          <w:highlight w:val="none"/>
          <w:u w:val="single"/>
        </w:rPr>
        <w:t xml:space="preserve">                  </w:t>
      </w:r>
      <w:r>
        <w:rPr>
          <w:rFonts w:hint="eastAsia" w:ascii="仿宋" w:hAnsi="仿宋" w:eastAsia="仿宋" w:cs="仿宋"/>
          <w:i w:val="0"/>
          <w:iCs w:val="0"/>
          <w:color w:val="auto"/>
          <w:sz w:val="24"/>
          <w:szCs w:val="24"/>
          <w:highlight w:val="none"/>
        </w:rPr>
        <w:t>；</w:t>
      </w:r>
    </w:p>
    <w:p w14:paraId="7EABA688">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发包人指定的联系电话及传真号码：</w:t>
      </w:r>
      <w:r>
        <w:rPr>
          <w:rFonts w:hint="eastAsia" w:ascii="仿宋" w:hAnsi="仿宋" w:eastAsia="仿宋" w:cs="仿宋"/>
          <w:i w:val="0"/>
          <w:iCs w:val="0"/>
          <w:color w:val="auto"/>
          <w:sz w:val="24"/>
          <w:szCs w:val="24"/>
          <w:highlight w:val="none"/>
          <w:u w:val="single"/>
        </w:rPr>
        <w:t>             </w:t>
      </w:r>
      <w:r>
        <w:rPr>
          <w:rFonts w:hint="eastAsia" w:ascii="仿宋" w:hAnsi="仿宋" w:eastAsia="仿宋" w:cs="仿宋"/>
          <w:i w:val="0"/>
          <w:iCs w:val="0"/>
          <w:color w:val="auto"/>
          <w:sz w:val="24"/>
          <w:szCs w:val="24"/>
          <w:highlight w:val="none"/>
        </w:rPr>
        <w:t>；</w:t>
      </w:r>
    </w:p>
    <w:p w14:paraId="29F9DE4E">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发包人指定的电子邮箱：</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28932524">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设计人接收文件的地点：</w:t>
      </w:r>
      <w:r>
        <w:rPr>
          <w:rFonts w:hint="eastAsia" w:ascii="仿宋" w:hAnsi="仿宋" w:eastAsia="仿宋" w:cs="仿宋"/>
          <w:i w:val="0"/>
          <w:iCs w:val="0"/>
          <w:color w:val="auto"/>
          <w:sz w:val="24"/>
          <w:szCs w:val="24"/>
          <w:highlight w:val="none"/>
          <w:u w:val="single"/>
        </w:rPr>
        <w:t xml:space="preserve">               </w:t>
      </w:r>
      <w:r>
        <w:rPr>
          <w:rFonts w:hint="eastAsia" w:ascii="仿宋" w:hAnsi="仿宋" w:eastAsia="仿宋" w:cs="仿宋"/>
          <w:i w:val="0"/>
          <w:iCs w:val="0"/>
          <w:color w:val="auto"/>
          <w:kern w:val="0"/>
          <w:sz w:val="24"/>
          <w:szCs w:val="24"/>
          <w:highlight w:val="none"/>
        </w:rPr>
        <w:t>；</w:t>
      </w:r>
    </w:p>
    <w:p w14:paraId="6FCC8DBA">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rPr>
        <w:t>设计人指定的接收人为：</w:t>
      </w:r>
      <w:r>
        <w:rPr>
          <w:rFonts w:hint="eastAsia" w:ascii="仿宋" w:hAnsi="仿宋" w:eastAsia="仿宋" w:cs="仿宋"/>
          <w:i w:val="0"/>
          <w:iCs w:val="0"/>
          <w:color w:val="auto"/>
          <w:sz w:val="24"/>
          <w:szCs w:val="24"/>
          <w:highlight w:val="none"/>
          <w:u w:val="single"/>
        </w:rPr>
        <w:t xml:space="preserve">               </w:t>
      </w:r>
      <w:r>
        <w:rPr>
          <w:rFonts w:hint="eastAsia" w:ascii="仿宋" w:hAnsi="仿宋" w:eastAsia="仿宋" w:cs="仿宋"/>
          <w:i w:val="0"/>
          <w:iCs w:val="0"/>
          <w:color w:val="auto"/>
          <w:sz w:val="24"/>
          <w:szCs w:val="24"/>
          <w:highlight w:val="none"/>
        </w:rPr>
        <w:t>；</w:t>
      </w:r>
    </w:p>
    <w:p w14:paraId="1D53835A">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设计人指定的联系电话及传真号码：</w:t>
      </w:r>
      <w:r>
        <w:rPr>
          <w:rFonts w:hint="eastAsia" w:ascii="仿宋" w:hAnsi="仿宋" w:eastAsia="仿宋" w:cs="仿宋"/>
          <w:i w:val="0"/>
          <w:iCs w:val="0"/>
          <w:color w:val="auto"/>
          <w:sz w:val="24"/>
          <w:szCs w:val="24"/>
          <w:highlight w:val="none"/>
          <w:u w:val="single"/>
        </w:rPr>
        <w:t>             </w:t>
      </w:r>
      <w:r>
        <w:rPr>
          <w:rFonts w:hint="eastAsia" w:ascii="仿宋" w:hAnsi="仿宋" w:eastAsia="仿宋" w:cs="仿宋"/>
          <w:i w:val="0"/>
          <w:iCs w:val="0"/>
          <w:color w:val="auto"/>
          <w:sz w:val="24"/>
          <w:szCs w:val="24"/>
          <w:highlight w:val="none"/>
        </w:rPr>
        <w:t>；</w:t>
      </w:r>
    </w:p>
    <w:p w14:paraId="51A1278F">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设计人</w:t>
      </w:r>
      <w:r>
        <w:rPr>
          <w:rFonts w:hint="eastAsia" w:ascii="仿宋" w:hAnsi="仿宋" w:eastAsia="仿宋" w:cs="仿宋"/>
          <w:i w:val="0"/>
          <w:iCs w:val="0"/>
          <w:color w:val="auto"/>
          <w:kern w:val="0"/>
          <w:sz w:val="24"/>
          <w:szCs w:val="24"/>
          <w:highlight w:val="none"/>
        </w:rPr>
        <w:t>指定的电子邮箱：</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75CE2658">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1.8 保密</w:t>
      </w:r>
    </w:p>
    <w:p w14:paraId="72B466C1">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保密期限：</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2C03CDAA">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2. 发包人</w:t>
      </w:r>
    </w:p>
    <w:p w14:paraId="71FBD3AE">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 发包人一般义务</w:t>
      </w:r>
    </w:p>
    <w:p w14:paraId="0D43F0AD">
      <w:pPr>
        <w:pageBreakBefore w:val="0"/>
        <w:widowControl w:val="0"/>
        <w:kinsoku/>
        <w:wordWrap/>
        <w:overflowPunct/>
        <w:topLinePunct w:val="0"/>
        <w:bidi w:val="0"/>
        <w:snapToGrid/>
        <w:spacing w:after="120" w:afterLines="0"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2.1.3 发包人其它义务：</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0153AC79">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2.2 发包人代表</w:t>
      </w:r>
    </w:p>
    <w:p w14:paraId="7F7A66FA">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发包人代表</w:t>
      </w:r>
    </w:p>
    <w:p w14:paraId="7FC0C98F">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姓    名：</w:t>
      </w:r>
      <w:r>
        <w:rPr>
          <w:rFonts w:hint="eastAsia" w:ascii="仿宋" w:hAnsi="仿宋" w:eastAsia="仿宋" w:cs="仿宋"/>
          <w:i w:val="0"/>
          <w:iCs w:val="0"/>
          <w:color w:val="auto"/>
          <w:sz w:val="24"/>
          <w:szCs w:val="24"/>
          <w:highlight w:val="none"/>
          <w:u w:val="single"/>
        </w:rPr>
        <w:t xml:space="preserve">               </w:t>
      </w:r>
      <w:r>
        <w:rPr>
          <w:rFonts w:hint="eastAsia" w:ascii="仿宋" w:hAnsi="仿宋" w:eastAsia="仿宋" w:cs="仿宋"/>
          <w:i w:val="0"/>
          <w:iCs w:val="0"/>
          <w:color w:val="auto"/>
          <w:sz w:val="24"/>
          <w:szCs w:val="24"/>
          <w:highlight w:val="none"/>
        </w:rPr>
        <w:t>；</w:t>
      </w:r>
    </w:p>
    <w:p w14:paraId="2DFAF224">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身份证号：</w:t>
      </w:r>
      <w:r>
        <w:rPr>
          <w:rFonts w:hint="eastAsia" w:ascii="仿宋" w:hAnsi="仿宋" w:eastAsia="仿宋" w:cs="仿宋"/>
          <w:i w:val="0"/>
          <w:iCs w:val="0"/>
          <w:color w:val="auto"/>
          <w:sz w:val="24"/>
          <w:szCs w:val="24"/>
          <w:highlight w:val="none"/>
          <w:u w:val="single"/>
        </w:rPr>
        <w:t xml:space="preserve">                </w:t>
      </w:r>
      <w:r>
        <w:rPr>
          <w:rFonts w:hint="eastAsia" w:ascii="仿宋" w:hAnsi="仿宋" w:eastAsia="仿宋" w:cs="仿宋"/>
          <w:i w:val="0"/>
          <w:iCs w:val="0"/>
          <w:color w:val="auto"/>
          <w:sz w:val="24"/>
          <w:szCs w:val="24"/>
          <w:highlight w:val="none"/>
        </w:rPr>
        <w:t>；</w:t>
      </w:r>
    </w:p>
    <w:p w14:paraId="60E01B68">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职    务：</w:t>
      </w:r>
      <w:r>
        <w:rPr>
          <w:rFonts w:hint="eastAsia" w:ascii="仿宋" w:hAnsi="仿宋" w:eastAsia="仿宋" w:cs="仿宋"/>
          <w:i w:val="0"/>
          <w:iCs w:val="0"/>
          <w:color w:val="auto"/>
          <w:sz w:val="24"/>
          <w:szCs w:val="24"/>
          <w:highlight w:val="none"/>
          <w:u w:val="single"/>
        </w:rPr>
        <w:t xml:space="preserve">              </w:t>
      </w:r>
      <w:r>
        <w:rPr>
          <w:rFonts w:hint="eastAsia" w:ascii="仿宋" w:hAnsi="仿宋" w:eastAsia="仿宋" w:cs="仿宋"/>
          <w:i w:val="0"/>
          <w:iCs w:val="0"/>
          <w:color w:val="auto"/>
          <w:sz w:val="24"/>
          <w:szCs w:val="24"/>
          <w:highlight w:val="none"/>
        </w:rPr>
        <w:t>；</w:t>
      </w:r>
    </w:p>
    <w:p w14:paraId="0644B913">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联系电话：</w:t>
      </w:r>
      <w:r>
        <w:rPr>
          <w:rFonts w:hint="eastAsia" w:ascii="仿宋" w:hAnsi="仿宋" w:eastAsia="仿宋" w:cs="仿宋"/>
          <w:i w:val="0"/>
          <w:iCs w:val="0"/>
          <w:color w:val="auto"/>
          <w:sz w:val="24"/>
          <w:szCs w:val="24"/>
          <w:highlight w:val="none"/>
          <w:u w:val="single"/>
        </w:rPr>
        <w:t xml:space="preserve">               </w:t>
      </w:r>
      <w:r>
        <w:rPr>
          <w:rFonts w:hint="eastAsia" w:ascii="仿宋" w:hAnsi="仿宋" w:eastAsia="仿宋" w:cs="仿宋"/>
          <w:i w:val="0"/>
          <w:iCs w:val="0"/>
          <w:color w:val="auto"/>
          <w:sz w:val="24"/>
          <w:szCs w:val="24"/>
          <w:highlight w:val="none"/>
        </w:rPr>
        <w:t>；</w:t>
      </w:r>
    </w:p>
    <w:p w14:paraId="0EC7D911">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电子信箱：</w:t>
      </w:r>
      <w:r>
        <w:rPr>
          <w:rFonts w:hint="eastAsia" w:ascii="仿宋" w:hAnsi="仿宋" w:eastAsia="仿宋" w:cs="仿宋"/>
          <w:i w:val="0"/>
          <w:iCs w:val="0"/>
          <w:color w:val="auto"/>
          <w:sz w:val="24"/>
          <w:szCs w:val="24"/>
          <w:highlight w:val="none"/>
          <w:u w:val="single"/>
        </w:rPr>
        <w:t xml:space="preserve">               </w:t>
      </w:r>
      <w:r>
        <w:rPr>
          <w:rFonts w:hint="eastAsia" w:ascii="仿宋" w:hAnsi="仿宋" w:eastAsia="仿宋" w:cs="仿宋"/>
          <w:i w:val="0"/>
          <w:iCs w:val="0"/>
          <w:color w:val="auto"/>
          <w:sz w:val="24"/>
          <w:szCs w:val="24"/>
          <w:highlight w:val="none"/>
        </w:rPr>
        <w:t>；</w:t>
      </w:r>
    </w:p>
    <w:p w14:paraId="7333A334">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通信地址：</w:t>
      </w:r>
      <w:r>
        <w:rPr>
          <w:rFonts w:hint="eastAsia" w:ascii="仿宋" w:hAnsi="仿宋" w:eastAsia="仿宋" w:cs="仿宋"/>
          <w:i w:val="0"/>
          <w:iCs w:val="0"/>
          <w:color w:val="auto"/>
          <w:sz w:val="24"/>
          <w:szCs w:val="24"/>
          <w:highlight w:val="none"/>
          <w:u w:val="single"/>
        </w:rPr>
        <w:t xml:space="preserve">              </w:t>
      </w:r>
      <w:r>
        <w:rPr>
          <w:rFonts w:hint="eastAsia" w:ascii="仿宋" w:hAnsi="仿宋" w:eastAsia="仿宋" w:cs="仿宋"/>
          <w:i w:val="0"/>
          <w:iCs w:val="0"/>
          <w:color w:val="auto"/>
          <w:sz w:val="24"/>
          <w:szCs w:val="24"/>
          <w:highlight w:val="none"/>
        </w:rPr>
        <w:t>。</w:t>
      </w:r>
    </w:p>
    <w:p w14:paraId="04A7B154">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发包人对发包人代表的授权范围如下：</w:t>
      </w:r>
      <w:r>
        <w:rPr>
          <w:rFonts w:hint="eastAsia" w:ascii="仿宋" w:hAnsi="仿宋" w:eastAsia="仿宋" w:cs="仿宋"/>
          <w:i w:val="0"/>
          <w:iCs w:val="0"/>
          <w:color w:val="auto"/>
          <w:sz w:val="24"/>
          <w:szCs w:val="24"/>
          <w:highlight w:val="none"/>
          <w:u w:val="single"/>
        </w:rPr>
        <w:t xml:space="preserve">        </w:t>
      </w:r>
      <w:r>
        <w:rPr>
          <w:rFonts w:hint="eastAsia" w:ascii="仿宋" w:hAnsi="仿宋" w:eastAsia="仿宋" w:cs="仿宋"/>
          <w:i w:val="0"/>
          <w:iCs w:val="0"/>
          <w:color w:val="auto"/>
          <w:sz w:val="24"/>
          <w:szCs w:val="24"/>
          <w:highlight w:val="none"/>
        </w:rPr>
        <w:t>。</w:t>
      </w:r>
    </w:p>
    <w:p w14:paraId="7D13D4F7">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发包人更换发包人代表的，应当提前</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天书面通知设计人。</w:t>
      </w:r>
    </w:p>
    <w:p w14:paraId="115B49DC">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2.3 发包人决定</w:t>
      </w:r>
    </w:p>
    <w:p w14:paraId="1D16902A">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2.3.2 发包人应在</w:t>
      </w:r>
      <w:r>
        <w:rPr>
          <w:rFonts w:hint="eastAsia" w:ascii="仿宋" w:hAnsi="仿宋" w:eastAsia="仿宋" w:cs="仿宋"/>
          <w:i w:val="0"/>
          <w:iCs w:val="0"/>
          <w:color w:val="auto"/>
          <w:sz w:val="24"/>
          <w:szCs w:val="24"/>
          <w:highlight w:val="none"/>
          <w:u w:val="single"/>
        </w:rPr>
        <w:t></w:t>
      </w:r>
      <w:r>
        <w:rPr>
          <w:rFonts w:hint="eastAsia" w:ascii="仿宋" w:hAnsi="仿宋" w:eastAsia="仿宋" w:cs="仿宋"/>
          <w:i w:val="0"/>
          <w:iCs w:val="0"/>
          <w:color w:val="auto"/>
          <w:sz w:val="24"/>
          <w:szCs w:val="24"/>
          <w:highlight w:val="none"/>
        </w:rPr>
        <w:t>天内对设计人书面提出的事项作出书面决定。</w:t>
      </w:r>
    </w:p>
    <w:p w14:paraId="41BA6011">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3. 设计人</w:t>
      </w:r>
    </w:p>
    <w:p w14:paraId="3480E291">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3.1 设计人一般义务</w:t>
      </w:r>
    </w:p>
    <w:p w14:paraId="040E0AA8">
      <w:pPr>
        <w:pageBreakBefore w:val="0"/>
        <w:widowControl w:val="0"/>
        <w:kinsoku/>
        <w:wordWrap/>
        <w:overflowPunct/>
        <w:topLinePunct w:val="0"/>
        <w:bidi w:val="0"/>
        <w:snapToGrid/>
        <w:spacing w:after="120" w:afterLines="0"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3.1.1 设计人</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（需/不需）</w:t>
      </w:r>
      <w:r>
        <w:rPr>
          <w:rFonts w:hint="eastAsia" w:ascii="仿宋" w:hAnsi="仿宋" w:eastAsia="仿宋" w:cs="仿宋"/>
          <w:i w:val="0"/>
          <w:iCs w:val="0"/>
          <w:color w:val="auto"/>
          <w:kern w:val="0"/>
          <w:sz w:val="24"/>
          <w:szCs w:val="24"/>
          <w:highlight w:val="none"/>
        </w:rPr>
        <w:t>配合发包人办理有关许可、批准或备案手续。</w:t>
      </w:r>
    </w:p>
    <w:p w14:paraId="5A7637D9">
      <w:pPr>
        <w:pageBreakBefore w:val="0"/>
        <w:widowControl w:val="0"/>
        <w:kinsoku/>
        <w:wordWrap/>
        <w:overflowPunct/>
        <w:topLinePunct w:val="0"/>
        <w:bidi w:val="0"/>
        <w:snapToGrid/>
        <w:spacing w:after="120" w:afterLines="0"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3.1.3 设计人其他义务：</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47460C88">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3.2 项目负责人</w:t>
      </w:r>
    </w:p>
    <w:p w14:paraId="64390F7E">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rPr>
        <w:t xml:space="preserve">3.2.1 </w:t>
      </w:r>
      <w:r>
        <w:rPr>
          <w:rFonts w:hint="eastAsia" w:ascii="仿宋" w:hAnsi="仿宋" w:eastAsia="仿宋" w:cs="仿宋"/>
          <w:i w:val="0"/>
          <w:iCs w:val="0"/>
          <w:color w:val="auto"/>
          <w:sz w:val="24"/>
          <w:szCs w:val="24"/>
          <w:highlight w:val="none"/>
        </w:rPr>
        <w:t>项目负责人</w:t>
      </w:r>
    </w:p>
    <w:p w14:paraId="60BAEED7">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姓    名：</w:t>
      </w:r>
      <w:r>
        <w:rPr>
          <w:rFonts w:hint="eastAsia" w:ascii="仿宋" w:hAnsi="仿宋" w:eastAsia="仿宋" w:cs="仿宋"/>
          <w:i w:val="0"/>
          <w:iCs w:val="0"/>
          <w:color w:val="auto"/>
          <w:sz w:val="24"/>
          <w:szCs w:val="24"/>
          <w:highlight w:val="none"/>
          <w:u w:val="single"/>
        </w:rPr>
        <w:t xml:space="preserve">                </w:t>
      </w:r>
      <w:r>
        <w:rPr>
          <w:rFonts w:hint="eastAsia" w:ascii="仿宋" w:hAnsi="仿宋" w:eastAsia="仿宋" w:cs="仿宋"/>
          <w:i w:val="0"/>
          <w:iCs w:val="0"/>
          <w:color w:val="auto"/>
          <w:sz w:val="24"/>
          <w:szCs w:val="24"/>
          <w:highlight w:val="none"/>
        </w:rPr>
        <w:t>；</w:t>
      </w:r>
    </w:p>
    <w:p w14:paraId="04547B76">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执业资格及等级：</w:t>
      </w:r>
      <w:r>
        <w:rPr>
          <w:rFonts w:hint="eastAsia" w:ascii="仿宋" w:hAnsi="仿宋" w:eastAsia="仿宋" w:cs="仿宋"/>
          <w:i w:val="0"/>
          <w:iCs w:val="0"/>
          <w:color w:val="auto"/>
          <w:sz w:val="24"/>
          <w:szCs w:val="24"/>
          <w:highlight w:val="none"/>
          <w:u w:val="single"/>
        </w:rPr>
        <w:t xml:space="preserve">              </w:t>
      </w:r>
      <w:r>
        <w:rPr>
          <w:rFonts w:hint="eastAsia" w:ascii="仿宋" w:hAnsi="仿宋" w:eastAsia="仿宋" w:cs="仿宋"/>
          <w:i w:val="0"/>
          <w:iCs w:val="0"/>
          <w:color w:val="auto"/>
          <w:sz w:val="24"/>
          <w:szCs w:val="24"/>
          <w:highlight w:val="none"/>
        </w:rPr>
        <w:t>；</w:t>
      </w:r>
    </w:p>
    <w:p w14:paraId="572D1BAD">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注册证书号：</w:t>
      </w:r>
      <w:r>
        <w:rPr>
          <w:rFonts w:hint="eastAsia" w:ascii="仿宋" w:hAnsi="仿宋" w:eastAsia="仿宋" w:cs="仿宋"/>
          <w:i w:val="0"/>
          <w:iCs w:val="0"/>
          <w:color w:val="auto"/>
          <w:sz w:val="24"/>
          <w:szCs w:val="24"/>
          <w:highlight w:val="none"/>
          <w:u w:val="single"/>
        </w:rPr>
        <w:t xml:space="preserve">              </w:t>
      </w:r>
      <w:r>
        <w:rPr>
          <w:rFonts w:hint="eastAsia" w:ascii="仿宋" w:hAnsi="仿宋" w:eastAsia="仿宋" w:cs="仿宋"/>
          <w:i w:val="0"/>
          <w:iCs w:val="0"/>
          <w:color w:val="auto"/>
          <w:sz w:val="24"/>
          <w:szCs w:val="24"/>
          <w:highlight w:val="none"/>
        </w:rPr>
        <w:t>；</w:t>
      </w:r>
    </w:p>
    <w:p w14:paraId="1668A8D6">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联系电话：</w:t>
      </w:r>
      <w:r>
        <w:rPr>
          <w:rFonts w:hint="eastAsia" w:ascii="仿宋" w:hAnsi="仿宋" w:eastAsia="仿宋" w:cs="仿宋"/>
          <w:i w:val="0"/>
          <w:iCs w:val="0"/>
          <w:color w:val="auto"/>
          <w:sz w:val="24"/>
          <w:szCs w:val="24"/>
          <w:highlight w:val="none"/>
          <w:u w:val="single"/>
        </w:rPr>
        <w:t xml:space="preserve">                </w:t>
      </w:r>
      <w:r>
        <w:rPr>
          <w:rFonts w:hint="eastAsia" w:ascii="仿宋" w:hAnsi="仿宋" w:eastAsia="仿宋" w:cs="仿宋"/>
          <w:i w:val="0"/>
          <w:iCs w:val="0"/>
          <w:color w:val="auto"/>
          <w:sz w:val="24"/>
          <w:szCs w:val="24"/>
          <w:highlight w:val="none"/>
        </w:rPr>
        <w:t>；</w:t>
      </w:r>
    </w:p>
    <w:p w14:paraId="4646DA9F">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电子信箱：</w:t>
      </w:r>
      <w:r>
        <w:rPr>
          <w:rFonts w:hint="eastAsia" w:ascii="仿宋" w:hAnsi="仿宋" w:eastAsia="仿宋" w:cs="仿宋"/>
          <w:i w:val="0"/>
          <w:iCs w:val="0"/>
          <w:color w:val="auto"/>
          <w:sz w:val="24"/>
          <w:szCs w:val="24"/>
          <w:highlight w:val="none"/>
          <w:u w:val="single"/>
        </w:rPr>
        <w:t xml:space="preserve">                 </w:t>
      </w:r>
      <w:r>
        <w:rPr>
          <w:rFonts w:hint="eastAsia" w:ascii="仿宋" w:hAnsi="仿宋" w:eastAsia="仿宋" w:cs="仿宋"/>
          <w:i w:val="0"/>
          <w:iCs w:val="0"/>
          <w:color w:val="auto"/>
          <w:sz w:val="24"/>
          <w:szCs w:val="24"/>
          <w:highlight w:val="none"/>
        </w:rPr>
        <w:t>；</w:t>
      </w:r>
    </w:p>
    <w:p w14:paraId="7983CF5D">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通信地址：</w:t>
      </w:r>
      <w:r>
        <w:rPr>
          <w:rFonts w:hint="eastAsia" w:ascii="仿宋" w:hAnsi="仿宋" w:eastAsia="仿宋" w:cs="仿宋"/>
          <w:i w:val="0"/>
          <w:iCs w:val="0"/>
          <w:color w:val="auto"/>
          <w:sz w:val="24"/>
          <w:szCs w:val="24"/>
          <w:highlight w:val="none"/>
          <w:u w:val="single"/>
        </w:rPr>
        <w:t xml:space="preserve">                 </w:t>
      </w:r>
      <w:r>
        <w:rPr>
          <w:rFonts w:hint="eastAsia" w:ascii="仿宋" w:hAnsi="仿宋" w:eastAsia="仿宋" w:cs="仿宋"/>
          <w:i w:val="0"/>
          <w:iCs w:val="0"/>
          <w:color w:val="auto"/>
          <w:sz w:val="24"/>
          <w:szCs w:val="24"/>
          <w:highlight w:val="none"/>
        </w:rPr>
        <w:t>；</w:t>
      </w:r>
    </w:p>
    <w:p w14:paraId="0A3903CE">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设计人对项目负责人的授权范围如下：</w:t>
      </w:r>
      <w:r>
        <w:rPr>
          <w:rFonts w:hint="eastAsia" w:ascii="仿宋" w:hAnsi="仿宋" w:eastAsia="仿宋" w:cs="仿宋"/>
          <w:i w:val="0"/>
          <w:iCs w:val="0"/>
          <w:color w:val="auto"/>
          <w:sz w:val="24"/>
          <w:szCs w:val="24"/>
          <w:highlight w:val="none"/>
          <w:u w:val="single"/>
        </w:rPr>
        <w:t xml:space="preserve">          </w:t>
      </w:r>
      <w:r>
        <w:rPr>
          <w:rFonts w:hint="eastAsia" w:ascii="仿宋" w:hAnsi="仿宋" w:eastAsia="仿宋" w:cs="仿宋"/>
          <w:i w:val="0"/>
          <w:iCs w:val="0"/>
          <w:color w:val="auto"/>
          <w:sz w:val="24"/>
          <w:szCs w:val="24"/>
          <w:highlight w:val="none"/>
        </w:rPr>
        <w:t>。</w:t>
      </w:r>
    </w:p>
    <w:p w14:paraId="60606CCE">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3.2.2 设计人更换项目负责人的，应提前</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天书面通知发包人。</w:t>
      </w:r>
    </w:p>
    <w:p w14:paraId="17D54C76">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设计人擅自更换项目负责人的违约责任：</w:t>
      </w:r>
      <w:r>
        <w:rPr>
          <w:rFonts w:hint="eastAsia" w:ascii="仿宋" w:hAnsi="仿宋" w:eastAsia="仿宋" w:cs="仿宋"/>
          <w:i w:val="0"/>
          <w:iCs w:val="0"/>
          <w:color w:val="auto"/>
          <w:sz w:val="24"/>
          <w:szCs w:val="24"/>
          <w:highlight w:val="none"/>
          <w:u w:val="single"/>
        </w:rPr>
        <w:t xml:space="preserve">               </w:t>
      </w:r>
      <w:r>
        <w:rPr>
          <w:rFonts w:hint="eastAsia" w:ascii="仿宋" w:hAnsi="仿宋" w:eastAsia="仿宋" w:cs="仿宋"/>
          <w:i w:val="0"/>
          <w:iCs w:val="0"/>
          <w:color w:val="auto"/>
          <w:sz w:val="24"/>
          <w:szCs w:val="24"/>
          <w:highlight w:val="none"/>
        </w:rPr>
        <w:t>。</w:t>
      </w:r>
    </w:p>
    <w:p w14:paraId="1E76A2E5">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    3.2.3 设计人应在收到书面更换通知后</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天内更换项目负责人。</w:t>
      </w:r>
    </w:p>
    <w:p w14:paraId="2B9469B8">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设计人无正当理由拒绝更换项目负责人的违约责任：</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7457872F">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3.3 设计人人员</w:t>
      </w:r>
    </w:p>
    <w:p w14:paraId="246D96D8">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3.3.1 设计人提交项目管理机构及人员安排报告的期限</w:t>
      </w:r>
      <w:r>
        <w:rPr>
          <w:rFonts w:hint="eastAsia" w:ascii="仿宋" w:hAnsi="仿宋" w:eastAsia="仿宋" w:cs="仿宋"/>
          <w:i w:val="0"/>
          <w:iCs w:val="0"/>
          <w:color w:val="auto"/>
          <w:sz w:val="24"/>
          <w:szCs w:val="24"/>
          <w:highlight w:val="none"/>
          <w:u w:val="none" w:color="auto"/>
          <w:lang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602A7F06">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3.3.3 设计人无正当理由拒绝撤换主要设计人员的违约责任：</w:t>
      </w:r>
    </w:p>
    <w:p w14:paraId="57B8376D">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u w:val="single"/>
        </w:rPr>
        <w:t xml:space="preserve">                                                  </w:t>
      </w:r>
      <w:r>
        <w:rPr>
          <w:rFonts w:hint="eastAsia" w:ascii="仿宋" w:hAnsi="仿宋" w:eastAsia="仿宋" w:cs="仿宋"/>
          <w:i w:val="0"/>
          <w:iCs w:val="0"/>
          <w:color w:val="auto"/>
          <w:sz w:val="24"/>
          <w:szCs w:val="24"/>
          <w:highlight w:val="none"/>
        </w:rPr>
        <w:t>。</w:t>
      </w:r>
    </w:p>
    <w:p w14:paraId="001CFB55">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3.4 设计分包</w:t>
      </w:r>
    </w:p>
    <w:p w14:paraId="7BBF8601">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3.4.1 设计分包的一般约定</w:t>
      </w:r>
    </w:p>
    <w:p w14:paraId="1F5FEE36">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禁止设计分包的工程包括：</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3B00C010">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主体结构、关键性工作的范围：</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014B10C7">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    3.4.2设计分包的确定</w:t>
      </w:r>
    </w:p>
    <w:p w14:paraId="720A9110">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允许分包的专业工程包括：</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207FD273">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其他关于分包的约定：</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2A019868">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3.4.3 设计人向发包人提交有关分包人资料包括：</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5B0E9D23">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3.4.4 分包工程设计费支付方式：</w:t>
      </w:r>
      <w:r>
        <w:rPr>
          <w:rFonts w:hint="eastAsia"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0106060B">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3.5 联合体</w:t>
      </w:r>
    </w:p>
    <w:p w14:paraId="0A58DDA1">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3.5.4 发包人向联合体支付设计费用的方式：</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 xml:space="preserve">。   </w:t>
      </w:r>
    </w:p>
    <w:p w14:paraId="38F2ED38">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5. 工程设计要求</w:t>
      </w:r>
    </w:p>
    <w:p w14:paraId="3049911A">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5.1</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工程设计一般要求</w:t>
      </w:r>
    </w:p>
    <w:p w14:paraId="1CFA7471">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5.1.2.1 工程设计的特殊标准或要求：</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5C2606BE">
      <w:pPr>
        <w:pageBreakBefore w:val="0"/>
        <w:widowControl w:val="0"/>
        <w:kinsoku/>
        <w:wordWrap/>
        <w:overflowPunct/>
        <w:topLinePunct w:val="0"/>
        <w:bidi w:val="0"/>
        <w:snapToGrid/>
        <w:spacing w:line="380" w:lineRule="exact"/>
        <w:ind w:firstLine="504" w:firstLineChars="21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5.1.2.2 工程设计适用的技术标准：</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51535A93">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5.3 工程设计文件的要求</w:t>
      </w:r>
    </w:p>
    <w:p w14:paraId="3D1F0392">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5.3.3 工程设计文件深度规定</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 xml:space="preserve">。 </w:t>
      </w:r>
    </w:p>
    <w:p w14:paraId="636A5CB3">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5.3.5 工程的合理使用寿命年限：</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 xml:space="preserve">。  </w:t>
      </w:r>
    </w:p>
    <w:p w14:paraId="758C0ECC">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6. 工程设计进度与周期</w:t>
      </w:r>
    </w:p>
    <w:p w14:paraId="621C380C">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6.1 工程设计进度计划</w:t>
      </w:r>
    </w:p>
    <w:p w14:paraId="242F557F">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6.1.1 工程设计进度计划的编制</w:t>
      </w:r>
    </w:p>
    <w:p w14:paraId="5C5E91BB">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合</w:t>
      </w:r>
      <w:r>
        <w:rPr>
          <w:rFonts w:hint="eastAsia" w:ascii="仿宋" w:hAnsi="仿宋" w:eastAsia="仿宋" w:cs="仿宋"/>
          <w:i w:val="0"/>
          <w:iCs w:val="0"/>
          <w:color w:val="auto"/>
          <w:kern w:val="0"/>
          <w:sz w:val="24"/>
          <w:szCs w:val="24"/>
          <w:highlight w:val="none"/>
        </w:rPr>
        <w:t>同当事人约定的工程设计进度计划提交的时间：</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226F53AE">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合</w:t>
      </w:r>
      <w:r>
        <w:rPr>
          <w:rFonts w:hint="eastAsia" w:ascii="仿宋" w:hAnsi="仿宋" w:eastAsia="仿宋" w:cs="仿宋"/>
          <w:i w:val="0"/>
          <w:iCs w:val="0"/>
          <w:color w:val="auto"/>
          <w:kern w:val="0"/>
          <w:sz w:val="24"/>
          <w:szCs w:val="24"/>
          <w:highlight w:val="none"/>
        </w:rPr>
        <w:t>同当事人约定的工程设计进度计划应包括的内容：</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none" w:color="auto"/>
        </w:rPr>
        <w:t xml:space="preserve"> </w:t>
      </w:r>
      <w:r>
        <w:rPr>
          <w:rFonts w:hint="eastAsia" w:ascii="仿宋" w:hAnsi="仿宋" w:eastAsia="仿宋" w:cs="仿宋"/>
          <w:i w:val="0"/>
          <w:iCs w:val="0"/>
          <w:color w:val="auto"/>
          <w:sz w:val="24"/>
          <w:szCs w:val="24"/>
          <w:highlight w:val="none"/>
        </w:rPr>
        <w:t xml:space="preserve">。 </w:t>
      </w:r>
    </w:p>
    <w:p w14:paraId="44CD9432">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 xml:space="preserve">6.1.2 </w:t>
      </w:r>
      <w:r>
        <w:rPr>
          <w:rFonts w:hint="eastAsia" w:ascii="仿宋" w:hAnsi="仿宋" w:eastAsia="仿宋" w:cs="仿宋"/>
          <w:i w:val="0"/>
          <w:iCs w:val="0"/>
          <w:color w:val="auto"/>
          <w:kern w:val="0"/>
          <w:sz w:val="24"/>
          <w:szCs w:val="24"/>
          <w:highlight w:val="none"/>
        </w:rPr>
        <w:t>工程设计进度计划的修订</w:t>
      </w:r>
    </w:p>
    <w:p w14:paraId="3DDC6272">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发包人在收到工程设计进度计划后确认或提出修改意见的期限：</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4AD3DC7F">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6.3 工程设计进度延误</w:t>
      </w:r>
    </w:p>
    <w:p w14:paraId="079DF3C3">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6.3.1</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kern w:val="0"/>
          <w:sz w:val="24"/>
          <w:szCs w:val="24"/>
          <w:highlight w:val="none"/>
        </w:rPr>
        <w:t>因发包人原因导致工程设计进度延误</w:t>
      </w:r>
    </w:p>
    <w:p w14:paraId="283C43EA">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（4）因发包人原因导致工程设计进度延误的其他情形：</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17CAD29F">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设计人应在发生</w:t>
      </w:r>
      <w:r>
        <w:rPr>
          <w:rFonts w:hint="eastAsia" w:ascii="仿宋" w:hAnsi="仿宋" w:eastAsia="仿宋" w:cs="仿宋"/>
          <w:i w:val="0"/>
          <w:iCs w:val="0"/>
          <w:color w:val="auto"/>
          <w:kern w:val="0"/>
          <w:sz w:val="24"/>
          <w:szCs w:val="24"/>
          <w:highlight w:val="none"/>
        </w:rPr>
        <w:t>进度延误的情形</w:t>
      </w:r>
      <w:r>
        <w:rPr>
          <w:rFonts w:hint="eastAsia" w:ascii="仿宋" w:hAnsi="仿宋" w:eastAsia="仿宋" w:cs="仿宋"/>
          <w:i w:val="0"/>
          <w:iCs w:val="0"/>
          <w:color w:val="auto"/>
          <w:sz w:val="24"/>
          <w:szCs w:val="24"/>
          <w:highlight w:val="none"/>
        </w:rPr>
        <w:t>后</w:t>
      </w:r>
      <w:r>
        <w:rPr>
          <w:rFonts w:hint="eastAsia" w:ascii="仿宋" w:hAnsi="仿宋" w:eastAsia="仿宋" w:cs="仿宋"/>
          <w:i w:val="0"/>
          <w:iCs w:val="0"/>
          <w:color w:val="auto"/>
          <w:sz w:val="24"/>
          <w:szCs w:val="24"/>
          <w:highlight w:val="none"/>
          <w:u w:val="single" w:color="auto"/>
          <w:lang w:val="en-US" w:eastAsia="zh-CN"/>
        </w:rPr>
        <w:t xml:space="preserve">    </w:t>
      </w:r>
      <w:r>
        <w:rPr>
          <w:rFonts w:hint="eastAsia" w:ascii="仿宋" w:hAnsi="仿宋" w:eastAsia="仿宋" w:cs="仿宋"/>
          <w:i w:val="0"/>
          <w:iCs w:val="0"/>
          <w:color w:val="auto"/>
          <w:sz w:val="24"/>
          <w:szCs w:val="24"/>
          <w:highlight w:val="none"/>
        </w:rPr>
        <w:t>天内向发包人发出要求延期的书面通知，在</w:t>
      </w:r>
      <w:r>
        <w:rPr>
          <w:rFonts w:hint="eastAsia" w:ascii="仿宋" w:hAnsi="仿宋" w:eastAsia="仿宋" w:cs="仿宋"/>
          <w:i w:val="0"/>
          <w:iCs w:val="0"/>
          <w:color w:val="auto"/>
          <w:sz w:val="24"/>
          <w:szCs w:val="24"/>
          <w:highlight w:val="none"/>
          <w:lang w:eastAsia="zh-CN"/>
        </w:rPr>
        <w:t>发生该情形</w:t>
      </w:r>
      <w:r>
        <w:rPr>
          <w:rFonts w:hint="eastAsia" w:ascii="仿宋" w:hAnsi="仿宋" w:eastAsia="仿宋" w:cs="仿宋"/>
          <w:i w:val="0"/>
          <w:iCs w:val="0"/>
          <w:color w:val="auto"/>
          <w:sz w:val="24"/>
          <w:szCs w:val="24"/>
          <w:highlight w:val="none"/>
        </w:rPr>
        <w:t>后</w:t>
      </w:r>
      <w:r>
        <w:rPr>
          <w:rFonts w:hint="eastAsia" w:ascii="仿宋" w:hAnsi="仿宋" w:eastAsia="仿宋" w:cs="仿宋"/>
          <w:i w:val="0"/>
          <w:iCs w:val="0"/>
          <w:color w:val="auto"/>
          <w:sz w:val="24"/>
          <w:szCs w:val="24"/>
          <w:highlight w:val="none"/>
          <w:u w:val="single" w:color="auto"/>
          <w:lang w:val="en-US" w:eastAsia="zh-CN"/>
        </w:rPr>
        <w:t xml:space="preserve">    </w:t>
      </w:r>
      <w:r>
        <w:rPr>
          <w:rFonts w:hint="eastAsia" w:ascii="仿宋" w:hAnsi="仿宋" w:eastAsia="仿宋" w:cs="仿宋"/>
          <w:i w:val="0"/>
          <w:iCs w:val="0"/>
          <w:color w:val="auto"/>
          <w:sz w:val="24"/>
          <w:szCs w:val="24"/>
          <w:highlight w:val="none"/>
        </w:rPr>
        <w:t>天内提交要求延期的详细说明。</w:t>
      </w:r>
    </w:p>
    <w:p w14:paraId="41C3CC13">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发包人收到设计人要求延期的详细说明后，应在</w:t>
      </w:r>
      <w:r>
        <w:rPr>
          <w:rFonts w:hint="eastAsia" w:ascii="仿宋" w:hAnsi="仿宋" w:eastAsia="仿宋" w:cs="仿宋"/>
          <w:i w:val="0"/>
          <w:iCs w:val="0"/>
          <w:color w:val="auto"/>
          <w:sz w:val="24"/>
          <w:szCs w:val="24"/>
          <w:highlight w:val="none"/>
          <w:u w:val="single" w:color="auto"/>
          <w:lang w:val="en-US" w:eastAsia="zh-CN"/>
        </w:rPr>
        <w:t xml:space="preserve">    </w:t>
      </w:r>
      <w:r>
        <w:rPr>
          <w:rFonts w:hint="eastAsia" w:ascii="仿宋" w:hAnsi="仿宋" w:eastAsia="仿宋" w:cs="仿宋"/>
          <w:i w:val="0"/>
          <w:iCs w:val="0"/>
          <w:color w:val="auto"/>
          <w:sz w:val="24"/>
          <w:szCs w:val="24"/>
          <w:highlight w:val="none"/>
        </w:rPr>
        <w:t>天内进行审查并书面答复。</w:t>
      </w:r>
    </w:p>
    <w:p w14:paraId="2E800A27">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6.5 提前交付工程设计文件</w:t>
      </w:r>
    </w:p>
    <w:p w14:paraId="047BD742">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6.5.2</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提前交付工程设计文件的奖励：</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40D49F46">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b w:val="0"/>
          <w:bCs/>
          <w:i w:val="0"/>
          <w:iCs w:val="0"/>
          <w:color w:val="auto"/>
          <w:kern w:val="2"/>
          <w:sz w:val="24"/>
          <w:szCs w:val="24"/>
          <w:highlight w:val="none"/>
          <w:lang w:val="en-US" w:eastAsia="zh-CN" w:bidi="ar-SA"/>
        </w:rPr>
        <w:t>7．</w:t>
      </w:r>
      <w:r>
        <w:rPr>
          <w:rFonts w:hint="eastAsia" w:ascii="仿宋" w:hAnsi="仿宋" w:eastAsia="仿宋" w:cs="仿宋"/>
          <w:b/>
          <w:i w:val="0"/>
          <w:iCs w:val="0"/>
          <w:color w:val="auto"/>
          <w:sz w:val="24"/>
          <w:szCs w:val="24"/>
          <w:highlight w:val="none"/>
        </w:rPr>
        <w:t xml:space="preserve"> </w:t>
      </w:r>
      <w:r>
        <w:rPr>
          <w:rFonts w:hint="eastAsia" w:ascii="仿宋" w:hAnsi="仿宋" w:eastAsia="仿宋" w:cs="仿宋"/>
          <w:i w:val="0"/>
          <w:iCs w:val="0"/>
          <w:color w:val="auto"/>
          <w:sz w:val="24"/>
          <w:szCs w:val="24"/>
          <w:highlight w:val="none"/>
        </w:rPr>
        <w:t>工程设计文件交付</w:t>
      </w:r>
    </w:p>
    <w:p w14:paraId="1C0A3CA8">
      <w:pPr>
        <w:pStyle w:val="5"/>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501" w:firstLineChars="209"/>
        <w:jc w:val="both"/>
        <w:textAlignment w:val="auto"/>
        <w:outlineLvl w:val="4"/>
        <w:rPr>
          <w:rFonts w:hint="eastAsia" w:ascii="仿宋" w:hAnsi="仿宋" w:eastAsia="仿宋" w:cs="仿宋"/>
          <w:i w:val="0"/>
          <w:iCs w:val="0"/>
          <w:color w:val="auto"/>
          <w:sz w:val="24"/>
          <w:szCs w:val="24"/>
          <w:highlight w:val="none"/>
        </w:rPr>
      </w:pPr>
      <w:r>
        <w:rPr>
          <w:rFonts w:hint="eastAsia" w:ascii="仿宋" w:hAnsi="仿宋" w:eastAsia="仿宋" w:cs="仿宋"/>
          <w:b w:val="0"/>
          <w:bCs w:val="0"/>
          <w:i w:val="0"/>
          <w:iCs w:val="0"/>
          <w:color w:val="auto"/>
          <w:kern w:val="0"/>
          <w:sz w:val="24"/>
          <w:szCs w:val="24"/>
          <w:highlight w:val="none"/>
        </w:rPr>
        <w:t>7.1 工程设计文件交付的内容</w:t>
      </w:r>
    </w:p>
    <w:p w14:paraId="3565252B">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7.1.2 发包人要求设计人提交电子版设计文件的具体形式为</w:t>
      </w:r>
      <w:r>
        <w:rPr>
          <w:rFonts w:hint="eastAsia" w:ascii="仿宋" w:hAnsi="仿宋" w:eastAsia="仿宋" w:cs="仿宋"/>
          <w:i w:val="0"/>
          <w:iCs w:val="0"/>
          <w:color w:val="auto"/>
          <w:sz w:val="24"/>
          <w:szCs w:val="24"/>
          <w:highlight w:val="none"/>
          <w:u w:val="none" w:color="auto"/>
          <w:lang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08A5FB9B">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8. 工程设计文件审查</w:t>
      </w:r>
    </w:p>
    <w:p w14:paraId="7EBDE8C5">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8.1 发包人对设计人的设计文件审查期限不超过</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天。</w:t>
      </w:r>
    </w:p>
    <w:p w14:paraId="663B30EB">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8.3发包人应在审查同意设计人的工程设计文件后在</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天内，向政府有关部门报送工程设计文件。</w:t>
      </w:r>
    </w:p>
    <w:p w14:paraId="305F1D0D">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8.4 工程设计审查形式及时间安排：</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0967F7D6">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left"/>
        <w:textAlignment w:val="auto"/>
        <w:outlineLvl w:val="9"/>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9. 施工现场配合服务</w:t>
      </w:r>
    </w:p>
    <w:p w14:paraId="66803802">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9.1 发包人为设计人派赴现场的工作人员提供便利条件的内容包括：</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155508DB">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9.2 设计人应当在交付施工图设计文件并经审查合格后</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时间内提供施工现场配合服务。</w:t>
      </w:r>
    </w:p>
    <w:p w14:paraId="33488F5B">
      <w:pPr>
        <w:pStyle w:val="4"/>
        <w:pageBreakBefore w:val="0"/>
        <w:widowControl w:val="0"/>
        <w:kinsoku/>
        <w:wordWrap/>
        <w:overflowPunct/>
        <w:topLinePunct w:val="0"/>
        <w:bidi w:val="0"/>
        <w:snapToGrid/>
        <w:spacing w:before="120" w:beforeLines="0" w:after="120" w:afterLines="0" w:line="380" w:lineRule="exact"/>
        <w:textAlignment w:val="auto"/>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10. 合同价款与支付</w:t>
      </w:r>
    </w:p>
    <w:p w14:paraId="7D540109">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10.2 合同价格形式</w:t>
      </w:r>
    </w:p>
    <w:p w14:paraId="1B3BA9D3">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（1）单价合同</w:t>
      </w:r>
    </w:p>
    <w:p w14:paraId="164D8E2C">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单价包含的风险范围：</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4B0AD1EE">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风险费用的计算方法：</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1D0534DB">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风险范围以外合同价格的调整方法：</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0285D265">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（2）总价合同</w:t>
      </w:r>
    </w:p>
    <w:p w14:paraId="00C1622F">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总价包含的风险范围：</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48C6B991">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风险费用的计算方法：</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00020F55">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风险范围以外合同价格的调整方法：</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330AA8EF">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（3）其他价格形式：</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77812324">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600" w:firstLineChars="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10.3 定金或预付款</w:t>
      </w:r>
    </w:p>
    <w:p w14:paraId="31CA0771">
      <w:pPr>
        <w:pageBreakBefore w:val="0"/>
        <w:widowControl w:val="0"/>
        <w:kinsoku/>
        <w:wordWrap/>
        <w:overflowPunct/>
        <w:topLinePunct w:val="0"/>
        <w:bidi w:val="0"/>
        <w:snapToGrid/>
        <w:spacing w:line="380" w:lineRule="exact"/>
        <w:ind w:firstLine="6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10.3.1 定金或预付款的比例</w:t>
      </w:r>
    </w:p>
    <w:p w14:paraId="36649285">
      <w:pPr>
        <w:pageBreakBefore w:val="0"/>
        <w:widowControl w:val="0"/>
        <w:kinsoku/>
        <w:wordWrap/>
        <w:overflowPunct/>
        <w:topLinePunct w:val="0"/>
        <w:bidi w:val="0"/>
        <w:snapToGrid/>
        <w:spacing w:line="380" w:lineRule="exact"/>
        <w:ind w:firstLine="6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定金的比例 </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或预付款的比例</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none" w:color="auto"/>
          <w:lang w:val="en-US" w:eastAsia="zh-CN"/>
        </w:rPr>
        <w:t>。</w:t>
      </w:r>
    </w:p>
    <w:p w14:paraId="274815AA">
      <w:pPr>
        <w:pageBreakBefore w:val="0"/>
        <w:widowControl w:val="0"/>
        <w:kinsoku/>
        <w:wordWrap/>
        <w:overflowPunct/>
        <w:topLinePunct w:val="0"/>
        <w:bidi w:val="0"/>
        <w:snapToGrid/>
        <w:spacing w:line="380" w:lineRule="exact"/>
        <w:ind w:firstLine="6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10.3.2 定金或预付款的支付</w:t>
      </w:r>
    </w:p>
    <w:p w14:paraId="5740486F">
      <w:pPr>
        <w:pageBreakBefore w:val="0"/>
        <w:widowControl w:val="0"/>
        <w:kinsoku/>
        <w:wordWrap/>
        <w:overflowPunct/>
        <w:topLinePunct w:val="0"/>
        <w:bidi w:val="0"/>
        <w:snapToGrid/>
        <w:spacing w:line="380" w:lineRule="exact"/>
        <w:ind w:firstLine="6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定金或预付款的支付时间：</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，但</w:t>
      </w:r>
      <w:r>
        <w:rPr>
          <w:rFonts w:hint="eastAsia" w:ascii="仿宋" w:hAnsi="仿宋" w:eastAsia="仿宋" w:cs="仿宋"/>
          <w:i w:val="0"/>
          <w:iCs w:val="0"/>
          <w:color w:val="auto"/>
          <w:kern w:val="0"/>
          <w:sz w:val="24"/>
          <w:szCs w:val="24"/>
          <w:highlight w:val="none"/>
        </w:rPr>
        <w:t>最迟应在开始设计通知载明的开始设计日期</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天前支付。</w:t>
      </w:r>
    </w:p>
    <w:p w14:paraId="7E7C1EF3">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rPr>
        <w:t xml:space="preserve">. </w:t>
      </w:r>
      <w:r>
        <w:rPr>
          <w:rFonts w:hint="eastAsia" w:ascii="仿宋" w:hAnsi="仿宋" w:eastAsia="仿宋" w:cs="仿宋"/>
          <w:i w:val="0"/>
          <w:iCs w:val="0"/>
          <w:color w:val="auto"/>
          <w:sz w:val="24"/>
          <w:szCs w:val="24"/>
          <w:highlight w:val="none"/>
          <w:lang w:eastAsia="zh-CN"/>
        </w:rPr>
        <w:t>工程设计变更与索赔</w:t>
      </w:r>
    </w:p>
    <w:p w14:paraId="625C008A">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11.5 设计人应于认为有理由提出增加合同价款或延长设计周期的要求事项发生后</w:t>
      </w:r>
      <w:r>
        <w:rPr>
          <w:rFonts w:hint="eastAsia" w:ascii="仿宋" w:hAnsi="仿宋" w:eastAsia="仿宋" w:cs="仿宋"/>
          <w:i w:val="0"/>
          <w:iCs w:val="0"/>
          <w:color w:val="auto"/>
          <w:kern w:val="0"/>
          <w:sz w:val="24"/>
          <w:szCs w:val="24"/>
          <w:highlight w:val="none"/>
          <w:u w:val="single" w:color="auto"/>
          <w:lang w:val="en-US" w:eastAsia="zh-CN"/>
        </w:rPr>
        <w:t xml:space="preserve">    </w:t>
      </w:r>
      <w:r>
        <w:rPr>
          <w:rFonts w:hint="eastAsia" w:ascii="仿宋" w:hAnsi="仿宋" w:eastAsia="仿宋" w:cs="仿宋"/>
          <w:i w:val="0"/>
          <w:iCs w:val="0"/>
          <w:color w:val="auto"/>
          <w:kern w:val="0"/>
          <w:sz w:val="24"/>
          <w:szCs w:val="24"/>
          <w:highlight w:val="none"/>
        </w:rPr>
        <w:t>天内书面通知发包人。</w:t>
      </w:r>
    </w:p>
    <w:p w14:paraId="03228195">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设计人应在该事项发生后</w:t>
      </w:r>
      <w:r>
        <w:rPr>
          <w:rFonts w:hint="eastAsia" w:ascii="仿宋" w:hAnsi="仿宋" w:eastAsia="仿宋" w:cs="仿宋"/>
          <w:i w:val="0"/>
          <w:iCs w:val="0"/>
          <w:color w:val="auto"/>
          <w:kern w:val="0"/>
          <w:sz w:val="24"/>
          <w:szCs w:val="24"/>
          <w:highlight w:val="none"/>
          <w:u w:val="single" w:color="auto"/>
          <w:lang w:val="en-US" w:eastAsia="zh-CN"/>
        </w:rPr>
        <w:t xml:space="preserve">    </w:t>
      </w:r>
      <w:r>
        <w:rPr>
          <w:rFonts w:hint="eastAsia" w:ascii="仿宋" w:hAnsi="仿宋" w:eastAsia="仿宋" w:cs="仿宋"/>
          <w:i w:val="0"/>
          <w:iCs w:val="0"/>
          <w:color w:val="auto"/>
          <w:kern w:val="0"/>
          <w:sz w:val="24"/>
          <w:szCs w:val="24"/>
          <w:highlight w:val="none"/>
        </w:rPr>
        <w:t>天内向发包人提供证明设计人要求的书面声明。</w:t>
      </w:r>
    </w:p>
    <w:p w14:paraId="50249F4C">
      <w:pPr>
        <w:pageBreakBefore w:val="0"/>
        <w:widowControl w:val="0"/>
        <w:kinsoku/>
        <w:wordWrap/>
        <w:overflowPunct/>
        <w:topLinePunct w:val="0"/>
        <w:bidi w:val="0"/>
        <w:snapToGrid/>
        <w:spacing w:line="380" w:lineRule="exact"/>
        <w:ind w:firstLine="6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发包人应在接到设计人书面声明后的</w:t>
      </w:r>
      <w:r>
        <w:rPr>
          <w:rFonts w:hint="eastAsia" w:ascii="仿宋" w:hAnsi="仿宋" w:eastAsia="仿宋" w:cs="仿宋"/>
          <w:i w:val="0"/>
          <w:iCs w:val="0"/>
          <w:color w:val="auto"/>
          <w:kern w:val="0"/>
          <w:sz w:val="24"/>
          <w:szCs w:val="24"/>
          <w:highlight w:val="none"/>
          <w:u w:val="single" w:color="auto"/>
          <w:lang w:val="en-US" w:eastAsia="zh-CN"/>
        </w:rPr>
        <w:t xml:space="preserve">    </w:t>
      </w:r>
      <w:r>
        <w:rPr>
          <w:rFonts w:hint="eastAsia" w:ascii="仿宋" w:hAnsi="仿宋" w:eastAsia="仿宋" w:cs="仿宋"/>
          <w:i w:val="0"/>
          <w:iCs w:val="0"/>
          <w:color w:val="auto"/>
          <w:kern w:val="0"/>
          <w:sz w:val="24"/>
          <w:szCs w:val="24"/>
          <w:highlight w:val="none"/>
        </w:rPr>
        <w:t>天内，予以书面答复。</w:t>
      </w:r>
    </w:p>
    <w:p w14:paraId="70C409C2">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12. 专业责任与保险</w:t>
      </w:r>
    </w:p>
    <w:p w14:paraId="4F227772">
      <w:pPr>
        <w:pageBreakBefore w:val="0"/>
        <w:widowControl w:val="0"/>
        <w:kinsoku/>
        <w:wordWrap/>
        <w:overflowPunct/>
        <w:topLinePunct w:val="0"/>
        <w:bidi w:val="0"/>
        <w:snapToGrid/>
        <w:spacing w:line="380" w:lineRule="exact"/>
        <w:ind w:firstLine="600" w:firstLineChars="25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12.2 设计人</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（需/不需）有发包人认可的工程设计责任保险。</w:t>
      </w:r>
    </w:p>
    <w:p w14:paraId="5C5C8841">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13. 知识产权</w:t>
      </w:r>
    </w:p>
    <w:p w14:paraId="5E630F4C">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13.1关于发包人提供给设计人的图纸、发包人为实施工程自行编制或委托编制的技术规格以及反映发包人关于合同要求或其他类似性质的文件的著作权的归属：</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706F764F">
      <w:pPr>
        <w:pageBreakBefore w:val="0"/>
        <w:widowControl w:val="0"/>
        <w:kinsoku/>
        <w:wordWrap/>
        <w:overflowPunct/>
        <w:topLinePunct w:val="0"/>
        <w:bidi w:val="0"/>
        <w:snapToGrid/>
        <w:spacing w:line="380" w:lineRule="exact"/>
        <w:ind w:left="596" w:leftChars="284"/>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关于发包人提供的上述文件的使用限制的要求：</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4C1CFAC6">
      <w:pPr>
        <w:pageBreakBefore w:val="0"/>
        <w:widowControl w:val="0"/>
        <w:kinsoku/>
        <w:wordWrap/>
        <w:overflowPunct/>
        <w:topLinePunct w:val="0"/>
        <w:bidi w:val="0"/>
        <w:snapToGrid/>
        <w:spacing w:line="380" w:lineRule="exact"/>
        <w:ind w:left="596" w:leftChars="284"/>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13.2 关于设计人为实施工程所编制文件的著作权的归属：</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247A0229">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关于设计人提供的上述文件的使用限制的要求：</w:t>
      </w:r>
      <w:r>
        <w:rPr>
          <w:rFonts w:hint="eastAsia" w:ascii="仿宋" w:hAnsi="仿宋" w:eastAsia="仿宋" w:cs="仿宋"/>
          <w:i w:val="0"/>
          <w:iCs w:val="0"/>
          <w:color w:val="auto"/>
          <w:sz w:val="24"/>
          <w:szCs w:val="24"/>
          <w:highlight w:val="none"/>
          <w:u w:val="single"/>
        </w:rPr>
        <w:t>   </w:t>
      </w:r>
      <w:r>
        <w:rPr>
          <w:rFonts w:hint="eastAsia" w:ascii="仿宋" w:hAnsi="仿宋" w:eastAsia="仿宋" w:cs="仿宋"/>
          <w:i w:val="0"/>
          <w:iCs w:val="0"/>
          <w:color w:val="auto"/>
          <w:sz w:val="24"/>
          <w:szCs w:val="24"/>
          <w:highlight w:val="none"/>
        </w:rPr>
        <w:t>。</w:t>
      </w:r>
    </w:p>
    <w:p w14:paraId="256F5237">
      <w:pPr>
        <w:pageBreakBefore w:val="0"/>
        <w:widowControl w:val="0"/>
        <w:kinsoku/>
        <w:wordWrap/>
        <w:overflowPunct/>
        <w:topLinePunct w:val="0"/>
        <w:bidi w:val="0"/>
        <w:snapToGrid/>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    13.5 设计人在设计过程中所采用的专利、专有技术的使用费的承担方式：</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28976CD5">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14. 违约责任</w:t>
      </w:r>
    </w:p>
    <w:p w14:paraId="715965E3">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14.1 发包人违约责任</w:t>
      </w:r>
    </w:p>
    <w:p w14:paraId="6F60BC2D">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14.1.1 发包人支付设计人违约金：</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w:t>
      </w:r>
    </w:p>
    <w:p w14:paraId="60D7E7BE">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14.1.2 发包人逾期支付设计费的违约金：</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sz w:val="24"/>
          <w:szCs w:val="24"/>
          <w:highlight w:val="none"/>
        </w:rPr>
        <w:t xml:space="preserve">。  </w:t>
      </w:r>
    </w:p>
    <w:p w14:paraId="7866051C">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14.2 设计人违约责任</w:t>
      </w:r>
    </w:p>
    <w:p w14:paraId="69A14C7A">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14.2.1 设计人支付发包人的违约金：</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0754C513">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u w:val="single"/>
        </w:rPr>
      </w:pPr>
      <w:r>
        <w:rPr>
          <w:rFonts w:hint="eastAsia" w:ascii="仿宋" w:hAnsi="仿宋" w:eastAsia="仿宋" w:cs="仿宋"/>
          <w:i w:val="0"/>
          <w:iCs w:val="0"/>
          <w:color w:val="auto"/>
          <w:kern w:val="0"/>
          <w:sz w:val="24"/>
          <w:szCs w:val="24"/>
          <w:highlight w:val="none"/>
        </w:rPr>
        <w:t>14.2.2设计人逾期交付工程设计文件的违约金：</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sz w:val="24"/>
          <w:szCs w:val="24"/>
          <w:highlight w:val="none"/>
        </w:rPr>
        <w:t xml:space="preserve">。 </w:t>
      </w:r>
      <w:r>
        <w:rPr>
          <w:rFonts w:hint="eastAsia" w:ascii="仿宋" w:hAnsi="仿宋" w:eastAsia="仿宋" w:cs="仿宋"/>
          <w:i w:val="0"/>
          <w:iCs w:val="0"/>
          <w:color w:val="auto"/>
          <w:kern w:val="0"/>
          <w:sz w:val="24"/>
          <w:szCs w:val="24"/>
          <w:highlight w:val="none"/>
        </w:rPr>
        <w:t xml:space="preserve"> </w:t>
      </w:r>
    </w:p>
    <w:p w14:paraId="7E36D117">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u w:val="single"/>
        </w:rPr>
      </w:pPr>
      <w:r>
        <w:rPr>
          <w:rFonts w:hint="eastAsia" w:ascii="仿宋" w:hAnsi="仿宋" w:eastAsia="仿宋" w:cs="仿宋"/>
          <w:i w:val="0"/>
          <w:iCs w:val="0"/>
          <w:color w:val="auto"/>
          <w:kern w:val="0"/>
          <w:sz w:val="24"/>
          <w:szCs w:val="24"/>
          <w:highlight w:val="none"/>
        </w:rPr>
        <w:t>设计人逾期交付工程设计文件的违约金的上限：</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r>
        <w:rPr>
          <w:rFonts w:hint="eastAsia" w:ascii="仿宋" w:hAnsi="仿宋" w:eastAsia="仿宋" w:cs="仿宋"/>
          <w:i w:val="0"/>
          <w:iCs w:val="0"/>
          <w:color w:val="auto"/>
          <w:sz w:val="24"/>
          <w:szCs w:val="24"/>
          <w:highlight w:val="none"/>
        </w:rPr>
        <w:t xml:space="preserve">    </w:t>
      </w:r>
    </w:p>
    <w:p w14:paraId="1BFD3BFC">
      <w:pPr>
        <w:pageBreakBefore w:val="0"/>
        <w:widowControl w:val="0"/>
        <w:kinsoku/>
        <w:wordWrap/>
        <w:overflowPunct/>
        <w:topLinePunct w:val="0"/>
        <w:bidi w:val="0"/>
        <w:snapToGrid/>
        <w:spacing w:before="120" w:beforeLines="0" w:after="120" w:afterLines="0" w:line="380" w:lineRule="exact"/>
        <w:ind w:left="1213" w:leftChars="286" w:hanging="612" w:hangingChars="255"/>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14.2.3 设计人设计文件不合格的损失赔偿金的上限</w:t>
      </w:r>
      <w:r>
        <w:rPr>
          <w:rFonts w:hint="eastAsia" w:ascii="仿宋" w:hAnsi="仿宋" w:eastAsia="仿宋" w:cs="仿宋"/>
          <w:i w:val="0"/>
          <w:iCs w:val="0"/>
          <w:color w:val="auto"/>
          <w:sz w:val="24"/>
          <w:szCs w:val="24"/>
          <w:highlight w:val="none"/>
          <w:u w:val="none" w:color="auto"/>
          <w:lang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3904D9BA">
      <w:pPr>
        <w:pageBreakBefore w:val="0"/>
        <w:widowControl w:val="0"/>
        <w:kinsoku/>
        <w:wordWrap/>
        <w:overflowPunct/>
        <w:topLinePunct w:val="0"/>
        <w:bidi w:val="0"/>
        <w:snapToGrid/>
        <w:spacing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rPr>
        <w:t>14.2.4 设计人未经发包人同意擅自对工程设计进行分包的违约责任：</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4E31F7F0">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 xml:space="preserve">15. 不可抗力 </w:t>
      </w:r>
    </w:p>
    <w:p w14:paraId="524D7FBD">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15.1 不可抗力的确认</w:t>
      </w:r>
    </w:p>
    <w:p w14:paraId="56C9BE66">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 xml:space="preserve">除通用合同条款约定的不可抗力事件之外，视为不可抗力的其他情形： </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u w:val="single"/>
          <w:lang w:val="en-US" w:eastAsia="zh-CN"/>
        </w:rPr>
        <w:t xml:space="preserve"> </w:t>
      </w:r>
      <w:r>
        <w:rPr>
          <w:rFonts w:hint="eastAsia" w:ascii="仿宋" w:hAnsi="仿宋" w:eastAsia="仿宋" w:cs="仿宋"/>
          <w:i w:val="0"/>
          <w:iCs w:val="0"/>
          <w:color w:val="auto"/>
          <w:kern w:val="0"/>
          <w:sz w:val="24"/>
          <w:szCs w:val="24"/>
          <w:highlight w:val="none"/>
        </w:rPr>
        <w:t>。</w:t>
      </w:r>
    </w:p>
    <w:p w14:paraId="4EC8C220">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 xml:space="preserve">16. 合同解除 </w:t>
      </w:r>
    </w:p>
    <w:p w14:paraId="2CD9EA5B">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 xml:space="preserve">16.2 </w:t>
      </w:r>
      <w:r>
        <w:rPr>
          <w:rFonts w:hint="eastAsia" w:ascii="仿宋" w:hAnsi="仿宋" w:eastAsia="仿宋" w:cs="仿宋"/>
          <w:i w:val="0"/>
          <w:iCs w:val="0"/>
          <w:color w:val="auto"/>
          <w:sz w:val="24"/>
          <w:szCs w:val="24"/>
          <w:highlight w:val="none"/>
        </w:rPr>
        <w:t>有下列情形之一的，可以解除合同：</w:t>
      </w:r>
    </w:p>
    <w:p w14:paraId="3EC6E39B">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（3）暂停设计期限已连续超过</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天。</w:t>
      </w:r>
    </w:p>
    <w:p w14:paraId="63640647">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 xml:space="preserve">16.4 </w:t>
      </w:r>
      <w:r>
        <w:rPr>
          <w:rFonts w:hint="eastAsia" w:ascii="仿宋" w:hAnsi="仿宋" w:eastAsia="仿宋" w:cs="仿宋"/>
          <w:i w:val="0"/>
          <w:iCs w:val="0"/>
          <w:color w:val="auto"/>
          <w:sz w:val="24"/>
          <w:szCs w:val="24"/>
          <w:highlight w:val="none"/>
        </w:rPr>
        <w:t>发包人向设计人支付已完工作设计费的期限为</w:t>
      </w:r>
      <w:r>
        <w:rPr>
          <w:rFonts w:hint="eastAsia"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rPr>
        <w:t>天内。</w:t>
      </w:r>
    </w:p>
    <w:p w14:paraId="540364A7">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17. 争议解决</w:t>
      </w:r>
    </w:p>
    <w:p w14:paraId="0AB8B558">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17.3 争议评审</w:t>
      </w:r>
    </w:p>
    <w:p w14:paraId="19A672B6">
      <w:pPr>
        <w:pageBreakBefore w:val="0"/>
        <w:widowControl w:val="0"/>
        <w:kinsoku/>
        <w:wordWrap/>
        <w:overflowPunct/>
        <w:topLinePunct w:val="0"/>
        <w:bidi w:val="0"/>
        <w:snapToGrid/>
        <w:spacing w:line="380" w:lineRule="exact"/>
        <w:ind w:left="149" w:leftChars="71" w:firstLine="360" w:firstLineChars="15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合同当事人是否同意将工程争议提交争议评审小组决定：</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 xml:space="preserve">。  </w:t>
      </w:r>
    </w:p>
    <w:p w14:paraId="0C74553D">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17.3.1 争议评审小组的确定</w:t>
      </w:r>
    </w:p>
    <w:p w14:paraId="11BCCDED">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争议评审小组成员的确定：</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65EC1E46">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选定争议评审员的期限：</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5337E261">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rPr>
        <w:t>评审所发生的费用</w:t>
      </w:r>
      <w:r>
        <w:rPr>
          <w:rFonts w:hint="eastAsia" w:ascii="仿宋" w:hAnsi="仿宋" w:eastAsia="仿宋" w:cs="仿宋"/>
          <w:i w:val="0"/>
          <w:iCs w:val="0"/>
          <w:color w:val="auto"/>
          <w:sz w:val="24"/>
          <w:szCs w:val="24"/>
          <w:highlight w:val="none"/>
        </w:rPr>
        <w:t>承担方式：</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04CDFF78">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其他事项的约定：</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22B3F157">
      <w:pPr>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17.3.2 争议评审小组的决定</w:t>
      </w:r>
    </w:p>
    <w:p w14:paraId="38C2DC3C">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合同当事人关于本事项的约定：</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164BC4A5">
      <w:pPr>
        <w:keepNext w:val="0"/>
        <w:keepLines w:val="0"/>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480" w:firstLineChars="200"/>
        <w:jc w:val="both"/>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17.4仲裁或诉讼</w:t>
      </w:r>
    </w:p>
    <w:p w14:paraId="59523AF7">
      <w:pPr>
        <w:pageBreakBefore w:val="0"/>
        <w:widowControl w:val="0"/>
        <w:kinsoku/>
        <w:wordWrap/>
        <w:overflowPunct/>
        <w:topLinePunct w:val="0"/>
        <w:bidi w:val="0"/>
        <w:snapToGrid/>
        <w:spacing w:after="120" w:afterLines="0" w:line="38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因合同及合同有关事项发生的争议，按下列第</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种方式解决：</w:t>
      </w:r>
    </w:p>
    <w:p w14:paraId="4EEA87F2">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（1）向</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仲裁委员会申请仲裁；</w:t>
      </w:r>
    </w:p>
    <w:p w14:paraId="7160C526">
      <w:pPr>
        <w:pageBreakBefore w:val="0"/>
        <w:widowControl w:val="0"/>
        <w:kinsoku/>
        <w:wordWrap/>
        <w:overflowPunct/>
        <w:topLinePunct w:val="0"/>
        <w:bidi w:val="0"/>
        <w:snapToGrid/>
        <w:spacing w:line="38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（2）向</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人民法院起诉。</w:t>
      </w:r>
    </w:p>
    <w:p w14:paraId="58FFF210">
      <w:pPr>
        <w:pStyle w:val="4"/>
        <w:keepNext/>
        <w:keepLines/>
        <w:pageBreakBefore w:val="0"/>
        <w:widowControl w:val="0"/>
        <w:kinsoku/>
        <w:wordWrap/>
        <w:overflowPunct/>
        <w:topLinePunct w:val="0"/>
        <w:autoSpaceDE/>
        <w:autoSpaceDN/>
        <w:bidi w:val="0"/>
        <w:adjustRightInd/>
        <w:snapToGrid/>
        <w:spacing w:before="120" w:beforeLines="0" w:after="120" w:afterLines="0" w:line="380" w:lineRule="exact"/>
        <w:ind w:left="0" w:leftChars="0" w:right="0" w:rightChars="0" w:firstLine="0" w:firstLineChars="0"/>
        <w:jc w:val="both"/>
        <w:textAlignment w:val="auto"/>
        <w:outlineLvl w:val="3"/>
        <w:rPr>
          <w:rFonts w:hint="eastAsia" w:ascii="仿宋" w:hAnsi="仿宋" w:eastAsia="仿宋" w:cs="仿宋"/>
          <w:b w:val="0"/>
          <w:i w:val="0"/>
          <w:iCs w:val="0"/>
          <w:color w:val="auto"/>
          <w:sz w:val="24"/>
          <w:szCs w:val="24"/>
          <w:highlight w:val="none"/>
        </w:rPr>
      </w:pPr>
      <w:r>
        <w:rPr>
          <w:rFonts w:hint="eastAsia" w:ascii="仿宋" w:hAnsi="仿宋" w:eastAsia="仿宋" w:cs="仿宋"/>
          <w:i w:val="0"/>
          <w:iCs w:val="0"/>
          <w:color w:val="auto"/>
          <w:sz w:val="24"/>
          <w:szCs w:val="24"/>
          <w:highlight w:val="none"/>
        </w:rPr>
        <w:t xml:space="preserve"> </w:t>
      </w:r>
      <w:r>
        <w:rPr>
          <w:rFonts w:hint="eastAsia" w:ascii="仿宋" w:hAnsi="仿宋" w:eastAsia="仿宋" w:cs="仿宋"/>
          <w:b w:val="0"/>
          <w:i w:val="0"/>
          <w:iCs w:val="0"/>
          <w:color w:val="auto"/>
          <w:sz w:val="24"/>
          <w:szCs w:val="24"/>
          <w:highlight w:val="none"/>
        </w:rPr>
        <w:t>18. 其他（如果没有，填“无”）</w:t>
      </w:r>
    </w:p>
    <w:p w14:paraId="2CB4CD54">
      <w:pPr>
        <w:pageBreakBefore w:val="0"/>
        <w:widowControl w:val="0"/>
        <w:kinsoku/>
        <w:wordWrap/>
        <w:overflowPunct/>
        <w:topLinePunct w:val="0"/>
        <w:bidi w:val="0"/>
        <w:snapToGrid/>
        <w:spacing w:line="380" w:lineRule="exact"/>
        <w:jc w:val="left"/>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u w:val="single"/>
        </w:rPr>
        <w:t xml:space="preserve">                                                                     </w:t>
      </w:r>
      <w:bookmarkEnd w:id="501"/>
      <w:r>
        <w:rPr>
          <w:rFonts w:hint="eastAsia" w:ascii="仿宋" w:hAnsi="仿宋" w:eastAsia="仿宋" w:cs="仿宋"/>
          <w:i w:val="0"/>
          <w:iCs w:val="0"/>
          <w:color w:val="auto"/>
          <w:sz w:val="24"/>
          <w:szCs w:val="24"/>
          <w:highlight w:val="none"/>
        </w:rPr>
        <w:t>。</w:t>
      </w:r>
    </w:p>
    <w:p w14:paraId="466497FF">
      <w:pPr>
        <w:rPr>
          <w:rFonts w:hint="eastAsia" w:ascii="Times New Roman" w:hAnsi="Times New Roman"/>
          <w:b/>
          <w:color w:val="auto"/>
          <w:highlight w:val="none"/>
        </w:rPr>
      </w:pPr>
    </w:p>
    <w:p w14:paraId="53894FD4">
      <w:pPr>
        <w:rPr>
          <w:rFonts w:hint="eastAsia"/>
          <w:color w:val="auto"/>
          <w:highlight w:val="none"/>
          <w:lang w:val="zh-CN"/>
        </w:rPr>
      </w:pPr>
    </w:p>
    <w:p w14:paraId="6866B405">
      <w:pPr>
        <w:rPr>
          <w:rFonts w:hint="eastAsia"/>
          <w:b/>
          <w:bCs/>
          <w:color w:val="auto"/>
          <w:sz w:val="36"/>
          <w:szCs w:val="40"/>
          <w:highlight w:val="none"/>
        </w:rPr>
      </w:pPr>
    </w:p>
    <w:p w14:paraId="12CB73E5">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color w:val="auto"/>
          <w:sz w:val="30"/>
          <w:szCs w:val="30"/>
          <w:highlight w:val="none"/>
        </w:rPr>
      </w:pPr>
      <w:bookmarkStart w:id="502" w:name="_Toc26446"/>
      <w:r>
        <w:rPr>
          <w:rFonts w:hint="eastAsia"/>
          <w:b/>
          <w:bCs/>
          <w:color w:val="auto"/>
          <w:sz w:val="36"/>
          <w:szCs w:val="40"/>
          <w:highlight w:val="none"/>
        </w:rPr>
        <w:t>第</w:t>
      </w:r>
      <w:r>
        <w:rPr>
          <w:rFonts w:hint="eastAsia"/>
          <w:b/>
          <w:bCs/>
          <w:color w:val="auto"/>
          <w:sz w:val="36"/>
          <w:szCs w:val="40"/>
          <w:highlight w:val="none"/>
          <w:lang w:val="en-US" w:eastAsia="zh-CN"/>
        </w:rPr>
        <w:t>六</w:t>
      </w:r>
      <w:r>
        <w:rPr>
          <w:rFonts w:hint="eastAsia"/>
          <w:b/>
          <w:bCs/>
          <w:color w:val="auto"/>
          <w:sz w:val="36"/>
          <w:szCs w:val="40"/>
          <w:highlight w:val="none"/>
        </w:rPr>
        <w:t>章  响应性文件格式</w:t>
      </w:r>
      <w:bookmarkEnd w:id="332"/>
      <w:bookmarkEnd w:id="336"/>
      <w:bookmarkEnd w:id="502"/>
    </w:p>
    <w:p w14:paraId="54442C40">
      <w:pPr>
        <w:pageBreakBefore w:val="0"/>
        <w:kinsoku/>
        <w:overflowPunct/>
        <w:topLinePunct w:val="0"/>
        <w:bidi w:val="0"/>
        <w:spacing w:line="360" w:lineRule="auto"/>
        <w:ind w:firstLine="200"/>
        <w:jc w:val="center"/>
        <w:outlineLvl w:val="9"/>
        <w:rPr>
          <w:rFonts w:hint="eastAsia" w:ascii="宋体" w:hAnsi="宋体" w:eastAsia="宋体" w:cs="宋体"/>
          <w:b/>
          <w:color w:val="auto"/>
          <w:sz w:val="30"/>
          <w:szCs w:val="30"/>
          <w:highlight w:val="none"/>
          <w:u w:val="single"/>
        </w:rPr>
      </w:pPr>
      <w:bookmarkStart w:id="503" w:name="_Toc11268"/>
      <w:bookmarkStart w:id="504" w:name="_Toc32198"/>
      <w:r>
        <w:rPr>
          <w:rFonts w:hint="eastAsia" w:ascii="宋体" w:hAnsi="宋体" w:eastAsia="宋体" w:cs="宋体"/>
          <w:b/>
          <w:color w:val="auto"/>
          <w:sz w:val="30"/>
          <w:szCs w:val="30"/>
          <w:highlight w:val="none"/>
        </w:rPr>
        <w:t>（项目名称）</w:t>
      </w:r>
      <w:bookmarkEnd w:id="503"/>
      <w:bookmarkEnd w:id="504"/>
    </w:p>
    <w:p w14:paraId="2EA848DA">
      <w:pPr>
        <w:pageBreakBefore w:val="0"/>
        <w:kinsoku/>
        <w:overflowPunct/>
        <w:topLinePunct w:val="0"/>
        <w:bidi w:val="0"/>
        <w:spacing w:line="360" w:lineRule="auto"/>
        <w:ind w:firstLine="200"/>
        <w:outlineLvl w:val="9"/>
        <w:rPr>
          <w:rFonts w:hint="eastAsia" w:ascii="宋体" w:hAnsi="宋体" w:eastAsia="宋体" w:cs="宋体"/>
          <w:b/>
          <w:color w:val="auto"/>
          <w:szCs w:val="21"/>
          <w:highlight w:val="none"/>
        </w:rPr>
      </w:pPr>
    </w:p>
    <w:p w14:paraId="0D45561B">
      <w:pPr>
        <w:pageBreakBefore w:val="0"/>
        <w:kinsoku/>
        <w:overflowPunct/>
        <w:topLinePunct w:val="0"/>
        <w:bidi w:val="0"/>
        <w:spacing w:line="360" w:lineRule="auto"/>
        <w:ind w:firstLine="200"/>
        <w:jc w:val="center"/>
        <w:outlineLvl w:val="9"/>
        <w:rPr>
          <w:rFonts w:hint="eastAsia" w:ascii="宋体" w:hAnsi="宋体" w:eastAsia="宋体" w:cs="宋体"/>
          <w:b/>
          <w:color w:val="auto"/>
          <w:sz w:val="44"/>
          <w:szCs w:val="44"/>
          <w:highlight w:val="none"/>
        </w:rPr>
      </w:pPr>
    </w:p>
    <w:p w14:paraId="65B38B12">
      <w:pPr>
        <w:pageBreakBefore w:val="0"/>
        <w:kinsoku/>
        <w:overflowPunct/>
        <w:topLinePunct w:val="0"/>
        <w:bidi w:val="0"/>
        <w:spacing w:line="360" w:lineRule="auto"/>
        <w:ind w:firstLine="200"/>
        <w:jc w:val="center"/>
        <w:outlineLvl w:val="9"/>
        <w:rPr>
          <w:rFonts w:hint="eastAsia" w:ascii="宋体" w:hAnsi="宋体" w:eastAsia="宋体" w:cs="宋体"/>
          <w:b/>
          <w:color w:val="auto"/>
          <w:sz w:val="52"/>
          <w:szCs w:val="52"/>
          <w:highlight w:val="none"/>
        </w:rPr>
      </w:pPr>
    </w:p>
    <w:p w14:paraId="71B57CD5">
      <w:pPr>
        <w:pageBreakBefore w:val="0"/>
        <w:kinsoku/>
        <w:overflowPunct/>
        <w:topLinePunct w:val="0"/>
        <w:bidi w:val="0"/>
        <w:spacing w:line="360" w:lineRule="auto"/>
        <w:jc w:val="center"/>
        <w:outlineLvl w:val="9"/>
        <w:rPr>
          <w:rFonts w:ascii="宋体" w:hAnsi="宋体" w:cs="宋体"/>
          <w:b/>
          <w:color w:val="auto"/>
          <w:spacing w:val="24"/>
          <w:kern w:val="10"/>
          <w:sz w:val="72"/>
          <w:szCs w:val="72"/>
          <w:highlight w:val="none"/>
        </w:rPr>
      </w:pPr>
      <w:bookmarkStart w:id="505" w:name="_Toc19263"/>
      <w:bookmarkStart w:id="506" w:name="_Toc21889"/>
      <w:r>
        <w:rPr>
          <w:rFonts w:hint="eastAsia" w:ascii="宋体" w:hAnsi="宋体" w:cs="宋体"/>
          <w:b/>
          <w:color w:val="auto"/>
          <w:spacing w:val="24"/>
          <w:kern w:val="10"/>
          <w:sz w:val="72"/>
          <w:szCs w:val="72"/>
          <w:highlight w:val="none"/>
        </w:rPr>
        <w:t>竞争性磋商响应文件</w:t>
      </w:r>
    </w:p>
    <w:p w14:paraId="6725CA11">
      <w:pPr>
        <w:pageBreakBefore w:val="0"/>
        <w:kinsoku/>
        <w:overflowPunct/>
        <w:topLinePunct w:val="0"/>
        <w:bidi w:val="0"/>
        <w:spacing w:line="360" w:lineRule="auto"/>
        <w:ind w:firstLine="2409" w:firstLineChars="800"/>
        <w:jc w:val="both"/>
        <w:outlineLvl w:val="9"/>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项目编号：</w:t>
      </w:r>
      <w:bookmarkEnd w:id="505"/>
      <w:bookmarkEnd w:id="506"/>
    </w:p>
    <w:p w14:paraId="0C875EFA">
      <w:pPr>
        <w:pageBreakBefore w:val="0"/>
        <w:kinsoku/>
        <w:overflowPunct/>
        <w:topLinePunct w:val="0"/>
        <w:bidi w:val="0"/>
        <w:spacing w:line="360" w:lineRule="auto"/>
        <w:ind w:firstLine="2711" w:firstLineChars="900"/>
        <w:outlineLvl w:val="9"/>
        <w:rPr>
          <w:rFonts w:hint="eastAsia" w:ascii="宋体" w:hAnsi="宋体" w:eastAsia="宋体" w:cs="宋体"/>
          <w:b/>
          <w:color w:val="auto"/>
          <w:sz w:val="30"/>
          <w:szCs w:val="30"/>
          <w:highlight w:val="none"/>
          <w:u w:val="single"/>
        </w:rPr>
      </w:pPr>
    </w:p>
    <w:p w14:paraId="4ED2DDFC">
      <w:pPr>
        <w:pageBreakBefore w:val="0"/>
        <w:kinsoku/>
        <w:overflowPunct/>
        <w:topLinePunct w:val="0"/>
        <w:bidi w:val="0"/>
        <w:spacing w:line="360" w:lineRule="auto"/>
        <w:ind w:firstLine="420" w:firstLineChars="200"/>
        <w:outlineLvl w:val="9"/>
        <w:rPr>
          <w:rFonts w:hint="eastAsia" w:ascii="宋体" w:hAnsi="宋体" w:eastAsia="宋体" w:cs="宋体"/>
          <w:color w:val="auto"/>
          <w:szCs w:val="21"/>
          <w:highlight w:val="none"/>
        </w:rPr>
      </w:pPr>
    </w:p>
    <w:p w14:paraId="47CA5A6A">
      <w:pPr>
        <w:pageBreakBefore w:val="0"/>
        <w:kinsoku/>
        <w:overflowPunct/>
        <w:topLinePunct w:val="0"/>
        <w:bidi w:val="0"/>
        <w:spacing w:line="360" w:lineRule="auto"/>
        <w:ind w:firstLine="420" w:firstLineChars="200"/>
        <w:outlineLvl w:val="9"/>
        <w:rPr>
          <w:rFonts w:hint="eastAsia" w:ascii="宋体" w:hAnsi="宋体" w:eastAsia="宋体" w:cs="宋体"/>
          <w:color w:val="auto"/>
          <w:szCs w:val="21"/>
          <w:highlight w:val="none"/>
        </w:rPr>
      </w:pPr>
    </w:p>
    <w:p w14:paraId="63B49572">
      <w:pPr>
        <w:pageBreakBefore w:val="0"/>
        <w:kinsoku/>
        <w:overflowPunct/>
        <w:topLinePunct w:val="0"/>
        <w:bidi w:val="0"/>
        <w:spacing w:line="360" w:lineRule="auto"/>
        <w:ind w:firstLine="420" w:firstLineChars="200"/>
        <w:outlineLvl w:val="9"/>
        <w:rPr>
          <w:rFonts w:hint="eastAsia" w:ascii="宋体" w:hAnsi="宋体" w:eastAsia="宋体" w:cs="宋体"/>
          <w:color w:val="auto"/>
          <w:szCs w:val="21"/>
          <w:highlight w:val="none"/>
        </w:rPr>
      </w:pPr>
    </w:p>
    <w:p w14:paraId="326B9226">
      <w:pPr>
        <w:pageBreakBefore w:val="0"/>
        <w:kinsoku/>
        <w:overflowPunct/>
        <w:topLinePunct w:val="0"/>
        <w:bidi w:val="0"/>
        <w:spacing w:line="360" w:lineRule="auto"/>
        <w:ind w:firstLine="420" w:firstLineChars="200"/>
        <w:outlineLvl w:val="9"/>
        <w:rPr>
          <w:rFonts w:hint="eastAsia" w:ascii="宋体" w:hAnsi="宋体" w:eastAsia="宋体" w:cs="宋体"/>
          <w:color w:val="auto"/>
          <w:szCs w:val="21"/>
          <w:highlight w:val="none"/>
        </w:rPr>
      </w:pPr>
    </w:p>
    <w:p w14:paraId="5FFE1058">
      <w:pPr>
        <w:pageBreakBefore w:val="0"/>
        <w:kinsoku/>
        <w:overflowPunct/>
        <w:topLinePunct w:val="0"/>
        <w:bidi w:val="0"/>
        <w:spacing w:line="360" w:lineRule="auto"/>
        <w:ind w:firstLine="420" w:firstLineChars="200"/>
        <w:outlineLvl w:val="9"/>
        <w:rPr>
          <w:rFonts w:hint="eastAsia" w:ascii="宋体" w:hAnsi="宋体" w:eastAsia="宋体" w:cs="宋体"/>
          <w:color w:val="auto"/>
          <w:szCs w:val="21"/>
          <w:highlight w:val="none"/>
        </w:rPr>
      </w:pPr>
    </w:p>
    <w:p w14:paraId="56CF6AEA">
      <w:pPr>
        <w:pageBreakBefore w:val="0"/>
        <w:kinsoku/>
        <w:overflowPunct/>
        <w:topLinePunct w:val="0"/>
        <w:bidi w:val="0"/>
        <w:spacing w:line="360" w:lineRule="auto"/>
        <w:ind w:firstLine="420" w:firstLineChars="200"/>
        <w:outlineLvl w:val="9"/>
        <w:rPr>
          <w:rFonts w:hint="eastAsia" w:ascii="宋体" w:hAnsi="宋体" w:eastAsia="宋体" w:cs="宋体"/>
          <w:color w:val="auto"/>
          <w:szCs w:val="21"/>
          <w:highlight w:val="none"/>
        </w:rPr>
      </w:pPr>
    </w:p>
    <w:p w14:paraId="1456A987">
      <w:pPr>
        <w:pageBreakBefore w:val="0"/>
        <w:kinsoku/>
        <w:overflowPunct/>
        <w:topLinePunct w:val="0"/>
        <w:bidi w:val="0"/>
        <w:spacing w:line="360" w:lineRule="auto"/>
        <w:ind w:firstLine="420" w:firstLineChars="200"/>
        <w:outlineLvl w:val="9"/>
        <w:rPr>
          <w:rFonts w:hint="eastAsia" w:ascii="宋体" w:hAnsi="宋体" w:eastAsia="宋体" w:cs="宋体"/>
          <w:color w:val="auto"/>
          <w:szCs w:val="21"/>
          <w:highlight w:val="none"/>
        </w:rPr>
      </w:pPr>
    </w:p>
    <w:p w14:paraId="70433199">
      <w:pPr>
        <w:pageBreakBefore w:val="0"/>
        <w:kinsoku/>
        <w:overflowPunct/>
        <w:topLinePunct w:val="0"/>
        <w:bidi w:val="0"/>
        <w:spacing w:line="360" w:lineRule="auto"/>
        <w:ind w:firstLine="200"/>
        <w:outlineLvl w:val="9"/>
        <w:rPr>
          <w:rFonts w:hint="eastAsia" w:ascii="宋体" w:hAnsi="宋体" w:eastAsia="宋体" w:cs="宋体"/>
          <w:color w:val="auto"/>
          <w:szCs w:val="21"/>
          <w:highlight w:val="none"/>
        </w:rPr>
      </w:pPr>
    </w:p>
    <w:p w14:paraId="7928365A">
      <w:pPr>
        <w:pageBreakBefore w:val="0"/>
        <w:kinsoku/>
        <w:overflowPunct/>
        <w:topLinePunct w:val="0"/>
        <w:bidi w:val="0"/>
        <w:spacing w:line="360" w:lineRule="auto"/>
        <w:jc w:val="both"/>
        <w:outlineLvl w:val="9"/>
        <w:rPr>
          <w:rFonts w:hint="eastAsia" w:ascii="宋体" w:hAnsi="宋体" w:eastAsia="宋体" w:cs="宋体"/>
          <w:color w:val="auto"/>
          <w:sz w:val="24"/>
          <w:szCs w:val="24"/>
          <w:highlight w:val="none"/>
        </w:rPr>
      </w:pPr>
    </w:p>
    <w:p w14:paraId="2F46DD0C">
      <w:pPr>
        <w:pageBreakBefore w:val="0"/>
        <w:kinsoku/>
        <w:overflowPunct/>
        <w:topLinePunct w:val="0"/>
        <w:bidi w:val="0"/>
        <w:spacing w:line="360" w:lineRule="auto"/>
        <w:ind w:firstLine="1920" w:firstLineChars="8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p>
    <w:p w14:paraId="499C8A77">
      <w:pPr>
        <w:pageBreakBefore w:val="0"/>
        <w:kinsoku/>
        <w:overflowPunct/>
        <w:topLinePunct w:val="0"/>
        <w:bidi w:val="0"/>
        <w:spacing w:line="360" w:lineRule="auto"/>
        <w:ind w:firstLine="1920" w:firstLineChars="800"/>
        <w:jc w:val="both"/>
        <w:outlineLvl w:val="9"/>
        <w:rPr>
          <w:rFonts w:hint="eastAsia" w:ascii="宋体" w:hAnsi="宋体" w:eastAsia="宋体" w:cs="宋体"/>
          <w:color w:val="auto"/>
          <w:sz w:val="24"/>
          <w:szCs w:val="24"/>
          <w:highlight w:val="none"/>
        </w:rPr>
      </w:pPr>
      <w:bookmarkStart w:id="507" w:name="_Toc21774"/>
      <w:bookmarkStart w:id="508" w:name="_Toc1520"/>
      <w:r>
        <w:rPr>
          <w:rFonts w:hint="eastAsia" w:ascii="宋体" w:hAnsi="宋体" w:eastAsia="宋体" w:cs="宋体"/>
          <w:color w:val="auto"/>
          <w:sz w:val="24"/>
          <w:szCs w:val="24"/>
          <w:highlight w:val="none"/>
        </w:rPr>
        <w:t>法定代表人</w:t>
      </w:r>
    </w:p>
    <w:p w14:paraId="24ADD7A7">
      <w:pPr>
        <w:pageBreakBefore w:val="0"/>
        <w:kinsoku/>
        <w:overflowPunct/>
        <w:topLinePunct w:val="0"/>
        <w:bidi w:val="0"/>
        <w:spacing w:line="360" w:lineRule="auto"/>
        <w:ind w:firstLine="1680" w:firstLineChars="7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自然人或者经营者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bookmarkEnd w:id="507"/>
      <w:bookmarkEnd w:id="508"/>
    </w:p>
    <w:p w14:paraId="119F8B0B">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bookmarkStart w:id="509" w:name="_Toc29067"/>
      <w:bookmarkStart w:id="510" w:name="_Toc20812"/>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bookmarkEnd w:id="509"/>
      <w:bookmarkEnd w:id="510"/>
    </w:p>
    <w:p w14:paraId="523E5845">
      <w:pPr>
        <w:pageBreakBefore w:val="0"/>
        <w:kinsoku/>
        <w:overflowPunct/>
        <w:topLinePunct w:val="0"/>
        <w:bidi w:val="0"/>
        <w:spacing w:line="360" w:lineRule="auto"/>
        <w:ind w:firstLine="200"/>
        <w:outlineLvl w:val="9"/>
        <w:rPr>
          <w:rFonts w:hint="eastAsia" w:ascii="宋体" w:hAnsi="宋体" w:eastAsia="宋体" w:cs="宋体"/>
          <w:color w:val="auto"/>
          <w:szCs w:val="21"/>
          <w:highlight w:val="none"/>
        </w:rPr>
      </w:pPr>
    </w:p>
    <w:p w14:paraId="7DA2E491">
      <w:pPr>
        <w:pageBreakBefore w:val="0"/>
        <w:kinsoku/>
        <w:overflowPunct/>
        <w:topLinePunct w:val="0"/>
        <w:bidi w:val="0"/>
        <w:spacing w:line="360" w:lineRule="auto"/>
        <w:ind w:firstLine="200"/>
        <w:outlineLvl w:val="9"/>
        <w:rPr>
          <w:rFonts w:hint="eastAsia" w:ascii="宋体" w:hAnsi="宋体" w:eastAsia="宋体" w:cs="宋体"/>
          <w:color w:val="auto"/>
          <w:sz w:val="32"/>
          <w:szCs w:val="32"/>
          <w:highlight w:val="none"/>
        </w:rPr>
      </w:pPr>
    </w:p>
    <w:p w14:paraId="7023E972">
      <w:pPr>
        <w:pageBreakBefore w:val="0"/>
        <w:shd w:val="clear" w:color="auto" w:fill="FFFFFF"/>
        <w:kinsoku/>
        <w:overflowPunct/>
        <w:topLinePunct w:val="0"/>
        <w:autoSpaceDE w:val="0"/>
        <w:autoSpaceDN w:val="0"/>
        <w:bidi w:val="0"/>
        <w:spacing w:line="360" w:lineRule="auto"/>
        <w:ind w:firstLine="200"/>
        <w:jc w:val="center"/>
        <w:outlineLvl w:val="9"/>
        <w:rPr>
          <w:rFonts w:hint="eastAsia" w:ascii="宋体" w:hAnsi="宋体" w:eastAsia="宋体" w:cs="宋体"/>
          <w:b/>
          <w:color w:val="auto"/>
          <w:sz w:val="32"/>
          <w:szCs w:val="32"/>
          <w:highlight w:val="none"/>
        </w:rPr>
      </w:pPr>
    </w:p>
    <w:p w14:paraId="475FD3C7">
      <w:pPr>
        <w:pageBreakBefore w:val="0"/>
        <w:shd w:val="clear" w:color="auto" w:fill="FFFFFF"/>
        <w:kinsoku/>
        <w:overflowPunct/>
        <w:topLinePunct w:val="0"/>
        <w:autoSpaceDE w:val="0"/>
        <w:autoSpaceDN w:val="0"/>
        <w:bidi w:val="0"/>
        <w:spacing w:line="360" w:lineRule="auto"/>
        <w:ind w:firstLine="200"/>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14:paraId="3098A364">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p>
    <w:p w14:paraId="3849CA69">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一、磋商函及磋商函附录</w:t>
      </w:r>
    </w:p>
    <w:p w14:paraId="1662FCD3">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二、法定代表人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自然人或者经营者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身份证明及授权委托书</w:t>
      </w:r>
    </w:p>
    <w:p w14:paraId="5AE7BFF1">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磋商承诺函</w:t>
      </w:r>
    </w:p>
    <w:p w14:paraId="6FC2B8C1">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lang w:eastAsia="zh-CN"/>
        </w:rPr>
        <w:t>资格</w:t>
      </w:r>
      <w:r>
        <w:rPr>
          <w:rFonts w:hint="eastAsia" w:ascii="宋体" w:hAnsi="宋体" w:eastAsia="宋体" w:cs="宋体"/>
          <w:bCs/>
          <w:color w:val="auto"/>
          <w:sz w:val="24"/>
          <w:szCs w:val="24"/>
          <w:highlight w:val="none"/>
          <w:lang w:val="en-US" w:eastAsia="zh-CN"/>
        </w:rPr>
        <w:t>审查资料</w:t>
      </w:r>
    </w:p>
    <w:p w14:paraId="50DB2662">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企业业绩</w:t>
      </w:r>
    </w:p>
    <w:p w14:paraId="614166EE">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六、项目负责人业绩</w:t>
      </w:r>
    </w:p>
    <w:p w14:paraId="6778F1FF">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七、服务方案</w:t>
      </w:r>
    </w:p>
    <w:p w14:paraId="77C55294">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八、人员配备</w:t>
      </w:r>
    </w:p>
    <w:p w14:paraId="412A1442">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服务承诺</w:t>
      </w:r>
    </w:p>
    <w:p w14:paraId="308D11EB">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十</w:t>
      </w:r>
      <w:r>
        <w:rPr>
          <w:rFonts w:hint="eastAsia" w:ascii="宋体" w:hAnsi="宋体" w:eastAsia="宋体" w:cs="宋体"/>
          <w:bCs/>
          <w:color w:val="auto"/>
          <w:sz w:val="24"/>
          <w:szCs w:val="24"/>
          <w:highlight w:val="none"/>
        </w:rPr>
        <w:t>、其他资料</w:t>
      </w:r>
    </w:p>
    <w:p w14:paraId="36DAC837">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color w:val="auto"/>
          <w:sz w:val="24"/>
          <w:szCs w:val="24"/>
          <w:highlight w:val="none"/>
        </w:rPr>
      </w:pPr>
    </w:p>
    <w:p w14:paraId="693ED171">
      <w:pPr>
        <w:pageBreakBefore w:val="0"/>
        <w:widowControl/>
        <w:kinsoku/>
        <w:overflowPunct/>
        <w:topLinePunct w:val="0"/>
        <w:bidi w:val="0"/>
        <w:jc w:val="left"/>
        <w:outlineLvl w:val="9"/>
        <w:rPr>
          <w:rFonts w:hint="eastAsia" w:ascii="宋体" w:hAnsi="宋体" w:eastAsia="宋体" w:cs="宋体"/>
          <w:b/>
          <w:bCs/>
          <w:color w:val="auto"/>
          <w:sz w:val="20"/>
          <w:szCs w:val="20"/>
          <w:highlight w:val="none"/>
        </w:rPr>
      </w:pPr>
      <w:bookmarkStart w:id="511" w:name="_Toc18526"/>
      <w:bookmarkStart w:id="512" w:name="_Toc27145"/>
    </w:p>
    <w:p w14:paraId="04D7F3E5">
      <w:pPr>
        <w:pageBreakBefore w:val="0"/>
        <w:widowControl/>
        <w:kinsoku/>
        <w:overflowPunct/>
        <w:topLinePunct w:val="0"/>
        <w:bidi w:val="0"/>
        <w:jc w:val="left"/>
        <w:outlineLvl w:val="9"/>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rPr>
        <w:t>备注：目录内容包含但不限于以上，格式可自行调整，编辑时请删除此备注。目录不作为废标项</w:t>
      </w:r>
      <w:r>
        <w:rPr>
          <w:rFonts w:hint="eastAsia" w:ascii="宋体" w:hAnsi="宋体" w:eastAsia="宋体" w:cs="宋体"/>
          <w:b/>
          <w:bCs/>
          <w:color w:val="auto"/>
          <w:sz w:val="20"/>
          <w:szCs w:val="20"/>
          <w:highlight w:val="none"/>
          <w:lang w:eastAsia="zh-CN"/>
        </w:rPr>
        <w:t>。</w:t>
      </w:r>
    </w:p>
    <w:bookmarkEnd w:id="511"/>
    <w:bookmarkEnd w:id="512"/>
    <w:p w14:paraId="31703346">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bookmarkStart w:id="513" w:name="_Toc69718842"/>
      <w:bookmarkEnd w:id="513"/>
      <w:bookmarkStart w:id="514" w:name="_Toc25792"/>
      <w:bookmarkStart w:id="515" w:name="_Toc27307"/>
      <w:bookmarkStart w:id="516" w:name="_Toc19134"/>
      <w:bookmarkStart w:id="517" w:name="_Toc20579"/>
    </w:p>
    <w:p w14:paraId="3F97E5F8">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p>
    <w:p w14:paraId="1281C7E2">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p>
    <w:p w14:paraId="71B4C919">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p>
    <w:p w14:paraId="5EFE1912">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p>
    <w:p w14:paraId="3EB01A68">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p>
    <w:p w14:paraId="2B3C3776">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p>
    <w:p w14:paraId="6EF065CE">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一、磋商函及磋商函附录</w:t>
      </w:r>
      <w:bookmarkEnd w:id="514"/>
      <w:bookmarkEnd w:id="515"/>
    </w:p>
    <w:p w14:paraId="3CA79C6C">
      <w:pPr>
        <w:pageBreakBefore w:val="0"/>
        <w:kinsoku/>
        <w:overflowPunct/>
        <w:topLinePunct w:val="0"/>
        <w:bidi w:val="0"/>
        <w:jc w:val="center"/>
        <w:outlineLvl w:val="9"/>
        <w:rPr>
          <w:rFonts w:ascii="宋体" w:hAnsi="宋体" w:cs="宋体"/>
          <w:b/>
          <w:bCs/>
          <w:color w:val="auto"/>
          <w:sz w:val="28"/>
          <w:highlight w:val="none"/>
        </w:rPr>
      </w:pPr>
      <w:bookmarkStart w:id="518" w:name="_Toc11888"/>
      <w:bookmarkStart w:id="519" w:name="_Toc6004"/>
      <w:bookmarkStart w:id="520" w:name="_Toc28003"/>
      <w:bookmarkStart w:id="521" w:name="_Toc4905"/>
      <w:bookmarkStart w:id="522" w:name="_Toc21361"/>
      <w:r>
        <w:rPr>
          <w:rFonts w:hint="eastAsia" w:ascii="宋体" w:hAnsi="宋体" w:cs="宋体"/>
          <w:b/>
          <w:bCs/>
          <w:color w:val="auto"/>
          <w:sz w:val="28"/>
          <w:highlight w:val="none"/>
        </w:rPr>
        <w:t>（一）磋商函</w:t>
      </w:r>
      <w:bookmarkEnd w:id="518"/>
      <w:bookmarkEnd w:id="519"/>
      <w:bookmarkEnd w:id="520"/>
      <w:bookmarkEnd w:id="521"/>
      <w:bookmarkEnd w:id="522"/>
    </w:p>
    <w:p w14:paraId="67067FE9">
      <w:pPr>
        <w:spacing w:line="440" w:lineRule="exact"/>
        <w:rPr>
          <w:rFonts w:hint="eastAsia" w:ascii="宋体" w:hAnsi="宋体" w:cs="宋体"/>
          <w:b/>
          <w:bCs/>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（采购人名称）： </w:t>
      </w:r>
    </w:p>
    <w:p w14:paraId="4D3B7ECA">
      <w:pPr>
        <w:tabs>
          <w:tab w:val="left" w:pos="2127"/>
        </w:tabs>
        <w:spacing w:line="520" w:lineRule="exact"/>
        <w:ind w:firstLine="480" w:firstLineChars="200"/>
        <w:jc w:val="both"/>
        <w:rPr>
          <w:rFonts w:hint="eastAsia" w:ascii="宋体" w:hAnsi="宋体" w:cs="宋体"/>
          <w:color w:val="auto"/>
          <w:sz w:val="24"/>
          <w:szCs w:val="28"/>
          <w:highlight w:val="none"/>
        </w:rPr>
      </w:pPr>
      <w:r>
        <w:rPr>
          <w:rFonts w:hint="eastAsia" w:ascii="宋体" w:hAnsi="宋体" w:cs="宋体"/>
          <w:color w:val="auto"/>
          <w:sz w:val="24"/>
          <w:highlight w:val="none"/>
        </w:rPr>
        <w:t xml:space="preserve"> 我方已仔细研究了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（项目名称）磋商文件的全部内容，对本项目进行以下磋商报价（详见磋商函附录），</w:t>
      </w:r>
      <w:r>
        <w:rPr>
          <w:rFonts w:hint="eastAsia" w:ascii="宋体" w:hAnsi="宋体" w:cs="宋体"/>
          <w:color w:val="auto"/>
          <w:sz w:val="24"/>
          <w:highlight w:val="none"/>
          <w:lang w:eastAsia="zh-CN"/>
        </w:rPr>
        <w:t>服务要求：</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lang w:eastAsia="zh-CN"/>
        </w:rPr>
        <w:t>设计周期：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质量要求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23726DB">
      <w:pPr>
        <w:spacing w:line="440" w:lineRule="exact"/>
        <w:ind w:left="403"/>
        <w:rPr>
          <w:rFonts w:hint="eastAsia" w:ascii="宋体" w:hAnsi="宋体" w:cs="宋体"/>
          <w:color w:val="auto"/>
          <w:sz w:val="24"/>
          <w:highlight w:val="none"/>
        </w:rPr>
      </w:pPr>
      <w:r>
        <w:rPr>
          <w:rFonts w:hint="eastAsia" w:ascii="宋体" w:hAnsi="宋体" w:cs="宋体"/>
          <w:color w:val="auto"/>
          <w:sz w:val="24"/>
          <w:highlight w:val="none"/>
        </w:rPr>
        <w:t>1.并按合同约定履行义务。</w:t>
      </w:r>
    </w:p>
    <w:p w14:paraId="086C88C9">
      <w:pPr>
        <w:tabs>
          <w:tab w:val="left" w:pos="840"/>
        </w:tabs>
        <w:spacing w:line="440" w:lineRule="exact"/>
        <w:ind w:left="403"/>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.我方响应磋商文件的全部要求。</w:t>
      </w:r>
    </w:p>
    <w:p w14:paraId="1AC9E1BC">
      <w:pPr>
        <w:tabs>
          <w:tab w:val="left" w:pos="840"/>
        </w:tabs>
        <w:spacing w:line="440" w:lineRule="exact"/>
        <w:ind w:left="403"/>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.我方承诺在磋商文件规定的磋商有效期内不撤销响应文件。</w:t>
      </w:r>
    </w:p>
    <w:p w14:paraId="3F3D5795">
      <w:pPr>
        <w:spacing w:line="440" w:lineRule="exact"/>
        <w:ind w:left="420" w:left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我方愿遵守《中华人民共和国政府采购法》及相关的政府采购法律法规，履行我方的全部责任</w:t>
      </w:r>
      <w:r>
        <w:rPr>
          <w:rFonts w:hint="eastAsia" w:ascii="宋体" w:hAnsi="宋体" w:cs="宋体"/>
          <w:color w:val="auto"/>
          <w:sz w:val="24"/>
          <w:highlight w:val="none"/>
          <w:lang w:eastAsia="zh-CN"/>
        </w:rPr>
        <w:t>。</w:t>
      </w:r>
    </w:p>
    <w:p w14:paraId="134DDC3B">
      <w:pPr>
        <w:spacing w:line="440" w:lineRule="exact"/>
        <w:ind w:left="420" w:left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.如我方</w:t>
      </w:r>
      <w:r>
        <w:rPr>
          <w:rFonts w:hint="eastAsia" w:ascii="宋体" w:hAnsi="宋体" w:cs="宋体"/>
          <w:color w:val="auto"/>
          <w:sz w:val="24"/>
          <w:highlight w:val="none"/>
          <w:lang w:val="en-US" w:eastAsia="zh-CN"/>
        </w:rPr>
        <w:t>获成交资格</w:t>
      </w:r>
      <w:r>
        <w:rPr>
          <w:rFonts w:hint="eastAsia" w:ascii="宋体" w:hAnsi="宋体" w:cs="宋体"/>
          <w:color w:val="auto"/>
          <w:sz w:val="24"/>
          <w:highlight w:val="none"/>
        </w:rPr>
        <w:t>，我方承诺：</w:t>
      </w:r>
    </w:p>
    <w:p w14:paraId="3E99C29F">
      <w:pPr>
        <w:spacing w:line="44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（1）在收到</w:t>
      </w:r>
      <w:r>
        <w:rPr>
          <w:rFonts w:hint="eastAsia" w:ascii="宋体" w:hAnsi="宋体" w:cs="宋体"/>
          <w:color w:val="auto"/>
          <w:sz w:val="24"/>
          <w:highlight w:val="none"/>
          <w:lang w:eastAsia="zh-CN"/>
        </w:rPr>
        <w:t>成交</w:t>
      </w:r>
      <w:r>
        <w:rPr>
          <w:rFonts w:hint="eastAsia" w:ascii="宋体" w:hAnsi="宋体" w:cs="宋体"/>
          <w:color w:val="auto"/>
          <w:sz w:val="24"/>
          <w:highlight w:val="none"/>
        </w:rPr>
        <w:t>通知书后，在</w:t>
      </w:r>
      <w:r>
        <w:rPr>
          <w:rFonts w:hint="eastAsia" w:ascii="宋体" w:hAnsi="宋体" w:cs="宋体"/>
          <w:color w:val="auto"/>
          <w:sz w:val="24"/>
          <w:highlight w:val="none"/>
          <w:lang w:eastAsia="zh-CN"/>
        </w:rPr>
        <w:t>成交</w:t>
      </w:r>
      <w:r>
        <w:rPr>
          <w:rFonts w:hint="eastAsia" w:ascii="宋体" w:hAnsi="宋体" w:cs="宋体"/>
          <w:color w:val="auto"/>
          <w:sz w:val="24"/>
          <w:highlight w:val="none"/>
        </w:rPr>
        <w:t>通知书规定的期限内与你方签订合同；</w:t>
      </w:r>
    </w:p>
    <w:p w14:paraId="591DBD10">
      <w:pPr>
        <w:spacing w:line="44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388E6DFC">
      <w:pPr>
        <w:spacing w:line="44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（3）按照磋商文件要求提交履约保证金（若有）；</w:t>
      </w:r>
    </w:p>
    <w:p w14:paraId="495F05F0">
      <w:pPr>
        <w:spacing w:line="44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（4）在合同约定的期限内完成合同规定的全部义务。</w:t>
      </w:r>
    </w:p>
    <w:p w14:paraId="48F73CDF">
      <w:pPr>
        <w:tabs>
          <w:tab w:val="left" w:pos="840"/>
        </w:tabs>
        <w:spacing w:line="440" w:lineRule="exact"/>
        <w:ind w:left="403"/>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.我方在此声明，所递交的响应文件及有关资料内容完整、真实和准确。</w:t>
      </w:r>
    </w:p>
    <w:p w14:paraId="7FE84681">
      <w:pPr>
        <w:tabs>
          <w:tab w:val="left" w:pos="840"/>
        </w:tabs>
        <w:spacing w:line="440" w:lineRule="exact"/>
        <w:ind w:left="403"/>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（其他补充说明）。</w:t>
      </w:r>
    </w:p>
    <w:p w14:paraId="097E2A77">
      <w:pPr>
        <w:pageBreakBefore w:val="0"/>
        <w:kinsoku/>
        <w:overflowPunct/>
        <w:topLinePunct w:val="0"/>
        <w:bidi w:val="0"/>
        <w:spacing w:line="360" w:lineRule="auto"/>
        <w:outlineLvl w:val="9"/>
        <w:rPr>
          <w:rFonts w:ascii="宋体" w:hAnsi="宋体" w:cs="宋体"/>
          <w:color w:val="auto"/>
          <w:sz w:val="24"/>
          <w:highlight w:val="none"/>
        </w:rPr>
      </w:pPr>
    </w:p>
    <w:p w14:paraId="06DDBE65">
      <w:pPr>
        <w:pageBreakBefore w:val="0"/>
        <w:kinsoku/>
        <w:overflowPunct/>
        <w:topLinePunct w:val="0"/>
        <w:bidi w:val="0"/>
        <w:spacing w:line="360" w:lineRule="auto"/>
        <w:outlineLvl w:val="9"/>
        <w:rPr>
          <w:rFonts w:ascii="宋体" w:hAnsi="宋体" w:cs="宋体"/>
          <w:color w:val="auto"/>
          <w:sz w:val="24"/>
          <w:highlight w:val="none"/>
        </w:rPr>
      </w:pPr>
      <w:r>
        <w:rPr>
          <w:rFonts w:hint="eastAsia" w:ascii="宋体" w:hAnsi="宋体" w:cs="宋体"/>
          <w:color w:val="auto"/>
          <w:sz w:val="24"/>
          <w:highlight w:val="none"/>
        </w:rPr>
        <w:t xml:space="preserve">                              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盖</w:t>
      </w:r>
      <w:r>
        <w:rPr>
          <w:rFonts w:hint="eastAsia" w:ascii="宋体" w:hAnsi="宋体" w:eastAsia="宋体" w:cs="宋体"/>
          <w:color w:val="auto"/>
          <w:sz w:val="24"/>
          <w:szCs w:val="24"/>
          <w:highlight w:val="none"/>
          <w:lang w:val="en-US" w:eastAsia="zh-CN"/>
        </w:rPr>
        <w:t>单位公章</w:t>
      </w:r>
      <w:r>
        <w:rPr>
          <w:rFonts w:hint="eastAsia" w:ascii="宋体" w:hAnsi="宋体" w:cs="宋体"/>
          <w:color w:val="auto"/>
          <w:sz w:val="24"/>
          <w:highlight w:val="none"/>
        </w:rPr>
        <w:t>）</w:t>
      </w:r>
    </w:p>
    <w:p w14:paraId="1D18EC9F">
      <w:pPr>
        <w:pageBreakBefore w:val="0"/>
        <w:kinsoku/>
        <w:overflowPunct/>
        <w:topLinePunct w:val="0"/>
        <w:bidi w:val="0"/>
        <w:spacing w:line="360" w:lineRule="auto"/>
        <w:outlineLvl w:val="9"/>
        <w:rPr>
          <w:rFonts w:hint="eastAsia" w:ascii="宋体" w:hAnsi="宋体" w:cs="宋体"/>
          <w:color w:val="auto"/>
          <w:sz w:val="24"/>
          <w:highlight w:val="none"/>
        </w:rPr>
      </w:pPr>
      <w:r>
        <w:rPr>
          <w:rFonts w:hint="eastAsia" w:ascii="宋体" w:hAnsi="宋体" w:cs="宋体"/>
          <w:color w:val="auto"/>
          <w:sz w:val="24"/>
          <w:highlight w:val="none"/>
        </w:rPr>
        <w:t xml:space="preserve">                              法定代表人</w:t>
      </w:r>
    </w:p>
    <w:p w14:paraId="2BBFAE14">
      <w:pPr>
        <w:pageBreakBefore w:val="0"/>
        <w:kinsoku/>
        <w:overflowPunct/>
        <w:topLinePunct w:val="0"/>
        <w:bidi w:val="0"/>
        <w:spacing w:line="360" w:lineRule="auto"/>
        <w:ind w:firstLine="3570" w:firstLineChars="1700"/>
        <w:outlineLvl w:val="9"/>
        <w:rPr>
          <w:rFonts w:ascii="宋体" w:hAnsi="宋体" w:cs="宋体"/>
          <w:color w:val="auto"/>
          <w:sz w:val="24"/>
          <w:highlight w:val="none"/>
        </w:rPr>
      </w:pPr>
      <w:r>
        <w:rPr>
          <w:rFonts w:hint="eastAsia" w:hAnsi="宋体"/>
          <w:bCs/>
          <w:color w:val="auto"/>
          <w:highlight w:val="none"/>
          <w:lang w:eastAsia="zh-CN"/>
        </w:rPr>
        <w:t>（</w:t>
      </w:r>
      <w:r>
        <w:rPr>
          <w:rFonts w:hint="eastAsia" w:hAnsi="宋体"/>
          <w:bCs/>
          <w:color w:val="auto"/>
          <w:highlight w:val="none"/>
          <w:lang w:val="en-US" w:eastAsia="zh-CN"/>
        </w:rPr>
        <w:t>自然人或者经营者</w:t>
      </w:r>
      <w:r>
        <w:rPr>
          <w:rFonts w:hint="eastAsia" w:hAnsi="宋体"/>
          <w:bCs/>
          <w:color w:val="auto"/>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ascii="宋体" w:hAnsi="宋体" w:cs="宋体"/>
          <w:color w:val="auto"/>
          <w:sz w:val="24"/>
          <w:highlight w:val="none"/>
        </w:rPr>
        <w:t>）</w:t>
      </w:r>
    </w:p>
    <w:p w14:paraId="2D4A57B5">
      <w:pPr>
        <w:pageBreakBefore w:val="0"/>
        <w:kinsoku/>
        <w:overflowPunct/>
        <w:topLinePunct w:val="0"/>
        <w:bidi w:val="0"/>
        <w:spacing w:line="360" w:lineRule="auto"/>
        <w:outlineLvl w:val="9"/>
        <w:rPr>
          <w:rFonts w:hint="eastAsia" w:ascii="宋体" w:hAnsi="宋体" w:cs="宋体"/>
          <w:color w:val="auto"/>
          <w:sz w:val="24"/>
          <w:highlight w:val="none"/>
          <w:u w:val="single"/>
        </w:rPr>
      </w:pPr>
      <w:r>
        <w:rPr>
          <w:rFonts w:hint="eastAsia" w:ascii="宋体" w:hAnsi="宋体" w:cs="宋体"/>
          <w:color w:val="auto"/>
          <w:sz w:val="24"/>
          <w:highlight w:val="none"/>
        </w:rPr>
        <w:t xml:space="preserve">                                地  址：</w:t>
      </w:r>
      <w:r>
        <w:rPr>
          <w:rFonts w:hint="eastAsia" w:ascii="宋体" w:hAnsi="宋体" w:cs="宋体"/>
          <w:color w:val="auto"/>
          <w:sz w:val="24"/>
          <w:highlight w:val="none"/>
          <w:u w:val="single"/>
        </w:rPr>
        <w:t xml:space="preserve">                           </w:t>
      </w:r>
    </w:p>
    <w:p w14:paraId="500410A5">
      <w:pPr>
        <w:pageBreakBefore w:val="0"/>
        <w:kinsoku/>
        <w:overflowPunct/>
        <w:topLinePunct w:val="0"/>
        <w:bidi w:val="0"/>
        <w:spacing w:line="360" w:lineRule="auto"/>
        <w:ind w:firstLine="3840" w:firstLineChars="1600"/>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联系人:</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p>
    <w:p w14:paraId="482125B5">
      <w:pPr>
        <w:pageBreakBefore w:val="0"/>
        <w:kinsoku/>
        <w:overflowPunct/>
        <w:topLinePunct w:val="0"/>
        <w:bidi w:val="0"/>
        <w:spacing w:line="360" w:lineRule="auto"/>
        <w:outlineLvl w:val="9"/>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6F69610">
      <w:pPr>
        <w:pageBreakBefore w:val="0"/>
        <w:kinsoku/>
        <w:overflowPunct/>
        <w:topLinePunct w:val="0"/>
        <w:bidi w:val="0"/>
        <w:spacing w:line="360" w:lineRule="auto"/>
        <w:outlineLvl w:val="9"/>
        <w:rPr>
          <w:rFonts w:ascii="宋体" w:hAnsi="宋体" w:cs="宋体"/>
          <w:color w:val="auto"/>
          <w:sz w:val="24"/>
          <w:highlight w:val="none"/>
          <w:u w:val="single"/>
        </w:rPr>
      </w:pPr>
      <w:r>
        <w:rPr>
          <w:rFonts w:hint="eastAsia" w:ascii="宋体" w:hAnsi="宋体" w:cs="宋体"/>
          <w:color w:val="auto"/>
          <w:sz w:val="24"/>
          <w:highlight w:val="none"/>
        </w:rPr>
        <w:t xml:space="preserve">                                邮  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0F255187">
      <w:pPr>
        <w:pageBreakBefore w:val="0"/>
        <w:kinsoku/>
        <w:overflowPunct/>
        <w:topLinePunct w:val="0"/>
        <w:bidi w:val="0"/>
        <w:spacing w:line="480" w:lineRule="exact"/>
        <w:jc w:val="right"/>
        <w:outlineLvl w:val="9"/>
        <w:rPr>
          <w:rFonts w:ascii="宋体" w:hAnsi="宋体" w:cs="宋体"/>
          <w:color w:val="auto"/>
          <w:sz w:val="24"/>
          <w:highlight w:val="none"/>
        </w:rPr>
      </w:pPr>
      <w:r>
        <w:rPr>
          <w:rFonts w:hint="eastAsia" w:ascii="宋体" w:hAnsi="宋体" w:cs="宋体"/>
          <w:color w:val="auto"/>
          <w:sz w:val="24"/>
          <w:highlight w:val="none"/>
        </w:rPr>
        <w:t xml:space="preserve">                                              年</w:t>
      </w:r>
      <w:r>
        <w:rPr>
          <w:rFonts w:hint="eastAsia" w:ascii="宋体" w:hAnsi="宋体" w:cs="宋体"/>
          <w:color w:val="auto"/>
          <w:sz w:val="24"/>
          <w:highlight w:val="none"/>
        </w:rPr>
        <w:tab/>
      </w:r>
      <w:r>
        <w:rPr>
          <w:rFonts w:hint="eastAsia" w:ascii="宋体" w:hAnsi="宋体" w:cs="宋体"/>
          <w:color w:val="auto"/>
          <w:sz w:val="24"/>
          <w:highlight w:val="none"/>
        </w:rPr>
        <w:t xml:space="preserve">  月</w:t>
      </w:r>
      <w:r>
        <w:rPr>
          <w:rFonts w:hint="eastAsia" w:ascii="宋体" w:hAnsi="宋体" w:cs="宋体"/>
          <w:color w:val="auto"/>
          <w:sz w:val="24"/>
          <w:highlight w:val="none"/>
        </w:rPr>
        <w:tab/>
      </w:r>
      <w:r>
        <w:rPr>
          <w:rFonts w:hint="eastAsia" w:ascii="宋体" w:hAnsi="宋体" w:cs="宋体"/>
          <w:color w:val="auto"/>
          <w:sz w:val="24"/>
          <w:highlight w:val="none"/>
        </w:rPr>
        <w:t>日</w:t>
      </w:r>
    </w:p>
    <w:p w14:paraId="63D4D0CA">
      <w:pPr>
        <w:pageBreakBefore w:val="0"/>
        <w:kinsoku/>
        <w:overflowPunct/>
        <w:topLinePunct w:val="0"/>
        <w:bidi w:val="0"/>
        <w:outlineLvl w:val="9"/>
        <w:rPr>
          <w:rFonts w:ascii="宋体" w:hAnsi="宋体" w:cs="宋体"/>
          <w:color w:val="auto"/>
          <w:sz w:val="24"/>
          <w:highlight w:val="none"/>
        </w:rPr>
      </w:pPr>
    </w:p>
    <w:p w14:paraId="7652D2E0">
      <w:pPr>
        <w:pStyle w:val="35"/>
        <w:pageBreakBefore w:val="0"/>
        <w:kinsoku/>
        <w:overflowPunct/>
        <w:topLinePunct w:val="0"/>
        <w:bidi w:val="0"/>
        <w:outlineLvl w:val="9"/>
        <w:rPr>
          <w:color w:val="auto"/>
          <w:highlight w:val="none"/>
        </w:rPr>
      </w:pPr>
    </w:p>
    <w:p w14:paraId="63320D81">
      <w:pPr>
        <w:pageBreakBefore w:val="0"/>
        <w:kinsoku/>
        <w:overflowPunct/>
        <w:topLinePunct w:val="0"/>
        <w:bidi w:val="0"/>
        <w:jc w:val="center"/>
        <w:outlineLvl w:val="9"/>
        <w:rPr>
          <w:rFonts w:ascii="宋体" w:hAnsi="宋体" w:cs="宋体"/>
          <w:b/>
          <w:bCs/>
          <w:color w:val="auto"/>
          <w:sz w:val="28"/>
          <w:highlight w:val="none"/>
        </w:rPr>
      </w:pPr>
      <w:r>
        <w:rPr>
          <w:rFonts w:hint="eastAsia" w:ascii="宋体" w:hAnsi="宋体" w:cs="宋体"/>
          <w:b/>
          <w:bCs/>
          <w:color w:val="auto"/>
          <w:sz w:val="28"/>
          <w:highlight w:val="none"/>
        </w:rPr>
        <w:t>（二）磋商函附录</w:t>
      </w:r>
    </w:p>
    <w:p w14:paraId="58B600EA">
      <w:pPr>
        <w:autoSpaceDE w:val="0"/>
        <w:autoSpaceDN w:val="0"/>
        <w:adjustRightInd w:val="0"/>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 xml:space="preserve">       </w:t>
      </w:r>
    </w:p>
    <w:tbl>
      <w:tblPr>
        <w:tblStyle w:val="20"/>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7778"/>
      </w:tblGrid>
      <w:tr w14:paraId="6DB3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58F350E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7778" w:type="dxa"/>
            <w:tcBorders>
              <w:top w:val="single" w:color="auto" w:sz="4" w:space="0"/>
              <w:left w:val="single" w:color="auto" w:sz="4" w:space="0"/>
              <w:bottom w:val="single" w:color="auto" w:sz="4" w:space="0"/>
              <w:right w:val="single" w:color="auto" w:sz="4" w:space="0"/>
            </w:tcBorders>
            <w:noWrap w:val="0"/>
            <w:vAlign w:val="center"/>
          </w:tcPr>
          <w:p w14:paraId="4D89B40E">
            <w:pPr>
              <w:spacing w:line="360" w:lineRule="auto"/>
              <w:rPr>
                <w:rFonts w:hint="eastAsia" w:ascii="宋体" w:hAnsi="宋体" w:cs="宋体"/>
                <w:color w:val="auto"/>
                <w:sz w:val="24"/>
                <w:szCs w:val="24"/>
                <w:highlight w:val="none"/>
              </w:rPr>
            </w:pPr>
          </w:p>
        </w:tc>
      </w:tr>
      <w:tr w14:paraId="0BE0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6"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722E334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磋商报价</w:t>
            </w:r>
          </w:p>
          <w:p w14:paraId="06D803CA">
            <w:pPr>
              <w:spacing w:line="360" w:lineRule="auto"/>
              <w:jc w:val="center"/>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lang w:eastAsia="zh-CN"/>
              </w:rPr>
              <w:t>（费率）</w:t>
            </w:r>
          </w:p>
        </w:tc>
        <w:tc>
          <w:tcPr>
            <w:tcW w:w="7778" w:type="dxa"/>
            <w:tcBorders>
              <w:top w:val="single" w:color="auto" w:sz="4" w:space="0"/>
              <w:left w:val="single" w:color="auto" w:sz="4" w:space="0"/>
              <w:bottom w:val="single" w:color="auto" w:sz="4" w:space="0"/>
              <w:right w:val="single" w:color="auto" w:sz="4" w:space="0"/>
            </w:tcBorders>
            <w:noWrap w:val="0"/>
            <w:vAlign w:val="center"/>
          </w:tcPr>
          <w:p w14:paraId="22E797A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大写</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实际设计内容的百分之</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，计费基数为项目总投资额约1746万元，计算约为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p>
          <w:p w14:paraId="15F438E1">
            <w:pPr>
              <w:spacing w:line="360" w:lineRule="auto"/>
              <w:rPr>
                <w:rFonts w:hint="eastAsia" w:eastAsiaTheme="minorEastAsia"/>
                <w:color w:val="auto"/>
                <w:highlight w:val="none"/>
                <w:lang w:val="en-US" w:eastAsia="zh-CN"/>
              </w:rPr>
            </w:pPr>
            <w:r>
              <w:rPr>
                <w:rFonts w:hint="eastAsia" w:ascii="宋体" w:hAnsi="宋体" w:cs="宋体"/>
                <w:color w:val="auto"/>
                <w:sz w:val="24"/>
                <w:szCs w:val="24"/>
                <w:highlight w:val="none"/>
                <w:lang w:val="en-US" w:eastAsia="zh-CN"/>
              </w:rPr>
              <w:t>小写：费率：实际设计内容的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，计费基数为项目总投资额约1746万元</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计算约为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p>
        </w:tc>
      </w:tr>
      <w:tr w14:paraId="1B3C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226585F9">
            <w:pPr>
              <w:spacing w:line="360" w:lineRule="auto"/>
              <w:jc w:val="center"/>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lang w:eastAsia="zh-CN"/>
              </w:rPr>
              <w:t>采购内容</w:t>
            </w:r>
          </w:p>
        </w:tc>
        <w:tc>
          <w:tcPr>
            <w:tcW w:w="7778" w:type="dxa"/>
            <w:tcBorders>
              <w:top w:val="single" w:color="auto" w:sz="4" w:space="0"/>
              <w:left w:val="single" w:color="auto" w:sz="4" w:space="0"/>
              <w:bottom w:val="single" w:color="auto" w:sz="4" w:space="0"/>
              <w:right w:val="single" w:color="auto" w:sz="4" w:space="0"/>
            </w:tcBorders>
            <w:noWrap w:val="0"/>
            <w:vAlign w:val="center"/>
          </w:tcPr>
          <w:p w14:paraId="6AC14E2F">
            <w:pPr>
              <w:pStyle w:val="35"/>
              <w:rPr>
                <w:rFonts w:hint="eastAsia" w:ascii="宋体" w:hAnsi="宋体" w:eastAsia="宋体" w:cs="宋体"/>
                <w:color w:val="auto"/>
                <w:kern w:val="10"/>
                <w:sz w:val="24"/>
                <w:szCs w:val="24"/>
                <w:highlight w:val="none"/>
                <w:lang w:eastAsia="zh-CN"/>
              </w:rPr>
            </w:pPr>
            <w:r>
              <w:rPr>
                <w:rFonts w:hint="eastAsia" w:ascii="宋体" w:hAnsi="宋体" w:eastAsia="宋体" w:cs="宋体"/>
                <w:color w:val="auto"/>
                <w:sz w:val="24"/>
                <w:szCs w:val="24"/>
                <w:highlight w:val="none"/>
              </w:rPr>
              <w:t>三门峡市湖滨区师家渠村及周边棚户区改造（A地块）配套管网基础设施建设</w:t>
            </w:r>
            <w:r>
              <w:rPr>
                <w:rFonts w:hint="eastAsia" w:ascii="宋体" w:hAnsi="宋体" w:eastAsia="宋体" w:cs="宋体"/>
                <w:color w:val="auto"/>
                <w:sz w:val="24"/>
                <w:szCs w:val="24"/>
                <w:highlight w:val="none"/>
                <w:lang w:eastAsia="zh-CN"/>
              </w:rPr>
              <w:t>设计项目</w:t>
            </w:r>
            <w:r>
              <w:rPr>
                <w:rFonts w:hint="eastAsia" w:ascii="宋体" w:hAnsi="宋体" w:eastAsia="宋体" w:cs="宋体"/>
                <w:color w:val="auto"/>
                <w:sz w:val="24"/>
                <w:szCs w:val="24"/>
                <w:highlight w:val="none"/>
                <w:lang w:val="en-US" w:eastAsia="zh-CN"/>
              </w:rPr>
              <w:t>,总投资约1746万元，</w:t>
            </w:r>
            <w:r>
              <w:rPr>
                <w:rFonts w:hint="eastAsia" w:ascii="宋体" w:hAnsi="宋体" w:cs="宋体"/>
                <w:color w:val="auto"/>
                <w:sz w:val="24"/>
                <w:highlight w:val="none"/>
                <w:lang w:bidi="ar"/>
              </w:rPr>
              <w:t>设计的主要内容为</w:t>
            </w:r>
            <w:r>
              <w:rPr>
                <w:rFonts w:hint="eastAsia" w:ascii="宋体" w:hAnsi="宋体" w:eastAsia="宋体" w:cs="宋体"/>
                <w:b w:val="0"/>
                <w:bCs w:val="0"/>
                <w:color w:val="auto"/>
                <w:kern w:val="2"/>
                <w:sz w:val="24"/>
                <w:szCs w:val="24"/>
                <w:highlight w:val="none"/>
                <w:lang w:val="en-US" w:eastAsia="zh-CN" w:bidi="ar"/>
              </w:rPr>
              <w:t>更新改造、新建燃气管道、新建供水管道、新建排水管道、新建供热管道，</w:t>
            </w:r>
            <w:r>
              <w:rPr>
                <w:rFonts w:hint="eastAsia" w:ascii="宋体" w:hAnsi="宋体" w:cs="宋体"/>
                <w:color w:val="auto"/>
                <w:sz w:val="24"/>
                <w:highlight w:val="none"/>
                <w:lang w:val="en-US" w:eastAsia="zh-CN" w:bidi="ar"/>
              </w:rPr>
              <w:t>等改造内容</w:t>
            </w:r>
            <w:r>
              <w:rPr>
                <w:rFonts w:hint="eastAsia" w:ascii="宋体" w:hAnsi="宋体" w:cs="宋体"/>
                <w:color w:val="auto"/>
                <w:sz w:val="24"/>
                <w:highlight w:val="none"/>
                <w:lang w:eastAsia="zh-CN" w:bidi="ar"/>
              </w:rPr>
              <w:t>提供相关设计服务</w:t>
            </w:r>
            <w:r>
              <w:rPr>
                <w:rFonts w:hint="eastAsia" w:ascii="宋体" w:hAnsi="宋体" w:eastAsia="宋体" w:cs="宋体"/>
                <w:color w:val="auto"/>
                <w:sz w:val="24"/>
                <w:szCs w:val="24"/>
                <w:highlight w:val="none"/>
                <w:lang w:val="en-US" w:eastAsia="zh-CN"/>
              </w:rPr>
              <w:t>，具</w:t>
            </w:r>
            <w:r>
              <w:rPr>
                <w:rFonts w:hint="eastAsia" w:ascii="宋体" w:hAnsi="宋体" w:eastAsia="宋体"/>
                <w:color w:val="auto"/>
                <w:sz w:val="24"/>
                <w:szCs w:val="24"/>
                <w:highlight w:val="none"/>
              </w:rPr>
              <w:t>体要求详见竞争性磋商文件</w:t>
            </w:r>
            <w:r>
              <w:rPr>
                <w:rFonts w:hint="eastAsia" w:ascii="宋体" w:hAnsi="宋体" w:eastAsia="宋体"/>
                <w:color w:val="auto"/>
                <w:sz w:val="24"/>
                <w:szCs w:val="24"/>
                <w:highlight w:val="none"/>
                <w:lang w:eastAsia="zh-CN"/>
              </w:rPr>
              <w:t>；</w:t>
            </w:r>
          </w:p>
        </w:tc>
      </w:tr>
      <w:tr w14:paraId="709D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0905B33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磋商有效期</w:t>
            </w:r>
          </w:p>
        </w:tc>
        <w:tc>
          <w:tcPr>
            <w:tcW w:w="7778" w:type="dxa"/>
            <w:tcBorders>
              <w:top w:val="single" w:color="auto" w:sz="4" w:space="0"/>
              <w:left w:val="single" w:color="auto" w:sz="4" w:space="0"/>
              <w:bottom w:val="single" w:color="auto" w:sz="4" w:space="0"/>
              <w:right w:val="single" w:color="auto" w:sz="4" w:space="0"/>
            </w:tcBorders>
            <w:noWrap w:val="0"/>
            <w:vAlign w:val="center"/>
          </w:tcPr>
          <w:p w14:paraId="314D8468">
            <w:pPr>
              <w:pStyle w:val="35"/>
              <w:rPr>
                <w:rFonts w:hint="eastAsia" w:hAnsi="宋体"/>
                <w:color w:val="auto"/>
                <w:highlight w:val="none"/>
              </w:rPr>
            </w:pPr>
            <w:r>
              <w:rPr>
                <w:rFonts w:hint="eastAsia" w:ascii="宋体" w:hAnsi="宋体" w:cs="宋体"/>
                <w:color w:val="auto"/>
                <w:kern w:val="10"/>
                <w:sz w:val="24"/>
                <w:szCs w:val="24"/>
                <w:highlight w:val="none"/>
              </w:rPr>
              <w:t>提交响应文件截止</w:t>
            </w:r>
            <w:r>
              <w:rPr>
                <w:rFonts w:hint="eastAsia" w:ascii="宋体" w:hAnsi="宋体" w:cs="宋体"/>
                <w:color w:val="auto"/>
                <w:kern w:val="10"/>
                <w:sz w:val="24"/>
                <w:szCs w:val="24"/>
                <w:highlight w:val="none"/>
                <w:lang w:eastAsia="zh-CN"/>
              </w:rPr>
              <w:t>之日起</w:t>
            </w:r>
            <w:r>
              <w:rPr>
                <w:rFonts w:hint="eastAsia" w:ascii="宋体" w:hAnsi="宋体" w:cs="宋体"/>
                <w:color w:val="auto"/>
                <w:kern w:val="10"/>
                <w:sz w:val="24"/>
                <w:szCs w:val="24"/>
                <w:highlight w:val="none"/>
              </w:rPr>
              <w:t>60日历天，有效期短于该期限的</w:t>
            </w:r>
            <w:r>
              <w:rPr>
                <w:rFonts w:hint="eastAsia" w:ascii="宋体" w:hAnsi="宋体" w:cs="宋体"/>
                <w:color w:val="auto"/>
                <w:spacing w:val="-11"/>
                <w:sz w:val="24"/>
                <w:szCs w:val="24"/>
                <w:highlight w:val="none"/>
              </w:rPr>
              <w:t>响应文件</w:t>
            </w:r>
            <w:r>
              <w:rPr>
                <w:rFonts w:hint="eastAsia" w:ascii="宋体" w:hAnsi="宋体" w:cs="宋体"/>
                <w:color w:val="auto"/>
                <w:kern w:val="10"/>
                <w:sz w:val="24"/>
                <w:szCs w:val="24"/>
                <w:highlight w:val="none"/>
              </w:rPr>
              <w:t>将被拒绝。</w:t>
            </w:r>
          </w:p>
        </w:tc>
      </w:tr>
      <w:tr w14:paraId="7E7E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3B7915B4">
            <w:pPr>
              <w:spacing w:line="360" w:lineRule="auto"/>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服务要求</w:t>
            </w:r>
          </w:p>
        </w:tc>
        <w:tc>
          <w:tcPr>
            <w:tcW w:w="7778" w:type="dxa"/>
            <w:tcBorders>
              <w:top w:val="single" w:color="auto" w:sz="4" w:space="0"/>
              <w:left w:val="single" w:color="auto" w:sz="4" w:space="0"/>
              <w:bottom w:val="single" w:color="auto" w:sz="4" w:space="0"/>
              <w:right w:val="single" w:color="auto" w:sz="4" w:space="0"/>
            </w:tcBorders>
            <w:noWrap w:val="0"/>
            <w:vAlign w:val="center"/>
          </w:tcPr>
          <w:p w14:paraId="5C946030">
            <w:pPr>
              <w:pStyle w:val="35"/>
              <w:rPr>
                <w:rFonts w:hint="eastAsia" w:hAnsi="宋体"/>
                <w:color w:val="auto"/>
                <w:highlight w:val="none"/>
              </w:rPr>
            </w:pPr>
          </w:p>
        </w:tc>
      </w:tr>
      <w:tr w14:paraId="6E8E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2C2010BA">
            <w:pPr>
              <w:spacing w:line="360" w:lineRule="auto"/>
              <w:jc w:val="center"/>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lang w:eastAsia="zh-CN"/>
              </w:rPr>
              <w:t>设计周期</w:t>
            </w:r>
          </w:p>
        </w:tc>
        <w:tc>
          <w:tcPr>
            <w:tcW w:w="7778" w:type="dxa"/>
            <w:tcBorders>
              <w:top w:val="single" w:color="auto" w:sz="4" w:space="0"/>
              <w:left w:val="single" w:color="auto" w:sz="4" w:space="0"/>
              <w:bottom w:val="single" w:color="auto" w:sz="4" w:space="0"/>
              <w:right w:val="single" w:color="auto" w:sz="4" w:space="0"/>
            </w:tcBorders>
            <w:noWrap w:val="0"/>
            <w:vAlign w:val="center"/>
          </w:tcPr>
          <w:p w14:paraId="4B7E1E6E">
            <w:pPr>
              <w:pStyle w:val="35"/>
              <w:rPr>
                <w:rFonts w:hint="eastAsia" w:hAnsi="宋体"/>
                <w:color w:val="auto"/>
                <w:highlight w:val="none"/>
              </w:rPr>
            </w:pPr>
          </w:p>
        </w:tc>
      </w:tr>
      <w:tr w14:paraId="7A6F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3233CFFC">
            <w:pPr>
              <w:spacing w:line="360" w:lineRule="auto"/>
              <w:jc w:val="center"/>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lang w:eastAsia="zh-CN"/>
              </w:rPr>
              <w:t>质量要求</w:t>
            </w:r>
          </w:p>
        </w:tc>
        <w:tc>
          <w:tcPr>
            <w:tcW w:w="7778" w:type="dxa"/>
            <w:tcBorders>
              <w:top w:val="single" w:color="auto" w:sz="4" w:space="0"/>
              <w:left w:val="single" w:color="auto" w:sz="4" w:space="0"/>
              <w:bottom w:val="single" w:color="auto" w:sz="4" w:space="0"/>
              <w:right w:val="single" w:color="auto" w:sz="4" w:space="0"/>
            </w:tcBorders>
            <w:noWrap w:val="0"/>
            <w:vAlign w:val="center"/>
          </w:tcPr>
          <w:p w14:paraId="5DD4C835">
            <w:pPr>
              <w:spacing w:line="360" w:lineRule="auto"/>
              <w:rPr>
                <w:rFonts w:hint="eastAsia" w:ascii="宋体" w:hAnsi="宋体" w:cs="宋体"/>
                <w:color w:val="auto"/>
                <w:sz w:val="24"/>
                <w:szCs w:val="24"/>
                <w:highlight w:val="none"/>
                <w:u w:val="single"/>
              </w:rPr>
            </w:pPr>
          </w:p>
        </w:tc>
      </w:tr>
      <w:tr w14:paraId="0B08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005897E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c>
          <w:tcPr>
            <w:tcW w:w="7778" w:type="dxa"/>
            <w:tcBorders>
              <w:top w:val="single" w:color="auto" w:sz="4" w:space="0"/>
              <w:left w:val="single" w:color="auto" w:sz="4" w:space="0"/>
              <w:bottom w:val="single" w:color="auto" w:sz="4" w:space="0"/>
              <w:right w:val="single" w:color="auto" w:sz="4" w:space="0"/>
            </w:tcBorders>
            <w:noWrap w:val="0"/>
            <w:vAlign w:val="center"/>
          </w:tcPr>
          <w:p w14:paraId="4BE4BF78">
            <w:pPr>
              <w:pageBreakBefore w:val="0"/>
              <w:kinsoku/>
              <w:overflowPunct/>
              <w:topLinePunct w:val="0"/>
              <w:bidi w:val="0"/>
              <w:spacing w:line="360" w:lineRule="auto"/>
              <w:contextualSpacing/>
              <w:outlineLvl w:val="9"/>
              <w:rPr>
                <w:rFonts w:hint="eastAsia" w:ascii="宋体" w:hAnsi="宋体" w:cs="宋体"/>
                <w:color w:val="auto"/>
                <w:sz w:val="24"/>
                <w:szCs w:val="24"/>
                <w:highlight w:val="none"/>
                <w:u w:val="single"/>
              </w:rPr>
            </w:pPr>
            <w:r>
              <w:rPr>
                <w:rFonts w:hint="eastAsia" w:ascii="宋体" w:hAnsi="宋体" w:eastAsia="宋体" w:cs="宋体"/>
                <w:b/>
                <w:bCs/>
                <w:color w:val="auto"/>
                <w:sz w:val="24"/>
                <w:szCs w:val="24"/>
                <w:highlight w:val="none"/>
                <w:lang w:eastAsia="zh-CN"/>
              </w:rPr>
              <w:t>成交供应商的实际结算价以实际设计内容的项目金额乘以最终成交费率。</w:t>
            </w:r>
          </w:p>
        </w:tc>
      </w:tr>
    </w:tbl>
    <w:p w14:paraId="17AA8794">
      <w:pPr>
        <w:pageBreakBefore w:val="0"/>
        <w:kinsoku/>
        <w:overflowPunct/>
        <w:topLinePunct w:val="0"/>
        <w:bidi w:val="0"/>
        <w:adjustRightInd w:val="0"/>
        <w:spacing w:line="165" w:lineRule="atLeast"/>
        <w:outlineLvl w:val="9"/>
        <w:rPr>
          <w:rFonts w:ascii="宋体" w:hAnsi="宋体" w:cs="宋体"/>
          <w:color w:val="auto"/>
          <w:sz w:val="24"/>
          <w:highlight w:val="none"/>
        </w:rPr>
      </w:pPr>
    </w:p>
    <w:p w14:paraId="63095BA5">
      <w:pPr>
        <w:pageBreakBefore w:val="0"/>
        <w:kinsoku/>
        <w:overflowPunct/>
        <w:topLinePunct w:val="0"/>
        <w:bidi w:val="0"/>
        <w:adjustRightInd w:val="0"/>
        <w:spacing w:line="240" w:lineRule="exact"/>
        <w:ind w:firstLine="2623" w:firstLineChars="1093"/>
        <w:outlineLvl w:val="9"/>
        <w:rPr>
          <w:rFonts w:ascii="宋体" w:hAnsi="宋体" w:cs="宋体"/>
          <w:color w:val="auto"/>
          <w:sz w:val="24"/>
          <w:highlight w:val="none"/>
        </w:rPr>
      </w:pPr>
      <w:r>
        <w:rPr>
          <w:rFonts w:hint="eastAsia" w:ascii="宋体" w:hAnsi="宋体" w:cs="宋体"/>
          <w:color w:val="auto"/>
          <w:sz w:val="24"/>
          <w:highlight w:val="none"/>
        </w:rPr>
        <w:t xml:space="preserve">            </w:t>
      </w:r>
    </w:p>
    <w:p w14:paraId="5EF93A0A">
      <w:pPr>
        <w:pageBreakBefore w:val="0"/>
        <w:kinsoku/>
        <w:overflowPunct/>
        <w:topLinePunct w:val="0"/>
        <w:bidi w:val="0"/>
        <w:adjustRightInd w:val="0"/>
        <w:spacing w:line="240" w:lineRule="exact"/>
        <w:ind w:firstLine="2623" w:firstLineChars="1093"/>
        <w:jc w:val="right"/>
        <w:outlineLvl w:val="9"/>
        <w:rPr>
          <w:rFonts w:ascii="宋体" w:hAnsi="宋体" w:cs="宋体"/>
          <w:color w:val="auto"/>
          <w:sz w:val="24"/>
          <w:highlight w:val="none"/>
        </w:rPr>
      </w:pPr>
    </w:p>
    <w:p w14:paraId="24C36647">
      <w:pPr>
        <w:pageBreakBefore w:val="0"/>
        <w:kinsoku/>
        <w:overflowPunct/>
        <w:topLinePunct w:val="0"/>
        <w:bidi w:val="0"/>
        <w:adjustRightInd w:val="0"/>
        <w:spacing w:line="240" w:lineRule="exact"/>
        <w:ind w:firstLine="2623" w:firstLineChars="1093"/>
        <w:jc w:val="right"/>
        <w:outlineLvl w:val="9"/>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盖</w:t>
      </w:r>
      <w:r>
        <w:rPr>
          <w:rFonts w:hint="eastAsia" w:ascii="宋体" w:hAnsi="宋体" w:eastAsia="宋体" w:cs="宋体"/>
          <w:color w:val="auto"/>
          <w:sz w:val="24"/>
          <w:szCs w:val="24"/>
          <w:highlight w:val="none"/>
          <w:lang w:val="en-US" w:eastAsia="zh-CN"/>
        </w:rPr>
        <w:t>单位公章</w:t>
      </w:r>
      <w:r>
        <w:rPr>
          <w:rFonts w:hint="eastAsia" w:ascii="宋体" w:hAnsi="宋体" w:cs="宋体"/>
          <w:color w:val="auto"/>
          <w:sz w:val="24"/>
          <w:highlight w:val="none"/>
        </w:rPr>
        <w:t>）</w:t>
      </w:r>
    </w:p>
    <w:p w14:paraId="7FB788BF">
      <w:pPr>
        <w:pStyle w:val="18"/>
        <w:jc w:val="right"/>
        <w:rPr>
          <w:color w:val="auto"/>
          <w:highlight w:val="none"/>
        </w:rPr>
      </w:pPr>
    </w:p>
    <w:p w14:paraId="53DB6422">
      <w:pPr>
        <w:pageBreakBefore w:val="0"/>
        <w:kinsoku/>
        <w:overflowPunct/>
        <w:topLinePunct w:val="0"/>
        <w:bidi w:val="0"/>
        <w:adjustRightInd w:val="0"/>
        <w:spacing w:line="240" w:lineRule="exact"/>
        <w:ind w:firstLine="3583" w:firstLineChars="1493"/>
        <w:jc w:val="both"/>
        <w:outlineLvl w:val="9"/>
        <w:rPr>
          <w:rFonts w:hint="eastAsia" w:ascii="宋体" w:hAnsi="宋体" w:cs="宋体"/>
          <w:color w:val="auto"/>
          <w:sz w:val="24"/>
          <w:highlight w:val="none"/>
        </w:rPr>
      </w:pPr>
      <w:r>
        <w:rPr>
          <w:rFonts w:hint="eastAsia" w:ascii="宋体" w:hAnsi="宋体" w:cs="宋体"/>
          <w:color w:val="auto"/>
          <w:sz w:val="24"/>
          <w:highlight w:val="none"/>
        </w:rPr>
        <w:t>法定代表人</w:t>
      </w:r>
    </w:p>
    <w:p w14:paraId="2D49EF91">
      <w:pPr>
        <w:pageBreakBefore w:val="0"/>
        <w:kinsoku/>
        <w:overflowPunct/>
        <w:topLinePunct w:val="0"/>
        <w:bidi w:val="0"/>
        <w:adjustRightInd w:val="0"/>
        <w:spacing w:line="240" w:lineRule="exact"/>
        <w:ind w:firstLine="2295" w:firstLineChars="1093"/>
        <w:jc w:val="center"/>
        <w:outlineLvl w:val="9"/>
        <w:rPr>
          <w:rFonts w:ascii="宋体" w:hAnsi="宋体" w:cs="宋体"/>
          <w:color w:val="auto"/>
          <w:sz w:val="24"/>
          <w:highlight w:val="none"/>
        </w:rPr>
      </w:pPr>
      <w:r>
        <w:rPr>
          <w:rFonts w:hint="eastAsia" w:hAnsi="宋体"/>
          <w:bCs/>
          <w:color w:val="auto"/>
          <w:highlight w:val="none"/>
          <w:lang w:val="en-US" w:eastAsia="zh-CN"/>
        </w:rPr>
        <w:t xml:space="preserve">            </w:t>
      </w:r>
      <w:r>
        <w:rPr>
          <w:rFonts w:hint="eastAsia" w:hAnsi="宋体"/>
          <w:bCs/>
          <w:color w:val="auto"/>
          <w:highlight w:val="none"/>
          <w:lang w:eastAsia="zh-CN"/>
        </w:rPr>
        <w:t>（</w:t>
      </w:r>
      <w:r>
        <w:rPr>
          <w:rFonts w:hint="eastAsia" w:hAnsi="宋体"/>
          <w:bCs/>
          <w:color w:val="auto"/>
          <w:highlight w:val="none"/>
          <w:lang w:val="en-US" w:eastAsia="zh-CN"/>
        </w:rPr>
        <w:t>自然人或者经营者</w:t>
      </w:r>
      <w:r>
        <w:rPr>
          <w:rFonts w:hint="eastAsia" w:hAnsi="宋体"/>
          <w:bCs/>
          <w:color w:val="auto"/>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ascii="宋体" w:hAnsi="宋体" w:cs="宋体"/>
          <w:color w:val="auto"/>
          <w:sz w:val="24"/>
          <w:highlight w:val="none"/>
        </w:rPr>
        <w:t>）</w:t>
      </w:r>
    </w:p>
    <w:p w14:paraId="00865218">
      <w:pPr>
        <w:pageBreakBefore w:val="0"/>
        <w:kinsoku/>
        <w:overflowPunct/>
        <w:topLinePunct w:val="0"/>
        <w:bidi w:val="0"/>
        <w:adjustRightInd w:val="0"/>
        <w:spacing w:line="240" w:lineRule="exact"/>
        <w:outlineLvl w:val="9"/>
        <w:rPr>
          <w:rFonts w:ascii="宋体" w:hAnsi="宋体" w:cs="宋体"/>
          <w:color w:val="auto"/>
          <w:sz w:val="24"/>
          <w:highlight w:val="none"/>
        </w:rPr>
      </w:pPr>
    </w:p>
    <w:p w14:paraId="73E11DE6">
      <w:pPr>
        <w:pageBreakBefore w:val="0"/>
        <w:kinsoku/>
        <w:overflowPunct/>
        <w:topLinePunct w:val="0"/>
        <w:bidi w:val="0"/>
        <w:outlineLvl w:val="9"/>
        <w:rPr>
          <w:rFonts w:ascii="宋体" w:hAnsi="宋体" w:cs="宋体"/>
          <w:b/>
          <w:color w:val="auto"/>
          <w:sz w:val="24"/>
          <w:highlight w:val="none"/>
        </w:rPr>
      </w:pPr>
      <w:r>
        <w:rPr>
          <w:rFonts w:hint="eastAsia" w:ascii="宋体" w:hAnsi="宋体" w:cs="宋体"/>
          <w:color w:val="auto"/>
          <w:sz w:val="24"/>
          <w:highlight w:val="none"/>
        </w:rPr>
        <w:t xml:space="preserve">                                                     年    月    日</w:t>
      </w:r>
    </w:p>
    <w:p w14:paraId="4CFC4BB3">
      <w:pPr>
        <w:pageBreakBefore w:val="0"/>
        <w:widowControl/>
        <w:kinsoku/>
        <w:overflowPunct/>
        <w:topLinePunct w:val="0"/>
        <w:bidi w:val="0"/>
        <w:jc w:val="left"/>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66A49DC">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bookmarkStart w:id="523" w:name="_Toc23613"/>
      <w:r>
        <w:rPr>
          <w:rFonts w:hint="eastAsia" w:ascii="宋体" w:hAnsi="宋体" w:eastAsia="宋体" w:cs="宋体"/>
          <w:b/>
          <w:bCs/>
          <w:color w:val="auto"/>
          <w:sz w:val="32"/>
          <w:szCs w:val="32"/>
          <w:highlight w:val="none"/>
        </w:rPr>
        <w:t>二、法定代表人</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自然人或者经营者</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身份证明及授权委托书</w:t>
      </w:r>
      <w:bookmarkEnd w:id="516"/>
      <w:bookmarkEnd w:id="517"/>
      <w:bookmarkEnd w:id="523"/>
      <w:bookmarkStart w:id="524" w:name="_Toc234382962"/>
      <w:bookmarkEnd w:id="524"/>
      <w:bookmarkStart w:id="525" w:name="_Toc387671317"/>
      <w:bookmarkEnd w:id="525"/>
      <w:bookmarkStart w:id="526" w:name="_Toc387671679"/>
      <w:bookmarkEnd w:id="526"/>
      <w:bookmarkStart w:id="527" w:name="_Toc387669603"/>
      <w:bookmarkEnd w:id="527"/>
    </w:p>
    <w:p w14:paraId="7BEE4B0E">
      <w:pPr>
        <w:keepNext w:val="0"/>
        <w:keepLines w:val="0"/>
        <w:pageBreakBefore w:val="0"/>
        <w:widowControl w:val="0"/>
        <w:kinsoku/>
        <w:wordWrap/>
        <w:overflowPunct/>
        <w:topLinePunct w:val="0"/>
        <w:autoSpaceDE/>
        <w:autoSpaceDN/>
        <w:bidi w:val="0"/>
        <w:adjustRightInd/>
        <w:snapToGrid/>
        <w:spacing w:line="360" w:lineRule="auto"/>
        <w:ind w:firstLine="198"/>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（一）法定代表人</w:t>
      </w:r>
      <w:r>
        <w:rPr>
          <w:rFonts w:hint="eastAsia" w:hAnsi="宋体"/>
          <w:bCs/>
          <w:color w:val="auto"/>
          <w:highlight w:val="none"/>
          <w:lang w:eastAsia="zh-CN"/>
        </w:rPr>
        <w:t>（</w:t>
      </w:r>
      <w:r>
        <w:rPr>
          <w:rFonts w:hint="eastAsia" w:hAnsi="宋体"/>
          <w:bCs/>
          <w:color w:val="auto"/>
          <w:highlight w:val="none"/>
          <w:lang w:val="en-US" w:eastAsia="zh-CN"/>
        </w:rPr>
        <w:t>自然人或者经营者</w:t>
      </w:r>
      <w:r>
        <w:rPr>
          <w:rFonts w:hint="eastAsia" w:hAnsi="宋体"/>
          <w:bCs/>
          <w:color w:val="auto"/>
          <w:highlight w:val="none"/>
          <w:lang w:eastAsia="zh-CN"/>
        </w:rPr>
        <w:t>）</w:t>
      </w:r>
      <w:r>
        <w:rPr>
          <w:rFonts w:hint="eastAsia" w:ascii="宋体" w:hAnsi="宋体" w:eastAsia="宋体" w:cs="宋体"/>
          <w:b/>
          <w:bCs/>
          <w:color w:val="auto"/>
          <w:sz w:val="28"/>
          <w:szCs w:val="28"/>
          <w:highlight w:val="none"/>
        </w:rPr>
        <w:t>身份证明</w:t>
      </w:r>
    </w:p>
    <w:p w14:paraId="1EAC1A18">
      <w:pPr>
        <w:pageBreakBefore w:val="0"/>
        <w:kinsoku/>
        <w:overflowPunct/>
        <w:topLinePunct w:val="0"/>
        <w:bidi w:val="0"/>
        <w:spacing w:line="560" w:lineRule="exact"/>
        <w:ind w:left="718" w:leftChars="342"/>
        <w:outlineLvl w:val="9"/>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A830A05">
      <w:pPr>
        <w:pageBreakBefore w:val="0"/>
        <w:kinsoku/>
        <w:overflowPunct/>
        <w:topLinePunct w:val="0"/>
        <w:bidi w:val="0"/>
        <w:spacing w:line="560" w:lineRule="exact"/>
        <w:ind w:left="718" w:leftChars="342"/>
        <w:outlineLvl w:val="9"/>
        <w:rPr>
          <w:rFonts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p>
    <w:p w14:paraId="0ACFDCB0">
      <w:pPr>
        <w:pageBreakBefore w:val="0"/>
        <w:kinsoku/>
        <w:overflowPunct/>
        <w:topLinePunct w:val="0"/>
        <w:bidi w:val="0"/>
        <w:spacing w:line="560" w:lineRule="exact"/>
        <w:ind w:left="718" w:leftChars="342"/>
        <w:outlineLvl w:val="9"/>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EA35B2D">
      <w:pPr>
        <w:pageBreakBefore w:val="0"/>
        <w:kinsoku/>
        <w:overflowPunct/>
        <w:topLinePunct w:val="0"/>
        <w:bidi w:val="0"/>
        <w:spacing w:line="560" w:lineRule="exact"/>
        <w:ind w:left="718" w:leftChars="342"/>
        <w:outlineLvl w:val="9"/>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1F614DD">
      <w:pPr>
        <w:pageBreakBefore w:val="0"/>
        <w:kinsoku/>
        <w:overflowPunct/>
        <w:topLinePunct w:val="0"/>
        <w:bidi w:val="0"/>
        <w:spacing w:line="560" w:lineRule="exact"/>
        <w:ind w:left="718" w:leftChars="342"/>
        <w:outlineLvl w:val="9"/>
        <w:rPr>
          <w:rFonts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14:paraId="3765D072">
      <w:pPr>
        <w:pageBreakBefore w:val="0"/>
        <w:kinsoku/>
        <w:overflowPunct/>
        <w:topLinePunct w:val="0"/>
        <w:bidi w:val="0"/>
        <w:spacing w:line="560" w:lineRule="exact"/>
        <w:ind w:left="718" w:leftChars="342"/>
        <w:outlineLvl w:val="9"/>
        <w:rPr>
          <w:rFonts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14:paraId="576512B1">
      <w:pPr>
        <w:pageBreakBefore w:val="0"/>
        <w:kinsoku/>
        <w:overflowPunct/>
        <w:topLinePunct w:val="0"/>
        <w:bidi w:val="0"/>
        <w:spacing w:line="560" w:lineRule="exact"/>
        <w:ind w:left="718" w:leftChars="342"/>
        <w:outlineLvl w:val="9"/>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（供应商单位名称）的法定代表人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自然人或者经营者</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677B0401">
      <w:pPr>
        <w:pageBreakBefore w:val="0"/>
        <w:kinsoku/>
        <w:overflowPunct/>
        <w:topLinePunct w:val="0"/>
        <w:bidi w:val="0"/>
        <w:spacing w:line="440" w:lineRule="exact"/>
        <w:ind w:left="718" w:leftChars="342"/>
        <w:outlineLvl w:val="9"/>
        <w:rPr>
          <w:rFonts w:ascii="宋体" w:hAnsi="宋体" w:cs="宋体"/>
          <w:color w:val="auto"/>
          <w:sz w:val="24"/>
          <w:highlight w:val="none"/>
        </w:rPr>
      </w:pPr>
      <w:r>
        <w:rPr>
          <w:rFonts w:hint="eastAsia" w:ascii="宋体" w:hAnsi="宋体" w:cs="宋体"/>
          <w:color w:val="auto"/>
          <w:sz w:val="24"/>
          <w:highlight w:val="none"/>
        </w:rPr>
        <w:t>特此证明。</w:t>
      </w:r>
    </w:p>
    <w:p w14:paraId="2E3517A4">
      <w:pPr>
        <w:pageBreakBefore w:val="0"/>
        <w:kinsoku/>
        <w:overflowPunct/>
        <w:topLinePunct w:val="0"/>
        <w:bidi w:val="0"/>
        <w:spacing w:line="440" w:lineRule="exact"/>
        <w:outlineLvl w:val="9"/>
        <w:rPr>
          <w:rFonts w:ascii="宋体" w:hAnsi="宋体" w:cs="宋体"/>
          <w:color w:val="auto"/>
          <w:sz w:val="24"/>
          <w:highlight w:val="none"/>
        </w:rPr>
      </w:pPr>
    </w:p>
    <w:p w14:paraId="49AD5537">
      <w:pPr>
        <w:pageBreakBefore w:val="0"/>
        <w:kinsoku/>
        <w:overflowPunct/>
        <w:topLinePunct w:val="0"/>
        <w:bidi w:val="0"/>
        <w:spacing w:line="560" w:lineRule="exact"/>
        <w:ind w:left="718" w:leftChars="342"/>
        <w:outlineLvl w:val="9"/>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附：法定代表人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自然人或者经营者</w:t>
      </w:r>
      <w:r>
        <w:rPr>
          <w:rFonts w:hint="eastAsia" w:ascii="宋体" w:hAnsi="宋体" w:cs="宋体"/>
          <w:color w:val="auto"/>
          <w:sz w:val="24"/>
          <w:highlight w:val="none"/>
          <w:lang w:eastAsia="zh-CN"/>
        </w:rPr>
        <w:t>）</w:t>
      </w:r>
      <w:r>
        <w:rPr>
          <w:rFonts w:hint="eastAsia" w:ascii="宋体" w:hAnsi="宋体" w:cs="宋体"/>
          <w:color w:val="auto"/>
          <w:sz w:val="24"/>
          <w:highlight w:val="none"/>
        </w:rPr>
        <w:t>身份证</w:t>
      </w:r>
      <w:r>
        <w:rPr>
          <w:rFonts w:hint="eastAsia" w:ascii="宋体" w:hAnsi="宋体" w:cs="宋体"/>
          <w:color w:val="auto"/>
          <w:sz w:val="24"/>
          <w:highlight w:val="none"/>
          <w:lang w:val="en-US" w:eastAsia="zh-CN"/>
        </w:rPr>
        <w:t>的原件扫描件。</w:t>
      </w:r>
    </w:p>
    <w:p w14:paraId="5A8C0877">
      <w:pPr>
        <w:pageBreakBefore w:val="0"/>
        <w:kinsoku/>
        <w:overflowPunct/>
        <w:topLinePunct w:val="0"/>
        <w:bidi w:val="0"/>
        <w:spacing w:line="440" w:lineRule="exact"/>
        <w:outlineLvl w:val="9"/>
        <w:rPr>
          <w:rFonts w:ascii="宋体" w:hAnsi="宋体" w:cs="宋体"/>
          <w:color w:val="auto"/>
          <w:sz w:val="24"/>
          <w:highlight w:val="none"/>
        </w:rPr>
      </w:pPr>
    </w:p>
    <w:p w14:paraId="65E6EE97">
      <w:pPr>
        <w:pageBreakBefore w:val="0"/>
        <w:kinsoku/>
        <w:overflowPunct/>
        <w:topLinePunct w:val="0"/>
        <w:bidi w:val="0"/>
        <w:spacing w:line="440" w:lineRule="exact"/>
        <w:outlineLvl w:val="9"/>
        <w:rPr>
          <w:rFonts w:ascii="宋体" w:hAnsi="宋体" w:cs="宋体"/>
          <w:color w:val="auto"/>
          <w:sz w:val="24"/>
          <w:highlight w:val="none"/>
        </w:rPr>
      </w:pPr>
    </w:p>
    <w:p w14:paraId="5E54E9E1">
      <w:pPr>
        <w:pageBreakBefore w:val="0"/>
        <w:kinsoku/>
        <w:overflowPunct/>
        <w:topLinePunct w:val="0"/>
        <w:bidi w:val="0"/>
        <w:spacing w:line="440" w:lineRule="exact"/>
        <w:jc w:val="right"/>
        <w:outlineLvl w:val="9"/>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盖</w:t>
      </w:r>
      <w:r>
        <w:rPr>
          <w:rFonts w:hint="eastAsia" w:ascii="宋体" w:hAnsi="宋体" w:eastAsia="宋体" w:cs="宋体"/>
          <w:color w:val="auto"/>
          <w:sz w:val="24"/>
          <w:szCs w:val="24"/>
          <w:highlight w:val="none"/>
          <w:lang w:val="en-US" w:eastAsia="zh-CN"/>
        </w:rPr>
        <w:t>单位公章</w:t>
      </w:r>
      <w:r>
        <w:rPr>
          <w:rFonts w:hint="eastAsia" w:ascii="宋体" w:hAnsi="宋体" w:cs="宋体"/>
          <w:color w:val="auto"/>
          <w:sz w:val="24"/>
          <w:highlight w:val="none"/>
        </w:rPr>
        <w:t>）</w:t>
      </w:r>
    </w:p>
    <w:p w14:paraId="3F817FF7">
      <w:pPr>
        <w:pStyle w:val="35"/>
        <w:pageBreakBefore w:val="0"/>
        <w:kinsoku/>
        <w:overflowPunct/>
        <w:topLinePunct w:val="0"/>
        <w:bidi w:val="0"/>
        <w:outlineLvl w:val="9"/>
        <w:rPr>
          <w:rFonts w:hAnsi="宋体"/>
          <w:color w:val="auto"/>
          <w:highlight w:val="none"/>
        </w:rPr>
      </w:pPr>
    </w:p>
    <w:p w14:paraId="3F17AFE3">
      <w:pPr>
        <w:pStyle w:val="6"/>
        <w:pageBreakBefore w:val="0"/>
        <w:kinsoku/>
        <w:overflowPunct/>
        <w:topLinePunct w:val="0"/>
        <w:bidi w:val="0"/>
        <w:spacing w:line="480" w:lineRule="auto"/>
        <w:ind w:right="480" w:firstLine="480"/>
        <w:jc w:val="right"/>
        <w:outlineLvl w:val="9"/>
        <w:rPr>
          <w:rFonts w:hAnsi="宋体" w:eastAsia="宋体" w:cs="宋体"/>
          <w:color w:val="auto"/>
          <w:kern w:val="2"/>
          <w:szCs w:val="22"/>
          <w:highlight w:val="none"/>
        </w:rPr>
      </w:pPr>
      <w:r>
        <w:rPr>
          <w:rFonts w:hint="eastAsia" w:hAnsi="宋体" w:eastAsia="宋体" w:cs="宋体"/>
          <w:color w:val="auto"/>
          <w:highlight w:val="none"/>
        </w:rPr>
        <w:t xml:space="preserve">     </w:t>
      </w:r>
      <w:r>
        <w:rPr>
          <w:rFonts w:hint="eastAsia" w:hAnsi="宋体" w:eastAsia="宋体" w:cs="宋体"/>
          <w:color w:val="auto"/>
          <w:highlight w:val="none"/>
          <w:u w:val="single"/>
        </w:rPr>
        <w:t xml:space="preserve"> </w:t>
      </w:r>
      <w:r>
        <w:rPr>
          <w:rFonts w:hint="eastAsia" w:hAnsi="宋体" w:eastAsia="宋体" w:cs="宋体"/>
          <w:color w:val="auto"/>
          <w:kern w:val="2"/>
          <w:szCs w:val="22"/>
          <w:highlight w:val="none"/>
          <w:u w:val="single"/>
        </w:rPr>
        <w:t xml:space="preserve">    </w:t>
      </w:r>
      <w:r>
        <w:rPr>
          <w:rFonts w:hint="eastAsia" w:hAnsi="宋体" w:eastAsia="宋体" w:cs="宋体"/>
          <w:color w:val="auto"/>
          <w:kern w:val="2"/>
          <w:szCs w:val="22"/>
          <w:highlight w:val="none"/>
        </w:rPr>
        <w:t>年</w:t>
      </w:r>
      <w:r>
        <w:rPr>
          <w:rFonts w:hint="eastAsia" w:hAnsi="宋体" w:eastAsia="宋体" w:cs="宋体"/>
          <w:color w:val="auto"/>
          <w:kern w:val="2"/>
          <w:szCs w:val="22"/>
          <w:highlight w:val="none"/>
          <w:u w:val="single"/>
        </w:rPr>
        <w:t xml:space="preserve">     </w:t>
      </w:r>
      <w:r>
        <w:rPr>
          <w:rFonts w:hint="eastAsia" w:hAnsi="宋体" w:eastAsia="宋体" w:cs="宋体"/>
          <w:color w:val="auto"/>
          <w:kern w:val="2"/>
          <w:szCs w:val="22"/>
          <w:highlight w:val="none"/>
        </w:rPr>
        <w:t>月</w:t>
      </w:r>
      <w:r>
        <w:rPr>
          <w:rFonts w:hint="eastAsia" w:hAnsi="宋体" w:eastAsia="宋体" w:cs="宋体"/>
          <w:color w:val="auto"/>
          <w:kern w:val="2"/>
          <w:szCs w:val="22"/>
          <w:highlight w:val="none"/>
          <w:u w:val="single"/>
        </w:rPr>
        <w:t xml:space="preserve">     </w:t>
      </w:r>
      <w:r>
        <w:rPr>
          <w:rFonts w:hint="eastAsia" w:hAnsi="宋体" w:eastAsia="宋体" w:cs="宋体"/>
          <w:color w:val="auto"/>
          <w:kern w:val="2"/>
          <w:szCs w:val="22"/>
          <w:highlight w:val="none"/>
        </w:rPr>
        <w:t>日</w:t>
      </w:r>
    </w:p>
    <w:p w14:paraId="57C3FE5B">
      <w:pPr>
        <w:pageBreakBefore w:val="0"/>
        <w:kinsoku/>
        <w:overflowPunct/>
        <w:topLinePunct w:val="0"/>
        <w:bidi w:val="0"/>
        <w:spacing w:line="360" w:lineRule="auto"/>
        <w:ind w:firstLine="200"/>
        <w:outlineLvl w:val="9"/>
        <w:rPr>
          <w:rFonts w:hint="eastAsia" w:ascii="宋体" w:hAnsi="宋体" w:eastAsia="宋体" w:cs="宋体"/>
          <w:color w:val="auto"/>
          <w:sz w:val="24"/>
          <w:szCs w:val="24"/>
          <w:highlight w:val="none"/>
        </w:rPr>
      </w:pPr>
    </w:p>
    <w:p w14:paraId="196CAC03">
      <w:pPr>
        <w:pageBreakBefore w:val="0"/>
        <w:kinsoku/>
        <w:overflowPunct/>
        <w:topLinePunct w:val="0"/>
        <w:bidi w:val="0"/>
        <w:spacing w:line="360" w:lineRule="auto"/>
        <w:ind w:firstLine="200"/>
        <w:outlineLvl w:val="9"/>
        <w:rPr>
          <w:rFonts w:hint="eastAsia" w:ascii="宋体" w:hAnsi="宋体" w:eastAsia="宋体" w:cs="宋体"/>
          <w:color w:val="auto"/>
          <w:sz w:val="24"/>
          <w:szCs w:val="24"/>
          <w:highlight w:val="none"/>
        </w:rPr>
      </w:pPr>
    </w:p>
    <w:p w14:paraId="540A2E3C">
      <w:pPr>
        <w:pageBreakBefore w:val="0"/>
        <w:kinsoku/>
        <w:overflowPunct/>
        <w:topLinePunct w:val="0"/>
        <w:bidi w:val="0"/>
        <w:spacing w:line="360" w:lineRule="auto"/>
        <w:ind w:firstLine="200"/>
        <w:outlineLvl w:val="9"/>
        <w:rPr>
          <w:rFonts w:hint="eastAsia" w:ascii="宋体" w:hAnsi="宋体" w:eastAsia="宋体" w:cs="宋体"/>
          <w:color w:val="auto"/>
          <w:sz w:val="24"/>
          <w:szCs w:val="24"/>
          <w:highlight w:val="none"/>
        </w:rPr>
      </w:pPr>
    </w:p>
    <w:p w14:paraId="39D45945">
      <w:pPr>
        <w:pageBreakBefore w:val="0"/>
        <w:kinsoku/>
        <w:overflowPunct/>
        <w:topLinePunct w:val="0"/>
        <w:bidi w:val="0"/>
        <w:spacing w:line="360" w:lineRule="auto"/>
        <w:ind w:firstLine="200"/>
        <w:outlineLvl w:val="9"/>
        <w:rPr>
          <w:rFonts w:hint="eastAsia" w:ascii="宋体" w:hAnsi="宋体" w:eastAsia="宋体" w:cs="宋体"/>
          <w:color w:val="auto"/>
          <w:sz w:val="24"/>
          <w:szCs w:val="24"/>
          <w:highlight w:val="none"/>
        </w:rPr>
      </w:pPr>
    </w:p>
    <w:p w14:paraId="10FDD39D">
      <w:pPr>
        <w:pageBreakBefore w:val="0"/>
        <w:kinsoku/>
        <w:overflowPunct/>
        <w:topLinePunct w:val="0"/>
        <w:bidi w:val="0"/>
        <w:spacing w:line="360" w:lineRule="auto"/>
        <w:ind w:firstLine="200"/>
        <w:outlineLvl w:val="9"/>
        <w:rPr>
          <w:rFonts w:hint="eastAsia" w:ascii="宋体" w:hAnsi="宋体" w:eastAsia="宋体" w:cs="宋体"/>
          <w:color w:val="auto"/>
          <w:sz w:val="24"/>
          <w:szCs w:val="24"/>
          <w:highlight w:val="none"/>
        </w:rPr>
      </w:pPr>
    </w:p>
    <w:p w14:paraId="32F1C65C">
      <w:pPr>
        <w:pageBreakBefore w:val="0"/>
        <w:kinsoku/>
        <w:overflowPunct/>
        <w:topLinePunct w:val="0"/>
        <w:bidi w:val="0"/>
        <w:spacing w:line="360" w:lineRule="auto"/>
        <w:ind w:firstLine="200"/>
        <w:outlineLvl w:val="9"/>
        <w:rPr>
          <w:rFonts w:hint="eastAsia" w:ascii="宋体" w:hAnsi="宋体" w:eastAsia="宋体" w:cs="宋体"/>
          <w:color w:val="auto"/>
          <w:sz w:val="24"/>
          <w:szCs w:val="24"/>
          <w:highlight w:val="none"/>
        </w:rPr>
      </w:pPr>
    </w:p>
    <w:p w14:paraId="0229F7AA">
      <w:pPr>
        <w:pageBreakBefore w:val="0"/>
        <w:widowControl/>
        <w:kinsoku/>
        <w:overflowPunct/>
        <w:topLinePunct w:val="0"/>
        <w:bidi w:val="0"/>
        <w:jc w:val="center"/>
        <w:outlineLvl w:val="9"/>
        <w:rPr>
          <w:rFonts w:hint="eastAsia" w:ascii="宋体" w:hAnsi="宋体" w:eastAsia="宋体" w:cs="宋体"/>
          <w:color w:val="auto"/>
          <w:sz w:val="24"/>
          <w:szCs w:val="24"/>
          <w:highlight w:val="none"/>
        </w:rPr>
      </w:pPr>
      <w:bookmarkStart w:id="528" w:name="_Toc2342"/>
      <w:bookmarkStart w:id="529" w:name="_Toc5803"/>
      <w:r>
        <w:rPr>
          <w:rFonts w:hint="eastAsia" w:ascii="宋体" w:hAnsi="宋体" w:eastAsia="宋体" w:cs="宋体"/>
          <w:b/>
          <w:bCs/>
          <w:color w:val="auto"/>
          <w:sz w:val="28"/>
          <w:szCs w:val="28"/>
          <w:highlight w:val="none"/>
        </w:rPr>
        <w:t>（二）授权委托书</w:t>
      </w:r>
      <w:bookmarkEnd w:id="528"/>
      <w:bookmarkEnd w:id="529"/>
    </w:p>
    <w:p w14:paraId="50031B3A">
      <w:pPr>
        <w:pageBreakBefore w:val="0"/>
        <w:kinsoku/>
        <w:overflowPunct/>
        <w:topLinePunct w:val="0"/>
        <w:bidi w:val="0"/>
        <w:spacing w:line="500" w:lineRule="exact"/>
        <w:ind w:left="141" w:leftChars="67" w:firstLine="523" w:firstLineChars="218"/>
        <w:outlineLvl w:val="9"/>
        <w:rPr>
          <w:rFonts w:ascii="宋体" w:hAnsi="宋体" w:cs="宋体"/>
          <w:bCs/>
          <w:color w:val="auto"/>
          <w:sz w:val="24"/>
          <w:highlight w:val="none"/>
        </w:rPr>
      </w:pPr>
      <w:bookmarkStart w:id="530" w:name="_Toc69718843"/>
      <w:bookmarkEnd w:id="530"/>
      <w:bookmarkStart w:id="531" w:name="_Toc25646"/>
      <w:bookmarkStart w:id="532" w:name="_Toc21259"/>
      <w:r>
        <w:rPr>
          <w:rFonts w:hint="eastAsia" w:ascii="宋体" w:hAnsi="宋体" w:cs="宋体"/>
          <w:bCs/>
          <w:color w:val="auto"/>
          <w:sz w:val="24"/>
          <w:highlight w:val="none"/>
        </w:rPr>
        <w:t>本人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（姓名）系</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（供应商名称）的法定代表人</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自然人或者经营者</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，现委托</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（姓名）为我方代理人。代理人根据授权，以我方名义签署、澄清、说明、补正、递交、撤回、修改</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（项目名称）响应文件、签订合同和处理有关事宜，其法律后果由我方承担。</w:t>
      </w:r>
    </w:p>
    <w:p w14:paraId="761BF7D9">
      <w:pPr>
        <w:pageBreakBefore w:val="0"/>
        <w:kinsoku/>
        <w:overflowPunct/>
        <w:topLinePunct w:val="0"/>
        <w:bidi w:val="0"/>
        <w:spacing w:line="500" w:lineRule="exact"/>
        <w:ind w:left="567"/>
        <w:outlineLvl w:val="9"/>
        <w:rPr>
          <w:rFonts w:ascii="宋体" w:hAnsi="宋体" w:cs="宋体"/>
          <w:bCs/>
          <w:color w:val="auto"/>
          <w:sz w:val="24"/>
          <w:highlight w:val="none"/>
        </w:rPr>
      </w:pPr>
      <w:r>
        <w:rPr>
          <w:rFonts w:hint="eastAsia" w:ascii="宋体" w:hAnsi="宋体" w:cs="宋体"/>
          <w:bCs/>
          <w:color w:val="auto"/>
          <w:sz w:val="24"/>
          <w:highlight w:val="none"/>
        </w:rPr>
        <w:t>委托期限：</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p>
    <w:p w14:paraId="3905A9C7">
      <w:pPr>
        <w:pageBreakBefore w:val="0"/>
        <w:kinsoku/>
        <w:overflowPunct/>
        <w:topLinePunct w:val="0"/>
        <w:bidi w:val="0"/>
        <w:spacing w:line="500" w:lineRule="exact"/>
        <w:ind w:left="567"/>
        <w:outlineLvl w:val="9"/>
        <w:rPr>
          <w:rFonts w:ascii="宋体" w:hAnsi="宋体" w:cs="宋体"/>
          <w:bCs/>
          <w:color w:val="auto"/>
          <w:sz w:val="24"/>
          <w:highlight w:val="none"/>
        </w:rPr>
      </w:pPr>
      <w:r>
        <w:rPr>
          <w:rFonts w:hint="eastAsia" w:ascii="宋体" w:hAnsi="宋体" w:cs="宋体"/>
          <w:bCs/>
          <w:color w:val="auto"/>
          <w:sz w:val="24"/>
          <w:highlight w:val="none"/>
        </w:rPr>
        <w:t xml:space="preserve">代理人无转委托权。 </w:t>
      </w:r>
    </w:p>
    <w:p w14:paraId="69EE2B14">
      <w:pPr>
        <w:pageBreakBefore w:val="0"/>
        <w:kinsoku/>
        <w:overflowPunct/>
        <w:topLinePunct w:val="0"/>
        <w:bidi w:val="0"/>
        <w:spacing w:line="500" w:lineRule="exact"/>
        <w:ind w:firstLine="648" w:firstLineChars="270"/>
        <w:outlineLvl w:val="9"/>
        <w:rPr>
          <w:rFonts w:ascii="宋体" w:hAnsi="宋体" w:cs="宋体"/>
          <w:bCs/>
          <w:color w:val="auto"/>
          <w:sz w:val="24"/>
          <w:highlight w:val="none"/>
        </w:rPr>
      </w:pPr>
    </w:p>
    <w:p w14:paraId="156B401A">
      <w:pPr>
        <w:pageBreakBefore w:val="0"/>
        <w:kinsoku/>
        <w:overflowPunct/>
        <w:topLinePunct w:val="0"/>
        <w:bidi w:val="0"/>
        <w:spacing w:line="500" w:lineRule="exact"/>
        <w:ind w:left="567"/>
        <w:outlineLvl w:val="9"/>
        <w:rPr>
          <w:rFonts w:hint="default" w:ascii="宋体" w:hAnsi="宋体" w:cs="宋体" w:eastAsiaTheme="minorEastAsia"/>
          <w:bCs/>
          <w:color w:val="auto"/>
          <w:sz w:val="24"/>
          <w:highlight w:val="none"/>
          <w:lang w:val="en-US" w:eastAsia="zh-CN"/>
        </w:rPr>
      </w:pPr>
      <w:r>
        <w:rPr>
          <w:rFonts w:hint="eastAsia" w:ascii="宋体" w:hAnsi="宋体" w:cs="宋体"/>
          <w:bCs/>
          <w:color w:val="auto"/>
          <w:sz w:val="24"/>
          <w:highlight w:val="none"/>
        </w:rPr>
        <w:t>附：委托代理人身份证</w:t>
      </w:r>
      <w:r>
        <w:rPr>
          <w:rFonts w:hint="eastAsia" w:ascii="宋体" w:hAnsi="宋体" w:cs="宋体"/>
          <w:bCs/>
          <w:color w:val="auto"/>
          <w:sz w:val="24"/>
          <w:highlight w:val="none"/>
          <w:lang w:val="en-US" w:eastAsia="zh-CN"/>
        </w:rPr>
        <w:t>的原件扫描件。</w:t>
      </w:r>
    </w:p>
    <w:p w14:paraId="430A6E53">
      <w:pPr>
        <w:pageBreakBefore w:val="0"/>
        <w:kinsoku/>
        <w:overflowPunct/>
        <w:topLinePunct w:val="0"/>
        <w:bidi w:val="0"/>
        <w:spacing w:line="440" w:lineRule="exact"/>
        <w:ind w:left="840"/>
        <w:outlineLvl w:val="9"/>
        <w:rPr>
          <w:rFonts w:ascii="宋体" w:hAnsi="宋体" w:cs="宋体"/>
          <w:bCs/>
          <w:color w:val="auto"/>
          <w:sz w:val="24"/>
          <w:highlight w:val="none"/>
        </w:rPr>
      </w:pPr>
    </w:p>
    <w:p w14:paraId="69325168">
      <w:pPr>
        <w:pageBreakBefore w:val="0"/>
        <w:kinsoku/>
        <w:overflowPunct/>
        <w:topLinePunct w:val="0"/>
        <w:bidi w:val="0"/>
        <w:spacing w:line="440" w:lineRule="exact"/>
        <w:ind w:left="840"/>
        <w:outlineLvl w:val="9"/>
        <w:rPr>
          <w:rFonts w:ascii="宋体" w:hAnsi="宋体" w:cs="宋体"/>
          <w:bCs/>
          <w:color w:val="auto"/>
          <w:sz w:val="24"/>
          <w:highlight w:val="none"/>
        </w:rPr>
      </w:pPr>
    </w:p>
    <w:p w14:paraId="375EF360">
      <w:pPr>
        <w:pageBreakBefore w:val="0"/>
        <w:kinsoku/>
        <w:overflowPunct/>
        <w:topLinePunct w:val="0"/>
        <w:bidi w:val="0"/>
        <w:spacing w:line="440" w:lineRule="exact"/>
        <w:jc w:val="center"/>
        <w:outlineLvl w:val="9"/>
        <w:rPr>
          <w:rFonts w:ascii="宋体" w:hAnsi="宋体" w:cs="宋体"/>
          <w:bCs/>
          <w:color w:val="auto"/>
          <w:sz w:val="24"/>
          <w:highlight w:val="none"/>
        </w:rPr>
      </w:pPr>
      <w:r>
        <w:rPr>
          <w:rFonts w:hint="eastAsia" w:ascii="宋体" w:hAnsi="宋体" w:cs="宋体"/>
          <w:bCs/>
          <w:color w:val="auto"/>
          <w:sz w:val="24"/>
          <w:highlight w:val="none"/>
        </w:rPr>
        <w:t xml:space="preserve">                                  供应商：</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r>
        <w:rPr>
          <w:rFonts w:hint="eastAsia" w:ascii="宋体" w:hAnsi="宋体" w:cs="宋体"/>
          <w:color w:val="auto"/>
          <w:sz w:val="24"/>
          <w:highlight w:val="none"/>
          <w:lang w:eastAsia="zh-CN"/>
        </w:rPr>
        <w:t>盖</w:t>
      </w:r>
      <w:r>
        <w:rPr>
          <w:rFonts w:hint="eastAsia" w:ascii="宋体" w:hAnsi="宋体" w:eastAsia="宋体" w:cs="宋体"/>
          <w:color w:val="auto"/>
          <w:sz w:val="24"/>
          <w:szCs w:val="24"/>
          <w:highlight w:val="none"/>
          <w:lang w:val="en-US" w:eastAsia="zh-CN"/>
        </w:rPr>
        <w:t>单位公章</w:t>
      </w:r>
      <w:r>
        <w:rPr>
          <w:rFonts w:hint="eastAsia" w:ascii="宋体" w:hAnsi="宋体" w:cs="宋体"/>
          <w:bCs/>
          <w:color w:val="auto"/>
          <w:sz w:val="24"/>
          <w:highlight w:val="none"/>
        </w:rPr>
        <w:t>）</w:t>
      </w:r>
    </w:p>
    <w:p w14:paraId="37965C30">
      <w:pPr>
        <w:pageBreakBefore w:val="0"/>
        <w:kinsoku/>
        <w:overflowPunct/>
        <w:topLinePunct w:val="0"/>
        <w:bidi w:val="0"/>
        <w:spacing w:line="440" w:lineRule="exact"/>
        <w:ind w:left="3570"/>
        <w:jc w:val="right"/>
        <w:outlineLvl w:val="9"/>
        <w:rPr>
          <w:rFonts w:ascii="宋体" w:hAnsi="宋体" w:cs="宋体"/>
          <w:bCs/>
          <w:color w:val="auto"/>
          <w:sz w:val="24"/>
          <w:highlight w:val="none"/>
        </w:rPr>
      </w:pPr>
      <w:r>
        <w:rPr>
          <w:rFonts w:hint="eastAsia" w:ascii="宋体" w:hAnsi="宋体" w:cs="宋体"/>
          <w:bCs/>
          <w:color w:val="auto"/>
          <w:sz w:val="24"/>
          <w:highlight w:val="none"/>
        </w:rPr>
        <w:t xml:space="preserve"> </w:t>
      </w:r>
    </w:p>
    <w:p w14:paraId="48206863">
      <w:pPr>
        <w:pageBreakBefore w:val="0"/>
        <w:kinsoku/>
        <w:overflowPunct/>
        <w:topLinePunct w:val="0"/>
        <w:bidi w:val="0"/>
        <w:spacing w:line="440" w:lineRule="exact"/>
        <w:jc w:val="center"/>
        <w:outlineLvl w:val="9"/>
        <w:rPr>
          <w:rFonts w:hint="eastAsia" w:ascii="宋体" w:hAnsi="宋体" w:cs="宋体"/>
          <w:bCs/>
          <w:color w:val="auto"/>
          <w:sz w:val="24"/>
          <w:highlight w:val="none"/>
        </w:rPr>
      </w:pPr>
      <w:r>
        <w:rPr>
          <w:rFonts w:hint="eastAsia" w:ascii="宋体" w:hAnsi="宋体" w:cs="宋体"/>
          <w:bCs/>
          <w:color w:val="auto"/>
          <w:sz w:val="24"/>
          <w:highlight w:val="none"/>
        </w:rPr>
        <w:t xml:space="preserve">        </w:t>
      </w:r>
      <w:r>
        <w:rPr>
          <w:rFonts w:hint="eastAsia" w:ascii="宋体" w:hAnsi="宋体" w:cs="宋体"/>
          <w:bCs/>
          <w:color w:val="auto"/>
          <w:sz w:val="24"/>
          <w:highlight w:val="none"/>
          <w:lang w:eastAsia="zh-CN"/>
        </w:rPr>
        <w:t>法定</w:t>
      </w:r>
      <w:r>
        <w:rPr>
          <w:rFonts w:hint="eastAsia" w:ascii="宋体" w:hAnsi="宋体" w:cs="宋体"/>
          <w:bCs/>
          <w:color w:val="auto"/>
          <w:sz w:val="24"/>
          <w:highlight w:val="none"/>
        </w:rPr>
        <w:t>代表人</w:t>
      </w:r>
    </w:p>
    <w:p w14:paraId="20D0F869">
      <w:pPr>
        <w:pageBreakBefore w:val="0"/>
        <w:kinsoku/>
        <w:overflowPunct/>
        <w:topLinePunct w:val="0"/>
        <w:bidi w:val="0"/>
        <w:spacing w:line="440" w:lineRule="exact"/>
        <w:jc w:val="right"/>
        <w:outlineLvl w:val="9"/>
        <w:rPr>
          <w:rFonts w:ascii="宋体" w:hAnsi="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自然人或者经营者</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lang w:bidi="ar"/>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ascii="宋体" w:hAnsi="宋体" w:cs="宋体"/>
          <w:color w:val="auto"/>
          <w:sz w:val="24"/>
          <w:highlight w:val="none"/>
          <w:lang w:bidi="ar"/>
        </w:rPr>
        <w:t>）</w:t>
      </w:r>
    </w:p>
    <w:p w14:paraId="007B2F29">
      <w:pPr>
        <w:pageBreakBefore w:val="0"/>
        <w:kinsoku/>
        <w:overflowPunct/>
        <w:topLinePunct w:val="0"/>
        <w:bidi w:val="0"/>
        <w:spacing w:line="440" w:lineRule="exact"/>
        <w:ind w:left="3570"/>
        <w:jc w:val="right"/>
        <w:outlineLvl w:val="9"/>
        <w:rPr>
          <w:rFonts w:ascii="宋体" w:hAnsi="宋体" w:cs="宋体"/>
          <w:bCs/>
          <w:color w:val="auto"/>
          <w:sz w:val="24"/>
          <w:highlight w:val="none"/>
        </w:rPr>
      </w:pPr>
      <w:r>
        <w:rPr>
          <w:rFonts w:hint="eastAsia" w:ascii="宋体" w:hAnsi="宋体" w:cs="宋体"/>
          <w:bCs/>
          <w:color w:val="auto"/>
          <w:sz w:val="24"/>
          <w:highlight w:val="none"/>
        </w:rPr>
        <w:t xml:space="preserve"> </w:t>
      </w:r>
    </w:p>
    <w:p w14:paraId="6CCB5A3C">
      <w:pPr>
        <w:pageBreakBefore w:val="0"/>
        <w:kinsoku/>
        <w:overflowPunct/>
        <w:topLinePunct w:val="0"/>
        <w:bidi w:val="0"/>
        <w:spacing w:line="440" w:lineRule="exact"/>
        <w:jc w:val="center"/>
        <w:outlineLvl w:val="9"/>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身份证号码：</w:t>
      </w:r>
      <w:r>
        <w:rPr>
          <w:rFonts w:hint="eastAsia" w:ascii="宋体" w:hAnsi="宋体" w:cs="宋体"/>
          <w:bCs/>
          <w:color w:val="auto"/>
          <w:sz w:val="24"/>
          <w:highlight w:val="none"/>
          <w:u w:val="single"/>
        </w:rPr>
        <w:t xml:space="preserve">                        </w:t>
      </w:r>
    </w:p>
    <w:p w14:paraId="79D08DC3">
      <w:pPr>
        <w:pageBreakBefore w:val="0"/>
        <w:kinsoku/>
        <w:overflowPunct/>
        <w:topLinePunct w:val="0"/>
        <w:bidi w:val="0"/>
        <w:spacing w:line="440" w:lineRule="exact"/>
        <w:ind w:left="3570"/>
        <w:jc w:val="center"/>
        <w:outlineLvl w:val="9"/>
        <w:rPr>
          <w:rFonts w:ascii="宋体" w:hAnsi="宋体" w:cs="宋体"/>
          <w:bCs/>
          <w:color w:val="auto"/>
          <w:sz w:val="24"/>
          <w:highlight w:val="none"/>
        </w:rPr>
      </w:pPr>
      <w:r>
        <w:rPr>
          <w:rFonts w:hint="eastAsia" w:ascii="宋体" w:hAnsi="宋体" w:cs="宋体"/>
          <w:bCs/>
          <w:color w:val="auto"/>
          <w:sz w:val="24"/>
          <w:highlight w:val="none"/>
        </w:rPr>
        <w:t xml:space="preserve"> </w:t>
      </w:r>
    </w:p>
    <w:p w14:paraId="3FFDD766">
      <w:pPr>
        <w:pageBreakBefore w:val="0"/>
        <w:kinsoku/>
        <w:overflowPunct/>
        <w:topLinePunct w:val="0"/>
        <w:bidi w:val="0"/>
        <w:spacing w:line="440" w:lineRule="exact"/>
        <w:ind w:left="5760" w:hanging="5760" w:hangingChars="2400"/>
        <w:jc w:val="both"/>
        <w:outlineLvl w:val="9"/>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委托代理人：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（签字或法定代表</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人</w:t>
      </w:r>
      <w:r>
        <w:rPr>
          <w:rFonts w:hint="eastAsia" w:ascii="宋体" w:hAnsi="宋体" w:cs="宋体"/>
          <w:bCs/>
          <w:color w:val="auto"/>
          <w:sz w:val="24"/>
          <w:highlight w:val="none"/>
          <w:lang w:val="en-US" w:eastAsia="zh-CN"/>
        </w:rPr>
        <w:t>/自然人/经营者签</w:t>
      </w:r>
      <w:r>
        <w:rPr>
          <w:rFonts w:hint="eastAsia" w:ascii="宋体" w:hAnsi="宋体" w:cs="宋体"/>
          <w:bCs/>
          <w:color w:val="auto"/>
          <w:sz w:val="24"/>
          <w:highlight w:val="none"/>
        </w:rPr>
        <w:t>章）</w:t>
      </w:r>
    </w:p>
    <w:p w14:paraId="4ADF7D09">
      <w:pPr>
        <w:pageBreakBefore w:val="0"/>
        <w:kinsoku/>
        <w:overflowPunct/>
        <w:topLinePunct w:val="0"/>
        <w:bidi w:val="0"/>
        <w:spacing w:line="440" w:lineRule="exact"/>
        <w:ind w:left="3570"/>
        <w:jc w:val="right"/>
        <w:outlineLvl w:val="9"/>
        <w:rPr>
          <w:rFonts w:ascii="宋体" w:hAnsi="宋体" w:cs="宋体"/>
          <w:bCs/>
          <w:color w:val="auto"/>
          <w:sz w:val="24"/>
          <w:highlight w:val="none"/>
        </w:rPr>
      </w:pPr>
      <w:r>
        <w:rPr>
          <w:rFonts w:hint="eastAsia" w:ascii="宋体" w:hAnsi="宋体" w:cs="宋体"/>
          <w:bCs/>
          <w:color w:val="auto"/>
          <w:sz w:val="24"/>
          <w:highlight w:val="none"/>
        </w:rPr>
        <w:t xml:space="preserve"> </w:t>
      </w:r>
    </w:p>
    <w:p w14:paraId="071F13A5">
      <w:pPr>
        <w:pageBreakBefore w:val="0"/>
        <w:tabs>
          <w:tab w:val="left" w:pos="6510"/>
        </w:tabs>
        <w:kinsoku/>
        <w:overflowPunct/>
        <w:topLinePunct w:val="0"/>
        <w:bidi w:val="0"/>
        <w:spacing w:line="440" w:lineRule="exact"/>
        <w:jc w:val="center"/>
        <w:outlineLvl w:val="9"/>
        <w:rPr>
          <w:rFonts w:hAnsi="宋体"/>
          <w:color w:val="auto"/>
          <w:highlight w:val="none"/>
        </w:rPr>
      </w:pPr>
      <w:r>
        <w:rPr>
          <w:rFonts w:hint="eastAsia" w:ascii="宋体" w:hAnsi="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身份证号码：</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14:paraId="6BF8432C">
      <w:pPr>
        <w:pageBreakBefore w:val="0"/>
        <w:tabs>
          <w:tab w:val="left" w:pos="6510"/>
        </w:tabs>
        <w:kinsoku/>
        <w:overflowPunct/>
        <w:topLinePunct w:val="0"/>
        <w:bidi w:val="0"/>
        <w:spacing w:line="440" w:lineRule="exact"/>
        <w:jc w:val="center"/>
        <w:outlineLvl w:val="9"/>
        <w:rPr>
          <w:rFonts w:hint="eastAsia" w:ascii="宋体" w:hAnsi="宋体" w:cs="宋体"/>
          <w:bCs/>
          <w:color w:val="auto"/>
          <w:sz w:val="24"/>
          <w:highlight w:val="none"/>
        </w:rPr>
      </w:pPr>
      <w:r>
        <w:rPr>
          <w:rFonts w:hint="eastAsia" w:ascii="宋体" w:hAnsi="宋体" w:cs="宋体"/>
          <w:bCs/>
          <w:color w:val="auto"/>
          <w:sz w:val="24"/>
          <w:highlight w:val="none"/>
        </w:rPr>
        <w:t xml:space="preserve">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日</w:t>
      </w:r>
    </w:p>
    <w:p w14:paraId="0533F86A">
      <w:pPr>
        <w:widowControl/>
        <w:adjustRightInd w:val="0"/>
        <w:spacing w:line="360" w:lineRule="auto"/>
        <w:jc w:val="left"/>
        <w:rPr>
          <w:rFonts w:hint="eastAsia" w:ascii="宋体" w:hAnsi="宋体" w:eastAsia="宋体" w:cs="宋体"/>
          <w:b/>
          <w:bCs/>
          <w:color w:val="auto"/>
          <w:kern w:val="0"/>
          <w:sz w:val="22"/>
          <w:szCs w:val="21"/>
          <w:highlight w:val="none"/>
        </w:rPr>
      </w:pPr>
    </w:p>
    <w:p w14:paraId="3A6BF43B">
      <w:pPr>
        <w:widowControl/>
        <w:adjustRightInd w:val="0"/>
        <w:spacing w:line="360" w:lineRule="auto"/>
        <w:jc w:val="left"/>
        <w:rPr>
          <w:rFonts w:hint="eastAsia" w:ascii="宋体" w:hAnsi="宋体" w:eastAsia="宋体" w:cs="宋体"/>
          <w:b/>
          <w:bCs/>
          <w:color w:val="auto"/>
          <w:kern w:val="0"/>
          <w:sz w:val="22"/>
          <w:szCs w:val="21"/>
          <w:highlight w:val="none"/>
        </w:rPr>
      </w:pPr>
      <w:r>
        <w:rPr>
          <w:rFonts w:hint="eastAsia" w:ascii="宋体" w:hAnsi="宋体" w:eastAsia="宋体" w:cs="宋体"/>
          <w:b/>
          <w:bCs/>
          <w:color w:val="auto"/>
          <w:kern w:val="0"/>
          <w:sz w:val="22"/>
          <w:szCs w:val="21"/>
          <w:highlight w:val="none"/>
        </w:rPr>
        <w:t>注：1、因投标文件中授权委托书授权代理人无法手写签字，可以以印刷体代替（印刷体为电脑打出的字体）或者法定代表人</w:t>
      </w:r>
      <w:r>
        <w:rPr>
          <w:rFonts w:hint="eastAsia" w:ascii="宋体" w:hAnsi="宋体" w:eastAsia="宋体" w:cs="宋体"/>
          <w:b/>
          <w:bCs/>
          <w:color w:val="auto"/>
          <w:kern w:val="0"/>
          <w:sz w:val="22"/>
          <w:szCs w:val="21"/>
          <w:highlight w:val="none"/>
          <w:lang w:eastAsia="zh-CN"/>
        </w:rPr>
        <w:t>（</w:t>
      </w:r>
      <w:r>
        <w:rPr>
          <w:rFonts w:hint="eastAsia" w:ascii="宋体" w:hAnsi="宋体" w:eastAsia="宋体" w:cs="宋体"/>
          <w:b/>
          <w:bCs/>
          <w:color w:val="auto"/>
          <w:kern w:val="0"/>
          <w:sz w:val="22"/>
          <w:szCs w:val="21"/>
          <w:highlight w:val="none"/>
          <w:lang w:val="en-US" w:eastAsia="zh-CN"/>
        </w:rPr>
        <w:t>自然人或者经营者</w:t>
      </w:r>
      <w:r>
        <w:rPr>
          <w:rFonts w:hint="eastAsia" w:ascii="宋体" w:hAnsi="宋体" w:eastAsia="宋体" w:cs="宋体"/>
          <w:b/>
          <w:bCs/>
          <w:color w:val="auto"/>
          <w:kern w:val="0"/>
          <w:sz w:val="22"/>
          <w:szCs w:val="21"/>
          <w:highlight w:val="none"/>
          <w:lang w:eastAsia="zh-CN"/>
        </w:rPr>
        <w:t>）</w:t>
      </w:r>
      <w:r>
        <w:rPr>
          <w:rFonts w:hint="eastAsia" w:ascii="宋体" w:hAnsi="宋体" w:eastAsia="宋体" w:cs="宋体"/>
          <w:b/>
          <w:bCs/>
          <w:color w:val="auto"/>
          <w:kern w:val="0"/>
          <w:sz w:val="22"/>
          <w:szCs w:val="21"/>
          <w:highlight w:val="none"/>
        </w:rPr>
        <w:t>电子签章代替。</w:t>
      </w:r>
    </w:p>
    <w:p w14:paraId="6F54DCE4">
      <w:pPr>
        <w:spacing w:line="360" w:lineRule="auto"/>
        <w:rPr>
          <w:rFonts w:hint="eastAsia" w:ascii="宋体" w:hAnsi="宋体" w:eastAsia="宋体" w:cs="宋体"/>
          <w:b/>
          <w:bCs/>
          <w:strike w:val="0"/>
          <w:dstrike w:val="0"/>
          <w:color w:val="auto"/>
          <w:sz w:val="22"/>
          <w:szCs w:val="21"/>
          <w:highlight w:val="none"/>
        </w:rPr>
      </w:pPr>
      <w:r>
        <w:rPr>
          <w:rFonts w:hint="eastAsia" w:ascii="宋体" w:hAnsi="宋体" w:eastAsia="宋体" w:cs="宋体"/>
          <w:b/>
          <w:bCs/>
          <w:strike w:val="0"/>
          <w:dstrike w:val="0"/>
          <w:color w:val="auto"/>
          <w:sz w:val="22"/>
          <w:szCs w:val="21"/>
          <w:highlight w:val="none"/>
        </w:rPr>
        <w:t xml:space="preserve">    2、如为法定代表人参与投标，无委托代理人的，投标文件中可以删除此授权委托书。</w:t>
      </w:r>
    </w:p>
    <w:p w14:paraId="1502B0C5">
      <w:pPr>
        <w:pageBreakBefore w:val="0"/>
        <w:kinsoku/>
        <w:overflowPunct/>
        <w:topLinePunct w:val="0"/>
        <w:bidi w:val="0"/>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4F7A072F">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bookmarkStart w:id="533" w:name="_Toc7558"/>
      <w:r>
        <w:rPr>
          <w:rFonts w:hint="eastAsia" w:ascii="宋体" w:hAnsi="宋体" w:eastAsia="宋体" w:cs="宋体"/>
          <w:b/>
          <w:bCs/>
          <w:color w:val="auto"/>
          <w:sz w:val="32"/>
          <w:szCs w:val="32"/>
          <w:highlight w:val="none"/>
        </w:rPr>
        <w:t>三</w:t>
      </w:r>
      <w:bookmarkEnd w:id="531"/>
      <w:bookmarkEnd w:id="532"/>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磋商承诺函</w:t>
      </w:r>
      <w:bookmarkEnd w:id="533"/>
    </w:p>
    <w:p w14:paraId="3F907AF6">
      <w:pPr>
        <w:pageBreakBefore w:val="0"/>
        <w:kinsoku/>
        <w:overflowPunct/>
        <w:topLinePunct w:val="0"/>
        <w:bidi w:val="0"/>
        <w:outlineLvl w:val="9"/>
        <w:rPr>
          <w:rFonts w:ascii="宋体" w:hAnsi="宋体" w:cs="宋体"/>
          <w:color w:val="auto"/>
          <w:highlight w:val="none"/>
        </w:rPr>
      </w:pPr>
    </w:p>
    <w:p w14:paraId="51A592EE">
      <w:pPr>
        <w:pageBreakBefore w:val="0"/>
        <w:kinsoku/>
        <w:overflowPunct/>
        <w:topLinePunct w:val="0"/>
        <w:bidi w:val="0"/>
        <w:outlineLvl w:val="9"/>
        <w:rPr>
          <w:rFonts w:ascii="宋体" w:hAnsi="宋体" w:cs="宋体"/>
          <w:color w:val="auto"/>
          <w:highlight w:val="none"/>
        </w:rPr>
      </w:pPr>
    </w:p>
    <w:p w14:paraId="584BE98D">
      <w:pPr>
        <w:pageBreakBefore w:val="0"/>
        <w:kinsoku/>
        <w:overflowPunct/>
        <w:topLinePunct w:val="0"/>
        <w:bidi w:val="0"/>
        <w:outlineLvl w:val="9"/>
        <w:rPr>
          <w:b/>
          <w:color w:val="auto"/>
          <w:highlight w:val="none"/>
        </w:rPr>
      </w:pPr>
      <w:r>
        <w:rPr>
          <w:rFonts w:hint="eastAsia" w:ascii="宋体" w:hAnsi="宋体" w:cs="宋体"/>
          <w:b/>
          <w:color w:val="auto"/>
          <w:sz w:val="24"/>
          <w:szCs w:val="24"/>
          <w:highlight w:val="none"/>
        </w:rPr>
        <w:t xml:space="preserve">附件一： </w:t>
      </w:r>
    </w:p>
    <w:p w14:paraId="3CF16981">
      <w:pPr>
        <w:pageBreakBefore w:val="0"/>
        <w:kinsoku/>
        <w:overflowPunct/>
        <w:topLinePunct w:val="0"/>
        <w:bidi w:val="0"/>
        <w:spacing w:line="500" w:lineRule="exact"/>
        <w:outlineLvl w:val="9"/>
        <w:rPr>
          <w:rFonts w:ascii="宋体" w:hAnsi="宋体" w:cs="宋体"/>
          <w:b/>
          <w:color w:val="auto"/>
          <w:sz w:val="24"/>
          <w:highlight w:val="non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 xml:space="preserve"> （采购人及采购代理机构） </w:t>
      </w:r>
    </w:p>
    <w:p w14:paraId="23A84BFC">
      <w:pPr>
        <w:pageBreakBefore w:val="0"/>
        <w:kinsoku/>
        <w:overflowPunct/>
        <w:topLinePunct w:val="0"/>
        <w:bidi w:val="0"/>
        <w:spacing w:line="500" w:lineRule="exact"/>
        <w:ind w:firstLine="960" w:firstLineChars="400"/>
        <w:outlineLvl w:val="9"/>
        <w:rPr>
          <w:rFonts w:ascii="宋体" w:hAnsi="宋体" w:cs="宋体"/>
          <w:bCs/>
          <w:color w:val="auto"/>
          <w:sz w:val="24"/>
          <w:highlight w:val="none"/>
        </w:rPr>
      </w:pPr>
      <w:r>
        <w:rPr>
          <w:rFonts w:hint="eastAsia" w:ascii="宋体" w:hAnsi="宋体" w:cs="宋体"/>
          <w:bCs/>
          <w:color w:val="auto"/>
          <w:sz w:val="24"/>
          <w:highlight w:val="none"/>
        </w:rPr>
        <w:t>我公司作为本次采购项目的供应商，根据竞争性磋商文件要求，现郑重承诺如下：</w:t>
      </w:r>
    </w:p>
    <w:p w14:paraId="0E626901">
      <w:pPr>
        <w:pageBreakBefore w:val="0"/>
        <w:kinsoku/>
        <w:overflowPunct/>
        <w:topLinePunct w:val="0"/>
        <w:bidi w:val="0"/>
        <w:spacing w:line="500" w:lineRule="exact"/>
        <w:ind w:left="567"/>
        <w:outlineLvl w:val="9"/>
        <w:rPr>
          <w:rFonts w:ascii="宋体" w:hAnsi="宋体" w:cs="宋体"/>
          <w:bCs/>
          <w:color w:val="auto"/>
          <w:sz w:val="24"/>
          <w:highlight w:val="none"/>
        </w:rPr>
      </w:pPr>
      <w:r>
        <w:rPr>
          <w:rFonts w:hint="eastAsia" w:ascii="宋体" w:hAnsi="宋体" w:cs="宋体"/>
          <w:bCs/>
          <w:color w:val="auto"/>
          <w:sz w:val="24"/>
          <w:highlight w:val="none"/>
        </w:rPr>
        <w:t>一、具备《中华人民共和国政府采购法》第二十二条第一款和本项目规定的条件：</w:t>
      </w:r>
    </w:p>
    <w:p w14:paraId="142E7B51">
      <w:pPr>
        <w:pageBreakBefore w:val="0"/>
        <w:kinsoku/>
        <w:overflowPunct/>
        <w:topLinePunct w:val="0"/>
        <w:bidi w:val="0"/>
        <w:spacing w:line="500" w:lineRule="exact"/>
        <w:ind w:left="567" w:firstLine="240" w:firstLineChars="100"/>
        <w:outlineLvl w:val="9"/>
        <w:rPr>
          <w:rFonts w:ascii="宋体" w:hAnsi="宋体" w:cs="宋体"/>
          <w:bCs/>
          <w:color w:val="auto"/>
          <w:sz w:val="24"/>
          <w:highlight w:val="none"/>
        </w:rPr>
      </w:pPr>
      <w:r>
        <w:rPr>
          <w:rFonts w:hint="eastAsia" w:ascii="宋体" w:hAnsi="宋体" w:cs="宋体"/>
          <w:bCs/>
          <w:color w:val="auto"/>
          <w:sz w:val="24"/>
          <w:highlight w:val="none"/>
        </w:rPr>
        <w:t xml:space="preserve">（一）具有独立承担民事责任的能力； </w:t>
      </w:r>
    </w:p>
    <w:p w14:paraId="39D1C149">
      <w:pPr>
        <w:pageBreakBefore w:val="0"/>
        <w:kinsoku/>
        <w:overflowPunct/>
        <w:topLinePunct w:val="0"/>
        <w:bidi w:val="0"/>
        <w:spacing w:line="500" w:lineRule="exact"/>
        <w:ind w:left="567" w:firstLine="240" w:firstLineChars="100"/>
        <w:outlineLvl w:val="9"/>
        <w:rPr>
          <w:rFonts w:ascii="宋体" w:hAnsi="宋体" w:cs="宋体"/>
          <w:bCs/>
          <w:color w:val="auto"/>
          <w:sz w:val="24"/>
          <w:highlight w:val="none"/>
        </w:rPr>
      </w:pPr>
      <w:r>
        <w:rPr>
          <w:rFonts w:hint="eastAsia" w:ascii="宋体" w:hAnsi="宋体" w:cs="宋体"/>
          <w:bCs/>
          <w:color w:val="auto"/>
          <w:sz w:val="24"/>
          <w:highlight w:val="none"/>
        </w:rPr>
        <w:t xml:space="preserve">（二）具有良好的商业信誉和健全的财务会计制度； </w:t>
      </w:r>
    </w:p>
    <w:p w14:paraId="4902275A">
      <w:pPr>
        <w:pageBreakBefore w:val="0"/>
        <w:kinsoku/>
        <w:overflowPunct/>
        <w:topLinePunct w:val="0"/>
        <w:bidi w:val="0"/>
        <w:spacing w:line="500" w:lineRule="exact"/>
        <w:ind w:left="567" w:firstLine="240" w:firstLineChars="100"/>
        <w:outlineLvl w:val="9"/>
        <w:rPr>
          <w:rFonts w:ascii="宋体" w:hAnsi="宋体" w:cs="宋体"/>
          <w:bCs/>
          <w:color w:val="auto"/>
          <w:sz w:val="24"/>
          <w:highlight w:val="none"/>
        </w:rPr>
      </w:pPr>
      <w:r>
        <w:rPr>
          <w:rFonts w:hint="eastAsia" w:ascii="宋体" w:hAnsi="宋体" w:cs="宋体"/>
          <w:bCs/>
          <w:color w:val="auto"/>
          <w:sz w:val="24"/>
          <w:highlight w:val="none"/>
        </w:rPr>
        <w:t xml:space="preserve">（三）具有履行合同所必需的设备和专业技术能力； </w:t>
      </w:r>
    </w:p>
    <w:p w14:paraId="4B607CEB">
      <w:pPr>
        <w:pageBreakBefore w:val="0"/>
        <w:kinsoku/>
        <w:overflowPunct/>
        <w:topLinePunct w:val="0"/>
        <w:bidi w:val="0"/>
        <w:spacing w:line="500" w:lineRule="exact"/>
        <w:ind w:left="567" w:firstLine="240" w:firstLineChars="100"/>
        <w:outlineLvl w:val="9"/>
        <w:rPr>
          <w:rFonts w:ascii="宋体" w:hAnsi="宋体" w:cs="宋体"/>
          <w:bCs/>
          <w:color w:val="auto"/>
          <w:sz w:val="24"/>
          <w:highlight w:val="none"/>
        </w:rPr>
      </w:pPr>
      <w:r>
        <w:rPr>
          <w:rFonts w:hint="eastAsia" w:ascii="宋体" w:hAnsi="宋体" w:cs="宋体"/>
          <w:bCs/>
          <w:color w:val="auto"/>
          <w:sz w:val="24"/>
          <w:highlight w:val="none"/>
        </w:rPr>
        <w:t xml:space="preserve">（四）有依法缴纳税收和社会保障资金的良好记录； </w:t>
      </w:r>
    </w:p>
    <w:p w14:paraId="68167877">
      <w:pPr>
        <w:pageBreakBefore w:val="0"/>
        <w:kinsoku/>
        <w:overflowPunct/>
        <w:topLinePunct w:val="0"/>
        <w:bidi w:val="0"/>
        <w:spacing w:line="500" w:lineRule="exact"/>
        <w:ind w:left="567" w:firstLine="240" w:firstLineChars="100"/>
        <w:outlineLvl w:val="9"/>
        <w:rPr>
          <w:rFonts w:ascii="宋体" w:hAnsi="宋体" w:cs="宋体"/>
          <w:bCs/>
          <w:color w:val="auto"/>
          <w:sz w:val="24"/>
          <w:highlight w:val="none"/>
        </w:rPr>
      </w:pPr>
      <w:r>
        <w:rPr>
          <w:rFonts w:hint="eastAsia" w:ascii="宋体" w:hAnsi="宋体" w:cs="宋体"/>
          <w:bCs/>
          <w:color w:val="auto"/>
          <w:sz w:val="24"/>
          <w:highlight w:val="none"/>
        </w:rPr>
        <w:t xml:space="preserve">（五）参加政府采购活动前三年内，在经营活动中没有重大违法记录； </w:t>
      </w:r>
    </w:p>
    <w:p w14:paraId="3A6018E6">
      <w:pPr>
        <w:pageBreakBefore w:val="0"/>
        <w:kinsoku/>
        <w:overflowPunct/>
        <w:topLinePunct w:val="0"/>
        <w:bidi w:val="0"/>
        <w:spacing w:line="500" w:lineRule="exact"/>
        <w:ind w:left="567" w:firstLine="240" w:firstLineChars="100"/>
        <w:outlineLvl w:val="9"/>
        <w:rPr>
          <w:rFonts w:ascii="宋体" w:hAnsi="宋体" w:cs="宋体"/>
          <w:bCs/>
          <w:color w:val="auto"/>
          <w:sz w:val="24"/>
          <w:highlight w:val="none"/>
        </w:rPr>
      </w:pPr>
      <w:r>
        <w:rPr>
          <w:rFonts w:hint="eastAsia" w:ascii="宋体" w:hAnsi="宋体" w:cs="宋体"/>
          <w:bCs/>
          <w:color w:val="auto"/>
          <w:sz w:val="24"/>
          <w:highlight w:val="none"/>
        </w:rPr>
        <w:t xml:space="preserve">（六）法律、行政法规规定的其他条件； </w:t>
      </w:r>
    </w:p>
    <w:p w14:paraId="659941AC">
      <w:pPr>
        <w:pageBreakBefore w:val="0"/>
        <w:kinsoku/>
        <w:overflowPunct/>
        <w:topLinePunct w:val="0"/>
        <w:bidi w:val="0"/>
        <w:spacing w:line="500" w:lineRule="exact"/>
        <w:ind w:left="567" w:firstLine="240" w:firstLineChars="100"/>
        <w:outlineLvl w:val="9"/>
        <w:rPr>
          <w:rFonts w:ascii="宋体" w:hAnsi="宋体" w:cs="宋体"/>
          <w:bCs/>
          <w:color w:val="auto"/>
          <w:sz w:val="24"/>
          <w:highlight w:val="none"/>
        </w:rPr>
      </w:pPr>
      <w:r>
        <w:rPr>
          <w:rFonts w:hint="eastAsia" w:ascii="宋体" w:hAnsi="宋体" w:cs="宋体"/>
          <w:bCs/>
          <w:color w:val="auto"/>
          <w:sz w:val="24"/>
          <w:highlight w:val="none"/>
        </w:rPr>
        <w:t xml:space="preserve">（七）根据采购项目提出的特殊条件。 </w:t>
      </w:r>
    </w:p>
    <w:p w14:paraId="3104874F">
      <w:pPr>
        <w:pageBreakBefore w:val="0"/>
        <w:kinsoku/>
        <w:overflowPunct/>
        <w:topLinePunct w:val="0"/>
        <w:bidi w:val="0"/>
        <w:spacing w:line="500" w:lineRule="exact"/>
        <w:ind w:firstLine="480" w:firstLineChars="200"/>
        <w:outlineLvl w:val="9"/>
        <w:rPr>
          <w:rFonts w:ascii="宋体" w:hAnsi="宋体" w:cs="宋体"/>
          <w:bCs/>
          <w:color w:val="auto"/>
          <w:sz w:val="24"/>
          <w:highlight w:val="none"/>
        </w:rPr>
      </w:pPr>
      <w:r>
        <w:rPr>
          <w:rFonts w:hint="eastAsia" w:ascii="宋体" w:hAnsi="宋体" w:cs="宋体"/>
          <w:bCs/>
          <w:color w:val="auto"/>
          <w:sz w:val="24"/>
          <w:highlight w:val="none"/>
        </w:rPr>
        <w:t>二、完全接受和满足本项目竞争性磋商文件中规定的实质性要求，如对竞争性磋商文件有异议，已经在磋商截止时间届满前依法进行维权，不存在对竞争性磋商文件有异议的同时又参加竞争性磋商以求侥幸</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或者为实现其他非法目的的行为。</w:t>
      </w:r>
    </w:p>
    <w:p w14:paraId="767554D5">
      <w:pPr>
        <w:pageBreakBefore w:val="0"/>
        <w:kinsoku/>
        <w:overflowPunct/>
        <w:topLinePunct w:val="0"/>
        <w:bidi w:val="0"/>
        <w:spacing w:line="500" w:lineRule="exact"/>
        <w:ind w:firstLine="480" w:firstLineChars="200"/>
        <w:outlineLvl w:val="9"/>
        <w:rPr>
          <w:rFonts w:ascii="宋体" w:hAnsi="宋体" w:cs="宋体"/>
          <w:bCs/>
          <w:color w:val="auto"/>
          <w:sz w:val="24"/>
          <w:highlight w:val="none"/>
        </w:rPr>
      </w:pPr>
      <w:r>
        <w:rPr>
          <w:rFonts w:hint="eastAsia" w:ascii="宋体" w:hAnsi="宋体" w:cs="宋体"/>
          <w:bCs/>
          <w:color w:val="auto"/>
          <w:sz w:val="24"/>
          <w:highlight w:val="none"/>
        </w:rPr>
        <w:t xml:space="preserve">三、参加本次项目，不存在与单位负责人为同一人或者存在直接控股、管理关系的其他供应商参与同一合同项下的政府采购活动的行为。 </w:t>
      </w:r>
    </w:p>
    <w:p w14:paraId="3409008D">
      <w:pPr>
        <w:pageBreakBefore w:val="0"/>
        <w:kinsoku/>
        <w:overflowPunct/>
        <w:topLinePunct w:val="0"/>
        <w:bidi w:val="0"/>
        <w:spacing w:line="500" w:lineRule="exact"/>
        <w:ind w:firstLine="480" w:firstLineChars="200"/>
        <w:outlineLvl w:val="9"/>
        <w:rPr>
          <w:rFonts w:ascii="宋体" w:hAnsi="宋体" w:cs="宋体"/>
          <w:bCs/>
          <w:color w:val="auto"/>
          <w:sz w:val="24"/>
          <w:highlight w:val="none"/>
        </w:rPr>
      </w:pPr>
      <w:r>
        <w:rPr>
          <w:rFonts w:hint="eastAsia" w:ascii="宋体" w:hAnsi="宋体" w:cs="宋体"/>
          <w:bCs/>
          <w:color w:val="auto"/>
          <w:sz w:val="24"/>
          <w:highlight w:val="none"/>
        </w:rPr>
        <w:t>四、参加本次项目，不存在为本项目提供整体设计、规范编制或者项目管理、监理、检测等服务的行为。</w:t>
      </w:r>
    </w:p>
    <w:p w14:paraId="37577AC0">
      <w:pPr>
        <w:pageBreakBefore w:val="0"/>
        <w:kinsoku/>
        <w:overflowPunct/>
        <w:topLinePunct w:val="0"/>
        <w:bidi w:val="0"/>
        <w:spacing w:line="500" w:lineRule="exact"/>
        <w:ind w:firstLine="480" w:firstLineChars="200"/>
        <w:outlineLvl w:val="9"/>
        <w:rPr>
          <w:rFonts w:ascii="宋体" w:hAnsi="宋体" w:cs="宋体"/>
          <w:bCs/>
          <w:color w:val="auto"/>
          <w:sz w:val="24"/>
          <w:highlight w:val="none"/>
        </w:rPr>
      </w:pPr>
      <w:r>
        <w:rPr>
          <w:rFonts w:hint="eastAsia" w:ascii="宋体" w:hAnsi="宋体" w:cs="宋体"/>
          <w:bCs/>
          <w:color w:val="auto"/>
          <w:sz w:val="24"/>
          <w:highlight w:val="none"/>
        </w:rPr>
        <w:t xml:space="preserve">五、参加本次项目，不存在和其他供应商在同一合同项下的采购项目中，同时委托同一个自然人、同一家庭的人员、同一单位的人员作为代理人的行为。 </w:t>
      </w:r>
    </w:p>
    <w:p w14:paraId="3A5632CB">
      <w:pPr>
        <w:pageBreakBefore w:val="0"/>
        <w:kinsoku/>
        <w:overflowPunct/>
        <w:topLinePunct w:val="0"/>
        <w:bidi w:val="0"/>
        <w:spacing w:line="500" w:lineRule="exact"/>
        <w:ind w:firstLine="480" w:firstLineChars="200"/>
        <w:outlineLvl w:val="9"/>
        <w:rPr>
          <w:rFonts w:ascii="宋体" w:hAnsi="宋体" w:cs="宋体"/>
          <w:bCs/>
          <w:color w:val="auto"/>
          <w:sz w:val="24"/>
          <w:highlight w:val="none"/>
        </w:rPr>
      </w:pPr>
      <w:r>
        <w:rPr>
          <w:rFonts w:hint="eastAsia" w:ascii="宋体" w:hAnsi="宋体" w:cs="宋体"/>
          <w:bCs/>
          <w:color w:val="auto"/>
          <w:sz w:val="24"/>
          <w:highlight w:val="none"/>
        </w:rPr>
        <w:t>六、参加本次政府采购活动要求在近三年内供应商和其法定代表人</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或者自然人</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没有行贿犯罪行为。 </w:t>
      </w:r>
    </w:p>
    <w:p w14:paraId="5D691D97">
      <w:pPr>
        <w:pageBreakBefore w:val="0"/>
        <w:kinsoku/>
        <w:overflowPunct/>
        <w:topLinePunct w:val="0"/>
        <w:bidi w:val="0"/>
        <w:spacing w:line="500" w:lineRule="exact"/>
        <w:ind w:left="567"/>
        <w:outlineLvl w:val="9"/>
        <w:rPr>
          <w:rFonts w:ascii="宋体" w:hAnsi="宋体" w:cs="宋体"/>
          <w:bCs/>
          <w:color w:val="auto"/>
          <w:sz w:val="24"/>
          <w:highlight w:val="none"/>
        </w:rPr>
      </w:pPr>
      <w:r>
        <w:rPr>
          <w:rFonts w:hint="eastAsia" w:ascii="宋体" w:hAnsi="宋体" w:cs="宋体"/>
          <w:bCs/>
          <w:color w:val="auto"/>
          <w:sz w:val="24"/>
          <w:highlight w:val="none"/>
        </w:rPr>
        <w:t xml:space="preserve">七、参加本次项目，不存在联合体磋商。 </w:t>
      </w:r>
    </w:p>
    <w:p w14:paraId="77A8F399">
      <w:pPr>
        <w:pageBreakBefore w:val="0"/>
        <w:kinsoku/>
        <w:overflowPunct/>
        <w:topLinePunct w:val="0"/>
        <w:bidi w:val="0"/>
        <w:spacing w:line="500" w:lineRule="exact"/>
        <w:ind w:left="567"/>
        <w:outlineLvl w:val="9"/>
        <w:rPr>
          <w:rFonts w:ascii="宋体" w:hAnsi="宋体" w:cs="宋体"/>
          <w:b/>
          <w:color w:val="auto"/>
          <w:sz w:val="24"/>
          <w:highlight w:val="none"/>
        </w:rPr>
      </w:pPr>
      <w:r>
        <w:rPr>
          <w:rFonts w:hint="eastAsia" w:ascii="宋体" w:hAnsi="宋体" w:cs="宋体"/>
          <w:b/>
          <w:color w:val="auto"/>
          <w:sz w:val="24"/>
          <w:highlight w:val="none"/>
        </w:rPr>
        <w:t xml:space="preserve">八、存在以下行为之一的愿意接受相关部门的处理： </w:t>
      </w:r>
    </w:p>
    <w:p w14:paraId="7B0B60AE">
      <w:pPr>
        <w:pageBreakBefore w:val="0"/>
        <w:kinsoku/>
        <w:overflowPunct/>
        <w:topLinePunct w:val="0"/>
        <w:bidi w:val="0"/>
        <w:spacing w:line="500" w:lineRule="exact"/>
        <w:ind w:left="567"/>
        <w:outlineLvl w:val="9"/>
        <w:rPr>
          <w:rFonts w:ascii="宋体" w:hAnsi="宋体" w:cs="宋体"/>
          <w:bCs/>
          <w:color w:val="auto"/>
          <w:sz w:val="24"/>
          <w:highlight w:val="none"/>
        </w:rPr>
      </w:pPr>
      <w:r>
        <w:rPr>
          <w:rFonts w:hint="eastAsia" w:ascii="宋体" w:hAnsi="宋体" w:cs="宋体"/>
          <w:bCs/>
          <w:color w:val="auto"/>
          <w:sz w:val="24"/>
          <w:highlight w:val="none"/>
        </w:rPr>
        <w:t xml:space="preserve">（一）磋商有效期内撤销响应文件的； </w:t>
      </w:r>
    </w:p>
    <w:p w14:paraId="55F3D833">
      <w:pPr>
        <w:pageBreakBefore w:val="0"/>
        <w:kinsoku/>
        <w:overflowPunct/>
        <w:topLinePunct w:val="0"/>
        <w:bidi w:val="0"/>
        <w:spacing w:line="500" w:lineRule="exact"/>
        <w:ind w:left="567"/>
        <w:outlineLvl w:val="9"/>
        <w:rPr>
          <w:rFonts w:ascii="宋体" w:hAnsi="宋体" w:cs="宋体"/>
          <w:bCs/>
          <w:color w:val="auto"/>
          <w:sz w:val="24"/>
          <w:highlight w:val="none"/>
        </w:rPr>
      </w:pPr>
      <w:r>
        <w:rPr>
          <w:rFonts w:hint="eastAsia" w:ascii="宋体" w:hAnsi="宋体" w:cs="宋体"/>
          <w:bCs/>
          <w:color w:val="auto"/>
          <w:sz w:val="24"/>
          <w:highlight w:val="none"/>
        </w:rPr>
        <w:t>（二）在采购人确定</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人以前放弃</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 xml:space="preserve">候选资格的； </w:t>
      </w:r>
    </w:p>
    <w:p w14:paraId="58A408E5">
      <w:pPr>
        <w:pageBreakBefore w:val="0"/>
        <w:kinsoku/>
        <w:overflowPunct/>
        <w:topLinePunct w:val="0"/>
        <w:bidi w:val="0"/>
        <w:spacing w:line="500" w:lineRule="exact"/>
        <w:ind w:left="567"/>
        <w:outlineLvl w:val="9"/>
        <w:rPr>
          <w:rFonts w:ascii="宋体" w:hAnsi="宋体" w:cs="宋体"/>
          <w:bCs/>
          <w:color w:val="auto"/>
          <w:sz w:val="24"/>
          <w:highlight w:val="none"/>
        </w:rPr>
      </w:pPr>
      <w:r>
        <w:rPr>
          <w:rFonts w:hint="eastAsia" w:ascii="宋体" w:hAnsi="宋体" w:cs="宋体"/>
          <w:bCs/>
          <w:color w:val="auto"/>
          <w:sz w:val="24"/>
          <w:highlight w:val="none"/>
        </w:rPr>
        <w:t>（三）由于</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人的原因未能按照竞争性磋商文件的规定与采购人签订合同；</w:t>
      </w:r>
    </w:p>
    <w:p w14:paraId="0B74F467">
      <w:pPr>
        <w:pageBreakBefore w:val="0"/>
        <w:kinsoku/>
        <w:overflowPunct/>
        <w:topLinePunct w:val="0"/>
        <w:bidi w:val="0"/>
        <w:spacing w:line="500" w:lineRule="exact"/>
        <w:ind w:left="567"/>
        <w:outlineLvl w:val="9"/>
        <w:rPr>
          <w:rFonts w:ascii="宋体" w:hAnsi="宋体" w:cs="宋体"/>
          <w:bCs/>
          <w:color w:val="auto"/>
          <w:sz w:val="24"/>
          <w:highlight w:val="none"/>
        </w:rPr>
      </w:pPr>
      <w:r>
        <w:rPr>
          <w:rFonts w:hint="eastAsia" w:ascii="宋体" w:hAnsi="宋体" w:cs="宋体"/>
          <w:bCs/>
          <w:color w:val="auto"/>
          <w:sz w:val="24"/>
          <w:highlight w:val="none"/>
        </w:rPr>
        <w:t>（四）由于</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 xml:space="preserve">人的原因未能按照竞争性磋商文件的规定交纳履约担保； </w:t>
      </w:r>
    </w:p>
    <w:p w14:paraId="655DEEA5">
      <w:pPr>
        <w:pageBreakBefore w:val="0"/>
        <w:kinsoku/>
        <w:overflowPunct/>
        <w:topLinePunct w:val="0"/>
        <w:bidi w:val="0"/>
        <w:spacing w:line="500" w:lineRule="exact"/>
        <w:ind w:left="567"/>
        <w:outlineLvl w:val="9"/>
        <w:rPr>
          <w:rFonts w:ascii="宋体" w:hAnsi="宋体" w:cs="宋体"/>
          <w:bCs/>
          <w:color w:val="auto"/>
          <w:sz w:val="24"/>
          <w:highlight w:val="none"/>
        </w:rPr>
      </w:pPr>
      <w:r>
        <w:rPr>
          <w:rFonts w:hint="eastAsia" w:ascii="宋体" w:hAnsi="宋体" w:cs="宋体"/>
          <w:bCs/>
          <w:color w:val="auto"/>
          <w:sz w:val="24"/>
          <w:highlight w:val="none"/>
        </w:rPr>
        <w:t>（五）在响应文件中提供虚假材料谋取</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 xml:space="preserve">的； </w:t>
      </w:r>
    </w:p>
    <w:p w14:paraId="6D2C9D81">
      <w:pPr>
        <w:pageBreakBefore w:val="0"/>
        <w:kinsoku/>
        <w:overflowPunct/>
        <w:topLinePunct w:val="0"/>
        <w:bidi w:val="0"/>
        <w:spacing w:line="500" w:lineRule="exact"/>
        <w:ind w:left="567"/>
        <w:outlineLvl w:val="9"/>
        <w:rPr>
          <w:rFonts w:ascii="宋体" w:hAnsi="宋体" w:cs="宋体"/>
          <w:bCs/>
          <w:color w:val="auto"/>
          <w:sz w:val="24"/>
          <w:highlight w:val="none"/>
        </w:rPr>
      </w:pPr>
      <w:r>
        <w:rPr>
          <w:rFonts w:hint="eastAsia" w:ascii="宋体" w:hAnsi="宋体" w:cs="宋体"/>
          <w:bCs/>
          <w:color w:val="auto"/>
          <w:sz w:val="24"/>
          <w:highlight w:val="none"/>
        </w:rPr>
        <w:t xml:space="preserve">（六）与采购人、其他供应商或者采购代理机构恶意串通的； </w:t>
      </w:r>
    </w:p>
    <w:p w14:paraId="52978233">
      <w:pPr>
        <w:pageBreakBefore w:val="0"/>
        <w:kinsoku/>
        <w:overflowPunct/>
        <w:topLinePunct w:val="0"/>
        <w:bidi w:val="0"/>
        <w:spacing w:line="500" w:lineRule="exact"/>
        <w:ind w:left="567"/>
        <w:outlineLvl w:val="9"/>
        <w:rPr>
          <w:rFonts w:ascii="宋体" w:hAnsi="宋体" w:cs="宋体"/>
          <w:bCs/>
          <w:color w:val="auto"/>
          <w:sz w:val="24"/>
          <w:highlight w:val="none"/>
        </w:rPr>
      </w:pPr>
      <w:r>
        <w:rPr>
          <w:rFonts w:hint="eastAsia" w:ascii="宋体" w:hAnsi="宋体" w:cs="宋体"/>
          <w:bCs/>
          <w:color w:val="auto"/>
          <w:sz w:val="24"/>
          <w:highlight w:val="none"/>
        </w:rPr>
        <w:t xml:space="preserve">（七）磋商有效期内，供应商在政府采购活动中有违法、违规、违纪行为。 </w:t>
      </w:r>
    </w:p>
    <w:p w14:paraId="502566C3">
      <w:pPr>
        <w:pageBreakBefore w:val="0"/>
        <w:kinsoku/>
        <w:overflowPunct/>
        <w:topLinePunct w:val="0"/>
        <w:bidi w:val="0"/>
        <w:spacing w:line="500" w:lineRule="exact"/>
        <w:ind w:firstLine="480" w:firstLineChars="200"/>
        <w:outlineLvl w:val="9"/>
        <w:rPr>
          <w:rFonts w:ascii="宋体" w:hAnsi="宋体" w:cs="宋体"/>
          <w:bCs/>
          <w:color w:val="auto"/>
          <w:sz w:val="24"/>
          <w:highlight w:val="none"/>
        </w:rPr>
      </w:pPr>
      <w:r>
        <w:rPr>
          <w:rFonts w:hint="eastAsia" w:ascii="宋体" w:hAnsi="宋体" w:cs="宋体"/>
          <w:bCs/>
          <w:color w:val="auto"/>
          <w:sz w:val="24"/>
          <w:highlight w:val="none"/>
        </w:rPr>
        <w:t xml:space="preserve">由此产生的一切法律后果和责任由我公司承担。我公司声明放弃对此提出任何异议和追索的权利。 </w:t>
      </w:r>
    </w:p>
    <w:p w14:paraId="6ADCF502">
      <w:pPr>
        <w:pageBreakBefore w:val="0"/>
        <w:kinsoku/>
        <w:overflowPunct/>
        <w:topLinePunct w:val="0"/>
        <w:bidi w:val="0"/>
        <w:spacing w:line="500" w:lineRule="exact"/>
        <w:ind w:firstLine="480" w:firstLineChars="200"/>
        <w:outlineLvl w:val="9"/>
        <w:rPr>
          <w:rFonts w:ascii="宋体" w:hAnsi="宋体" w:cs="宋体"/>
          <w:bCs/>
          <w:color w:val="auto"/>
          <w:sz w:val="24"/>
          <w:highlight w:val="none"/>
        </w:rPr>
      </w:pPr>
      <w:r>
        <w:rPr>
          <w:rFonts w:hint="eastAsia" w:ascii="宋体" w:hAnsi="宋体" w:cs="宋体"/>
          <w:bCs/>
          <w:color w:val="auto"/>
          <w:sz w:val="24"/>
          <w:highlight w:val="none"/>
        </w:rPr>
        <w:t>本公司对上述承诺的内容事项真实性负责。如经查实上述承诺的内容事项存在虚假，我公司愿意接受以提供虚假材料谋取中标追究法律责任。</w:t>
      </w:r>
    </w:p>
    <w:p w14:paraId="35BDF40B">
      <w:pPr>
        <w:pageBreakBefore w:val="0"/>
        <w:kinsoku/>
        <w:overflowPunct/>
        <w:topLinePunct w:val="0"/>
        <w:bidi w:val="0"/>
        <w:outlineLvl w:val="9"/>
        <w:rPr>
          <w:rFonts w:ascii="宋体" w:hAnsi="宋体" w:cs="宋体"/>
          <w:color w:val="auto"/>
          <w:sz w:val="24"/>
          <w:highlight w:val="none"/>
          <w:lang w:eastAsia="zh-CN"/>
        </w:rPr>
      </w:pPr>
    </w:p>
    <w:p w14:paraId="6FB99C90">
      <w:pPr>
        <w:pageBreakBefore w:val="0"/>
        <w:kinsoku/>
        <w:overflowPunct/>
        <w:topLinePunct w:val="0"/>
        <w:bidi w:val="0"/>
        <w:outlineLvl w:val="9"/>
        <w:rPr>
          <w:color w:val="auto"/>
          <w:highlight w:val="none"/>
        </w:rPr>
      </w:pPr>
    </w:p>
    <w:p w14:paraId="4868D333">
      <w:pPr>
        <w:pageBreakBefore w:val="0"/>
        <w:kinsoku/>
        <w:overflowPunct/>
        <w:topLinePunct w:val="0"/>
        <w:bidi w:val="0"/>
        <w:spacing w:line="440" w:lineRule="exact"/>
        <w:jc w:val="center"/>
        <w:outlineLvl w:val="9"/>
        <w:rPr>
          <w:rFonts w:ascii="宋体" w:hAnsi="宋体" w:cs="宋体"/>
          <w:color w:val="auto"/>
          <w:sz w:val="24"/>
          <w:highlight w:val="none"/>
        </w:rPr>
      </w:pPr>
      <w:r>
        <w:rPr>
          <w:rFonts w:hint="eastAsia" w:ascii="宋体" w:hAnsi="宋体" w:cs="宋体"/>
          <w:color w:val="auto"/>
          <w:sz w:val="24"/>
          <w:highlight w:val="none"/>
        </w:rPr>
        <w:t xml:space="preserve">                            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盖</w:t>
      </w:r>
      <w:r>
        <w:rPr>
          <w:rFonts w:hint="eastAsia" w:ascii="宋体" w:hAnsi="宋体" w:eastAsia="宋体" w:cs="宋体"/>
          <w:color w:val="auto"/>
          <w:sz w:val="24"/>
          <w:szCs w:val="24"/>
          <w:highlight w:val="none"/>
          <w:lang w:val="en-US" w:eastAsia="zh-CN"/>
        </w:rPr>
        <w:t>单位公章</w:t>
      </w:r>
      <w:r>
        <w:rPr>
          <w:rFonts w:hint="eastAsia" w:ascii="宋体" w:hAnsi="宋体" w:cs="宋体"/>
          <w:color w:val="auto"/>
          <w:sz w:val="24"/>
          <w:highlight w:val="none"/>
        </w:rPr>
        <w:t>）</w:t>
      </w:r>
    </w:p>
    <w:p w14:paraId="40458B44">
      <w:pPr>
        <w:pageBreakBefore w:val="0"/>
        <w:kinsoku/>
        <w:overflowPunct/>
        <w:topLinePunct w:val="0"/>
        <w:bidi w:val="0"/>
        <w:outlineLvl w:val="9"/>
        <w:rPr>
          <w:color w:val="auto"/>
          <w:highlight w:val="none"/>
        </w:rPr>
      </w:pPr>
    </w:p>
    <w:p w14:paraId="064D6B68">
      <w:pPr>
        <w:pStyle w:val="35"/>
        <w:pageBreakBefore w:val="0"/>
        <w:kinsoku/>
        <w:overflowPunct/>
        <w:topLinePunct w:val="0"/>
        <w:bidi w:val="0"/>
        <w:jc w:val="center"/>
        <w:outlineLvl w:val="9"/>
        <w:rPr>
          <w:color w:val="auto"/>
          <w:highlight w:val="none"/>
        </w:rPr>
      </w:pPr>
      <w:r>
        <w:rPr>
          <w:rFonts w:hint="eastAsia" w:hAnsi="宋体"/>
          <w:bCs/>
          <w:color w:val="auto"/>
          <w:highlight w:val="none"/>
        </w:rPr>
        <w:t xml:space="preserve">              法定代表人</w:t>
      </w:r>
      <w:r>
        <w:rPr>
          <w:rFonts w:hint="eastAsia" w:hAnsi="宋体"/>
          <w:bCs/>
          <w:color w:val="auto"/>
          <w:highlight w:val="none"/>
          <w:lang w:eastAsia="zh-CN"/>
        </w:rPr>
        <w:t>（</w:t>
      </w:r>
      <w:r>
        <w:rPr>
          <w:rFonts w:hint="eastAsia" w:hAnsi="宋体"/>
          <w:bCs/>
          <w:color w:val="auto"/>
          <w:highlight w:val="none"/>
          <w:lang w:val="en-US" w:eastAsia="zh-CN"/>
        </w:rPr>
        <w:t>自然人或者经营者</w:t>
      </w:r>
      <w:r>
        <w:rPr>
          <w:rFonts w:hint="eastAsia" w:hAnsi="宋体"/>
          <w:bCs/>
          <w:color w:val="auto"/>
          <w:highlight w:val="none"/>
          <w:lang w:eastAsia="zh-CN"/>
        </w:rPr>
        <w:t>）</w:t>
      </w:r>
      <w:r>
        <w:rPr>
          <w:rFonts w:hint="eastAsia" w:hAnsi="宋体"/>
          <w:bCs/>
          <w:color w:val="auto"/>
          <w:highlight w:val="none"/>
        </w:rPr>
        <w:t>：</w:t>
      </w:r>
      <w:r>
        <w:rPr>
          <w:rFonts w:hint="eastAsia" w:hAnsi="宋体"/>
          <w:bCs/>
          <w:color w:val="auto"/>
          <w:highlight w:val="none"/>
          <w:u w:val="single"/>
        </w:rPr>
        <w:t xml:space="preserve">                  </w:t>
      </w:r>
      <w:r>
        <w:rPr>
          <w:rFonts w:hint="eastAsia" w:ascii="宋体" w:hAnsi="宋体" w:cs="宋体"/>
          <w:color w:val="auto"/>
          <w:sz w:val="24"/>
          <w:highlight w:val="none"/>
          <w:lang w:bidi="ar"/>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ascii="宋体" w:hAnsi="宋体" w:cs="宋体"/>
          <w:color w:val="auto"/>
          <w:sz w:val="24"/>
          <w:highlight w:val="none"/>
          <w:lang w:bidi="ar"/>
        </w:rPr>
        <w:t>）</w:t>
      </w:r>
    </w:p>
    <w:p w14:paraId="6D5162AD">
      <w:pPr>
        <w:pStyle w:val="6"/>
        <w:pageBreakBefore w:val="0"/>
        <w:kinsoku/>
        <w:overflowPunct/>
        <w:topLinePunct w:val="0"/>
        <w:bidi w:val="0"/>
        <w:spacing w:line="480" w:lineRule="auto"/>
        <w:ind w:right="480" w:firstLine="480"/>
        <w:jc w:val="right"/>
        <w:outlineLvl w:val="9"/>
        <w:rPr>
          <w:rFonts w:hAnsi="宋体" w:eastAsia="宋体" w:cs="宋体"/>
          <w:color w:val="auto"/>
          <w:kern w:val="2"/>
          <w:szCs w:val="22"/>
          <w:highlight w:val="none"/>
        </w:rPr>
      </w:pPr>
      <w:r>
        <w:rPr>
          <w:rFonts w:hint="eastAsia" w:hAnsi="宋体" w:eastAsia="宋体" w:cs="宋体"/>
          <w:color w:val="auto"/>
          <w:highlight w:val="none"/>
        </w:rPr>
        <w:t xml:space="preserve">     </w:t>
      </w:r>
      <w:r>
        <w:rPr>
          <w:rFonts w:hint="eastAsia" w:hAnsi="宋体" w:eastAsia="宋体" w:cs="宋体"/>
          <w:color w:val="auto"/>
          <w:highlight w:val="none"/>
          <w:u w:val="single"/>
        </w:rPr>
        <w:t xml:space="preserve"> </w:t>
      </w:r>
      <w:r>
        <w:rPr>
          <w:rFonts w:hint="eastAsia" w:hAnsi="宋体" w:eastAsia="宋体" w:cs="宋体"/>
          <w:color w:val="auto"/>
          <w:kern w:val="2"/>
          <w:szCs w:val="22"/>
          <w:highlight w:val="none"/>
          <w:u w:val="single"/>
        </w:rPr>
        <w:t xml:space="preserve">    </w:t>
      </w:r>
      <w:r>
        <w:rPr>
          <w:rFonts w:hint="eastAsia" w:hAnsi="宋体" w:eastAsia="宋体" w:cs="宋体"/>
          <w:color w:val="auto"/>
          <w:kern w:val="2"/>
          <w:szCs w:val="22"/>
          <w:highlight w:val="none"/>
        </w:rPr>
        <w:t>年</w:t>
      </w:r>
      <w:r>
        <w:rPr>
          <w:rFonts w:hint="eastAsia" w:hAnsi="宋体" w:eastAsia="宋体" w:cs="宋体"/>
          <w:color w:val="auto"/>
          <w:kern w:val="2"/>
          <w:szCs w:val="22"/>
          <w:highlight w:val="none"/>
          <w:u w:val="single"/>
        </w:rPr>
        <w:t xml:space="preserve">     </w:t>
      </w:r>
      <w:r>
        <w:rPr>
          <w:rFonts w:hint="eastAsia" w:hAnsi="宋体" w:eastAsia="宋体" w:cs="宋体"/>
          <w:color w:val="auto"/>
          <w:kern w:val="2"/>
          <w:szCs w:val="22"/>
          <w:highlight w:val="none"/>
        </w:rPr>
        <w:t>月</w:t>
      </w:r>
      <w:r>
        <w:rPr>
          <w:rFonts w:hint="eastAsia" w:hAnsi="宋体" w:eastAsia="宋体" w:cs="宋体"/>
          <w:color w:val="auto"/>
          <w:kern w:val="2"/>
          <w:szCs w:val="22"/>
          <w:highlight w:val="none"/>
          <w:u w:val="single"/>
        </w:rPr>
        <w:t xml:space="preserve">     </w:t>
      </w:r>
      <w:r>
        <w:rPr>
          <w:rFonts w:hint="eastAsia" w:hAnsi="宋体" w:eastAsia="宋体" w:cs="宋体"/>
          <w:color w:val="auto"/>
          <w:kern w:val="2"/>
          <w:szCs w:val="22"/>
          <w:highlight w:val="none"/>
        </w:rPr>
        <w:t>日</w:t>
      </w:r>
    </w:p>
    <w:p w14:paraId="13D0D38B">
      <w:pPr>
        <w:pageBreakBefore w:val="0"/>
        <w:kinsoku/>
        <w:overflowPunct/>
        <w:topLinePunct w:val="0"/>
        <w:bidi w:val="0"/>
        <w:spacing w:line="500" w:lineRule="exact"/>
        <w:outlineLvl w:val="9"/>
        <w:rPr>
          <w:rFonts w:ascii="宋体" w:hAnsi="宋体" w:cs="宋体"/>
          <w:bCs/>
          <w:color w:val="auto"/>
          <w:sz w:val="24"/>
          <w:highlight w:val="none"/>
        </w:rPr>
      </w:pPr>
    </w:p>
    <w:p w14:paraId="1919CB1A">
      <w:pPr>
        <w:pageBreakBefore w:val="0"/>
        <w:kinsoku/>
        <w:overflowPunct/>
        <w:topLinePunct w:val="0"/>
        <w:bidi w:val="0"/>
        <w:spacing w:line="500" w:lineRule="exact"/>
        <w:outlineLvl w:val="9"/>
        <w:rPr>
          <w:rFonts w:ascii="宋体" w:hAnsi="宋体" w:cs="宋体"/>
          <w:bCs/>
          <w:color w:val="auto"/>
          <w:sz w:val="24"/>
          <w:highlight w:val="none"/>
        </w:rPr>
      </w:pPr>
    </w:p>
    <w:p w14:paraId="522AA643">
      <w:pPr>
        <w:pageBreakBefore w:val="0"/>
        <w:kinsoku/>
        <w:overflowPunct/>
        <w:topLinePunct w:val="0"/>
        <w:bidi w:val="0"/>
        <w:spacing w:line="500" w:lineRule="exact"/>
        <w:outlineLvl w:val="9"/>
        <w:rPr>
          <w:rFonts w:ascii="宋体" w:hAnsi="宋体" w:cs="宋体"/>
          <w:bCs/>
          <w:color w:val="auto"/>
          <w:sz w:val="24"/>
          <w:highlight w:val="none"/>
        </w:rPr>
      </w:pPr>
    </w:p>
    <w:p w14:paraId="7A46E7E6">
      <w:pPr>
        <w:pageBreakBefore w:val="0"/>
        <w:kinsoku/>
        <w:overflowPunct/>
        <w:topLinePunct w:val="0"/>
        <w:bidi w:val="0"/>
        <w:spacing w:line="500" w:lineRule="exact"/>
        <w:outlineLvl w:val="9"/>
        <w:rPr>
          <w:rFonts w:ascii="宋体" w:hAnsi="宋体" w:cs="宋体"/>
          <w:bCs/>
          <w:color w:val="auto"/>
          <w:sz w:val="24"/>
          <w:highlight w:val="none"/>
        </w:rPr>
      </w:pPr>
    </w:p>
    <w:p w14:paraId="4E948D2D">
      <w:pPr>
        <w:pageBreakBefore w:val="0"/>
        <w:kinsoku/>
        <w:overflowPunct/>
        <w:topLinePunct w:val="0"/>
        <w:bidi w:val="0"/>
        <w:spacing w:line="500" w:lineRule="exact"/>
        <w:outlineLvl w:val="9"/>
        <w:rPr>
          <w:rFonts w:ascii="宋体" w:hAnsi="宋体" w:cs="宋体"/>
          <w:bCs/>
          <w:color w:val="auto"/>
          <w:sz w:val="24"/>
          <w:highlight w:val="none"/>
        </w:rPr>
      </w:pPr>
    </w:p>
    <w:p w14:paraId="4B3789B9">
      <w:pPr>
        <w:pageBreakBefore w:val="0"/>
        <w:kinsoku/>
        <w:overflowPunct/>
        <w:topLinePunct w:val="0"/>
        <w:bidi w:val="0"/>
        <w:spacing w:line="500" w:lineRule="exact"/>
        <w:outlineLvl w:val="9"/>
        <w:rPr>
          <w:rFonts w:ascii="宋体" w:hAnsi="宋体" w:cs="宋体"/>
          <w:b/>
          <w:color w:val="auto"/>
          <w:sz w:val="24"/>
          <w:highlight w:val="none"/>
        </w:rPr>
      </w:pPr>
    </w:p>
    <w:p w14:paraId="7CD1A0C6">
      <w:pPr>
        <w:pageBreakBefore w:val="0"/>
        <w:kinsoku/>
        <w:overflowPunct/>
        <w:topLinePunct w:val="0"/>
        <w:bidi w:val="0"/>
        <w:spacing w:line="500" w:lineRule="exact"/>
        <w:outlineLvl w:val="9"/>
        <w:rPr>
          <w:rFonts w:hint="eastAsia" w:ascii="宋体" w:hAnsi="宋体" w:cs="宋体"/>
          <w:b/>
          <w:color w:val="auto"/>
          <w:sz w:val="24"/>
          <w:highlight w:val="none"/>
        </w:rPr>
      </w:pPr>
    </w:p>
    <w:p w14:paraId="03F9A6FB">
      <w:pPr>
        <w:pageBreakBefore w:val="0"/>
        <w:kinsoku/>
        <w:overflowPunct/>
        <w:topLinePunct w:val="0"/>
        <w:bidi w:val="0"/>
        <w:spacing w:line="500" w:lineRule="exact"/>
        <w:outlineLvl w:val="9"/>
        <w:rPr>
          <w:rFonts w:hint="eastAsia" w:ascii="宋体" w:hAnsi="宋体" w:cs="宋体"/>
          <w:b/>
          <w:color w:val="auto"/>
          <w:sz w:val="24"/>
          <w:highlight w:val="none"/>
        </w:rPr>
      </w:pPr>
    </w:p>
    <w:p w14:paraId="48E57F8E">
      <w:pPr>
        <w:pageBreakBefore w:val="0"/>
        <w:kinsoku/>
        <w:overflowPunct/>
        <w:topLinePunct w:val="0"/>
        <w:bidi w:val="0"/>
        <w:spacing w:line="500" w:lineRule="exact"/>
        <w:outlineLvl w:val="9"/>
        <w:rPr>
          <w:rFonts w:hint="eastAsia" w:ascii="宋体" w:hAnsi="宋体" w:cs="宋体" w:eastAsiaTheme="minorEastAsia"/>
          <w:b/>
          <w:color w:val="auto"/>
          <w:sz w:val="24"/>
          <w:highlight w:val="none"/>
          <w:lang w:eastAsia="zh-CN"/>
        </w:rPr>
      </w:pPr>
      <w:r>
        <w:rPr>
          <w:rFonts w:hint="eastAsia" w:ascii="宋体" w:hAnsi="宋体" w:cs="宋体"/>
          <w:b/>
          <w:color w:val="auto"/>
          <w:sz w:val="24"/>
          <w:highlight w:val="none"/>
        </w:rPr>
        <w:t>附件二：</w:t>
      </w:r>
    </w:p>
    <w:p w14:paraId="545B3033">
      <w:pPr>
        <w:pageBreakBefore w:val="0"/>
        <w:kinsoku/>
        <w:overflowPunct/>
        <w:topLinePunct w:val="0"/>
        <w:bidi w:val="0"/>
        <w:outlineLvl w:val="9"/>
        <w:rPr>
          <w:color w:val="auto"/>
          <w:highlight w:val="none"/>
          <w:lang w:eastAsia="zh-CN"/>
        </w:rPr>
      </w:pPr>
    </w:p>
    <w:p w14:paraId="3C0EBA20">
      <w:pPr>
        <w:pageBreakBefore w:val="0"/>
        <w:widowControl w:val="0"/>
        <w:kinsoku/>
        <w:overflowPunct/>
        <w:topLinePunct w:val="0"/>
        <w:bidi w:val="0"/>
        <w:spacing w:line="360" w:lineRule="auto"/>
        <w:outlineLvl w:val="9"/>
        <w:rPr>
          <w:rFonts w:ascii="宋体" w:hAnsi="宋体" w:cs="宋体"/>
          <w:b/>
          <w:color w:val="auto"/>
          <w:sz w:val="24"/>
          <w:highlight w:val="none"/>
          <w:u w:val="singl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 xml:space="preserve"> （采购人及采购代理机构） </w:t>
      </w:r>
    </w:p>
    <w:p w14:paraId="18C9100B">
      <w:pPr>
        <w:pageBreakBefore w:val="0"/>
        <w:widowControl w:val="0"/>
        <w:kinsoku/>
        <w:overflowPunct/>
        <w:topLinePunct w:val="0"/>
        <w:bidi w:val="0"/>
        <w:spacing w:line="360" w:lineRule="auto"/>
        <w:ind w:firstLine="960" w:firstLineChars="400"/>
        <w:jc w:val="both"/>
        <w:outlineLvl w:val="9"/>
        <w:rPr>
          <w:rFonts w:ascii="宋体" w:hAnsi="宋体" w:cs="宋体"/>
          <w:color w:val="auto"/>
          <w:sz w:val="24"/>
          <w:szCs w:val="28"/>
          <w:highlight w:val="none"/>
        </w:rPr>
      </w:pPr>
      <w:r>
        <w:rPr>
          <w:rFonts w:hint="eastAsia" w:ascii="宋体" w:hAnsi="宋体" w:cs="宋体"/>
          <w:color w:val="auto"/>
          <w:sz w:val="24"/>
          <w:szCs w:val="28"/>
          <w:highlight w:val="none"/>
        </w:rPr>
        <w:t>我们在贵公司组织的（项目名称 ：</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 xml:space="preserve"> ，项目编号：</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）磋商中若获</w:t>
      </w:r>
      <w:r>
        <w:rPr>
          <w:rFonts w:hint="eastAsia" w:ascii="宋体" w:hAnsi="宋体" w:cs="宋体"/>
          <w:color w:val="auto"/>
          <w:sz w:val="24"/>
          <w:szCs w:val="28"/>
          <w:highlight w:val="none"/>
          <w:lang w:eastAsia="zh-CN"/>
        </w:rPr>
        <w:t>成交</w:t>
      </w:r>
      <w:r>
        <w:rPr>
          <w:rFonts w:hint="eastAsia" w:ascii="宋体" w:hAnsi="宋体" w:cs="宋体"/>
          <w:color w:val="auto"/>
          <w:sz w:val="24"/>
          <w:szCs w:val="28"/>
          <w:highlight w:val="none"/>
        </w:rPr>
        <w:t>资格，我们保证在成交结果公告发布后5个工作日内，按</w:t>
      </w:r>
      <w:r>
        <w:rPr>
          <w:rFonts w:hint="eastAsia" w:ascii="宋体" w:hAnsi="宋体" w:cs="宋体"/>
          <w:bCs/>
          <w:color w:val="auto"/>
          <w:sz w:val="24"/>
          <w:highlight w:val="none"/>
        </w:rPr>
        <w:t>竞争性磋商</w:t>
      </w:r>
      <w:r>
        <w:rPr>
          <w:rFonts w:hint="eastAsia" w:ascii="宋体" w:hAnsi="宋体" w:cs="宋体"/>
          <w:color w:val="auto"/>
          <w:sz w:val="24"/>
          <w:szCs w:val="28"/>
          <w:highlight w:val="none"/>
        </w:rPr>
        <w:t>文件的规定，以支票、银行转账、汇票或现金，向贵公司一次性支付采购代理服务费用。否则，由此产生的一切法律后果和责任由我公司承担。我公司声明放弃对此提出任何异议和追索的权利。</w:t>
      </w:r>
    </w:p>
    <w:p w14:paraId="467EBB09">
      <w:pPr>
        <w:pageBreakBefore w:val="0"/>
        <w:kinsoku/>
        <w:overflowPunct/>
        <w:topLinePunct w:val="0"/>
        <w:bidi w:val="0"/>
        <w:spacing w:line="460" w:lineRule="exact"/>
        <w:ind w:firstLine="480" w:firstLineChars="200"/>
        <w:jc w:val="both"/>
        <w:outlineLvl w:val="9"/>
        <w:rPr>
          <w:rFonts w:ascii="宋体" w:hAnsi="宋体" w:cs="宋体"/>
          <w:color w:val="auto"/>
          <w:sz w:val="24"/>
          <w:szCs w:val="28"/>
          <w:highlight w:val="none"/>
        </w:rPr>
      </w:pPr>
    </w:p>
    <w:p w14:paraId="4EEF459F">
      <w:pPr>
        <w:pageBreakBefore w:val="0"/>
        <w:kinsoku/>
        <w:overflowPunct/>
        <w:topLinePunct w:val="0"/>
        <w:bidi w:val="0"/>
        <w:spacing w:line="460" w:lineRule="exact"/>
        <w:ind w:firstLine="480" w:firstLineChars="200"/>
        <w:jc w:val="both"/>
        <w:outlineLvl w:val="9"/>
        <w:rPr>
          <w:rFonts w:ascii="宋体" w:hAnsi="宋体" w:cs="宋体"/>
          <w:color w:val="auto"/>
          <w:sz w:val="24"/>
          <w:szCs w:val="28"/>
          <w:highlight w:val="none"/>
        </w:rPr>
      </w:pPr>
      <w:r>
        <w:rPr>
          <w:rFonts w:hint="eastAsia" w:ascii="宋体" w:hAnsi="宋体" w:cs="宋体"/>
          <w:color w:val="auto"/>
          <w:sz w:val="24"/>
          <w:szCs w:val="28"/>
          <w:highlight w:val="none"/>
        </w:rPr>
        <w:t>特此承诺。</w:t>
      </w:r>
    </w:p>
    <w:p w14:paraId="1CECDB7A">
      <w:pPr>
        <w:pageBreakBefore w:val="0"/>
        <w:kinsoku/>
        <w:overflowPunct/>
        <w:topLinePunct w:val="0"/>
        <w:bidi w:val="0"/>
        <w:spacing w:line="460" w:lineRule="exact"/>
        <w:ind w:firstLine="480" w:firstLineChars="200"/>
        <w:outlineLvl w:val="9"/>
        <w:rPr>
          <w:rFonts w:ascii="宋体" w:hAnsi="宋体" w:cs="宋体"/>
          <w:color w:val="auto"/>
          <w:sz w:val="24"/>
          <w:szCs w:val="28"/>
          <w:highlight w:val="none"/>
        </w:rPr>
      </w:pPr>
    </w:p>
    <w:p w14:paraId="1977DF6C">
      <w:pPr>
        <w:pageBreakBefore w:val="0"/>
        <w:kinsoku/>
        <w:overflowPunct/>
        <w:topLinePunct w:val="0"/>
        <w:bidi w:val="0"/>
        <w:spacing w:line="520" w:lineRule="exact"/>
        <w:jc w:val="right"/>
        <w:outlineLvl w:val="9"/>
        <w:rPr>
          <w:rFonts w:ascii="宋体" w:hAnsi="宋体" w:cs="宋体"/>
          <w:color w:val="auto"/>
          <w:sz w:val="24"/>
          <w:highlight w:val="none"/>
        </w:rPr>
      </w:pPr>
    </w:p>
    <w:p w14:paraId="172D0286">
      <w:pPr>
        <w:pageBreakBefore w:val="0"/>
        <w:kinsoku/>
        <w:overflowPunct/>
        <w:topLinePunct w:val="0"/>
        <w:bidi w:val="0"/>
        <w:spacing w:line="520" w:lineRule="exact"/>
        <w:jc w:val="right"/>
        <w:outlineLvl w:val="9"/>
        <w:rPr>
          <w:rFonts w:ascii="宋体" w:hAnsi="宋体" w:cs="宋体"/>
          <w:color w:val="auto"/>
          <w:sz w:val="24"/>
          <w:highlight w:val="none"/>
        </w:rPr>
      </w:pPr>
    </w:p>
    <w:p w14:paraId="261E142D">
      <w:pPr>
        <w:pageBreakBefore w:val="0"/>
        <w:kinsoku/>
        <w:overflowPunct/>
        <w:topLinePunct w:val="0"/>
        <w:bidi w:val="0"/>
        <w:spacing w:line="520" w:lineRule="exact"/>
        <w:jc w:val="right"/>
        <w:outlineLvl w:val="9"/>
        <w:rPr>
          <w:rFonts w:ascii="宋体" w:hAnsi="宋体" w:cs="宋体"/>
          <w:color w:val="auto"/>
          <w:sz w:val="24"/>
          <w:highlight w:val="none"/>
        </w:rPr>
      </w:pPr>
    </w:p>
    <w:p w14:paraId="55BEB30A">
      <w:pPr>
        <w:pageBreakBefore w:val="0"/>
        <w:kinsoku/>
        <w:overflowPunct/>
        <w:topLinePunct w:val="0"/>
        <w:bidi w:val="0"/>
        <w:spacing w:line="440" w:lineRule="exact"/>
        <w:jc w:val="right"/>
        <w:outlineLvl w:val="9"/>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盖</w:t>
      </w:r>
      <w:r>
        <w:rPr>
          <w:rFonts w:hint="eastAsia" w:ascii="宋体" w:hAnsi="宋体" w:eastAsia="宋体" w:cs="宋体"/>
          <w:color w:val="auto"/>
          <w:sz w:val="24"/>
          <w:szCs w:val="24"/>
          <w:highlight w:val="none"/>
          <w:lang w:val="en-US" w:eastAsia="zh-CN"/>
        </w:rPr>
        <w:t>单位公章</w:t>
      </w:r>
      <w:r>
        <w:rPr>
          <w:rFonts w:hint="eastAsia" w:ascii="宋体" w:hAnsi="宋体" w:cs="宋体"/>
          <w:color w:val="auto"/>
          <w:sz w:val="24"/>
          <w:highlight w:val="none"/>
        </w:rPr>
        <w:t>）</w:t>
      </w:r>
    </w:p>
    <w:p w14:paraId="1895DF00">
      <w:pPr>
        <w:pageBreakBefore w:val="0"/>
        <w:kinsoku/>
        <w:overflowPunct/>
        <w:topLinePunct w:val="0"/>
        <w:bidi w:val="0"/>
        <w:outlineLvl w:val="9"/>
        <w:rPr>
          <w:color w:val="auto"/>
          <w:highlight w:val="none"/>
        </w:rPr>
      </w:pPr>
    </w:p>
    <w:p w14:paraId="314DCA01">
      <w:pPr>
        <w:pStyle w:val="35"/>
        <w:pageBreakBefore w:val="0"/>
        <w:kinsoku/>
        <w:overflowPunct/>
        <w:topLinePunct w:val="0"/>
        <w:bidi w:val="0"/>
        <w:jc w:val="center"/>
        <w:outlineLvl w:val="9"/>
        <w:rPr>
          <w:color w:val="auto"/>
          <w:highlight w:val="none"/>
        </w:rPr>
      </w:pPr>
      <w:r>
        <w:rPr>
          <w:rFonts w:hint="eastAsia" w:hAnsi="宋体"/>
          <w:bCs/>
          <w:color w:val="auto"/>
          <w:highlight w:val="none"/>
        </w:rPr>
        <w:t xml:space="preserve">               法定代表人</w:t>
      </w:r>
      <w:r>
        <w:rPr>
          <w:rFonts w:hint="eastAsia" w:hAnsi="宋体"/>
          <w:bCs/>
          <w:color w:val="auto"/>
          <w:highlight w:val="none"/>
          <w:lang w:eastAsia="zh-CN"/>
        </w:rPr>
        <w:t>（</w:t>
      </w:r>
      <w:r>
        <w:rPr>
          <w:rFonts w:hint="eastAsia" w:hAnsi="宋体"/>
          <w:bCs/>
          <w:color w:val="auto"/>
          <w:highlight w:val="none"/>
          <w:lang w:val="en-US" w:eastAsia="zh-CN"/>
        </w:rPr>
        <w:t>自然人或者经营者</w:t>
      </w:r>
      <w:r>
        <w:rPr>
          <w:rFonts w:hint="eastAsia" w:hAnsi="宋体"/>
          <w:bCs/>
          <w:color w:val="auto"/>
          <w:highlight w:val="none"/>
          <w:lang w:eastAsia="zh-CN"/>
        </w:rPr>
        <w:t>）</w:t>
      </w:r>
      <w:r>
        <w:rPr>
          <w:rFonts w:hint="eastAsia" w:hAnsi="宋体"/>
          <w:bCs/>
          <w:color w:val="auto"/>
          <w:highlight w:val="none"/>
        </w:rPr>
        <w:t>：</w:t>
      </w:r>
      <w:r>
        <w:rPr>
          <w:rFonts w:hint="eastAsia" w:hAnsi="宋体"/>
          <w:bCs/>
          <w:color w:val="auto"/>
          <w:highlight w:val="none"/>
          <w:u w:val="single"/>
        </w:rPr>
        <w:t xml:space="preserve">                 </w:t>
      </w:r>
      <w:r>
        <w:rPr>
          <w:rFonts w:hint="eastAsia" w:hAnsi="宋体"/>
          <w:bCs/>
          <w:color w:val="auto"/>
          <w:highlight w:val="none"/>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hAnsi="宋体"/>
          <w:bCs/>
          <w:color w:val="auto"/>
          <w:highlight w:val="none"/>
        </w:rPr>
        <w:t>）</w:t>
      </w:r>
    </w:p>
    <w:p w14:paraId="0A8E988E">
      <w:pPr>
        <w:pStyle w:val="6"/>
        <w:pageBreakBefore w:val="0"/>
        <w:kinsoku/>
        <w:overflowPunct/>
        <w:topLinePunct w:val="0"/>
        <w:bidi w:val="0"/>
        <w:spacing w:line="480" w:lineRule="auto"/>
        <w:ind w:right="480" w:firstLine="480"/>
        <w:jc w:val="right"/>
        <w:outlineLvl w:val="9"/>
        <w:rPr>
          <w:rFonts w:hAnsi="宋体" w:eastAsia="宋体" w:cs="宋体"/>
          <w:color w:val="auto"/>
          <w:kern w:val="2"/>
          <w:szCs w:val="22"/>
          <w:highlight w:val="none"/>
        </w:rPr>
      </w:pPr>
      <w:r>
        <w:rPr>
          <w:rFonts w:hint="eastAsia" w:hAnsi="宋体" w:eastAsia="宋体" w:cs="宋体"/>
          <w:color w:val="auto"/>
          <w:highlight w:val="none"/>
        </w:rPr>
        <w:t xml:space="preserve">     </w:t>
      </w:r>
      <w:r>
        <w:rPr>
          <w:rFonts w:hint="eastAsia" w:hAnsi="宋体" w:eastAsia="宋体" w:cs="宋体"/>
          <w:color w:val="auto"/>
          <w:highlight w:val="none"/>
          <w:u w:val="single"/>
        </w:rPr>
        <w:t xml:space="preserve"> </w:t>
      </w:r>
      <w:r>
        <w:rPr>
          <w:rFonts w:hint="eastAsia" w:hAnsi="宋体" w:eastAsia="宋体" w:cs="宋体"/>
          <w:color w:val="auto"/>
          <w:kern w:val="2"/>
          <w:szCs w:val="22"/>
          <w:highlight w:val="none"/>
          <w:u w:val="single"/>
        </w:rPr>
        <w:t xml:space="preserve">    </w:t>
      </w:r>
      <w:r>
        <w:rPr>
          <w:rFonts w:hint="eastAsia" w:hAnsi="宋体" w:eastAsia="宋体" w:cs="宋体"/>
          <w:color w:val="auto"/>
          <w:kern w:val="2"/>
          <w:szCs w:val="22"/>
          <w:highlight w:val="none"/>
        </w:rPr>
        <w:t>年</w:t>
      </w:r>
      <w:r>
        <w:rPr>
          <w:rFonts w:hint="eastAsia" w:hAnsi="宋体" w:eastAsia="宋体" w:cs="宋体"/>
          <w:color w:val="auto"/>
          <w:kern w:val="2"/>
          <w:szCs w:val="22"/>
          <w:highlight w:val="none"/>
          <w:u w:val="single"/>
        </w:rPr>
        <w:t xml:space="preserve">     </w:t>
      </w:r>
      <w:r>
        <w:rPr>
          <w:rFonts w:hint="eastAsia" w:hAnsi="宋体" w:eastAsia="宋体" w:cs="宋体"/>
          <w:color w:val="auto"/>
          <w:kern w:val="2"/>
          <w:szCs w:val="22"/>
          <w:highlight w:val="none"/>
        </w:rPr>
        <w:t>月</w:t>
      </w:r>
      <w:r>
        <w:rPr>
          <w:rFonts w:hint="eastAsia" w:hAnsi="宋体" w:eastAsia="宋体" w:cs="宋体"/>
          <w:color w:val="auto"/>
          <w:kern w:val="2"/>
          <w:szCs w:val="22"/>
          <w:highlight w:val="none"/>
          <w:u w:val="single"/>
        </w:rPr>
        <w:t xml:space="preserve">     </w:t>
      </w:r>
      <w:r>
        <w:rPr>
          <w:rFonts w:hint="eastAsia" w:hAnsi="宋体" w:eastAsia="宋体" w:cs="宋体"/>
          <w:color w:val="auto"/>
          <w:kern w:val="2"/>
          <w:szCs w:val="22"/>
          <w:highlight w:val="none"/>
        </w:rPr>
        <w:t>日</w:t>
      </w:r>
    </w:p>
    <w:p w14:paraId="1D0F1593">
      <w:pPr>
        <w:pageBreakBefore w:val="0"/>
        <w:kinsoku/>
        <w:overflowPunct/>
        <w:topLinePunct w:val="0"/>
        <w:bidi w:val="0"/>
        <w:spacing w:line="520" w:lineRule="exact"/>
        <w:jc w:val="center"/>
        <w:outlineLvl w:val="9"/>
        <w:rPr>
          <w:rFonts w:ascii="宋体" w:hAnsi="宋体" w:cs="宋体"/>
          <w:color w:val="auto"/>
          <w:sz w:val="24"/>
          <w:highlight w:val="none"/>
        </w:rPr>
      </w:pPr>
    </w:p>
    <w:p w14:paraId="219BE45C">
      <w:pPr>
        <w:pageBreakBefore w:val="0"/>
        <w:kinsoku/>
        <w:overflowPunct/>
        <w:topLinePunct w:val="0"/>
        <w:bidi w:val="0"/>
        <w:spacing w:line="520" w:lineRule="exact"/>
        <w:jc w:val="right"/>
        <w:outlineLvl w:val="9"/>
        <w:rPr>
          <w:rFonts w:ascii="宋体" w:hAnsi="宋体" w:cs="宋体"/>
          <w:color w:val="auto"/>
          <w:sz w:val="24"/>
          <w:highlight w:val="none"/>
        </w:rPr>
      </w:pPr>
    </w:p>
    <w:p w14:paraId="69F40D08">
      <w:pPr>
        <w:pageBreakBefore w:val="0"/>
        <w:kinsoku/>
        <w:overflowPunct/>
        <w:topLinePunct w:val="0"/>
        <w:bidi w:val="0"/>
        <w:spacing w:line="520" w:lineRule="exact"/>
        <w:jc w:val="right"/>
        <w:outlineLvl w:val="9"/>
        <w:rPr>
          <w:rFonts w:ascii="宋体" w:hAnsi="宋体" w:cs="宋体"/>
          <w:color w:val="auto"/>
          <w:sz w:val="24"/>
          <w:highlight w:val="none"/>
        </w:rPr>
      </w:pPr>
    </w:p>
    <w:p w14:paraId="5423E946">
      <w:pPr>
        <w:pageBreakBefore w:val="0"/>
        <w:kinsoku/>
        <w:overflowPunct/>
        <w:topLinePunct w:val="0"/>
        <w:bidi w:val="0"/>
        <w:spacing w:line="520" w:lineRule="exact"/>
        <w:jc w:val="right"/>
        <w:outlineLvl w:val="9"/>
        <w:rPr>
          <w:rFonts w:ascii="宋体" w:hAnsi="宋体" w:cs="宋体"/>
          <w:color w:val="auto"/>
          <w:sz w:val="24"/>
          <w:highlight w:val="none"/>
        </w:rPr>
      </w:pPr>
    </w:p>
    <w:p w14:paraId="25012389">
      <w:pPr>
        <w:pageBreakBefore w:val="0"/>
        <w:kinsoku/>
        <w:overflowPunct/>
        <w:topLinePunct w:val="0"/>
        <w:bidi w:val="0"/>
        <w:spacing w:line="520" w:lineRule="exact"/>
        <w:jc w:val="right"/>
        <w:outlineLvl w:val="9"/>
        <w:rPr>
          <w:rFonts w:ascii="宋体" w:hAnsi="宋体" w:cs="宋体"/>
          <w:color w:val="auto"/>
          <w:sz w:val="24"/>
          <w:highlight w:val="none"/>
        </w:rPr>
      </w:pPr>
    </w:p>
    <w:p w14:paraId="34F7C72E">
      <w:pPr>
        <w:pageBreakBefore w:val="0"/>
        <w:kinsoku/>
        <w:overflowPunct/>
        <w:topLinePunct w:val="0"/>
        <w:bidi w:val="0"/>
        <w:spacing w:line="520" w:lineRule="exact"/>
        <w:jc w:val="right"/>
        <w:outlineLvl w:val="9"/>
        <w:rPr>
          <w:rFonts w:ascii="宋体" w:hAnsi="宋体" w:cs="宋体"/>
          <w:color w:val="auto"/>
          <w:sz w:val="24"/>
          <w:highlight w:val="none"/>
        </w:rPr>
      </w:pPr>
    </w:p>
    <w:p w14:paraId="30606930">
      <w:pPr>
        <w:pageBreakBefore w:val="0"/>
        <w:widowControl/>
        <w:kinsoku/>
        <w:overflowPunct/>
        <w:topLinePunct w:val="0"/>
        <w:bidi w:val="0"/>
        <w:jc w:val="left"/>
        <w:outlineLvl w:val="9"/>
        <w:rPr>
          <w:rFonts w:hint="eastAsia" w:ascii="宋体" w:hAnsi="宋体" w:eastAsia="宋体" w:cs="宋体"/>
          <w:b/>
          <w:bCs/>
          <w:color w:val="auto"/>
          <w:sz w:val="32"/>
          <w:szCs w:val="32"/>
          <w:highlight w:val="none"/>
        </w:rPr>
      </w:pPr>
      <w:bookmarkStart w:id="534" w:name="_Toc2430"/>
      <w:bookmarkStart w:id="535" w:name="_Toc3405"/>
    </w:p>
    <w:bookmarkEnd w:id="534"/>
    <w:bookmarkEnd w:id="535"/>
    <w:p w14:paraId="6DC20DA8">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val="en-US" w:eastAsia="zh-CN"/>
        </w:rPr>
      </w:pPr>
    </w:p>
    <w:p w14:paraId="2F9EB446">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lang w:eastAsia="zh-CN"/>
        </w:rPr>
        <w:t>资格</w:t>
      </w:r>
      <w:r>
        <w:rPr>
          <w:rFonts w:hint="eastAsia" w:ascii="宋体" w:hAnsi="宋体" w:eastAsia="宋体" w:cs="宋体"/>
          <w:b/>
          <w:bCs/>
          <w:color w:val="auto"/>
          <w:sz w:val="32"/>
          <w:szCs w:val="32"/>
          <w:highlight w:val="none"/>
          <w:lang w:val="en-US" w:eastAsia="zh-CN"/>
        </w:rPr>
        <w:t>审查资料</w:t>
      </w:r>
    </w:p>
    <w:p w14:paraId="6B12AEC9">
      <w:pPr>
        <w:spacing w:line="360" w:lineRule="auto"/>
        <w:ind w:firstLine="120" w:firstLineChars="50"/>
        <w:jc w:val="center"/>
        <w:rPr>
          <w:rFonts w:hint="eastAsia" w:ascii="宋体" w:hAnsi="宋体" w:eastAsia="宋体" w:cs="宋体"/>
          <w:color w:val="auto"/>
          <w:sz w:val="24"/>
          <w:highlight w:val="none"/>
        </w:rPr>
      </w:pPr>
      <w:r>
        <w:rPr>
          <w:rStyle w:val="52"/>
          <w:rFonts w:hint="eastAsia" w:ascii="宋体" w:hAnsi="宋体" w:eastAsia="宋体" w:cs="宋体"/>
          <w:color w:val="auto"/>
          <w:sz w:val="24"/>
          <w:szCs w:val="24"/>
          <w:highlight w:val="none"/>
        </w:rPr>
        <w:t>（一）基本情况表</w:t>
      </w:r>
    </w:p>
    <w:tbl>
      <w:tblPr>
        <w:tblStyle w:val="20"/>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992"/>
        <w:gridCol w:w="2167"/>
        <w:gridCol w:w="1290"/>
        <w:gridCol w:w="2126"/>
      </w:tblGrid>
      <w:tr w14:paraId="32BC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69" w:type="dxa"/>
            <w:vAlign w:val="center"/>
          </w:tcPr>
          <w:p w14:paraId="7AF6537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p>
        </w:tc>
        <w:tc>
          <w:tcPr>
            <w:tcW w:w="6575" w:type="dxa"/>
            <w:gridSpan w:val="4"/>
            <w:vAlign w:val="center"/>
          </w:tcPr>
          <w:p w14:paraId="42A2CF80">
            <w:pPr>
              <w:spacing w:line="360" w:lineRule="auto"/>
              <w:jc w:val="center"/>
              <w:rPr>
                <w:rFonts w:hint="eastAsia" w:ascii="宋体" w:hAnsi="宋体" w:eastAsia="宋体" w:cs="宋体"/>
                <w:color w:val="auto"/>
                <w:w w:val="98"/>
                <w:sz w:val="24"/>
                <w:highlight w:val="none"/>
              </w:rPr>
            </w:pPr>
          </w:p>
        </w:tc>
      </w:tr>
      <w:tr w14:paraId="260E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69" w:type="dxa"/>
            <w:vAlign w:val="center"/>
          </w:tcPr>
          <w:p w14:paraId="54F6172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159" w:type="dxa"/>
            <w:gridSpan w:val="2"/>
            <w:vAlign w:val="center"/>
          </w:tcPr>
          <w:p w14:paraId="72001DAF">
            <w:pPr>
              <w:spacing w:line="360" w:lineRule="auto"/>
              <w:jc w:val="center"/>
              <w:rPr>
                <w:rFonts w:hint="eastAsia" w:ascii="宋体" w:hAnsi="宋体" w:eastAsia="宋体" w:cs="宋体"/>
                <w:color w:val="auto"/>
                <w:sz w:val="24"/>
                <w:highlight w:val="none"/>
              </w:rPr>
            </w:pPr>
          </w:p>
        </w:tc>
        <w:tc>
          <w:tcPr>
            <w:tcW w:w="1290" w:type="dxa"/>
            <w:vAlign w:val="center"/>
          </w:tcPr>
          <w:p w14:paraId="012249D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2126" w:type="dxa"/>
            <w:vAlign w:val="center"/>
          </w:tcPr>
          <w:p w14:paraId="3DAB6760">
            <w:pPr>
              <w:spacing w:line="360" w:lineRule="auto"/>
              <w:jc w:val="center"/>
              <w:rPr>
                <w:rFonts w:hint="eastAsia" w:ascii="宋体" w:hAnsi="宋体" w:eastAsia="宋体" w:cs="宋体"/>
                <w:color w:val="auto"/>
                <w:sz w:val="24"/>
                <w:highlight w:val="none"/>
              </w:rPr>
            </w:pPr>
          </w:p>
        </w:tc>
      </w:tr>
      <w:tr w14:paraId="2DAC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269" w:type="dxa"/>
            <w:vMerge w:val="restart"/>
            <w:vAlign w:val="center"/>
          </w:tcPr>
          <w:p w14:paraId="292A9C8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992" w:type="dxa"/>
            <w:vAlign w:val="center"/>
          </w:tcPr>
          <w:p w14:paraId="7410B93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167" w:type="dxa"/>
            <w:vAlign w:val="center"/>
          </w:tcPr>
          <w:p w14:paraId="71C55AF2">
            <w:pPr>
              <w:spacing w:line="360" w:lineRule="auto"/>
              <w:jc w:val="center"/>
              <w:rPr>
                <w:rFonts w:hint="eastAsia" w:ascii="宋体" w:hAnsi="宋体" w:eastAsia="宋体" w:cs="宋体"/>
                <w:color w:val="auto"/>
                <w:sz w:val="24"/>
                <w:highlight w:val="none"/>
              </w:rPr>
            </w:pPr>
          </w:p>
        </w:tc>
        <w:tc>
          <w:tcPr>
            <w:tcW w:w="1290" w:type="dxa"/>
            <w:vAlign w:val="center"/>
          </w:tcPr>
          <w:p w14:paraId="2237AD43">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联系方式</w:t>
            </w:r>
          </w:p>
        </w:tc>
        <w:tc>
          <w:tcPr>
            <w:tcW w:w="2126" w:type="dxa"/>
            <w:vAlign w:val="center"/>
          </w:tcPr>
          <w:p w14:paraId="034ED229">
            <w:pPr>
              <w:spacing w:line="360" w:lineRule="auto"/>
              <w:jc w:val="center"/>
              <w:rPr>
                <w:rFonts w:hint="eastAsia" w:ascii="宋体" w:hAnsi="宋体" w:eastAsia="宋体" w:cs="宋体"/>
                <w:color w:val="auto"/>
                <w:sz w:val="24"/>
                <w:highlight w:val="none"/>
              </w:rPr>
            </w:pPr>
          </w:p>
        </w:tc>
      </w:tr>
      <w:tr w14:paraId="608F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269" w:type="dxa"/>
            <w:vMerge w:val="continue"/>
            <w:vAlign w:val="center"/>
          </w:tcPr>
          <w:p w14:paraId="5E69068E">
            <w:pPr>
              <w:spacing w:line="360" w:lineRule="auto"/>
              <w:jc w:val="center"/>
              <w:rPr>
                <w:rFonts w:hint="eastAsia" w:ascii="宋体" w:hAnsi="宋体" w:eastAsia="宋体" w:cs="宋体"/>
                <w:color w:val="auto"/>
                <w:sz w:val="24"/>
                <w:highlight w:val="none"/>
              </w:rPr>
            </w:pPr>
          </w:p>
        </w:tc>
        <w:tc>
          <w:tcPr>
            <w:tcW w:w="992" w:type="dxa"/>
            <w:vAlign w:val="center"/>
          </w:tcPr>
          <w:p w14:paraId="53AE4B0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2167" w:type="dxa"/>
            <w:vAlign w:val="center"/>
          </w:tcPr>
          <w:p w14:paraId="4D020DF5">
            <w:pPr>
              <w:spacing w:line="360" w:lineRule="auto"/>
              <w:jc w:val="center"/>
              <w:rPr>
                <w:rFonts w:hint="eastAsia" w:ascii="宋体" w:hAnsi="宋体" w:eastAsia="宋体" w:cs="宋体"/>
                <w:color w:val="auto"/>
                <w:sz w:val="24"/>
                <w:highlight w:val="none"/>
              </w:rPr>
            </w:pPr>
          </w:p>
        </w:tc>
        <w:tc>
          <w:tcPr>
            <w:tcW w:w="1290" w:type="dxa"/>
            <w:vAlign w:val="center"/>
          </w:tcPr>
          <w:p w14:paraId="196F524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网址</w:t>
            </w:r>
          </w:p>
        </w:tc>
        <w:tc>
          <w:tcPr>
            <w:tcW w:w="2126" w:type="dxa"/>
            <w:vAlign w:val="center"/>
          </w:tcPr>
          <w:p w14:paraId="10866BEE">
            <w:pPr>
              <w:spacing w:line="360" w:lineRule="auto"/>
              <w:jc w:val="center"/>
              <w:rPr>
                <w:rFonts w:hint="eastAsia" w:ascii="宋体" w:hAnsi="宋体" w:eastAsia="宋体" w:cs="宋体"/>
                <w:color w:val="auto"/>
                <w:sz w:val="24"/>
                <w:highlight w:val="none"/>
              </w:rPr>
            </w:pPr>
          </w:p>
        </w:tc>
      </w:tr>
      <w:tr w14:paraId="3F47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269" w:type="dxa"/>
            <w:vAlign w:val="center"/>
          </w:tcPr>
          <w:p w14:paraId="0D5CE4E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自然人或者经营者</w:t>
            </w:r>
            <w:r>
              <w:rPr>
                <w:rFonts w:hint="eastAsia" w:ascii="宋体" w:hAnsi="宋体" w:eastAsia="宋体" w:cs="宋体"/>
                <w:color w:val="auto"/>
                <w:sz w:val="24"/>
                <w:highlight w:val="none"/>
                <w:lang w:eastAsia="zh-CN"/>
              </w:rPr>
              <w:t>）</w:t>
            </w:r>
          </w:p>
        </w:tc>
        <w:tc>
          <w:tcPr>
            <w:tcW w:w="992" w:type="dxa"/>
            <w:vAlign w:val="center"/>
          </w:tcPr>
          <w:p w14:paraId="148DE20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167" w:type="dxa"/>
            <w:vAlign w:val="center"/>
          </w:tcPr>
          <w:p w14:paraId="7D592956">
            <w:pPr>
              <w:spacing w:line="360" w:lineRule="auto"/>
              <w:jc w:val="center"/>
              <w:rPr>
                <w:rFonts w:hint="eastAsia" w:ascii="宋体" w:hAnsi="宋体" w:eastAsia="宋体" w:cs="宋体"/>
                <w:color w:val="auto"/>
                <w:sz w:val="24"/>
                <w:highlight w:val="none"/>
              </w:rPr>
            </w:pPr>
          </w:p>
        </w:tc>
        <w:tc>
          <w:tcPr>
            <w:tcW w:w="1290" w:type="dxa"/>
            <w:vAlign w:val="center"/>
          </w:tcPr>
          <w:p w14:paraId="7920C81E">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p>
        </w:tc>
        <w:tc>
          <w:tcPr>
            <w:tcW w:w="2126" w:type="dxa"/>
            <w:vAlign w:val="center"/>
          </w:tcPr>
          <w:p w14:paraId="22006A08">
            <w:pPr>
              <w:spacing w:line="360" w:lineRule="auto"/>
              <w:jc w:val="center"/>
              <w:rPr>
                <w:rFonts w:hint="eastAsia" w:ascii="宋体" w:hAnsi="宋体" w:eastAsia="宋体" w:cs="宋体"/>
                <w:color w:val="auto"/>
                <w:w w:val="98"/>
                <w:sz w:val="24"/>
                <w:highlight w:val="none"/>
              </w:rPr>
            </w:pPr>
          </w:p>
        </w:tc>
      </w:tr>
      <w:tr w14:paraId="4D96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269" w:type="dxa"/>
            <w:vAlign w:val="center"/>
          </w:tcPr>
          <w:p w14:paraId="04C04A96">
            <w:pPr>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rPr>
              <w:t>负责人</w:t>
            </w:r>
          </w:p>
        </w:tc>
        <w:tc>
          <w:tcPr>
            <w:tcW w:w="992" w:type="dxa"/>
            <w:vAlign w:val="center"/>
          </w:tcPr>
          <w:p w14:paraId="1694858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167" w:type="dxa"/>
            <w:vAlign w:val="center"/>
          </w:tcPr>
          <w:p w14:paraId="72040320">
            <w:pPr>
              <w:spacing w:line="360" w:lineRule="auto"/>
              <w:jc w:val="center"/>
              <w:rPr>
                <w:rFonts w:hint="eastAsia" w:ascii="宋体" w:hAnsi="宋体" w:eastAsia="宋体" w:cs="宋体"/>
                <w:color w:val="auto"/>
                <w:sz w:val="24"/>
                <w:highlight w:val="none"/>
              </w:rPr>
            </w:pPr>
          </w:p>
        </w:tc>
        <w:tc>
          <w:tcPr>
            <w:tcW w:w="1290" w:type="dxa"/>
            <w:vAlign w:val="center"/>
          </w:tcPr>
          <w:p w14:paraId="2BFC9685">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p>
        </w:tc>
        <w:tc>
          <w:tcPr>
            <w:tcW w:w="2126" w:type="dxa"/>
            <w:vAlign w:val="center"/>
          </w:tcPr>
          <w:p w14:paraId="57F61CC0">
            <w:pPr>
              <w:spacing w:line="360" w:lineRule="auto"/>
              <w:jc w:val="center"/>
              <w:rPr>
                <w:rFonts w:hint="eastAsia" w:ascii="宋体" w:hAnsi="宋体" w:eastAsia="宋体" w:cs="宋体"/>
                <w:color w:val="auto"/>
                <w:w w:val="98"/>
                <w:sz w:val="24"/>
                <w:highlight w:val="none"/>
              </w:rPr>
            </w:pPr>
          </w:p>
        </w:tc>
      </w:tr>
      <w:tr w14:paraId="1EE5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69" w:type="dxa"/>
            <w:vAlign w:val="center"/>
          </w:tcPr>
          <w:p w14:paraId="51E522B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3159" w:type="dxa"/>
            <w:gridSpan w:val="2"/>
            <w:vAlign w:val="center"/>
          </w:tcPr>
          <w:p w14:paraId="5A561D9C">
            <w:pPr>
              <w:spacing w:line="360" w:lineRule="auto"/>
              <w:jc w:val="center"/>
              <w:rPr>
                <w:rFonts w:hint="eastAsia" w:ascii="宋体" w:hAnsi="宋体" w:eastAsia="宋体" w:cs="宋体"/>
                <w:color w:val="auto"/>
                <w:sz w:val="24"/>
                <w:highlight w:val="none"/>
              </w:rPr>
            </w:pPr>
          </w:p>
        </w:tc>
        <w:tc>
          <w:tcPr>
            <w:tcW w:w="3416" w:type="dxa"/>
            <w:gridSpan w:val="2"/>
            <w:vAlign w:val="center"/>
          </w:tcPr>
          <w:p w14:paraId="5C2333FB">
            <w:pPr>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2FF4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269" w:type="dxa"/>
            <w:vAlign w:val="center"/>
          </w:tcPr>
          <w:p w14:paraId="2ACD94A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6575" w:type="dxa"/>
            <w:gridSpan w:val="4"/>
            <w:vAlign w:val="center"/>
          </w:tcPr>
          <w:p w14:paraId="5F5BB16A">
            <w:pPr>
              <w:spacing w:line="360" w:lineRule="auto"/>
              <w:jc w:val="center"/>
              <w:rPr>
                <w:rFonts w:hint="eastAsia" w:ascii="宋体" w:hAnsi="宋体" w:eastAsia="宋体" w:cs="宋体"/>
                <w:color w:val="auto"/>
                <w:w w:val="98"/>
                <w:sz w:val="24"/>
                <w:highlight w:val="none"/>
              </w:rPr>
            </w:pPr>
          </w:p>
        </w:tc>
      </w:tr>
      <w:tr w14:paraId="3FA5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69" w:type="dxa"/>
            <w:vAlign w:val="center"/>
          </w:tcPr>
          <w:p w14:paraId="69C1E70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成立日期</w:t>
            </w:r>
          </w:p>
        </w:tc>
        <w:tc>
          <w:tcPr>
            <w:tcW w:w="6575" w:type="dxa"/>
            <w:gridSpan w:val="4"/>
            <w:vAlign w:val="center"/>
          </w:tcPr>
          <w:p w14:paraId="611C39CB">
            <w:pPr>
              <w:spacing w:line="360" w:lineRule="auto"/>
              <w:jc w:val="center"/>
              <w:rPr>
                <w:rFonts w:hint="eastAsia" w:ascii="宋体" w:hAnsi="宋体" w:eastAsia="宋体" w:cs="宋体"/>
                <w:color w:val="auto"/>
                <w:w w:val="98"/>
                <w:sz w:val="24"/>
                <w:highlight w:val="none"/>
              </w:rPr>
            </w:pPr>
          </w:p>
        </w:tc>
      </w:tr>
      <w:tr w14:paraId="764A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269" w:type="dxa"/>
            <w:vAlign w:val="center"/>
          </w:tcPr>
          <w:p w14:paraId="1BBB1A7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基本账户开户银行</w:t>
            </w:r>
          </w:p>
        </w:tc>
        <w:tc>
          <w:tcPr>
            <w:tcW w:w="6575" w:type="dxa"/>
            <w:gridSpan w:val="4"/>
            <w:vAlign w:val="center"/>
          </w:tcPr>
          <w:p w14:paraId="370525D6">
            <w:pPr>
              <w:spacing w:line="360" w:lineRule="auto"/>
              <w:jc w:val="center"/>
              <w:rPr>
                <w:rFonts w:hint="eastAsia" w:ascii="宋体" w:hAnsi="宋体" w:eastAsia="宋体" w:cs="宋体"/>
                <w:color w:val="auto"/>
                <w:w w:val="98"/>
                <w:sz w:val="24"/>
                <w:highlight w:val="none"/>
              </w:rPr>
            </w:pPr>
          </w:p>
        </w:tc>
      </w:tr>
      <w:tr w14:paraId="1DAC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69" w:type="dxa"/>
            <w:vAlign w:val="center"/>
          </w:tcPr>
          <w:p w14:paraId="79A6D56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基本账户银行账号</w:t>
            </w:r>
          </w:p>
        </w:tc>
        <w:tc>
          <w:tcPr>
            <w:tcW w:w="6575" w:type="dxa"/>
            <w:gridSpan w:val="4"/>
            <w:vAlign w:val="center"/>
          </w:tcPr>
          <w:p w14:paraId="7BC1EFE7">
            <w:pPr>
              <w:spacing w:line="360" w:lineRule="auto"/>
              <w:jc w:val="center"/>
              <w:rPr>
                <w:rFonts w:hint="eastAsia" w:ascii="宋体" w:hAnsi="宋体" w:eastAsia="宋体" w:cs="宋体"/>
                <w:color w:val="auto"/>
                <w:w w:val="98"/>
                <w:sz w:val="24"/>
                <w:highlight w:val="none"/>
              </w:rPr>
            </w:pPr>
          </w:p>
        </w:tc>
      </w:tr>
      <w:tr w14:paraId="7A9D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2269" w:type="dxa"/>
            <w:vAlign w:val="center"/>
          </w:tcPr>
          <w:p w14:paraId="67690151">
            <w:pPr>
              <w:shd w:val="clear" w:color="auto" w:fill="auto"/>
              <w:autoSpaceDE w:val="0"/>
              <w:autoSpaceDN w:val="0"/>
              <w:adjustRightInd w:val="0"/>
              <w:spacing w:line="44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组织结构</w:t>
            </w:r>
            <w:r>
              <w:rPr>
                <w:rFonts w:hint="eastAsia" w:ascii="宋体" w:hAnsi="宋体" w:cs="宋体"/>
                <w:color w:val="auto"/>
                <w:sz w:val="24"/>
                <w:highlight w:val="none"/>
                <w:lang w:val="en-US" w:eastAsia="zh-CN"/>
              </w:rPr>
              <w:t>类型</w:t>
            </w:r>
          </w:p>
        </w:tc>
        <w:tc>
          <w:tcPr>
            <w:tcW w:w="6575" w:type="dxa"/>
            <w:gridSpan w:val="4"/>
            <w:vAlign w:val="center"/>
          </w:tcPr>
          <w:p w14:paraId="10BBF708">
            <w:pPr>
              <w:shd w:val="clear" w:color="auto" w:fill="auto"/>
              <w:autoSpaceDE w:val="0"/>
              <w:autoSpaceDN w:val="0"/>
              <w:adjustRightInd w:val="0"/>
              <w:spacing w:line="440" w:lineRule="exact"/>
              <w:rPr>
                <w:rFonts w:hint="eastAsia" w:ascii="宋体" w:hAnsi="宋体" w:eastAsia="宋体" w:cs="宋体"/>
                <w:color w:val="auto"/>
                <w:w w:val="98"/>
                <w:sz w:val="24"/>
                <w:highlight w:val="none"/>
              </w:rPr>
            </w:pPr>
          </w:p>
        </w:tc>
      </w:tr>
      <w:tr w14:paraId="0CD6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2269" w:type="dxa"/>
            <w:vAlign w:val="center"/>
          </w:tcPr>
          <w:p w14:paraId="0A2FCCB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6575" w:type="dxa"/>
            <w:gridSpan w:val="4"/>
            <w:vAlign w:val="center"/>
          </w:tcPr>
          <w:p w14:paraId="00B6055A">
            <w:pPr>
              <w:spacing w:line="360" w:lineRule="auto"/>
              <w:jc w:val="center"/>
              <w:rPr>
                <w:rFonts w:hint="eastAsia" w:ascii="宋体" w:hAnsi="宋体" w:eastAsia="宋体" w:cs="宋体"/>
                <w:color w:val="auto"/>
                <w:w w:val="98"/>
                <w:sz w:val="24"/>
                <w:highlight w:val="none"/>
              </w:rPr>
            </w:pPr>
          </w:p>
        </w:tc>
      </w:tr>
      <w:tr w14:paraId="57EA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69" w:type="dxa"/>
            <w:vAlign w:val="center"/>
          </w:tcPr>
          <w:p w14:paraId="178F754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6575" w:type="dxa"/>
            <w:gridSpan w:val="4"/>
            <w:vAlign w:val="center"/>
          </w:tcPr>
          <w:p w14:paraId="0C237972">
            <w:pPr>
              <w:spacing w:line="360" w:lineRule="auto"/>
              <w:jc w:val="center"/>
              <w:rPr>
                <w:rFonts w:hint="eastAsia" w:ascii="宋体" w:hAnsi="宋体" w:eastAsia="宋体" w:cs="宋体"/>
                <w:color w:val="auto"/>
                <w:w w:val="98"/>
                <w:sz w:val="24"/>
                <w:highlight w:val="none"/>
              </w:rPr>
            </w:pPr>
          </w:p>
        </w:tc>
      </w:tr>
    </w:tbl>
    <w:p w14:paraId="5EE882AF">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val="en-US" w:eastAsia="zh-CN"/>
        </w:rPr>
      </w:pPr>
    </w:p>
    <w:p w14:paraId="28C61E1F">
      <w:pPr>
        <w:pageBreakBefore w:val="0"/>
        <w:kinsoku/>
        <w:overflowPunct/>
        <w:topLinePunct w:val="0"/>
        <w:autoSpaceDE w:val="0"/>
        <w:autoSpaceDN w:val="0"/>
        <w:bidi w:val="0"/>
        <w:spacing w:line="360" w:lineRule="auto"/>
        <w:ind w:firstLine="200"/>
        <w:outlineLvl w:val="9"/>
        <w:rPr>
          <w:rFonts w:hint="eastAsia" w:ascii="宋体" w:hAnsi="宋体" w:eastAsia="宋体" w:cs="宋体"/>
          <w:color w:val="auto"/>
          <w:sz w:val="36"/>
          <w:szCs w:val="36"/>
          <w:highlight w:val="none"/>
        </w:rPr>
      </w:pPr>
    </w:p>
    <w:p w14:paraId="63DD1BAB">
      <w:pPr>
        <w:numPr>
          <w:ilvl w:val="0"/>
          <w:numId w:val="0"/>
        </w:numPr>
        <w:spacing w:line="360" w:lineRule="auto"/>
        <w:jc w:val="center"/>
        <w:rPr>
          <w:rFonts w:hint="default"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二</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营业执照</w:t>
      </w:r>
    </w:p>
    <w:p w14:paraId="77A9ED22">
      <w:pPr>
        <w:numPr>
          <w:ilvl w:val="0"/>
          <w:numId w:val="0"/>
        </w:numPr>
        <w:spacing w:line="360" w:lineRule="auto"/>
        <w:ind w:firstLine="480" w:firstLineChars="200"/>
        <w:jc w:val="both"/>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8"/>
          <w:highlight w:val="none"/>
          <w:lang w:val="en-US" w:eastAsia="zh-CN"/>
        </w:rPr>
        <w:t>供应商须具有有效的营业执照</w:t>
      </w:r>
      <w:r>
        <w:rPr>
          <w:rFonts w:hint="eastAsia" w:ascii="宋体" w:hAnsi="宋体" w:eastAsia="宋体" w:cs="宋体"/>
          <w:color w:val="auto"/>
          <w:sz w:val="24"/>
          <w:szCs w:val="22"/>
          <w:highlight w:val="none"/>
          <w:lang w:eastAsia="zh-CN"/>
        </w:rPr>
        <w:t>。</w:t>
      </w:r>
      <w:r>
        <w:rPr>
          <w:rFonts w:hint="eastAsia" w:hAnsi="宋体" w:cs="宋体"/>
          <w:b/>
          <w:bCs/>
          <w:color w:val="auto"/>
          <w:sz w:val="24"/>
          <w:highlight w:val="none"/>
          <w:lang w:val="en-US" w:eastAsia="zh-CN"/>
        </w:rPr>
        <w:t>提供营业执照（正本/副本）的原件扫描件</w:t>
      </w:r>
      <w:r>
        <w:rPr>
          <w:rFonts w:hint="eastAsia" w:ascii="宋体" w:hAnsi="宋体" w:eastAsia="宋体" w:cs="宋体"/>
          <w:color w:val="auto"/>
          <w:sz w:val="24"/>
          <w:szCs w:val="22"/>
          <w:highlight w:val="none"/>
          <w:lang w:val="en-US" w:eastAsia="zh-CN"/>
        </w:rPr>
        <w:t>。</w:t>
      </w:r>
    </w:p>
    <w:p w14:paraId="44EB5142">
      <w:pPr>
        <w:numPr>
          <w:ilvl w:val="0"/>
          <w:numId w:val="0"/>
        </w:numPr>
        <w:spacing w:line="360" w:lineRule="auto"/>
        <w:jc w:val="center"/>
        <w:rPr>
          <w:rFonts w:hint="eastAsia" w:ascii="宋体" w:hAnsi="宋体" w:eastAsia="宋体" w:cs="宋体"/>
          <w:color w:val="auto"/>
          <w:sz w:val="24"/>
          <w:szCs w:val="24"/>
          <w:highlight w:val="none"/>
          <w:lang w:val="en-US" w:eastAsia="zh-CN"/>
        </w:rPr>
      </w:pPr>
    </w:p>
    <w:p w14:paraId="29FEDE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64B355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309F9E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4F17CC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68B8C8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691F98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69F0AD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43A905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0BAD53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7F31C2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33FAB3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5C2EF1B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389CD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37FDA6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7CFBB7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4EBA65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385E03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488DDC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406773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527DDA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2BBC43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309651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248170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3072FE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1A7F3F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2439DD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b/>
          <w:bCs/>
          <w:color w:val="auto"/>
          <w:sz w:val="28"/>
          <w:szCs w:val="28"/>
          <w:highlight w:val="none"/>
        </w:rPr>
      </w:pPr>
      <w:r>
        <w:rPr>
          <w:rFonts w:hint="eastAsia" w:ascii="宋体" w:hAnsi="宋体" w:eastAsia="宋体" w:cs="宋体"/>
          <w:color w:val="auto"/>
          <w:sz w:val="24"/>
          <w:szCs w:val="24"/>
          <w:highlight w:val="none"/>
          <w:lang w:val="en-US" w:eastAsia="zh-CN"/>
        </w:rPr>
        <w:t>（三）供应商资质</w:t>
      </w:r>
    </w:p>
    <w:p w14:paraId="58EED9BE">
      <w:pPr>
        <w:pStyle w:val="6"/>
        <w:pageBreakBefore w:val="0"/>
        <w:kinsoku/>
        <w:overflowPunct/>
        <w:topLinePunct w:val="0"/>
        <w:bidi w:val="0"/>
        <w:spacing w:line="360" w:lineRule="auto"/>
        <w:ind w:left="0" w:leftChars="0" w:right="480" w:firstLine="480" w:firstLineChars="200"/>
        <w:jc w:val="both"/>
        <w:outlineLvl w:val="9"/>
        <w:rPr>
          <w:rFonts w:hAnsi="宋体" w:eastAsia="宋体" w:cs="宋体"/>
          <w:color w:val="auto"/>
          <w:kern w:val="2"/>
          <w:szCs w:val="22"/>
          <w:highlight w:val="none"/>
        </w:rPr>
      </w:pPr>
      <w:r>
        <w:rPr>
          <w:rFonts w:hint="eastAsia" w:ascii="宋体" w:hAnsi="宋体" w:eastAsia="宋体" w:cs="宋体"/>
          <w:color w:val="auto"/>
          <w:sz w:val="24"/>
          <w:szCs w:val="24"/>
          <w:highlight w:val="none"/>
          <w:lang w:val="en-US" w:eastAsia="zh-CN"/>
        </w:rPr>
        <w:t>供应商须具有建筑行业（建筑工程）甲级及以上设计资质，并在人员、设备、资金等方面具有相应能力</w:t>
      </w:r>
      <w:r>
        <w:rPr>
          <w:rFonts w:hint="eastAsia" w:hAnsi="宋体" w:eastAsia="宋体" w:cs="宋体"/>
          <w:color w:val="auto"/>
          <w:sz w:val="24"/>
          <w:szCs w:val="24"/>
          <w:highlight w:val="none"/>
          <w:lang w:val="en-US" w:eastAsia="zh-CN"/>
        </w:rPr>
        <w:t>。</w:t>
      </w:r>
      <w:r>
        <w:rPr>
          <w:rFonts w:hint="eastAsia" w:hAnsi="宋体" w:eastAsia="宋体" w:cs="宋体"/>
          <w:b/>
          <w:bCs/>
          <w:color w:val="auto"/>
          <w:sz w:val="24"/>
          <w:szCs w:val="24"/>
          <w:highlight w:val="none"/>
          <w:lang w:val="en-US" w:eastAsia="zh-CN"/>
        </w:rPr>
        <w:t>提供资质证书及</w:t>
      </w:r>
      <w:r>
        <w:rPr>
          <w:rFonts w:hint="eastAsia" w:ascii="宋体" w:hAnsi="宋体" w:eastAsia="宋体" w:cs="宋体"/>
          <w:b/>
          <w:bCs/>
          <w:color w:val="auto"/>
          <w:sz w:val="24"/>
          <w:szCs w:val="24"/>
          <w:highlight w:val="none"/>
          <w:lang w:val="en-US" w:eastAsia="zh-CN"/>
        </w:rPr>
        <w:t>在人员、设备、资金等方面具有相应能力</w:t>
      </w:r>
      <w:r>
        <w:rPr>
          <w:rFonts w:hint="eastAsia" w:hAnsi="宋体" w:eastAsia="宋体" w:cs="宋体"/>
          <w:b/>
          <w:bCs/>
          <w:color w:val="auto"/>
          <w:sz w:val="24"/>
          <w:szCs w:val="24"/>
          <w:highlight w:val="none"/>
          <w:lang w:val="en-US" w:eastAsia="zh-CN"/>
        </w:rPr>
        <w:t>的承诺书。</w:t>
      </w:r>
    </w:p>
    <w:p w14:paraId="6C3C9DC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072EE7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（四）项目负责人资质</w:t>
      </w:r>
    </w:p>
    <w:p w14:paraId="57436C2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供应商拟派项目负责人须具备相关专业中级及以上技术职称，为本单位员工，</w:t>
      </w:r>
      <w:r>
        <w:rPr>
          <w:rFonts w:hint="eastAsia" w:ascii="宋体" w:hAnsi="宋体" w:eastAsia="宋体" w:cs="宋体"/>
          <w:color w:val="auto"/>
          <w:sz w:val="24"/>
          <w:highlight w:val="none"/>
        </w:rPr>
        <w:t>并具有劳动合同及养老保险缴费证明</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提供项目负责人身份证、职称证、劳动合同、</w:t>
      </w:r>
      <w:r>
        <w:rPr>
          <w:rFonts w:hint="eastAsia" w:ascii="宋体" w:hAnsi="宋体" w:eastAsia="宋体" w:cs="宋体"/>
          <w:b/>
          <w:bCs/>
          <w:color w:val="auto"/>
          <w:sz w:val="24"/>
          <w:highlight w:val="none"/>
        </w:rPr>
        <w:t>养老保险缴费证明</w:t>
      </w:r>
      <w:r>
        <w:rPr>
          <w:rFonts w:hint="eastAsia" w:ascii="宋体" w:hAnsi="宋体" w:eastAsia="宋体" w:cs="宋体"/>
          <w:b/>
          <w:bCs/>
          <w:color w:val="auto"/>
          <w:sz w:val="24"/>
          <w:highlight w:val="none"/>
          <w:lang w:eastAsia="zh-CN"/>
        </w:rPr>
        <w:t>。</w:t>
      </w:r>
    </w:p>
    <w:p w14:paraId="118D477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46C347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w:t>
      </w:r>
      <w:r>
        <w:rPr>
          <w:rFonts w:hint="eastAsia" w:ascii="宋体" w:hAnsi="宋体" w:cs="宋体"/>
          <w:color w:val="auto"/>
          <w:sz w:val="24"/>
          <w:szCs w:val="22"/>
          <w:highlight w:val="none"/>
        </w:rPr>
        <w:t>符合《中华人民共和国政府采购法》第二十二条的规定</w:t>
      </w:r>
    </w:p>
    <w:p w14:paraId="6C07D90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2"/>
          <w:highlight w:val="none"/>
        </w:rPr>
        <w:t>供应商参加本次采购活动必须符合《中华人民共和国政府采购法》第二十二条的规定</w:t>
      </w:r>
      <w:r>
        <w:rPr>
          <w:rFonts w:hint="eastAsia" w:hAnsi="宋体" w:cs="宋体"/>
          <w:color w:val="auto"/>
          <w:sz w:val="24"/>
          <w:szCs w:val="22"/>
          <w:highlight w:val="none"/>
        </w:rPr>
        <w:t>，</w:t>
      </w:r>
      <w:r>
        <w:rPr>
          <w:rFonts w:hint="eastAsia" w:hAnsi="宋体" w:cs="宋体"/>
          <w:b/>
          <w:bCs/>
          <w:color w:val="auto"/>
          <w:sz w:val="24"/>
          <w:szCs w:val="22"/>
          <w:highlight w:val="none"/>
        </w:rPr>
        <w:t>须</w:t>
      </w:r>
      <w:r>
        <w:rPr>
          <w:rFonts w:hint="eastAsia" w:ascii="宋体" w:hAnsi="宋体" w:cs="宋体"/>
          <w:b/>
          <w:bCs/>
          <w:color w:val="auto"/>
          <w:sz w:val="24"/>
          <w:szCs w:val="22"/>
          <w:highlight w:val="none"/>
        </w:rPr>
        <w:t>提供承诺</w:t>
      </w:r>
      <w:r>
        <w:rPr>
          <w:rFonts w:hint="eastAsia" w:ascii="宋体" w:hAnsi="宋体" w:cs="宋体"/>
          <w:b/>
          <w:bCs/>
          <w:color w:val="auto"/>
          <w:sz w:val="24"/>
          <w:szCs w:val="22"/>
          <w:highlight w:val="none"/>
          <w:lang w:eastAsia="zh-CN"/>
        </w:rPr>
        <w:t>书</w:t>
      </w:r>
      <w:r>
        <w:rPr>
          <w:rFonts w:hint="eastAsia" w:hAnsi="宋体" w:cs="宋体"/>
          <w:b/>
          <w:bCs/>
          <w:color w:val="auto"/>
          <w:sz w:val="24"/>
          <w:szCs w:val="22"/>
          <w:highlight w:val="none"/>
        </w:rPr>
        <w:t>，格式</w:t>
      </w:r>
      <w:r>
        <w:rPr>
          <w:rFonts w:hint="eastAsia" w:hAnsi="宋体" w:cs="宋体"/>
          <w:b/>
          <w:bCs/>
          <w:color w:val="auto"/>
          <w:sz w:val="24"/>
          <w:szCs w:val="22"/>
          <w:highlight w:val="none"/>
          <w:lang w:eastAsia="zh-CN"/>
        </w:rPr>
        <w:t>自拟。</w:t>
      </w:r>
    </w:p>
    <w:p w14:paraId="1FE7937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404AF4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无商业贿赂及无不正当竞争行为的承诺书</w:t>
      </w:r>
    </w:p>
    <w:p w14:paraId="1880345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供应商须自行出具本单位无商业贿赂及无不正当竞争行为的</w:t>
      </w:r>
      <w:r>
        <w:rPr>
          <w:rFonts w:hint="eastAsia" w:ascii="宋体" w:hAnsi="宋体" w:eastAsia="宋体" w:cs="宋体"/>
          <w:b/>
          <w:bCs/>
          <w:color w:val="auto"/>
          <w:sz w:val="24"/>
          <w:szCs w:val="24"/>
          <w:highlight w:val="none"/>
          <w:lang w:eastAsia="zh-CN"/>
        </w:rPr>
        <w:t>承诺书</w:t>
      </w:r>
      <w:r>
        <w:rPr>
          <w:rFonts w:hint="eastAsia"/>
          <w:b/>
          <w:bCs/>
          <w:color w:val="auto"/>
          <w:sz w:val="24"/>
          <w:szCs w:val="24"/>
          <w:highlight w:val="none"/>
          <w:lang w:val="en-US" w:eastAsia="zh-CN"/>
        </w:rPr>
        <w:t>（承诺书格式自拟）。</w:t>
      </w:r>
    </w:p>
    <w:p w14:paraId="36E8EB9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38F640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（七）信用查询</w:t>
      </w:r>
    </w:p>
    <w:p w14:paraId="49D2B7C4">
      <w:pPr>
        <w:pStyle w:val="35"/>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color w:val="auto"/>
          <w:sz w:val="24"/>
          <w:highlight w:val="none"/>
          <w:lang w:val="en-US" w:eastAsia="zh-CN"/>
        </w:rPr>
        <w:t>查询日期为本公告发布之日起，网站截图应含有日期且显示查询结果</w:t>
      </w:r>
      <w:r>
        <w:rPr>
          <w:rFonts w:hint="eastAsia" w:hAnsi="宋体" w:cs="宋体"/>
          <w:b/>
          <w:bCs/>
          <w:color w:val="auto"/>
          <w:sz w:val="24"/>
          <w:highlight w:val="none"/>
          <w:lang w:val="en-US" w:eastAsia="zh-CN"/>
        </w:rPr>
        <w:t>。</w:t>
      </w:r>
    </w:p>
    <w:p w14:paraId="51BE77A3">
      <w:pPr>
        <w:pStyle w:val="35"/>
        <w:ind w:firstLine="480" w:firstLineChars="200"/>
        <w:jc w:val="center"/>
        <w:rPr>
          <w:rFonts w:hint="eastAsia" w:ascii="宋体" w:hAnsi="宋体" w:eastAsia="宋体" w:cs="宋体"/>
          <w:b w:val="0"/>
          <w:bCs w:val="0"/>
          <w:color w:val="auto"/>
          <w:sz w:val="24"/>
          <w:highlight w:val="none"/>
          <w:lang w:val="en-US" w:eastAsia="zh-CN"/>
        </w:rPr>
      </w:pPr>
    </w:p>
    <w:p w14:paraId="080D1B0E">
      <w:pPr>
        <w:pStyle w:val="35"/>
        <w:ind w:firstLine="480" w:firstLineChars="200"/>
        <w:jc w:val="center"/>
        <w:rPr>
          <w:rFonts w:hint="eastAsia" w:ascii="宋体" w:hAnsi="宋体" w:eastAsia="宋体" w:cs="宋体"/>
          <w:b w:val="0"/>
          <w:bCs w:val="0"/>
          <w:color w:val="auto"/>
          <w:sz w:val="24"/>
          <w:highlight w:val="none"/>
          <w:lang w:val="en-US" w:eastAsia="zh-CN"/>
        </w:rPr>
      </w:pPr>
    </w:p>
    <w:p w14:paraId="78E35855">
      <w:pPr>
        <w:pStyle w:val="35"/>
        <w:ind w:firstLine="480" w:firstLineChars="200"/>
        <w:jc w:val="center"/>
        <w:rPr>
          <w:rFonts w:hint="eastAsia" w:ascii="宋体" w:hAnsi="宋体" w:eastAsia="宋体" w:cs="宋体"/>
          <w:b w:val="0"/>
          <w:bCs w:val="0"/>
          <w:color w:val="auto"/>
          <w:sz w:val="24"/>
          <w:highlight w:val="none"/>
          <w:lang w:val="en-US" w:eastAsia="zh-CN"/>
        </w:rPr>
      </w:pPr>
    </w:p>
    <w:p w14:paraId="6F0AAD21">
      <w:pPr>
        <w:pStyle w:val="35"/>
        <w:ind w:firstLine="480" w:firstLineChars="200"/>
        <w:jc w:val="center"/>
        <w:rPr>
          <w:rFonts w:hint="eastAsia" w:ascii="宋体" w:hAnsi="宋体" w:eastAsia="宋体" w:cs="宋体"/>
          <w:b w:val="0"/>
          <w:bCs w:val="0"/>
          <w:color w:val="auto"/>
          <w:sz w:val="24"/>
          <w:highlight w:val="none"/>
          <w:lang w:val="en-US" w:eastAsia="zh-CN"/>
        </w:rPr>
      </w:pPr>
    </w:p>
    <w:p w14:paraId="684C1BCF">
      <w:pPr>
        <w:pStyle w:val="35"/>
        <w:ind w:firstLine="480" w:firstLineChars="200"/>
        <w:jc w:val="center"/>
        <w:rPr>
          <w:rFonts w:hint="eastAsia" w:ascii="宋体" w:hAnsi="宋体" w:eastAsia="宋体" w:cs="宋体"/>
          <w:b w:val="0"/>
          <w:bCs w:val="0"/>
          <w:color w:val="auto"/>
          <w:sz w:val="24"/>
          <w:highlight w:val="none"/>
          <w:lang w:val="en-US" w:eastAsia="zh-CN"/>
        </w:rPr>
      </w:pPr>
    </w:p>
    <w:p w14:paraId="47C72ABE">
      <w:pPr>
        <w:pStyle w:val="35"/>
        <w:ind w:firstLine="480" w:firstLineChars="200"/>
        <w:jc w:val="center"/>
        <w:rPr>
          <w:rFonts w:hint="eastAsia" w:ascii="宋体" w:hAnsi="宋体" w:eastAsia="宋体" w:cs="宋体"/>
          <w:b w:val="0"/>
          <w:bCs w:val="0"/>
          <w:color w:val="auto"/>
          <w:sz w:val="24"/>
          <w:highlight w:val="none"/>
          <w:lang w:val="en-US" w:eastAsia="zh-CN"/>
        </w:rPr>
      </w:pPr>
    </w:p>
    <w:p w14:paraId="6ADD4630">
      <w:pPr>
        <w:pStyle w:val="35"/>
        <w:ind w:firstLine="480" w:firstLineChars="200"/>
        <w:jc w:val="center"/>
        <w:rPr>
          <w:rFonts w:hint="eastAsia" w:ascii="宋体" w:hAnsi="宋体" w:eastAsia="宋体" w:cs="宋体"/>
          <w:b w:val="0"/>
          <w:bCs w:val="0"/>
          <w:color w:val="auto"/>
          <w:sz w:val="24"/>
          <w:highlight w:val="none"/>
          <w:lang w:val="en-US" w:eastAsia="zh-CN"/>
        </w:rPr>
      </w:pPr>
    </w:p>
    <w:p w14:paraId="15548C00">
      <w:pPr>
        <w:pStyle w:val="35"/>
        <w:ind w:firstLine="480" w:firstLineChars="200"/>
        <w:jc w:val="center"/>
        <w:rPr>
          <w:rFonts w:hint="eastAsia" w:ascii="宋体" w:hAnsi="宋体" w:eastAsia="宋体" w:cs="宋体"/>
          <w:b w:val="0"/>
          <w:bCs w:val="0"/>
          <w:color w:val="auto"/>
          <w:sz w:val="24"/>
          <w:highlight w:val="none"/>
          <w:lang w:val="en-US" w:eastAsia="zh-CN"/>
        </w:rPr>
      </w:pPr>
    </w:p>
    <w:p w14:paraId="6A07EADD">
      <w:pPr>
        <w:pStyle w:val="35"/>
        <w:ind w:firstLine="480" w:firstLineChars="200"/>
        <w:jc w:val="center"/>
        <w:rPr>
          <w:rFonts w:hint="eastAsia" w:ascii="宋体" w:hAnsi="宋体" w:eastAsia="宋体" w:cs="宋体"/>
          <w:b w:val="0"/>
          <w:bCs w:val="0"/>
          <w:color w:val="auto"/>
          <w:sz w:val="24"/>
          <w:highlight w:val="none"/>
          <w:lang w:val="en-US" w:eastAsia="zh-CN"/>
        </w:rPr>
      </w:pPr>
    </w:p>
    <w:p w14:paraId="0026F356">
      <w:pPr>
        <w:pStyle w:val="35"/>
        <w:ind w:firstLine="480" w:firstLineChars="200"/>
        <w:jc w:val="center"/>
        <w:rPr>
          <w:rFonts w:hint="eastAsia" w:ascii="宋体" w:hAnsi="宋体" w:eastAsia="宋体" w:cs="宋体"/>
          <w:b w:val="0"/>
          <w:bCs w:val="0"/>
          <w:color w:val="auto"/>
          <w:sz w:val="24"/>
          <w:highlight w:val="none"/>
          <w:lang w:val="en-US" w:eastAsia="zh-CN"/>
        </w:rPr>
      </w:pPr>
    </w:p>
    <w:p w14:paraId="422203EE">
      <w:pPr>
        <w:pStyle w:val="35"/>
        <w:ind w:firstLine="480" w:firstLineChars="200"/>
        <w:jc w:val="center"/>
        <w:rPr>
          <w:rFonts w:hint="eastAsia" w:ascii="宋体" w:hAnsi="宋体" w:eastAsia="宋体" w:cs="宋体"/>
          <w:b w:val="0"/>
          <w:bCs w:val="0"/>
          <w:color w:val="auto"/>
          <w:sz w:val="24"/>
          <w:highlight w:val="none"/>
          <w:lang w:val="en-US" w:eastAsia="zh-CN"/>
        </w:rPr>
      </w:pPr>
    </w:p>
    <w:p w14:paraId="2AC5700F">
      <w:pPr>
        <w:pStyle w:val="35"/>
        <w:ind w:firstLine="480" w:firstLineChars="200"/>
        <w:jc w:val="center"/>
        <w:rPr>
          <w:rFonts w:hint="eastAsia" w:ascii="宋体" w:hAnsi="宋体" w:eastAsia="宋体" w:cs="宋体"/>
          <w:b w:val="0"/>
          <w:bCs w:val="0"/>
          <w:color w:val="auto"/>
          <w:sz w:val="24"/>
          <w:highlight w:val="none"/>
          <w:lang w:val="en-US" w:eastAsia="zh-CN"/>
        </w:rPr>
      </w:pPr>
    </w:p>
    <w:p w14:paraId="28589F45">
      <w:pPr>
        <w:pStyle w:val="35"/>
        <w:ind w:firstLine="480" w:firstLineChars="200"/>
        <w:jc w:val="center"/>
        <w:rPr>
          <w:rFonts w:hint="eastAsia" w:ascii="宋体" w:hAnsi="宋体" w:eastAsia="宋体" w:cs="宋体"/>
          <w:b w:val="0"/>
          <w:bCs w:val="0"/>
          <w:color w:val="auto"/>
          <w:sz w:val="24"/>
          <w:highlight w:val="none"/>
          <w:lang w:val="en-US" w:eastAsia="zh-CN"/>
        </w:rPr>
      </w:pPr>
    </w:p>
    <w:p w14:paraId="4CB55288">
      <w:pPr>
        <w:pStyle w:val="35"/>
        <w:ind w:firstLine="480" w:firstLineChars="200"/>
        <w:jc w:val="center"/>
        <w:rPr>
          <w:rFonts w:hint="eastAsia" w:ascii="宋体" w:hAnsi="宋体" w:eastAsia="宋体" w:cs="宋体"/>
          <w:b w:val="0"/>
          <w:bCs w:val="0"/>
          <w:color w:val="auto"/>
          <w:sz w:val="24"/>
          <w:highlight w:val="none"/>
          <w:lang w:val="en-US" w:eastAsia="zh-CN"/>
        </w:rPr>
      </w:pPr>
    </w:p>
    <w:p w14:paraId="5C7F6E06">
      <w:pPr>
        <w:pStyle w:val="35"/>
        <w:ind w:firstLine="480" w:firstLineChars="200"/>
        <w:jc w:val="center"/>
        <w:rPr>
          <w:rFonts w:hint="eastAsia" w:ascii="宋体" w:hAnsi="宋体" w:eastAsia="宋体" w:cs="宋体"/>
          <w:b w:val="0"/>
          <w:bCs w:val="0"/>
          <w:color w:val="auto"/>
          <w:sz w:val="24"/>
          <w:highlight w:val="none"/>
          <w:lang w:val="en-US" w:eastAsia="zh-CN"/>
        </w:rPr>
      </w:pPr>
    </w:p>
    <w:p w14:paraId="6F800AC7">
      <w:pPr>
        <w:pStyle w:val="35"/>
        <w:ind w:firstLine="480" w:firstLineChars="200"/>
        <w:jc w:val="center"/>
        <w:rPr>
          <w:rFonts w:hint="eastAsia" w:ascii="宋体" w:hAnsi="宋体" w:eastAsia="宋体" w:cs="宋体"/>
          <w:b w:val="0"/>
          <w:bCs w:val="0"/>
          <w:color w:val="auto"/>
          <w:sz w:val="24"/>
          <w:highlight w:val="none"/>
          <w:lang w:val="en-US" w:eastAsia="zh-CN"/>
        </w:rPr>
      </w:pPr>
    </w:p>
    <w:p w14:paraId="6A708480">
      <w:pPr>
        <w:pStyle w:val="35"/>
        <w:ind w:firstLine="480" w:firstLineChars="200"/>
        <w:jc w:val="center"/>
        <w:rPr>
          <w:rFonts w:hint="eastAsia" w:ascii="宋体" w:hAnsi="宋体" w:eastAsia="宋体" w:cs="宋体"/>
          <w:b w:val="0"/>
          <w:bCs w:val="0"/>
          <w:color w:val="auto"/>
          <w:sz w:val="24"/>
          <w:highlight w:val="none"/>
          <w:lang w:val="en-US" w:eastAsia="zh-CN"/>
        </w:rPr>
      </w:pPr>
    </w:p>
    <w:p w14:paraId="34D522ED">
      <w:pPr>
        <w:pStyle w:val="35"/>
        <w:ind w:firstLine="480" w:firstLineChars="200"/>
        <w:jc w:val="center"/>
        <w:rPr>
          <w:rFonts w:hint="eastAsia" w:ascii="宋体" w:hAnsi="宋体" w:eastAsia="宋体" w:cs="宋体"/>
          <w:b w:val="0"/>
          <w:bCs w:val="0"/>
          <w:color w:val="auto"/>
          <w:sz w:val="24"/>
          <w:highlight w:val="none"/>
          <w:lang w:val="en-US" w:eastAsia="zh-CN"/>
        </w:rPr>
      </w:pPr>
    </w:p>
    <w:p w14:paraId="37041433">
      <w:pPr>
        <w:pStyle w:val="35"/>
        <w:ind w:firstLine="480" w:firstLineChars="200"/>
        <w:jc w:val="center"/>
        <w:rPr>
          <w:rFonts w:hint="eastAsia" w:ascii="宋体" w:hAnsi="宋体" w:eastAsia="宋体" w:cs="宋体"/>
          <w:color w:val="auto"/>
          <w:sz w:val="36"/>
          <w:szCs w:val="36"/>
          <w:highlight w:val="none"/>
        </w:rPr>
      </w:pPr>
      <w:r>
        <w:rPr>
          <w:rFonts w:hint="eastAsia" w:ascii="宋体" w:hAnsi="宋体" w:cs="宋体" w:eastAsiaTheme="minorEastAsia"/>
          <w:color w:val="auto"/>
          <w:kern w:val="2"/>
          <w:sz w:val="24"/>
          <w:szCs w:val="32"/>
          <w:highlight w:val="none"/>
          <w:lang w:val="en-US" w:eastAsia="zh-CN" w:bidi="ar-SA"/>
        </w:rPr>
        <w:t>（</w:t>
      </w:r>
      <w:r>
        <w:rPr>
          <w:rFonts w:hint="eastAsia" w:hAnsi="宋体" w:cs="宋体" w:eastAsiaTheme="minorEastAsia"/>
          <w:color w:val="auto"/>
          <w:kern w:val="2"/>
          <w:sz w:val="24"/>
          <w:szCs w:val="32"/>
          <w:highlight w:val="none"/>
          <w:lang w:val="en-US" w:eastAsia="zh-CN" w:bidi="ar-SA"/>
        </w:rPr>
        <w:t>八</w:t>
      </w:r>
      <w:r>
        <w:rPr>
          <w:rFonts w:hint="eastAsia" w:ascii="宋体" w:hAnsi="宋体" w:cs="宋体" w:eastAsiaTheme="minorEastAsia"/>
          <w:color w:val="auto"/>
          <w:kern w:val="2"/>
          <w:sz w:val="24"/>
          <w:szCs w:val="32"/>
          <w:highlight w:val="none"/>
          <w:lang w:val="en-US" w:eastAsia="zh-CN" w:bidi="ar-SA"/>
        </w:rPr>
        <w:t>）</w:t>
      </w:r>
      <w:r>
        <w:rPr>
          <w:rFonts w:hint="eastAsia" w:hAnsi="宋体" w:cs="宋体" w:eastAsiaTheme="minorEastAsia"/>
          <w:color w:val="auto"/>
          <w:kern w:val="2"/>
          <w:sz w:val="24"/>
          <w:szCs w:val="32"/>
          <w:highlight w:val="none"/>
          <w:lang w:val="en-US" w:eastAsia="zh-CN" w:bidi="ar-SA"/>
        </w:rPr>
        <w:t>非联合体承诺书</w:t>
      </w:r>
    </w:p>
    <w:p w14:paraId="455DD10A">
      <w:pPr>
        <w:pageBreakBefore w:val="0"/>
        <w:kinsoku/>
        <w:overflowPunct/>
        <w:topLinePunct w:val="0"/>
        <w:autoSpaceDE w:val="0"/>
        <w:autoSpaceDN w:val="0"/>
        <w:bidi w:val="0"/>
        <w:spacing w:line="360" w:lineRule="auto"/>
        <w:ind w:firstLine="200"/>
        <w:outlineLvl w:val="9"/>
        <w:rPr>
          <w:rFonts w:hint="eastAsia" w:ascii="宋体" w:hAnsi="宋体" w:eastAsia="宋体" w:cs="宋体"/>
          <w:b/>
          <w:bCs/>
          <w:color w:val="auto"/>
          <w:sz w:val="36"/>
          <w:szCs w:val="36"/>
          <w:highlight w:val="none"/>
        </w:rPr>
      </w:pPr>
      <w:r>
        <w:rPr>
          <w:rFonts w:hint="eastAsia" w:ascii="宋体" w:hAnsi="宋体" w:eastAsia="宋体" w:cs="宋体"/>
          <w:color w:val="auto"/>
          <w:sz w:val="24"/>
          <w:szCs w:val="24"/>
          <w:highlight w:val="none"/>
        </w:rPr>
        <w:t>本项目不接受联合体磋商</w:t>
      </w:r>
      <w:r>
        <w:rPr>
          <w:rFonts w:hint="eastAsia" w:ascii="宋体" w:hAnsi="宋体" w:eastAsia="宋体" w:cs="宋体"/>
          <w:color w:val="auto"/>
          <w:sz w:val="24"/>
          <w:szCs w:val="24"/>
          <w:highlight w:val="none"/>
          <w:lang w:eastAsia="zh-CN"/>
        </w:rPr>
        <w:t>，</w:t>
      </w:r>
      <w:r>
        <w:rPr>
          <w:rFonts w:hint="eastAsia"/>
          <w:color w:val="auto"/>
          <w:sz w:val="24"/>
          <w:szCs w:val="24"/>
          <w:highlight w:val="none"/>
          <w:lang w:val="en-US" w:eastAsia="zh-CN"/>
        </w:rPr>
        <w:t>供应商</w:t>
      </w:r>
      <w:r>
        <w:rPr>
          <w:rFonts w:hint="eastAsia"/>
          <w:b/>
          <w:bCs/>
          <w:color w:val="auto"/>
          <w:sz w:val="24"/>
          <w:szCs w:val="24"/>
          <w:highlight w:val="none"/>
          <w:lang w:val="en-US" w:eastAsia="zh-CN"/>
        </w:rPr>
        <w:t>须提供非联合体承诺书（承诺书格式自拟）。</w:t>
      </w:r>
    </w:p>
    <w:p w14:paraId="46050178">
      <w:pPr>
        <w:pageBreakBefore w:val="0"/>
        <w:kinsoku/>
        <w:overflowPunct/>
        <w:topLinePunct w:val="0"/>
        <w:autoSpaceDE w:val="0"/>
        <w:autoSpaceDN w:val="0"/>
        <w:bidi w:val="0"/>
        <w:spacing w:line="360" w:lineRule="auto"/>
        <w:ind w:firstLine="200"/>
        <w:outlineLvl w:val="9"/>
        <w:rPr>
          <w:rFonts w:hint="eastAsia" w:ascii="宋体" w:hAnsi="宋体" w:eastAsia="宋体" w:cs="宋体"/>
          <w:color w:val="auto"/>
          <w:sz w:val="36"/>
          <w:szCs w:val="36"/>
          <w:highlight w:val="none"/>
        </w:rPr>
      </w:pPr>
    </w:p>
    <w:p w14:paraId="424E420C">
      <w:pPr>
        <w:pageBreakBefore w:val="0"/>
        <w:kinsoku/>
        <w:overflowPunct/>
        <w:topLinePunct w:val="0"/>
        <w:autoSpaceDE w:val="0"/>
        <w:autoSpaceDN w:val="0"/>
        <w:bidi w:val="0"/>
        <w:spacing w:line="360" w:lineRule="auto"/>
        <w:ind w:firstLine="200"/>
        <w:outlineLvl w:val="9"/>
        <w:rPr>
          <w:rFonts w:hint="eastAsia" w:ascii="宋体" w:hAnsi="宋体" w:eastAsia="宋体" w:cs="宋体"/>
          <w:color w:val="auto"/>
          <w:sz w:val="36"/>
          <w:szCs w:val="36"/>
          <w:highlight w:val="none"/>
        </w:rPr>
      </w:pPr>
    </w:p>
    <w:p w14:paraId="7ABB2EAE">
      <w:pPr>
        <w:pageBreakBefore w:val="0"/>
        <w:kinsoku/>
        <w:overflowPunct/>
        <w:topLinePunct w:val="0"/>
        <w:autoSpaceDE w:val="0"/>
        <w:autoSpaceDN w:val="0"/>
        <w:bidi w:val="0"/>
        <w:spacing w:line="360" w:lineRule="auto"/>
        <w:ind w:firstLine="200"/>
        <w:outlineLvl w:val="9"/>
        <w:rPr>
          <w:rFonts w:hint="eastAsia" w:ascii="宋体" w:hAnsi="宋体" w:eastAsia="宋体" w:cs="宋体"/>
          <w:color w:val="auto"/>
          <w:sz w:val="36"/>
          <w:szCs w:val="36"/>
          <w:highlight w:val="none"/>
        </w:rPr>
      </w:pPr>
    </w:p>
    <w:p w14:paraId="79150CB7">
      <w:pPr>
        <w:pageBreakBefore w:val="0"/>
        <w:kinsoku/>
        <w:overflowPunct/>
        <w:topLinePunct w:val="0"/>
        <w:autoSpaceDE w:val="0"/>
        <w:autoSpaceDN w:val="0"/>
        <w:bidi w:val="0"/>
        <w:spacing w:line="360" w:lineRule="auto"/>
        <w:ind w:firstLine="200"/>
        <w:outlineLvl w:val="9"/>
        <w:rPr>
          <w:rFonts w:hint="eastAsia" w:ascii="宋体" w:hAnsi="宋体" w:eastAsia="宋体" w:cs="宋体"/>
          <w:color w:val="auto"/>
          <w:sz w:val="36"/>
          <w:szCs w:val="36"/>
          <w:highlight w:val="none"/>
        </w:rPr>
      </w:pPr>
    </w:p>
    <w:p w14:paraId="58393669">
      <w:pPr>
        <w:pageBreakBefore w:val="0"/>
        <w:kinsoku/>
        <w:overflowPunct/>
        <w:topLinePunct w:val="0"/>
        <w:autoSpaceDE w:val="0"/>
        <w:autoSpaceDN w:val="0"/>
        <w:bidi w:val="0"/>
        <w:spacing w:line="360" w:lineRule="auto"/>
        <w:ind w:firstLine="200"/>
        <w:outlineLvl w:val="9"/>
        <w:rPr>
          <w:rFonts w:hint="eastAsia" w:ascii="宋体" w:hAnsi="宋体" w:eastAsia="宋体" w:cs="宋体"/>
          <w:color w:val="auto"/>
          <w:sz w:val="36"/>
          <w:szCs w:val="36"/>
          <w:highlight w:val="none"/>
        </w:rPr>
      </w:pPr>
    </w:p>
    <w:p w14:paraId="6D15FAB5">
      <w:pPr>
        <w:pageBreakBefore w:val="0"/>
        <w:kinsoku/>
        <w:overflowPunct/>
        <w:topLinePunct w:val="0"/>
        <w:autoSpaceDE w:val="0"/>
        <w:autoSpaceDN w:val="0"/>
        <w:bidi w:val="0"/>
        <w:spacing w:line="360" w:lineRule="auto"/>
        <w:ind w:firstLine="200"/>
        <w:outlineLvl w:val="9"/>
        <w:rPr>
          <w:rFonts w:hint="eastAsia" w:ascii="宋体" w:hAnsi="宋体" w:eastAsia="宋体" w:cs="宋体"/>
          <w:color w:val="auto"/>
          <w:sz w:val="36"/>
          <w:szCs w:val="36"/>
          <w:highlight w:val="none"/>
        </w:rPr>
      </w:pPr>
    </w:p>
    <w:p w14:paraId="2C7C5FD7">
      <w:pPr>
        <w:pageBreakBefore w:val="0"/>
        <w:kinsoku/>
        <w:overflowPunct/>
        <w:topLinePunct w:val="0"/>
        <w:autoSpaceDE w:val="0"/>
        <w:autoSpaceDN w:val="0"/>
        <w:bidi w:val="0"/>
        <w:spacing w:line="360" w:lineRule="auto"/>
        <w:ind w:firstLine="200"/>
        <w:outlineLvl w:val="9"/>
        <w:rPr>
          <w:rFonts w:hint="eastAsia" w:ascii="宋体" w:hAnsi="宋体" w:eastAsia="宋体" w:cs="宋体"/>
          <w:color w:val="auto"/>
          <w:sz w:val="36"/>
          <w:szCs w:val="36"/>
          <w:highlight w:val="none"/>
        </w:rPr>
      </w:pPr>
    </w:p>
    <w:p w14:paraId="41778244">
      <w:pPr>
        <w:pageBreakBefore w:val="0"/>
        <w:kinsoku/>
        <w:overflowPunct/>
        <w:topLinePunct w:val="0"/>
        <w:bidi w:val="0"/>
        <w:spacing w:line="360" w:lineRule="auto"/>
        <w:jc w:val="both"/>
        <w:outlineLvl w:val="9"/>
        <w:rPr>
          <w:rFonts w:hint="eastAsia" w:ascii="宋体" w:hAnsi="宋体" w:eastAsia="宋体" w:cs="宋体"/>
          <w:b/>
          <w:bCs/>
          <w:color w:val="auto"/>
          <w:sz w:val="32"/>
          <w:szCs w:val="32"/>
          <w:highlight w:val="none"/>
        </w:rPr>
      </w:pPr>
      <w:bookmarkStart w:id="536" w:name="_Toc25256"/>
      <w:bookmarkEnd w:id="536"/>
      <w:bookmarkStart w:id="537" w:name="_Toc69718845"/>
      <w:bookmarkEnd w:id="537"/>
      <w:bookmarkStart w:id="538" w:name="_Toc479320260"/>
    </w:p>
    <w:p w14:paraId="43868BA3">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eastAsia="zh-CN"/>
        </w:rPr>
      </w:pPr>
      <w:bookmarkStart w:id="539" w:name="_Toc23480"/>
      <w:bookmarkStart w:id="540" w:name="_Toc10314"/>
      <w:bookmarkStart w:id="541" w:name="_Toc1884"/>
    </w:p>
    <w:p w14:paraId="64EAAC44">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eastAsia="zh-CN"/>
        </w:rPr>
      </w:pPr>
    </w:p>
    <w:p w14:paraId="4A656723">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eastAsia="zh-CN"/>
        </w:rPr>
      </w:pPr>
    </w:p>
    <w:p w14:paraId="4D89C256">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eastAsia="zh-CN"/>
        </w:rPr>
      </w:pPr>
    </w:p>
    <w:p w14:paraId="66D925C0">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eastAsia="zh-CN"/>
        </w:rPr>
      </w:pPr>
    </w:p>
    <w:p w14:paraId="00ADA954">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eastAsia="zh-CN"/>
        </w:rPr>
      </w:pPr>
    </w:p>
    <w:bookmarkEnd w:id="538"/>
    <w:bookmarkEnd w:id="539"/>
    <w:bookmarkEnd w:id="540"/>
    <w:bookmarkEnd w:id="541"/>
    <w:p w14:paraId="128BEF8C">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val="en-US" w:eastAsia="zh-CN"/>
        </w:rPr>
      </w:pPr>
      <w:bookmarkStart w:id="542" w:name="_Toc7260"/>
      <w:bookmarkStart w:id="543" w:name="_Toc14009"/>
      <w:bookmarkStart w:id="544" w:name="_Toc7972"/>
    </w:p>
    <w:p w14:paraId="3D084202">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val="en-US" w:eastAsia="zh-CN"/>
        </w:rPr>
      </w:pPr>
    </w:p>
    <w:p w14:paraId="2F3048A0">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lang w:eastAsia="zh-CN"/>
        </w:rPr>
        <w:t>、</w:t>
      </w:r>
      <w:bookmarkEnd w:id="542"/>
      <w:bookmarkEnd w:id="543"/>
      <w:bookmarkEnd w:id="544"/>
      <w:r>
        <w:rPr>
          <w:rFonts w:hint="eastAsia" w:ascii="宋体" w:hAnsi="宋体" w:eastAsia="宋体" w:cs="宋体"/>
          <w:b/>
          <w:bCs/>
          <w:color w:val="auto"/>
          <w:sz w:val="32"/>
          <w:szCs w:val="32"/>
          <w:highlight w:val="none"/>
          <w:lang w:val="en-US" w:eastAsia="zh-CN"/>
        </w:rPr>
        <w:t>企业业绩</w:t>
      </w:r>
    </w:p>
    <w:p w14:paraId="6E6915BF">
      <w:pPr>
        <w:pStyle w:val="53"/>
        <w:ind w:firstLine="141"/>
        <w:jc w:val="center"/>
        <w:outlineLvl w:val="1"/>
        <w:rPr>
          <w:rFonts w:hint="default" w:ascii="宋体" w:hAnsi="宋体" w:eastAsia="宋体" w:cs="宋体"/>
          <w:b/>
          <w:color w:val="auto"/>
          <w:sz w:val="32"/>
          <w:szCs w:val="28"/>
          <w:highlight w:val="none"/>
          <w:lang w:val="en-US" w:eastAsia="zh-CN"/>
        </w:rPr>
      </w:pPr>
      <w:r>
        <w:rPr>
          <w:rFonts w:hint="eastAsia" w:ascii="宋体" w:hAnsi="宋体" w:cs="仿宋"/>
          <w:b w:val="0"/>
          <w:bCs w:val="0"/>
          <w:color w:val="auto"/>
          <w:kern w:val="2"/>
          <w:sz w:val="28"/>
          <w:szCs w:val="28"/>
          <w:highlight w:val="none"/>
          <w:u w:color="000000"/>
          <w:lang w:val="en-US" w:eastAsia="zh-CN" w:bidi="ar-SA"/>
        </w:rPr>
        <w:t>2022</w:t>
      </w:r>
      <w:r>
        <w:rPr>
          <w:rFonts w:hint="eastAsia" w:ascii="宋体" w:hAnsi="宋体" w:eastAsia="宋体" w:cs="仿宋"/>
          <w:b w:val="0"/>
          <w:bCs w:val="0"/>
          <w:color w:val="auto"/>
          <w:kern w:val="2"/>
          <w:sz w:val="28"/>
          <w:szCs w:val="28"/>
          <w:highlight w:val="none"/>
          <w:u w:color="000000"/>
          <w:lang w:val="en-US" w:eastAsia="zh-CN" w:bidi="ar-SA"/>
        </w:rPr>
        <w:t>年以来完成的类似项目情况表</w:t>
      </w:r>
    </w:p>
    <w:tbl>
      <w:tblPr>
        <w:tblStyle w:val="20"/>
        <w:tblW w:w="8787"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2574"/>
        <w:gridCol w:w="6213"/>
      </w:tblGrid>
      <w:tr w14:paraId="7DF1606B">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2574" w:type="dxa"/>
            <w:tcBorders>
              <w:top w:val="single" w:color="auto" w:sz="4" w:space="0"/>
              <w:left w:val="single" w:color="auto" w:sz="4" w:space="0"/>
              <w:bottom w:val="single" w:color="000000" w:sz="4" w:space="0"/>
              <w:right w:val="single" w:color="000000" w:sz="4" w:space="0"/>
            </w:tcBorders>
            <w:vAlign w:val="center"/>
          </w:tcPr>
          <w:p w14:paraId="09299029">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213" w:type="dxa"/>
            <w:tcBorders>
              <w:top w:val="single" w:color="auto" w:sz="4" w:space="0"/>
              <w:left w:val="nil"/>
              <w:bottom w:val="single" w:color="000000" w:sz="4" w:space="0"/>
              <w:right w:val="single" w:color="000000" w:sz="4" w:space="0"/>
            </w:tcBorders>
            <w:vAlign w:val="center"/>
          </w:tcPr>
          <w:p w14:paraId="186DDC5D">
            <w:pPr>
              <w:autoSpaceDE w:val="0"/>
              <w:autoSpaceDN w:val="0"/>
              <w:snapToGrid w:val="0"/>
              <w:spacing w:line="360" w:lineRule="auto"/>
              <w:jc w:val="center"/>
              <w:rPr>
                <w:rFonts w:ascii="宋体" w:hAnsi="宋体" w:cs="宋体"/>
                <w:color w:val="auto"/>
                <w:sz w:val="24"/>
                <w:highlight w:val="none"/>
              </w:rPr>
            </w:pPr>
          </w:p>
        </w:tc>
      </w:tr>
      <w:tr w14:paraId="00282F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24" w:hRule="atLeast"/>
          <w:jc w:val="center"/>
        </w:trPr>
        <w:tc>
          <w:tcPr>
            <w:tcW w:w="2574" w:type="dxa"/>
            <w:tcBorders>
              <w:top w:val="nil"/>
              <w:left w:val="single" w:color="auto" w:sz="4" w:space="0"/>
              <w:bottom w:val="single" w:color="000000" w:sz="4" w:space="0"/>
              <w:right w:val="single" w:color="000000" w:sz="4" w:space="0"/>
            </w:tcBorders>
            <w:vAlign w:val="center"/>
          </w:tcPr>
          <w:p w14:paraId="2AD613ED">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项目所在地</w:t>
            </w:r>
          </w:p>
        </w:tc>
        <w:tc>
          <w:tcPr>
            <w:tcW w:w="6213" w:type="dxa"/>
            <w:tcBorders>
              <w:top w:val="nil"/>
              <w:left w:val="nil"/>
              <w:bottom w:val="single" w:color="000000" w:sz="4" w:space="0"/>
              <w:right w:val="single" w:color="000000" w:sz="4" w:space="0"/>
            </w:tcBorders>
            <w:vAlign w:val="center"/>
          </w:tcPr>
          <w:p w14:paraId="4152C456">
            <w:pPr>
              <w:autoSpaceDE w:val="0"/>
              <w:autoSpaceDN w:val="0"/>
              <w:snapToGrid w:val="0"/>
              <w:spacing w:line="360" w:lineRule="auto"/>
              <w:jc w:val="center"/>
              <w:rPr>
                <w:rFonts w:ascii="宋体" w:hAnsi="宋体" w:cs="宋体"/>
                <w:color w:val="auto"/>
                <w:sz w:val="24"/>
                <w:highlight w:val="none"/>
              </w:rPr>
            </w:pPr>
          </w:p>
        </w:tc>
      </w:tr>
      <w:tr w14:paraId="3E4BD7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24" w:hRule="atLeast"/>
          <w:jc w:val="center"/>
        </w:trPr>
        <w:tc>
          <w:tcPr>
            <w:tcW w:w="2574" w:type="dxa"/>
            <w:tcBorders>
              <w:top w:val="nil"/>
              <w:left w:val="single" w:color="auto" w:sz="4" w:space="0"/>
              <w:bottom w:val="single" w:color="000000" w:sz="4" w:space="0"/>
              <w:right w:val="single" w:color="000000" w:sz="4" w:space="0"/>
            </w:tcBorders>
            <w:vAlign w:val="center"/>
          </w:tcPr>
          <w:p w14:paraId="5BB6E243">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6213" w:type="dxa"/>
            <w:tcBorders>
              <w:top w:val="nil"/>
              <w:left w:val="nil"/>
              <w:bottom w:val="single" w:color="000000" w:sz="4" w:space="0"/>
              <w:right w:val="single" w:color="000000" w:sz="4" w:space="0"/>
            </w:tcBorders>
            <w:vAlign w:val="center"/>
          </w:tcPr>
          <w:p w14:paraId="596F722F">
            <w:pPr>
              <w:autoSpaceDE w:val="0"/>
              <w:autoSpaceDN w:val="0"/>
              <w:snapToGrid w:val="0"/>
              <w:spacing w:line="360" w:lineRule="auto"/>
              <w:jc w:val="center"/>
              <w:rPr>
                <w:rFonts w:ascii="宋体" w:hAnsi="宋体" w:cs="宋体"/>
                <w:color w:val="auto"/>
                <w:sz w:val="24"/>
                <w:highlight w:val="none"/>
              </w:rPr>
            </w:pPr>
          </w:p>
        </w:tc>
      </w:tr>
      <w:tr w14:paraId="4DB0A9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24" w:hRule="atLeast"/>
          <w:jc w:val="center"/>
        </w:trPr>
        <w:tc>
          <w:tcPr>
            <w:tcW w:w="2574" w:type="dxa"/>
            <w:tcBorders>
              <w:top w:val="nil"/>
              <w:left w:val="single" w:color="auto" w:sz="4" w:space="0"/>
              <w:bottom w:val="single" w:color="000000" w:sz="4" w:space="0"/>
              <w:right w:val="single" w:color="000000" w:sz="4" w:space="0"/>
            </w:tcBorders>
            <w:vAlign w:val="center"/>
          </w:tcPr>
          <w:p w14:paraId="23ACCED5">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发包人地址</w:t>
            </w:r>
          </w:p>
        </w:tc>
        <w:tc>
          <w:tcPr>
            <w:tcW w:w="6213" w:type="dxa"/>
            <w:tcBorders>
              <w:top w:val="nil"/>
              <w:left w:val="nil"/>
              <w:bottom w:val="single" w:color="000000" w:sz="4" w:space="0"/>
              <w:right w:val="single" w:color="000000" w:sz="4" w:space="0"/>
            </w:tcBorders>
            <w:vAlign w:val="center"/>
          </w:tcPr>
          <w:p w14:paraId="3EE4C361">
            <w:pPr>
              <w:autoSpaceDE w:val="0"/>
              <w:autoSpaceDN w:val="0"/>
              <w:snapToGrid w:val="0"/>
              <w:spacing w:line="360" w:lineRule="auto"/>
              <w:jc w:val="center"/>
              <w:rPr>
                <w:rFonts w:ascii="宋体" w:hAnsi="宋体" w:cs="宋体"/>
                <w:color w:val="auto"/>
                <w:sz w:val="24"/>
                <w:highlight w:val="none"/>
              </w:rPr>
            </w:pPr>
          </w:p>
        </w:tc>
      </w:tr>
      <w:tr w14:paraId="2E9368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24" w:hRule="atLeast"/>
          <w:jc w:val="center"/>
        </w:trPr>
        <w:tc>
          <w:tcPr>
            <w:tcW w:w="2574" w:type="dxa"/>
            <w:tcBorders>
              <w:top w:val="nil"/>
              <w:left w:val="single" w:color="auto" w:sz="4" w:space="0"/>
              <w:bottom w:val="single" w:color="000000" w:sz="4" w:space="0"/>
              <w:right w:val="single" w:color="000000" w:sz="4" w:space="0"/>
            </w:tcBorders>
            <w:vAlign w:val="center"/>
          </w:tcPr>
          <w:p w14:paraId="7315C75B">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发包人电话</w:t>
            </w:r>
          </w:p>
        </w:tc>
        <w:tc>
          <w:tcPr>
            <w:tcW w:w="6213" w:type="dxa"/>
            <w:tcBorders>
              <w:top w:val="nil"/>
              <w:left w:val="nil"/>
              <w:bottom w:val="single" w:color="000000" w:sz="4" w:space="0"/>
              <w:right w:val="single" w:color="000000" w:sz="4" w:space="0"/>
            </w:tcBorders>
            <w:vAlign w:val="center"/>
          </w:tcPr>
          <w:p w14:paraId="3477AF70">
            <w:pPr>
              <w:autoSpaceDE w:val="0"/>
              <w:autoSpaceDN w:val="0"/>
              <w:snapToGrid w:val="0"/>
              <w:spacing w:line="360" w:lineRule="auto"/>
              <w:jc w:val="center"/>
              <w:rPr>
                <w:rFonts w:ascii="宋体" w:hAnsi="宋体" w:cs="宋体"/>
                <w:color w:val="auto"/>
                <w:sz w:val="24"/>
                <w:highlight w:val="none"/>
              </w:rPr>
            </w:pPr>
          </w:p>
        </w:tc>
      </w:tr>
      <w:tr w14:paraId="16E900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24" w:hRule="atLeast"/>
          <w:jc w:val="center"/>
        </w:trPr>
        <w:tc>
          <w:tcPr>
            <w:tcW w:w="2574" w:type="dxa"/>
            <w:tcBorders>
              <w:top w:val="nil"/>
              <w:left w:val="single" w:color="auto" w:sz="4" w:space="0"/>
              <w:bottom w:val="single" w:color="000000" w:sz="4" w:space="0"/>
              <w:right w:val="single" w:color="000000" w:sz="4" w:space="0"/>
            </w:tcBorders>
            <w:vAlign w:val="center"/>
          </w:tcPr>
          <w:p w14:paraId="33D00D7A">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合同价格</w:t>
            </w:r>
          </w:p>
        </w:tc>
        <w:tc>
          <w:tcPr>
            <w:tcW w:w="6213" w:type="dxa"/>
            <w:tcBorders>
              <w:top w:val="nil"/>
              <w:left w:val="nil"/>
              <w:bottom w:val="single" w:color="000000" w:sz="4" w:space="0"/>
              <w:right w:val="single" w:color="000000" w:sz="4" w:space="0"/>
            </w:tcBorders>
            <w:vAlign w:val="center"/>
          </w:tcPr>
          <w:p w14:paraId="364DEAD8">
            <w:pPr>
              <w:autoSpaceDE w:val="0"/>
              <w:autoSpaceDN w:val="0"/>
              <w:snapToGrid w:val="0"/>
              <w:spacing w:line="360" w:lineRule="auto"/>
              <w:jc w:val="center"/>
              <w:rPr>
                <w:rFonts w:ascii="宋体" w:hAnsi="宋体" w:cs="宋体"/>
                <w:color w:val="auto"/>
                <w:sz w:val="24"/>
                <w:highlight w:val="none"/>
              </w:rPr>
            </w:pPr>
          </w:p>
        </w:tc>
      </w:tr>
      <w:tr w14:paraId="65275B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31" w:hRule="atLeast"/>
          <w:jc w:val="center"/>
        </w:trPr>
        <w:tc>
          <w:tcPr>
            <w:tcW w:w="2574" w:type="dxa"/>
            <w:tcBorders>
              <w:top w:val="nil"/>
              <w:left w:val="single" w:color="auto" w:sz="4" w:space="0"/>
              <w:bottom w:val="single" w:color="000000" w:sz="4" w:space="0"/>
              <w:right w:val="single" w:color="000000" w:sz="4" w:space="0"/>
            </w:tcBorders>
            <w:vAlign w:val="center"/>
          </w:tcPr>
          <w:p w14:paraId="4165F0F6">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开工日期</w:t>
            </w:r>
          </w:p>
        </w:tc>
        <w:tc>
          <w:tcPr>
            <w:tcW w:w="6213" w:type="dxa"/>
            <w:tcBorders>
              <w:top w:val="nil"/>
              <w:left w:val="nil"/>
              <w:bottom w:val="single" w:color="000000" w:sz="4" w:space="0"/>
              <w:right w:val="single" w:color="000000" w:sz="4" w:space="0"/>
            </w:tcBorders>
            <w:vAlign w:val="center"/>
          </w:tcPr>
          <w:p w14:paraId="5C03A31A">
            <w:pPr>
              <w:autoSpaceDE w:val="0"/>
              <w:autoSpaceDN w:val="0"/>
              <w:snapToGrid w:val="0"/>
              <w:spacing w:line="360" w:lineRule="auto"/>
              <w:jc w:val="center"/>
              <w:rPr>
                <w:rFonts w:ascii="宋体" w:hAnsi="宋体" w:cs="宋体"/>
                <w:color w:val="auto"/>
                <w:sz w:val="24"/>
                <w:highlight w:val="none"/>
              </w:rPr>
            </w:pPr>
          </w:p>
        </w:tc>
      </w:tr>
      <w:tr w14:paraId="6B330F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24" w:hRule="atLeast"/>
          <w:jc w:val="center"/>
        </w:trPr>
        <w:tc>
          <w:tcPr>
            <w:tcW w:w="2574" w:type="dxa"/>
            <w:tcBorders>
              <w:top w:val="nil"/>
              <w:left w:val="single" w:color="auto" w:sz="4" w:space="0"/>
              <w:bottom w:val="single" w:color="000000" w:sz="4" w:space="0"/>
              <w:right w:val="single" w:color="000000" w:sz="4" w:space="0"/>
            </w:tcBorders>
            <w:vAlign w:val="center"/>
          </w:tcPr>
          <w:p w14:paraId="11A5F297">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竣工日期</w:t>
            </w:r>
          </w:p>
        </w:tc>
        <w:tc>
          <w:tcPr>
            <w:tcW w:w="6213" w:type="dxa"/>
            <w:tcBorders>
              <w:top w:val="nil"/>
              <w:left w:val="nil"/>
              <w:bottom w:val="single" w:color="000000" w:sz="4" w:space="0"/>
              <w:right w:val="single" w:color="000000" w:sz="4" w:space="0"/>
            </w:tcBorders>
            <w:vAlign w:val="center"/>
          </w:tcPr>
          <w:p w14:paraId="1B4C14D8">
            <w:pPr>
              <w:autoSpaceDE w:val="0"/>
              <w:autoSpaceDN w:val="0"/>
              <w:snapToGrid w:val="0"/>
              <w:spacing w:line="360" w:lineRule="auto"/>
              <w:jc w:val="center"/>
              <w:rPr>
                <w:rFonts w:ascii="宋体" w:hAnsi="宋体" w:cs="宋体"/>
                <w:color w:val="auto"/>
                <w:sz w:val="24"/>
                <w:highlight w:val="none"/>
              </w:rPr>
            </w:pPr>
          </w:p>
        </w:tc>
      </w:tr>
      <w:tr w14:paraId="775AFD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24" w:hRule="atLeast"/>
          <w:jc w:val="center"/>
        </w:trPr>
        <w:tc>
          <w:tcPr>
            <w:tcW w:w="2574" w:type="dxa"/>
            <w:tcBorders>
              <w:top w:val="nil"/>
              <w:left w:val="single" w:color="auto" w:sz="4" w:space="0"/>
              <w:bottom w:val="single" w:color="000000" w:sz="4" w:space="0"/>
              <w:right w:val="single" w:color="000000" w:sz="4" w:space="0"/>
            </w:tcBorders>
            <w:vAlign w:val="center"/>
          </w:tcPr>
          <w:p w14:paraId="1DE8401E">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工程质量</w:t>
            </w:r>
          </w:p>
        </w:tc>
        <w:tc>
          <w:tcPr>
            <w:tcW w:w="6213" w:type="dxa"/>
            <w:tcBorders>
              <w:top w:val="nil"/>
              <w:left w:val="nil"/>
              <w:bottom w:val="single" w:color="000000" w:sz="4" w:space="0"/>
              <w:right w:val="single" w:color="000000" w:sz="4" w:space="0"/>
            </w:tcBorders>
            <w:vAlign w:val="center"/>
          </w:tcPr>
          <w:p w14:paraId="078A5589">
            <w:pPr>
              <w:autoSpaceDE w:val="0"/>
              <w:autoSpaceDN w:val="0"/>
              <w:snapToGrid w:val="0"/>
              <w:spacing w:line="360" w:lineRule="auto"/>
              <w:jc w:val="center"/>
              <w:rPr>
                <w:rFonts w:ascii="宋体" w:hAnsi="宋体" w:cs="宋体"/>
                <w:color w:val="auto"/>
                <w:sz w:val="24"/>
                <w:highlight w:val="none"/>
              </w:rPr>
            </w:pPr>
          </w:p>
        </w:tc>
      </w:tr>
      <w:tr w14:paraId="35AB64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31" w:hRule="atLeast"/>
          <w:jc w:val="center"/>
        </w:trPr>
        <w:tc>
          <w:tcPr>
            <w:tcW w:w="2574" w:type="dxa"/>
            <w:tcBorders>
              <w:top w:val="nil"/>
              <w:left w:val="single" w:color="auto" w:sz="4" w:space="0"/>
              <w:bottom w:val="single" w:color="000000" w:sz="4" w:space="0"/>
              <w:right w:val="single" w:color="000000" w:sz="4" w:space="0"/>
            </w:tcBorders>
            <w:vAlign w:val="center"/>
          </w:tcPr>
          <w:p w14:paraId="788442AE">
            <w:pPr>
              <w:autoSpaceDE w:val="0"/>
              <w:autoSpaceDN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w:t>
            </w:r>
            <w:r>
              <w:rPr>
                <w:rFonts w:hint="eastAsia" w:ascii="宋体" w:hAnsi="宋体" w:cs="宋体"/>
                <w:color w:val="auto"/>
                <w:sz w:val="24"/>
                <w:highlight w:val="none"/>
                <w:lang w:eastAsia="zh-CN"/>
              </w:rPr>
              <w:t>负责人</w:t>
            </w:r>
          </w:p>
        </w:tc>
        <w:tc>
          <w:tcPr>
            <w:tcW w:w="6213" w:type="dxa"/>
            <w:tcBorders>
              <w:top w:val="nil"/>
              <w:left w:val="nil"/>
              <w:bottom w:val="single" w:color="000000" w:sz="4" w:space="0"/>
              <w:right w:val="single" w:color="000000" w:sz="4" w:space="0"/>
            </w:tcBorders>
            <w:vAlign w:val="center"/>
          </w:tcPr>
          <w:p w14:paraId="787252F9">
            <w:pPr>
              <w:autoSpaceDE w:val="0"/>
              <w:autoSpaceDN w:val="0"/>
              <w:snapToGrid w:val="0"/>
              <w:spacing w:line="360" w:lineRule="auto"/>
              <w:jc w:val="center"/>
              <w:rPr>
                <w:rFonts w:ascii="宋体" w:hAnsi="宋体" w:cs="宋体"/>
                <w:color w:val="auto"/>
                <w:sz w:val="24"/>
                <w:highlight w:val="none"/>
              </w:rPr>
            </w:pPr>
          </w:p>
        </w:tc>
      </w:tr>
      <w:tr w14:paraId="356C92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24" w:hRule="atLeast"/>
          <w:jc w:val="center"/>
        </w:trPr>
        <w:tc>
          <w:tcPr>
            <w:tcW w:w="2574" w:type="dxa"/>
            <w:tcBorders>
              <w:top w:val="nil"/>
              <w:left w:val="single" w:color="auto" w:sz="4" w:space="0"/>
              <w:bottom w:val="single" w:color="000000" w:sz="4" w:space="0"/>
              <w:right w:val="single" w:color="000000" w:sz="4" w:space="0"/>
            </w:tcBorders>
            <w:vAlign w:val="center"/>
          </w:tcPr>
          <w:p w14:paraId="015F0270">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6213" w:type="dxa"/>
            <w:tcBorders>
              <w:top w:val="nil"/>
              <w:left w:val="nil"/>
              <w:bottom w:val="single" w:color="000000" w:sz="4" w:space="0"/>
              <w:right w:val="single" w:color="000000" w:sz="4" w:space="0"/>
            </w:tcBorders>
            <w:vAlign w:val="center"/>
          </w:tcPr>
          <w:p w14:paraId="21E9E85D">
            <w:pPr>
              <w:autoSpaceDE w:val="0"/>
              <w:autoSpaceDN w:val="0"/>
              <w:snapToGrid w:val="0"/>
              <w:spacing w:line="360" w:lineRule="auto"/>
              <w:jc w:val="center"/>
              <w:rPr>
                <w:rFonts w:ascii="宋体" w:hAnsi="宋体" w:cs="宋体"/>
                <w:color w:val="auto"/>
                <w:sz w:val="24"/>
                <w:highlight w:val="none"/>
              </w:rPr>
            </w:pPr>
          </w:p>
        </w:tc>
      </w:tr>
      <w:tr w14:paraId="4182ED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1745" w:hRule="atLeast"/>
          <w:jc w:val="center"/>
        </w:trPr>
        <w:tc>
          <w:tcPr>
            <w:tcW w:w="2574" w:type="dxa"/>
            <w:tcBorders>
              <w:top w:val="nil"/>
              <w:left w:val="single" w:color="auto" w:sz="4" w:space="0"/>
              <w:bottom w:val="single" w:color="000000" w:sz="4" w:space="0"/>
              <w:right w:val="single" w:color="000000" w:sz="4" w:space="0"/>
            </w:tcBorders>
            <w:vAlign w:val="center"/>
          </w:tcPr>
          <w:p w14:paraId="792C54E7">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项目描述</w:t>
            </w:r>
          </w:p>
        </w:tc>
        <w:tc>
          <w:tcPr>
            <w:tcW w:w="6213" w:type="dxa"/>
            <w:tcBorders>
              <w:top w:val="nil"/>
              <w:left w:val="nil"/>
              <w:bottom w:val="single" w:color="000000" w:sz="4" w:space="0"/>
              <w:right w:val="single" w:color="000000" w:sz="4" w:space="0"/>
            </w:tcBorders>
            <w:vAlign w:val="center"/>
          </w:tcPr>
          <w:p w14:paraId="2087DEEC">
            <w:pPr>
              <w:autoSpaceDE w:val="0"/>
              <w:autoSpaceDN w:val="0"/>
              <w:snapToGrid w:val="0"/>
              <w:spacing w:line="360" w:lineRule="auto"/>
              <w:jc w:val="center"/>
              <w:rPr>
                <w:rFonts w:ascii="宋体" w:hAnsi="宋体" w:cs="宋体"/>
                <w:color w:val="auto"/>
                <w:sz w:val="24"/>
                <w:highlight w:val="none"/>
              </w:rPr>
            </w:pPr>
          </w:p>
        </w:tc>
      </w:tr>
      <w:tr w14:paraId="5F185681">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2574" w:type="dxa"/>
            <w:tcBorders>
              <w:top w:val="nil"/>
              <w:left w:val="single" w:color="auto" w:sz="4" w:space="0"/>
              <w:bottom w:val="single" w:color="000000" w:sz="4" w:space="0"/>
              <w:right w:val="single" w:color="000000" w:sz="4" w:space="0"/>
            </w:tcBorders>
            <w:vAlign w:val="center"/>
          </w:tcPr>
          <w:p w14:paraId="4221BF78">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c>
          <w:tcPr>
            <w:tcW w:w="6213" w:type="dxa"/>
            <w:tcBorders>
              <w:top w:val="nil"/>
              <w:left w:val="nil"/>
              <w:bottom w:val="single" w:color="000000" w:sz="4" w:space="0"/>
              <w:right w:val="single" w:color="000000" w:sz="4" w:space="0"/>
            </w:tcBorders>
            <w:vAlign w:val="center"/>
          </w:tcPr>
          <w:p w14:paraId="67C3C98A">
            <w:pPr>
              <w:autoSpaceDE w:val="0"/>
              <w:autoSpaceDN w:val="0"/>
              <w:snapToGrid w:val="0"/>
              <w:spacing w:line="360" w:lineRule="auto"/>
              <w:jc w:val="center"/>
              <w:rPr>
                <w:rFonts w:ascii="宋体" w:hAnsi="宋体" w:cs="宋体"/>
                <w:color w:val="auto"/>
                <w:sz w:val="24"/>
                <w:highlight w:val="none"/>
              </w:rPr>
            </w:pPr>
          </w:p>
        </w:tc>
      </w:tr>
    </w:tbl>
    <w:p w14:paraId="7F07D91E">
      <w:pPr>
        <w:keepNext w:val="0"/>
        <w:keepLines w:val="0"/>
        <w:pageBreakBefore w:val="0"/>
        <w:widowControl w:val="0"/>
        <w:kinsoku/>
        <w:wordWrap/>
        <w:overflowPunct/>
        <w:topLinePunct w:val="0"/>
        <w:autoSpaceDE/>
        <w:autoSpaceDN/>
        <w:bidi w:val="0"/>
        <w:adjustRightInd/>
        <w:snapToGrid/>
        <w:spacing w:line="720" w:lineRule="auto"/>
        <w:ind w:firstLine="198"/>
        <w:jc w:val="both"/>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pacing w:val="4"/>
          <w:sz w:val="22"/>
          <w:szCs w:val="22"/>
          <w:highlight w:val="none"/>
          <w:lang w:val="en-US" w:eastAsia="zh-CN"/>
        </w:rPr>
        <w:t>注</w:t>
      </w:r>
      <w:r>
        <w:rPr>
          <w:rFonts w:ascii="宋体" w:hAnsi="宋体" w:eastAsia="宋体" w:cs="宋体"/>
          <w:b/>
          <w:bCs/>
          <w:color w:val="auto"/>
          <w:spacing w:val="4"/>
          <w:sz w:val="22"/>
          <w:szCs w:val="22"/>
          <w:highlight w:val="none"/>
        </w:rPr>
        <w:t>：</w:t>
      </w:r>
      <w:r>
        <w:rPr>
          <w:rFonts w:hint="eastAsia" w:ascii="宋体" w:hAnsi="宋体" w:eastAsia="宋体" w:cs="宋体"/>
          <w:b/>
          <w:bCs/>
          <w:color w:val="auto"/>
          <w:spacing w:val="4"/>
          <w:sz w:val="22"/>
          <w:szCs w:val="22"/>
          <w:highlight w:val="none"/>
          <w:lang w:val="en-US" w:eastAsia="zh-CN"/>
        </w:rPr>
        <w:t>一个表格填写1份业绩，表格后附</w:t>
      </w:r>
      <w:r>
        <w:rPr>
          <w:rFonts w:ascii="宋体" w:hAnsi="宋体" w:eastAsia="宋体" w:cs="宋体"/>
          <w:b/>
          <w:bCs/>
          <w:color w:val="auto"/>
          <w:spacing w:val="4"/>
          <w:sz w:val="22"/>
          <w:szCs w:val="22"/>
          <w:highlight w:val="none"/>
        </w:rPr>
        <w:t>合同协议书</w:t>
      </w:r>
      <w:r>
        <w:rPr>
          <w:rFonts w:hint="eastAsia" w:ascii="宋体" w:hAnsi="宋体" w:eastAsia="宋体" w:cs="宋体"/>
          <w:b/>
          <w:bCs/>
          <w:color w:val="auto"/>
          <w:spacing w:val="4"/>
          <w:sz w:val="22"/>
          <w:szCs w:val="22"/>
          <w:highlight w:val="none"/>
          <w:lang w:val="en-US" w:eastAsia="zh-CN"/>
        </w:rPr>
        <w:t>的</w:t>
      </w:r>
      <w:r>
        <w:rPr>
          <w:rFonts w:hint="eastAsia" w:ascii="宋体" w:hAnsi="宋体" w:cs="宋体"/>
          <w:b/>
          <w:bCs/>
          <w:color w:val="auto"/>
          <w:spacing w:val="4"/>
          <w:sz w:val="22"/>
          <w:szCs w:val="22"/>
          <w:highlight w:val="none"/>
          <w:lang w:val="en-US" w:eastAsia="zh-CN"/>
        </w:rPr>
        <w:t>原件扫描件</w:t>
      </w:r>
      <w:r>
        <w:rPr>
          <w:rFonts w:ascii="宋体" w:hAnsi="宋体" w:eastAsia="宋体" w:cs="宋体"/>
          <w:b/>
          <w:bCs/>
          <w:color w:val="auto"/>
          <w:spacing w:val="4"/>
          <w:sz w:val="22"/>
          <w:szCs w:val="22"/>
          <w:highlight w:val="none"/>
        </w:rPr>
        <w:t>。</w:t>
      </w:r>
    </w:p>
    <w:p w14:paraId="36C33562">
      <w:pPr>
        <w:pageBreakBefore w:val="0"/>
        <w:kinsoku/>
        <w:overflowPunct/>
        <w:topLinePunct w:val="0"/>
        <w:bidi w:val="0"/>
        <w:spacing w:line="440" w:lineRule="exact"/>
        <w:jc w:val="right"/>
        <w:outlineLvl w:val="9"/>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auto"/>
          <w:sz w:val="24"/>
          <w:szCs w:val="24"/>
          <w:highlight w:val="none"/>
          <w:lang w:val="en-US" w:eastAsia="zh-CN"/>
        </w:rPr>
        <w:t>盖单位公章</w:t>
      </w:r>
      <w:r>
        <w:rPr>
          <w:rFonts w:hint="eastAsia" w:ascii="宋体" w:hAnsi="宋体" w:cs="宋体"/>
          <w:color w:val="auto"/>
          <w:sz w:val="24"/>
          <w:highlight w:val="none"/>
        </w:rPr>
        <w:t>）</w:t>
      </w:r>
    </w:p>
    <w:p w14:paraId="1838BA2F">
      <w:pPr>
        <w:pageBreakBefore w:val="0"/>
        <w:kinsoku/>
        <w:overflowPunct/>
        <w:topLinePunct w:val="0"/>
        <w:bidi w:val="0"/>
        <w:outlineLvl w:val="9"/>
        <w:rPr>
          <w:color w:val="auto"/>
          <w:highlight w:val="none"/>
        </w:rPr>
      </w:pPr>
    </w:p>
    <w:p w14:paraId="4A21B6A7">
      <w:pPr>
        <w:pStyle w:val="35"/>
        <w:pageBreakBefore w:val="0"/>
        <w:kinsoku/>
        <w:overflowPunct/>
        <w:topLinePunct w:val="0"/>
        <w:bidi w:val="0"/>
        <w:jc w:val="center"/>
        <w:outlineLvl w:val="9"/>
        <w:rPr>
          <w:color w:val="auto"/>
          <w:highlight w:val="none"/>
        </w:rPr>
      </w:pPr>
      <w:r>
        <w:rPr>
          <w:rFonts w:hint="eastAsia" w:hAnsi="宋体"/>
          <w:bCs/>
          <w:color w:val="auto"/>
          <w:highlight w:val="none"/>
        </w:rPr>
        <w:t xml:space="preserve">               法定代表人</w:t>
      </w:r>
      <w:r>
        <w:rPr>
          <w:rFonts w:hint="eastAsia" w:hAnsi="宋体"/>
          <w:bCs/>
          <w:color w:val="auto"/>
          <w:highlight w:val="none"/>
          <w:lang w:eastAsia="zh-CN"/>
        </w:rPr>
        <w:t>（</w:t>
      </w:r>
      <w:r>
        <w:rPr>
          <w:rFonts w:hint="eastAsia" w:hAnsi="宋体"/>
          <w:bCs/>
          <w:color w:val="auto"/>
          <w:highlight w:val="none"/>
          <w:lang w:val="en-US" w:eastAsia="zh-CN"/>
        </w:rPr>
        <w:t>自然人或者经营者</w:t>
      </w:r>
      <w:r>
        <w:rPr>
          <w:rFonts w:hint="eastAsia" w:hAnsi="宋体"/>
          <w:bCs/>
          <w:color w:val="auto"/>
          <w:highlight w:val="none"/>
          <w:lang w:eastAsia="zh-CN"/>
        </w:rPr>
        <w:t>）</w:t>
      </w:r>
      <w:r>
        <w:rPr>
          <w:rFonts w:hint="eastAsia" w:hAnsi="宋体"/>
          <w:bCs/>
          <w:color w:val="auto"/>
          <w:highlight w:val="none"/>
        </w:rPr>
        <w:t>：</w:t>
      </w:r>
      <w:r>
        <w:rPr>
          <w:rFonts w:hint="eastAsia" w:hAnsi="宋体"/>
          <w:bCs/>
          <w:color w:val="auto"/>
          <w:highlight w:val="none"/>
          <w:u w:val="single"/>
        </w:rPr>
        <w:t xml:space="preserve">                 </w:t>
      </w:r>
      <w:r>
        <w:rPr>
          <w:rFonts w:hint="eastAsia" w:hAnsi="宋体"/>
          <w:bCs/>
          <w:color w:val="auto"/>
          <w:highlight w:val="none"/>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hAnsi="宋体"/>
          <w:bCs/>
          <w:color w:val="auto"/>
          <w:highlight w:val="none"/>
        </w:rPr>
        <w:t>）</w:t>
      </w:r>
    </w:p>
    <w:p w14:paraId="143DD3F9">
      <w:pPr>
        <w:pStyle w:val="6"/>
        <w:pageBreakBefore w:val="0"/>
        <w:kinsoku/>
        <w:overflowPunct/>
        <w:topLinePunct w:val="0"/>
        <w:bidi w:val="0"/>
        <w:spacing w:line="480" w:lineRule="auto"/>
        <w:ind w:right="480" w:firstLine="480"/>
        <w:jc w:val="right"/>
        <w:outlineLvl w:val="9"/>
        <w:rPr>
          <w:rFonts w:hAnsi="宋体" w:eastAsia="宋体" w:cs="宋体"/>
          <w:color w:val="auto"/>
          <w:kern w:val="2"/>
          <w:szCs w:val="22"/>
          <w:highlight w:val="none"/>
        </w:rPr>
      </w:pPr>
      <w:r>
        <w:rPr>
          <w:rFonts w:hint="eastAsia" w:hAnsi="宋体" w:eastAsia="宋体" w:cs="宋体"/>
          <w:color w:val="auto"/>
          <w:highlight w:val="none"/>
        </w:rPr>
        <w:t xml:space="preserve">     </w:t>
      </w:r>
      <w:r>
        <w:rPr>
          <w:rFonts w:hint="eastAsia" w:hAnsi="宋体" w:eastAsia="宋体" w:cs="宋体"/>
          <w:color w:val="auto"/>
          <w:highlight w:val="none"/>
          <w:u w:val="single"/>
        </w:rPr>
        <w:t xml:space="preserve"> </w:t>
      </w:r>
      <w:r>
        <w:rPr>
          <w:rFonts w:hint="eastAsia" w:hAnsi="宋体" w:eastAsia="宋体" w:cs="宋体"/>
          <w:color w:val="auto"/>
          <w:kern w:val="2"/>
          <w:szCs w:val="22"/>
          <w:highlight w:val="none"/>
          <w:u w:val="single"/>
        </w:rPr>
        <w:t xml:space="preserve">    </w:t>
      </w:r>
      <w:r>
        <w:rPr>
          <w:rFonts w:hint="eastAsia" w:hAnsi="宋体" w:eastAsia="宋体" w:cs="宋体"/>
          <w:color w:val="auto"/>
          <w:kern w:val="2"/>
          <w:szCs w:val="22"/>
          <w:highlight w:val="none"/>
        </w:rPr>
        <w:t>年</w:t>
      </w:r>
      <w:r>
        <w:rPr>
          <w:rFonts w:hint="eastAsia" w:hAnsi="宋体" w:eastAsia="宋体" w:cs="宋体"/>
          <w:color w:val="auto"/>
          <w:kern w:val="2"/>
          <w:szCs w:val="22"/>
          <w:highlight w:val="none"/>
          <w:u w:val="single"/>
        </w:rPr>
        <w:t xml:space="preserve">     </w:t>
      </w:r>
      <w:r>
        <w:rPr>
          <w:rFonts w:hint="eastAsia" w:hAnsi="宋体" w:eastAsia="宋体" w:cs="宋体"/>
          <w:color w:val="auto"/>
          <w:kern w:val="2"/>
          <w:szCs w:val="22"/>
          <w:highlight w:val="none"/>
        </w:rPr>
        <w:t>月</w:t>
      </w:r>
      <w:r>
        <w:rPr>
          <w:rFonts w:hint="eastAsia" w:hAnsi="宋体" w:eastAsia="宋体" w:cs="宋体"/>
          <w:color w:val="auto"/>
          <w:kern w:val="2"/>
          <w:szCs w:val="22"/>
          <w:highlight w:val="none"/>
          <w:u w:val="single"/>
        </w:rPr>
        <w:t xml:space="preserve">     </w:t>
      </w:r>
      <w:r>
        <w:rPr>
          <w:rFonts w:hint="eastAsia" w:hAnsi="宋体" w:eastAsia="宋体" w:cs="宋体"/>
          <w:color w:val="auto"/>
          <w:kern w:val="2"/>
          <w:szCs w:val="22"/>
          <w:highlight w:val="none"/>
        </w:rPr>
        <w:t>日</w:t>
      </w:r>
    </w:p>
    <w:p w14:paraId="28703E6F">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六、项目负责人业绩</w:t>
      </w:r>
    </w:p>
    <w:p w14:paraId="34869C19">
      <w:pPr>
        <w:pStyle w:val="53"/>
        <w:ind w:firstLine="141"/>
        <w:jc w:val="center"/>
        <w:outlineLvl w:val="1"/>
        <w:rPr>
          <w:rFonts w:hint="default" w:ascii="宋体" w:hAnsi="宋体" w:eastAsia="宋体" w:cs="宋体"/>
          <w:b/>
          <w:color w:val="auto"/>
          <w:sz w:val="32"/>
          <w:szCs w:val="28"/>
          <w:highlight w:val="none"/>
          <w:lang w:val="en-US" w:eastAsia="zh-CN"/>
        </w:rPr>
      </w:pPr>
      <w:r>
        <w:rPr>
          <w:rFonts w:hint="eastAsia" w:ascii="宋体" w:hAnsi="宋体" w:cs="仿宋"/>
          <w:b w:val="0"/>
          <w:bCs w:val="0"/>
          <w:color w:val="auto"/>
          <w:kern w:val="2"/>
          <w:sz w:val="28"/>
          <w:szCs w:val="28"/>
          <w:highlight w:val="none"/>
          <w:u w:color="000000"/>
          <w:lang w:val="en-US" w:eastAsia="zh-CN" w:bidi="ar-SA"/>
        </w:rPr>
        <w:t>2022</w:t>
      </w:r>
      <w:r>
        <w:rPr>
          <w:rFonts w:hint="eastAsia" w:ascii="宋体" w:hAnsi="宋体" w:eastAsia="宋体" w:cs="仿宋"/>
          <w:b w:val="0"/>
          <w:bCs w:val="0"/>
          <w:color w:val="auto"/>
          <w:kern w:val="2"/>
          <w:sz w:val="28"/>
          <w:szCs w:val="28"/>
          <w:highlight w:val="none"/>
          <w:u w:color="000000"/>
          <w:lang w:val="en-US" w:eastAsia="zh-CN" w:bidi="ar-SA"/>
        </w:rPr>
        <w:t>年以来完成的类似项目情况表</w:t>
      </w:r>
    </w:p>
    <w:tbl>
      <w:tblPr>
        <w:tblStyle w:val="20"/>
        <w:tblW w:w="8787"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2574"/>
        <w:gridCol w:w="6213"/>
      </w:tblGrid>
      <w:tr w14:paraId="1546337A">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2574" w:type="dxa"/>
            <w:tcBorders>
              <w:top w:val="single" w:color="auto" w:sz="4" w:space="0"/>
              <w:left w:val="single" w:color="auto" w:sz="4" w:space="0"/>
              <w:bottom w:val="single" w:color="000000" w:sz="4" w:space="0"/>
              <w:right w:val="single" w:color="000000" w:sz="4" w:space="0"/>
            </w:tcBorders>
            <w:vAlign w:val="center"/>
          </w:tcPr>
          <w:p w14:paraId="3225E485">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213" w:type="dxa"/>
            <w:tcBorders>
              <w:top w:val="single" w:color="auto" w:sz="4" w:space="0"/>
              <w:left w:val="nil"/>
              <w:bottom w:val="single" w:color="000000" w:sz="4" w:space="0"/>
              <w:right w:val="single" w:color="000000" w:sz="4" w:space="0"/>
            </w:tcBorders>
            <w:vAlign w:val="center"/>
          </w:tcPr>
          <w:p w14:paraId="55D2E0ED">
            <w:pPr>
              <w:autoSpaceDE w:val="0"/>
              <w:autoSpaceDN w:val="0"/>
              <w:snapToGrid w:val="0"/>
              <w:spacing w:line="360" w:lineRule="auto"/>
              <w:jc w:val="center"/>
              <w:rPr>
                <w:rFonts w:ascii="宋体" w:hAnsi="宋体" w:cs="宋体"/>
                <w:color w:val="auto"/>
                <w:sz w:val="24"/>
                <w:highlight w:val="none"/>
              </w:rPr>
            </w:pPr>
          </w:p>
        </w:tc>
      </w:tr>
      <w:tr w14:paraId="4ABEF9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24" w:hRule="atLeast"/>
          <w:jc w:val="center"/>
        </w:trPr>
        <w:tc>
          <w:tcPr>
            <w:tcW w:w="2574" w:type="dxa"/>
            <w:tcBorders>
              <w:top w:val="nil"/>
              <w:left w:val="single" w:color="auto" w:sz="4" w:space="0"/>
              <w:bottom w:val="single" w:color="000000" w:sz="4" w:space="0"/>
              <w:right w:val="single" w:color="000000" w:sz="4" w:space="0"/>
            </w:tcBorders>
            <w:vAlign w:val="center"/>
          </w:tcPr>
          <w:p w14:paraId="1A735F03">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项目所在地</w:t>
            </w:r>
          </w:p>
        </w:tc>
        <w:tc>
          <w:tcPr>
            <w:tcW w:w="6213" w:type="dxa"/>
            <w:tcBorders>
              <w:top w:val="nil"/>
              <w:left w:val="nil"/>
              <w:bottom w:val="single" w:color="000000" w:sz="4" w:space="0"/>
              <w:right w:val="single" w:color="000000" w:sz="4" w:space="0"/>
            </w:tcBorders>
            <w:vAlign w:val="center"/>
          </w:tcPr>
          <w:p w14:paraId="395AC5C4">
            <w:pPr>
              <w:autoSpaceDE w:val="0"/>
              <w:autoSpaceDN w:val="0"/>
              <w:snapToGrid w:val="0"/>
              <w:spacing w:line="360" w:lineRule="auto"/>
              <w:jc w:val="center"/>
              <w:rPr>
                <w:rFonts w:ascii="宋体" w:hAnsi="宋体" w:cs="宋体"/>
                <w:color w:val="auto"/>
                <w:sz w:val="24"/>
                <w:highlight w:val="none"/>
              </w:rPr>
            </w:pPr>
          </w:p>
        </w:tc>
      </w:tr>
      <w:tr w14:paraId="5A6ECB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24" w:hRule="atLeast"/>
          <w:jc w:val="center"/>
        </w:trPr>
        <w:tc>
          <w:tcPr>
            <w:tcW w:w="2574" w:type="dxa"/>
            <w:tcBorders>
              <w:top w:val="nil"/>
              <w:left w:val="single" w:color="auto" w:sz="4" w:space="0"/>
              <w:bottom w:val="single" w:color="000000" w:sz="4" w:space="0"/>
              <w:right w:val="single" w:color="000000" w:sz="4" w:space="0"/>
            </w:tcBorders>
            <w:vAlign w:val="center"/>
          </w:tcPr>
          <w:p w14:paraId="7E5FCD09">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6213" w:type="dxa"/>
            <w:tcBorders>
              <w:top w:val="nil"/>
              <w:left w:val="nil"/>
              <w:bottom w:val="single" w:color="000000" w:sz="4" w:space="0"/>
              <w:right w:val="single" w:color="000000" w:sz="4" w:space="0"/>
            </w:tcBorders>
            <w:vAlign w:val="center"/>
          </w:tcPr>
          <w:p w14:paraId="4200BEEE">
            <w:pPr>
              <w:autoSpaceDE w:val="0"/>
              <w:autoSpaceDN w:val="0"/>
              <w:snapToGrid w:val="0"/>
              <w:spacing w:line="360" w:lineRule="auto"/>
              <w:jc w:val="center"/>
              <w:rPr>
                <w:rFonts w:ascii="宋体" w:hAnsi="宋体" w:cs="宋体"/>
                <w:color w:val="auto"/>
                <w:sz w:val="24"/>
                <w:highlight w:val="none"/>
              </w:rPr>
            </w:pPr>
          </w:p>
        </w:tc>
      </w:tr>
      <w:tr w14:paraId="046ED2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24" w:hRule="atLeast"/>
          <w:jc w:val="center"/>
        </w:trPr>
        <w:tc>
          <w:tcPr>
            <w:tcW w:w="2574" w:type="dxa"/>
            <w:tcBorders>
              <w:top w:val="nil"/>
              <w:left w:val="single" w:color="auto" w:sz="4" w:space="0"/>
              <w:bottom w:val="single" w:color="000000" w:sz="4" w:space="0"/>
              <w:right w:val="single" w:color="000000" w:sz="4" w:space="0"/>
            </w:tcBorders>
            <w:vAlign w:val="center"/>
          </w:tcPr>
          <w:p w14:paraId="32E47FB2">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发包人地址</w:t>
            </w:r>
          </w:p>
        </w:tc>
        <w:tc>
          <w:tcPr>
            <w:tcW w:w="6213" w:type="dxa"/>
            <w:tcBorders>
              <w:top w:val="nil"/>
              <w:left w:val="nil"/>
              <w:bottom w:val="single" w:color="000000" w:sz="4" w:space="0"/>
              <w:right w:val="single" w:color="000000" w:sz="4" w:space="0"/>
            </w:tcBorders>
            <w:vAlign w:val="center"/>
          </w:tcPr>
          <w:p w14:paraId="3A67B01C">
            <w:pPr>
              <w:autoSpaceDE w:val="0"/>
              <w:autoSpaceDN w:val="0"/>
              <w:snapToGrid w:val="0"/>
              <w:spacing w:line="360" w:lineRule="auto"/>
              <w:jc w:val="center"/>
              <w:rPr>
                <w:rFonts w:ascii="宋体" w:hAnsi="宋体" w:cs="宋体"/>
                <w:color w:val="auto"/>
                <w:sz w:val="24"/>
                <w:highlight w:val="none"/>
              </w:rPr>
            </w:pPr>
          </w:p>
        </w:tc>
      </w:tr>
      <w:tr w14:paraId="50F090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24" w:hRule="atLeast"/>
          <w:jc w:val="center"/>
        </w:trPr>
        <w:tc>
          <w:tcPr>
            <w:tcW w:w="2574" w:type="dxa"/>
            <w:tcBorders>
              <w:top w:val="nil"/>
              <w:left w:val="single" w:color="auto" w:sz="4" w:space="0"/>
              <w:bottom w:val="single" w:color="000000" w:sz="4" w:space="0"/>
              <w:right w:val="single" w:color="000000" w:sz="4" w:space="0"/>
            </w:tcBorders>
            <w:vAlign w:val="center"/>
          </w:tcPr>
          <w:p w14:paraId="2889748E">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发包人电话</w:t>
            </w:r>
          </w:p>
        </w:tc>
        <w:tc>
          <w:tcPr>
            <w:tcW w:w="6213" w:type="dxa"/>
            <w:tcBorders>
              <w:top w:val="nil"/>
              <w:left w:val="nil"/>
              <w:bottom w:val="single" w:color="000000" w:sz="4" w:space="0"/>
              <w:right w:val="single" w:color="000000" w:sz="4" w:space="0"/>
            </w:tcBorders>
            <w:vAlign w:val="center"/>
          </w:tcPr>
          <w:p w14:paraId="27CC1A9A">
            <w:pPr>
              <w:autoSpaceDE w:val="0"/>
              <w:autoSpaceDN w:val="0"/>
              <w:snapToGrid w:val="0"/>
              <w:spacing w:line="360" w:lineRule="auto"/>
              <w:jc w:val="center"/>
              <w:rPr>
                <w:rFonts w:ascii="宋体" w:hAnsi="宋体" w:cs="宋体"/>
                <w:color w:val="auto"/>
                <w:sz w:val="24"/>
                <w:highlight w:val="none"/>
              </w:rPr>
            </w:pPr>
          </w:p>
        </w:tc>
      </w:tr>
      <w:tr w14:paraId="094B95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24" w:hRule="atLeast"/>
          <w:jc w:val="center"/>
        </w:trPr>
        <w:tc>
          <w:tcPr>
            <w:tcW w:w="2574" w:type="dxa"/>
            <w:tcBorders>
              <w:top w:val="nil"/>
              <w:left w:val="single" w:color="auto" w:sz="4" w:space="0"/>
              <w:bottom w:val="single" w:color="000000" w:sz="4" w:space="0"/>
              <w:right w:val="single" w:color="000000" w:sz="4" w:space="0"/>
            </w:tcBorders>
            <w:vAlign w:val="center"/>
          </w:tcPr>
          <w:p w14:paraId="6DFDFA58">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合同价格</w:t>
            </w:r>
          </w:p>
        </w:tc>
        <w:tc>
          <w:tcPr>
            <w:tcW w:w="6213" w:type="dxa"/>
            <w:tcBorders>
              <w:top w:val="nil"/>
              <w:left w:val="nil"/>
              <w:bottom w:val="single" w:color="000000" w:sz="4" w:space="0"/>
              <w:right w:val="single" w:color="000000" w:sz="4" w:space="0"/>
            </w:tcBorders>
            <w:vAlign w:val="center"/>
          </w:tcPr>
          <w:p w14:paraId="0724ACF0">
            <w:pPr>
              <w:autoSpaceDE w:val="0"/>
              <w:autoSpaceDN w:val="0"/>
              <w:snapToGrid w:val="0"/>
              <w:spacing w:line="360" w:lineRule="auto"/>
              <w:jc w:val="center"/>
              <w:rPr>
                <w:rFonts w:ascii="宋体" w:hAnsi="宋体" w:cs="宋体"/>
                <w:color w:val="auto"/>
                <w:sz w:val="24"/>
                <w:highlight w:val="none"/>
              </w:rPr>
            </w:pPr>
          </w:p>
        </w:tc>
      </w:tr>
      <w:tr w14:paraId="26D1E7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31" w:hRule="atLeast"/>
          <w:jc w:val="center"/>
        </w:trPr>
        <w:tc>
          <w:tcPr>
            <w:tcW w:w="2574" w:type="dxa"/>
            <w:tcBorders>
              <w:top w:val="nil"/>
              <w:left w:val="single" w:color="auto" w:sz="4" w:space="0"/>
              <w:bottom w:val="single" w:color="000000" w:sz="4" w:space="0"/>
              <w:right w:val="single" w:color="000000" w:sz="4" w:space="0"/>
            </w:tcBorders>
            <w:vAlign w:val="center"/>
          </w:tcPr>
          <w:p w14:paraId="4DF50868">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开工日期</w:t>
            </w:r>
          </w:p>
        </w:tc>
        <w:tc>
          <w:tcPr>
            <w:tcW w:w="6213" w:type="dxa"/>
            <w:tcBorders>
              <w:top w:val="nil"/>
              <w:left w:val="nil"/>
              <w:bottom w:val="single" w:color="000000" w:sz="4" w:space="0"/>
              <w:right w:val="single" w:color="000000" w:sz="4" w:space="0"/>
            </w:tcBorders>
            <w:vAlign w:val="center"/>
          </w:tcPr>
          <w:p w14:paraId="0E5C3382">
            <w:pPr>
              <w:autoSpaceDE w:val="0"/>
              <w:autoSpaceDN w:val="0"/>
              <w:snapToGrid w:val="0"/>
              <w:spacing w:line="360" w:lineRule="auto"/>
              <w:jc w:val="center"/>
              <w:rPr>
                <w:rFonts w:ascii="宋体" w:hAnsi="宋体" w:cs="宋体"/>
                <w:color w:val="auto"/>
                <w:sz w:val="24"/>
                <w:highlight w:val="none"/>
              </w:rPr>
            </w:pPr>
          </w:p>
        </w:tc>
      </w:tr>
      <w:tr w14:paraId="339CA0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24" w:hRule="atLeast"/>
          <w:jc w:val="center"/>
        </w:trPr>
        <w:tc>
          <w:tcPr>
            <w:tcW w:w="2574" w:type="dxa"/>
            <w:tcBorders>
              <w:top w:val="nil"/>
              <w:left w:val="single" w:color="auto" w:sz="4" w:space="0"/>
              <w:bottom w:val="single" w:color="000000" w:sz="4" w:space="0"/>
              <w:right w:val="single" w:color="000000" w:sz="4" w:space="0"/>
            </w:tcBorders>
            <w:vAlign w:val="center"/>
          </w:tcPr>
          <w:p w14:paraId="5C8AA689">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竣工日期</w:t>
            </w:r>
          </w:p>
        </w:tc>
        <w:tc>
          <w:tcPr>
            <w:tcW w:w="6213" w:type="dxa"/>
            <w:tcBorders>
              <w:top w:val="nil"/>
              <w:left w:val="nil"/>
              <w:bottom w:val="single" w:color="000000" w:sz="4" w:space="0"/>
              <w:right w:val="single" w:color="000000" w:sz="4" w:space="0"/>
            </w:tcBorders>
            <w:vAlign w:val="center"/>
          </w:tcPr>
          <w:p w14:paraId="11DFF901">
            <w:pPr>
              <w:autoSpaceDE w:val="0"/>
              <w:autoSpaceDN w:val="0"/>
              <w:snapToGrid w:val="0"/>
              <w:spacing w:line="360" w:lineRule="auto"/>
              <w:jc w:val="center"/>
              <w:rPr>
                <w:rFonts w:ascii="宋体" w:hAnsi="宋体" w:cs="宋体"/>
                <w:color w:val="auto"/>
                <w:sz w:val="24"/>
                <w:highlight w:val="none"/>
              </w:rPr>
            </w:pPr>
          </w:p>
        </w:tc>
      </w:tr>
      <w:tr w14:paraId="678835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24" w:hRule="atLeast"/>
          <w:jc w:val="center"/>
        </w:trPr>
        <w:tc>
          <w:tcPr>
            <w:tcW w:w="2574" w:type="dxa"/>
            <w:tcBorders>
              <w:top w:val="nil"/>
              <w:left w:val="single" w:color="auto" w:sz="4" w:space="0"/>
              <w:bottom w:val="single" w:color="000000" w:sz="4" w:space="0"/>
              <w:right w:val="single" w:color="000000" w:sz="4" w:space="0"/>
            </w:tcBorders>
            <w:vAlign w:val="center"/>
          </w:tcPr>
          <w:p w14:paraId="4741FA56">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工程质量</w:t>
            </w:r>
          </w:p>
        </w:tc>
        <w:tc>
          <w:tcPr>
            <w:tcW w:w="6213" w:type="dxa"/>
            <w:tcBorders>
              <w:top w:val="nil"/>
              <w:left w:val="nil"/>
              <w:bottom w:val="single" w:color="000000" w:sz="4" w:space="0"/>
              <w:right w:val="single" w:color="000000" w:sz="4" w:space="0"/>
            </w:tcBorders>
            <w:vAlign w:val="center"/>
          </w:tcPr>
          <w:p w14:paraId="1684B893">
            <w:pPr>
              <w:autoSpaceDE w:val="0"/>
              <w:autoSpaceDN w:val="0"/>
              <w:snapToGrid w:val="0"/>
              <w:spacing w:line="360" w:lineRule="auto"/>
              <w:jc w:val="center"/>
              <w:rPr>
                <w:rFonts w:ascii="宋体" w:hAnsi="宋体" w:cs="宋体"/>
                <w:color w:val="auto"/>
                <w:sz w:val="24"/>
                <w:highlight w:val="none"/>
              </w:rPr>
            </w:pPr>
          </w:p>
        </w:tc>
      </w:tr>
      <w:tr w14:paraId="6E11C5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31" w:hRule="atLeast"/>
          <w:jc w:val="center"/>
        </w:trPr>
        <w:tc>
          <w:tcPr>
            <w:tcW w:w="2574" w:type="dxa"/>
            <w:tcBorders>
              <w:top w:val="nil"/>
              <w:left w:val="single" w:color="auto" w:sz="4" w:space="0"/>
              <w:bottom w:val="single" w:color="000000" w:sz="4" w:space="0"/>
              <w:right w:val="single" w:color="000000" w:sz="4" w:space="0"/>
            </w:tcBorders>
            <w:vAlign w:val="center"/>
          </w:tcPr>
          <w:p w14:paraId="34966304">
            <w:pPr>
              <w:autoSpaceDE w:val="0"/>
              <w:autoSpaceDN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w:t>
            </w:r>
            <w:r>
              <w:rPr>
                <w:rFonts w:hint="eastAsia" w:ascii="宋体" w:hAnsi="宋体" w:cs="宋体"/>
                <w:color w:val="auto"/>
                <w:sz w:val="24"/>
                <w:highlight w:val="none"/>
                <w:lang w:eastAsia="zh-CN"/>
              </w:rPr>
              <w:t>负责人</w:t>
            </w:r>
          </w:p>
        </w:tc>
        <w:tc>
          <w:tcPr>
            <w:tcW w:w="6213" w:type="dxa"/>
            <w:tcBorders>
              <w:top w:val="nil"/>
              <w:left w:val="nil"/>
              <w:bottom w:val="single" w:color="000000" w:sz="4" w:space="0"/>
              <w:right w:val="single" w:color="000000" w:sz="4" w:space="0"/>
            </w:tcBorders>
            <w:vAlign w:val="center"/>
          </w:tcPr>
          <w:p w14:paraId="356EF73F">
            <w:pPr>
              <w:autoSpaceDE w:val="0"/>
              <w:autoSpaceDN w:val="0"/>
              <w:snapToGrid w:val="0"/>
              <w:spacing w:line="360" w:lineRule="auto"/>
              <w:jc w:val="center"/>
              <w:rPr>
                <w:rFonts w:ascii="宋体" w:hAnsi="宋体" w:cs="宋体"/>
                <w:color w:val="auto"/>
                <w:sz w:val="24"/>
                <w:highlight w:val="none"/>
              </w:rPr>
            </w:pPr>
          </w:p>
        </w:tc>
      </w:tr>
      <w:tr w14:paraId="302CF6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24" w:hRule="atLeast"/>
          <w:jc w:val="center"/>
        </w:trPr>
        <w:tc>
          <w:tcPr>
            <w:tcW w:w="2574" w:type="dxa"/>
            <w:tcBorders>
              <w:top w:val="nil"/>
              <w:left w:val="single" w:color="auto" w:sz="4" w:space="0"/>
              <w:bottom w:val="single" w:color="000000" w:sz="4" w:space="0"/>
              <w:right w:val="single" w:color="000000" w:sz="4" w:space="0"/>
            </w:tcBorders>
            <w:vAlign w:val="center"/>
          </w:tcPr>
          <w:p w14:paraId="59148209">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6213" w:type="dxa"/>
            <w:tcBorders>
              <w:top w:val="nil"/>
              <w:left w:val="nil"/>
              <w:bottom w:val="single" w:color="000000" w:sz="4" w:space="0"/>
              <w:right w:val="single" w:color="000000" w:sz="4" w:space="0"/>
            </w:tcBorders>
            <w:vAlign w:val="center"/>
          </w:tcPr>
          <w:p w14:paraId="379AE6E5">
            <w:pPr>
              <w:autoSpaceDE w:val="0"/>
              <w:autoSpaceDN w:val="0"/>
              <w:snapToGrid w:val="0"/>
              <w:spacing w:line="360" w:lineRule="auto"/>
              <w:jc w:val="center"/>
              <w:rPr>
                <w:rFonts w:ascii="宋体" w:hAnsi="宋体" w:cs="宋体"/>
                <w:color w:val="auto"/>
                <w:sz w:val="24"/>
                <w:highlight w:val="none"/>
              </w:rPr>
            </w:pPr>
          </w:p>
        </w:tc>
      </w:tr>
      <w:tr w14:paraId="5390BC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1745" w:hRule="atLeast"/>
          <w:jc w:val="center"/>
        </w:trPr>
        <w:tc>
          <w:tcPr>
            <w:tcW w:w="2574" w:type="dxa"/>
            <w:tcBorders>
              <w:top w:val="nil"/>
              <w:left w:val="single" w:color="auto" w:sz="4" w:space="0"/>
              <w:bottom w:val="single" w:color="000000" w:sz="4" w:space="0"/>
              <w:right w:val="single" w:color="000000" w:sz="4" w:space="0"/>
            </w:tcBorders>
            <w:vAlign w:val="center"/>
          </w:tcPr>
          <w:p w14:paraId="443B1CC9">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项目描述</w:t>
            </w:r>
          </w:p>
        </w:tc>
        <w:tc>
          <w:tcPr>
            <w:tcW w:w="6213" w:type="dxa"/>
            <w:tcBorders>
              <w:top w:val="nil"/>
              <w:left w:val="nil"/>
              <w:bottom w:val="single" w:color="000000" w:sz="4" w:space="0"/>
              <w:right w:val="single" w:color="000000" w:sz="4" w:space="0"/>
            </w:tcBorders>
            <w:vAlign w:val="center"/>
          </w:tcPr>
          <w:p w14:paraId="4326D076">
            <w:pPr>
              <w:autoSpaceDE w:val="0"/>
              <w:autoSpaceDN w:val="0"/>
              <w:snapToGrid w:val="0"/>
              <w:spacing w:line="360" w:lineRule="auto"/>
              <w:jc w:val="center"/>
              <w:rPr>
                <w:rFonts w:ascii="宋体" w:hAnsi="宋体" w:cs="宋体"/>
                <w:color w:val="auto"/>
                <w:sz w:val="24"/>
                <w:highlight w:val="none"/>
              </w:rPr>
            </w:pPr>
          </w:p>
        </w:tc>
      </w:tr>
      <w:tr w14:paraId="3932648B">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2574" w:type="dxa"/>
            <w:tcBorders>
              <w:top w:val="nil"/>
              <w:left w:val="single" w:color="auto" w:sz="4" w:space="0"/>
              <w:bottom w:val="single" w:color="000000" w:sz="4" w:space="0"/>
              <w:right w:val="single" w:color="000000" w:sz="4" w:space="0"/>
            </w:tcBorders>
            <w:vAlign w:val="center"/>
          </w:tcPr>
          <w:p w14:paraId="583988C4">
            <w:pPr>
              <w:autoSpaceDE w:val="0"/>
              <w:autoSpaceDN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c>
          <w:tcPr>
            <w:tcW w:w="6213" w:type="dxa"/>
            <w:tcBorders>
              <w:top w:val="nil"/>
              <w:left w:val="nil"/>
              <w:bottom w:val="single" w:color="000000" w:sz="4" w:space="0"/>
              <w:right w:val="single" w:color="000000" w:sz="4" w:space="0"/>
            </w:tcBorders>
            <w:vAlign w:val="center"/>
          </w:tcPr>
          <w:p w14:paraId="49499797">
            <w:pPr>
              <w:autoSpaceDE w:val="0"/>
              <w:autoSpaceDN w:val="0"/>
              <w:snapToGrid w:val="0"/>
              <w:spacing w:line="360" w:lineRule="auto"/>
              <w:jc w:val="center"/>
              <w:rPr>
                <w:rFonts w:ascii="宋体" w:hAnsi="宋体" w:cs="宋体"/>
                <w:color w:val="auto"/>
                <w:sz w:val="24"/>
                <w:highlight w:val="none"/>
              </w:rPr>
            </w:pPr>
          </w:p>
        </w:tc>
      </w:tr>
    </w:tbl>
    <w:p w14:paraId="04660FE2">
      <w:pPr>
        <w:keepNext w:val="0"/>
        <w:keepLines w:val="0"/>
        <w:pageBreakBefore w:val="0"/>
        <w:widowControl w:val="0"/>
        <w:kinsoku/>
        <w:wordWrap/>
        <w:overflowPunct/>
        <w:topLinePunct w:val="0"/>
        <w:autoSpaceDE/>
        <w:autoSpaceDN/>
        <w:bidi w:val="0"/>
        <w:adjustRightInd/>
        <w:snapToGrid/>
        <w:spacing w:line="720" w:lineRule="auto"/>
        <w:ind w:firstLine="198"/>
        <w:jc w:val="both"/>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pacing w:val="4"/>
          <w:sz w:val="22"/>
          <w:szCs w:val="22"/>
          <w:highlight w:val="none"/>
          <w:lang w:val="en-US" w:eastAsia="zh-CN"/>
        </w:rPr>
        <w:t>注</w:t>
      </w:r>
      <w:r>
        <w:rPr>
          <w:rFonts w:ascii="宋体" w:hAnsi="宋体" w:eastAsia="宋体" w:cs="宋体"/>
          <w:b/>
          <w:bCs/>
          <w:color w:val="auto"/>
          <w:spacing w:val="4"/>
          <w:sz w:val="22"/>
          <w:szCs w:val="22"/>
          <w:highlight w:val="none"/>
        </w:rPr>
        <w:t>：</w:t>
      </w:r>
      <w:r>
        <w:rPr>
          <w:rFonts w:hint="eastAsia" w:ascii="宋体" w:hAnsi="宋体" w:eastAsia="宋体" w:cs="宋体"/>
          <w:b/>
          <w:bCs/>
          <w:color w:val="auto"/>
          <w:spacing w:val="4"/>
          <w:sz w:val="22"/>
          <w:szCs w:val="22"/>
          <w:highlight w:val="none"/>
          <w:lang w:val="en-US" w:eastAsia="zh-CN"/>
        </w:rPr>
        <w:t>一个表格填写1份业绩，表格后附</w:t>
      </w:r>
      <w:r>
        <w:rPr>
          <w:rFonts w:ascii="宋体" w:hAnsi="宋体" w:eastAsia="宋体" w:cs="宋体"/>
          <w:b/>
          <w:bCs/>
          <w:color w:val="auto"/>
          <w:spacing w:val="4"/>
          <w:sz w:val="22"/>
          <w:szCs w:val="22"/>
          <w:highlight w:val="none"/>
        </w:rPr>
        <w:t>合同协议书</w:t>
      </w:r>
      <w:r>
        <w:rPr>
          <w:rFonts w:hint="eastAsia" w:ascii="宋体" w:hAnsi="宋体" w:eastAsia="宋体" w:cs="宋体"/>
          <w:b/>
          <w:bCs/>
          <w:color w:val="auto"/>
          <w:spacing w:val="4"/>
          <w:sz w:val="22"/>
          <w:szCs w:val="22"/>
          <w:highlight w:val="none"/>
          <w:lang w:val="en-US" w:eastAsia="zh-CN"/>
        </w:rPr>
        <w:t>的</w:t>
      </w:r>
      <w:r>
        <w:rPr>
          <w:rFonts w:hint="eastAsia" w:ascii="宋体" w:hAnsi="宋体" w:cs="宋体"/>
          <w:b/>
          <w:bCs/>
          <w:color w:val="auto"/>
          <w:spacing w:val="4"/>
          <w:sz w:val="22"/>
          <w:szCs w:val="22"/>
          <w:highlight w:val="none"/>
          <w:lang w:val="en-US" w:eastAsia="zh-CN"/>
        </w:rPr>
        <w:t>原件扫描件</w:t>
      </w:r>
      <w:r>
        <w:rPr>
          <w:rFonts w:ascii="宋体" w:hAnsi="宋体" w:eastAsia="宋体" w:cs="宋体"/>
          <w:b/>
          <w:bCs/>
          <w:color w:val="auto"/>
          <w:spacing w:val="4"/>
          <w:sz w:val="22"/>
          <w:szCs w:val="22"/>
          <w:highlight w:val="none"/>
        </w:rPr>
        <w:t>。</w:t>
      </w:r>
    </w:p>
    <w:p w14:paraId="1CEFA3D9">
      <w:pPr>
        <w:pageBreakBefore w:val="0"/>
        <w:kinsoku/>
        <w:overflowPunct/>
        <w:topLinePunct w:val="0"/>
        <w:bidi w:val="0"/>
        <w:spacing w:line="440" w:lineRule="exact"/>
        <w:jc w:val="right"/>
        <w:outlineLvl w:val="9"/>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auto"/>
          <w:sz w:val="24"/>
          <w:szCs w:val="24"/>
          <w:highlight w:val="none"/>
          <w:lang w:val="en-US" w:eastAsia="zh-CN"/>
        </w:rPr>
        <w:t>盖单位公章</w:t>
      </w:r>
      <w:r>
        <w:rPr>
          <w:rFonts w:hint="eastAsia" w:ascii="宋体" w:hAnsi="宋体" w:cs="宋体"/>
          <w:color w:val="auto"/>
          <w:sz w:val="24"/>
          <w:highlight w:val="none"/>
        </w:rPr>
        <w:t>）</w:t>
      </w:r>
    </w:p>
    <w:p w14:paraId="311F4314">
      <w:pPr>
        <w:pageBreakBefore w:val="0"/>
        <w:kinsoku/>
        <w:overflowPunct/>
        <w:topLinePunct w:val="0"/>
        <w:bidi w:val="0"/>
        <w:outlineLvl w:val="9"/>
        <w:rPr>
          <w:color w:val="auto"/>
          <w:highlight w:val="none"/>
        </w:rPr>
      </w:pPr>
    </w:p>
    <w:p w14:paraId="67446315">
      <w:pPr>
        <w:pStyle w:val="35"/>
        <w:pageBreakBefore w:val="0"/>
        <w:kinsoku/>
        <w:overflowPunct/>
        <w:topLinePunct w:val="0"/>
        <w:bidi w:val="0"/>
        <w:jc w:val="center"/>
        <w:outlineLvl w:val="9"/>
        <w:rPr>
          <w:color w:val="auto"/>
          <w:highlight w:val="none"/>
        </w:rPr>
      </w:pPr>
      <w:r>
        <w:rPr>
          <w:rFonts w:hint="eastAsia" w:hAnsi="宋体"/>
          <w:bCs/>
          <w:color w:val="auto"/>
          <w:highlight w:val="none"/>
        </w:rPr>
        <w:t xml:space="preserve">               法定代表人</w:t>
      </w:r>
      <w:r>
        <w:rPr>
          <w:rFonts w:hint="eastAsia" w:hAnsi="宋体"/>
          <w:bCs/>
          <w:color w:val="auto"/>
          <w:highlight w:val="none"/>
          <w:lang w:eastAsia="zh-CN"/>
        </w:rPr>
        <w:t>（</w:t>
      </w:r>
      <w:r>
        <w:rPr>
          <w:rFonts w:hint="eastAsia" w:hAnsi="宋体"/>
          <w:bCs/>
          <w:color w:val="auto"/>
          <w:highlight w:val="none"/>
          <w:lang w:val="en-US" w:eastAsia="zh-CN"/>
        </w:rPr>
        <w:t>自然人或者经营者</w:t>
      </w:r>
      <w:r>
        <w:rPr>
          <w:rFonts w:hint="eastAsia" w:hAnsi="宋体"/>
          <w:bCs/>
          <w:color w:val="auto"/>
          <w:highlight w:val="none"/>
          <w:lang w:eastAsia="zh-CN"/>
        </w:rPr>
        <w:t>）</w:t>
      </w:r>
      <w:r>
        <w:rPr>
          <w:rFonts w:hint="eastAsia" w:hAnsi="宋体"/>
          <w:bCs/>
          <w:color w:val="auto"/>
          <w:highlight w:val="none"/>
        </w:rPr>
        <w:t>：</w:t>
      </w:r>
      <w:r>
        <w:rPr>
          <w:rFonts w:hint="eastAsia" w:hAnsi="宋体"/>
          <w:bCs/>
          <w:color w:val="auto"/>
          <w:highlight w:val="none"/>
          <w:u w:val="single"/>
        </w:rPr>
        <w:t xml:space="preserve">                 </w:t>
      </w:r>
      <w:r>
        <w:rPr>
          <w:rFonts w:hint="eastAsia" w:hAnsi="宋体"/>
          <w:bCs/>
          <w:color w:val="auto"/>
          <w:highlight w:val="none"/>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hAnsi="宋体"/>
          <w:bCs/>
          <w:color w:val="auto"/>
          <w:highlight w:val="none"/>
        </w:rPr>
        <w:t>）</w:t>
      </w:r>
    </w:p>
    <w:p w14:paraId="746DE4A2">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宋体" w:hAnsi="宋体" w:eastAsia="宋体" w:cs="宋体"/>
          <w:b/>
          <w:bCs/>
          <w:color w:val="auto"/>
          <w:sz w:val="32"/>
          <w:szCs w:val="32"/>
          <w:highlight w:val="none"/>
          <w:lang w:val="en-US" w:eastAsia="zh-CN"/>
        </w:rPr>
      </w:pPr>
      <w:r>
        <w:rPr>
          <w:rFonts w:hint="eastAsia" w:hAnsi="宋体" w:eastAsia="宋体" w:cs="宋体"/>
          <w:color w:val="auto"/>
          <w:highlight w:val="none"/>
        </w:rPr>
        <w:t xml:space="preserve">   </w:t>
      </w:r>
      <w:r>
        <w:rPr>
          <w:rFonts w:hint="eastAsia" w:hAnsi="宋体" w:eastAsia="宋体" w:cs="宋体"/>
          <w:color w:val="auto"/>
          <w:highlight w:val="none"/>
          <w:lang w:val="en-US" w:eastAsia="zh-CN"/>
        </w:rPr>
        <w:t xml:space="preserve">                                                </w:t>
      </w:r>
      <w:r>
        <w:rPr>
          <w:rFonts w:hint="eastAsia" w:hAnsi="宋体" w:eastAsia="宋体" w:cs="宋体"/>
          <w:color w:val="auto"/>
          <w:highlight w:val="none"/>
        </w:rPr>
        <w:t xml:space="preserve">  </w:t>
      </w:r>
      <w:r>
        <w:rPr>
          <w:rFonts w:hint="eastAsia" w:hAnsi="宋体" w:eastAsia="宋体" w:cs="宋体"/>
          <w:color w:val="auto"/>
          <w:sz w:val="24"/>
          <w:szCs w:val="24"/>
          <w:highlight w:val="none"/>
          <w:u w:val="single"/>
        </w:rPr>
        <w:t xml:space="preserve"> </w:t>
      </w:r>
      <w:r>
        <w:rPr>
          <w:rFonts w:hint="eastAsia" w:hAnsi="宋体" w:eastAsia="宋体" w:cs="宋体"/>
          <w:color w:val="auto"/>
          <w:kern w:val="2"/>
          <w:sz w:val="24"/>
          <w:szCs w:val="24"/>
          <w:highlight w:val="none"/>
          <w:u w:val="single"/>
        </w:rPr>
        <w:t xml:space="preserve">    </w:t>
      </w:r>
      <w:r>
        <w:rPr>
          <w:rFonts w:hint="eastAsia" w:hAnsi="宋体" w:eastAsia="宋体" w:cs="宋体"/>
          <w:color w:val="auto"/>
          <w:kern w:val="2"/>
          <w:sz w:val="24"/>
          <w:szCs w:val="24"/>
          <w:highlight w:val="none"/>
        </w:rPr>
        <w:t>年</w:t>
      </w:r>
      <w:r>
        <w:rPr>
          <w:rFonts w:hint="eastAsia" w:hAnsi="宋体" w:eastAsia="宋体" w:cs="宋体"/>
          <w:color w:val="auto"/>
          <w:kern w:val="2"/>
          <w:sz w:val="24"/>
          <w:szCs w:val="24"/>
          <w:highlight w:val="none"/>
          <w:u w:val="single"/>
        </w:rPr>
        <w:t xml:space="preserve">     </w:t>
      </w:r>
      <w:r>
        <w:rPr>
          <w:rFonts w:hint="eastAsia" w:hAnsi="宋体" w:eastAsia="宋体" w:cs="宋体"/>
          <w:color w:val="auto"/>
          <w:kern w:val="2"/>
          <w:sz w:val="24"/>
          <w:szCs w:val="24"/>
          <w:highlight w:val="none"/>
        </w:rPr>
        <w:t>月</w:t>
      </w:r>
      <w:r>
        <w:rPr>
          <w:rFonts w:hint="eastAsia" w:hAnsi="宋体" w:eastAsia="宋体" w:cs="宋体"/>
          <w:color w:val="auto"/>
          <w:kern w:val="2"/>
          <w:sz w:val="24"/>
          <w:szCs w:val="24"/>
          <w:highlight w:val="none"/>
          <w:u w:val="single"/>
        </w:rPr>
        <w:t xml:space="preserve">     </w:t>
      </w:r>
      <w:r>
        <w:rPr>
          <w:rFonts w:hint="eastAsia" w:hAnsi="宋体" w:eastAsia="宋体" w:cs="宋体"/>
          <w:color w:val="auto"/>
          <w:kern w:val="2"/>
          <w:sz w:val="24"/>
          <w:szCs w:val="24"/>
          <w:highlight w:val="none"/>
        </w:rPr>
        <w:t>日</w:t>
      </w:r>
    </w:p>
    <w:p w14:paraId="3C59A221">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七、服务方案</w:t>
      </w:r>
    </w:p>
    <w:p w14:paraId="575081EF">
      <w:pPr>
        <w:pageBreakBefore w:val="0"/>
        <w:kinsoku/>
        <w:overflowPunct/>
        <w:topLinePunct w:val="0"/>
        <w:autoSpaceDE w:val="0"/>
        <w:autoSpaceDN w:val="0"/>
        <w:bidi w:val="0"/>
        <w:adjustRightInd w:val="0"/>
        <w:spacing w:line="520" w:lineRule="exact"/>
        <w:ind w:right="-20"/>
        <w:jc w:val="center"/>
        <w:outlineLvl w:val="9"/>
        <w:rPr>
          <w:rFonts w:hint="default" w:ascii="宋体" w:hAnsi="宋体" w:eastAsia="宋体" w:cs="宋体"/>
          <w:b/>
          <w:color w:val="auto"/>
          <w:kern w:val="0"/>
          <w:sz w:val="24"/>
          <w:szCs w:val="24"/>
          <w:highlight w:val="none"/>
          <w:lang w:val="en-US" w:eastAsia="zh-CN"/>
        </w:rPr>
      </w:pPr>
      <w:bookmarkStart w:id="545" w:name="_Toc277672354"/>
      <w:bookmarkEnd w:id="545"/>
      <w:bookmarkStart w:id="546" w:name="_Toc5063"/>
      <w:bookmarkEnd w:id="546"/>
      <w:bookmarkStart w:id="547" w:name="_Toc2009"/>
      <w:bookmarkEnd w:id="547"/>
      <w:bookmarkStart w:id="548" w:name="_Toc14303"/>
      <w:bookmarkEnd w:id="548"/>
      <w:bookmarkStart w:id="549" w:name="_Toc2297"/>
      <w:bookmarkEnd w:id="549"/>
      <w:bookmarkStart w:id="550" w:name="_Toc5585"/>
      <w:bookmarkEnd w:id="550"/>
      <w:bookmarkStart w:id="551" w:name="_Toc3446"/>
      <w:bookmarkEnd w:id="551"/>
      <w:bookmarkStart w:id="552" w:name="_Toc12331"/>
      <w:bookmarkEnd w:id="552"/>
      <w:bookmarkStart w:id="553" w:name="_Toc8486"/>
      <w:bookmarkEnd w:id="553"/>
      <w:bookmarkStart w:id="554" w:name="_Toc9985"/>
      <w:bookmarkEnd w:id="554"/>
      <w:bookmarkStart w:id="555" w:name="_Toc111997308"/>
      <w:bookmarkStart w:id="556" w:name="_Toc1701"/>
      <w:bookmarkStart w:id="557" w:name="_Toc23345"/>
      <w:bookmarkStart w:id="558" w:name="_Toc25485"/>
      <w:bookmarkStart w:id="559" w:name="_Toc17011"/>
      <w:bookmarkStart w:id="560" w:name="_Toc20224"/>
      <w:bookmarkStart w:id="561" w:name="_Toc111997550"/>
      <w:bookmarkStart w:id="562" w:name="_Toc2442"/>
      <w:bookmarkStart w:id="563" w:name="_Toc114667949"/>
      <w:bookmarkStart w:id="564" w:name="_Toc14641"/>
      <w:bookmarkStart w:id="565" w:name="_Toc20931"/>
      <w:bookmarkStart w:id="566" w:name="_Toc32286"/>
      <w:r>
        <w:rPr>
          <w:rFonts w:hint="default" w:ascii="宋体" w:hAnsi="宋体" w:eastAsia="宋体" w:cs="宋体"/>
          <w:b/>
          <w:color w:val="auto"/>
          <w:kern w:val="0"/>
          <w:sz w:val="24"/>
          <w:szCs w:val="24"/>
          <w:highlight w:val="none"/>
          <w:lang w:val="en-US" w:eastAsia="zh-CN"/>
        </w:rPr>
        <w:t>（根据本项目采购内容及评审办法</w:t>
      </w:r>
      <w:r>
        <w:rPr>
          <w:rFonts w:hint="eastAsia" w:ascii="宋体" w:hAnsi="宋体" w:eastAsia="宋体" w:cs="宋体"/>
          <w:b/>
          <w:color w:val="auto"/>
          <w:kern w:val="0"/>
          <w:sz w:val="24"/>
          <w:szCs w:val="24"/>
          <w:highlight w:val="none"/>
          <w:lang w:val="en-US" w:eastAsia="zh-CN"/>
        </w:rPr>
        <w:t>技术部分</w:t>
      </w:r>
      <w:r>
        <w:rPr>
          <w:rFonts w:hint="default" w:ascii="宋体" w:hAnsi="宋体" w:eastAsia="宋体" w:cs="宋体"/>
          <w:b/>
          <w:color w:val="auto"/>
          <w:kern w:val="0"/>
          <w:sz w:val="24"/>
          <w:szCs w:val="24"/>
          <w:highlight w:val="none"/>
          <w:lang w:val="en-US" w:eastAsia="zh-CN"/>
        </w:rPr>
        <w:t>编写，格式自拟）</w:t>
      </w:r>
      <w:bookmarkEnd w:id="555"/>
      <w:bookmarkEnd w:id="556"/>
      <w:bookmarkEnd w:id="557"/>
      <w:bookmarkEnd w:id="558"/>
      <w:bookmarkEnd w:id="559"/>
      <w:bookmarkEnd w:id="560"/>
      <w:bookmarkEnd w:id="561"/>
      <w:bookmarkEnd w:id="562"/>
      <w:bookmarkEnd w:id="563"/>
      <w:bookmarkEnd w:id="564"/>
      <w:bookmarkEnd w:id="565"/>
      <w:bookmarkEnd w:id="566"/>
    </w:p>
    <w:p w14:paraId="036430B8">
      <w:pPr>
        <w:pageBreakBefore w:val="0"/>
        <w:kinsoku/>
        <w:overflowPunct/>
        <w:topLinePunct w:val="0"/>
        <w:bidi w:val="0"/>
        <w:spacing w:line="360" w:lineRule="auto"/>
        <w:ind w:firstLine="200"/>
        <w:jc w:val="left"/>
        <w:outlineLvl w:val="9"/>
        <w:rPr>
          <w:rFonts w:hint="eastAsia" w:ascii="宋体" w:hAnsi="宋体" w:eastAsia="宋体" w:cs="宋体"/>
          <w:bCs/>
          <w:color w:val="auto"/>
          <w:kern w:val="0"/>
          <w:sz w:val="24"/>
          <w:szCs w:val="24"/>
          <w:highlight w:val="none"/>
        </w:rPr>
      </w:pPr>
      <w:bookmarkStart w:id="567" w:name="_Toc28422"/>
      <w:bookmarkEnd w:id="567"/>
      <w:bookmarkStart w:id="568" w:name="_Toc479320268"/>
      <w:bookmarkEnd w:id="568"/>
      <w:bookmarkStart w:id="569" w:name="_Toc447665153"/>
      <w:bookmarkEnd w:id="569"/>
    </w:p>
    <w:p w14:paraId="71AC1CD1">
      <w:pPr>
        <w:pageBreakBefore w:val="0"/>
        <w:kinsoku/>
        <w:overflowPunct/>
        <w:topLinePunct w:val="0"/>
        <w:bidi w:val="0"/>
        <w:outlineLvl w:val="9"/>
        <w:rPr>
          <w:rFonts w:hint="eastAsia" w:ascii="宋体" w:hAnsi="宋体" w:eastAsia="宋体" w:cs="宋体"/>
          <w:b/>
          <w:bCs/>
          <w:color w:val="auto"/>
          <w:sz w:val="32"/>
          <w:szCs w:val="32"/>
          <w:highlight w:val="none"/>
        </w:rPr>
      </w:pPr>
      <w:bookmarkStart w:id="570" w:name="_Toc69718847"/>
      <w:bookmarkEnd w:id="570"/>
      <w:bookmarkStart w:id="571" w:name="_Toc24578"/>
      <w:bookmarkStart w:id="572" w:name="_Toc26390"/>
      <w:r>
        <w:rPr>
          <w:rFonts w:hint="eastAsia" w:ascii="宋体" w:hAnsi="宋体" w:eastAsia="宋体" w:cs="宋体"/>
          <w:b/>
          <w:bCs/>
          <w:color w:val="auto"/>
          <w:sz w:val="32"/>
          <w:szCs w:val="32"/>
          <w:highlight w:val="none"/>
        </w:rPr>
        <w:br w:type="page"/>
      </w:r>
    </w:p>
    <w:p w14:paraId="09944D13">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val="en-US" w:eastAsia="zh-CN"/>
        </w:rPr>
      </w:pPr>
      <w:bookmarkStart w:id="573" w:name="_Toc13417"/>
      <w:r>
        <w:rPr>
          <w:rFonts w:hint="eastAsia" w:ascii="宋体" w:hAnsi="宋体" w:eastAsia="宋体" w:cs="宋体"/>
          <w:b/>
          <w:bCs/>
          <w:color w:val="auto"/>
          <w:sz w:val="32"/>
          <w:szCs w:val="32"/>
          <w:highlight w:val="none"/>
          <w:lang w:val="en-US" w:eastAsia="zh-CN"/>
        </w:rPr>
        <w:t>八</w:t>
      </w:r>
      <w:r>
        <w:rPr>
          <w:rFonts w:hint="eastAsia" w:ascii="宋体" w:hAnsi="宋体" w:eastAsia="宋体" w:cs="宋体"/>
          <w:b/>
          <w:bCs/>
          <w:color w:val="auto"/>
          <w:sz w:val="32"/>
          <w:szCs w:val="32"/>
          <w:highlight w:val="none"/>
          <w:lang w:eastAsia="zh-CN"/>
        </w:rPr>
        <w:t>、</w:t>
      </w:r>
      <w:bookmarkEnd w:id="571"/>
      <w:bookmarkEnd w:id="572"/>
      <w:bookmarkEnd w:id="573"/>
      <w:r>
        <w:rPr>
          <w:rFonts w:hint="eastAsia" w:ascii="宋体" w:hAnsi="宋体" w:eastAsia="宋体" w:cs="宋体"/>
          <w:b/>
          <w:bCs/>
          <w:color w:val="auto"/>
          <w:sz w:val="32"/>
          <w:szCs w:val="32"/>
          <w:highlight w:val="none"/>
          <w:lang w:val="en-US" w:eastAsia="zh-CN"/>
        </w:rPr>
        <w:t>人员配备</w:t>
      </w:r>
    </w:p>
    <w:p w14:paraId="44BC0ED3">
      <w:pPr>
        <w:keepNext/>
        <w:keepLines/>
        <w:spacing w:line="360" w:lineRule="auto"/>
        <w:outlineLvl w:val="2"/>
        <w:rPr>
          <w:rFonts w:hint="eastAsia" w:ascii="宋体" w:hAnsi="宋体" w:cs="宋体"/>
          <w:b/>
          <w:color w:val="auto"/>
          <w:sz w:val="24"/>
          <w:highlight w:val="none"/>
        </w:rPr>
      </w:pPr>
    </w:p>
    <w:p w14:paraId="5FCC601D">
      <w:pPr>
        <w:adjustRightInd w:val="0"/>
        <w:snapToGrid w:val="0"/>
        <w:spacing w:line="360" w:lineRule="auto"/>
        <w:jc w:val="center"/>
        <w:rPr>
          <w:rFonts w:ascii="宋体" w:hAnsi="宋体" w:cs="宋体"/>
          <w:b/>
          <w:color w:val="auto"/>
          <w:sz w:val="24"/>
          <w:highlight w:val="none"/>
        </w:rPr>
      </w:pPr>
      <w:r>
        <w:rPr>
          <w:rFonts w:hint="eastAsia" w:ascii="宋体" w:hAnsi="宋体" w:cs="宋体"/>
          <w:b/>
          <w:color w:val="auto"/>
          <w:sz w:val="24"/>
          <w:szCs w:val="22"/>
          <w:highlight w:val="none"/>
          <w:lang w:eastAsia="zh-CN"/>
        </w:rPr>
        <w:t>（一）</w:t>
      </w:r>
      <w:r>
        <w:rPr>
          <w:rFonts w:hint="eastAsia" w:ascii="宋体" w:hAnsi="宋体" w:cs="宋体"/>
          <w:b/>
          <w:color w:val="auto"/>
          <w:sz w:val="24"/>
          <w:szCs w:val="22"/>
          <w:highlight w:val="none"/>
        </w:rPr>
        <w:t>拟投入项目设计人员汇总表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32"/>
        <w:gridCol w:w="760"/>
        <w:gridCol w:w="1331"/>
        <w:gridCol w:w="760"/>
        <w:gridCol w:w="760"/>
        <w:gridCol w:w="1331"/>
        <w:gridCol w:w="1212"/>
        <w:gridCol w:w="1347"/>
      </w:tblGrid>
      <w:tr w14:paraId="50B0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13" w:type="dxa"/>
            <w:tcBorders>
              <w:top w:val="single" w:color="auto" w:sz="4" w:space="0"/>
              <w:left w:val="single" w:color="auto" w:sz="4" w:space="0"/>
              <w:bottom w:val="single" w:color="auto" w:sz="4" w:space="0"/>
              <w:right w:val="single" w:color="auto" w:sz="4" w:space="0"/>
            </w:tcBorders>
            <w:noWrap w:val="0"/>
            <w:vAlign w:val="center"/>
          </w:tcPr>
          <w:p w14:paraId="07F1A5BE">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序号</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4D31AA15">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姓名</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058BB17">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性别</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06FE4DD">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出生日期</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5C3720DA">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学历</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0B83D74">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专业</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4B21627">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技术职称</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B0E4013">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在本项目</w:t>
            </w:r>
          </w:p>
          <w:p w14:paraId="0234DC61">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拟任职务</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4D433902">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主要代表</w:t>
            </w:r>
          </w:p>
          <w:p w14:paraId="60FFF3C1">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项目</w:t>
            </w:r>
          </w:p>
        </w:tc>
      </w:tr>
      <w:tr w14:paraId="73EA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13" w:type="dxa"/>
            <w:tcBorders>
              <w:top w:val="single" w:color="auto" w:sz="4" w:space="0"/>
              <w:left w:val="single" w:color="auto" w:sz="4" w:space="0"/>
              <w:bottom w:val="single" w:color="auto" w:sz="4" w:space="0"/>
              <w:right w:val="single" w:color="auto" w:sz="4" w:space="0"/>
            </w:tcBorders>
            <w:noWrap w:val="0"/>
            <w:vAlign w:val="center"/>
          </w:tcPr>
          <w:p w14:paraId="075CE8D1">
            <w:pPr>
              <w:adjustRightInd w:val="0"/>
              <w:snapToGrid w:val="0"/>
              <w:spacing w:line="360" w:lineRule="auto"/>
              <w:jc w:val="center"/>
              <w:rPr>
                <w:rFonts w:ascii="宋体" w:hAnsi="宋体" w:cs="宋体"/>
                <w:color w:val="auto"/>
                <w:sz w:val="24"/>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396232ED">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2B2776DF">
            <w:pPr>
              <w:adjustRightInd w:val="0"/>
              <w:snapToGrid w:val="0"/>
              <w:spacing w:line="360" w:lineRule="auto"/>
              <w:jc w:val="center"/>
              <w:rPr>
                <w:rFonts w:ascii="宋体" w:hAnsi="宋体" w:cs="宋体"/>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3A96BC1">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0C1F8FB4">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7C2D8822">
            <w:pPr>
              <w:adjustRightInd w:val="0"/>
              <w:snapToGrid w:val="0"/>
              <w:spacing w:line="360" w:lineRule="auto"/>
              <w:jc w:val="center"/>
              <w:rPr>
                <w:rFonts w:ascii="宋体" w:hAnsi="宋体" w:cs="宋体"/>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835F98B">
            <w:pPr>
              <w:adjustRightInd w:val="0"/>
              <w:snapToGrid w:val="0"/>
              <w:spacing w:line="360" w:lineRule="auto"/>
              <w:jc w:val="center"/>
              <w:rPr>
                <w:rFonts w:ascii="宋体" w:hAnsi="宋体" w:cs="宋体"/>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3A03795">
            <w:pPr>
              <w:adjustRightInd w:val="0"/>
              <w:snapToGrid w:val="0"/>
              <w:spacing w:line="360" w:lineRule="auto"/>
              <w:jc w:val="center"/>
              <w:rPr>
                <w:rFonts w:ascii="宋体" w:hAnsi="宋体" w:cs="宋体"/>
                <w:color w:val="auto"/>
                <w:sz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BD20122">
            <w:pPr>
              <w:adjustRightInd w:val="0"/>
              <w:snapToGrid w:val="0"/>
              <w:spacing w:line="360" w:lineRule="auto"/>
              <w:jc w:val="center"/>
              <w:rPr>
                <w:rFonts w:ascii="宋体" w:hAnsi="宋体" w:cs="宋体"/>
                <w:color w:val="auto"/>
                <w:sz w:val="24"/>
                <w:highlight w:val="none"/>
              </w:rPr>
            </w:pPr>
          </w:p>
        </w:tc>
      </w:tr>
      <w:tr w14:paraId="2CA8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13" w:type="dxa"/>
            <w:tcBorders>
              <w:top w:val="single" w:color="auto" w:sz="4" w:space="0"/>
              <w:left w:val="single" w:color="auto" w:sz="4" w:space="0"/>
              <w:bottom w:val="single" w:color="auto" w:sz="4" w:space="0"/>
              <w:right w:val="single" w:color="auto" w:sz="4" w:space="0"/>
            </w:tcBorders>
            <w:noWrap w:val="0"/>
            <w:vAlign w:val="center"/>
          </w:tcPr>
          <w:p w14:paraId="7798A139">
            <w:pPr>
              <w:adjustRightInd w:val="0"/>
              <w:snapToGrid w:val="0"/>
              <w:spacing w:line="360" w:lineRule="auto"/>
              <w:jc w:val="center"/>
              <w:rPr>
                <w:rFonts w:ascii="宋体" w:hAnsi="宋体" w:cs="宋体"/>
                <w:color w:val="auto"/>
                <w:sz w:val="24"/>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2C7D0B6F">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673E5949">
            <w:pPr>
              <w:adjustRightInd w:val="0"/>
              <w:snapToGrid w:val="0"/>
              <w:spacing w:line="360" w:lineRule="auto"/>
              <w:jc w:val="center"/>
              <w:rPr>
                <w:rFonts w:ascii="宋体" w:hAnsi="宋体" w:cs="宋体"/>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F9E3039">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65B65306">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090AADC3">
            <w:pPr>
              <w:adjustRightInd w:val="0"/>
              <w:snapToGrid w:val="0"/>
              <w:spacing w:line="360" w:lineRule="auto"/>
              <w:jc w:val="center"/>
              <w:rPr>
                <w:rFonts w:ascii="宋体" w:hAnsi="宋体" w:cs="宋体"/>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8593DFA">
            <w:pPr>
              <w:adjustRightInd w:val="0"/>
              <w:snapToGrid w:val="0"/>
              <w:spacing w:line="360" w:lineRule="auto"/>
              <w:jc w:val="center"/>
              <w:rPr>
                <w:rFonts w:ascii="宋体" w:hAnsi="宋体" w:cs="宋体"/>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6F34554">
            <w:pPr>
              <w:adjustRightInd w:val="0"/>
              <w:snapToGrid w:val="0"/>
              <w:spacing w:line="360" w:lineRule="auto"/>
              <w:jc w:val="center"/>
              <w:rPr>
                <w:rFonts w:ascii="宋体" w:hAnsi="宋体" w:cs="宋体"/>
                <w:color w:val="auto"/>
                <w:sz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1C4A85C3">
            <w:pPr>
              <w:adjustRightInd w:val="0"/>
              <w:snapToGrid w:val="0"/>
              <w:spacing w:line="360" w:lineRule="auto"/>
              <w:jc w:val="center"/>
              <w:rPr>
                <w:rFonts w:ascii="宋体" w:hAnsi="宋体" w:cs="宋体"/>
                <w:color w:val="auto"/>
                <w:sz w:val="24"/>
                <w:highlight w:val="none"/>
              </w:rPr>
            </w:pPr>
          </w:p>
        </w:tc>
      </w:tr>
      <w:tr w14:paraId="30B1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13" w:type="dxa"/>
            <w:tcBorders>
              <w:top w:val="single" w:color="auto" w:sz="4" w:space="0"/>
              <w:left w:val="single" w:color="auto" w:sz="4" w:space="0"/>
              <w:bottom w:val="single" w:color="auto" w:sz="4" w:space="0"/>
              <w:right w:val="single" w:color="auto" w:sz="4" w:space="0"/>
            </w:tcBorders>
            <w:noWrap w:val="0"/>
            <w:vAlign w:val="center"/>
          </w:tcPr>
          <w:p w14:paraId="647B1433">
            <w:pPr>
              <w:adjustRightInd w:val="0"/>
              <w:snapToGrid w:val="0"/>
              <w:spacing w:line="360" w:lineRule="auto"/>
              <w:jc w:val="center"/>
              <w:rPr>
                <w:rFonts w:ascii="宋体" w:hAnsi="宋体" w:cs="宋体"/>
                <w:color w:val="auto"/>
                <w:sz w:val="24"/>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09B7E804">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4C81CD1E">
            <w:pPr>
              <w:adjustRightInd w:val="0"/>
              <w:snapToGrid w:val="0"/>
              <w:spacing w:line="360" w:lineRule="auto"/>
              <w:jc w:val="center"/>
              <w:rPr>
                <w:rFonts w:ascii="宋体" w:hAnsi="宋体" w:cs="宋体"/>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B8033D0">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5B88D487">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4A98ECC0">
            <w:pPr>
              <w:adjustRightInd w:val="0"/>
              <w:snapToGrid w:val="0"/>
              <w:spacing w:line="360" w:lineRule="auto"/>
              <w:jc w:val="center"/>
              <w:rPr>
                <w:rFonts w:ascii="宋体" w:hAnsi="宋体" w:cs="宋体"/>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152DE74">
            <w:pPr>
              <w:adjustRightInd w:val="0"/>
              <w:snapToGrid w:val="0"/>
              <w:spacing w:line="360" w:lineRule="auto"/>
              <w:jc w:val="center"/>
              <w:rPr>
                <w:rFonts w:ascii="宋体" w:hAnsi="宋体" w:cs="宋体"/>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5200318">
            <w:pPr>
              <w:adjustRightInd w:val="0"/>
              <w:snapToGrid w:val="0"/>
              <w:spacing w:line="360" w:lineRule="auto"/>
              <w:jc w:val="center"/>
              <w:rPr>
                <w:rFonts w:ascii="宋体" w:hAnsi="宋体" w:cs="宋体"/>
                <w:color w:val="auto"/>
                <w:sz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0B714CC7">
            <w:pPr>
              <w:adjustRightInd w:val="0"/>
              <w:snapToGrid w:val="0"/>
              <w:spacing w:line="360" w:lineRule="auto"/>
              <w:jc w:val="center"/>
              <w:rPr>
                <w:rFonts w:ascii="宋体" w:hAnsi="宋体" w:cs="宋体"/>
                <w:color w:val="auto"/>
                <w:sz w:val="24"/>
                <w:highlight w:val="none"/>
              </w:rPr>
            </w:pPr>
          </w:p>
        </w:tc>
      </w:tr>
      <w:tr w14:paraId="423E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13" w:type="dxa"/>
            <w:tcBorders>
              <w:top w:val="single" w:color="auto" w:sz="4" w:space="0"/>
              <w:left w:val="single" w:color="auto" w:sz="4" w:space="0"/>
              <w:bottom w:val="single" w:color="auto" w:sz="4" w:space="0"/>
              <w:right w:val="single" w:color="auto" w:sz="4" w:space="0"/>
            </w:tcBorders>
            <w:noWrap w:val="0"/>
            <w:vAlign w:val="center"/>
          </w:tcPr>
          <w:p w14:paraId="0F166FF9">
            <w:pPr>
              <w:adjustRightInd w:val="0"/>
              <w:snapToGrid w:val="0"/>
              <w:spacing w:line="360" w:lineRule="auto"/>
              <w:jc w:val="center"/>
              <w:rPr>
                <w:rFonts w:ascii="宋体" w:hAnsi="宋体" w:cs="宋体"/>
                <w:color w:val="auto"/>
                <w:sz w:val="24"/>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4BFE6813">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09076D6E">
            <w:pPr>
              <w:adjustRightInd w:val="0"/>
              <w:snapToGrid w:val="0"/>
              <w:spacing w:line="360" w:lineRule="auto"/>
              <w:jc w:val="center"/>
              <w:rPr>
                <w:rFonts w:ascii="宋体" w:hAnsi="宋体" w:cs="宋体"/>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7FABA98">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22D8905A">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3D9CF069">
            <w:pPr>
              <w:adjustRightInd w:val="0"/>
              <w:snapToGrid w:val="0"/>
              <w:spacing w:line="360" w:lineRule="auto"/>
              <w:jc w:val="center"/>
              <w:rPr>
                <w:rFonts w:ascii="宋体" w:hAnsi="宋体" w:cs="宋体"/>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63B3D51">
            <w:pPr>
              <w:adjustRightInd w:val="0"/>
              <w:snapToGrid w:val="0"/>
              <w:spacing w:line="360" w:lineRule="auto"/>
              <w:jc w:val="center"/>
              <w:rPr>
                <w:rFonts w:ascii="宋体" w:hAnsi="宋体" w:cs="宋体"/>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A580EB0">
            <w:pPr>
              <w:adjustRightInd w:val="0"/>
              <w:snapToGrid w:val="0"/>
              <w:spacing w:line="360" w:lineRule="auto"/>
              <w:jc w:val="center"/>
              <w:rPr>
                <w:rFonts w:ascii="宋体" w:hAnsi="宋体" w:cs="宋体"/>
                <w:color w:val="auto"/>
                <w:sz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6FAD306B">
            <w:pPr>
              <w:adjustRightInd w:val="0"/>
              <w:snapToGrid w:val="0"/>
              <w:spacing w:line="360" w:lineRule="auto"/>
              <w:jc w:val="center"/>
              <w:rPr>
                <w:rFonts w:ascii="宋体" w:hAnsi="宋体" w:cs="宋体"/>
                <w:color w:val="auto"/>
                <w:sz w:val="24"/>
                <w:highlight w:val="none"/>
              </w:rPr>
            </w:pPr>
          </w:p>
        </w:tc>
      </w:tr>
      <w:tr w14:paraId="60C1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13" w:type="dxa"/>
            <w:tcBorders>
              <w:top w:val="single" w:color="auto" w:sz="4" w:space="0"/>
              <w:left w:val="single" w:color="auto" w:sz="4" w:space="0"/>
              <w:bottom w:val="single" w:color="auto" w:sz="4" w:space="0"/>
              <w:right w:val="single" w:color="auto" w:sz="4" w:space="0"/>
            </w:tcBorders>
            <w:noWrap w:val="0"/>
            <w:vAlign w:val="center"/>
          </w:tcPr>
          <w:p w14:paraId="212B2062">
            <w:pPr>
              <w:adjustRightInd w:val="0"/>
              <w:snapToGrid w:val="0"/>
              <w:spacing w:line="360" w:lineRule="auto"/>
              <w:jc w:val="center"/>
              <w:rPr>
                <w:rFonts w:ascii="宋体" w:hAnsi="宋体" w:cs="宋体"/>
                <w:color w:val="auto"/>
                <w:sz w:val="24"/>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32D77C18">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5F87202F">
            <w:pPr>
              <w:adjustRightInd w:val="0"/>
              <w:snapToGrid w:val="0"/>
              <w:spacing w:line="360" w:lineRule="auto"/>
              <w:jc w:val="center"/>
              <w:rPr>
                <w:rFonts w:ascii="宋体" w:hAnsi="宋体" w:cs="宋体"/>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9C0D7FC">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604F3F28">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395BE9AC">
            <w:pPr>
              <w:adjustRightInd w:val="0"/>
              <w:snapToGrid w:val="0"/>
              <w:spacing w:line="360" w:lineRule="auto"/>
              <w:jc w:val="center"/>
              <w:rPr>
                <w:rFonts w:ascii="宋体" w:hAnsi="宋体" w:cs="宋体"/>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CB30949">
            <w:pPr>
              <w:adjustRightInd w:val="0"/>
              <w:snapToGrid w:val="0"/>
              <w:spacing w:line="360" w:lineRule="auto"/>
              <w:jc w:val="center"/>
              <w:rPr>
                <w:rFonts w:ascii="宋体" w:hAnsi="宋体" w:cs="宋体"/>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421FE31">
            <w:pPr>
              <w:adjustRightInd w:val="0"/>
              <w:snapToGrid w:val="0"/>
              <w:spacing w:line="360" w:lineRule="auto"/>
              <w:jc w:val="center"/>
              <w:rPr>
                <w:rFonts w:ascii="宋体" w:hAnsi="宋体" w:cs="宋体"/>
                <w:color w:val="auto"/>
                <w:sz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FBA52BD">
            <w:pPr>
              <w:adjustRightInd w:val="0"/>
              <w:snapToGrid w:val="0"/>
              <w:spacing w:line="360" w:lineRule="auto"/>
              <w:jc w:val="center"/>
              <w:rPr>
                <w:rFonts w:ascii="宋体" w:hAnsi="宋体" w:cs="宋体"/>
                <w:color w:val="auto"/>
                <w:sz w:val="24"/>
                <w:highlight w:val="none"/>
              </w:rPr>
            </w:pPr>
          </w:p>
        </w:tc>
      </w:tr>
      <w:tr w14:paraId="5291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13" w:type="dxa"/>
            <w:tcBorders>
              <w:top w:val="single" w:color="auto" w:sz="4" w:space="0"/>
              <w:left w:val="single" w:color="auto" w:sz="4" w:space="0"/>
              <w:bottom w:val="single" w:color="auto" w:sz="4" w:space="0"/>
              <w:right w:val="single" w:color="auto" w:sz="4" w:space="0"/>
            </w:tcBorders>
            <w:noWrap w:val="0"/>
            <w:vAlign w:val="center"/>
          </w:tcPr>
          <w:p w14:paraId="741B7F08">
            <w:pPr>
              <w:adjustRightInd w:val="0"/>
              <w:snapToGrid w:val="0"/>
              <w:spacing w:line="360" w:lineRule="auto"/>
              <w:jc w:val="center"/>
              <w:rPr>
                <w:rFonts w:ascii="宋体" w:hAnsi="宋体" w:cs="宋体"/>
                <w:color w:val="auto"/>
                <w:sz w:val="24"/>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7501F8E7">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79BA7238">
            <w:pPr>
              <w:adjustRightInd w:val="0"/>
              <w:snapToGrid w:val="0"/>
              <w:spacing w:line="360" w:lineRule="auto"/>
              <w:jc w:val="center"/>
              <w:rPr>
                <w:rFonts w:ascii="宋体" w:hAnsi="宋体" w:cs="宋体"/>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BD3D625">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58A1C46D">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362F019E">
            <w:pPr>
              <w:adjustRightInd w:val="0"/>
              <w:snapToGrid w:val="0"/>
              <w:spacing w:line="360" w:lineRule="auto"/>
              <w:jc w:val="center"/>
              <w:rPr>
                <w:rFonts w:ascii="宋体" w:hAnsi="宋体" w:cs="宋体"/>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5BE86BC">
            <w:pPr>
              <w:adjustRightInd w:val="0"/>
              <w:snapToGrid w:val="0"/>
              <w:spacing w:line="360" w:lineRule="auto"/>
              <w:jc w:val="center"/>
              <w:rPr>
                <w:rFonts w:ascii="宋体" w:hAnsi="宋体" w:cs="宋体"/>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EF2E4AC">
            <w:pPr>
              <w:adjustRightInd w:val="0"/>
              <w:snapToGrid w:val="0"/>
              <w:spacing w:line="360" w:lineRule="auto"/>
              <w:jc w:val="center"/>
              <w:rPr>
                <w:rFonts w:ascii="宋体" w:hAnsi="宋体" w:cs="宋体"/>
                <w:color w:val="auto"/>
                <w:sz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580A79BD">
            <w:pPr>
              <w:adjustRightInd w:val="0"/>
              <w:snapToGrid w:val="0"/>
              <w:spacing w:line="360" w:lineRule="auto"/>
              <w:jc w:val="center"/>
              <w:rPr>
                <w:rFonts w:ascii="宋体" w:hAnsi="宋体" w:cs="宋体"/>
                <w:color w:val="auto"/>
                <w:sz w:val="24"/>
                <w:highlight w:val="none"/>
              </w:rPr>
            </w:pPr>
          </w:p>
        </w:tc>
      </w:tr>
      <w:tr w14:paraId="0835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13" w:type="dxa"/>
            <w:tcBorders>
              <w:top w:val="single" w:color="auto" w:sz="4" w:space="0"/>
              <w:left w:val="single" w:color="auto" w:sz="4" w:space="0"/>
              <w:bottom w:val="single" w:color="auto" w:sz="4" w:space="0"/>
              <w:right w:val="single" w:color="auto" w:sz="4" w:space="0"/>
            </w:tcBorders>
            <w:noWrap w:val="0"/>
            <w:vAlign w:val="center"/>
          </w:tcPr>
          <w:p w14:paraId="008726E5">
            <w:pPr>
              <w:adjustRightInd w:val="0"/>
              <w:snapToGrid w:val="0"/>
              <w:spacing w:line="360" w:lineRule="auto"/>
              <w:jc w:val="center"/>
              <w:rPr>
                <w:rFonts w:ascii="宋体" w:hAnsi="宋体" w:cs="宋体"/>
                <w:color w:val="auto"/>
                <w:sz w:val="24"/>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6021D83A">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24CC0D5B">
            <w:pPr>
              <w:adjustRightInd w:val="0"/>
              <w:snapToGrid w:val="0"/>
              <w:spacing w:line="360" w:lineRule="auto"/>
              <w:jc w:val="center"/>
              <w:rPr>
                <w:rFonts w:ascii="宋体" w:hAnsi="宋体" w:cs="宋体"/>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8E79085">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07CC470E">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0D36C318">
            <w:pPr>
              <w:adjustRightInd w:val="0"/>
              <w:snapToGrid w:val="0"/>
              <w:spacing w:line="360" w:lineRule="auto"/>
              <w:jc w:val="center"/>
              <w:rPr>
                <w:rFonts w:ascii="宋体" w:hAnsi="宋体" w:cs="宋体"/>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1AD8C11F">
            <w:pPr>
              <w:adjustRightInd w:val="0"/>
              <w:snapToGrid w:val="0"/>
              <w:spacing w:line="360" w:lineRule="auto"/>
              <w:jc w:val="center"/>
              <w:rPr>
                <w:rFonts w:ascii="宋体" w:hAnsi="宋体" w:cs="宋体"/>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AC0EE6B">
            <w:pPr>
              <w:adjustRightInd w:val="0"/>
              <w:snapToGrid w:val="0"/>
              <w:spacing w:line="360" w:lineRule="auto"/>
              <w:jc w:val="center"/>
              <w:rPr>
                <w:rFonts w:ascii="宋体" w:hAnsi="宋体" w:cs="宋体"/>
                <w:color w:val="auto"/>
                <w:sz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16A99EDE">
            <w:pPr>
              <w:adjustRightInd w:val="0"/>
              <w:snapToGrid w:val="0"/>
              <w:spacing w:line="360" w:lineRule="auto"/>
              <w:jc w:val="center"/>
              <w:rPr>
                <w:rFonts w:ascii="宋体" w:hAnsi="宋体" w:cs="宋体"/>
                <w:color w:val="auto"/>
                <w:sz w:val="24"/>
                <w:highlight w:val="none"/>
              </w:rPr>
            </w:pPr>
          </w:p>
        </w:tc>
      </w:tr>
      <w:tr w14:paraId="16FA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13" w:type="dxa"/>
            <w:tcBorders>
              <w:top w:val="single" w:color="auto" w:sz="4" w:space="0"/>
              <w:left w:val="single" w:color="auto" w:sz="4" w:space="0"/>
              <w:bottom w:val="single" w:color="auto" w:sz="4" w:space="0"/>
              <w:right w:val="single" w:color="auto" w:sz="4" w:space="0"/>
            </w:tcBorders>
            <w:noWrap w:val="0"/>
            <w:vAlign w:val="center"/>
          </w:tcPr>
          <w:p w14:paraId="32B81C46">
            <w:pPr>
              <w:adjustRightInd w:val="0"/>
              <w:snapToGrid w:val="0"/>
              <w:spacing w:line="360" w:lineRule="auto"/>
              <w:jc w:val="center"/>
              <w:rPr>
                <w:rFonts w:ascii="宋体" w:hAnsi="宋体" w:cs="宋体"/>
                <w:color w:val="auto"/>
                <w:sz w:val="24"/>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386C7918">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0F4C4E86">
            <w:pPr>
              <w:adjustRightInd w:val="0"/>
              <w:snapToGrid w:val="0"/>
              <w:spacing w:line="360" w:lineRule="auto"/>
              <w:jc w:val="center"/>
              <w:rPr>
                <w:rFonts w:ascii="宋体" w:hAnsi="宋体" w:cs="宋体"/>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EA4EE7E">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5EAE2078">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271B003C">
            <w:pPr>
              <w:adjustRightInd w:val="0"/>
              <w:snapToGrid w:val="0"/>
              <w:spacing w:line="360" w:lineRule="auto"/>
              <w:jc w:val="center"/>
              <w:rPr>
                <w:rFonts w:ascii="宋体" w:hAnsi="宋体" w:cs="宋体"/>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82B8D13">
            <w:pPr>
              <w:adjustRightInd w:val="0"/>
              <w:snapToGrid w:val="0"/>
              <w:spacing w:line="360" w:lineRule="auto"/>
              <w:jc w:val="center"/>
              <w:rPr>
                <w:rFonts w:ascii="宋体" w:hAnsi="宋体" w:cs="宋体"/>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D53DBCA">
            <w:pPr>
              <w:adjustRightInd w:val="0"/>
              <w:snapToGrid w:val="0"/>
              <w:spacing w:line="360" w:lineRule="auto"/>
              <w:jc w:val="center"/>
              <w:rPr>
                <w:rFonts w:ascii="宋体" w:hAnsi="宋体" w:cs="宋体"/>
                <w:color w:val="auto"/>
                <w:sz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783D4A38">
            <w:pPr>
              <w:adjustRightInd w:val="0"/>
              <w:snapToGrid w:val="0"/>
              <w:spacing w:line="360" w:lineRule="auto"/>
              <w:jc w:val="center"/>
              <w:rPr>
                <w:rFonts w:ascii="宋体" w:hAnsi="宋体" w:cs="宋体"/>
                <w:color w:val="auto"/>
                <w:sz w:val="24"/>
                <w:highlight w:val="none"/>
              </w:rPr>
            </w:pPr>
          </w:p>
        </w:tc>
      </w:tr>
      <w:tr w14:paraId="7DAC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13" w:type="dxa"/>
            <w:tcBorders>
              <w:top w:val="single" w:color="auto" w:sz="4" w:space="0"/>
              <w:left w:val="single" w:color="auto" w:sz="4" w:space="0"/>
              <w:bottom w:val="single" w:color="auto" w:sz="4" w:space="0"/>
              <w:right w:val="single" w:color="auto" w:sz="4" w:space="0"/>
            </w:tcBorders>
            <w:noWrap w:val="0"/>
            <w:vAlign w:val="center"/>
          </w:tcPr>
          <w:p w14:paraId="777F143E">
            <w:pPr>
              <w:adjustRightInd w:val="0"/>
              <w:snapToGrid w:val="0"/>
              <w:spacing w:line="360" w:lineRule="auto"/>
              <w:jc w:val="center"/>
              <w:rPr>
                <w:rFonts w:ascii="宋体" w:hAnsi="宋体" w:cs="宋体"/>
                <w:color w:val="auto"/>
                <w:sz w:val="24"/>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1CEFBC2C">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6F933191">
            <w:pPr>
              <w:adjustRightInd w:val="0"/>
              <w:snapToGrid w:val="0"/>
              <w:spacing w:line="360" w:lineRule="auto"/>
              <w:jc w:val="center"/>
              <w:rPr>
                <w:rFonts w:ascii="宋体" w:hAnsi="宋体" w:cs="宋体"/>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1580D01">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7BF36D5D">
            <w:pPr>
              <w:adjustRightInd w:val="0"/>
              <w:snapToGrid w:val="0"/>
              <w:spacing w:line="360" w:lineRule="auto"/>
              <w:jc w:val="center"/>
              <w:rPr>
                <w:rFonts w:ascii="宋体" w:hAnsi="宋体" w:cs="宋体"/>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173DC3F7">
            <w:pPr>
              <w:adjustRightInd w:val="0"/>
              <w:snapToGrid w:val="0"/>
              <w:spacing w:line="360" w:lineRule="auto"/>
              <w:jc w:val="center"/>
              <w:rPr>
                <w:rFonts w:ascii="宋体" w:hAnsi="宋体" w:cs="宋体"/>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BD0DCB4">
            <w:pPr>
              <w:adjustRightInd w:val="0"/>
              <w:snapToGrid w:val="0"/>
              <w:spacing w:line="360" w:lineRule="auto"/>
              <w:jc w:val="center"/>
              <w:rPr>
                <w:rFonts w:ascii="宋体" w:hAnsi="宋体" w:cs="宋体"/>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48906A2">
            <w:pPr>
              <w:adjustRightInd w:val="0"/>
              <w:snapToGrid w:val="0"/>
              <w:spacing w:line="360" w:lineRule="auto"/>
              <w:jc w:val="center"/>
              <w:rPr>
                <w:rFonts w:ascii="宋体" w:hAnsi="宋体" w:cs="宋体"/>
                <w:color w:val="auto"/>
                <w:sz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4BB37F17">
            <w:pPr>
              <w:adjustRightInd w:val="0"/>
              <w:snapToGrid w:val="0"/>
              <w:spacing w:line="360" w:lineRule="auto"/>
              <w:jc w:val="center"/>
              <w:rPr>
                <w:rFonts w:ascii="宋体" w:hAnsi="宋体" w:cs="宋体"/>
                <w:color w:val="auto"/>
                <w:sz w:val="24"/>
                <w:highlight w:val="none"/>
              </w:rPr>
            </w:pPr>
          </w:p>
        </w:tc>
      </w:tr>
    </w:tbl>
    <w:p w14:paraId="59D29D73">
      <w:pPr>
        <w:autoSpaceDE w:val="0"/>
        <w:autoSpaceDN w:val="0"/>
        <w:adjustRightInd w:val="0"/>
        <w:snapToGrid w:val="0"/>
        <w:spacing w:line="360" w:lineRule="auto"/>
        <w:rPr>
          <w:rFonts w:hint="eastAsia" w:ascii="宋体" w:hAnsi="宋体" w:cs="宋体"/>
          <w:color w:val="auto"/>
          <w:kern w:val="0"/>
          <w:sz w:val="24"/>
          <w:szCs w:val="22"/>
          <w:highlight w:val="none"/>
        </w:rPr>
      </w:pPr>
    </w:p>
    <w:p w14:paraId="662608CC">
      <w:pPr>
        <w:pageBreakBefore w:val="0"/>
        <w:kinsoku/>
        <w:overflowPunct/>
        <w:topLinePunct w:val="0"/>
        <w:bidi w:val="0"/>
        <w:spacing w:line="440" w:lineRule="exact"/>
        <w:jc w:val="right"/>
        <w:outlineLvl w:val="9"/>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auto"/>
          <w:sz w:val="24"/>
          <w:szCs w:val="24"/>
          <w:highlight w:val="none"/>
          <w:lang w:val="en-US" w:eastAsia="zh-CN"/>
        </w:rPr>
        <w:t>盖单位公章</w:t>
      </w:r>
      <w:r>
        <w:rPr>
          <w:rFonts w:hint="eastAsia" w:ascii="宋体" w:hAnsi="宋体" w:cs="宋体"/>
          <w:color w:val="auto"/>
          <w:sz w:val="24"/>
          <w:highlight w:val="none"/>
        </w:rPr>
        <w:t>）</w:t>
      </w:r>
    </w:p>
    <w:p w14:paraId="1E8A4613">
      <w:pPr>
        <w:pageBreakBefore w:val="0"/>
        <w:kinsoku/>
        <w:overflowPunct/>
        <w:topLinePunct w:val="0"/>
        <w:bidi w:val="0"/>
        <w:outlineLvl w:val="9"/>
        <w:rPr>
          <w:color w:val="auto"/>
          <w:highlight w:val="none"/>
        </w:rPr>
      </w:pPr>
    </w:p>
    <w:p w14:paraId="68CBF385">
      <w:pPr>
        <w:pStyle w:val="35"/>
        <w:pageBreakBefore w:val="0"/>
        <w:kinsoku/>
        <w:overflowPunct/>
        <w:topLinePunct w:val="0"/>
        <w:bidi w:val="0"/>
        <w:jc w:val="center"/>
        <w:outlineLvl w:val="9"/>
        <w:rPr>
          <w:color w:val="auto"/>
          <w:highlight w:val="none"/>
        </w:rPr>
      </w:pPr>
      <w:r>
        <w:rPr>
          <w:rFonts w:hint="eastAsia" w:hAnsi="宋体"/>
          <w:bCs/>
          <w:color w:val="auto"/>
          <w:highlight w:val="none"/>
        </w:rPr>
        <w:t xml:space="preserve">               法定代表人</w:t>
      </w:r>
      <w:r>
        <w:rPr>
          <w:rFonts w:hint="eastAsia" w:hAnsi="宋体"/>
          <w:bCs/>
          <w:color w:val="auto"/>
          <w:highlight w:val="none"/>
          <w:lang w:eastAsia="zh-CN"/>
        </w:rPr>
        <w:t>（</w:t>
      </w:r>
      <w:r>
        <w:rPr>
          <w:rFonts w:hint="eastAsia" w:hAnsi="宋体"/>
          <w:bCs/>
          <w:color w:val="auto"/>
          <w:highlight w:val="none"/>
          <w:lang w:val="en-US" w:eastAsia="zh-CN"/>
        </w:rPr>
        <w:t>自然人或者经营者</w:t>
      </w:r>
      <w:r>
        <w:rPr>
          <w:rFonts w:hint="eastAsia" w:hAnsi="宋体"/>
          <w:bCs/>
          <w:color w:val="auto"/>
          <w:highlight w:val="none"/>
          <w:lang w:eastAsia="zh-CN"/>
        </w:rPr>
        <w:t>）</w:t>
      </w:r>
      <w:r>
        <w:rPr>
          <w:rFonts w:hint="eastAsia" w:hAnsi="宋体"/>
          <w:bCs/>
          <w:color w:val="auto"/>
          <w:highlight w:val="none"/>
        </w:rPr>
        <w:t>：</w:t>
      </w:r>
      <w:r>
        <w:rPr>
          <w:rFonts w:hint="eastAsia" w:hAnsi="宋体"/>
          <w:bCs/>
          <w:color w:val="auto"/>
          <w:highlight w:val="none"/>
          <w:u w:val="single"/>
        </w:rPr>
        <w:t xml:space="preserve">                 </w:t>
      </w:r>
      <w:r>
        <w:rPr>
          <w:rFonts w:hint="eastAsia" w:hAnsi="宋体"/>
          <w:bCs/>
          <w:color w:val="auto"/>
          <w:highlight w:val="none"/>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hAnsi="宋体"/>
          <w:bCs/>
          <w:color w:val="auto"/>
          <w:highlight w:val="none"/>
        </w:rPr>
        <w:t>）</w:t>
      </w:r>
    </w:p>
    <w:p w14:paraId="4BF2B2B4">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宋体" w:hAnsi="宋体" w:eastAsia="宋体" w:cs="宋体"/>
          <w:b/>
          <w:bCs/>
          <w:color w:val="auto"/>
          <w:sz w:val="32"/>
          <w:szCs w:val="32"/>
          <w:highlight w:val="none"/>
          <w:lang w:val="en-US" w:eastAsia="zh-CN"/>
        </w:rPr>
      </w:pPr>
      <w:r>
        <w:rPr>
          <w:rFonts w:hint="eastAsia" w:hAnsi="宋体" w:eastAsia="宋体" w:cs="宋体"/>
          <w:color w:val="auto"/>
          <w:highlight w:val="none"/>
        </w:rPr>
        <w:t xml:space="preserve">   </w:t>
      </w:r>
      <w:r>
        <w:rPr>
          <w:rFonts w:hint="eastAsia" w:hAnsi="宋体" w:eastAsia="宋体" w:cs="宋体"/>
          <w:color w:val="auto"/>
          <w:highlight w:val="none"/>
          <w:lang w:val="en-US" w:eastAsia="zh-CN"/>
        </w:rPr>
        <w:t xml:space="preserve">                                                </w:t>
      </w:r>
      <w:r>
        <w:rPr>
          <w:rFonts w:hint="eastAsia" w:hAnsi="宋体" w:eastAsia="宋体" w:cs="宋体"/>
          <w:color w:val="auto"/>
          <w:highlight w:val="none"/>
        </w:rPr>
        <w:t xml:space="preserve">  </w:t>
      </w:r>
      <w:r>
        <w:rPr>
          <w:rFonts w:hint="eastAsia" w:hAnsi="宋体" w:eastAsia="宋体" w:cs="宋体"/>
          <w:color w:val="auto"/>
          <w:sz w:val="24"/>
          <w:szCs w:val="24"/>
          <w:highlight w:val="none"/>
          <w:u w:val="single"/>
        </w:rPr>
        <w:t xml:space="preserve"> </w:t>
      </w:r>
      <w:r>
        <w:rPr>
          <w:rFonts w:hint="eastAsia" w:hAnsi="宋体" w:eastAsia="宋体" w:cs="宋体"/>
          <w:color w:val="auto"/>
          <w:kern w:val="2"/>
          <w:sz w:val="24"/>
          <w:szCs w:val="24"/>
          <w:highlight w:val="none"/>
          <w:u w:val="single"/>
        </w:rPr>
        <w:t xml:space="preserve">    </w:t>
      </w:r>
      <w:r>
        <w:rPr>
          <w:rFonts w:hint="eastAsia" w:hAnsi="宋体" w:eastAsia="宋体" w:cs="宋体"/>
          <w:color w:val="auto"/>
          <w:kern w:val="2"/>
          <w:sz w:val="24"/>
          <w:szCs w:val="24"/>
          <w:highlight w:val="none"/>
        </w:rPr>
        <w:t>年</w:t>
      </w:r>
      <w:r>
        <w:rPr>
          <w:rFonts w:hint="eastAsia" w:hAnsi="宋体" w:eastAsia="宋体" w:cs="宋体"/>
          <w:color w:val="auto"/>
          <w:kern w:val="2"/>
          <w:sz w:val="24"/>
          <w:szCs w:val="24"/>
          <w:highlight w:val="none"/>
          <w:u w:val="single"/>
        </w:rPr>
        <w:t xml:space="preserve">     </w:t>
      </w:r>
      <w:r>
        <w:rPr>
          <w:rFonts w:hint="eastAsia" w:hAnsi="宋体" w:eastAsia="宋体" w:cs="宋体"/>
          <w:color w:val="auto"/>
          <w:kern w:val="2"/>
          <w:sz w:val="24"/>
          <w:szCs w:val="24"/>
          <w:highlight w:val="none"/>
        </w:rPr>
        <w:t>月</w:t>
      </w:r>
      <w:r>
        <w:rPr>
          <w:rFonts w:hint="eastAsia" w:hAnsi="宋体" w:eastAsia="宋体" w:cs="宋体"/>
          <w:color w:val="auto"/>
          <w:kern w:val="2"/>
          <w:sz w:val="24"/>
          <w:szCs w:val="24"/>
          <w:highlight w:val="none"/>
          <w:u w:val="single"/>
        </w:rPr>
        <w:t xml:space="preserve">     </w:t>
      </w:r>
      <w:r>
        <w:rPr>
          <w:rFonts w:hint="eastAsia" w:hAnsi="宋体" w:eastAsia="宋体" w:cs="宋体"/>
          <w:color w:val="auto"/>
          <w:kern w:val="2"/>
          <w:sz w:val="24"/>
          <w:szCs w:val="24"/>
          <w:highlight w:val="none"/>
        </w:rPr>
        <w:t>日</w:t>
      </w:r>
    </w:p>
    <w:p w14:paraId="3183ABAD">
      <w:pPr>
        <w:autoSpaceDE w:val="0"/>
        <w:autoSpaceDN w:val="0"/>
        <w:adjustRightInd w:val="0"/>
        <w:snapToGrid w:val="0"/>
        <w:spacing w:line="360" w:lineRule="auto"/>
        <w:rPr>
          <w:rFonts w:ascii="宋体" w:hAnsi="宋体" w:cs="宋体"/>
          <w:b/>
          <w:color w:val="auto"/>
          <w:sz w:val="24"/>
          <w:szCs w:val="22"/>
          <w:highlight w:val="none"/>
        </w:rPr>
      </w:pPr>
    </w:p>
    <w:p w14:paraId="521833D0">
      <w:pPr>
        <w:adjustRightInd w:val="0"/>
        <w:snapToGrid w:val="0"/>
        <w:spacing w:line="360" w:lineRule="auto"/>
        <w:jc w:val="center"/>
        <w:rPr>
          <w:rFonts w:ascii="宋体" w:hAnsi="宋体" w:cs="宋体"/>
          <w:b/>
          <w:color w:val="auto"/>
          <w:sz w:val="24"/>
          <w:highlight w:val="none"/>
        </w:rPr>
      </w:pPr>
      <w:r>
        <w:rPr>
          <w:rFonts w:hint="eastAsia" w:ascii="宋体" w:hAnsi="宋体" w:cs="宋体"/>
          <w:b/>
          <w:color w:val="auto"/>
          <w:sz w:val="24"/>
          <w:szCs w:val="22"/>
          <w:highlight w:val="none"/>
          <w:lang w:eastAsia="zh-CN"/>
        </w:rPr>
        <w:t>（二）</w:t>
      </w:r>
      <w:r>
        <w:rPr>
          <w:rFonts w:hint="eastAsia" w:ascii="宋体" w:hAnsi="宋体" w:cs="宋体"/>
          <w:b/>
          <w:color w:val="auto"/>
          <w:sz w:val="24"/>
          <w:szCs w:val="22"/>
          <w:highlight w:val="none"/>
        </w:rPr>
        <w:t>拟投入主要设计人员简历表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232"/>
        <w:gridCol w:w="1111"/>
        <w:gridCol w:w="889"/>
        <w:gridCol w:w="608"/>
        <w:gridCol w:w="1146"/>
        <w:gridCol w:w="1947"/>
      </w:tblGrid>
      <w:tr w14:paraId="1627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014" w:type="dxa"/>
            <w:tcBorders>
              <w:top w:val="single" w:color="auto" w:sz="4" w:space="0"/>
              <w:left w:val="single" w:color="auto" w:sz="4" w:space="0"/>
              <w:bottom w:val="single" w:color="auto" w:sz="4" w:space="0"/>
              <w:right w:val="single" w:color="auto" w:sz="4" w:space="0"/>
            </w:tcBorders>
            <w:noWrap w:val="0"/>
            <w:vAlign w:val="center"/>
          </w:tcPr>
          <w:p w14:paraId="1A7D93E2">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姓  名</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3A7792C">
            <w:pPr>
              <w:adjustRightInd w:val="0"/>
              <w:snapToGrid w:val="0"/>
              <w:spacing w:line="360" w:lineRule="auto"/>
              <w:jc w:val="center"/>
              <w:rPr>
                <w:rFonts w:ascii="宋体" w:hAnsi="宋体" w:cs="宋体"/>
                <w:color w:val="auto"/>
                <w:sz w:val="24"/>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54A1EF05">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性别</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1FA03FF5">
            <w:pPr>
              <w:adjustRightInd w:val="0"/>
              <w:snapToGrid w:val="0"/>
              <w:spacing w:line="360" w:lineRule="auto"/>
              <w:jc w:val="center"/>
              <w:rPr>
                <w:rFonts w:ascii="宋体" w:hAnsi="宋体" w:cs="宋体"/>
                <w:color w:val="auto"/>
                <w:sz w:val="24"/>
                <w:highlight w:val="none"/>
              </w:rPr>
            </w:pP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14:paraId="0AE86FC8">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出生日期</w:t>
            </w:r>
          </w:p>
        </w:tc>
        <w:tc>
          <w:tcPr>
            <w:tcW w:w="1947" w:type="dxa"/>
            <w:tcBorders>
              <w:top w:val="single" w:color="auto" w:sz="4" w:space="0"/>
              <w:left w:val="single" w:color="auto" w:sz="4" w:space="0"/>
              <w:bottom w:val="single" w:color="auto" w:sz="4" w:space="0"/>
              <w:right w:val="single" w:color="auto" w:sz="4" w:space="0"/>
            </w:tcBorders>
            <w:noWrap w:val="0"/>
            <w:vAlign w:val="center"/>
          </w:tcPr>
          <w:p w14:paraId="7AE88B71">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年  月   日</w:t>
            </w:r>
          </w:p>
        </w:tc>
      </w:tr>
      <w:tr w14:paraId="6CBA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014" w:type="dxa"/>
            <w:tcBorders>
              <w:top w:val="single" w:color="auto" w:sz="4" w:space="0"/>
              <w:left w:val="single" w:color="auto" w:sz="4" w:space="0"/>
              <w:bottom w:val="single" w:color="auto" w:sz="4" w:space="0"/>
              <w:right w:val="single" w:color="auto" w:sz="4" w:space="0"/>
            </w:tcBorders>
            <w:noWrap w:val="0"/>
            <w:vAlign w:val="center"/>
          </w:tcPr>
          <w:p w14:paraId="2AB61F30">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毕业院校专业</w:t>
            </w:r>
          </w:p>
        </w:tc>
        <w:tc>
          <w:tcPr>
            <w:tcW w:w="3232" w:type="dxa"/>
            <w:gridSpan w:val="3"/>
            <w:tcBorders>
              <w:top w:val="single" w:color="auto" w:sz="4" w:space="0"/>
              <w:left w:val="single" w:color="auto" w:sz="4" w:space="0"/>
              <w:bottom w:val="single" w:color="auto" w:sz="4" w:space="0"/>
              <w:right w:val="single" w:color="auto" w:sz="4" w:space="0"/>
            </w:tcBorders>
            <w:noWrap w:val="0"/>
            <w:vAlign w:val="center"/>
          </w:tcPr>
          <w:p w14:paraId="30CBC69F">
            <w:pPr>
              <w:adjustRightInd w:val="0"/>
              <w:snapToGrid w:val="0"/>
              <w:spacing w:line="360" w:lineRule="auto"/>
              <w:jc w:val="center"/>
              <w:rPr>
                <w:rFonts w:ascii="宋体" w:hAnsi="宋体" w:cs="宋体"/>
                <w:color w:val="auto"/>
                <w:sz w:val="24"/>
                <w:highlight w:val="none"/>
              </w:rPr>
            </w:pP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14:paraId="444054BB">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毕业时间</w:t>
            </w:r>
          </w:p>
        </w:tc>
        <w:tc>
          <w:tcPr>
            <w:tcW w:w="1947" w:type="dxa"/>
            <w:tcBorders>
              <w:top w:val="single" w:color="auto" w:sz="4" w:space="0"/>
              <w:left w:val="single" w:color="auto" w:sz="4" w:space="0"/>
              <w:bottom w:val="single" w:color="auto" w:sz="4" w:space="0"/>
              <w:right w:val="single" w:color="auto" w:sz="4" w:space="0"/>
            </w:tcBorders>
            <w:noWrap w:val="0"/>
            <w:vAlign w:val="center"/>
          </w:tcPr>
          <w:p w14:paraId="0510416A">
            <w:pPr>
              <w:adjustRightInd w:val="0"/>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szCs w:val="22"/>
                <w:highlight w:val="none"/>
              </w:rPr>
              <w:t>年  月   日</w:t>
            </w:r>
          </w:p>
        </w:tc>
      </w:tr>
      <w:tr w14:paraId="6FFC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014" w:type="dxa"/>
            <w:tcBorders>
              <w:top w:val="single" w:color="auto" w:sz="4" w:space="0"/>
              <w:left w:val="single" w:color="auto" w:sz="4" w:space="0"/>
              <w:bottom w:val="single" w:color="auto" w:sz="4" w:space="0"/>
              <w:right w:val="single" w:color="auto" w:sz="4" w:space="0"/>
            </w:tcBorders>
            <w:noWrap w:val="0"/>
            <w:vAlign w:val="center"/>
          </w:tcPr>
          <w:p w14:paraId="423FF56A">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参加工作时间</w:t>
            </w:r>
          </w:p>
        </w:tc>
        <w:tc>
          <w:tcPr>
            <w:tcW w:w="2343" w:type="dxa"/>
            <w:gridSpan w:val="2"/>
            <w:tcBorders>
              <w:top w:val="single" w:color="auto" w:sz="4" w:space="0"/>
              <w:left w:val="single" w:color="auto" w:sz="4" w:space="0"/>
              <w:bottom w:val="single" w:color="auto" w:sz="4" w:space="0"/>
              <w:right w:val="single" w:color="auto" w:sz="4" w:space="0"/>
            </w:tcBorders>
            <w:noWrap w:val="0"/>
            <w:vAlign w:val="center"/>
          </w:tcPr>
          <w:p w14:paraId="2AAD8B0B">
            <w:pPr>
              <w:adjustRightInd w:val="0"/>
              <w:snapToGrid w:val="0"/>
              <w:spacing w:line="360" w:lineRule="auto"/>
              <w:jc w:val="center"/>
              <w:rPr>
                <w:rFonts w:ascii="宋体" w:hAnsi="宋体" w:cs="宋体"/>
                <w:color w:val="auto"/>
                <w:sz w:val="24"/>
                <w:highlight w:val="none"/>
              </w:rPr>
            </w:pPr>
          </w:p>
        </w:tc>
        <w:tc>
          <w:tcPr>
            <w:tcW w:w="2643" w:type="dxa"/>
            <w:gridSpan w:val="3"/>
            <w:tcBorders>
              <w:top w:val="single" w:color="auto" w:sz="4" w:space="0"/>
              <w:left w:val="single" w:color="auto" w:sz="4" w:space="0"/>
              <w:bottom w:val="single" w:color="auto" w:sz="4" w:space="0"/>
              <w:right w:val="single" w:color="auto" w:sz="4" w:space="0"/>
            </w:tcBorders>
            <w:noWrap w:val="0"/>
            <w:vAlign w:val="center"/>
          </w:tcPr>
          <w:p w14:paraId="65071C07">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从事本专业年限</w:t>
            </w:r>
          </w:p>
        </w:tc>
        <w:tc>
          <w:tcPr>
            <w:tcW w:w="1947" w:type="dxa"/>
            <w:tcBorders>
              <w:top w:val="single" w:color="auto" w:sz="4" w:space="0"/>
              <w:left w:val="single" w:color="auto" w:sz="4" w:space="0"/>
              <w:bottom w:val="single" w:color="auto" w:sz="4" w:space="0"/>
              <w:right w:val="single" w:color="auto" w:sz="4" w:space="0"/>
            </w:tcBorders>
            <w:noWrap w:val="0"/>
            <w:vAlign w:val="center"/>
          </w:tcPr>
          <w:p w14:paraId="1829BD06">
            <w:pPr>
              <w:adjustRightInd w:val="0"/>
              <w:snapToGrid w:val="0"/>
              <w:spacing w:line="360" w:lineRule="auto"/>
              <w:jc w:val="center"/>
              <w:rPr>
                <w:rFonts w:ascii="宋体" w:hAnsi="宋体" w:cs="宋体"/>
                <w:color w:val="auto"/>
                <w:sz w:val="24"/>
                <w:highlight w:val="none"/>
              </w:rPr>
            </w:pPr>
          </w:p>
        </w:tc>
      </w:tr>
      <w:tr w14:paraId="5118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014" w:type="dxa"/>
            <w:tcBorders>
              <w:top w:val="single" w:color="auto" w:sz="4" w:space="0"/>
              <w:left w:val="single" w:color="auto" w:sz="4" w:space="0"/>
              <w:bottom w:val="single" w:color="auto" w:sz="4" w:space="0"/>
              <w:right w:val="single" w:color="auto" w:sz="4" w:space="0"/>
            </w:tcBorders>
            <w:noWrap w:val="0"/>
            <w:vAlign w:val="center"/>
          </w:tcPr>
          <w:p w14:paraId="28F93160">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执业注册</w:t>
            </w:r>
          </w:p>
        </w:tc>
        <w:tc>
          <w:tcPr>
            <w:tcW w:w="2343" w:type="dxa"/>
            <w:gridSpan w:val="2"/>
            <w:tcBorders>
              <w:top w:val="single" w:color="auto" w:sz="4" w:space="0"/>
              <w:left w:val="single" w:color="auto" w:sz="4" w:space="0"/>
              <w:bottom w:val="single" w:color="auto" w:sz="4" w:space="0"/>
              <w:right w:val="single" w:color="auto" w:sz="4" w:space="0"/>
            </w:tcBorders>
            <w:noWrap w:val="0"/>
            <w:vAlign w:val="center"/>
          </w:tcPr>
          <w:p w14:paraId="5B920DA5">
            <w:pPr>
              <w:adjustRightInd w:val="0"/>
              <w:snapToGrid w:val="0"/>
              <w:spacing w:line="360" w:lineRule="auto"/>
              <w:jc w:val="center"/>
              <w:rPr>
                <w:rFonts w:ascii="宋体" w:hAnsi="宋体" w:cs="宋体"/>
                <w:color w:val="auto"/>
                <w:sz w:val="24"/>
                <w:highlight w:val="none"/>
              </w:rPr>
            </w:pPr>
          </w:p>
        </w:tc>
        <w:tc>
          <w:tcPr>
            <w:tcW w:w="2643" w:type="dxa"/>
            <w:gridSpan w:val="3"/>
            <w:tcBorders>
              <w:top w:val="single" w:color="auto" w:sz="4" w:space="0"/>
              <w:left w:val="single" w:color="auto" w:sz="4" w:space="0"/>
              <w:bottom w:val="single" w:color="auto" w:sz="4" w:space="0"/>
              <w:right w:val="single" w:color="auto" w:sz="4" w:space="0"/>
            </w:tcBorders>
            <w:noWrap w:val="0"/>
            <w:vAlign w:val="center"/>
          </w:tcPr>
          <w:p w14:paraId="273F19BB">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职    称</w:t>
            </w:r>
          </w:p>
        </w:tc>
        <w:tc>
          <w:tcPr>
            <w:tcW w:w="1947" w:type="dxa"/>
            <w:tcBorders>
              <w:top w:val="single" w:color="auto" w:sz="4" w:space="0"/>
              <w:left w:val="single" w:color="auto" w:sz="4" w:space="0"/>
              <w:bottom w:val="single" w:color="auto" w:sz="4" w:space="0"/>
              <w:right w:val="single" w:color="auto" w:sz="4" w:space="0"/>
            </w:tcBorders>
            <w:noWrap w:val="0"/>
            <w:vAlign w:val="center"/>
          </w:tcPr>
          <w:p w14:paraId="2255549C">
            <w:pPr>
              <w:adjustRightInd w:val="0"/>
              <w:snapToGrid w:val="0"/>
              <w:spacing w:line="360" w:lineRule="auto"/>
              <w:jc w:val="center"/>
              <w:rPr>
                <w:rFonts w:ascii="宋体" w:hAnsi="宋体" w:cs="宋体"/>
                <w:color w:val="auto"/>
                <w:sz w:val="24"/>
                <w:highlight w:val="none"/>
              </w:rPr>
            </w:pPr>
          </w:p>
        </w:tc>
      </w:tr>
      <w:tr w14:paraId="3439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357" w:type="dxa"/>
            <w:gridSpan w:val="3"/>
            <w:tcBorders>
              <w:top w:val="single" w:color="auto" w:sz="4" w:space="0"/>
              <w:left w:val="single" w:color="auto" w:sz="4" w:space="0"/>
              <w:bottom w:val="single" w:color="auto" w:sz="4" w:space="0"/>
              <w:right w:val="single" w:color="auto" w:sz="4" w:space="0"/>
            </w:tcBorders>
            <w:noWrap w:val="0"/>
            <w:vAlign w:val="center"/>
          </w:tcPr>
          <w:p w14:paraId="7FB71B6F">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在 本 项 目 拟 任 职 务</w:t>
            </w:r>
          </w:p>
        </w:tc>
        <w:tc>
          <w:tcPr>
            <w:tcW w:w="4590" w:type="dxa"/>
            <w:gridSpan w:val="4"/>
            <w:tcBorders>
              <w:top w:val="single" w:color="auto" w:sz="4" w:space="0"/>
              <w:left w:val="single" w:color="auto" w:sz="4" w:space="0"/>
              <w:bottom w:val="single" w:color="auto" w:sz="4" w:space="0"/>
              <w:right w:val="single" w:color="auto" w:sz="4" w:space="0"/>
            </w:tcBorders>
            <w:noWrap w:val="0"/>
            <w:vAlign w:val="center"/>
          </w:tcPr>
          <w:p w14:paraId="1624278A">
            <w:pPr>
              <w:adjustRightInd w:val="0"/>
              <w:snapToGrid w:val="0"/>
              <w:spacing w:line="360" w:lineRule="auto"/>
              <w:jc w:val="center"/>
              <w:rPr>
                <w:rFonts w:ascii="宋体" w:hAnsi="宋体" w:cs="宋体"/>
                <w:color w:val="auto"/>
                <w:sz w:val="24"/>
                <w:highlight w:val="none"/>
              </w:rPr>
            </w:pPr>
          </w:p>
        </w:tc>
      </w:tr>
      <w:tr w14:paraId="0086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947" w:type="dxa"/>
            <w:gridSpan w:val="7"/>
            <w:tcBorders>
              <w:top w:val="single" w:color="auto" w:sz="4" w:space="0"/>
              <w:left w:val="single" w:color="auto" w:sz="4" w:space="0"/>
              <w:bottom w:val="single" w:color="auto" w:sz="4" w:space="0"/>
              <w:right w:val="single" w:color="auto" w:sz="4" w:space="0"/>
            </w:tcBorders>
            <w:noWrap w:val="0"/>
            <w:vAlign w:val="center"/>
          </w:tcPr>
          <w:p w14:paraId="010B9426">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主  要  经  历</w:t>
            </w:r>
          </w:p>
        </w:tc>
      </w:tr>
      <w:tr w14:paraId="17FB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014" w:type="dxa"/>
            <w:tcBorders>
              <w:top w:val="single" w:color="auto" w:sz="4" w:space="0"/>
              <w:left w:val="single" w:color="auto" w:sz="4" w:space="0"/>
              <w:bottom w:val="single" w:color="auto" w:sz="4" w:space="0"/>
              <w:right w:val="single" w:color="auto" w:sz="4" w:space="0"/>
            </w:tcBorders>
            <w:noWrap w:val="0"/>
            <w:vAlign w:val="center"/>
          </w:tcPr>
          <w:p w14:paraId="7AC83F89">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时  间</w:t>
            </w:r>
          </w:p>
        </w:tc>
        <w:tc>
          <w:tcPr>
            <w:tcW w:w="3840" w:type="dxa"/>
            <w:gridSpan w:val="4"/>
            <w:tcBorders>
              <w:top w:val="single" w:color="auto" w:sz="4" w:space="0"/>
              <w:left w:val="single" w:color="auto" w:sz="4" w:space="0"/>
              <w:bottom w:val="single" w:color="auto" w:sz="4" w:space="0"/>
              <w:right w:val="single" w:color="auto" w:sz="4" w:space="0"/>
            </w:tcBorders>
            <w:noWrap w:val="0"/>
            <w:vAlign w:val="center"/>
          </w:tcPr>
          <w:p w14:paraId="09BFEB90">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参加过的工程设计项目名称及规模</w:t>
            </w:r>
          </w:p>
        </w:tc>
        <w:tc>
          <w:tcPr>
            <w:tcW w:w="3093" w:type="dxa"/>
            <w:gridSpan w:val="2"/>
            <w:tcBorders>
              <w:top w:val="single" w:color="auto" w:sz="4" w:space="0"/>
              <w:left w:val="single" w:color="auto" w:sz="4" w:space="0"/>
              <w:bottom w:val="single" w:color="auto" w:sz="4" w:space="0"/>
              <w:right w:val="single" w:color="auto" w:sz="4" w:space="0"/>
            </w:tcBorders>
            <w:noWrap w:val="0"/>
            <w:vAlign w:val="center"/>
          </w:tcPr>
          <w:p w14:paraId="6C9B200C">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szCs w:val="22"/>
                <w:highlight w:val="none"/>
              </w:rPr>
              <w:t>该项目中任职</w:t>
            </w:r>
          </w:p>
        </w:tc>
      </w:tr>
      <w:tr w14:paraId="252A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014" w:type="dxa"/>
            <w:tcBorders>
              <w:top w:val="single" w:color="auto" w:sz="4" w:space="0"/>
              <w:left w:val="single" w:color="auto" w:sz="4" w:space="0"/>
              <w:bottom w:val="single" w:color="auto" w:sz="4" w:space="0"/>
              <w:right w:val="single" w:color="auto" w:sz="4" w:space="0"/>
            </w:tcBorders>
            <w:noWrap w:val="0"/>
            <w:vAlign w:val="center"/>
          </w:tcPr>
          <w:p w14:paraId="627BC8FB">
            <w:pPr>
              <w:adjustRightInd w:val="0"/>
              <w:snapToGrid w:val="0"/>
              <w:spacing w:line="360" w:lineRule="auto"/>
              <w:jc w:val="center"/>
              <w:rPr>
                <w:rFonts w:ascii="宋体" w:hAnsi="宋体" w:cs="宋体"/>
                <w:color w:val="auto"/>
                <w:sz w:val="24"/>
                <w:highlight w:val="none"/>
              </w:rPr>
            </w:pPr>
          </w:p>
        </w:tc>
        <w:tc>
          <w:tcPr>
            <w:tcW w:w="3840" w:type="dxa"/>
            <w:gridSpan w:val="4"/>
            <w:tcBorders>
              <w:top w:val="single" w:color="auto" w:sz="4" w:space="0"/>
              <w:left w:val="single" w:color="auto" w:sz="4" w:space="0"/>
              <w:bottom w:val="single" w:color="auto" w:sz="4" w:space="0"/>
              <w:right w:val="single" w:color="auto" w:sz="4" w:space="0"/>
            </w:tcBorders>
            <w:noWrap w:val="0"/>
            <w:vAlign w:val="center"/>
          </w:tcPr>
          <w:p w14:paraId="53072FF7">
            <w:pPr>
              <w:adjustRightInd w:val="0"/>
              <w:snapToGrid w:val="0"/>
              <w:spacing w:line="360" w:lineRule="auto"/>
              <w:jc w:val="center"/>
              <w:rPr>
                <w:rFonts w:ascii="宋体" w:hAnsi="宋体" w:cs="宋体"/>
                <w:color w:val="auto"/>
                <w:sz w:val="24"/>
                <w:highlight w:val="none"/>
              </w:rPr>
            </w:pPr>
          </w:p>
        </w:tc>
        <w:tc>
          <w:tcPr>
            <w:tcW w:w="3093" w:type="dxa"/>
            <w:gridSpan w:val="2"/>
            <w:tcBorders>
              <w:top w:val="single" w:color="auto" w:sz="4" w:space="0"/>
              <w:left w:val="single" w:color="auto" w:sz="4" w:space="0"/>
              <w:bottom w:val="single" w:color="auto" w:sz="4" w:space="0"/>
              <w:right w:val="single" w:color="auto" w:sz="4" w:space="0"/>
            </w:tcBorders>
            <w:noWrap w:val="0"/>
            <w:vAlign w:val="center"/>
          </w:tcPr>
          <w:p w14:paraId="4799877D">
            <w:pPr>
              <w:adjustRightInd w:val="0"/>
              <w:snapToGrid w:val="0"/>
              <w:spacing w:line="360" w:lineRule="auto"/>
              <w:jc w:val="center"/>
              <w:rPr>
                <w:rFonts w:ascii="宋体" w:hAnsi="宋体" w:cs="宋体"/>
                <w:color w:val="auto"/>
                <w:sz w:val="24"/>
                <w:highlight w:val="none"/>
              </w:rPr>
            </w:pPr>
          </w:p>
        </w:tc>
      </w:tr>
    </w:tbl>
    <w:p w14:paraId="45BFBB6B">
      <w:pPr>
        <w:adjustRightInd w:val="0"/>
        <w:snapToGrid w:val="0"/>
        <w:spacing w:line="360" w:lineRule="auto"/>
        <w:rPr>
          <w:rFonts w:ascii="宋体" w:hAnsi="宋体" w:cs="宋体"/>
          <w:b/>
          <w:color w:val="auto"/>
          <w:sz w:val="24"/>
          <w:szCs w:val="22"/>
          <w:highlight w:val="none"/>
        </w:rPr>
      </w:pPr>
    </w:p>
    <w:p w14:paraId="52CC1DE1">
      <w:pPr>
        <w:adjustRightInd w:val="0"/>
        <w:snapToGrid w:val="0"/>
        <w:spacing w:line="360" w:lineRule="auto"/>
        <w:ind w:firstLine="240" w:firstLineChars="100"/>
        <w:rPr>
          <w:rFonts w:ascii="宋体" w:hAnsi="宋体" w:cs="宋体"/>
          <w:color w:val="auto"/>
          <w:sz w:val="24"/>
          <w:szCs w:val="22"/>
          <w:highlight w:val="none"/>
        </w:rPr>
      </w:pPr>
      <w:r>
        <w:rPr>
          <w:rFonts w:hint="eastAsia" w:ascii="宋体" w:hAnsi="宋体" w:cs="宋体"/>
          <w:color w:val="auto"/>
          <w:sz w:val="24"/>
          <w:szCs w:val="22"/>
          <w:highlight w:val="none"/>
        </w:rPr>
        <w:t>（主要设计人员包括：相关专业负责人）</w:t>
      </w:r>
    </w:p>
    <w:p w14:paraId="63583D87">
      <w:pPr>
        <w:adjustRightInd w:val="0"/>
        <w:snapToGrid w:val="0"/>
        <w:spacing w:line="360" w:lineRule="auto"/>
        <w:ind w:firstLine="480" w:firstLineChars="200"/>
        <w:rPr>
          <w:rFonts w:ascii="宋体" w:hAnsi="宋体" w:cs="宋体"/>
          <w:color w:val="auto"/>
          <w:sz w:val="24"/>
          <w:szCs w:val="22"/>
          <w:highlight w:val="none"/>
        </w:rPr>
      </w:pPr>
    </w:p>
    <w:p w14:paraId="37130FD7">
      <w:pPr>
        <w:pageBreakBefore w:val="0"/>
        <w:kinsoku/>
        <w:overflowPunct/>
        <w:topLinePunct w:val="0"/>
        <w:bidi w:val="0"/>
        <w:spacing w:line="440" w:lineRule="exact"/>
        <w:jc w:val="right"/>
        <w:outlineLvl w:val="9"/>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auto"/>
          <w:sz w:val="24"/>
          <w:szCs w:val="24"/>
          <w:highlight w:val="none"/>
          <w:lang w:val="en-US" w:eastAsia="zh-CN"/>
        </w:rPr>
        <w:t>盖单位公章</w:t>
      </w:r>
      <w:r>
        <w:rPr>
          <w:rFonts w:hint="eastAsia" w:ascii="宋体" w:hAnsi="宋体" w:cs="宋体"/>
          <w:color w:val="auto"/>
          <w:sz w:val="24"/>
          <w:highlight w:val="none"/>
        </w:rPr>
        <w:t>）</w:t>
      </w:r>
    </w:p>
    <w:p w14:paraId="32822BC4">
      <w:pPr>
        <w:pageBreakBefore w:val="0"/>
        <w:kinsoku/>
        <w:overflowPunct/>
        <w:topLinePunct w:val="0"/>
        <w:bidi w:val="0"/>
        <w:outlineLvl w:val="9"/>
        <w:rPr>
          <w:color w:val="auto"/>
          <w:highlight w:val="none"/>
        </w:rPr>
      </w:pPr>
    </w:p>
    <w:p w14:paraId="6A28E8B0">
      <w:pPr>
        <w:pStyle w:val="35"/>
        <w:pageBreakBefore w:val="0"/>
        <w:kinsoku/>
        <w:overflowPunct/>
        <w:topLinePunct w:val="0"/>
        <w:bidi w:val="0"/>
        <w:jc w:val="center"/>
        <w:outlineLvl w:val="9"/>
        <w:rPr>
          <w:color w:val="auto"/>
          <w:highlight w:val="none"/>
        </w:rPr>
      </w:pPr>
      <w:r>
        <w:rPr>
          <w:rFonts w:hint="eastAsia" w:hAnsi="宋体"/>
          <w:bCs/>
          <w:color w:val="auto"/>
          <w:highlight w:val="none"/>
        </w:rPr>
        <w:t xml:space="preserve">               法定代表人</w:t>
      </w:r>
      <w:r>
        <w:rPr>
          <w:rFonts w:hint="eastAsia" w:hAnsi="宋体"/>
          <w:bCs/>
          <w:color w:val="auto"/>
          <w:highlight w:val="none"/>
          <w:lang w:eastAsia="zh-CN"/>
        </w:rPr>
        <w:t>（</w:t>
      </w:r>
      <w:r>
        <w:rPr>
          <w:rFonts w:hint="eastAsia" w:hAnsi="宋体"/>
          <w:bCs/>
          <w:color w:val="auto"/>
          <w:highlight w:val="none"/>
          <w:lang w:val="en-US" w:eastAsia="zh-CN"/>
        </w:rPr>
        <w:t>自然人或者经营者</w:t>
      </w:r>
      <w:r>
        <w:rPr>
          <w:rFonts w:hint="eastAsia" w:hAnsi="宋体"/>
          <w:bCs/>
          <w:color w:val="auto"/>
          <w:highlight w:val="none"/>
          <w:lang w:eastAsia="zh-CN"/>
        </w:rPr>
        <w:t>）</w:t>
      </w:r>
      <w:r>
        <w:rPr>
          <w:rFonts w:hint="eastAsia" w:hAnsi="宋体"/>
          <w:bCs/>
          <w:color w:val="auto"/>
          <w:highlight w:val="none"/>
        </w:rPr>
        <w:t>：</w:t>
      </w:r>
      <w:r>
        <w:rPr>
          <w:rFonts w:hint="eastAsia" w:hAnsi="宋体"/>
          <w:bCs/>
          <w:color w:val="auto"/>
          <w:highlight w:val="none"/>
          <w:u w:val="single"/>
        </w:rPr>
        <w:t xml:space="preserve">                 </w:t>
      </w:r>
      <w:r>
        <w:rPr>
          <w:rFonts w:hint="eastAsia" w:hAnsi="宋体"/>
          <w:bCs/>
          <w:color w:val="auto"/>
          <w:highlight w:val="none"/>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hAnsi="宋体"/>
          <w:bCs/>
          <w:color w:val="auto"/>
          <w:highlight w:val="none"/>
        </w:rPr>
        <w:t>）</w:t>
      </w:r>
    </w:p>
    <w:p w14:paraId="0A8DCEEF">
      <w:pPr>
        <w:spacing w:line="360" w:lineRule="auto"/>
        <w:rPr>
          <w:rFonts w:ascii="宋体" w:hAnsi="宋体" w:cs="宋体"/>
          <w:b/>
          <w:color w:val="auto"/>
          <w:sz w:val="24"/>
          <w:szCs w:val="22"/>
          <w:highlight w:val="none"/>
        </w:rPr>
      </w:pPr>
      <w:r>
        <w:rPr>
          <w:rFonts w:hint="eastAsia" w:hAnsi="宋体" w:eastAsia="宋体" w:cs="宋体"/>
          <w:color w:val="auto"/>
          <w:highlight w:val="none"/>
        </w:rPr>
        <w:t xml:space="preserve">   </w:t>
      </w:r>
      <w:r>
        <w:rPr>
          <w:rFonts w:hint="eastAsia" w:hAnsi="宋体" w:eastAsia="宋体" w:cs="宋体"/>
          <w:color w:val="auto"/>
          <w:highlight w:val="none"/>
          <w:lang w:val="en-US" w:eastAsia="zh-CN"/>
        </w:rPr>
        <w:t xml:space="preserve">                                                </w:t>
      </w:r>
      <w:r>
        <w:rPr>
          <w:rFonts w:hint="eastAsia" w:hAnsi="宋体" w:eastAsia="宋体" w:cs="宋体"/>
          <w:color w:val="auto"/>
          <w:highlight w:val="none"/>
        </w:rPr>
        <w:t xml:space="preserve">  </w:t>
      </w:r>
      <w:r>
        <w:rPr>
          <w:rFonts w:hint="eastAsia" w:hAnsi="宋体" w:eastAsia="宋体" w:cs="宋体"/>
          <w:color w:val="auto"/>
          <w:sz w:val="24"/>
          <w:szCs w:val="24"/>
          <w:highlight w:val="none"/>
          <w:u w:val="single"/>
        </w:rPr>
        <w:t xml:space="preserve"> </w:t>
      </w:r>
      <w:r>
        <w:rPr>
          <w:rFonts w:hint="eastAsia" w:hAnsi="宋体" w:eastAsia="宋体" w:cs="宋体"/>
          <w:color w:val="auto"/>
          <w:kern w:val="2"/>
          <w:sz w:val="24"/>
          <w:szCs w:val="24"/>
          <w:highlight w:val="none"/>
          <w:u w:val="single"/>
        </w:rPr>
        <w:t xml:space="preserve">    </w:t>
      </w:r>
      <w:r>
        <w:rPr>
          <w:rFonts w:hint="eastAsia" w:hAnsi="宋体" w:eastAsia="宋体" w:cs="宋体"/>
          <w:color w:val="auto"/>
          <w:kern w:val="2"/>
          <w:sz w:val="24"/>
          <w:szCs w:val="24"/>
          <w:highlight w:val="none"/>
        </w:rPr>
        <w:t>年</w:t>
      </w:r>
      <w:r>
        <w:rPr>
          <w:rFonts w:hint="eastAsia" w:hAnsi="宋体" w:eastAsia="宋体" w:cs="宋体"/>
          <w:color w:val="auto"/>
          <w:kern w:val="2"/>
          <w:sz w:val="24"/>
          <w:szCs w:val="24"/>
          <w:highlight w:val="none"/>
          <w:u w:val="single"/>
        </w:rPr>
        <w:t xml:space="preserve">     </w:t>
      </w:r>
      <w:r>
        <w:rPr>
          <w:rFonts w:hint="eastAsia" w:hAnsi="宋体" w:eastAsia="宋体" w:cs="宋体"/>
          <w:color w:val="auto"/>
          <w:kern w:val="2"/>
          <w:sz w:val="24"/>
          <w:szCs w:val="24"/>
          <w:highlight w:val="none"/>
        </w:rPr>
        <w:t>月</w:t>
      </w:r>
      <w:r>
        <w:rPr>
          <w:rFonts w:hint="eastAsia" w:hAnsi="宋体" w:eastAsia="宋体" w:cs="宋体"/>
          <w:color w:val="auto"/>
          <w:kern w:val="2"/>
          <w:sz w:val="24"/>
          <w:szCs w:val="24"/>
          <w:highlight w:val="none"/>
          <w:u w:val="single"/>
        </w:rPr>
        <w:t xml:space="preserve">     </w:t>
      </w:r>
      <w:r>
        <w:rPr>
          <w:rFonts w:hint="eastAsia" w:hAnsi="宋体" w:eastAsia="宋体" w:cs="宋体"/>
          <w:color w:val="auto"/>
          <w:kern w:val="2"/>
          <w:sz w:val="24"/>
          <w:szCs w:val="24"/>
          <w:highlight w:val="none"/>
        </w:rPr>
        <w:t>日</w:t>
      </w:r>
      <w:r>
        <w:rPr>
          <w:rFonts w:hint="eastAsia" w:ascii="宋体" w:hAnsi="宋体" w:cs="宋体"/>
          <w:b/>
          <w:color w:val="auto"/>
          <w:sz w:val="24"/>
          <w:szCs w:val="22"/>
          <w:highlight w:val="none"/>
        </w:rPr>
        <w:t>注：</w:t>
      </w:r>
      <w:r>
        <w:rPr>
          <w:rFonts w:hint="eastAsia" w:ascii="宋体" w:hAnsi="宋体" w:cs="宋体"/>
          <w:b/>
          <w:color w:val="auto"/>
          <w:sz w:val="24"/>
          <w:szCs w:val="22"/>
          <w:highlight w:val="none"/>
          <w:lang w:eastAsia="zh-CN"/>
        </w:rPr>
        <w:t>供应商</w:t>
      </w:r>
      <w:r>
        <w:rPr>
          <w:rFonts w:hint="eastAsia" w:ascii="宋体" w:hAnsi="宋体" w:cs="宋体"/>
          <w:b/>
          <w:color w:val="auto"/>
          <w:sz w:val="24"/>
          <w:szCs w:val="22"/>
          <w:highlight w:val="none"/>
        </w:rPr>
        <w:t>需随此表附上主要设计人员的执业资格证书等相关资料的原件扫描件。</w:t>
      </w:r>
    </w:p>
    <w:p w14:paraId="3A1D7D50">
      <w:pPr>
        <w:autoSpaceDE w:val="0"/>
        <w:autoSpaceDN w:val="0"/>
        <w:spacing w:line="360" w:lineRule="auto"/>
        <w:rPr>
          <w:rFonts w:hint="eastAsia" w:ascii="宋体" w:hAnsi="宋体"/>
          <w:b/>
          <w:color w:val="auto"/>
          <w:kern w:val="0"/>
          <w:sz w:val="24"/>
          <w:szCs w:val="22"/>
          <w:highlight w:val="none"/>
        </w:rPr>
      </w:pPr>
    </w:p>
    <w:p w14:paraId="1511F565">
      <w:pPr>
        <w:pageBreakBefore w:val="0"/>
        <w:kinsoku/>
        <w:overflowPunct/>
        <w:topLinePunct w:val="0"/>
        <w:bidi w:val="0"/>
        <w:outlineLvl w:val="9"/>
        <w:rPr>
          <w:rFonts w:hint="eastAsia" w:ascii="宋体" w:hAnsi="宋体" w:eastAsia="宋体" w:cs="宋体"/>
          <w:b/>
          <w:bCs/>
          <w:color w:val="auto"/>
          <w:sz w:val="32"/>
          <w:szCs w:val="32"/>
          <w:highlight w:val="none"/>
        </w:rPr>
      </w:pPr>
    </w:p>
    <w:p w14:paraId="27E7482B">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val="en-US" w:eastAsia="zh-CN"/>
        </w:rPr>
      </w:pPr>
      <w:bookmarkStart w:id="574" w:name="_Toc69718849"/>
      <w:bookmarkEnd w:id="574"/>
      <w:bookmarkStart w:id="575" w:name="_Toc69718848"/>
      <w:bookmarkEnd w:id="575"/>
      <w:bookmarkStart w:id="576" w:name="_Toc23639"/>
      <w:bookmarkStart w:id="577" w:name="_Toc10242"/>
      <w:bookmarkStart w:id="578" w:name="_Toc23724"/>
    </w:p>
    <w:p w14:paraId="702C9C78">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val="en-US" w:eastAsia="zh-CN"/>
        </w:rPr>
      </w:pPr>
    </w:p>
    <w:p w14:paraId="170B5824">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九、服务承诺</w:t>
      </w:r>
    </w:p>
    <w:p w14:paraId="7CD80ADA">
      <w:pPr>
        <w:pageBreakBefore w:val="0"/>
        <w:kinsoku/>
        <w:overflowPunct/>
        <w:topLinePunct w:val="0"/>
        <w:autoSpaceDE w:val="0"/>
        <w:autoSpaceDN w:val="0"/>
        <w:bidi w:val="0"/>
        <w:adjustRightInd w:val="0"/>
        <w:spacing w:line="520" w:lineRule="exact"/>
        <w:ind w:right="-20"/>
        <w:jc w:val="center"/>
        <w:outlineLvl w:val="9"/>
        <w:rPr>
          <w:rFonts w:hint="default" w:ascii="宋体" w:hAnsi="宋体" w:eastAsia="宋体" w:cs="宋体"/>
          <w:b/>
          <w:color w:val="auto"/>
          <w:kern w:val="0"/>
          <w:sz w:val="24"/>
          <w:szCs w:val="24"/>
          <w:highlight w:val="none"/>
          <w:lang w:val="en-US" w:eastAsia="zh-CN"/>
        </w:rPr>
      </w:pPr>
      <w:r>
        <w:rPr>
          <w:rFonts w:hint="default" w:ascii="宋体" w:hAnsi="宋体" w:eastAsia="宋体" w:cs="宋体"/>
          <w:b/>
          <w:color w:val="auto"/>
          <w:kern w:val="0"/>
          <w:sz w:val="24"/>
          <w:szCs w:val="24"/>
          <w:highlight w:val="none"/>
          <w:lang w:val="en-US" w:eastAsia="zh-CN"/>
        </w:rPr>
        <w:t>（根据本项目评审办法</w:t>
      </w:r>
      <w:r>
        <w:rPr>
          <w:rFonts w:hint="eastAsia" w:ascii="宋体" w:hAnsi="宋体" w:eastAsia="宋体" w:cs="宋体"/>
          <w:b/>
          <w:color w:val="auto"/>
          <w:kern w:val="0"/>
          <w:sz w:val="24"/>
          <w:szCs w:val="24"/>
          <w:highlight w:val="none"/>
          <w:lang w:val="en-US" w:eastAsia="zh-CN"/>
        </w:rPr>
        <w:t>综合部分服务承诺</w:t>
      </w:r>
      <w:r>
        <w:rPr>
          <w:rFonts w:hint="default" w:ascii="宋体" w:hAnsi="宋体" w:eastAsia="宋体" w:cs="宋体"/>
          <w:b/>
          <w:color w:val="auto"/>
          <w:kern w:val="0"/>
          <w:sz w:val="24"/>
          <w:szCs w:val="24"/>
          <w:highlight w:val="none"/>
          <w:lang w:val="en-US" w:eastAsia="zh-CN"/>
        </w:rPr>
        <w:t>编写，格式自拟）</w:t>
      </w:r>
    </w:p>
    <w:p w14:paraId="0544D400">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val="en-US" w:eastAsia="zh-CN"/>
        </w:rPr>
      </w:pPr>
    </w:p>
    <w:p w14:paraId="7527CAA5">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26AC2292">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十</w:t>
      </w:r>
      <w:r>
        <w:rPr>
          <w:rFonts w:hint="eastAsia" w:ascii="宋体" w:hAnsi="宋体" w:eastAsia="宋体" w:cs="宋体"/>
          <w:b/>
          <w:bCs/>
          <w:color w:val="auto"/>
          <w:sz w:val="32"/>
          <w:szCs w:val="32"/>
          <w:highlight w:val="none"/>
        </w:rPr>
        <w:t>、</w:t>
      </w:r>
      <w:bookmarkEnd w:id="576"/>
      <w:bookmarkEnd w:id="577"/>
      <w:bookmarkStart w:id="579" w:name="_Toc2997"/>
      <w:bookmarkStart w:id="580" w:name="_Toc12850"/>
      <w:r>
        <w:rPr>
          <w:rFonts w:hint="eastAsia" w:ascii="宋体" w:hAnsi="宋体" w:eastAsia="宋体" w:cs="宋体"/>
          <w:b/>
          <w:bCs/>
          <w:color w:val="auto"/>
          <w:sz w:val="32"/>
          <w:szCs w:val="32"/>
          <w:highlight w:val="none"/>
        </w:rPr>
        <w:t>其他资料</w:t>
      </w:r>
      <w:bookmarkEnd w:id="578"/>
      <w:bookmarkEnd w:id="579"/>
      <w:bookmarkEnd w:id="580"/>
    </w:p>
    <w:p w14:paraId="59A28AED">
      <w:pPr>
        <w:pageBreakBefore w:val="0"/>
        <w:kinsoku/>
        <w:overflowPunct/>
        <w:topLinePunct w:val="0"/>
        <w:bidi w:val="0"/>
        <w:spacing w:line="360" w:lineRule="auto"/>
        <w:ind w:firstLine="200"/>
        <w:outlineLvl w:val="9"/>
        <w:rPr>
          <w:rFonts w:hint="eastAsia" w:ascii="宋体" w:hAnsi="宋体" w:eastAsia="宋体" w:cs="宋体"/>
          <w:color w:val="auto"/>
          <w:szCs w:val="21"/>
          <w:highlight w:val="none"/>
        </w:rPr>
      </w:pPr>
    </w:p>
    <w:p w14:paraId="2A48F9AF">
      <w:pPr>
        <w:pageBreakBefore w:val="0"/>
        <w:kinsoku/>
        <w:overflowPunct/>
        <w:topLinePunct w:val="0"/>
        <w:bidi w:val="0"/>
        <w:adjustRightInd w:val="0"/>
        <w:spacing w:line="165" w:lineRule="atLeast"/>
        <w:jc w:val="center"/>
        <w:outlineLvl w:val="9"/>
        <w:rPr>
          <w:rFonts w:ascii="宋体" w:hAnsi="宋体" w:cs="宋体"/>
          <w:bCs/>
          <w:color w:val="auto"/>
          <w:sz w:val="24"/>
          <w:highlight w:val="none"/>
        </w:rPr>
      </w:pPr>
      <w:bookmarkStart w:id="581" w:name="_Toc4214"/>
      <w:bookmarkStart w:id="582" w:name="_Toc2322"/>
      <w:bookmarkStart w:id="583" w:name="_Toc19934"/>
      <w:bookmarkStart w:id="584" w:name="_Toc29590_WPSOffice_Level1"/>
      <w:bookmarkStart w:id="585" w:name="_Toc22430"/>
      <w:bookmarkStart w:id="586" w:name="_Toc10282"/>
      <w:r>
        <w:rPr>
          <w:rFonts w:hint="eastAsia" w:ascii="宋体" w:hAnsi="宋体" w:cs="宋体"/>
          <w:b/>
          <w:color w:val="auto"/>
          <w:sz w:val="32"/>
          <w:szCs w:val="32"/>
          <w:highlight w:val="none"/>
          <w:lang w:val="en-US" w:eastAsia="zh-CN"/>
        </w:rPr>
        <w:t xml:space="preserve"> （一）</w:t>
      </w:r>
      <w:r>
        <w:rPr>
          <w:rFonts w:hint="eastAsia" w:ascii="宋体" w:hAnsi="宋体" w:cs="宋体"/>
          <w:b/>
          <w:color w:val="auto"/>
          <w:sz w:val="32"/>
          <w:szCs w:val="32"/>
          <w:highlight w:val="none"/>
          <w:lang w:eastAsia="zh-CN"/>
        </w:rPr>
        <w:t>供应商认为有利于磋商的其他资料，格式自拟</w:t>
      </w:r>
      <w:bookmarkEnd w:id="581"/>
      <w:bookmarkEnd w:id="582"/>
      <w:bookmarkEnd w:id="583"/>
      <w:bookmarkEnd w:id="584"/>
      <w:bookmarkEnd w:id="585"/>
      <w:bookmarkEnd w:id="586"/>
    </w:p>
    <w:p w14:paraId="1C27B588">
      <w:pPr>
        <w:outlineLvl w:val="9"/>
        <w:rPr>
          <w:rFonts w:hint="eastAsia" w:ascii="宋体" w:hAnsi="宋体" w:eastAsia="宋体" w:cs="宋体"/>
          <w:b/>
          <w:color w:val="auto"/>
          <w:sz w:val="28"/>
          <w:szCs w:val="28"/>
          <w:highlight w:val="none"/>
        </w:rPr>
      </w:pPr>
      <w:bookmarkStart w:id="587" w:name="_Toc26467"/>
      <w:bookmarkStart w:id="588" w:name="_Toc30366"/>
    </w:p>
    <w:p w14:paraId="12B29154">
      <w:pPr>
        <w:outlineLvl w:val="9"/>
        <w:rPr>
          <w:rFonts w:hint="eastAsia" w:ascii="宋体" w:hAnsi="宋体" w:eastAsia="宋体" w:cs="宋体"/>
          <w:b/>
          <w:color w:val="auto"/>
          <w:sz w:val="28"/>
          <w:szCs w:val="28"/>
          <w:highlight w:val="none"/>
        </w:rPr>
      </w:pPr>
    </w:p>
    <w:p w14:paraId="67D85E4B">
      <w:pPr>
        <w:outlineLvl w:val="9"/>
        <w:rPr>
          <w:rFonts w:hint="eastAsia" w:ascii="宋体" w:hAnsi="宋体" w:eastAsia="宋体" w:cs="宋体"/>
          <w:b/>
          <w:color w:val="auto"/>
          <w:sz w:val="28"/>
          <w:szCs w:val="28"/>
          <w:highlight w:val="none"/>
        </w:rPr>
      </w:pPr>
    </w:p>
    <w:p w14:paraId="27B89FBD">
      <w:pPr>
        <w:outlineLvl w:val="9"/>
        <w:rPr>
          <w:rFonts w:hint="eastAsia" w:ascii="宋体" w:hAnsi="宋体" w:eastAsia="宋体" w:cs="宋体"/>
          <w:b/>
          <w:color w:val="auto"/>
          <w:sz w:val="28"/>
          <w:szCs w:val="28"/>
          <w:highlight w:val="none"/>
        </w:rPr>
      </w:pPr>
    </w:p>
    <w:p w14:paraId="415654EA">
      <w:pPr>
        <w:jc w:val="center"/>
        <w:outlineLvl w:val="9"/>
        <w:rPr>
          <w:rFonts w:hint="eastAsia" w:ascii="宋体" w:hAnsi="宋体" w:eastAsia="宋体" w:cs="宋体"/>
          <w:b/>
          <w:color w:val="auto"/>
          <w:sz w:val="32"/>
          <w:szCs w:val="32"/>
          <w:highlight w:val="none"/>
          <w:lang w:eastAsia="zh-CN"/>
        </w:rPr>
      </w:pPr>
    </w:p>
    <w:p w14:paraId="5FC3988F">
      <w:pPr>
        <w:jc w:val="center"/>
        <w:outlineLvl w:val="9"/>
        <w:rPr>
          <w:rFonts w:hint="eastAsia" w:ascii="宋体" w:hAnsi="宋体" w:eastAsia="宋体" w:cs="宋体"/>
          <w:b/>
          <w:color w:val="auto"/>
          <w:sz w:val="32"/>
          <w:szCs w:val="32"/>
          <w:highlight w:val="none"/>
          <w:lang w:eastAsia="zh-CN"/>
        </w:rPr>
      </w:pPr>
    </w:p>
    <w:p w14:paraId="4B712594">
      <w:pPr>
        <w:jc w:val="center"/>
        <w:outlineLvl w:val="9"/>
        <w:rPr>
          <w:rFonts w:hint="eastAsia" w:ascii="宋体" w:hAnsi="宋体" w:eastAsia="宋体" w:cs="宋体"/>
          <w:b/>
          <w:color w:val="auto"/>
          <w:sz w:val="32"/>
          <w:szCs w:val="32"/>
          <w:highlight w:val="none"/>
          <w:lang w:eastAsia="zh-CN"/>
        </w:rPr>
      </w:pPr>
    </w:p>
    <w:p w14:paraId="07D6D64E">
      <w:pPr>
        <w:jc w:val="center"/>
        <w:outlineLvl w:val="9"/>
        <w:rPr>
          <w:rFonts w:hint="eastAsia" w:ascii="宋体" w:hAnsi="宋体" w:eastAsia="宋体" w:cs="宋体"/>
          <w:b/>
          <w:color w:val="auto"/>
          <w:sz w:val="32"/>
          <w:szCs w:val="32"/>
          <w:highlight w:val="none"/>
          <w:lang w:eastAsia="zh-CN"/>
        </w:rPr>
      </w:pPr>
    </w:p>
    <w:p w14:paraId="6C04584E">
      <w:pPr>
        <w:jc w:val="center"/>
        <w:outlineLvl w:val="9"/>
        <w:rPr>
          <w:rFonts w:hint="eastAsia" w:ascii="宋体" w:hAnsi="宋体" w:eastAsia="宋体" w:cs="宋体"/>
          <w:b/>
          <w:color w:val="auto"/>
          <w:sz w:val="32"/>
          <w:szCs w:val="32"/>
          <w:highlight w:val="none"/>
          <w:lang w:eastAsia="zh-CN"/>
        </w:rPr>
      </w:pPr>
    </w:p>
    <w:p w14:paraId="21265E0D">
      <w:pPr>
        <w:jc w:val="center"/>
        <w:outlineLvl w:val="9"/>
        <w:rPr>
          <w:rFonts w:hint="eastAsia" w:ascii="宋体" w:hAnsi="宋体" w:eastAsia="宋体" w:cs="宋体"/>
          <w:b/>
          <w:color w:val="auto"/>
          <w:sz w:val="32"/>
          <w:szCs w:val="32"/>
          <w:highlight w:val="none"/>
          <w:lang w:eastAsia="zh-CN"/>
        </w:rPr>
      </w:pPr>
    </w:p>
    <w:p w14:paraId="0A8C4251">
      <w:pPr>
        <w:jc w:val="center"/>
        <w:outlineLvl w:val="9"/>
        <w:rPr>
          <w:rFonts w:hint="eastAsia" w:ascii="宋体" w:hAnsi="宋体" w:eastAsia="宋体" w:cs="宋体"/>
          <w:b/>
          <w:color w:val="auto"/>
          <w:sz w:val="32"/>
          <w:szCs w:val="32"/>
          <w:highlight w:val="none"/>
          <w:lang w:eastAsia="zh-CN"/>
        </w:rPr>
      </w:pPr>
    </w:p>
    <w:p w14:paraId="15F3A16E">
      <w:pPr>
        <w:jc w:val="center"/>
        <w:outlineLvl w:val="9"/>
        <w:rPr>
          <w:rFonts w:hint="eastAsia" w:ascii="宋体" w:hAnsi="宋体" w:eastAsia="宋体" w:cs="宋体"/>
          <w:b/>
          <w:color w:val="auto"/>
          <w:sz w:val="32"/>
          <w:szCs w:val="32"/>
          <w:highlight w:val="none"/>
          <w:lang w:eastAsia="zh-CN"/>
        </w:rPr>
      </w:pPr>
    </w:p>
    <w:p w14:paraId="193BD5E0">
      <w:pPr>
        <w:jc w:val="center"/>
        <w:outlineLvl w:val="9"/>
        <w:rPr>
          <w:rFonts w:hint="eastAsia" w:ascii="宋体" w:hAnsi="宋体" w:eastAsia="宋体" w:cs="宋体"/>
          <w:b/>
          <w:color w:val="auto"/>
          <w:sz w:val="32"/>
          <w:szCs w:val="32"/>
          <w:highlight w:val="none"/>
          <w:lang w:eastAsia="zh-CN"/>
        </w:rPr>
      </w:pPr>
    </w:p>
    <w:p w14:paraId="6E673B6F">
      <w:pPr>
        <w:jc w:val="center"/>
        <w:outlineLvl w:val="9"/>
        <w:rPr>
          <w:rFonts w:hint="eastAsia" w:ascii="宋体" w:hAnsi="宋体" w:eastAsia="宋体" w:cs="宋体"/>
          <w:b/>
          <w:color w:val="auto"/>
          <w:sz w:val="32"/>
          <w:szCs w:val="32"/>
          <w:highlight w:val="none"/>
          <w:lang w:eastAsia="zh-CN"/>
        </w:rPr>
      </w:pPr>
    </w:p>
    <w:p w14:paraId="003A6C76">
      <w:pPr>
        <w:jc w:val="center"/>
        <w:outlineLvl w:val="9"/>
        <w:rPr>
          <w:rFonts w:hint="eastAsia" w:ascii="宋体" w:hAnsi="宋体" w:eastAsia="宋体" w:cs="宋体"/>
          <w:b/>
          <w:color w:val="auto"/>
          <w:sz w:val="32"/>
          <w:szCs w:val="32"/>
          <w:highlight w:val="none"/>
          <w:lang w:eastAsia="zh-CN"/>
        </w:rPr>
      </w:pPr>
    </w:p>
    <w:p w14:paraId="6A051460">
      <w:pPr>
        <w:jc w:val="center"/>
        <w:outlineLvl w:val="9"/>
        <w:rPr>
          <w:rFonts w:hint="eastAsia" w:ascii="宋体" w:hAnsi="宋体" w:eastAsia="宋体" w:cs="宋体"/>
          <w:b/>
          <w:color w:val="auto"/>
          <w:sz w:val="32"/>
          <w:szCs w:val="32"/>
          <w:highlight w:val="none"/>
          <w:lang w:eastAsia="zh-CN"/>
        </w:rPr>
      </w:pPr>
    </w:p>
    <w:p w14:paraId="07D8F848">
      <w:pPr>
        <w:jc w:val="center"/>
        <w:outlineLvl w:val="9"/>
        <w:rPr>
          <w:rFonts w:hint="eastAsia" w:ascii="宋体" w:hAnsi="宋体" w:eastAsia="宋体" w:cs="宋体"/>
          <w:b/>
          <w:color w:val="auto"/>
          <w:sz w:val="32"/>
          <w:szCs w:val="32"/>
          <w:highlight w:val="none"/>
          <w:lang w:eastAsia="zh-CN"/>
        </w:rPr>
      </w:pPr>
    </w:p>
    <w:p w14:paraId="5F44238E">
      <w:pPr>
        <w:jc w:val="center"/>
        <w:outlineLvl w:val="9"/>
        <w:rPr>
          <w:rFonts w:hint="eastAsia" w:ascii="宋体" w:hAnsi="宋体" w:eastAsia="宋体" w:cs="宋体"/>
          <w:b/>
          <w:color w:val="auto"/>
          <w:sz w:val="32"/>
          <w:szCs w:val="32"/>
          <w:highlight w:val="none"/>
          <w:lang w:eastAsia="zh-CN"/>
        </w:rPr>
      </w:pPr>
    </w:p>
    <w:p w14:paraId="695EEA07">
      <w:pPr>
        <w:jc w:val="center"/>
        <w:outlineLvl w:val="9"/>
        <w:rPr>
          <w:rFonts w:hint="eastAsia" w:ascii="宋体" w:hAnsi="宋体" w:eastAsia="宋体" w:cs="宋体"/>
          <w:b/>
          <w:color w:val="auto"/>
          <w:sz w:val="32"/>
          <w:szCs w:val="32"/>
          <w:highlight w:val="none"/>
          <w:lang w:eastAsia="zh-CN"/>
        </w:rPr>
      </w:pPr>
    </w:p>
    <w:bookmarkEnd w:id="587"/>
    <w:bookmarkEnd w:id="588"/>
    <w:p w14:paraId="211C60CB">
      <w:pPr>
        <w:pageBreakBefore w:val="0"/>
        <w:kinsoku/>
        <w:overflowPunct/>
        <w:topLinePunct w:val="0"/>
        <w:bidi w:val="0"/>
        <w:outlineLvl w:val="9"/>
        <w:rPr>
          <w:rFonts w:hint="eastAsia" w:ascii="宋体" w:hAnsi="宋体" w:eastAsia="宋体" w:cs="宋体"/>
          <w:color w:val="auto"/>
          <w:szCs w:val="21"/>
          <w:highlight w:val="none"/>
        </w:rPr>
      </w:pPr>
    </w:p>
    <w:p w14:paraId="3C338003">
      <w:pPr>
        <w:spacing w:line="360" w:lineRule="auto"/>
        <w:jc w:val="center"/>
        <w:outlineLvl w:val="0"/>
        <w:rPr>
          <w:rFonts w:hint="eastAsia" w:ascii="宋体" w:hAnsi="宋体" w:cs="宋体"/>
          <w:b/>
          <w:color w:val="auto"/>
          <w:sz w:val="32"/>
          <w:szCs w:val="32"/>
          <w:highlight w:val="none"/>
        </w:rPr>
      </w:pPr>
      <w:bookmarkStart w:id="589" w:name="_Toc24610"/>
      <w:bookmarkStart w:id="590" w:name="_Toc6425"/>
      <w:bookmarkStart w:id="591" w:name="_Toc26944"/>
      <w:bookmarkStart w:id="592" w:name="_Toc29346"/>
      <w:bookmarkStart w:id="593" w:name="_Toc16091"/>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rPr>
        <w:t>中小企业声明函</w:t>
      </w:r>
      <w:bookmarkEnd w:id="589"/>
      <w:bookmarkEnd w:id="590"/>
      <w:bookmarkEnd w:id="591"/>
      <w:bookmarkEnd w:id="592"/>
      <w:bookmarkEnd w:id="593"/>
    </w:p>
    <w:p w14:paraId="61C18559">
      <w:pPr>
        <w:jc w:val="center"/>
        <w:rPr>
          <w:rFonts w:hint="eastAsia" w:ascii="宋体" w:hAnsi="宋体" w:cs="宋体"/>
          <w:b/>
          <w:bCs/>
          <w:iCs/>
          <w:color w:val="auto"/>
          <w:sz w:val="24"/>
          <w:szCs w:val="24"/>
          <w:highlight w:val="none"/>
        </w:rPr>
      </w:pPr>
      <w:r>
        <w:rPr>
          <w:rFonts w:hint="eastAsia" w:ascii="宋体" w:hAnsi="宋体" w:cs="宋体"/>
          <w:b/>
          <w:bCs/>
          <w:iCs/>
          <w:color w:val="auto"/>
          <w:sz w:val="24"/>
          <w:szCs w:val="24"/>
          <w:highlight w:val="none"/>
        </w:rPr>
        <w:t>（属于中小微企业的填写，不属于的无需填写此项内容）</w:t>
      </w:r>
    </w:p>
    <w:p w14:paraId="1F9CD460">
      <w:pPr>
        <w:spacing w:line="360" w:lineRule="auto"/>
        <w:ind w:firstLine="480" w:firstLineChars="200"/>
        <w:rPr>
          <w:rFonts w:hint="eastAsia" w:ascii="宋体" w:hAnsi="宋体" w:cs="宋体"/>
          <w:color w:val="auto"/>
          <w:sz w:val="24"/>
          <w:szCs w:val="24"/>
          <w:highlight w:val="none"/>
        </w:rPr>
      </w:pPr>
    </w:p>
    <w:p w14:paraId="51540EB3">
      <w:pPr>
        <w:spacing w:line="360" w:lineRule="auto"/>
        <w:ind w:firstLine="480" w:firstLineChars="200"/>
        <w:rPr>
          <w:rFonts w:ascii="宋体" w:hAnsi="宋体"/>
          <w:color w:val="auto"/>
          <w:sz w:val="24"/>
          <w:szCs w:val="24"/>
          <w:highlight w:val="none"/>
        </w:rPr>
      </w:pPr>
      <w:bookmarkStart w:id="594" w:name="_Toc27746"/>
      <w:bookmarkStart w:id="595" w:name="_Toc32404"/>
      <w:bookmarkStart w:id="596" w:name="_Toc17441"/>
      <w:r>
        <w:rPr>
          <w:rFonts w:ascii="宋体" w:hAnsi="宋体"/>
          <w:color w:val="auto"/>
          <w:sz w:val="24"/>
          <w:szCs w:val="24"/>
          <w:highlight w:val="none"/>
        </w:rPr>
        <w:t>本公司郑重声明，根据《政府采购促进中小企业发展管理办法》（财库﹝2020﹞46号）的规定，本公司参加</w:t>
      </w:r>
      <w:r>
        <w:rPr>
          <w:rFonts w:ascii="宋体" w:hAnsi="宋体"/>
          <w:color w:val="auto"/>
          <w:sz w:val="24"/>
          <w:szCs w:val="24"/>
          <w:highlight w:val="none"/>
          <w:u w:val="single"/>
        </w:rPr>
        <w:t>（单位名称）</w:t>
      </w:r>
      <w:r>
        <w:rPr>
          <w:rFonts w:ascii="宋体" w:hAnsi="宋体"/>
          <w:color w:val="auto"/>
          <w:sz w:val="24"/>
          <w:szCs w:val="24"/>
          <w:highlight w:val="none"/>
        </w:rPr>
        <w:t xml:space="preserve"> 的</w:t>
      </w:r>
      <w:r>
        <w:rPr>
          <w:rFonts w:ascii="宋体" w:hAnsi="宋体"/>
          <w:color w:val="auto"/>
          <w:sz w:val="24"/>
          <w:szCs w:val="24"/>
          <w:highlight w:val="none"/>
          <w:u w:val="single"/>
        </w:rPr>
        <w:t>（项目名称）</w:t>
      </w:r>
      <w:r>
        <w:rPr>
          <w:rFonts w:ascii="宋体" w:hAnsi="宋体"/>
          <w:color w:val="auto"/>
          <w:sz w:val="24"/>
          <w:szCs w:val="24"/>
          <w:highlight w:val="none"/>
        </w:rPr>
        <w:t xml:space="preserve"> 采购活动，</w:t>
      </w:r>
      <w:r>
        <w:rPr>
          <w:rFonts w:hint="eastAsia" w:ascii="宋体" w:hAnsi="宋体"/>
          <w:color w:val="auto"/>
          <w:sz w:val="24"/>
          <w:szCs w:val="24"/>
          <w:highlight w:val="none"/>
          <w:lang w:val="en-US" w:eastAsia="zh-CN"/>
        </w:rPr>
        <w:t>服务全部由符合政策要求的中小企业承接。相关企业（含联合体中的中小企业、签订分包意向协议的中小企业）的</w:t>
      </w:r>
      <w:r>
        <w:rPr>
          <w:rFonts w:ascii="宋体" w:hAnsi="宋体"/>
          <w:color w:val="auto"/>
          <w:sz w:val="24"/>
          <w:szCs w:val="24"/>
          <w:highlight w:val="none"/>
        </w:rPr>
        <w:t>具体情况如下：</w:t>
      </w:r>
    </w:p>
    <w:p w14:paraId="37E670AC">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none"/>
          <w:lang w:val="en-US" w:eastAsia="zh-CN"/>
        </w:rPr>
        <w:t>1.</w:t>
      </w:r>
      <w:r>
        <w:rPr>
          <w:rFonts w:ascii="宋体" w:hAnsi="宋体"/>
          <w:color w:val="auto"/>
          <w:sz w:val="24"/>
          <w:szCs w:val="24"/>
          <w:highlight w:val="none"/>
          <w:u w:val="single"/>
        </w:rPr>
        <w:t>（标的名称）</w:t>
      </w:r>
      <w:r>
        <w:rPr>
          <w:rFonts w:ascii="宋体" w:hAnsi="宋体"/>
          <w:color w:val="auto"/>
          <w:sz w:val="24"/>
          <w:szCs w:val="24"/>
          <w:highlight w:val="none"/>
        </w:rPr>
        <w:t xml:space="preserve"> ，属于</w:t>
      </w:r>
      <w:r>
        <w:rPr>
          <w:rFonts w:ascii="宋体" w:hAnsi="宋体"/>
          <w:color w:val="auto"/>
          <w:sz w:val="24"/>
          <w:szCs w:val="24"/>
          <w:highlight w:val="none"/>
          <w:u w:val="single"/>
        </w:rPr>
        <w:t>（</w:t>
      </w:r>
      <w:r>
        <w:rPr>
          <w:rFonts w:hint="eastAsia" w:ascii="宋体" w:hAnsi="宋体"/>
          <w:color w:val="auto"/>
          <w:sz w:val="24"/>
          <w:szCs w:val="24"/>
          <w:highlight w:val="none"/>
          <w:u w:val="single"/>
        </w:rPr>
        <w:t>其他未列明行业</w:t>
      </w:r>
      <w:r>
        <w:rPr>
          <w:rFonts w:ascii="宋体" w:hAnsi="宋体"/>
          <w:color w:val="auto"/>
          <w:sz w:val="24"/>
          <w:szCs w:val="24"/>
          <w:highlight w:val="none"/>
          <w:u w:val="single"/>
        </w:rPr>
        <w:t>）</w:t>
      </w:r>
      <w:r>
        <w:rPr>
          <w:rFonts w:ascii="宋体" w:hAnsi="宋体"/>
          <w:color w:val="auto"/>
          <w:sz w:val="24"/>
          <w:szCs w:val="24"/>
          <w:highlight w:val="none"/>
        </w:rPr>
        <w:t>；</w:t>
      </w:r>
      <w:r>
        <w:rPr>
          <w:rFonts w:ascii="宋体" w:hAnsi="宋体"/>
          <w:color w:val="auto"/>
          <w:sz w:val="24"/>
          <w:szCs w:val="24"/>
          <w:highlight w:val="none"/>
          <w:lang w:val="en-US" w:eastAsia="zh-CN"/>
        </w:rPr>
        <w:t>承接企业</w:t>
      </w:r>
      <w:r>
        <w:rPr>
          <w:rFonts w:ascii="宋体" w:hAnsi="宋体"/>
          <w:color w:val="auto"/>
          <w:sz w:val="24"/>
          <w:szCs w:val="24"/>
          <w:highlight w:val="none"/>
        </w:rPr>
        <w:t>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万元，属于</w:t>
      </w:r>
      <w:r>
        <w:rPr>
          <w:rFonts w:ascii="宋体" w:hAnsi="宋体"/>
          <w:color w:val="auto"/>
          <w:sz w:val="24"/>
          <w:szCs w:val="24"/>
          <w:highlight w:val="none"/>
          <w:u w:val="single"/>
        </w:rPr>
        <w:t>（中型企业、 小型企业、 微型企业）</w:t>
      </w:r>
      <w:r>
        <w:rPr>
          <w:rFonts w:ascii="宋体" w:hAnsi="宋体"/>
          <w:color w:val="auto"/>
          <w:sz w:val="24"/>
          <w:szCs w:val="24"/>
          <w:highlight w:val="none"/>
        </w:rPr>
        <w:t>；</w:t>
      </w:r>
    </w:p>
    <w:p w14:paraId="74DE009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ascii="宋体" w:hAnsi="宋体"/>
          <w:color w:val="auto"/>
          <w:sz w:val="24"/>
          <w:szCs w:val="24"/>
          <w:highlight w:val="none"/>
          <w:u w:val="single"/>
        </w:rPr>
        <w:t>（标的名称）</w:t>
      </w:r>
      <w:r>
        <w:rPr>
          <w:rFonts w:ascii="宋体" w:hAnsi="宋体"/>
          <w:color w:val="auto"/>
          <w:sz w:val="24"/>
          <w:szCs w:val="24"/>
          <w:highlight w:val="none"/>
        </w:rPr>
        <w:t xml:space="preserve"> ，属于</w:t>
      </w:r>
      <w:r>
        <w:rPr>
          <w:rFonts w:ascii="宋体" w:hAnsi="宋体"/>
          <w:color w:val="auto"/>
          <w:sz w:val="24"/>
          <w:szCs w:val="24"/>
          <w:highlight w:val="none"/>
          <w:u w:val="single"/>
        </w:rPr>
        <w:t>（</w:t>
      </w:r>
      <w:r>
        <w:rPr>
          <w:rFonts w:hint="eastAsia" w:ascii="宋体" w:hAnsi="宋体"/>
          <w:color w:val="auto"/>
          <w:sz w:val="24"/>
          <w:szCs w:val="24"/>
          <w:highlight w:val="none"/>
          <w:u w:val="single"/>
        </w:rPr>
        <w:t>其他未列明行业</w:t>
      </w:r>
      <w:r>
        <w:rPr>
          <w:rFonts w:ascii="宋体" w:hAnsi="宋体"/>
          <w:color w:val="auto"/>
          <w:sz w:val="24"/>
          <w:szCs w:val="24"/>
          <w:highlight w:val="none"/>
          <w:u w:val="single"/>
        </w:rPr>
        <w:t>）</w:t>
      </w:r>
      <w:r>
        <w:rPr>
          <w:rFonts w:ascii="宋体" w:hAnsi="宋体"/>
          <w:color w:val="auto"/>
          <w:sz w:val="24"/>
          <w:szCs w:val="24"/>
          <w:highlight w:val="none"/>
        </w:rPr>
        <w:t>；</w:t>
      </w:r>
      <w:r>
        <w:rPr>
          <w:rFonts w:ascii="宋体" w:hAnsi="宋体"/>
          <w:color w:val="auto"/>
          <w:sz w:val="24"/>
          <w:szCs w:val="24"/>
          <w:highlight w:val="none"/>
          <w:lang w:val="en-US" w:eastAsia="zh-CN"/>
        </w:rPr>
        <w:t>承接企业</w:t>
      </w:r>
      <w:r>
        <w:rPr>
          <w:rFonts w:ascii="宋体" w:hAnsi="宋体"/>
          <w:color w:val="auto"/>
          <w:sz w:val="24"/>
          <w:szCs w:val="24"/>
          <w:highlight w:val="none"/>
        </w:rPr>
        <w:t>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万元，属于</w:t>
      </w:r>
      <w:r>
        <w:rPr>
          <w:rFonts w:ascii="宋体" w:hAnsi="宋体"/>
          <w:color w:val="auto"/>
          <w:sz w:val="24"/>
          <w:szCs w:val="24"/>
          <w:highlight w:val="none"/>
          <w:u w:val="single"/>
        </w:rPr>
        <w:t>（中型企业、 小型企业、 微型企业）</w:t>
      </w:r>
      <w:r>
        <w:rPr>
          <w:rFonts w:ascii="宋体" w:hAnsi="宋体"/>
          <w:color w:val="auto"/>
          <w:sz w:val="24"/>
          <w:szCs w:val="24"/>
          <w:highlight w:val="none"/>
        </w:rPr>
        <w:t>；</w:t>
      </w:r>
    </w:p>
    <w:p w14:paraId="128A02A5">
      <w:pPr>
        <w:pStyle w:val="35"/>
        <w:ind w:firstLine="480" w:firstLineChars="200"/>
        <w:rPr>
          <w:rFonts w:hint="eastAsia" w:eastAsia="宋体"/>
          <w:color w:val="auto"/>
          <w:highlight w:val="none"/>
          <w:lang w:val="en-US" w:eastAsia="zh-CN"/>
        </w:rPr>
      </w:pPr>
      <w:r>
        <w:rPr>
          <w:rFonts w:hint="eastAsia" w:hAnsi="宋体"/>
          <w:color w:val="auto"/>
          <w:sz w:val="24"/>
          <w:szCs w:val="24"/>
          <w:highlight w:val="none"/>
          <w:lang w:eastAsia="zh-CN"/>
        </w:rPr>
        <w:t>……</w:t>
      </w:r>
    </w:p>
    <w:p w14:paraId="6540C6B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以上企业，</w:t>
      </w:r>
      <w:r>
        <w:rPr>
          <w:rFonts w:ascii="宋体" w:hAnsi="宋体"/>
          <w:color w:val="auto"/>
          <w:sz w:val="24"/>
          <w:szCs w:val="24"/>
          <w:highlight w:val="none"/>
        </w:rPr>
        <w:t>不属于大企业的分支机构，不存在控股股东为大企业的情形，也不存在与大企业的负责人为同一人的情形。</w:t>
      </w:r>
    </w:p>
    <w:p w14:paraId="72E3EF1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本企业对上述声明内容的真实性负责。如有虚假，将依法承担相应责任。</w:t>
      </w:r>
    </w:p>
    <w:p w14:paraId="2E914FBE">
      <w:pPr>
        <w:spacing w:line="360" w:lineRule="auto"/>
        <w:ind w:firstLine="480" w:firstLineChars="200"/>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w:t>
      </w:r>
    </w:p>
    <w:p w14:paraId="029993DA">
      <w:pPr>
        <w:spacing w:line="360" w:lineRule="auto"/>
        <w:ind w:firstLine="480" w:firstLineChars="200"/>
        <w:jc w:val="center"/>
        <w:rPr>
          <w:rFonts w:hint="eastAsia" w:ascii="宋体" w:hAnsi="宋体"/>
          <w:color w:val="auto"/>
          <w:sz w:val="24"/>
          <w:szCs w:val="24"/>
          <w:highlight w:val="none"/>
          <w:lang w:val="en-US" w:eastAsia="zh-CN"/>
        </w:rPr>
      </w:pPr>
    </w:p>
    <w:p w14:paraId="556AD1A3">
      <w:pPr>
        <w:spacing w:line="360" w:lineRule="auto"/>
        <w:ind w:firstLine="480" w:firstLineChars="200"/>
        <w:jc w:val="center"/>
        <w:rPr>
          <w:rFonts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企业名称（盖章）：</w:t>
      </w:r>
    </w:p>
    <w:p w14:paraId="112F62A9">
      <w:pPr>
        <w:spacing w:line="360" w:lineRule="auto"/>
        <w:ind w:firstLine="480" w:firstLineChars="200"/>
        <w:jc w:val="center"/>
        <w:rPr>
          <w:rFonts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日 期：</w:t>
      </w:r>
    </w:p>
    <w:p w14:paraId="7C15DAE5">
      <w:pPr>
        <w:spacing w:line="360" w:lineRule="auto"/>
        <w:ind w:firstLine="480" w:firstLineChars="200"/>
        <w:rPr>
          <w:rFonts w:hint="eastAsia" w:ascii="宋体" w:hAnsi="宋体"/>
          <w:color w:val="auto"/>
          <w:sz w:val="24"/>
          <w:szCs w:val="24"/>
          <w:highlight w:val="none"/>
        </w:rPr>
      </w:pPr>
    </w:p>
    <w:p w14:paraId="7D37ED08">
      <w:pPr>
        <w:spacing w:line="360" w:lineRule="auto"/>
        <w:ind w:firstLine="480" w:firstLineChars="200"/>
        <w:rPr>
          <w:rFonts w:hint="eastAsia" w:ascii="宋体" w:hAnsi="宋体"/>
          <w:color w:val="auto"/>
          <w:sz w:val="24"/>
          <w:szCs w:val="24"/>
          <w:highlight w:val="none"/>
        </w:rPr>
      </w:pPr>
    </w:p>
    <w:p w14:paraId="5D94C21D">
      <w:pPr>
        <w:spacing w:line="360" w:lineRule="auto"/>
        <w:ind w:firstLine="480" w:firstLineChars="200"/>
        <w:rPr>
          <w:rFonts w:ascii="宋体" w:hAnsi="宋体" w:cs="宋体"/>
          <w:iCs/>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从业人员、营业收入、资产总额填报上一年度数据，无上一年度数据的新成立企业可不填报。</w:t>
      </w:r>
    </w:p>
    <w:p w14:paraId="71C5B18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0316E30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203A61EC">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053AD77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31D33F1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中小企业划型标准规定</w:t>
      </w:r>
    </w:p>
    <w:p w14:paraId="3C82AE2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一、根据《中华人民共和国中小企业促进法》和《国务院关于进一步促进中小企业发展的若干意见》（国发〔2009〕36号)，制定本规定。</w:t>
      </w:r>
    </w:p>
    <w:p w14:paraId="1CA9B63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二、中小企业划分为中型、小型、微型三种类型，具体标准根据企业从业人员、营业收入、资产总额等指标，结合行业特点制定。</w:t>
      </w:r>
    </w:p>
    <w:p w14:paraId="7D00EDA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67EB30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四、各行业划型标准为：</w:t>
      </w:r>
    </w:p>
    <w:p w14:paraId="4221914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362C28B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AF8086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6F4722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7BF507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228F2E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E6BF8F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68949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EF4BC9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B5F04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47EB0D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07043E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5E8F9D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6AEC97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0D5F66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49D235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2D45F72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五、企业类型的划分以统计部门的统计数据为依据。</w:t>
      </w:r>
    </w:p>
    <w:p w14:paraId="01B737D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5DC54E1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6FCEFB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八、本规定由工业和信息化部、国家统计局会同有关部门根据《国民经济行业分类》修订情况和企业发展变化情况适时修订。</w:t>
      </w:r>
    </w:p>
    <w:p w14:paraId="342F911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九、本规定由工业和信息化部、国家统计局会同有关部门负责解释。</w:t>
      </w:r>
    </w:p>
    <w:p w14:paraId="10F758B1">
      <w:pPr>
        <w:spacing w:line="360" w:lineRule="auto"/>
        <w:jc w:val="center"/>
        <w:outlineLvl w:val="9"/>
        <w:rPr>
          <w:rFonts w:hint="eastAsia" w:ascii="宋体" w:hAnsi="宋体" w:cs="宋体"/>
          <w:b/>
          <w:bCs/>
          <w:color w:val="auto"/>
          <w:sz w:val="32"/>
          <w:szCs w:val="32"/>
          <w:highlight w:val="none"/>
          <w:lang w:eastAsia="zh-CN"/>
        </w:rPr>
      </w:pPr>
      <w:bookmarkStart w:id="597" w:name="_Toc27504"/>
      <w:r>
        <w:rPr>
          <w:rFonts w:hint="eastAsia" w:ascii="宋体" w:hAnsi="宋体" w:eastAsia="宋体" w:cs="宋体"/>
          <w:color w:val="auto"/>
          <w:sz w:val="21"/>
          <w:szCs w:val="21"/>
          <w:highlight w:val="none"/>
        </w:rPr>
        <w:t>十、本规定自发布之日起执行，原国家经贸委、原国家计委、财政部和国家统计局2003年颁布的《中小企业标准暂行规定》国经贸中小企[2003]143号同时废止。</w:t>
      </w:r>
      <w:bookmarkEnd w:id="597"/>
    </w:p>
    <w:p w14:paraId="6AC8360B">
      <w:pPr>
        <w:spacing w:line="360" w:lineRule="auto"/>
        <w:jc w:val="center"/>
        <w:outlineLvl w:val="9"/>
        <w:rPr>
          <w:rFonts w:hint="eastAsia" w:ascii="宋体" w:hAnsi="宋体" w:cs="宋体"/>
          <w:b/>
          <w:bCs/>
          <w:color w:val="auto"/>
          <w:sz w:val="32"/>
          <w:szCs w:val="32"/>
          <w:highlight w:val="none"/>
          <w:lang w:eastAsia="zh-CN"/>
        </w:rPr>
      </w:pPr>
      <w:bookmarkStart w:id="598" w:name="_Toc13662"/>
    </w:p>
    <w:p w14:paraId="0515C9B0">
      <w:pPr>
        <w:spacing w:line="360" w:lineRule="auto"/>
        <w:jc w:val="center"/>
        <w:outlineLvl w:val="9"/>
        <w:rPr>
          <w:rFonts w:hint="eastAsia" w:ascii="宋体" w:hAnsi="宋体" w:cs="宋体"/>
          <w:b/>
          <w:bCs/>
          <w:color w:val="auto"/>
          <w:sz w:val="32"/>
          <w:szCs w:val="32"/>
          <w:highlight w:val="none"/>
          <w:lang w:eastAsia="zh-CN"/>
        </w:rPr>
      </w:pPr>
    </w:p>
    <w:p w14:paraId="51271364">
      <w:pPr>
        <w:spacing w:line="360" w:lineRule="auto"/>
        <w:jc w:val="center"/>
        <w:outlineLvl w:val="0"/>
        <w:rPr>
          <w:rFonts w:hint="eastAsia" w:ascii="宋体" w:hAnsi="宋体" w:cs="宋体"/>
          <w:b/>
          <w:bCs/>
          <w:color w:val="auto"/>
          <w:sz w:val="32"/>
          <w:szCs w:val="32"/>
          <w:highlight w:val="none"/>
          <w:lang w:eastAsia="zh-CN"/>
        </w:rPr>
      </w:pPr>
      <w:bookmarkStart w:id="599" w:name="_Toc10843"/>
      <w:bookmarkStart w:id="600" w:name="_Toc11845"/>
      <w:bookmarkStart w:id="601" w:name="_Toc18506"/>
    </w:p>
    <w:p w14:paraId="6EDD3B57">
      <w:pPr>
        <w:spacing w:line="360" w:lineRule="auto"/>
        <w:jc w:val="center"/>
        <w:outlineLvl w:val="0"/>
        <w:rPr>
          <w:rFonts w:hint="eastAsia" w:ascii="宋体" w:hAnsi="宋体" w:cs="宋体"/>
          <w:b/>
          <w:bCs/>
          <w:color w:val="auto"/>
          <w:sz w:val="32"/>
          <w:szCs w:val="32"/>
          <w:highlight w:val="none"/>
        </w:rPr>
      </w:pPr>
      <w:bookmarkStart w:id="602" w:name="_Toc6635"/>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二</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rPr>
        <w:t>残疾人福利性单位声明函</w:t>
      </w:r>
      <w:bookmarkEnd w:id="594"/>
      <w:bookmarkEnd w:id="595"/>
      <w:bookmarkEnd w:id="596"/>
      <w:bookmarkEnd w:id="598"/>
      <w:bookmarkEnd w:id="599"/>
      <w:bookmarkEnd w:id="600"/>
      <w:bookmarkEnd w:id="601"/>
      <w:bookmarkEnd w:id="602"/>
    </w:p>
    <w:p w14:paraId="7DC78D83">
      <w:pPr>
        <w:jc w:val="center"/>
        <w:rPr>
          <w:rFonts w:hint="eastAsia" w:ascii="宋体" w:hAnsi="宋体" w:cs="宋体"/>
          <w:b/>
          <w:bCs/>
          <w:color w:val="auto"/>
          <w:sz w:val="32"/>
          <w:szCs w:val="32"/>
          <w:highlight w:val="none"/>
        </w:rPr>
      </w:pPr>
      <w:r>
        <w:rPr>
          <w:rFonts w:hint="eastAsia" w:ascii="宋体" w:hAnsi="宋体" w:cs="宋体"/>
          <w:b/>
          <w:bCs/>
          <w:iCs/>
          <w:color w:val="auto"/>
          <w:sz w:val="24"/>
          <w:szCs w:val="24"/>
          <w:highlight w:val="none"/>
        </w:rPr>
        <w:t>（属于残疾人福利性单位的填写，不属于的无需填写此项内容）</w:t>
      </w:r>
    </w:p>
    <w:p w14:paraId="7CEEE17A">
      <w:pPr>
        <w:snapToGrid w:val="0"/>
        <w:spacing w:line="520" w:lineRule="exact"/>
        <w:ind w:left="1177" w:leftChars="-72" w:right="84" w:rightChars="40" w:hanging="1328" w:hangingChars="415"/>
        <w:jc w:val="center"/>
        <w:rPr>
          <w:rFonts w:hint="eastAsia" w:ascii="宋体" w:hAnsi="宋体" w:cs="宋体"/>
          <w:color w:val="auto"/>
          <w:sz w:val="32"/>
          <w:szCs w:val="32"/>
          <w:highlight w:val="none"/>
        </w:rPr>
      </w:pPr>
    </w:p>
    <w:p w14:paraId="32807F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50E2B858">
      <w:pPr>
        <w:spacing w:line="360" w:lineRule="auto"/>
        <w:ind w:firstLine="480" w:firstLineChars="200"/>
        <w:rPr>
          <w:rFonts w:hint="eastAsia" w:ascii="宋体" w:hAnsi="宋体" w:cs="宋体"/>
          <w:b/>
          <w:bCs/>
          <w:color w:val="auto"/>
          <w:sz w:val="32"/>
          <w:szCs w:val="32"/>
          <w:highlight w:val="none"/>
        </w:rPr>
      </w:pPr>
      <w:r>
        <w:rPr>
          <w:rFonts w:hint="eastAsia" w:ascii="宋体" w:hAnsi="宋体" w:cs="宋体"/>
          <w:color w:val="auto"/>
          <w:sz w:val="24"/>
          <w:szCs w:val="24"/>
          <w:highlight w:val="none"/>
        </w:rPr>
        <w:t>本单位对上述声明的真实性负责。如有虚假，将依法承担相应责任。</w:t>
      </w:r>
    </w:p>
    <w:p w14:paraId="2D35112E">
      <w:pPr>
        <w:spacing w:line="360" w:lineRule="auto"/>
        <w:jc w:val="center"/>
        <w:rPr>
          <w:rFonts w:hint="eastAsia" w:ascii="宋体" w:hAnsi="宋体" w:cs="宋体"/>
          <w:b/>
          <w:bCs/>
          <w:color w:val="auto"/>
          <w:sz w:val="32"/>
          <w:szCs w:val="32"/>
          <w:highlight w:val="none"/>
        </w:rPr>
      </w:pPr>
    </w:p>
    <w:p w14:paraId="31DA4681">
      <w:pPr>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F3AC428">
      <w:pPr>
        <w:spacing w:line="360" w:lineRule="auto"/>
        <w:ind w:firstLine="480" w:firstLineChars="200"/>
        <w:jc w:val="center"/>
        <w:rPr>
          <w:rFonts w:hint="eastAsia" w:ascii="宋体" w:hAnsi="宋体" w:cs="宋体"/>
          <w:color w:val="auto"/>
          <w:sz w:val="24"/>
          <w:szCs w:val="24"/>
          <w:highlight w:val="none"/>
        </w:rPr>
      </w:pPr>
    </w:p>
    <w:p w14:paraId="06F945F7">
      <w:pPr>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单位名称（</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ascii="宋体" w:hAnsi="宋体" w:cs="宋体"/>
          <w:color w:val="auto"/>
          <w:sz w:val="24"/>
          <w:szCs w:val="24"/>
          <w:highlight w:val="none"/>
        </w:rPr>
        <w:t>）：</w:t>
      </w:r>
    </w:p>
    <w:p w14:paraId="3E273E38">
      <w:pPr>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62E68D36">
      <w:pPr>
        <w:spacing w:line="360" w:lineRule="auto"/>
        <w:jc w:val="center"/>
        <w:rPr>
          <w:rFonts w:hint="eastAsia" w:ascii="宋体" w:hAnsi="宋体" w:cs="宋体"/>
          <w:b/>
          <w:bCs/>
          <w:color w:val="auto"/>
          <w:sz w:val="32"/>
          <w:szCs w:val="32"/>
          <w:highlight w:val="none"/>
        </w:rPr>
      </w:pPr>
    </w:p>
    <w:p w14:paraId="66F643C2">
      <w:pPr>
        <w:spacing w:line="360" w:lineRule="auto"/>
        <w:rPr>
          <w:rFonts w:hint="eastAsia" w:ascii="宋体" w:hAnsi="宋体" w:cs="宋体"/>
          <w:b/>
          <w:bCs/>
          <w:color w:val="auto"/>
          <w:sz w:val="32"/>
          <w:szCs w:val="32"/>
          <w:highlight w:val="none"/>
        </w:rPr>
      </w:pPr>
    </w:p>
    <w:p w14:paraId="40151211">
      <w:pPr>
        <w:spacing w:line="360" w:lineRule="auto"/>
        <w:rPr>
          <w:rFonts w:hint="eastAsia" w:ascii="宋体" w:hAnsi="宋体" w:cs="宋体"/>
          <w:b/>
          <w:bCs/>
          <w:color w:val="auto"/>
          <w:sz w:val="32"/>
          <w:szCs w:val="32"/>
          <w:highlight w:val="none"/>
        </w:rPr>
      </w:pPr>
    </w:p>
    <w:p w14:paraId="1F4253B7">
      <w:pPr>
        <w:spacing w:line="360" w:lineRule="auto"/>
        <w:rPr>
          <w:rFonts w:hint="eastAsia" w:ascii="宋体" w:hAnsi="宋体" w:cs="宋体"/>
          <w:b/>
          <w:bCs/>
          <w:color w:val="auto"/>
          <w:sz w:val="32"/>
          <w:szCs w:val="32"/>
          <w:highlight w:val="none"/>
        </w:rPr>
      </w:pPr>
    </w:p>
    <w:p w14:paraId="6CDD5EAC">
      <w:pPr>
        <w:spacing w:line="360" w:lineRule="auto"/>
        <w:rPr>
          <w:rFonts w:hint="eastAsia" w:ascii="宋体" w:hAnsi="宋体" w:cs="宋体"/>
          <w:b/>
          <w:bCs/>
          <w:color w:val="auto"/>
          <w:sz w:val="32"/>
          <w:szCs w:val="32"/>
          <w:highlight w:val="none"/>
        </w:rPr>
      </w:pPr>
    </w:p>
    <w:p w14:paraId="2F661432">
      <w:pPr>
        <w:spacing w:line="360" w:lineRule="auto"/>
        <w:rPr>
          <w:rFonts w:hint="eastAsia" w:ascii="宋体" w:hAnsi="宋体" w:cs="宋体"/>
          <w:b/>
          <w:bCs/>
          <w:color w:val="auto"/>
          <w:sz w:val="32"/>
          <w:szCs w:val="32"/>
          <w:highlight w:val="none"/>
        </w:rPr>
      </w:pPr>
    </w:p>
    <w:p w14:paraId="056D5879">
      <w:pPr>
        <w:spacing w:line="360" w:lineRule="auto"/>
        <w:rPr>
          <w:rFonts w:hint="eastAsia" w:ascii="宋体" w:hAnsi="宋体" w:cs="宋体"/>
          <w:b/>
          <w:bCs/>
          <w:color w:val="auto"/>
          <w:sz w:val="32"/>
          <w:szCs w:val="32"/>
          <w:highlight w:val="none"/>
        </w:rPr>
      </w:pPr>
    </w:p>
    <w:p w14:paraId="335B50A7">
      <w:pPr>
        <w:spacing w:line="360" w:lineRule="auto"/>
        <w:rPr>
          <w:rFonts w:hint="eastAsia" w:ascii="宋体" w:hAnsi="宋体" w:cs="宋体"/>
          <w:b/>
          <w:bCs/>
          <w:color w:val="auto"/>
          <w:sz w:val="32"/>
          <w:szCs w:val="32"/>
          <w:highlight w:val="none"/>
        </w:rPr>
      </w:pPr>
    </w:p>
    <w:p w14:paraId="58C583E7">
      <w:pPr>
        <w:spacing w:line="360" w:lineRule="auto"/>
        <w:jc w:val="both"/>
        <w:rPr>
          <w:rFonts w:hint="eastAsia" w:ascii="宋体" w:hAnsi="宋体" w:cs="宋体"/>
          <w:b/>
          <w:bCs/>
          <w:color w:val="auto"/>
          <w:sz w:val="32"/>
          <w:szCs w:val="32"/>
          <w:highlight w:val="none"/>
        </w:rPr>
      </w:pPr>
    </w:p>
    <w:p w14:paraId="163DB345">
      <w:pPr>
        <w:pStyle w:val="51"/>
        <w:rPr>
          <w:rFonts w:hint="eastAsia" w:ascii="宋体" w:hAnsi="宋体" w:cs="宋体"/>
          <w:b/>
          <w:bCs/>
          <w:color w:val="auto"/>
          <w:sz w:val="32"/>
          <w:szCs w:val="32"/>
          <w:highlight w:val="none"/>
        </w:rPr>
      </w:pPr>
    </w:p>
    <w:p w14:paraId="450CFE3E">
      <w:pPr>
        <w:pStyle w:val="51"/>
        <w:rPr>
          <w:rFonts w:hint="eastAsia" w:ascii="宋体" w:hAnsi="宋体" w:cs="宋体"/>
          <w:b/>
          <w:bCs/>
          <w:color w:val="auto"/>
          <w:sz w:val="32"/>
          <w:szCs w:val="32"/>
          <w:highlight w:val="none"/>
        </w:rPr>
      </w:pPr>
    </w:p>
    <w:p w14:paraId="385303D6">
      <w:pPr>
        <w:spacing w:line="360" w:lineRule="auto"/>
        <w:jc w:val="center"/>
        <w:outlineLvl w:val="0"/>
        <w:rPr>
          <w:rFonts w:hint="eastAsia" w:ascii="宋体" w:hAnsi="宋体" w:cs="宋体"/>
          <w:b/>
          <w:bCs/>
          <w:color w:val="auto"/>
          <w:sz w:val="32"/>
          <w:szCs w:val="32"/>
          <w:highlight w:val="none"/>
        </w:rPr>
      </w:pPr>
      <w:bookmarkStart w:id="603" w:name="_Toc30348"/>
      <w:bookmarkStart w:id="604" w:name="_Toc23049"/>
      <w:bookmarkStart w:id="605" w:name="_Toc26717"/>
      <w:bookmarkStart w:id="606" w:name="_Toc16565"/>
      <w:bookmarkStart w:id="607" w:name="_Toc22902"/>
      <w:bookmarkStart w:id="608" w:name="_Toc4737"/>
      <w:bookmarkStart w:id="609" w:name="_Toc4841"/>
      <w:bookmarkStart w:id="610" w:name="_Toc3403"/>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rPr>
        <w:t>监狱企业证明文件</w:t>
      </w:r>
      <w:bookmarkEnd w:id="603"/>
      <w:bookmarkEnd w:id="604"/>
      <w:bookmarkEnd w:id="605"/>
      <w:bookmarkEnd w:id="606"/>
      <w:bookmarkEnd w:id="607"/>
      <w:bookmarkEnd w:id="608"/>
      <w:bookmarkEnd w:id="609"/>
      <w:bookmarkEnd w:id="610"/>
    </w:p>
    <w:p w14:paraId="49983AC4">
      <w:pPr>
        <w:jc w:val="center"/>
        <w:outlineLvl w:val="0"/>
        <w:rPr>
          <w:rFonts w:hint="eastAsia" w:ascii="宋体" w:hAnsi="宋体" w:cs="宋体"/>
          <w:b/>
          <w:bCs/>
          <w:iCs/>
          <w:color w:val="auto"/>
          <w:sz w:val="24"/>
          <w:szCs w:val="24"/>
          <w:highlight w:val="none"/>
        </w:rPr>
      </w:pPr>
      <w:bookmarkStart w:id="611" w:name="_Toc10372"/>
      <w:bookmarkStart w:id="612" w:name="_Toc13583"/>
      <w:bookmarkStart w:id="613" w:name="_Toc19733"/>
      <w:bookmarkStart w:id="614" w:name="_Toc468"/>
      <w:r>
        <w:rPr>
          <w:rFonts w:hint="eastAsia" w:ascii="宋体" w:hAnsi="宋体" w:cs="宋体"/>
          <w:b/>
          <w:bCs/>
          <w:iCs/>
          <w:color w:val="auto"/>
          <w:sz w:val="24"/>
          <w:szCs w:val="24"/>
          <w:highlight w:val="none"/>
        </w:rPr>
        <w:t>（属于监狱企业的提供，不属于的无需提供此项内容）</w:t>
      </w:r>
      <w:bookmarkEnd w:id="611"/>
      <w:bookmarkEnd w:id="612"/>
      <w:bookmarkEnd w:id="613"/>
      <w:bookmarkEnd w:id="614"/>
    </w:p>
    <w:p w14:paraId="50DA64B8">
      <w:pPr>
        <w:spacing w:line="360" w:lineRule="auto"/>
        <w:rPr>
          <w:rFonts w:hint="eastAsia" w:ascii="宋体" w:hAnsi="宋体" w:cs="宋体"/>
          <w:b/>
          <w:bCs/>
          <w:color w:val="auto"/>
          <w:sz w:val="32"/>
          <w:szCs w:val="32"/>
          <w:highlight w:val="none"/>
        </w:rPr>
      </w:pPr>
    </w:p>
    <w:p w14:paraId="113AA2D4">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（监狱企业参加政府采购活动时，应当提供由省级以上监狱管理局、戒毒管理局(含新疆生产建设兵团)出具的属于监狱企业的证明文件。</w:t>
      </w:r>
    </w:p>
    <w:p w14:paraId="5A41F676">
      <w:pPr>
        <w:spacing w:line="360" w:lineRule="auto"/>
        <w:ind w:firstLine="720" w:firstLineChars="300"/>
        <w:jc w:val="left"/>
        <w:rPr>
          <w:rFonts w:hint="eastAsia" w:ascii="宋体" w:hAnsi="宋体" w:cs="宋体"/>
          <w:bCs/>
          <w:color w:val="auto"/>
          <w:sz w:val="24"/>
          <w:szCs w:val="24"/>
          <w:highlight w:val="none"/>
        </w:rPr>
      </w:pPr>
    </w:p>
    <w:p w14:paraId="6940FD6A">
      <w:pPr>
        <w:pageBreakBefore w:val="0"/>
        <w:kinsoku/>
        <w:overflowPunct/>
        <w:topLinePunct w:val="0"/>
        <w:bidi w:val="0"/>
        <w:outlineLvl w:val="9"/>
        <w:rPr>
          <w:rFonts w:hint="eastAsia" w:ascii="宋体" w:hAnsi="宋体" w:eastAsia="宋体" w:cs="宋体"/>
          <w:color w:val="auto"/>
          <w:szCs w:val="21"/>
          <w:highlight w:val="none"/>
        </w:rPr>
      </w:pPr>
      <w:r>
        <w:rPr>
          <w:rFonts w:hint="eastAsia" w:ascii="宋体" w:hAnsi="宋体" w:cs="宋体"/>
          <w:bCs/>
          <w:color w:val="auto"/>
          <w:sz w:val="24"/>
          <w:szCs w:val="24"/>
          <w:highlight w:val="none"/>
        </w:rPr>
        <w:t>注：在磋商响应文件中附扫描件。</w:t>
      </w:r>
    </w:p>
    <w:p w14:paraId="1A60D6AC">
      <w:pPr>
        <w:pageBreakBefore w:val="0"/>
        <w:kinsoku/>
        <w:overflowPunct/>
        <w:topLinePunct w:val="0"/>
        <w:bidi w:val="0"/>
        <w:outlineLvl w:val="9"/>
        <w:rPr>
          <w:rFonts w:hint="eastAsia" w:ascii="宋体" w:hAnsi="宋体" w:eastAsia="宋体" w:cs="宋体"/>
          <w:color w:val="auto"/>
          <w:szCs w:val="21"/>
          <w:highlight w:val="none"/>
        </w:rPr>
      </w:pPr>
    </w:p>
    <w:p w14:paraId="1F1FD927">
      <w:pPr>
        <w:pageBreakBefore w:val="0"/>
        <w:kinsoku/>
        <w:overflowPunct/>
        <w:topLinePunct w:val="0"/>
        <w:bidi w:val="0"/>
        <w:outlineLvl w:val="9"/>
        <w:rPr>
          <w:rFonts w:hint="eastAsia" w:ascii="宋体" w:hAnsi="宋体" w:eastAsia="宋体" w:cs="宋体"/>
          <w:color w:val="auto"/>
          <w:szCs w:val="21"/>
          <w:highlight w:val="none"/>
        </w:rPr>
      </w:pPr>
    </w:p>
    <w:p w14:paraId="2A68121C">
      <w:pPr>
        <w:pageBreakBefore w:val="0"/>
        <w:kinsoku/>
        <w:overflowPunct/>
        <w:topLinePunct w:val="0"/>
        <w:bidi w:val="0"/>
        <w:outlineLvl w:val="9"/>
        <w:rPr>
          <w:rFonts w:hint="eastAsia" w:ascii="宋体" w:hAnsi="宋体" w:eastAsia="宋体" w:cs="宋体"/>
          <w:color w:val="auto"/>
          <w:szCs w:val="21"/>
          <w:highlight w:val="none"/>
        </w:rPr>
      </w:pPr>
    </w:p>
    <w:p w14:paraId="0D9C5E6D">
      <w:pPr>
        <w:pageBreakBefore w:val="0"/>
        <w:kinsoku/>
        <w:overflowPunct/>
        <w:topLinePunct w:val="0"/>
        <w:bidi w:val="0"/>
        <w:outlineLvl w:val="9"/>
        <w:rPr>
          <w:rFonts w:hint="eastAsia" w:ascii="宋体" w:hAnsi="宋体" w:eastAsia="宋体" w:cs="宋体"/>
          <w:color w:val="auto"/>
          <w:szCs w:val="21"/>
          <w:highlight w:val="none"/>
        </w:rPr>
      </w:pPr>
    </w:p>
    <w:p w14:paraId="07EAD2C0">
      <w:pPr>
        <w:pageBreakBefore w:val="0"/>
        <w:kinsoku/>
        <w:overflowPunct/>
        <w:topLinePunct w:val="0"/>
        <w:bidi w:val="0"/>
        <w:outlineLvl w:val="9"/>
        <w:rPr>
          <w:rFonts w:hint="eastAsia" w:ascii="宋体" w:hAnsi="宋体" w:eastAsia="宋体" w:cs="宋体"/>
          <w:color w:val="auto"/>
          <w:highlight w:val="none"/>
        </w:rPr>
      </w:pPr>
    </w:p>
    <w:p w14:paraId="1D5E9B9F">
      <w:pPr>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单位名称（</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ascii="宋体" w:hAnsi="宋体" w:cs="宋体"/>
          <w:color w:val="auto"/>
          <w:sz w:val="24"/>
          <w:szCs w:val="24"/>
          <w:highlight w:val="none"/>
        </w:rPr>
        <w:t>）：</w:t>
      </w:r>
    </w:p>
    <w:p w14:paraId="19BECD19">
      <w:pPr>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4959DACD">
      <w:pPr>
        <w:pageBreakBefore w:val="0"/>
        <w:kinsoku/>
        <w:overflowPunct/>
        <w:topLinePunct w:val="0"/>
        <w:bidi w:val="0"/>
        <w:outlineLvl w:val="9"/>
        <w:rPr>
          <w:rFonts w:hint="eastAsia" w:ascii="宋体" w:hAnsi="宋体" w:eastAsia="宋体" w:cs="宋体"/>
          <w:color w:val="auto"/>
          <w:highlight w:val="none"/>
          <w:lang w:val="en-US" w:eastAsia="zh-CN"/>
        </w:rPr>
      </w:pPr>
    </w:p>
    <w:sectPr>
      <w:headerReference r:id="rId5" w:type="default"/>
      <w:footerReference r:id="rId6" w:type="default"/>
      <w:pgSz w:w="11906" w:h="16838"/>
      <w:pgMar w:top="1440" w:right="1800" w:bottom="1440" w:left="1800"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Sans Serif">
    <w:altName w:val="Segoe Print"/>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E10A4">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6345">
    <w:pPr>
      <w:pStyle w:val="12"/>
      <w:tabs>
        <w:tab w:val="center" w:pos="4536"/>
        <w:tab w:val="clear" w:pos="4153"/>
        <w:tab w:val="clear" w:pos="8306"/>
      </w:tabs>
      <w:rPr>
        <w:rFonts w:ascii="宋体" w:hAnsi="宋体"/>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24CEA">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C85CA">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2C85CA">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D9E2">
    <w:pPr>
      <w:pStyle w:val="14"/>
      <w:pBdr>
        <w:bottom w:val="none" w:color="auto" w:sz="0" w:space="1"/>
      </w:pBdr>
      <w:jc w:val="left"/>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Tq/BHQd/3wAf305zwH+Shl3aTCs=" w:salt="n4VD33V+dAOXmvaIuOZSB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Y2EyY2E1NGU3NTZkOWRlY2NiZTE0YWZiNGIwMGIifQ=="/>
  </w:docVars>
  <w:rsids>
    <w:rsidRoot w:val="4136347C"/>
    <w:rsid w:val="000969AD"/>
    <w:rsid w:val="003A0914"/>
    <w:rsid w:val="00496DA9"/>
    <w:rsid w:val="00733E26"/>
    <w:rsid w:val="007C717F"/>
    <w:rsid w:val="00C85F20"/>
    <w:rsid w:val="00CC502D"/>
    <w:rsid w:val="00D16ACA"/>
    <w:rsid w:val="00DC5E6F"/>
    <w:rsid w:val="00E84814"/>
    <w:rsid w:val="00EB07B1"/>
    <w:rsid w:val="011E3D92"/>
    <w:rsid w:val="01233A9E"/>
    <w:rsid w:val="01311D17"/>
    <w:rsid w:val="0131553C"/>
    <w:rsid w:val="01670762"/>
    <w:rsid w:val="016739AE"/>
    <w:rsid w:val="01865DC0"/>
    <w:rsid w:val="018E7FF3"/>
    <w:rsid w:val="01A51249"/>
    <w:rsid w:val="01A63B13"/>
    <w:rsid w:val="01C02C81"/>
    <w:rsid w:val="01D81097"/>
    <w:rsid w:val="01DB40A0"/>
    <w:rsid w:val="01EE02DF"/>
    <w:rsid w:val="02042C54"/>
    <w:rsid w:val="02052599"/>
    <w:rsid w:val="021A6C4F"/>
    <w:rsid w:val="021C5A78"/>
    <w:rsid w:val="024037A7"/>
    <w:rsid w:val="025854DE"/>
    <w:rsid w:val="02866093"/>
    <w:rsid w:val="02A816E8"/>
    <w:rsid w:val="02C95F7F"/>
    <w:rsid w:val="02CD1F13"/>
    <w:rsid w:val="0323246D"/>
    <w:rsid w:val="0335324A"/>
    <w:rsid w:val="034026E5"/>
    <w:rsid w:val="03404493"/>
    <w:rsid w:val="03492190"/>
    <w:rsid w:val="035A523A"/>
    <w:rsid w:val="03634A02"/>
    <w:rsid w:val="038C76D9"/>
    <w:rsid w:val="03B10EED"/>
    <w:rsid w:val="03BB6210"/>
    <w:rsid w:val="03C3332E"/>
    <w:rsid w:val="03C36E72"/>
    <w:rsid w:val="03C57F38"/>
    <w:rsid w:val="03CA6453"/>
    <w:rsid w:val="03DA750A"/>
    <w:rsid w:val="03DD6027"/>
    <w:rsid w:val="0401421B"/>
    <w:rsid w:val="04156537"/>
    <w:rsid w:val="04161698"/>
    <w:rsid w:val="04310280"/>
    <w:rsid w:val="04451A44"/>
    <w:rsid w:val="04461C11"/>
    <w:rsid w:val="04463D2B"/>
    <w:rsid w:val="04637F4D"/>
    <w:rsid w:val="04680523"/>
    <w:rsid w:val="047D2ACD"/>
    <w:rsid w:val="048D195A"/>
    <w:rsid w:val="04963FC8"/>
    <w:rsid w:val="04C74740"/>
    <w:rsid w:val="04DA4474"/>
    <w:rsid w:val="04E2157A"/>
    <w:rsid w:val="04E452F2"/>
    <w:rsid w:val="04E7083C"/>
    <w:rsid w:val="04EB48D3"/>
    <w:rsid w:val="04FA7115"/>
    <w:rsid w:val="04FE006D"/>
    <w:rsid w:val="053A3164"/>
    <w:rsid w:val="05452235"/>
    <w:rsid w:val="055406CA"/>
    <w:rsid w:val="055A55B4"/>
    <w:rsid w:val="056664AF"/>
    <w:rsid w:val="056A1C9B"/>
    <w:rsid w:val="056A57F8"/>
    <w:rsid w:val="056D274C"/>
    <w:rsid w:val="057354FE"/>
    <w:rsid w:val="057B7A05"/>
    <w:rsid w:val="058368B9"/>
    <w:rsid w:val="05860158"/>
    <w:rsid w:val="05924D4E"/>
    <w:rsid w:val="05CA273A"/>
    <w:rsid w:val="05DD06BF"/>
    <w:rsid w:val="05E31290"/>
    <w:rsid w:val="05F96B7B"/>
    <w:rsid w:val="05FB28F4"/>
    <w:rsid w:val="06047149"/>
    <w:rsid w:val="0619721E"/>
    <w:rsid w:val="062D0413"/>
    <w:rsid w:val="062E2CC9"/>
    <w:rsid w:val="064918BF"/>
    <w:rsid w:val="066C559F"/>
    <w:rsid w:val="067C6D42"/>
    <w:rsid w:val="068D6FBF"/>
    <w:rsid w:val="06B060B8"/>
    <w:rsid w:val="06CB62A4"/>
    <w:rsid w:val="06D249BA"/>
    <w:rsid w:val="06FA60CF"/>
    <w:rsid w:val="071C5217"/>
    <w:rsid w:val="07487EF1"/>
    <w:rsid w:val="075C3866"/>
    <w:rsid w:val="076878CF"/>
    <w:rsid w:val="07707311"/>
    <w:rsid w:val="078D3A39"/>
    <w:rsid w:val="07B23486"/>
    <w:rsid w:val="07C75183"/>
    <w:rsid w:val="07CD4764"/>
    <w:rsid w:val="07D94EB6"/>
    <w:rsid w:val="07DB29DD"/>
    <w:rsid w:val="07DD46FE"/>
    <w:rsid w:val="07E6312F"/>
    <w:rsid w:val="07F7533D"/>
    <w:rsid w:val="08024CF0"/>
    <w:rsid w:val="08145EEF"/>
    <w:rsid w:val="084E7652"/>
    <w:rsid w:val="08844E22"/>
    <w:rsid w:val="08A94889"/>
    <w:rsid w:val="08BB280E"/>
    <w:rsid w:val="08BC0A60"/>
    <w:rsid w:val="08C16272"/>
    <w:rsid w:val="08C96CD9"/>
    <w:rsid w:val="09055686"/>
    <w:rsid w:val="09414AC1"/>
    <w:rsid w:val="096D1D5A"/>
    <w:rsid w:val="098701D3"/>
    <w:rsid w:val="0992531D"/>
    <w:rsid w:val="09A45050"/>
    <w:rsid w:val="09C509E0"/>
    <w:rsid w:val="09CA2D09"/>
    <w:rsid w:val="09D05E45"/>
    <w:rsid w:val="09F05101"/>
    <w:rsid w:val="09F064E7"/>
    <w:rsid w:val="09F50D0B"/>
    <w:rsid w:val="0A175853"/>
    <w:rsid w:val="0A206DCD"/>
    <w:rsid w:val="0A36039E"/>
    <w:rsid w:val="0A3665F0"/>
    <w:rsid w:val="0A4B23D1"/>
    <w:rsid w:val="0A686923"/>
    <w:rsid w:val="0A6E16B4"/>
    <w:rsid w:val="0A8D5261"/>
    <w:rsid w:val="0AB1211B"/>
    <w:rsid w:val="0AC260D6"/>
    <w:rsid w:val="0B057D70"/>
    <w:rsid w:val="0B1F7084"/>
    <w:rsid w:val="0B350656"/>
    <w:rsid w:val="0B3F59DA"/>
    <w:rsid w:val="0B4765DB"/>
    <w:rsid w:val="0B61144B"/>
    <w:rsid w:val="0B9C6927"/>
    <w:rsid w:val="0BA94BA0"/>
    <w:rsid w:val="0BB52413"/>
    <w:rsid w:val="0BB579E9"/>
    <w:rsid w:val="0BB93035"/>
    <w:rsid w:val="0BD30569"/>
    <w:rsid w:val="0BDB744F"/>
    <w:rsid w:val="0BEF1802"/>
    <w:rsid w:val="0BF26547"/>
    <w:rsid w:val="0BF9505A"/>
    <w:rsid w:val="0C000FFD"/>
    <w:rsid w:val="0C086845"/>
    <w:rsid w:val="0C0A7D34"/>
    <w:rsid w:val="0C14470F"/>
    <w:rsid w:val="0C1C35C4"/>
    <w:rsid w:val="0C1D705A"/>
    <w:rsid w:val="0C1F2F8D"/>
    <w:rsid w:val="0C1F7E55"/>
    <w:rsid w:val="0C2506CA"/>
    <w:rsid w:val="0C440C31"/>
    <w:rsid w:val="0C592F5E"/>
    <w:rsid w:val="0C5E598A"/>
    <w:rsid w:val="0C6A2581"/>
    <w:rsid w:val="0C790A16"/>
    <w:rsid w:val="0C9870EE"/>
    <w:rsid w:val="0C9F6E57"/>
    <w:rsid w:val="0CC2416B"/>
    <w:rsid w:val="0CC4458E"/>
    <w:rsid w:val="0CC73075"/>
    <w:rsid w:val="0CDD0B3C"/>
    <w:rsid w:val="0CF27B29"/>
    <w:rsid w:val="0D1818C0"/>
    <w:rsid w:val="0D270E19"/>
    <w:rsid w:val="0D3450F7"/>
    <w:rsid w:val="0D461432"/>
    <w:rsid w:val="0D611BD6"/>
    <w:rsid w:val="0D660F9A"/>
    <w:rsid w:val="0D6C40D7"/>
    <w:rsid w:val="0D6E60A1"/>
    <w:rsid w:val="0D7002CE"/>
    <w:rsid w:val="0D714D5E"/>
    <w:rsid w:val="0D797D51"/>
    <w:rsid w:val="0D7F2AAC"/>
    <w:rsid w:val="0D814649"/>
    <w:rsid w:val="0D8E6743"/>
    <w:rsid w:val="0DC36FD9"/>
    <w:rsid w:val="0DC42165"/>
    <w:rsid w:val="0DDF0650"/>
    <w:rsid w:val="0DE8420A"/>
    <w:rsid w:val="0DFF286C"/>
    <w:rsid w:val="0E012A71"/>
    <w:rsid w:val="0E1814FB"/>
    <w:rsid w:val="0E1A3B33"/>
    <w:rsid w:val="0E230C39"/>
    <w:rsid w:val="0E3B2427"/>
    <w:rsid w:val="0E3E5A73"/>
    <w:rsid w:val="0E462B7A"/>
    <w:rsid w:val="0E4F5ED2"/>
    <w:rsid w:val="0E626E5B"/>
    <w:rsid w:val="0E8F62CF"/>
    <w:rsid w:val="0E911939"/>
    <w:rsid w:val="0E912047"/>
    <w:rsid w:val="0E9733D5"/>
    <w:rsid w:val="0E9B2EC6"/>
    <w:rsid w:val="0EE43F5B"/>
    <w:rsid w:val="0EE55047"/>
    <w:rsid w:val="0EE91E83"/>
    <w:rsid w:val="0F072309"/>
    <w:rsid w:val="0F0F72EA"/>
    <w:rsid w:val="0F136F00"/>
    <w:rsid w:val="0F1F1CC9"/>
    <w:rsid w:val="0F387C6B"/>
    <w:rsid w:val="0F3B0205"/>
    <w:rsid w:val="0F6C4862"/>
    <w:rsid w:val="0F735BF1"/>
    <w:rsid w:val="0F784EFC"/>
    <w:rsid w:val="0F845699"/>
    <w:rsid w:val="0F933B9D"/>
    <w:rsid w:val="0F9C2225"/>
    <w:rsid w:val="0FA638D0"/>
    <w:rsid w:val="0FAF0E26"/>
    <w:rsid w:val="0FBA737B"/>
    <w:rsid w:val="0FD61CDB"/>
    <w:rsid w:val="0FEB5787"/>
    <w:rsid w:val="0FF4755A"/>
    <w:rsid w:val="0FFA1E6E"/>
    <w:rsid w:val="0FFD54BA"/>
    <w:rsid w:val="100B0A50"/>
    <w:rsid w:val="101160B4"/>
    <w:rsid w:val="10180EB4"/>
    <w:rsid w:val="1025513D"/>
    <w:rsid w:val="102869DB"/>
    <w:rsid w:val="102A2753"/>
    <w:rsid w:val="102D7DC0"/>
    <w:rsid w:val="104139E0"/>
    <w:rsid w:val="105A46BB"/>
    <w:rsid w:val="109C4CD3"/>
    <w:rsid w:val="10A122E9"/>
    <w:rsid w:val="10A57E07"/>
    <w:rsid w:val="10B65D95"/>
    <w:rsid w:val="10E04EA0"/>
    <w:rsid w:val="10FC5772"/>
    <w:rsid w:val="11042EA2"/>
    <w:rsid w:val="1109077D"/>
    <w:rsid w:val="11194576"/>
    <w:rsid w:val="111E5275"/>
    <w:rsid w:val="11252143"/>
    <w:rsid w:val="112E0021"/>
    <w:rsid w:val="11382C4E"/>
    <w:rsid w:val="113B0990"/>
    <w:rsid w:val="113D0264"/>
    <w:rsid w:val="114C494B"/>
    <w:rsid w:val="115A0E16"/>
    <w:rsid w:val="116105DF"/>
    <w:rsid w:val="11671785"/>
    <w:rsid w:val="117277D4"/>
    <w:rsid w:val="11B12A00"/>
    <w:rsid w:val="11CE5360"/>
    <w:rsid w:val="11D16BFE"/>
    <w:rsid w:val="11D80670"/>
    <w:rsid w:val="11F32D4D"/>
    <w:rsid w:val="11F644AD"/>
    <w:rsid w:val="121C60CC"/>
    <w:rsid w:val="12261BA6"/>
    <w:rsid w:val="1226519C"/>
    <w:rsid w:val="12282CC2"/>
    <w:rsid w:val="122D02D9"/>
    <w:rsid w:val="12325BED"/>
    <w:rsid w:val="12344371"/>
    <w:rsid w:val="123B0AF9"/>
    <w:rsid w:val="123D63F3"/>
    <w:rsid w:val="12492C39"/>
    <w:rsid w:val="125C0BBE"/>
    <w:rsid w:val="126C4A85"/>
    <w:rsid w:val="126D6927"/>
    <w:rsid w:val="127C10A6"/>
    <w:rsid w:val="12933817"/>
    <w:rsid w:val="12A85BB1"/>
    <w:rsid w:val="12E33098"/>
    <w:rsid w:val="1325076E"/>
    <w:rsid w:val="13250FB0"/>
    <w:rsid w:val="132966A1"/>
    <w:rsid w:val="1360023A"/>
    <w:rsid w:val="13763F01"/>
    <w:rsid w:val="13814968"/>
    <w:rsid w:val="13865961"/>
    <w:rsid w:val="138959E3"/>
    <w:rsid w:val="138B1719"/>
    <w:rsid w:val="13966DBD"/>
    <w:rsid w:val="13A9579D"/>
    <w:rsid w:val="13B567D8"/>
    <w:rsid w:val="13C42C8F"/>
    <w:rsid w:val="13C42ECE"/>
    <w:rsid w:val="13C46A1B"/>
    <w:rsid w:val="14096B23"/>
    <w:rsid w:val="141A663B"/>
    <w:rsid w:val="141A7667"/>
    <w:rsid w:val="14263231"/>
    <w:rsid w:val="142B7C6A"/>
    <w:rsid w:val="1434014C"/>
    <w:rsid w:val="144663EA"/>
    <w:rsid w:val="14993452"/>
    <w:rsid w:val="14A44A93"/>
    <w:rsid w:val="14C424F8"/>
    <w:rsid w:val="14D12221"/>
    <w:rsid w:val="14D54EB3"/>
    <w:rsid w:val="14DB571C"/>
    <w:rsid w:val="14E659BE"/>
    <w:rsid w:val="14E86739"/>
    <w:rsid w:val="14EA4B98"/>
    <w:rsid w:val="14FB46BE"/>
    <w:rsid w:val="153B0F5F"/>
    <w:rsid w:val="15451DDD"/>
    <w:rsid w:val="156B2323"/>
    <w:rsid w:val="1578472F"/>
    <w:rsid w:val="157E0E4B"/>
    <w:rsid w:val="15877D00"/>
    <w:rsid w:val="15A308B2"/>
    <w:rsid w:val="15B30AF5"/>
    <w:rsid w:val="15DC6F2C"/>
    <w:rsid w:val="15F15D2D"/>
    <w:rsid w:val="16140D77"/>
    <w:rsid w:val="16290DB7"/>
    <w:rsid w:val="164518BB"/>
    <w:rsid w:val="16502966"/>
    <w:rsid w:val="1666025D"/>
    <w:rsid w:val="167A1613"/>
    <w:rsid w:val="16B56AEF"/>
    <w:rsid w:val="16C62AAA"/>
    <w:rsid w:val="16D36F75"/>
    <w:rsid w:val="170A0BE8"/>
    <w:rsid w:val="172A3039"/>
    <w:rsid w:val="174A5489"/>
    <w:rsid w:val="17591B70"/>
    <w:rsid w:val="176221FA"/>
    <w:rsid w:val="1767428D"/>
    <w:rsid w:val="17766A5D"/>
    <w:rsid w:val="177D585E"/>
    <w:rsid w:val="178070FD"/>
    <w:rsid w:val="178D1819"/>
    <w:rsid w:val="17AA4179"/>
    <w:rsid w:val="17AE3C6A"/>
    <w:rsid w:val="17C47B21"/>
    <w:rsid w:val="17D007DC"/>
    <w:rsid w:val="180C273E"/>
    <w:rsid w:val="180F196B"/>
    <w:rsid w:val="18137F71"/>
    <w:rsid w:val="18381785"/>
    <w:rsid w:val="18441ED8"/>
    <w:rsid w:val="184B003F"/>
    <w:rsid w:val="18702CCD"/>
    <w:rsid w:val="187D363C"/>
    <w:rsid w:val="189F35B2"/>
    <w:rsid w:val="18A577BC"/>
    <w:rsid w:val="18B54B84"/>
    <w:rsid w:val="18BB6E52"/>
    <w:rsid w:val="18BC5F12"/>
    <w:rsid w:val="18CE4A5B"/>
    <w:rsid w:val="18CE5C46"/>
    <w:rsid w:val="18EE0096"/>
    <w:rsid w:val="18F120CA"/>
    <w:rsid w:val="190F698A"/>
    <w:rsid w:val="191044B0"/>
    <w:rsid w:val="1910746C"/>
    <w:rsid w:val="191B532F"/>
    <w:rsid w:val="19502AFF"/>
    <w:rsid w:val="19520625"/>
    <w:rsid w:val="195F2D42"/>
    <w:rsid w:val="19814EFB"/>
    <w:rsid w:val="19866520"/>
    <w:rsid w:val="19976414"/>
    <w:rsid w:val="19AD7F51"/>
    <w:rsid w:val="19B60574"/>
    <w:rsid w:val="19BD2B30"/>
    <w:rsid w:val="19CF1C75"/>
    <w:rsid w:val="19D61256"/>
    <w:rsid w:val="19DB05BE"/>
    <w:rsid w:val="19F72376"/>
    <w:rsid w:val="1A0521CA"/>
    <w:rsid w:val="1A2024D1"/>
    <w:rsid w:val="1A2E2E40"/>
    <w:rsid w:val="1A312930"/>
    <w:rsid w:val="1A3430C1"/>
    <w:rsid w:val="1A5358A1"/>
    <w:rsid w:val="1A6E148E"/>
    <w:rsid w:val="1AA41354"/>
    <w:rsid w:val="1AAE5DE5"/>
    <w:rsid w:val="1AAE6CE1"/>
    <w:rsid w:val="1AC57B9A"/>
    <w:rsid w:val="1AC94917"/>
    <w:rsid w:val="1AD977F3"/>
    <w:rsid w:val="1ADC289C"/>
    <w:rsid w:val="1AE26B12"/>
    <w:rsid w:val="1AE6371B"/>
    <w:rsid w:val="1AE9320B"/>
    <w:rsid w:val="1AEE2276"/>
    <w:rsid w:val="1AFF0F93"/>
    <w:rsid w:val="1B0F349B"/>
    <w:rsid w:val="1B27187D"/>
    <w:rsid w:val="1B3C333B"/>
    <w:rsid w:val="1B4504E9"/>
    <w:rsid w:val="1B700C4D"/>
    <w:rsid w:val="1B781C36"/>
    <w:rsid w:val="1B9238A2"/>
    <w:rsid w:val="1BA974EF"/>
    <w:rsid w:val="1BD4364C"/>
    <w:rsid w:val="1BD6553D"/>
    <w:rsid w:val="1BF83465"/>
    <w:rsid w:val="1BFE0D54"/>
    <w:rsid w:val="1C055E22"/>
    <w:rsid w:val="1C315911"/>
    <w:rsid w:val="1C387FA6"/>
    <w:rsid w:val="1C420E24"/>
    <w:rsid w:val="1C444376"/>
    <w:rsid w:val="1C454471"/>
    <w:rsid w:val="1C556DAA"/>
    <w:rsid w:val="1C6F14EE"/>
    <w:rsid w:val="1C711E7B"/>
    <w:rsid w:val="1C931680"/>
    <w:rsid w:val="1CA05B4B"/>
    <w:rsid w:val="1CA44A0F"/>
    <w:rsid w:val="1CA45C48"/>
    <w:rsid w:val="1CB11B06"/>
    <w:rsid w:val="1CB378CC"/>
    <w:rsid w:val="1CB44478"/>
    <w:rsid w:val="1CB93072"/>
    <w:rsid w:val="1CBF4223"/>
    <w:rsid w:val="1CEB14BC"/>
    <w:rsid w:val="1CF87735"/>
    <w:rsid w:val="1CFD5232"/>
    <w:rsid w:val="1D1F4CC2"/>
    <w:rsid w:val="1D5A219E"/>
    <w:rsid w:val="1D736E7A"/>
    <w:rsid w:val="1D81772B"/>
    <w:rsid w:val="1D885B1E"/>
    <w:rsid w:val="1D936104"/>
    <w:rsid w:val="1DBC0763"/>
    <w:rsid w:val="1DCD471E"/>
    <w:rsid w:val="1DFE521F"/>
    <w:rsid w:val="1E0F2F88"/>
    <w:rsid w:val="1E222CBC"/>
    <w:rsid w:val="1E387FD4"/>
    <w:rsid w:val="1E525DA6"/>
    <w:rsid w:val="1EA25BAA"/>
    <w:rsid w:val="1ECC6AB2"/>
    <w:rsid w:val="1EE00481"/>
    <w:rsid w:val="1EE147FF"/>
    <w:rsid w:val="1F2B2044"/>
    <w:rsid w:val="1F3031B6"/>
    <w:rsid w:val="1F450CF7"/>
    <w:rsid w:val="1F464788"/>
    <w:rsid w:val="1F4E1A42"/>
    <w:rsid w:val="1F6707C5"/>
    <w:rsid w:val="1F7C464D"/>
    <w:rsid w:val="1F7E1D31"/>
    <w:rsid w:val="1F8A299F"/>
    <w:rsid w:val="1F8B3432"/>
    <w:rsid w:val="1F8D23B7"/>
    <w:rsid w:val="1FA92F69"/>
    <w:rsid w:val="1FB65DB1"/>
    <w:rsid w:val="1FD20711"/>
    <w:rsid w:val="1FD96669"/>
    <w:rsid w:val="1FE47C95"/>
    <w:rsid w:val="1FE813F2"/>
    <w:rsid w:val="1FE87F35"/>
    <w:rsid w:val="200A3F4C"/>
    <w:rsid w:val="200E0542"/>
    <w:rsid w:val="20142AD8"/>
    <w:rsid w:val="20176124"/>
    <w:rsid w:val="201C0A0B"/>
    <w:rsid w:val="203F591A"/>
    <w:rsid w:val="204C132C"/>
    <w:rsid w:val="20575F7F"/>
    <w:rsid w:val="205B0707"/>
    <w:rsid w:val="205B4263"/>
    <w:rsid w:val="20617999"/>
    <w:rsid w:val="206B315A"/>
    <w:rsid w:val="206F41B2"/>
    <w:rsid w:val="207277FE"/>
    <w:rsid w:val="20745325"/>
    <w:rsid w:val="208F215E"/>
    <w:rsid w:val="20B205DC"/>
    <w:rsid w:val="20B34AA7"/>
    <w:rsid w:val="20C0056A"/>
    <w:rsid w:val="20EC5803"/>
    <w:rsid w:val="20FF72E4"/>
    <w:rsid w:val="21026DD4"/>
    <w:rsid w:val="21156B08"/>
    <w:rsid w:val="21226502"/>
    <w:rsid w:val="21243CEE"/>
    <w:rsid w:val="215A1231"/>
    <w:rsid w:val="21823A71"/>
    <w:rsid w:val="21BD7F8A"/>
    <w:rsid w:val="21D13950"/>
    <w:rsid w:val="21E64B60"/>
    <w:rsid w:val="21EB5ABA"/>
    <w:rsid w:val="220F3557"/>
    <w:rsid w:val="221E379A"/>
    <w:rsid w:val="22287087"/>
    <w:rsid w:val="222B2DE4"/>
    <w:rsid w:val="222F1E4B"/>
    <w:rsid w:val="222F59A7"/>
    <w:rsid w:val="225E44DE"/>
    <w:rsid w:val="22673240"/>
    <w:rsid w:val="22680EB9"/>
    <w:rsid w:val="22877591"/>
    <w:rsid w:val="229E48DB"/>
    <w:rsid w:val="22A068A5"/>
    <w:rsid w:val="22A16179"/>
    <w:rsid w:val="22AC6FF8"/>
    <w:rsid w:val="22CA56D0"/>
    <w:rsid w:val="22CB53D1"/>
    <w:rsid w:val="22D30A28"/>
    <w:rsid w:val="22E13791"/>
    <w:rsid w:val="22F32E79"/>
    <w:rsid w:val="231234DD"/>
    <w:rsid w:val="23172C08"/>
    <w:rsid w:val="23205778"/>
    <w:rsid w:val="232E4694"/>
    <w:rsid w:val="23605838"/>
    <w:rsid w:val="237044C9"/>
    <w:rsid w:val="23875A3A"/>
    <w:rsid w:val="2392443F"/>
    <w:rsid w:val="23931F66"/>
    <w:rsid w:val="23AE4FF1"/>
    <w:rsid w:val="23B4085A"/>
    <w:rsid w:val="23C6058D"/>
    <w:rsid w:val="23D06D16"/>
    <w:rsid w:val="23D762F6"/>
    <w:rsid w:val="23E26A49"/>
    <w:rsid w:val="23E34C9B"/>
    <w:rsid w:val="23EC2DB3"/>
    <w:rsid w:val="23F24EDE"/>
    <w:rsid w:val="24066BDB"/>
    <w:rsid w:val="24217571"/>
    <w:rsid w:val="243454F7"/>
    <w:rsid w:val="24601ADC"/>
    <w:rsid w:val="24801A42"/>
    <w:rsid w:val="2481005B"/>
    <w:rsid w:val="248F4E23"/>
    <w:rsid w:val="24975A86"/>
    <w:rsid w:val="249E5066"/>
    <w:rsid w:val="24B94DA7"/>
    <w:rsid w:val="24FB6014"/>
    <w:rsid w:val="250A448D"/>
    <w:rsid w:val="251470D6"/>
    <w:rsid w:val="251E530A"/>
    <w:rsid w:val="252F7A05"/>
    <w:rsid w:val="254134B8"/>
    <w:rsid w:val="25445C0D"/>
    <w:rsid w:val="255045B2"/>
    <w:rsid w:val="256C6F12"/>
    <w:rsid w:val="25A4045A"/>
    <w:rsid w:val="25AC730F"/>
    <w:rsid w:val="25AE26A8"/>
    <w:rsid w:val="25B508B9"/>
    <w:rsid w:val="25CD79B1"/>
    <w:rsid w:val="25E00134"/>
    <w:rsid w:val="25E7229D"/>
    <w:rsid w:val="25FA13A1"/>
    <w:rsid w:val="260B670E"/>
    <w:rsid w:val="260E3B25"/>
    <w:rsid w:val="26177D1E"/>
    <w:rsid w:val="261E49C3"/>
    <w:rsid w:val="26211AAB"/>
    <w:rsid w:val="26235823"/>
    <w:rsid w:val="262F5E44"/>
    <w:rsid w:val="26467763"/>
    <w:rsid w:val="26477832"/>
    <w:rsid w:val="26492DAF"/>
    <w:rsid w:val="2657598F"/>
    <w:rsid w:val="26661BB3"/>
    <w:rsid w:val="266B0F78"/>
    <w:rsid w:val="268A3AF4"/>
    <w:rsid w:val="26A06E73"/>
    <w:rsid w:val="26AD25D3"/>
    <w:rsid w:val="26C802EA"/>
    <w:rsid w:val="26CA0394"/>
    <w:rsid w:val="26E31456"/>
    <w:rsid w:val="26F954CE"/>
    <w:rsid w:val="27165388"/>
    <w:rsid w:val="272730F1"/>
    <w:rsid w:val="2729330D"/>
    <w:rsid w:val="27851ABC"/>
    <w:rsid w:val="27A91D58"/>
    <w:rsid w:val="27AA5AD0"/>
    <w:rsid w:val="27C375BA"/>
    <w:rsid w:val="27C46B92"/>
    <w:rsid w:val="27C64D2E"/>
    <w:rsid w:val="27E72880"/>
    <w:rsid w:val="27F274D5"/>
    <w:rsid w:val="27FE61A9"/>
    <w:rsid w:val="28167ADE"/>
    <w:rsid w:val="282633A8"/>
    <w:rsid w:val="284307F6"/>
    <w:rsid w:val="28560CD9"/>
    <w:rsid w:val="285C501C"/>
    <w:rsid w:val="28687E65"/>
    <w:rsid w:val="28697739"/>
    <w:rsid w:val="2878203F"/>
    <w:rsid w:val="28924EE2"/>
    <w:rsid w:val="2895052E"/>
    <w:rsid w:val="2899001E"/>
    <w:rsid w:val="28A80261"/>
    <w:rsid w:val="28D177B8"/>
    <w:rsid w:val="28D92B11"/>
    <w:rsid w:val="28F90ABD"/>
    <w:rsid w:val="28F96D0F"/>
    <w:rsid w:val="28FB0838"/>
    <w:rsid w:val="28FB65E3"/>
    <w:rsid w:val="2907142C"/>
    <w:rsid w:val="29233D8C"/>
    <w:rsid w:val="29244AEE"/>
    <w:rsid w:val="29385A89"/>
    <w:rsid w:val="29494DB0"/>
    <w:rsid w:val="294B5203"/>
    <w:rsid w:val="2972287B"/>
    <w:rsid w:val="298A5BB9"/>
    <w:rsid w:val="29D532D8"/>
    <w:rsid w:val="29D55086"/>
    <w:rsid w:val="29F9326C"/>
    <w:rsid w:val="29F96555"/>
    <w:rsid w:val="2A110088"/>
    <w:rsid w:val="2A2D1028"/>
    <w:rsid w:val="2A314286"/>
    <w:rsid w:val="2A3C3357"/>
    <w:rsid w:val="2A3F017D"/>
    <w:rsid w:val="2A84085A"/>
    <w:rsid w:val="2A8E3487"/>
    <w:rsid w:val="2A9151EF"/>
    <w:rsid w:val="2AB23619"/>
    <w:rsid w:val="2AB54EB7"/>
    <w:rsid w:val="2ABA0FF7"/>
    <w:rsid w:val="2AC05D36"/>
    <w:rsid w:val="2AEF2177"/>
    <w:rsid w:val="2B065713"/>
    <w:rsid w:val="2B41674B"/>
    <w:rsid w:val="2B426034"/>
    <w:rsid w:val="2B4434AB"/>
    <w:rsid w:val="2B493661"/>
    <w:rsid w:val="2B512E32"/>
    <w:rsid w:val="2B522706"/>
    <w:rsid w:val="2B6951FE"/>
    <w:rsid w:val="2B6C37C8"/>
    <w:rsid w:val="2B793AD0"/>
    <w:rsid w:val="2B815DB4"/>
    <w:rsid w:val="2B8515C8"/>
    <w:rsid w:val="2B892B96"/>
    <w:rsid w:val="2B936FA7"/>
    <w:rsid w:val="2B957EFB"/>
    <w:rsid w:val="2BAB0692"/>
    <w:rsid w:val="2BAB6CDC"/>
    <w:rsid w:val="2BB62C95"/>
    <w:rsid w:val="2BB807BB"/>
    <w:rsid w:val="2BD1187D"/>
    <w:rsid w:val="2BF043F9"/>
    <w:rsid w:val="2BF10171"/>
    <w:rsid w:val="2C0E033F"/>
    <w:rsid w:val="2C104AB8"/>
    <w:rsid w:val="2C372028"/>
    <w:rsid w:val="2C38567E"/>
    <w:rsid w:val="2C4E2ECE"/>
    <w:rsid w:val="2C5129BE"/>
    <w:rsid w:val="2C521663"/>
    <w:rsid w:val="2C620559"/>
    <w:rsid w:val="2C6206E0"/>
    <w:rsid w:val="2CAD5E46"/>
    <w:rsid w:val="2CDB245A"/>
    <w:rsid w:val="2CED26E7"/>
    <w:rsid w:val="2CF9108B"/>
    <w:rsid w:val="2D177764"/>
    <w:rsid w:val="2D1C2FCC"/>
    <w:rsid w:val="2D1E6D44"/>
    <w:rsid w:val="2D3C366E"/>
    <w:rsid w:val="2D5269EE"/>
    <w:rsid w:val="2D742E08"/>
    <w:rsid w:val="2D920179"/>
    <w:rsid w:val="2DBD030B"/>
    <w:rsid w:val="2DD65871"/>
    <w:rsid w:val="2DE41D3C"/>
    <w:rsid w:val="2E041285"/>
    <w:rsid w:val="2E085E8E"/>
    <w:rsid w:val="2E1524D6"/>
    <w:rsid w:val="2E25055D"/>
    <w:rsid w:val="2E2C1CBB"/>
    <w:rsid w:val="2E2E1209"/>
    <w:rsid w:val="2E4F4144"/>
    <w:rsid w:val="2E5073D1"/>
    <w:rsid w:val="2E513149"/>
    <w:rsid w:val="2E5A62E0"/>
    <w:rsid w:val="2E666BF4"/>
    <w:rsid w:val="2E775838"/>
    <w:rsid w:val="2E7D7A9A"/>
    <w:rsid w:val="2E817994"/>
    <w:rsid w:val="2E954DE4"/>
    <w:rsid w:val="2E9A0EF4"/>
    <w:rsid w:val="2EA15E7F"/>
    <w:rsid w:val="2EA27501"/>
    <w:rsid w:val="2EB55115"/>
    <w:rsid w:val="2EE7237C"/>
    <w:rsid w:val="2EFD27F8"/>
    <w:rsid w:val="2F0A055B"/>
    <w:rsid w:val="2F4607D4"/>
    <w:rsid w:val="2F5702EB"/>
    <w:rsid w:val="2F613E4F"/>
    <w:rsid w:val="2F650C5A"/>
    <w:rsid w:val="2F654DB1"/>
    <w:rsid w:val="2F6B6B26"/>
    <w:rsid w:val="2F880DEC"/>
    <w:rsid w:val="2FA8323D"/>
    <w:rsid w:val="2FC02334"/>
    <w:rsid w:val="30275F10"/>
    <w:rsid w:val="30281C88"/>
    <w:rsid w:val="304A369B"/>
    <w:rsid w:val="304E5071"/>
    <w:rsid w:val="30502425"/>
    <w:rsid w:val="306233EC"/>
    <w:rsid w:val="306E37FA"/>
    <w:rsid w:val="307C74C4"/>
    <w:rsid w:val="30B005FB"/>
    <w:rsid w:val="30C47C02"/>
    <w:rsid w:val="30C72FFF"/>
    <w:rsid w:val="30CE6CD3"/>
    <w:rsid w:val="30F06C49"/>
    <w:rsid w:val="30FF50DE"/>
    <w:rsid w:val="311C17EC"/>
    <w:rsid w:val="312A7750"/>
    <w:rsid w:val="31466869"/>
    <w:rsid w:val="314F3856"/>
    <w:rsid w:val="31570403"/>
    <w:rsid w:val="31644F41"/>
    <w:rsid w:val="316513E5"/>
    <w:rsid w:val="318F1FBE"/>
    <w:rsid w:val="31921AAF"/>
    <w:rsid w:val="31934AAF"/>
    <w:rsid w:val="31BC4D7D"/>
    <w:rsid w:val="31BF7492"/>
    <w:rsid w:val="31C3435E"/>
    <w:rsid w:val="31C51E84"/>
    <w:rsid w:val="31D73965"/>
    <w:rsid w:val="31EA5447"/>
    <w:rsid w:val="31F108E6"/>
    <w:rsid w:val="32003CE4"/>
    <w:rsid w:val="32086704"/>
    <w:rsid w:val="32135AF2"/>
    <w:rsid w:val="322A7F39"/>
    <w:rsid w:val="323F1C36"/>
    <w:rsid w:val="325A3FEF"/>
    <w:rsid w:val="32607DFF"/>
    <w:rsid w:val="327D275F"/>
    <w:rsid w:val="327F0547"/>
    <w:rsid w:val="329451A2"/>
    <w:rsid w:val="32B20479"/>
    <w:rsid w:val="33122EA7"/>
    <w:rsid w:val="3344502A"/>
    <w:rsid w:val="33460DA3"/>
    <w:rsid w:val="33501C21"/>
    <w:rsid w:val="335E1684"/>
    <w:rsid w:val="33721B98"/>
    <w:rsid w:val="337A6C9E"/>
    <w:rsid w:val="337C47C4"/>
    <w:rsid w:val="33AA7583"/>
    <w:rsid w:val="33B73A4E"/>
    <w:rsid w:val="33BC1065"/>
    <w:rsid w:val="33C70135"/>
    <w:rsid w:val="33E5680D"/>
    <w:rsid w:val="33ED56C2"/>
    <w:rsid w:val="3412009D"/>
    <w:rsid w:val="342B06AB"/>
    <w:rsid w:val="342D5ABF"/>
    <w:rsid w:val="34457907"/>
    <w:rsid w:val="344B7676"/>
    <w:rsid w:val="344D6161"/>
    <w:rsid w:val="347A4FEB"/>
    <w:rsid w:val="34851646"/>
    <w:rsid w:val="34943D90"/>
    <w:rsid w:val="349D460B"/>
    <w:rsid w:val="34A2025B"/>
    <w:rsid w:val="34C603ED"/>
    <w:rsid w:val="34D66156"/>
    <w:rsid w:val="34F449B2"/>
    <w:rsid w:val="34FF745B"/>
    <w:rsid w:val="350E3B42"/>
    <w:rsid w:val="352C3FC8"/>
    <w:rsid w:val="356E45E1"/>
    <w:rsid w:val="35A84976"/>
    <w:rsid w:val="35B574C2"/>
    <w:rsid w:val="35D2691D"/>
    <w:rsid w:val="35E36D7D"/>
    <w:rsid w:val="35FB20EE"/>
    <w:rsid w:val="35FC4F08"/>
    <w:rsid w:val="35FE224D"/>
    <w:rsid w:val="360F1920"/>
    <w:rsid w:val="361E62DB"/>
    <w:rsid w:val="362F3D70"/>
    <w:rsid w:val="367F4CF7"/>
    <w:rsid w:val="36934E61"/>
    <w:rsid w:val="369571B1"/>
    <w:rsid w:val="369D3722"/>
    <w:rsid w:val="36A52284"/>
    <w:rsid w:val="36BE6EA2"/>
    <w:rsid w:val="36C33946"/>
    <w:rsid w:val="36CA4B46"/>
    <w:rsid w:val="36CF7301"/>
    <w:rsid w:val="36DA1D21"/>
    <w:rsid w:val="36F823B4"/>
    <w:rsid w:val="370C5E5F"/>
    <w:rsid w:val="37125486"/>
    <w:rsid w:val="37215DAE"/>
    <w:rsid w:val="373D070E"/>
    <w:rsid w:val="373F4487"/>
    <w:rsid w:val="375A306E"/>
    <w:rsid w:val="376161AB"/>
    <w:rsid w:val="376712E7"/>
    <w:rsid w:val="37716B20"/>
    <w:rsid w:val="378D51F2"/>
    <w:rsid w:val="37BE7752"/>
    <w:rsid w:val="37CC5E16"/>
    <w:rsid w:val="37DF3574"/>
    <w:rsid w:val="37E17132"/>
    <w:rsid w:val="37EF5EA7"/>
    <w:rsid w:val="37F60FE9"/>
    <w:rsid w:val="3801798E"/>
    <w:rsid w:val="38146983"/>
    <w:rsid w:val="38177A19"/>
    <w:rsid w:val="381B5E1E"/>
    <w:rsid w:val="381D3CD9"/>
    <w:rsid w:val="3849173C"/>
    <w:rsid w:val="384B5F8D"/>
    <w:rsid w:val="38726196"/>
    <w:rsid w:val="388D4D7E"/>
    <w:rsid w:val="38926838"/>
    <w:rsid w:val="38AD71CE"/>
    <w:rsid w:val="38B22A36"/>
    <w:rsid w:val="38B7135B"/>
    <w:rsid w:val="38BC16B2"/>
    <w:rsid w:val="38C20ECB"/>
    <w:rsid w:val="38C8225A"/>
    <w:rsid w:val="39136A76"/>
    <w:rsid w:val="395A07DD"/>
    <w:rsid w:val="395C1CA2"/>
    <w:rsid w:val="396B71E3"/>
    <w:rsid w:val="397F0D58"/>
    <w:rsid w:val="39916AF0"/>
    <w:rsid w:val="3995038E"/>
    <w:rsid w:val="399C796E"/>
    <w:rsid w:val="39A56EA8"/>
    <w:rsid w:val="39CB3DB0"/>
    <w:rsid w:val="39E17229"/>
    <w:rsid w:val="39EE5CF0"/>
    <w:rsid w:val="39FA4695"/>
    <w:rsid w:val="3A0331E6"/>
    <w:rsid w:val="3A085004"/>
    <w:rsid w:val="3A0D33B4"/>
    <w:rsid w:val="3A361B71"/>
    <w:rsid w:val="3A3D7D18"/>
    <w:rsid w:val="3A606BEE"/>
    <w:rsid w:val="3A685AA2"/>
    <w:rsid w:val="3A797CAF"/>
    <w:rsid w:val="3A84453E"/>
    <w:rsid w:val="3AA12D62"/>
    <w:rsid w:val="3AA34D2C"/>
    <w:rsid w:val="3ACE7EDE"/>
    <w:rsid w:val="3ACE7FFB"/>
    <w:rsid w:val="3AE67304"/>
    <w:rsid w:val="3AEC0481"/>
    <w:rsid w:val="3AEF23F1"/>
    <w:rsid w:val="3B026D8D"/>
    <w:rsid w:val="3B0F1810"/>
    <w:rsid w:val="3B2F036E"/>
    <w:rsid w:val="3B2F65C0"/>
    <w:rsid w:val="3B4243FB"/>
    <w:rsid w:val="3B5F6EA5"/>
    <w:rsid w:val="3B697D24"/>
    <w:rsid w:val="3B7F12F6"/>
    <w:rsid w:val="3B93483B"/>
    <w:rsid w:val="3B9B747B"/>
    <w:rsid w:val="3BA925ED"/>
    <w:rsid w:val="3BA945C4"/>
    <w:rsid w:val="3BB05953"/>
    <w:rsid w:val="3BBB7E54"/>
    <w:rsid w:val="3BDA637D"/>
    <w:rsid w:val="3BEE1FD7"/>
    <w:rsid w:val="3BF25A84"/>
    <w:rsid w:val="3C0D06AF"/>
    <w:rsid w:val="3C8041E7"/>
    <w:rsid w:val="3C834E15"/>
    <w:rsid w:val="3CAC0361"/>
    <w:rsid w:val="3CAD59EE"/>
    <w:rsid w:val="3CF57010"/>
    <w:rsid w:val="3CF903E4"/>
    <w:rsid w:val="3D0F65AE"/>
    <w:rsid w:val="3D1024D4"/>
    <w:rsid w:val="3D314D64"/>
    <w:rsid w:val="3D31781C"/>
    <w:rsid w:val="3D6A645A"/>
    <w:rsid w:val="3D6C74FD"/>
    <w:rsid w:val="3D826E7B"/>
    <w:rsid w:val="3D954E00"/>
    <w:rsid w:val="3D962926"/>
    <w:rsid w:val="3D9F7A2D"/>
    <w:rsid w:val="3DA46C38"/>
    <w:rsid w:val="3DBD6105"/>
    <w:rsid w:val="3DBF3C2B"/>
    <w:rsid w:val="3DE74F30"/>
    <w:rsid w:val="3DF64C38"/>
    <w:rsid w:val="3E01608A"/>
    <w:rsid w:val="3E043D34"/>
    <w:rsid w:val="3E32264F"/>
    <w:rsid w:val="3E734A16"/>
    <w:rsid w:val="3E7E7642"/>
    <w:rsid w:val="3E8E68C7"/>
    <w:rsid w:val="3EB5502E"/>
    <w:rsid w:val="3EC3774B"/>
    <w:rsid w:val="3EC509BB"/>
    <w:rsid w:val="3ED01E68"/>
    <w:rsid w:val="3ED226C9"/>
    <w:rsid w:val="3EE55913"/>
    <w:rsid w:val="3F0006E1"/>
    <w:rsid w:val="3F0B58D1"/>
    <w:rsid w:val="3F306D25"/>
    <w:rsid w:val="3F36616F"/>
    <w:rsid w:val="3F47212A"/>
    <w:rsid w:val="3F5B5BD6"/>
    <w:rsid w:val="3F66277E"/>
    <w:rsid w:val="3F7153F9"/>
    <w:rsid w:val="3F87147D"/>
    <w:rsid w:val="3FA171C1"/>
    <w:rsid w:val="3FA27F1B"/>
    <w:rsid w:val="3FA86BA7"/>
    <w:rsid w:val="3FAA6E5F"/>
    <w:rsid w:val="3FD55F03"/>
    <w:rsid w:val="3FDA64CF"/>
    <w:rsid w:val="3FDD65EB"/>
    <w:rsid w:val="3FF102E8"/>
    <w:rsid w:val="4000052B"/>
    <w:rsid w:val="4044666A"/>
    <w:rsid w:val="404623E2"/>
    <w:rsid w:val="40580367"/>
    <w:rsid w:val="405D772B"/>
    <w:rsid w:val="406E7B8B"/>
    <w:rsid w:val="40742B5E"/>
    <w:rsid w:val="40832E41"/>
    <w:rsid w:val="40B03CFF"/>
    <w:rsid w:val="40B437EF"/>
    <w:rsid w:val="40E63BC5"/>
    <w:rsid w:val="41006A35"/>
    <w:rsid w:val="412D5350"/>
    <w:rsid w:val="412F10C8"/>
    <w:rsid w:val="41325F04"/>
    <w:rsid w:val="4136347C"/>
    <w:rsid w:val="415A6073"/>
    <w:rsid w:val="41790595"/>
    <w:rsid w:val="417C1E33"/>
    <w:rsid w:val="418F1B67"/>
    <w:rsid w:val="419453CF"/>
    <w:rsid w:val="41A5138A"/>
    <w:rsid w:val="41B5009B"/>
    <w:rsid w:val="41C932CA"/>
    <w:rsid w:val="41F145CF"/>
    <w:rsid w:val="41F52311"/>
    <w:rsid w:val="42204E7F"/>
    <w:rsid w:val="4244269A"/>
    <w:rsid w:val="425B50B1"/>
    <w:rsid w:val="4262727B"/>
    <w:rsid w:val="42664FBD"/>
    <w:rsid w:val="427F1BDB"/>
    <w:rsid w:val="429643C6"/>
    <w:rsid w:val="429A316A"/>
    <w:rsid w:val="42A45AE6"/>
    <w:rsid w:val="42B71375"/>
    <w:rsid w:val="42E44134"/>
    <w:rsid w:val="42E61C5A"/>
    <w:rsid w:val="42EA799C"/>
    <w:rsid w:val="430F2F5F"/>
    <w:rsid w:val="43261892"/>
    <w:rsid w:val="43430E5B"/>
    <w:rsid w:val="434B259D"/>
    <w:rsid w:val="435E7A64"/>
    <w:rsid w:val="4364740E"/>
    <w:rsid w:val="43895075"/>
    <w:rsid w:val="43AB3828"/>
    <w:rsid w:val="43BB6C43"/>
    <w:rsid w:val="43C27FD1"/>
    <w:rsid w:val="43C53F65"/>
    <w:rsid w:val="43C743BE"/>
    <w:rsid w:val="43CC70A2"/>
    <w:rsid w:val="43D45D88"/>
    <w:rsid w:val="43E350B0"/>
    <w:rsid w:val="43EE2E9C"/>
    <w:rsid w:val="43F14D5A"/>
    <w:rsid w:val="43FE5215"/>
    <w:rsid w:val="44006D4C"/>
    <w:rsid w:val="44054362"/>
    <w:rsid w:val="4439400C"/>
    <w:rsid w:val="443B3088"/>
    <w:rsid w:val="4443583D"/>
    <w:rsid w:val="445350CD"/>
    <w:rsid w:val="446B68BB"/>
    <w:rsid w:val="44734688"/>
    <w:rsid w:val="447A4D50"/>
    <w:rsid w:val="447D039C"/>
    <w:rsid w:val="449B2FBD"/>
    <w:rsid w:val="44AF07CD"/>
    <w:rsid w:val="44B6565C"/>
    <w:rsid w:val="44C76DB3"/>
    <w:rsid w:val="44C91833"/>
    <w:rsid w:val="44D02BC2"/>
    <w:rsid w:val="44E354EE"/>
    <w:rsid w:val="44E96EC9"/>
    <w:rsid w:val="44F20D8A"/>
    <w:rsid w:val="44FF5255"/>
    <w:rsid w:val="4500339E"/>
    <w:rsid w:val="452B4224"/>
    <w:rsid w:val="452E1696"/>
    <w:rsid w:val="453F613D"/>
    <w:rsid w:val="45440EBA"/>
    <w:rsid w:val="454F7A1F"/>
    <w:rsid w:val="455B692F"/>
    <w:rsid w:val="456F5F37"/>
    <w:rsid w:val="458B0897"/>
    <w:rsid w:val="45921C25"/>
    <w:rsid w:val="45AB60F0"/>
    <w:rsid w:val="45B912BB"/>
    <w:rsid w:val="45EF7078"/>
    <w:rsid w:val="45F91CA4"/>
    <w:rsid w:val="460556BB"/>
    <w:rsid w:val="463C59A4"/>
    <w:rsid w:val="463F3DBF"/>
    <w:rsid w:val="466614F1"/>
    <w:rsid w:val="467F03FC"/>
    <w:rsid w:val="4681696C"/>
    <w:rsid w:val="468A447E"/>
    <w:rsid w:val="4690085B"/>
    <w:rsid w:val="469A0614"/>
    <w:rsid w:val="469F20CF"/>
    <w:rsid w:val="46A936CA"/>
    <w:rsid w:val="46B04A59"/>
    <w:rsid w:val="46CE468F"/>
    <w:rsid w:val="46E725D1"/>
    <w:rsid w:val="47084895"/>
    <w:rsid w:val="47170634"/>
    <w:rsid w:val="471F573B"/>
    <w:rsid w:val="475E2707"/>
    <w:rsid w:val="47612546"/>
    <w:rsid w:val="47641C7C"/>
    <w:rsid w:val="478E3112"/>
    <w:rsid w:val="479A47CA"/>
    <w:rsid w:val="47A368E0"/>
    <w:rsid w:val="47B375B2"/>
    <w:rsid w:val="47B71E17"/>
    <w:rsid w:val="47D76015"/>
    <w:rsid w:val="47E11CD4"/>
    <w:rsid w:val="47E5394A"/>
    <w:rsid w:val="47F60B91"/>
    <w:rsid w:val="4816685E"/>
    <w:rsid w:val="483E7E42"/>
    <w:rsid w:val="4860600B"/>
    <w:rsid w:val="48711FC6"/>
    <w:rsid w:val="488363C3"/>
    <w:rsid w:val="4886474D"/>
    <w:rsid w:val="488C2ACF"/>
    <w:rsid w:val="48981C49"/>
    <w:rsid w:val="48D512D4"/>
    <w:rsid w:val="48EA3B26"/>
    <w:rsid w:val="48F84495"/>
    <w:rsid w:val="491017DF"/>
    <w:rsid w:val="491856DD"/>
    <w:rsid w:val="49204B5B"/>
    <w:rsid w:val="49294AFF"/>
    <w:rsid w:val="493D00FA"/>
    <w:rsid w:val="497C6E74"/>
    <w:rsid w:val="499441BE"/>
    <w:rsid w:val="499856C8"/>
    <w:rsid w:val="499D7C4A"/>
    <w:rsid w:val="49AF0B18"/>
    <w:rsid w:val="49B503C3"/>
    <w:rsid w:val="49C37F7C"/>
    <w:rsid w:val="49D15412"/>
    <w:rsid w:val="49E14F29"/>
    <w:rsid w:val="49E36EF3"/>
    <w:rsid w:val="49E52C6C"/>
    <w:rsid w:val="49F37870"/>
    <w:rsid w:val="4A03561A"/>
    <w:rsid w:val="4A2644D3"/>
    <w:rsid w:val="4A31759F"/>
    <w:rsid w:val="4A3F40DE"/>
    <w:rsid w:val="4A6C513B"/>
    <w:rsid w:val="4A730123"/>
    <w:rsid w:val="4A745D9D"/>
    <w:rsid w:val="4A876C56"/>
    <w:rsid w:val="4A9B157C"/>
    <w:rsid w:val="4AE729B3"/>
    <w:rsid w:val="4AEE3477"/>
    <w:rsid w:val="4AFE0758"/>
    <w:rsid w:val="4B125CE2"/>
    <w:rsid w:val="4B1E14E5"/>
    <w:rsid w:val="4B2C48CA"/>
    <w:rsid w:val="4B343D27"/>
    <w:rsid w:val="4B3519D1"/>
    <w:rsid w:val="4B38326F"/>
    <w:rsid w:val="4B6416C5"/>
    <w:rsid w:val="4B7818BD"/>
    <w:rsid w:val="4B8B3770"/>
    <w:rsid w:val="4B8D35BB"/>
    <w:rsid w:val="4B9B74A1"/>
    <w:rsid w:val="4BA1067F"/>
    <w:rsid w:val="4BB747E7"/>
    <w:rsid w:val="4BBD0365"/>
    <w:rsid w:val="4BC77C4E"/>
    <w:rsid w:val="4BD411EA"/>
    <w:rsid w:val="4BD84517"/>
    <w:rsid w:val="4BDE0787"/>
    <w:rsid w:val="4C0851C2"/>
    <w:rsid w:val="4C1415E6"/>
    <w:rsid w:val="4C187083"/>
    <w:rsid w:val="4C1E2E53"/>
    <w:rsid w:val="4C2630C7"/>
    <w:rsid w:val="4C3C53FC"/>
    <w:rsid w:val="4C4A14AC"/>
    <w:rsid w:val="4C520360"/>
    <w:rsid w:val="4C52210E"/>
    <w:rsid w:val="4C5B719F"/>
    <w:rsid w:val="4C720E45"/>
    <w:rsid w:val="4C843F57"/>
    <w:rsid w:val="4C9D6AA1"/>
    <w:rsid w:val="4D185106"/>
    <w:rsid w:val="4D1F2FC9"/>
    <w:rsid w:val="4D3260CC"/>
    <w:rsid w:val="4D411328"/>
    <w:rsid w:val="4D471547"/>
    <w:rsid w:val="4D4B3B63"/>
    <w:rsid w:val="4D4E3853"/>
    <w:rsid w:val="4D550108"/>
    <w:rsid w:val="4D732CDE"/>
    <w:rsid w:val="4D7A191D"/>
    <w:rsid w:val="4D7F7C8C"/>
    <w:rsid w:val="4D9E1AAF"/>
    <w:rsid w:val="4D9F3131"/>
    <w:rsid w:val="4DA70A48"/>
    <w:rsid w:val="4DB72B71"/>
    <w:rsid w:val="4DBF37D4"/>
    <w:rsid w:val="4DD30FFA"/>
    <w:rsid w:val="4DD92AE7"/>
    <w:rsid w:val="4DF30E2D"/>
    <w:rsid w:val="4DF47921"/>
    <w:rsid w:val="4E093ED9"/>
    <w:rsid w:val="4E104ACB"/>
    <w:rsid w:val="4E21448E"/>
    <w:rsid w:val="4E3C6BD2"/>
    <w:rsid w:val="4E481A1B"/>
    <w:rsid w:val="4E4B32B9"/>
    <w:rsid w:val="4E557C94"/>
    <w:rsid w:val="4E6A1991"/>
    <w:rsid w:val="4E7D2D43"/>
    <w:rsid w:val="4E8448F5"/>
    <w:rsid w:val="4E8974AF"/>
    <w:rsid w:val="4EA824BA"/>
    <w:rsid w:val="4EAC3D58"/>
    <w:rsid w:val="4EB33021"/>
    <w:rsid w:val="4EBE3A8B"/>
    <w:rsid w:val="4EE22E28"/>
    <w:rsid w:val="4EE31744"/>
    <w:rsid w:val="4EE74D90"/>
    <w:rsid w:val="4EF06B93"/>
    <w:rsid w:val="4F42290E"/>
    <w:rsid w:val="4F55544A"/>
    <w:rsid w:val="4F585C8E"/>
    <w:rsid w:val="4F7A5C04"/>
    <w:rsid w:val="4F84164D"/>
    <w:rsid w:val="4F86006F"/>
    <w:rsid w:val="4F8B1BBF"/>
    <w:rsid w:val="4FAA34AA"/>
    <w:rsid w:val="4FAF7981"/>
    <w:rsid w:val="4FCF7261"/>
    <w:rsid w:val="4FFA4F97"/>
    <w:rsid w:val="4FFA5144"/>
    <w:rsid w:val="501D68DB"/>
    <w:rsid w:val="502E69EF"/>
    <w:rsid w:val="503009B9"/>
    <w:rsid w:val="50373AF5"/>
    <w:rsid w:val="503E6C32"/>
    <w:rsid w:val="503F0BFC"/>
    <w:rsid w:val="504F0E3F"/>
    <w:rsid w:val="505E5DEC"/>
    <w:rsid w:val="507765E7"/>
    <w:rsid w:val="50811214"/>
    <w:rsid w:val="50AC0E9C"/>
    <w:rsid w:val="50AF6E33"/>
    <w:rsid w:val="50C07F8E"/>
    <w:rsid w:val="50CA6717"/>
    <w:rsid w:val="50D70E34"/>
    <w:rsid w:val="50DD59ED"/>
    <w:rsid w:val="50E5126D"/>
    <w:rsid w:val="51114346"/>
    <w:rsid w:val="51155927"/>
    <w:rsid w:val="511E6A63"/>
    <w:rsid w:val="513B5867"/>
    <w:rsid w:val="514C1822"/>
    <w:rsid w:val="516052CE"/>
    <w:rsid w:val="51646B6C"/>
    <w:rsid w:val="51752B27"/>
    <w:rsid w:val="51962A9D"/>
    <w:rsid w:val="51AD6979"/>
    <w:rsid w:val="51B03B5F"/>
    <w:rsid w:val="51C441D2"/>
    <w:rsid w:val="51C70EC3"/>
    <w:rsid w:val="51DC75B0"/>
    <w:rsid w:val="51DF2696"/>
    <w:rsid w:val="51E11F6A"/>
    <w:rsid w:val="51ED6B61"/>
    <w:rsid w:val="51F05482"/>
    <w:rsid w:val="51F739E1"/>
    <w:rsid w:val="52067C23"/>
    <w:rsid w:val="5212481A"/>
    <w:rsid w:val="521536EF"/>
    <w:rsid w:val="52232583"/>
    <w:rsid w:val="522956BF"/>
    <w:rsid w:val="52305E4E"/>
    <w:rsid w:val="523A6D37"/>
    <w:rsid w:val="52410C5B"/>
    <w:rsid w:val="52462715"/>
    <w:rsid w:val="526E4730"/>
    <w:rsid w:val="527F3531"/>
    <w:rsid w:val="5290573F"/>
    <w:rsid w:val="529A65BD"/>
    <w:rsid w:val="529E7E5B"/>
    <w:rsid w:val="52A86362"/>
    <w:rsid w:val="52E066C6"/>
    <w:rsid w:val="530C3017"/>
    <w:rsid w:val="53281E1B"/>
    <w:rsid w:val="532A1208"/>
    <w:rsid w:val="53486019"/>
    <w:rsid w:val="534C5B09"/>
    <w:rsid w:val="535624E4"/>
    <w:rsid w:val="53731BB3"/>
    <w:rsid w:val="53742C6C"/>
    <w:rsid w:val="537F7C8D"/>
    <w:rsid w:val="53AC0356"/>
    <w:rsid w:val="53BB67EB"/>
    <w:rsid w:val="53E070D1"/>
    <w:rsid w:val="53F00B8B"/>
    <w:rsid w:val="53F87A3F"/>
    <w:rsid w:val="53FF492A"/>
    <w:rsid w:val="53FF7340"/>
    <w:rsid w:val="54040192"/>
    <w:rsid w:val="541D2076"/>
    <w:rsid w:val="5427219D"/>
    <w:rsid w:val="54670F71"/>
    <w:rsid w:val="54710C8C"/>
    <w:rsid w:val="5479292E"/>
    <w:rsid w:val="54890E82"/>
    <w:rsid w:val="549239F0"/>
    <w:rsid w:val="5495528E"/>
    <w:rsid w:val="54971006"/>
    <w:rsid w:val="549A4653"/>
    <w:rsid w:val="54B27BEE"/>
    <w:rsid w:val="54BB2F47"/>
    <w:rsid w:val="54DA0EF3"/>
    <w:rsid w:val="55043076"/>
    <w:rsid w:val="55156C0D"/>
    <w:rsid w:val="552B0E22"/>
    <w:rsid w:val="553D1BAE"/>
    <w:rsid w:val="55774994"/>
    <w:rsid w:val="557B0928"/>
    <w:rsid w:val="55806C84"/>
    <w:rsid w:val="55877FF2"/>
    <w:rsid w:val="559175E7"/>
    <w:rsid w:val="55983288"/>
    <w:rsid w:val="55B13259"/>
    <w:rsid w:val="55B33C1E"/>
    <w:rsid w:val="55D83684"/>
    <w:rsid w:val="56116B96"/>
    <w:rsid w:val="561276F4"/>
    <w:rsid w:val="565371AF"/>
    <w:rsid w:val="566847A1"/>
    <w:rsid w:val="56750B2B"/>
    <w:rsid w:val="56757125"/>
    <w:rsid w:val="567C04B4"/>
    <w:rsid w:val="5689497F"/>
    <w:rsid w:val="56A17F1A"/>
    <w:rsid w:val="56A8574D"/>
    <w:rsid w:val="56A86A28"/>
    <w:rsid w:val="56B934B6"/>
    <w:rsid w:val="56C02A96"/>
    <w:rsid w:val="56E25787"/>
    <w:rsid w:val="571A1A7B"/>
    <w:rsid w:val="57203535"/>
    <w:rsid w:val="57250D6D"/>
    <w:rsid w:val="574C432A"/>
    <w:rsid w:val="574F3E1A"/>
    <w:rsid w:val="5785783C"/>
    <w:rsid w:val="57914645"/>
    <w:rsid w:val="57A745AF"/>
    <w:rsid w:val="57BC2B32"/>
    <w:rsid w:val="57C81A02"/>
    <w:rsid w:val="57CC0FC7"/>
    <w:rsid w:val="57D874E8"/>
    <w:rsid w:val="57E247B5"/>
    <w:rsid w:val="57E73E5A"/>
    <w:rsid w:val="57E9247C"/>
    <w:rsid w:val="57F16C7F"/>
    <w:rsid w:val="57FD18E5"/>
    <w:rsid w:val="580310C4"/>
    <w:rsid w:val="582B076C"/>
    <w:rsid w:val="583936F8"/>
    <w:rsid w:val="58410A28"/>
    <w:rsid w:val="58445001"/>
    <w:rsid w:val="584D4CEE"/>
    <w:rsid w:val="586E02D0"/>
    <w:rsid w:val="5878114F"/>
    <w:rsid w:val="587D49B7"/>
    <w:rsid w:val="58825B29"/>
    <w:rsid w:val="588B79BB"/>
    <w:rsid w:val="5894231E"/>
    <w:rsid w:val="58B2640F"/>
    <w:rsid w:val="58D04AE7"/>
    <w:rsid w:val="58E95BA9"/>
    <w:rsid w:val="590C29BD"/>
    <w:rsid w:val="590F3861"/>
    <w:rsid w:val="5914350F"/>
    <w:rsid w:val="59282B75"/>
    <w:rsid w:val="593432C8"/>
    <w:rsid w:val="59345322"/>
    <w:rsid w:val="59374B66"/>
    <w:rsid w:val="593B28A8"/>
    <w:rsid w:val="59722042"/>
    <w:rsid w:val="59CC52AE"/>
    <w:rsid w:val="59DB733F"/>
    <w:rsid w:val="59E62B74"/>
    <w:rsid w:val="5A2371D3"/>
    <w:rsid w:val="5A663955"/>
    <w:rsid w:val="5AA13FDC"/>
    <w:rsid w:val="5AA153EC"/>
    <w:rsid w:val="5AB02E22"/>
    <w:rsid w:val="5ACB7C5C"/>
    <w:rsid w:val="5ACE14FA"/>
    <w:rsid w:val="5AD05272"/>
    <w:rsid w:val="5ADF1011"/>
    <w:rsid w:val="5B162710"/>
    <w:rsid w:val="5B2E3177"/>
    <w:rsid w:val="5B305D11"/>
    <w:rsid w:val="5B3B20FE"/>
    <w:rsid w:val="5B44356A"/>
    <w:rsid w:val="5B5157BC"/>
    <w:rsid w:val="5B61290C"/>
    <w:rsid w:val="5B9C55E6"/>
    <w:rsid w:val="5BB666FF"/>
    <w:rsid w:val="5BC30933"/>
    <w:rsid w:val="5BCA1CC1"/>
    <w:rsid w:val="5C0827EA"/>
    <w:rsid w:val="5C090F7F"/>
    <w:rsid w:val="5C2003CB"/>
    <w:rsid w:val="5C433FD1"/>
    <w:rsid w:val="5C473312"/>
    <w:rsid w:val="5C4B1054"/>
    <w:rsid w:val="5C797243"/>
    <w:rsid w:val="5C7B2FBB"/>
    <w:rsid w:val="5CD64413"/>
    <w:rsid w:val="5CEE19DF"/>
    <w:rsid w:val="5D1F428F"/>
    <w:rsid w:val="5D494E68"/>
    <w:rsid w:val="5D6B09E6"/>
    <w:rsid w:val="5D753EAF"/>
    <w:rsid w:val="5D89747D"/>
    <w:rsid w:val="5DA402F0"/>
    <w:rsid w:val="5DA56542"/>
    <w:rsid w:val="5DA65580"/>
    <w:rsid w:val="5DC42740"/>
    <w:rsid w:val="5DD76917"/>
    <w:rsid w:val="5DE3542F"/>
    <w:rsid w:val="5DF70D68"/>
    <w:rsid w:val="5E086AD1"/>
    <w:rsid w:val="5E0C251B"/>
    <w:rsid w:val="5E5329A6"/>
    <w:rsid w:val="5E5C7106"/>
    <w:rsid w:val="5E6E2DD8"/>
    <w:rsid w:val="5E7D2513"/>
    <w:rsid w:val="5E9071F2"/>
    <w:rsid w:val="5E9C7EA4"/>
    <w:rsid w:val="5EA66A16"/>
    <w:rsid w:val="5EEC6EF3"/>
    <w:rsid w:val="5EEE3F19"/>
    <w:rsid w:val="5F00458D"/>
    <w:rsid w:val="5F185882"/>
    <w:rsid w:val="5F2B61C4"/>
    <w:rsid w:val="5F2E6A0B"/>
    <w:rsid w:val="5F375FE1"/>
    <w:rsid w:val="5F412CC2"/>
    <w:rsid w:val="5F48187B"/>
    <w:rsid w:val="5F64242D"/>
    <w:rsid w:val="5F6D7376"/>
    <w:rsid w:val="5F70492E"/>
    <w:rsid w:val="5F8C7A0E"/>
    <w:rsid w:val="5FA8056B"/>
    <w:rsid w:val="5FC02589"/>
    <w:rsid w:val="5FC15189"/>
    <w:rsid w:val="5FD5203C"/>
    <w:rsid w:val="5FF27A39"/>
    <w:rsid w:val="60030250"/>
    <w:rsid w:val="60042255"/>
    <w:rsid w:val="60056797"/>
    <w:rsid w:val="600D6620"/>
    <w:rsid w:val="6017072B"/>
    <w:rsid w:val="60186131"/>
    <w:rsid w:val="60200102"/>
    <w:rsid w:val="602F0C95"/>
    <w:rsid w:val="60370A6F"/>
    <w:rsid w:val="603C0CB4"/>
    <w:rsid w:val="603D6F06"/>
    <w:rsid w:val="608E7761"/>
    <w:rsid w:val="60917251"/>
    <w:rsid w:val="60B8681B"/>
    <w:rsid w:val="60BD1362"/>
    <w:rsid w:val="60CF1838"/>
    <w:rsid w:val="60D72F78"/>
    <w:rsid w:val="60E03D35"/>
    <w:rsid w:val="60E10B9B"/>
    <w:rsid w:val="60EC6712"/>
    <w:rsid w:val="610C68D8"/>
    <w:rsid w:val="6113099A"/>
    <w:rsid w:val="613876CD"/>
    <w:rsid w:val="614147D4"/>
    <w:rsid w:val="6142054C"/>
    <w:rsid w:val="61447E20"/>
    <w:rsid w:val="6151078F"/>
    <w:rsid w:val="616B35FF"/>
    <w:rsid w:val="617A7CE6"/>
    <w:rsid w:val="61860438"/>
    <w:rsid w:val="61923281"/>
    <w:rsid w:val="61963BFD"/>
    <w:rsid w:val="61A905CB"/>
    <w:rsid w:val="61C04220"/>
    <w:rsid w:val="61DA0784"/>
    <w:rsid w:val="61DB4C28"/>
    <w:rsid w:val="61E0223F"/>
    <w:rsid w:val="61ED495B"/>
    <w:rsid w:val="620A72BB"/>
    <w:rsid w:val="621023F8"/>
    <w:rsid w:val="622A5268"/>
    <w:rsid w:val="622D6B06"/>
    <w:rsid w:val="62456545"/>
    <w:rsid w:val="62487DE4"/>
    <w:rsid w:val="626F56F8"/>
    <w:rsid w:val="626F6FA1"/>
    <w:rsid w:val="628A21AA"/>
    <w:rsid w:val="6291178B"/>
    <w:rsid w:val="62992D43"/>
    <w:rsid w:val="629C135C"/>
    <w:rsid w:val="62E23D94"/>
    <w:rsid w:val="62E55633"/>
    <w:rsid w:val="62E573E1"/>
    <w:rsid w:val="62EF200D"/>
    <w:rsid w:val="630C66E6"/>
    <w:rsid w:val="63196D81"/>
    <w:rsid w:val="632624E0"/>
    <w:rsid w:val="633345F0"/>
    <w:rsid w:val="633839B4"/>
    <w:rsid w:val="634C3167"/>
    <w:rsid w:val="63584057"/>
    <w:rsid w:val="63730E90"/>
    <w:rsid w:val="638C5AAE"/>
    <w:rsid w:val="63983E26"/>
    <w:rsid w:val="63B07D2A"/>
    <w:rsid w:val="63C4113C"/>
    <w:rsid w:val="63DB7766"/>
    <w:rsid w:val="63E36016"/>
    <w:rsid w:val="63E853DA"/>
    <w:rsid w:val="63F26259"/>
    <w:rsid w:val="63F45E84"/>
    <w:rsid w:val="63F566E8"/>
    <w:rsid w:val="640824C9"/>
    <w:rsid w:val="64153CF6"/>
    <w:rsid w:val="645B2050"/>
    <w:rsid w:val="647E5D3F"/>
    <w:rsid w:val="6483310D"/>
    <w:rsid w:val="64B81251"/>
    <w:rsid w:val="64CD16CA"/>
    <w:rsid w:val="64EB33B1"/>
    <w:rsid w:val="652E1513"/>
    <w:rsid w:val="6545060B"/>
    <w:rsid w:val="65474383"/>
    <w:rsid w:val="655D42EE"/>
    <w:rsid w:val="655F788C"/>
    <w:rsid w:val="659A4DDA"/>
    <w:rsid w:val="659D4FF2"/>
    <w:rsid w:val="65D327C2"/>
    <w:rsid w:val="65D6294C"/>
    <w:rsid w:val="65E9368C"/>
    <w:rsid w:val="65FC33BF"/>
    <w:rsid w:val="66154481"/>
    <w:rsid w:val="662047A4"/>
    <w:rsid w:val="66377F53"/>
    <w:rsid w:val="667522A7"/>
    <w:rsid w:val="66855163"/>
    <w:rsid w:val="668F7D8F"/>
    <w:rsid w:val="6694184A"/>
    <w:rsid w:val="66A54D49"/>
    <w:rsid w:val="66CB2934"/>
    <w:rsid w:val="66EA1469"/>
    <w:rsid w:val="66EA2F94"/>
    <w:rsid w:val="66F2031E"/>
    <w:rsid w:val="66F4722E"/>
    <w:rsid w:val="66FE3E73"/>
    <w:rsid w:val="67010561"/>
    <w:rsid w:val="67050051"/>
    <w:rsid w:val="671D2CA5"/>
    <w:rsid w:val="674C3ED2"/>
    <w:rsid w:val="67760F4F"/>
    <w:rsid w:val="67851192"/>
    <w:rsid w:val="678E44EB"/>
    <w:rsid w:val="67925A16"/>
    <w:rsid w:val="67B33F51"/>
    <w:rsid w:val="67DB0DB2"/>
    <w:rsid w:val="67DB7004"/>
    <w:rsid w:val="67DF7E32"/>
    <w:rsid w:val="67F325A0"/>
    <w:rsid w:val="683F2850"/>
    <w:rsid w:val="68437083"/>
    <w:rsid w:val="68455962"/>
    <w:rsid w:val="68580655"/>
    <w:rsid w:val="685F3791"/>
    <w:rsid w:val="687920DA"/>
    <w:rsid w:val="689373F6"/>
    <w:rsid w:val="6897591E"/>
    <w:rsid w:val="68A0524E"/>
    <w:rsid w:val="68B04E09"/>
    <w:rsid w:val="68B7537B"/>
    <w:rsid w:val="68C31F72"/>
    <w:rsid w:val="68CB170E"/>
    <w:rsid w:val="68D83EA8"/>
    <w:rsid w:val="68E41346"/>
    <w:rsid w:val="68ED6FEF"/>
    <w:rsid w:val="69362744"/>
    <w:rsid w:val="69444779"/>
    <w:rsid w:val="69484FC3"/>
    <w:rsid w:val="695C4E3A"/>
    <w:rsid w:val="69603C65"/>
    <w:rsid w:val="69620A66"/>
    <w:rsid w:val="69971C43"/>
    <w:rsid w:val="69A00505"/>
    <w:rsid w:val="69B374AE"/>
    <w:rsid w:val="69DA0D02"/>
    <w:rsid w:val="69E057C4"/>
    <w:rsid w:val="69E31326"/>
    <w:rsid w:val="69F65A80"/>
    <w:rsid w:val="6A05378D"/>
    <w:rsid w:val="6A0F3105"/>
    <w:rsid w:val="6A1011E7"/>
    <w:rsid w:val="6A132A85"/>
    <w:rsid w:val="6A2465C5"/>
    <w:rsid w:val="6A2511C7"/>
    <w:rsid w:val="6A2B6021"/>
    <w:rsid w:val="6A4C5F97"/>
    <w:rsid w:val="6A541CB2"/>
    <w:rsid w:val="6A546BB7"/>
    <w:rsid w:val="6A591073"/>
    <w:rsid w:val="6A8939D1"/>
    <w:rsid w:val="6A9A4F55"/>
    <w:rsid w:val="6A9D04F1"/>
    <w:rsid w:val="6AC56475"/>
    <w:rsid w:val="6ADA35A3"/>
    <w:rsid w:val="6AE83309"/>
    <w:rsid w:val="6AEF52A0"/>
    <w:rsid w:val="6B056872"/>
    <w:rsid w:val="6B0A032C"/>
    <w:rsid w:val="6B347157"/>
    <w:rsid w:val="6B424D56"/>
    <w:rsid w:val="6B4E646B"/>
    <w:rsid w:val="6B5E4DF5"/>
    <w:rsid w:val="6B7A6EC8"/>
    <w:rsid w:val="6B7C2C80"/>
    <w:rsid w:val="6B910106"/>
    <w:rsid w:val="6B945E48"/>
    <w:rsid w:val="6B947BF6"/>
    <w:rsid w:val="6B9860BB"/>
    <w:rsid w:val="6BC32289"/>
    <w:rsid w:val="6BC908F1"/>
    <w:rsid w:val="6BD13A26"/>
    <w:rsid w:val="6BDF5315"/>
    <w:rsid w:val="6BE20961"/>
    <w:rsid w:val="6C0134DD"/>
    <w:rsid w:val="6C4029E0"/>
    <w:rsid w:val="6C840560"/>
    <w:rsid w:val="6C841A18"/>
    <w:rsid w:val="6CAE13AE"/>
    <w:rsid w:val="6CD97FB6"/>
    <w:rsid w:val="6CDC3B07"/>
    <w:rsid w:val="6CE7542D"/>
    <w:rsid w:val="6CFF1222"/>
    <w:rsid w:val="6D087F43"/>
    <w:rsid w:val="6D0D22EB"/>
    <w:rsid w:val="6D0D3AB2"/>
    <w:rsid w:val="6D2A0812"/>
    <w:rsid w:val="6D4713C4"/>
    <w:rsid w:val="6D4D2752"/>
    <w:rsid w:val="6D4F64CA"/>
    <w:rsid w:val="6D7B106D"/>
    <w:rsid w:val="6D800432"/>
    <w:rsid w:val="6DA93E2C"/>
    <w:rsid w:val="6DCC3677"/>
    <w:rsid w:val="6DDD3AD6"/>
    <w:rsid w:val="6DE57D58"/>
    <w:rsid w:val="6DEB6B57"/>
    <w:rsid w:val="6DEF55B7"/>
    <w:rsid w:val="6E0224C6"/>
    <w:rsid w:val="6E2039C3"/>
    <w:rsid w:val="6E350AB4"/>
    <w:rsid w:val="6E3B6506"/>
    <w:rsid w:val="6E3F02ED"/>
    <w:rsid w:val="6E4753F3"/>
    <w:rsid w:val="6E481A15"/>
    <w:rsid w:val="6E4E22DE"/>
    <w:rsid w:val="6E5C40EC"/>
    <w:rsid w:val="6E902A69"/>
    <w:rsid w:val="6EA75E92"/>
    <w:rsid w:val="6EB17119"/>
    <w:rsid w:val="6EF00A50"/>
    <w:rsid w:val="6EF600D6"/>
    <w:rsid w:val="6EFA06B8"/>
    <w:rsid w:val="6F0926A9"/>
    <w:rsid w:val="6F196D90"/>
    <w:rsid w:val="6F2F0361"/>
    <w:rsid w:val="6F361DCC"/>
    <w:rsid w:val="6F5C0E0D"/>
    <w:rsid w:val="6F5F125D"/>
    <w:rsid w:val="6F6B6EC0"/>
    <w:rsid w:val="6F72024E"/>
    <w:rsid w:val="6F7E79B2"/>
    <w:rsid w:val="6F8A192D"/>
    <w:rsid w:val="6F8D33D1"/>
    <w:rsid w:val="6F974D1A"/>
    <w:rsid w:val="6FAA5C3A"/>
    <w:rsid w:val="6FAC3760"/>
    <w:rsid w:val="6FB940CF"/>
    <w:rsid w:val="6FCE7B7A"/>
    <w:rsid w:val="6FE95DE3"/>
    <w:rsid w:val="6FEC0DA5"/>
    <w:rsid w:val="6FF46EB5"/>
    <w:rsid w:val="700510C2"/>
    <w:rsid w:val="701560B1"/>
    <w:rsid w:val="70221C74"/>
    <w:rsid w:val="703B0F88"/>
    <w:rsid w:val="705B2440"/>
    <w:rsid w:val="706E310B"/>
    <w:rsid w:val="70771A75"/>
    <w:rsid w:val="707E5E39"/>
    <w:rsid w:val="70916390"/>
    <w:rsid w:val="709223F1"/>
    <w:rsid w:val="70A73F27"/>
    <w:rsid w:val="70B30B1E"/>
    <w:rsid w:val="70BC5C25"/>
    <w:rsid w:val="70C90342"/>
    <w:rsid w:val="70F33611"/>
    <w:rsid w:val="71237A52"/>
    <w:rsid w:val="712C0705"/>
    <w:rsid w:val="71325EE7"/>
    <w:rsid w:val="71353C29"/>
    <w:rsid w:val="7148395C"/>
    <w:rsid w:val="71520244"/>
    <w:rsid w:val="71557E27"/>
    <w:rsid w:val="71704C61"/>
    <w:rsid w:val="71775FF0"/>
    <w:rsid w:val="717E112C"/>
    <w:rsid w:val="719646C8"/>
    <w:rsid w:val="71B132B0"/>
    <w:rsid w:val="71B857DE"/>
    <w:rsid w:val="71C54FAD"/>
    <w:rsid w:val="71C64881"/>
    <w:rsid w:val="71C70D25"/>
    <w:rsid w:val="71CA25C3"/>
    <w:rsid w:val="71CC00E9"/>
    <w:rsid w:val="71F411AA"/>
    <w:rsid w:val="720F7FD6"/>
    <w:rsid w:val="721D26F3"/>
    <w:rsid w:val="721E638F"/>
    <w:rsid w:val="72565C05"/>
    <w:rsid w:val="7258372B"/>
    <w:rsid w:val="725A3947"/>
    <w:rsid w:val="72620743"/>
    <w:rsid w:val="72622941"/>
    <w:rsid w:val="72834520"/>
    <w:rsid w:val="72923ABA"/>
    <w:rsid w:val="72964253"/>
    <w:rsid w:val="72F07E08"/>
    <w:rsid w:val="72F571CC"/>
    <w:rsid w:val="73025D8D"/>
    <w:rsid w:val="731735E6"/>
    <w:rsid w:val="733F2B3D"/>
    <w:rsid w:val="734F0FD2"/>
    <w:rsid w:val="735F4F8D"/>
    <w:rsid w:val="73843460"/>
    <w:rsid w:val="73964909"/>
    <w:rsid w:val="73AA6208"/>
    <w:rsid w:val="73B059E4"/>
    <w:rsid w:val="73D42329"/>
    <w:rsid w:val="73DC038C"/>
    <w:rsid w:val="74017DF2"/>
    <w:rsid w:val="741B44E7"/>
    <w:rsid w:val="743930C6"/>
    <w:rsid w:val="74413F9A"/>
    <w:rsid w:val="74485A21"/>
    <w:rsid w:val="745D7787"/>
    <w:rsid w:val="7479207F"/>
    <w:rsid w:val="747B7BA5"/>
    <w:rsid w:val="747D1B6F"/>
    <w:rsid w:val="74860452"/>
    <w:rsid w:val="749E3893"/>
    <w:rsid w:val="74B62BF9"/>
    <w:rsid w:val="74C432FA"/>
    <w:rsid w:val="74D7688D"/>
    <w:rsid w:val="74DB6895"/>
    <w:rsid w:val="74E63744"/>
    <w:rsid w:val="74E7348C"/>
    <w:rsid w:val="74F160B9"/>
    <w:rsid w:val="74F31E31"/>
    <w:rsid w:val="7516167C"/>
    <w:rsid w:val="7544443B"/>
    <w:rsid w:val="75461F61"/>
    <w:rsid w:val="75575F1C"/>
    <w:rsid w:val="757C1E26"/>
    <w:rsid w:val="759E24FF"/>
    <w:rsid w:val="759E2EAC"/>
    <w:rsid w:val="75A82C1C"/>
    <w:rsid w:val="75AB270C"/>
    <w:rsid w:val="75F04612"/>
    <w:rsid w:val="761D53B8"/>
    <w:rsid w:val="7628378F"/>
    <w:rsid w:val="762F6E99"/>
    <w:rsid w:val="767931BC"/>
    <w:rsid w:val="767E572A"/>
    <w:rsid w:val="768947FB"/>
    <w:rsid w:val="76BB072D"/>
    <w:rsid w:val="76D178BC"/>
    <w:rsid w:val="76DA32A9"/>
    <w:rsid w:val="77295CF4"/>
    <w:rsid w:val="77356731"/>
    <w:rsid w:val="773A5AF5"/>
    <w:rsid w:val="77451E05"/>
    <w:rsid w:val="775267D1"/>
    <w:rsid w:val="775A46BB"/>
    <w:rsid w:val="777D1E86"/>
    <w:rsid w:val="77846CC1"/>
    <w:rsid w:val="77850D56"/>
    <w:rsid w:val="77865DC7"/>
    <w:rsid w:val="77951959"/>
    <w:rsid w:val="779B40BB"/>
    <w:rsid w:val="77A222C0"/>
    <w:rsid w:val="77AE1A32"/>
    <w:rsid w:val="77B22D3E"/>
    <w:rsid w:val="77B77146"/>
    <w:rsid w:val="77C147E4"/>
    <w:rsid w:val="77C3346D"/>
    <w:rsid w:val="77CC59BF"/>
    <w:rsid w:val="77D9530E"/>
    <w:rsid w:val="77E03ABC"/>
    <w:rsid w:val="77ED4572"/>
    <w:rsid w:val="77F0271C"/>
    <w:rsid w:val="77F13C27"/>
    <w:rsid w:val="77FC2DAB"/>
    <w:rsid w:val="77FE3626"/>
    <w:rsid w:val="78021921"/>
    <w:rsid w:val="781474DC"/>
    <w:rsid w:val="783405B6"/>
    <w:rsid w:val="78596290"/>
    <w:rsid w:val="7865373E"/>
    <w:rsid w:val="787B4617"/>
    <w:rsid w:val="789F2930"/>
    <w:rsid w:val="78A20CF7"/>
    <w:rsid w:val="78A771BA"/>
    <w:rsid w:val="78AF42C1"/>
    <w:rsid w:val="78B33DB1"/>
    <w:rsid w:val="78B82994"/>
    <w:rsid w:val="78CB6E51"/>
    <w:rsid w:val="78D37FAF"/>
    <w:rsid w:val="78D67AA0"/>
    <w:rsid w:val="78DB6E64"/>
    <w:rsid w:val="78E35D19"/>
    <w:rsid w:val="78E8005B"/>
    <w:rsid w:val="790C34C1"/>
    <w:rsid w:val="79157D17"/>
    <w:rsid w:val="79336CA0"/>
    <w:rsid w:val="793664EB"/>
    <w:rsid w:val="793D7B1F"/>
    <w:rsid w:val="794C1B10"/>
    <w:rsid w:val="795941FA"/>
    <w:rsid w:val="79627585"/>
    <w:rsid w:val="7970139F"/>
    <w:rsid w:val="79782905"/>
    <w:rsid w:val="79894B12"/>
    <w:rsid w:val="799F7E92"/>
    <w:rsid w:val="79A13C0A"/>
    <w:rsid w:val="79AC25AE"/>
    <w:rsid w:val="79C728E8"/>
    <w:rsid w:val="79CB0C87"/>
    <w:rsid w:val="79D044EF"/>
    <w:rsid w:val="79D52F41"/>
    <w:rsid w:val="79E053D0"/>
    <w:rsid w:val="7A077F60"/>
    <w:rsid w:val="7A081906"/>
    <w:rsid w:val="7A1563DC"/>
    <w:rsid w:val="7A173ECC"/>
    <w:rsid w:val="7A41363F"/>
    <w:rsid w:val="7A462A03"/>
    <w:rsid w:val="7A4F14D8"/>
    <w:rsid w:val="7A5F4654"/>
    <w:rsid w:val="7A613399"/>
    <w:rsid w:val="7A6A04A0"/>
    <w:rsid w:val="7A886B78"/>
    <w:rsid w:val="7ADF7DEE"/>
    <w:rsid w:val="7AFD7566"/>
    <w:rsid w:val="7B120C81"/>
    <w:rsid w:val="7B647D0C"/>
    <w:rsid w:val="7B7018CD"/>
    <w:rsid w:val="7B7610C6"/>
    <w:rsid w:val="7B8657AD"/>
    <w:rsid w:val="7BC93A16"/>
    <w:rsid w:val="7BD36518"/>
    <w:rsid w:val="7BDE7397"/>
    <w:rsid w:val="7BDF6C6B"/>
    <w:rsid w:val="7BE14791"/>
    <w:rsid w:val="7C393927"/>
    <w:rsid w:val="7C6069FB"/>
    <w:rsid w:val="7C662EE9"/>
    <w:rsid w:val="7C8810B1"/>
    <w:rsid w:val="7C8A307B"/>
    <w:rsid w:val="7C8C064A"/>
    <w:rsid w:val="7CAC6906"/>
    <w:rsid w:val="7CB618A1"/>
    <w:rsid w:val="7CBD07BD"/>
    <w:rsid w:val="7CD267D0"/>
    <w:rsid w:val="7CD35F32"/>
    <w:rsid w:val="7CD75B94"/>
    <w:rsid w:val="7CDB5685"/>
    <w:rsid w:val="7CEE5750"/>
    <w:rsid w:val="7CFE5817"/>
    <w:rsid w:val="7D0821F2"/>
    <w:rsid w:val="7D0A7D18"/>
    <w:rsid w:val="7D1416E7"/>
    <w:rsid w:val="7D1B3CD3"/>
    <w:rsid w:val="7D327DB0"/>
    <w:rsid w:val="7D3E5C13"/>
    <w:rsid w:val="7D433342"/>
    <w:rsid w:val="7D5471E5"/>
    <w:rsid w:val="7D584F27"/>
    <w:rsid w:val="7D7D2BE0"/>
    <w:rsid w:val="7D7F64D0"/>
    <w:rsid w:val="7D853842"/>
    <w:rsid w:val="7D9C5F7A"/>
    <w:rsid w:val="7DB01DFB"/>
    <w:rsid w:val="7DC205F3"/>
    <w:rsid w:val="7DC9372F"/>
    <w:rsid w:val="7DDC1842"/>
    <w:rsid w:val="7DE70059"/>
    <w:rsid w:val="7DEE7639"/>
    <w:rsid w:val="7DEF71FD"/>
    <w:rsid w:val="7DF804B8"/>
    <w:rsid w:val="7E022D25"/>
    <w:rsid w:val="7E0806FB"/>
    <w:rsid w:val="7E327CEC"/>
    <w:rsid w:val="7E41269F"/>
    <w:rsid w:val="7E417769"/>
    <w:rsid w:val="7E576F8D"/>
    <w:rsid w:val="7E5D7C96"/>
    <w:rsid w:val="7E7044F2"/>
    <w:rsid w:val="7E943CC5"/>
    <w:rsid w:val="7EA83C8C"/>
    <w:rsid w:val="7ED00AED"/>
    <w:rsid w:val="7EDE320A"/>
    <w:rsid w:val="7EE527EB"/>
    <w:rsid w:val="7EEC1DCB"/>
    <w:rsid w:val="7F0813B5"/>
    <w:rsid w:val="7F3E6282"/>
    <w:rsid w:val="7F4A08A0"/>
    <w:rsid w:val="7F4C4618"/>
    <w:rsid w:val="7F4F235A"/>
    <w:rsid w:val="7F4F4108"/>
    <w:rsid w:val="7F5E4198"/>
    <w:rsid w:val="7F7923D3"/>
    <w:rsid w:val="7F897B53"/>
    <w:rsid w:val="7F9B0219"/>
    <w:rsid w:val="7F9D30C5"/>
    <w:rsid w:val="7FE6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autoRedefine/>
    <w:qFormat/>
    <w:uiPriority w:val="0"/>
    <w:pPr>
      <w:keepNext/>
      <w:keepLines/>
      <w:spacing w:before="340" w:beforeLines="0" w:beforeAutospacing="0" w:after="330" w:afterLines="0" w:afterAutospacing="0" w:line="576" w:lineRule="auto"/>
      <w:jc w:val="center"/>
      <w:outlineLvl w:val="0"/>
    </w:pPr>
    <w:rPr>
      <w:rFonts w:eastAsia="宋体" w:asciiTheme="minorAscii" w:hAnsiTheme="minorAscii"/>
      <w:b/>
      <w:kern w:val="44"/>
      <w:sz w:val="36"/>
    </w:rPr>
  </w:style>
  <w:style w:type="paragraph" w:styleId="3">
    <w:name w:val="heading 3"/>
    <w:basedOn w:val="1"/>
    <w:next w:val="1"/>
    <w:autoRedefine/>
    <w:qFormat/>
    <w:uiPriority w:val="99"/>
    <w:pPr>
      <w:keepNext/>
      <w:spacing w:before="240" w:after="60"/>
      <w:outlineLvl w:val="2"/>
    </w:pPr>
    <w:rPr>
      <w:b/>
    </w:rPr>
  </w:style>
  <w:style w:type="paragraph" w:styleId="4">
    <w:name w:val="heading 4"/>
    <w:basedOn w:val="1"/>
    <w:next w:val="1"/>
    <w:autoRedefine/>
    <w:qFormat/>
    <w:uiPriority w:val="9"/>
    <w:pPr>
      <w:keepNext/>
      <w:keepLines/>
      <w:spacing w:before="200" w:line="276" w:lineRule="auto"/>
      <w:outlineLvl w:val="3"/>
    </w:pPr>
    <w:rPr>
      <w:rFonts w:ascii="Cambria" w:hAnsi="Cambria"/>
      <w:b/>
      <w:bCs/>
      <w:i/>
      <w:iCs/>
      <w:color w:val="4F81BD"/>
      <w:sz w:val="22"/>
      <w:szCs w:val="22"/>
      <w:lang w:eastAsia="en-US" w:bidi="en-US"/>
    </w:rPr>
  </w:style>
  <w:style w:type="paragraph" w:styleId="5">
    <w:name w:val="heading 5"/>
    <w:basedOn w:val="1"/>
    <w:next w:val="1"/>
    <w:qFormat/>
    <w:uiPriority w:val="0"/>
    <w:pPr>
      <w:keepNext/>
      <w:keepLines/>
      <w:spacing w:before="280" w:beforeLines="0" w:after="290" w:afterLines="0" w:line="372" w:lineRule="auto"/>
      <w:outlineLvl w:val="4"/>
    </w:pPr>
    <w:rPr>
      <w:b/>
      <w:bCs/>
      <w:kern w:val="2"/>
      <w:sz w:val="28"/>
      <w:szCs w:val="28"/>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after="200" w:line="276" w:lineRule="auto"/>
      <w:ind w:firstLine="420" w:firstLineChars="200"/>
    </w:pPr>
    <w:rPr>
      <w:rFonts w:ascii="宋体" w:hAnsi="Calibri" w:eastAsia="仿宋"/>
      <w:sz w:val="24"/>
      <w:szCs w:val="21"/>
    </w:rPr>
  </w:style>
  <w:style w:type="paragraph" w:styleId="7">
    <w:name w:val="annotation text"/>
    <w:basedOn w:val="1"/>
    <w:autoRedefine/>
    <w:qFormat/>
    <w:uiPriority w:val="0"/>
    <w:pPr>
      <w:jc w:val="left"/>
    </w:pPr>
  </w:style>
  <w:style w:type="paragraph" w:styleId="8">
    <w:name w:val="Body Text"/>
    <w:basedOn w:val="1"/>
    <w:autoRedefine/>
    <w:unhideWhenUsed/>
    <w:qFormat/>
    <w:uiPriority w:val="99"/>
    <w:pPr>
      <w:spacing w:after="120"/>
    </w:pPr>
  </w:style>
  <w:style w:type="paragraph" w:styleId="9">
    <w:name w:val="Body Text Indent"/>
    <w:basedOn w:val="1"/>
    <w:autoRedefine/>
    <w:qFormat/>
    <w:uiPriority w:val="0"/>
    <w:pPr>
      <w:spacing w:after="120" w:line="276" w:lineRule="auto"/>
      <w:ind w:left="420" w:leftChars="200"/>
    </w:pPr>
    <w:rPr>
      <w:rFonts w:ascii="宋体" w:hAnsi="Calibri" w:eastAsia="仿宋"/>
      <w:sz w:val="24"/>
      <w:szCs w:val="21"/>
    </w:rPr>
  </w:style>
  <w:style w:type="paragraph" w:styleId="10">
    <w:name w:val="Plain Text"/>
    <w:basedOn w:val="1"/>
    <w:autoRedefine/>
    <w:unhideWhenUsed/>
    <w:qFormat/>
    <w:uiPriority w:val="99"/>
    <w:rPr>
      <w:rFonts w:ascii="宋体" w:hAnsi="Courier New"/>
    </w:rPr>
  </w:style>
  <w:style w:type="paragraph" w:styleId="11">
    <w:name w:val="Body Text Indent 2"/>
    <w:basedOn w:val="1"/>
    <w:autoRedefine/>
    <w:qFormat/>
    <w:uiPriority w:val="0"/>
    <w:pPr>
      <w:spacing w:after="120" w:line="480" w:lineRule="auto"/>
      <w:ind w:left="420" w:leftChars="200"/>
    </w:pPr>
    <w:rPr>
      <w:rFonts w:ascii="宋体" w:hAnsi="Calibri" w:eastAsia="仿宋"/>
      <w:sz w:val="24"/>
      <w:szCs w:val="21"/>
    </w:rPr>
  </w:style>
  <w:style w:type="paragraph" w:styleId="12">
    <w:name w:val="footer"/>
    <w:basedOn w:val="1"/>
    <w:autoRedefine/>
    <w:semiHidden/>
    <w:unhideWhenUsed/>
    <w:qFormat/>
    <w:uiPriority w:val="99"/>
    <w:pPr>
      <w:tabs>
        <w:tab w:val="center" w:pos="4153"/>
        <w:tab w:val="right" w:pos="8306"/>
      </w:tabs>
      <w:snapToGrid w:val="0"/>
      <w:jc w:val="left"/>
    </w:pPr>
    <w:rPr>
      <w:sz w:val="18"/>
      <w:szCs w:val="18"/>
    </w:rPr>
  </w:style>
  <w:style w:type="paragraph" w:styleId="13">
    <w:name w:val="envelope return"/>
    <w:basedOn w:val="1"/>
    <w:autoRedefine/>
    <w:semiHidden/>
    <w:qFormat/>
    <w:uiPriority w:val="0"/>
    <w:pPr>
      <w:snapToGrid w:val="0"/>
      <w:spacing w:after="200" w:line="276" w:lineRule="auto"/>
    </w:pPr>
    <w:rPr>
      <w:rFonts w:ascii="Arial" w:hAnsi="Arial" w:cs="Arial"/>
      <w:sz w:val="22"/>
      <w:szCs w:val="22"/>
      <w:lang w:eastAsia="en-US" w:bidi="en-US"/>
    </w:rPr>
  </w:style>
  <w:style w:type="paragraph" w:styleId="14">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style>
  <w:style w:type="paragraph" w:styleId="16">
    <w:name w:val="Message Header"/>
    <w:basedOn w:val="1"/>
    <w:autoRedefine/>
    <w:semiHidden/>
    <w:qFormat/>
    <w:uiPriority w:val="0"/>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pPr>
    <w:rPr>
      <w:rFonts w:ascii="Arial" w:hAnsi="Arial" w:cs="Arial"/>
      <w:sz w:val="22"/>
      <w:szCs w:val="24"/>
      <w:lang w:eastAsia="en-US" w:bidi="en-US"/>
    </w:rPr>
  </w:style>
  <w:style w:type="paragraph" w:styleId="1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8">
    <w:name w:val="Body Text First Indent"/>
    <w:basedOn w:val="8"/>
    <w:autoRedefine/>
    <w:qFormat/>
    <w:uiPriority w:val="0"/>
    <w:pPr>
      <w:ind w:firstLine="420" w:firstLineChars="100"/>
    </w:pPr>
  </w:style>
  <w:style w:type="paragraph" w:styleId="19">
    <w:name w:val="Body Text First Indent 2"/>
    <w:basedOn w:val="9"/>
    <w:autoRedefine/>
    <w:qFormat/>
    <w:uiPriority w:val="0"/>
    <w:pPr>
      <w:ind w:firstLine="420" w:firstLineChars="200"/>
    </w:pPr>
  </w:style>
  <w:style w:type="character" w:styleId="22">
    <w:name w:val="Strong"/>
    <w:basedOn w:val="21"/>
    <w:autoRedefine/>
    <w:qFormat/>
    <w:uiPriority w:val="0"/>
    <w:rPr>
      <w:b/>
      <w:bCs/>
    </w:rPr>
  </w:style>
  <w:style w:type="character" w:styleId="23">
    <w:name w:val="FollowedHyperlink"/>
    <w:basedOn w:val="21"/>
    <w:autoRedefine/>
    <w:qFormat/>
    <w:uiPriority w:val="0"/>
    <w:rPr>
      <w:color w:val="800080"/>
      <w:u w:val="none"/>
    </w:rPr>
  </w:style>
  <w:style w:type="character" w:styleId="24">
    <w:name w:val="Emphasis"/>
    <w:basedOn w:val="21"/>
    <w:autoRedefine/>
    <w:qFormat/>
    <w:uiPriority w:val="0"/>
    <w:rPr>
      <w:b/>
      <w:bCs/>
    </w:rPr>
  </w:style>
  <w:style w:type="character" w:styleId="25">
    <w:name w:val="HTML Definition"/>
    <w:basedOn w:val="21"/>
    <w:autoRedefine/>
    <w:qFormat/>
    <w:uiPriority w:val="0"/>
  </w:style>
  <w:style w:type="character" w:styleId="26">
    <w:name w:val="HTML Typewriter"/>
    <w:basedOn w:val="21"/>
    <w:autoRedefine/>
    <w:qFormat/>
    <w:uiPriority w:val="0"/>
    <w:rPr>
      <w:rFonts w:ascii="monospace" w:hAnsi="monospace" w:eastAsia="monospace" w:cs="monospace"/>
      <w:sz w:val="20"/>
    </w:rPr>
  </w:style>
  <w:style w:type="character" w:styleId="27">
    <w:name w:val="HTML Acronym"/>
    <w:basedOn w:val="21"/>
    <w:autoRedefine/>
    <w:qFormat/>
    <w:uiPriority w:val="0"/>
  </w:style>
  <w:style w:type="character" w:styleId="28">
    <w:name w:val="HTML Variable"/>
    <w:basedOn w:val="21"/>
    <w:autoRedefine/>
    <w:qFormat/>
    <w:uiPriority w:val="0"/>
  </w:style>
  <w:style w:type="character" w:styleId="29">
    <w:name w:val="Hyperlink"/>
    <w:basedOn w:val="21"/>
    <w:autoRedefine/>
    <w:qFormat/>
    <w:uiPriority w:val="0"/>
    <w:rPr>
      <w:color w:val="0000FF"/>
      <w:u w:val="none"/>
    </w:rPr>
  </w:style>
  <w:style w:type="character" w:styleId="30">
    <w:name w:val="HTML Code"/>
    <w:basedOn w:val="21"/>
    <w:autoRedefine/>
    <w:qFormat/>
    <w:uiPriority w:val="0"/>
    <w:rPr>
      <w:rFonts w:hint="default" w:ascii="monospace" w:hAnsi="monospace" w:eastAsia="monospace" w:cs="monospace"/>
      <w:sz w:val="20"/>
    </w:rPr>
  </w:style>
  <w:style w:type="character" w:styleId="31">
    <w:name w:val="annotation reference"/>
    <w:qFormat/>
    <w:uiPriority w:val="0"/>
    <w:rPr>
      <w:rFonts w:cs="Times New Roman"/>
      <w:sz w:val="21"/>
      <w:szCs w:val="21"/>
    </w:rPr>
  </w:style>
  <w:style w:type="character" w:styleId="32">
    <w:name w:val="HTML Cite"/>
    <w:basedOn w:val="21"/>
    <w:autoRedefine/>
    <w:qFormat/>
    <w:uiPriority w:val="0"/>
  </w:style>
  <w:style w:type="character" w:styleId="33">
    <w:name w:val="HTML Keyboard"/>
    <w:basedOn w:val="21"/>
    <w:autoRedefine/>
    <w:qFormat/>
    <w:uiPriority w:val="0"/>
    <w:rPr>
      <w:rFonts w:hint="default" w:ascii="monospace" w:hAnsi="monospace" w:eastAsia="monospace" w:cs="monospace"/>
      <w:sz w:val="20"/>
    </w:rPr>
  </w:style>
  <w:style w:type="character" w:styleId="34">
    <w:name w:val="HTML Sample"/>
    <w:basedOn w:val="21"/>
    <w:autoRedefine/>
    <w:qFormat/>
    <w:uiPriority w:val="0"/>
    <w:rPr>
      <w:rFonts w:hint="default" w:ascii="monospace" w:hAnsi="monospace" w:eastAsia="monospace" w:cs="monospace"/>
    </w:rPr>
  </w:style>
  <w:style w:type="paragraph" w:customStyle="1" w:styleId="35">
    <w:name w:val="Default"/>
    <w:autoRedefine/>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36">
    <w:name w:val="大标题"/>
    <w:basedOn w:val="1"/>
    <w:next w:val="19"/>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37">
    <w:name w:val="p0"/>
    <w:basedOn w:val="1"/>
    <w:autoRedefine/>
    <w:qFormat/>
    <w:uiPriority w:val="0"/>
    <w:pPr>
      <w:widowControl/>
    </w:pPr>
    <w:rPr>
      <w:kern w:val="0"/>
      <w:szCs w:val="21"/>
    </w:rPr>
  </w:style>
  <w:style w:type="character" w:customStyle="1" w:styleId="38">
    <w:name w:val="html_txt1"/>
    <w:autoRedefine/>
    <w:qFormat/>
    <w:uiPriority w:val="0"/>
    <w:rPr>
      <w:color w:val="000000"/>
    </w:rPr>
  </w:style>
  <w:style w:type="character" w:customStyle="1" w:styleId="39">
    <w:name w:val="标题 1 Char"/>
    <w:link w:val="2"/>
    <w:autoRedefine/>
    <w:qFormat/>
    <w:uiPriority w:val="0"/>
    <w:rPr>
      <w:rFonts w:eastAsia="宋体" w:asciiTheme="minorAscii" w:hAnsiTheme="minorAscii"/>
      <w:b/>
      <w:kern w:val="44"/>
      <w:sz w:val="36"/>
    </w:rPr>
  </w:style>
  <w:style w:type="paragraph" w:customStyle="1" w:styleId="40">
    <w:name w:val="Table Paragraph"/>
    <w:basedOn w:val="1"/>
    <w:autoRedefine/>
    <w:qFormat/>
    <w:uiPriority w:val="1"/>
  </w:style>
  <w:style w:type="character" w:customStyle="1" w:styleId="41">
    <w:name w:val="hover"/>
    <w:basedOn w:val="21"/>
    <w:autoRedefine/>
    <w:qFormat/>
    <w:uiPriority w:val="0"/>
    <w:rPr>
      <w:color w:val="2590EB"/>
    </w:rPr>
  </w:style>
  <w:style w:type="character" w:customStyle="1" w:styleId="42">
    <w:name w:val="hover1"/>
    <w:basedOn w:val="21"/>
    <w:autoRedefine/>
    <w:qFormat/>
    <w:uiPriority w:val="0"/>
    <w:rPr>
      <w:color w:val="2590EB"/>
    </w:rPr>
  </w:style>
  <w:style w:type="character" w:customStyle="1" w:styleId="43">
    <w:name w:val="hover2"/>
    <w:basedOn w:val="21"/>
    <w:autoRedefine/>
    <w:qFormat/>
    <w:uiPriority w:val="0"/>
  </w:style>
  <w:style w:type="character" w:customStyle="1" w:styleId="44">
    <w:name w:val="mini-outputtext1"/>
    <w:basedOn w:val="21"/>
    <w:autoRedefine/>
    <w:qFormat/>
    <w:uiPriority w:val="0"/>
  </w:style>
  <w:style w:type="character" w:customStyle="1" w:styleId="45">
    <w:name w:val="hover3"/>
    <w:basedOn w:val="21"/>
    <w:autoRedefine/>
    <w:qFormat/>
    <w:uiPriority w:val="0"/>
  </w:style>
  <w:style w:type="paragraph" w:customStyle="1" w:styleId="46">
    <w:name w:val="报告正文"/>
    <w:basedOn w:val="1"/>
    <w:autoRedefine/>
    <w:qFormat/>
    <w:uiPriority w:val="0"/>
    <w:pPr>
      <w:adjustRightInd w:val="0"/>
      <w:ind w:firstLine="560" w:firstLineChars="200"/>
    </w:pPr>
    <w:rPr>
      <w:rFonts w:ascii="宋体" w:hAnsi="宋体"/>
    </w:rPr>
  </w:style>
  <w:style w:type="character" w:customStyle="1" w:styleId="47">
    <w:name w:val="first-child"/>
    <w:basedOn w:val="21"/>
    <w:autoRedefine/>
    <w:qFormat/>
    <w:uiPriority w:val="0"/>
  </w:style>
  <w:style w:type="character" w:customStyle="1" w:styleId="48">
    <w:name w:val="layui-layer-tabnow"/>
    <w:basedOn w:val="21"/>
    <w:autoRedefine/>
    <w:qFormat/>
    <w:uiPriority w:val="0"/>
    <w:rPr>
      <w:bdr w:val="single" w:color="CCCCCC" w:sz="6" w:space="0"/>
      <w:shd w:val="clear" w:fill="FFFFFF"/>
    </w:rPr>
  </w:style>
  <w:style w:type="paragraph" w:customStyle="1" w:styleId="49">
    <w:name w:val="列出段落1"/>
    <w:autoRedefine/>
    <w:qFormat/>
    <w:uiPriority w:val="34"/>
    <w:pPr>
      <w:ind w:firstLine="420" w:firstLineChars="200"/>
    </w:pPr>
    <w:rPr>
      <w:rFonts w:ascii="Times New Roman" w:hAnsi="Times New Roman" w:eastAsia="宋体" w:cs="Times New Roman"/>
      <w:lang w:val="en-US" w:eastAsia="zh-CN" w:bidi="ar-SA"/>
    </w:rPr>
  </w:style>
  <w:style w:type="paragraph" w:customStyle="1" w:styleId="50">
    <w:name w:val="cjk"/>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1">
    <w:name w:val="Style1"/>
    <w:autoRedefine/>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52">
    <w:name w:val="标题4 Char"/>
    <w:link w:val="53"/>
    <w:autoRedefine/>
    <w:qFormat/>
    <w:uiPriority w:val="0"/>
    <w:rPr>
      <w:rFonts w:asciiTheme="minorHAnsi" w:hAnsiTheme="minorHAnsi" w:eastAsiaTheme="minorEastAsia" w:cstheme="minorBidi"/>
      <w:kern w:val="0"/>
      <w:sz w:val="28"/>
      <w:szCs w:val="20"/>
    </w:rPr>
  </w:style>
  <w:style w:type="paragraph" w:customStyle="1" w:styleId="53">
    <w:name w:val="标题4"/>
    <w:basedOn w:val="1"/>
    <w:next w:val="1"/>
    <w:link w:val="52"/>
    <w:autoRedefine/>
    <w:qFormat/>
    <w:uiPriority w:val="0"/>
    <w:pPr>
      <w:spacing w:line="360" w:lineRule="auto"/>
      <w:ind w:firstLine="105" w:firstLineChars="50"/>
      <w:jc w:val="left"/>
    </w:pPr>
    <w:rPr>
      <w:rFonts w:asciiTheme="minorHAnsi" w:hAnsiTheme="minorHAnsi" w:eastAsiaTheme="minorEastAsia" w:cstheme="minorBidi"/>
      <w:kern w:val="0"/>
      <w:sz w:val="28"/>
      <w:szCs w:val="20"/>
    </w:rPr>
  </w:style>
  <w:style w:type="paragraph" w:customStyle="1" w:styleId="54">
    <w:name w:val="正文_12_0"/>
    <w:qFormat/>
    <w:uiPriority w:val="0"/>
    <w:pPr>
      <w:widowControl w:val="0"/>
      <w:jc w:val="both"/>
    </w:pPr>
    <w:rPr>
      <w:rFonts w:ascii="Calibri" w:hAnsi="Calibri" w:eastAsia="宋体" w:cs="Times New Roman"/>
      <w:kern w:val="2"/>
      <w:sz w:val="21"/>
      <w:szCs w:val="22"/>
      <w:lang w:val="en-US" w:eastAsia="zh-CN" w:bidi="ar-SA"/>
    </w:rPr>
  </w:style>
  <w:style w:type="table" w:customStyle="1" w:styleId="55">
    <w:name w:val="Table Normal"/>
    <w:autoRedefine/>
    <w:semiHidden/>
    <w:unhideWhenUsed/>
    <w:qFormat/>
    <w:uiPriority w:val="0"/>
    <w:tblPr>
      <w:tblCellMar>
        <w:top w:w="0" w:type="dxa"/>
        <w:left w:w="0" w:type="dxa"/>
        <w:bottom w:w="0" w:type="dxa"/>
        <w:right w:w="0" w:type="dxa"/>
      </w:tblCellMar>
    </w:tblPr>
  </w:style>
  <w:style w:type="paragraph" w:customStyle="1" w:styleId="56">
    <w:name w:val="内容正文"/>
    <w:basedOn w:val="1"/>
    <w:qFormat/>
    <w:uiPriority w:val="0"/>
    <w:pPr>
      <w:spacing w:line="360" w:lineRule="auto"/>
      <w:ind w:firstLine="480" w:firstLineChars="200"/>
    </w:pPr>
    <w:rPr>
      <w:sz w:val="24"/>
      <w:szCs w:val="24"/>
    </w:rPr>
  </w:style>
  <w:style w:type="character" w:customStyle="1" w:styleId="57">
    <w:name w:val="font41"/>
    <w:basedOn w:val="21"/>
    <w:qFormat/>
    <w:uiPriority w:val="0"/>
    <w:rPr>
      <w:rFonts w:hint="default" w:ascii="MS Sans Serif" w:hAnsi="MS Sans Serif" w:eastAsia="MS Sans Serif" w:cs="MS Sans Serif"/>
      <w:color w:val="000000"/>
      <w:sz w:val="20"/>
      <w:szCs w:val="20"/>
      <w:u w:val="none"/>
    </w:rPr>
  </w:style>
  <w:style w:type="character" w:customStyle="1" w:styleId="58">
    <w:name w:val="font61"/>
    <w:basedOn w:val="21"/>
    <w:qFormat/>
    <w:uiPriority w:val="0"/>
    <w:rPr>
      <w:rFonts w:hint="eastAsia" w:ascii="宋体" w:hAnsi="宋体" w:eastAsia="宋体" w:cs="宋体"/>
      <w:color w:val="000000"/>
      <w:sz w:val="20"/>
      <w:szCs w:val="20"/>
      <w:u w:val="none"/>
    </w:rPr>
  </w:style>
  <w:style w:type="character" w:customStyle="1" w:styleId="59">
    <w:name w:val="font01"/>
    <w:basedOn w:val="21"/>
    <w:qFormat/>
    <w:uiPriority w:val="0"/>
    <w:rPr>
      <w:rFonts w:hint="eastAsia" w:ascii="宋体" w:hAnsi="宋体" w:eastAsia="宋体" w:cs="宋体"/>
      <w:color w:val="000000"/>
      <w:sz w:val="22"/>
      <w:szCs w:val="22"/>
      <w:u w:val="none"/>
    </w:rPr>
  </w:style>
  <w:style w:type="character" w:customStyle="1" w:styleId="60">
    <w:name w:val="font91"/>
    <w:basedOn w:val="21"/>
    <w:qFormat/>
    <w:uiPriority w:val="0"/>
    <w:rPr>
      <w:rFonts w:ascii="Arial" w:hAnsi="Arial" w:cs="Arial"/>
      <w:color w:val="000000"/>
      <w:sz w:val="22"/>
      <w:szCs w:val="22"/>
      <w:u w:val="none"/>
    </w:rPr>
  </w:style>
  <w:style w:type="paragraph" w:customStyle="1" w:styleId="61">
    <w:name w:val="WPSOffice手动目录 1"/>
    <w:qFormat/>
    <w:uiPriority w:val="0"/>
    <w:pPr>
      <w:ind w:leftChars="0"/>
    </w:pPr>
    <w:rPr>
      <w:rFonts w:ascii="Times New Roman" w:hAnsi="Times New Roman" w:eastAsia="宋体" w:cs="Times New Roman"/>
      <w:sz w:val="20"/>
      <w:szCs w:val="20"/>
    </w:rPr>
  </w:style>
  <w:style w:type="character" w:customStyle="1" w:styleId="62">
    <w:name w:val="hover16"/>
    <w:basedOn w:val="21"/>
    <w:qFormat/>
    <w:uiPriority w:val="0"/>
  </w:style>
  <w:style w:type="character" w:customStyle="1" w:styleId="63">
    <w:name w:val="hover18"/>
    <w:basedOn w:val="21"/>
    <w:qFormat/>
    <w:uiPriority w:val="0"/>
  </w:style>
  <w:style w:type="character" w:customStyle="1" w:styleId="64">
    <w:name w:val="hover17"/>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21027</Words>
  <Characters>22573</Characters>
  <Lines>0</Lines>
  <Paragraphs>0</Paragraphs>
  <TotalTime>0</TotalTime>
  <ScaleCrop>false</ScaleCrop>
  <LinksUpToDate>false</LinksUpToDate>
  <CharactersWithSpaces>23628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2021-11-06T01:40:00Z</dcterms:created>
  <dc:creator>杨欢</dc:creator>
  <cp:lastModifiedBy>123</cp:lastModifiedBy>
  <cp:lastPrinted>2024-06-21T08:41:00Z</cp:lastPrinted>
  <dcterms:modified xsi:type="dcterms:W3CDTF">2025-10-15T03:07:59Z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07CDC8C4662D4AFBB24678D6BE544D99_13</vt:lpwstr>
  </property>
  <property fmtid="{D5CDD505-2E9C-101B-9397-08002B2CF9AE}" pid="4" name="KSOTemplateDocerSaveRecord">
    <vt:lpwstr>eyJoZGlkIjoiNWM4MjA0ZGJjMTY3ZWIxNzRmYjlmZjk3MDVmMjIyNWEiLCJ1c2VySWQiOiI0MjA1Nzg2NTEifQ==</vt:lpwstr>
  </property>
</Properties>
</file>