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7873D">
      <w:pPr>
        <w:spacing w:line="720" w:lineRule="auto"/>
        <w:jc w:val="center"/>
        <w:rPr>
          <w:rFonts w:hint="eastAsia" w:ascii="宋体" w:hAnsi="宋体" w:eastAsia="宋体" w:cs="黑体"/>
          <w:color w:val="auto"/>
          <w:sz w:val="44"/>
          <w:szCs w:val="44"/>
          <w:lang w:eastAsia="zh-CN"/>
        </w:rPr>
      </w:pPr>
      <w:bookmarkStart w:id="0" w:name="_Toc152042303"/>
      <w:bookmarkEnd w:id="0"/>
      <w:bookmarkStart w:id="1" w:name="_Toc179632544"/>
      <w:bookmarkEnd w:id="1"/>
      <w:bookmarkStart w:id="2" w:name="_Toc144974495"/>
      <w:bookmarkEnd w:id="2"/>
      <w:bookmarkStart w:id="77" w:name="_GoBack"/>
      <w:bookmarkEnd w:id="77"/>
      <w:r>
        <w:rPr>
          <w:rFonts w:hint="eastAsia" w:ascii="宋体" w:hAnsi="宋体" w:cs="黑体"/>
          <w:b/>
          <w:bCs/>
          <w:color w:val="auto"/>
          <w:sz w:val="44"/>
          <w:szCs w:val="44"/>
          <w:lang w:eastAsia="zh-CN"/>
        </w:rPr>
        <w:t>卢氏县《卢氏县突发事件总体应急预案》和《卢氏县防汛应急预案》等六部预案修编项目</w:t>
      </w:r>
      <w:r>
        <w:rPr>
          <w:rFonts w:hint="eastAsia" w:ascii="宋体" w:hAnsi="宋体" w:cs="黑体"/>
          <w:color w:val="auto"/>
          <w:sz w:val="44"/>
          <w:szCs w:val="44"/>
          <w:lang w:eastAsia="zh-CN"/>
        </w:rPr>
        <w:t xml:space="preserve"> </w:t>
      </w:r>
    </w:p>
    <w:p w14:paraId="4A423BF3">
      <w:pPr>
        <w:spacing w:line="720" w:lineRule="auto"/>
        <w:jc w:val="center"/>
        <w:outlineLvl w:val="0"/>
        <w:rPr>
          <w:rFonts w:ascii="宋体" w:hAnsi="宋体" w:cs="黑体"/>
          <w:b/>
          <w:bCs/>
          <w:color w:val="auto"/>
          <w:sz w:val="24"/>
          <w:szCs w:val="24"/>
        </w:rPr>
      </w:pPr>
      <w:bookmarkStart w:id="3" w:name="_Toc3106"/>
      <w:r>
        <w:rPr>
          <w:rFonts w:hint="eastAsia" w:ascii="宋体" w:hAnsi="宋体" w:cs="黑体"/>
          <w:b/>
          <w:bCs/>
          <w:color w:val="auto"/>
          <w:sz w:val="48"/>
          <w:szCs w:val="48"/>
        </w:rPr>
        <w:t>竞争性磋商文件</w:t>
      </w:r>
      <w:bookmarkEnd w:id="3"/>
    </w:p>
    <w:p w14:paraId="4C0C561B">
      <w:pPr>
        <w:spacing w:line="720" w:lineRule="auto"/>
        <w:jc w:val="center"/>
        <w:rPr>
          <w:rFonts w:ascii="宋体" w:hAnsi="宋体" w:cs="宋体"/>
          <w:color w:val="auto"/>
          <w:kern w:val="2"/>
          <w:sz w:val="24"/>
          <w:szCs w:val="24"/>
        </w:rPr>
      </w:pPr>
    </w:p>
    <w:p w14:paraId="2F1AF2AD">
      <w:pPr>
        <w:tabs>
          <w:tab w:val="left" w:pos="8222"/>
        </w:tabs>
        <w:jc w:val="left"/>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eastAsia="zh-CN"/>
        </w:rPr>
        <w:tab/>
      </w:r>
    </w:p>
    <w:p w14:paraId="38464F0B">
      <w:pPr>
        <w:ind w:firstLine="1200" w:firstLineChars="500"/>
        <w:jc w:val="left"/>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eastAsia="zh-CN"/>
        </w:rPr>
        <w:t>项目编号：</w:t>
      </w:r>
      <w:r>
        <w:rPr>
          <w:rFonts w:hint="eastAsia" w:ascii="宋体" w:hAnsi="宋体" w:cs="宋体"/>
          <w:bCs/>
          <w:color w:val="auto"/>
          <w:kern w:val="0"/>
          <w:sz w:val="24"/>
          <w:szCs w:val="20"/>
          <w:u w:val="none"/>
          <w:lang w:val="en-US" w:eastAsia="zh-CN"/>
        </w:rPr>
        <w:t>三卢竞磋采购-2025-106</w:t>
      </w:r>
      <w:r>
        <w:rPr>
          <w:rFonts w:hint="eastAsia" w:ascii="宋体" w:hAnsi="宋体" w:cs="宋体"/>
          <w:color w:val="auto"/>
          <w:kern w:val="2"/>
          <w:sz w:val="24"/>
          <w:szCs w:val="24"/>
          <w:lang w:val="en-US" w:eastAsia="zh-CN"/>
        </w:rPr>
        <w:t xml:space="preserve"> 、LSGZ[2025]271-ZC154</w:t>
      </w:r>
    </w:p>
    <w:p w14:paraId="6E209F10">
      <w:pPr>
        <w:pStyle w:val="6"/>
      </w:pPr>
    </w:p>
    <w:p w14:paraId="6CC376FD">
      <w:pPr>
        <w:jc w:val="center"/>
        <w:rPr>
          <w:rFonts w:ascii="宋体" w:hAnsi="宋体" w:cs="黑体"/>
          <w:color w:val="auto"/>
          <w:sz w:val="24"/>
          <w:szCs w:val="24"/>
        </w:rPr>
      </w:pPr>
    </w:p>
    <w:p w14:paraId="63CEFEBB">
      <w:pPr>
        <w:pStyle w:val="6"/>
        <w:rPr>
          <w:rFonts w:ascii="宋体" w:hAnsi="宋体"/>
          <w:color w:val="auto"/>
          <w:sz w:val="24"/>
        </w:rPr>
      </w:pPr>
    </w:p>
    <w:p w14:paraId="211BC5A2">
      <w:pPr>
        <w:pStyle w:val="7"/>
      </w:pPr>
    </w:p>
    <w:p w14:paraId="0FB7F00A">
      <w:pPr>
        <w:jc w:val="center"/>
        <w:rPr>
          <w:rFonts w:ascii="宋体" w:hAnsi="宋体"/>
          <w:color w:val="auto"/>
          <w:sz w:val="24"/>
          <w:szCs w:val="24"/>
        </w:rPr>
      </w:pPr>
    </w:p>
    <w:p w14:paraId="18D67233">
      <w:pPr>
        <w:jc w:val="center"/>
        <w:rPr>
          <w:rFonts w:ascii="宋体" w:hAnsi="宋体"/>
          <w:color w:val="auto"/>
          <w:sz w:val="24"/>
          <w:szCs w:val="24"/>
        </w:rPr>
      </w:pPr>
    </w:p>
    <w:p w14:paraId="0A4531D0">
      <w:pPr>
        <w:jc w:val="center"/>
        <w:rPr>
          <w:rFonts w:ascii="宋体" w:hAnsi="宋体"/>
          <w:color w:val="auto"/>
          <w:sz w:val="24"/>
          <w:szCs w:val="24"/>
        </w:rPr>
      </w:pPr>
      <w:r>
        <w:rPr>
          <w:rFonts w:ascii="宋体" w:hAnsi="宋体" w:cs="宋体"/>
        </w:rPr>
        <w:drawing>
          <wp:anchor distT="0" distB="0" distL="114300" distR="114300" simplePos="0" relativeHeight="251660288" behindDoc="0" locked="0" layoutInCell="1" allowOverlap="1">
            <wp:simplePos x="0" y="0"/>
            <wp:positionH relativeFrom="column">
              <wp:posOffset>1934845</wp:posOffset>
            </wp:positionH>
            <wp:positionV relativeFrom="paragraph">
              <wp:posOffset>-835660</wp:posOffset>
            </wp:positionV>
            <wp:extent cx="1786255" cy="2374265"/>
            <wp:effectExtent l="0" t="0" r="4445" b="6985"/>
            <wp:wrapNone/>
            <wp:docPr id="13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 descr="IMG_256"/>
                    <pic:cNvPicPr>
                      <a:picLocks noChangeAspect="1"/>
                    </pic:cNvPicPr>
                  </pic:nvPicPr>
                  <pic:blipFill>
                    <a:blip r:embed="rId6"/>
                    <a:stretch>
                      <a:fillRect/>
                    </a:stretch>
                  </pic:blipFill>
                  <pic:spPr>
                    <a:xfrm>
                      <a:off x="0" y="0"/>
                      <a:ext cx="1786255" cy="2374265"/>
                    </a:xfrm>
                    <a:prstGeom prst="rect">
                      <a:avLst/>
                    </a:prstGeom>
                    <a:noFill/>
                    <a:ln>
                      <a:noFill/>
                    </a:ln>
                  </pic:spPr>
                </pic:pic>
              </a:graphicData>
            </a:graphic>
          </wp:anchor>
        </w:drawing>
      </w:r>
    </w:p>
    <w:p w14:paraId="676CACB1">
      <w:pPr>
        <w:pStyle w:val="6"/>
        <w:rPr>
          <w:rFonts w:ascii="宋体" w:hAnsi="宋体"/>
          <w:color w:val="auto"/>
          <w:sz w:val="30"/>
          <w:szCs w:val="30"/>
        </w:rPr>
      </w:pPr>
    </w:p>
    <w:p w14:paraId="4A4B9360">
      <w:pPr>
        <w:jc w:val="center"/>
        <w:rPr>
          <w:rFonts w:hint="eastAsia" w:ascii="宋体" w:hAnsi="宋体" w:cs="黑体"/>
          <w:color w:val="auto"/>
          <w:sz w:val="30"/>
          <w:szCs w:val="30"/>
        </w:rPr>
      </w:pPr>
    </w:p>
    <w:p w14:paraId="091AB604">
      <w:pPr>
        <w:jc w:val="center"/>
        <w:rPr>
          <w:rFonts w:hint="eastAsia" w:ascii="宋体" w:hAnsi="宋体" w:cs="黑体"/>
          <w:color w:val="auto"/>
          <w:sz w:val="30"/>
          <w:szCs w:val="30"/>
        </w:rPr>
      </w:pPr>
    </w:p>
    <w:p w14:paraId="6BBCB613">
      <w:pPr>
        <w:jc w:val="center"/>
        <w:rPr>
          <w:rFonts w:hint="eastAsia" w:ascii="宋体" w:hAnsi="宋体" w:cs="黑体"/>
          <w:color w:val="auto"/>
          <w:sz w:val="30"/>
          <w:szCs w:val="30"/>
        </w:rPr>
      </w:pPr>
    </w:p>
    <w:p w14:paraId="3CF74739">
      <w:pPr>
        <w:jc w:val="center"/>
        <w:rPr>
          <w:rFonts w:hint="eastAsia" w:ascii="宋体" w:hAnsi="宋体" w:cs="黑体"/>
          <w:color w:val="auto"/>
          <w:sz w:val="30"/>
          <w:szCs w:val="30"/>
        </w:rPr>
      </w:pPr>
    </w:p>
    <w:p w14:paraId="275EBB88">
      <w:pPr>
        <w:jc w:val="center"/>
        <w:rPr>
          <w:rFonts w:hint="eastAsia" w:ascii="宋体" w:hAnsi="宋体" w:cs="黑体"/>
          <w:color w:val="auto"/>
          <w:sz w:val="30"/>
          <w:szCs w:val="30"/>
        </w:rPr>
      </w:pPr>
    </w:p>
    <w:p w14:paraId="58B81659">
      <w:pPr>
        <w:jc w:val="center"/>
        <w:rPr>
          <w:rFonts w:hint="eastAsia" w:ascii="宋体" w:hAnsi="宋体" w:cs="黑体"/>
          <w:color w:val="auto"/>
          <w:sz w:val="30"/>
          <w:szCs w:val="30"/>
        </w:rPr>
      </w:pPr>
    </w:p>
    <w:p w14:paraId="10184DAE">
      <w:pPr>
        <w:jc w:val="center"/>
        <w:rPr>
          <w:rFonts w:hint="eastAsia" w:ascii="宋体" w:hAnsi="宋体" w:eastAsia="宋体" w:cs="黑体"/>
          <w:color w:val="auto"/>
          <w:sz w:val="30"/>
          <w:szCs w:val="30"/>
          <w:lang w:eastAsia="zh-CN"/>
        </w:rPr>
      </w:pPr>
      <w:r>
        <w:rPr>
          <w:rFonts w:hint="eastAsia" w:ascii="宋体" w:hAnsi="宋体" w:cs="黑体"/>
          <w:color w:val="auto"/>
          <w:sz w:val="30"/>
          <w:szCs w:val="30"/>
        </w:rPr>
        <w:t>采购人：</w:t>
      </w:r>
      <w:r>
        <w:rPr>
          <w:rFonts w:hint="eastAsia" w:ascii="宋体" w:hAnsi="宋体" w:cs="黑体"/>
          <w:color w:val="auto"/>
          <w:sz w:val="30"/>
          <w:szCs w:val="30"/>
          <w:lang w:eastAsia="zh-CN"/>
        </w:rPr>
        <w:t xml:space="preserve">卢氏县应急管理局 </w:t>
      </w:r>
    </w:p>
    <w:p w14:paraId="5A0F130F">
      <w:pPr>
        <w:jc w:val="center"/>
        <w:rPr>
          <w:rFonts w:ascii="宋体" w:hAnsi="宋体" w:cs="黑体"/>
          <w:color w:val="auto"/>
          <w:sz w:val="30"/>
          <w:szCs w:val="30"/>
        </w:rPr>
      </w:pPr>
      <w:r>
        <w:rPr>
          <w:rFonts w:hint="eastAsia" w:ascii="宋体" w:hAnsi="宋体" w:cs="黑体"/>
          <w:color w:val="auto"/>
          <w:sz w:val="30"/>
          <w:szCs w:val="30"/>
        </w:rPr>
        <w:t>代理机构：</w:t>
      </w:r>
      <w:r>
        <w:rPr>
          <w:rFonts w:hint="eastAsia" w:ascii="宋体" w:hAnsi="宋体" w:cs="黑体"/>
          <w:color w:val="auto"/>
          <w:sz w:val="30"/>
          <w:szCs w:val="30"/>
          <w:lang w:eastAsia="zh-CN"/>
        </w:rPr>
        <w:t>中瑞建园工程管理有限公司</w:t>
      </w:r>
    </w:p>
    <w:p w14:paraId="65800EA9">
      <w:pPr>
        <w:spacing w:line="500" w:lineRule="exact"/>
        <w:jc w:val="center"/>
        <w:rPr>
          <w:rFonts w:ascii="宋体" w:hAnsi="宋体"/>
          <w:b/>
          <w:color w:val="auto"/>
          <w:spacing w:val="-20"/>
          <w:sz w:val="30"/>
          <w:szCs w:val="30"/>
        </w:rPr>
      </w:pPr>
      <w:r>
        <w:rPr>
          <w:rFonts w:hint="eastAsia" w:ascii="宋体" w:hAnsi="宋体" w:cs="黑体"/>
          <w:color w:val="auto"/>
          <w:sz w:val="30"/>
          <w:szCs w:val="30"/>
        </w:rPr>
        <w:t>日期：二</w:t>
      </w:r>
      <w:r>
        <w:rPr>
          <w:rFonts w:hint="eastAsia" w:ascii="宋体" w:hAnsi="宋体" w:cs="黑体"/>
          <w:color w:val="auto"/>
          <w:sz w:val="30"/>
          <w:szCs w:val="30"/>
          <w:lang w:eastAsia="zh-CN"/>
        </w:rPr>
        <w:t>零</w:t>
      </w:r>
      <w:r>
        <w:rPr>
          <w:rFonts w:hint="eastAsia" w:ascii="宋体" w:hAnsi="宋体" w:cs="黑体"/>
          <w:color w:val="auto"/>
          <w:sz w:val="30"/>
          <w:szCs w:val="30"/>
        </w:rPr>
        <w:t>二</w:t>
      </w:r>
      <w:r>
        <w:rPr>
          <w:rFonts w:hint="eastAsia" w:ascii="宋体" w:hAnsi="宋体" w:cs="黑体"/>
          <w:color w:val="auto"/>
          <w:sz w:val="30"/>
          <w:szCs w:val="30"/>
          <w:lang w:val="en-US" w:eastAsia="zh-CN"/>
        </w:rPr>
        <w:t>五</w:t>
      </w:r>
      <w:r>
        <w:rPr>
          <w:rFonts w:hint="eastAsia" w:ascii="宋体" w:hAnsi="宋体" w:cs="黑体"/>
          <w:color w:val="auto"/>
          <w:sz w:val="30"/>
          <w:szCs w:val="30"/>
          <w:lang w:eastAsia="zh-CN"/>
        </w:rPr>
        <w:t>年</w:t>
      </w:r>
      <w:r>
        <w:rPr>
          <w:rFonts w:hint="eastAsia" w:ascii="宋体" w:hAnsi="宋体" w:cs="黑体"/>
          <w:color w:val="auto"/>
          <w:sz w:val="30"/>
          <w:szCs w:val="30"/>
          <w:lang w:val="en-US" w:eastAsia="zh-CN"/>
        </w:rPr>
        <w:t>九</w:t>
      </w:r>
      <w:r>
        <w:rPr>
          <w:rFonts w:hint="eastAsia" w:ascii="宋体" w:hAnsi="宋体" w:cs="黑体"/>
          <w:color w:val="auto"/>
          <w:sz w:val="30"/>
          <w:szCs w:val="30"/>
        </w:rPr>
        <w:t>月</w:t>
      </w:r>
    </w:p>
    <w:p w14:paraId="090A7F4A">
      <w:pPr>
        <w:rPr>
          <w:rFonts w:ascii="宋体" w:hAnsi="宋体"/>
          <w:b/>
          <w:color w:val="auto"/>
          <w:sz w:val="24"/>
          <w:szCs w:val="24"/>
        </w:rPr>
      </w:pPr>
    </w:p>
    <w:p w14:paraId="6519F368">
      <w:pPr>
        <w:pStyle w:val="16"/>
        <w:tabs>
          <w:tab w:val="right" w:leader="dot" w:pos="9628"/>
        </w:tabs>
        <w:spacing w:line="720" w:lineRule="auto"/>
        <w:jc w:val="center"/>
        <w:outlineLvl w:val="0"/>
        <w:rPr>
          <w:sz w:val="32"/>
          <w:szCs w:val="32"/>
        </w:rPr>
      </w:pPr>
      <w:r>
        <w:rPr>
          <w:rFonts w:hint="eastAsia" w:cs="宋体"/>
          <w:color w:val="auto"/>
          <w:kern w:val="2"/>
          <w:sz w:val="24"/>
          <w:szCs w:val="24"/>
        </w:rPr>
        <w:br w:type="page"/>
      </w:r>
      <w:r>
        <w:rPr>
          <w:rFonts w:ascii="宋体" w:hAnsi="宋体" w:eastAsia="宋体"/>
          <w:sz w:val="36"/>
          <w:szCs w:val="44"/>
        </w:rPr>
        <w:t>目</w:t>
      </w:r>
      <w:r>
        <w:rPr>
          <w:rFonts w:hint="eastAsia" w:ascii="宋体" w:hAnsi="宋体" w:eastAsia="宋体"/>
          <w:sz w:val="36"/>
          <w:szCs w:val="44"/>
          <w:lang w:val="en-US" w:eastAsia="zh-CN"/>
        </w:rPr>
        <w:t xml:space="preserve">  </w:t>
      </w:r>
      <w:r>
        <w:rPr>
          <w:rFonts w:ascii="宋体" w:hAnsi="宋体" w:eastAsia="宋体"/>
          <w:sz w:val="36"/>
          <w:szCs w:val="44"/>
        </w:rPr>
        <w:t>录</w:t>
      </w:r>
      <w:r>
        <w:rPr>
          <w:rFonts w:hint="eastAsia"/>
          <w:sz w:val="32"/>
          <w:szCs w:val="32"/>
          <w:lang w:eastAsia="zh-CN"/>
        </w:rPr>
        <w:fldChar w:fldCharType="begin"/>
      </w:r>
      <w:r>
        <w:rPr>
          <w:rFonts w:hint="eastAsia"/>
          <w:sz w:val="32"/>
          <w:szCs w:val="32"/>
          <w:lang w:eastAsia="zh-CN"/>
        </w:rPr>
        <w:instrText xml:space="preserve">TOC \o "1-1" \h \u </w:instrText>
      </w:r>
      <w:r>
        <w:rPr>
          <w:rFonts w:hint="eastAsia"/>
          <w:sz w:val="32"/>
          <w:szCs w:val="32"/>
          <w:lang w:eastAsia="zh-CN"/>
        </w:rPr>
        <w:fldChar w:fldCharType="separate"/>
      </w:r>
    </w:p>
    <w:p w14:paraId="428EC748">
      <w:pPr>
        <w:pStyle w:val="23"/>
        <w:tabs>
          <w:tab w:val="right" w:leader="dot" w:pos="9292"/>
        </w:tabs>
        <w:spacing w:line="720" w:lineRule="auto"/>
        <w:rPr>
          <w:sz w:val="32"/>
          <w:szCs w:val="32"/>
        </w:rPr>
      </w:pPr>
      <w:r>
        <w:rPr>
          <w:rFonts w:hint="eastAsia"/>
          <w:sz w:val="32"/>
          <w:szCs w:val="32"/>
          <w:lang w:eastAsia="zh-CN"/>
        </w:rPr>
        <w:fldChar w:fldCharType="begin"/>
      </w:r>
      <w:r>
        <w:rPr>
          <w:rFonts w:hint="eastAsia"/>
          <w:sz w:val="32"/>
          <w:szCs w:val="32"/>
          <w:lang w:eastAsia="zh-CN"/>
        </w:rPr>
        <w:instrText xml:space="preserve"> HYPERLINK \l _Toc29862 </w:instrText>
      </w:r>
      <w:r>
        <w:rPr>
          <w:rFonts w:hint="eastAsia"/>
          <w:sz w:val="32"/>
          <w:szCs w:val="32"/>
          <w:lang w:eastAsia="zh-CN"/>
        </w:rPr>
        <w:fldChar w:fldCharType="separate"/>
      </w:r>
      <w:r>
        <w:rPr>
          <w:rFonts w:hint="eastAsia" w:ascii="黑体" w:cs="宋体"/>
          <w:kern w:val="2"/>
          <w:sz w:val="32"/>
          <w:szCs w:val="44"/>
        </w:rPr>
        <w:t>第一章</w:t>
      </w:r>
      <w:r>
        <w:rPr>
          <w:rFonts w:hint="eastAsia" w:ascii="黑体" w:cs="黑体"/>
          <w:kern w:val="2"/>
          <w:sz w:val="32"/>
          <w:szCs w:val="44"/>
        </w:rPr>
        <w:t xml:space="preserve">  </w:t>
      </w:r>
      <w:r>
        <w:rPr>
          <w:rFonts w:hint="eastAsia" w:ascii="黑体" w:cs="宋体"/>
          <w:kern w:val="2"/>
          <w:sz w:val="32"/>
          <w:szCs w:val="44"/>
        </w:rPr>
        <w:t>竞争性磋商公告</w:t>
      </w:r>
      <w:r>
        <w:rPr>
          <w:sz w:val="32"/>
          <w:szCs w:val="32"/>
        </w:rPr>
        <w:tab/>
      </w:r>
      <w:r>
        <w:rPr>
          <w:sz w:val="32"/>
          <w:szCs w:val="32"/>
        </w:rPr>
        <w:fldChar w:fldCharType="begin"/>
      </w:r>
      <w:r>
        <w:rPr>
          <w:sz w:val="32"/>
          <w:szCs w:val="32"/>
        </w:rPr>
        <w:instrText xml:space="preserve"> PAGEREF _Toc29862 \h </w:instrText>
      </w:r>
      <w:r>
        <w:rPr>
          <w:sz w:val="32"/>
          <w:szCs w:val="32"/>
        </w:rPr>
        <w:fldChar w:fldCharType="separate"/>
      </w:r>
      <w:r>
        <w:rPr>
          <w:sz w:val="32"/>
          <w:szCs w:val="32"/>
        </w:rPr>
        <w:t>1</w:t>
      </w:r>
      <w:r>
        <w:rPr>
          <w:sz w:val="32"/>
          <w:szCs w:val="32"/>
        </w:rPr>
        <w:fldChar w:fldCharType="end"/>
      </w:r>
      <w:r>
        <w:rPr>
          <w:rFonts w:hint="eastAsia"/>
          <w:sz w:val="32"/>
          <w:szCs w:val="32"/>
          <w:lang w:eastAsia="zh-CN"/>
        </w:rPr>
        <w:fldChar w:fldCharType="end"/>
      </w:r>
    </w:p>
    <w:p w14:paraId="0336BB44">
      <w:pPr>
        <w:pStyle w:val="23"/>
        <w:tabs>
          <w:tab w:val="right" w:leader="dot" w:pos="9292"/>
        </w:tabs>
        <w:spacing w:line="720" w:lineRule="auto"/>
        <w:rPr>
          <w:sz w:val="32"/>
          <w:szCs w:val="32"/>
        </w:rPr>
      </w:pPr>
      <w:r>
        <w:rPr>
          <w:rFonts w:hint="eastAsia"/>
          <w:sz w:val="32"/>
          <w:szCs w:val="32"/>
          <w:lang w:eastAsia="zh-CN"/>
        </w:rPr>
        <w:fldChar w:fldCharType="begin"/>
      </w:r>
      <w:r>
        <w:rPr>
          <w:rFonts w:hint="eastAsia"/>
          <w:sz w:val="32"/>
          <w:szCs w:val="32"/>
          <w:lang w:eastAsia="zh-CN"/>
        </w:rPr>
        <w:instrText xml:space="preserve"> HYPERLINK \l _Toc21927 </w:instrText>
      </w:r>
      <w:r>
        <w:rPr>
          <w:rFonts w:hint="eastAsia"/>
          <w:sz w:val="32"/>
          <w:szCs w:val="32"/>
          <w:lang w:eastAsia="zh-CN"/>
        </w:rPr>
        <w:fldChar w:fldCharType="separate"/>
      </w:r>
      <w:r>
        <w:rPr>
          <w:rFonts w:hint="eastAsia" w:ascii="黑体" w:cs="宋体"/>
          <w:kern w:val="2"/>
          <w:sz w:val="32"/>
          <w:szCs w:val="44"/>
        </w:rPr>
        <w:t>第二章</w:t>
      </w:r>
      <w:r>
        <w:rPr>
          <w:rFonts w:hint="eastAsia" w:ascii="黑体" w:cs="黑体"/>
          <w:kern w:val="2"/>
          <w:sz w:val="32"/>
          <w:szCs w:val="44"/>
        </w:rPr>
        <w:t xml:space="preserve">  </w:t>
      </w:r>
      <w:r>
        <w:rPr>
          <w:rFonts w:hint="eastAsia" w:ascii="黑体" w:cs="宋体"/>
          <w:kern w:val="2"/>
          <w:sz w:val="32"/>
          <w:szCs w:val="44"/>
        </w:rPr>
        <w:t>供应商须知</w:t>
      </w:r>
      <w:r>
        <w:rPr>
          <w:sz w:val="32"/>
          <w:szCs w:val="32"/>
        </w:rPr>
        <w:tab/>
      </w:r>
      <w:r>
        <w:rPr>
          <w:sz w:val="32"/>
          <w:szCs w:val="32"/>
        </w:rPr>
        <w:fldChar w:fldCharType="begin"/>
      </w:r>
      <w:r>
        <w:rPr>
          <w:sz w:val="32"/>
          <w:szCs w:val="32"/>
        </w:rPr>
        <w:instrText xml:space="preserve"> PAGEREF _Toc21927 \h </w:instrText>
      </w:r>
      <w:r>
        <w:rPr>
          <w:sz w:val="32"/>
          <w:szCs w:val="32"/>
        </w:rPr>
        <w:fldChar w:fldCharType="separate"/>
      </w:r>
      <w:r>
        <w:rPr>
          <w:sz w:val="32"/>
          <w:szCs w:val="32"/>
        </w:rPr>
        <w:t>6</w:t>
      </w:r>
      <w:r>
        <w:rPr>
          <w:sz w:val="32"/>
          <w:szCs w:val="32"/>
        </w:rPr>
        <w:fldChar w:fldCharType="end"/>
      </w:r>
      <w:r>
        <w:rPr>
          <w:rFonts w:hint="eastAsia"/>
          <w:sz w:val="32"/>
          <w:szCs w:val="32"/>
          <w:lang w:eastAsia="zh-CN"/>
        </w:rPr>
        <w:fldChar w:fldCharType="end"/>
      </w:r>
    </w:p>
    <w:p w14:paraId="7A305858">
      <w:pPr>
        <w:pStyle w:val="23"/>
        <w:tabs>
          <w:tab w:val="right" w:leader="dot" w:pos="9292"/>
        </w:tabs>
        <w:spacing w:line="720" w:lineRule="auto"/>
        <w:rPr>
          <w:sz w:val="32"/>
          <w:szCs w:val="32"/>
        </w:rPr>
      </w:pPr>
      <w:r>
        <w:rPr>
          <w:rFonts w:hint="eastAsia"/>
          <w:sz w:val="32"/>
          <w:szCs w:val="32"/>
          <w:lang w:eastAsia="zh-CN"/>
        </w:rPr>
        <w:fldChar w:fldCharType="begin"/>
      </w:r>
      <w:r>
        <w:rPr>
          <w:rFonts w:hint="eastAsia"/>
          <w:sz w:val="32"/>
          <w:szCs w:val="32"/>
          <w:lang w:eastAsia="zh-CN"/>
        </w:rPr>
        <w:instrText xml:space="preserve"> HYPERLINK \l _Toc27975 </w:instrText>
      </w:r>
      <w:r>
        <w:rPr>
          <w:rFonts w:hint="eastAsia"/>
          <w:sz w:val="32"/>
          <w:szCs w:val="32"/>
          <w:lang w:eastAsia="zh-CN"/>
        </w:rPr>
        <w:fldChar w:fldCharType="separate"/>
      </w:r>
      <w:r>
        <w:rPr>
          <w:rFonts w:hint="eastAsia" w:ascii="黑体" w:hAnsi="Times New Roman" w:eastAsia="宋体" w:cs="宋体"/>
          <w:kern w:val="2"/>
          <w:sz w:val="32"/>
          <w:szCs w:val="44"/>
          <w:lang w:val="en-US" w:eastAsia="zh-CN" w:bidi="ar-SA"/>
        </w:rPr>
        <w:t>第三章  服务需求</w:t>
      </w:r>
      <w:r>
        <w:rPr>
          <w:sz w:val="32"/>
          <w:szCs w:val="32"/>
        </w:rPr>
        <w:tab/>
      </w:r>
      <w:r>
        <w:rPr>
          <w:sz w:val="32"/>
          <w:szCs w:val="32"/>
        </w:rPr>
        <w:fldChar w:fldCharType="begin"/>
      </w:r>
      <w:r>
        <w:rPr>
          <w:sz w:val="32"/>
          <w:szCs w:val="32"/>
        </w:rPr>
        <w:instrText xml:space="preserve"> PAGEREF _Toc27975 \h </w:instrText>
      </w:r>
      <w:r>
        <w:rPr>
          <w:sz w:val="32"/>
          <w:szCs w:val="32"/>
        </w:rPr>
        <w:fldChar w:fldCharType="separate"/>
      </w:r>
      <w:r>
        <w:rPr>
          <w:sz w:val="32"/>
          <w:szCs w:val="32"/>
        </w:rPr>
        <w:t>25</w:t>
      </w:r>
      <w:r>
        <w:rPr>
          <w:sz w:val="32"/>
          <w:szCs w:val="32"/>
        </w:rPr>
        <w:fldChar w:fldCharType="end"/>
      </w:r>
      <w:r>
        <w:rPr>
          <w:rFonts w:hint="eastAsia"/>
          <w:sz w:val="32"/>
          <w:szCs w:val="32"/>
          <w:lang w:eastAsia="zh-CN"/>
        </w:rPr>
        <w:fldChar w:fldCharType="end"/>
      </w:r>
    </w:p>
    <w:p w14:paraId="64236B67">
      <w:pPr>
        <w:pStyle w:val="23"/>
        <w:tabs>
          <w:tab w:val="right" w:leader="dot" w:pos="9292"/>
        </w:tabs>
        <w:spacing w:line="720" w:lineRule="auto"/>
        <w:rPr>
          <w:sz w:val="32"/>
          <w:szCs w:val="32"/>
        </w:rPr>
      </w:pPr>
      <w:r>
        <w:rPr>
          <w:rFonts w:hint="eastAsia"/>
          <w:sz w:val="32"/>
          <w:szCs w:val="32"/>
          <w:lang w:eastAsia="zh-CN"/>
        </w:rPr>
        <w:fldChar w:fldCharType="begin"/>
      </w:r>
      <w:r>
        <w:rPr>
          <w:rFonts w:hint="eastAsia"/>
          <w:sz w:val="32"/>
          <w:szCs w:val="32"/>
          <w:lang w:eastAsia="zh-CN"/>
        </w:rPr>
        <w:instrText xml:space="preserve"> HYPERLINK \l _Toc13111 </w:instrText>
      </w:r>
      <w:r>
        <w:rPr>
          <w:rFonts w:hint="eastAsia"/>
          <w:sz w:val="32"/>
          <w:szCs w:val="32"/>
          <w:lang w:eastAsia="zh-CN"/>
        </w:rPr>
        <w:fldChar w:fldCharType="separate"/>
      </w:r>
      <w:r>
        <w:rPr>
          <w:rFonts w:hint="eastAsia" w:ascii="黑体" w:cs="宋体"/>
          <w:kern w:val="2"/>
          <w:sz w:val="32"/>
          <w:szCs w:val="44"/>
        </w:rPr>
        <w:t>第四章</w:t>
      </w:r>
      <w:r>
        <w:rPr>
          <w:rFonts w:hint="eastAsia" w:ascii="黑体" w:cs="宋体"/>
          <w:kern w:val="2"/>
          <w:sz w:val="32"/>
          <w:szCs w:val="44"/>
          <w:lang w:val="en-US" w:eastAsia="zh-CN"/>
        </w:rPr>
        <w:t xml:space="preserve"> </w:t>
      </w:r>
      <w:r>
        <w:rPr>
          <w:rFonts w:hint="eastAsia" w:ascii="黑体" w:cs="宋体"/>
          <w:kern w:val="2"/>
          <w:sz w:val="32"/>
          <w:szCs w:val="44"/>
        </w:rPr>
        <w:t>合同条款及合同文件格式</w:t>
      </w:r>
      <w:r>
        <w:rPr>
          <w:sz w:val="32"/>
          <w:szCs w:val="32"/>
        </w:rPr>
        <w:tab/>
      </w:r>
      <w:r>
        <w:rPr>
          <w:sz w:val="32"/>
          <w:szCs w:val="32"/>
        </w:rPr>
        <w:fldChar w:fldCharType="begin"/>
      </w:r>
      <w:r>
        <w:rPr>
          <w:sz w:val="32"/>
          <w:szCs w:val="32"/>
        </w:rPr>
        <w:instrText xml:space="preserve"> PAGEREF _Toc13111 \h </w:instrText>
      </w:r>
      <w:r>
        <w:rPr>
          <w:sz w:val="32"/>
          <w:szCs w:val="32"/>
        </w:rPr>
        <w:fldChar w:fldCharType="separate"/>
      </w:r>
      <w:r>
        <w:rPr>
          <w:sz w:val="32"/>
          <w:szCs w:val="32"/>
        </w:rPr>
        <w:t>27</w:t>
      </w:r>
      <w:r>
        <w:rPr>
          <w:sz w:val="32"/>
          <w:szCs w:val="32"/>
        </w:rPr>
        <w:fldChar w:fldCharType="end"/>
      </w:r>
      <w:r>
        <w:rPr>
          <w:rFonts w:hint="eastAsia"/>
          <w:sz w:val="32"/>
          <w:szCs w:val="32"/>
          <w:lang w:eastAsia="zh-CN"/>
        </w:rPr>
        <w:fldChar w:fldCharType="end"/>
      </w:r>
    </w:p>
    <w:p w14:paraId="04F47B42">
      <w:pPr>
        <w:pStyle w:val="23"/>
        <w:tabs>
          <w:tab w:val="right" w:leader="dot" w:pos="9292"/>
        </w:tabs>
        <w:spacing w:line="720" w:lineRule="auto"/>
        <w:rPr>
          <w:rFonts w:hint="default"/>
          <w:sz w:val="32"/>
          <w:szCs w:val="32"/>
          <w:lang w:val="en-US"/>
        </w:rPr>
      </w:pPr>
      <w:r>
        <w:rPr>
          <w:rFonts w:hint="eastAsia"/>
          <w:sz w:val="32"/>
          <w:szCs w:val="32"/>
          <w:lang w:eastAsia="zh-CN"/>
        </w:rPr>
        <w:fldChar w:fldCharType="begin"/>
      </w:r>
      <w:r>
        <w:rPr>
          <w:rFonts w:hint="eastAsia"/>
          <w:sz w:val="32"/>
          <w:szCs w:val="32"/>
          <w:lang w:eastAsia="zh-CN"/>
        </w:rPr>
        <w:instrText xml:space="preserve"> HYPERLINK \l _Toc32750 </w:instrText>
      </w:r>
      <w:r>
        <w:rPr>
          <w:rFonts w:hint="eastAsia"/>
          <w:sz w:val="32"/>
          <w:szCs w:val="32"/>
          <w:lang w:eastAsia="zh-CN"/>
        </w:rPr>
        <w:fldChar w:fldCharType="separate"/>
      </w:r>
      <w:r>
        <w:rPr>
          <w:rFonts w:hint="eastAsia" w:ascii="黑体" w:cs="宋体"/>
          <w:kern w:val="2"/>
          <w:sz w:val="32"/>
          <w:szCs w:val="44"/>
        </w:rPr>
        <w:t>第五章</w:t>
      </w:r>
      <w:r>
        <w:rPr>
          <w:rFonts w:hint="eastAsia" w:ascii="黑体" w:cs="宋体"/>
          <w:kern w:val="2"/>
          <w:sz w:val="32"/>
          <w:szCs w:val="44"/>
          <w:lang w:val="en-US" w:eastAsia="zh-CN"/>
        </w:rPr>
        <w:t xml:space="preserve"> </w:t>
      </w:r>
      <w:r>
        <w:rPr>
          <w:rFonts w:hint="eastAsia" w:ascii="黑体" w:cs="宋体"/>
          <w:kern w:val="2"/>
          <w:sz w:val="32"/>
          <w:szCs w:val="44"/>
        </w:rPr>
        <w:t>评审标准</w:t>
      </w:r>
      <w:r>
        <w:rPr>
          <w:sz w:val="32"/>
          <w:szCs w:val="32"/>
        </w:rPr>
        <w:tab/>
      </w:r>
      <w:r>
        <w:rPr>
          <w:rFonts w:hint="eastAsia"/>
          <w:sz w:val="32"/>
          <w:szCs w:val="32"/>
          <w:lang w:eastAsia="zh-CN"/>
        </w:rPr>
        <w:fldChar w:fldCharType="end"/>
      </w:r>
      <w:r>
        <w:rPr>
          <w:rFonts w:hint="eastAsia"/>
          <w:sz w:val="32"/>
          <w:szCs w:val="32"/>
          <w:lang w:val="en-US" w:eastAsia="zh-CN"/>
        </w:rPr>
        <w:t>28</w:t>
      </w:r>
    </w:p>
    <w:p w14:paraId="685DE144">
      <w:pPr>
        <w:pStyle w:val="23"/>
        <w:tabs>
          <w:tab w:val="right" w:leader="dot" w:pos="9292"/>
        </w:tabs>
        <w:spacing w:line="720" w:lineRule="auto"/>
        <w:rPr>
          <w:sz w:val="32"/>
          <w:szCs w:val="32"/>
        </w:rPr>
      </w:pPr>
      <w:r>
        <w:rPr>
          <w:rFonts w:hint="eastAsia"/>
          <w:sz w:val="32"/>
          <w:szCs w:val="32"/>
          <w:lang w:eastAsia="zh-CN"/>
        </w:rPr>
        <w:fldChar w:fldCharType="begin"/>
      </w:r>
      <w:r>
        <w:rPr>
          <w:rFonts w:hint="eastAsia"/>
          <w:sz w:val="32"/>
          <w:szCs w:val="32"/>
          <w:lang w:eastAsia="zh-CN"/>
        </w:rPr>
        <w:instrText xml:space="preserve"> HYPERLINK \l _Toc14753 </w:instrText>
      </w:r>
      <w:r>
        <w:rPr>
          <w:rFonts w:hint="eastAsia"/>
          <w:sz w:val="32"/>
          <w:szCs w:val="32"/>
          <w:lang w:eastAsia="zh-CN"/>
        </w:rPr>
        <w:fldChar w:fldCharType="separate"/>
      </w:r>
      <w:r>
        <w:rPr>
          <w:rFonts w:hint="eastAsia" w:ascii="宋体" w:hAnsi="宋体" w:cs="宋体"/>
          <w:kern w:val="2"/>
          <w:sz w:val="32"/>
          <w:szCs w:val="44"/>
        </w:rPr>
        <w:t>第六章</w:t>
      </w:r>
      <w:r>
        <w:rPr>
          <w:rFonts w:hint="eastAsia" w:ascii="宋体" w:hAnsi="宋体" w:cs="宋体"/>
          <w:kern w:val="2"/>
          <w:sz w:val="32"/>
          <w:szCs w:val="44"/>
          <w:lang w:val="en-US" w:eastAsia="zh-CN"/>
        </w:rPr>
        <w:t xml:space="preserve">  </w:t>
      </w:r>
      <w:r>
        <w:rPr>
          <w:rFonts w:hint="eastAsia" w:ascii="宋体" w:hAnsi="宋体" w:cs="宋体"/>
          <w:kern w:val="2"/>
          <w:sz w:val="32"/>
          <w:szCs w:val="44"/>
        </w:rPr>
        <w:t>磋商文件格式</w:t>
      </w:r>
      <w:r>
        <w:rPr>
          <w:sz w:val="32"/>
          <w:szCs w:val="32"/>
        </w:rPr>
        <w:tab/>
      </w:r>
      <w:r>
        <w:rPr>
          <w:sz w:val="32"/>
          <w:szCs w:val="32"/>
        </w:rPr>
        <w:fldChar w:fldCharType="begin"/>
      </w:r>
      <w:r>
        <w:rPr>
          <w:sz w:val="32"/>
          <w:szCs w:val="32"/>
        </w:rPr>
        <w:instrText xml:space="preserve"> PAGEREF _Toc14753 \h </w:instrText>
      </w:r>
      <w:r>
        <w:rPr>
          <w:sz w:val="32"/>
          <w:szCs w:val="32"/>
        </w:rPr>
        <w:fldChar w:fldCharType="separate"/>
      </w:r>
      <w:r>
        <w:rPr>
          <w:sz w:val="32"/>
          <w:szCs w:val="32"/>
        </w:rPr>
        <w:t>39</w:t>
      </w:r>
      <w:r>
        <w:rPr>
          <w:sz w:val="32"/>
          <w:szCs w:val="32"/>
        </w:rPr>
        <w:fldChar w:fldCharType="end"/>
      </w:r>
      <w:r>
        <w:rPr>
          <w:rFonts w:hint="eastAsia"/>
          <w:sz w:val="32"/>
          <w:szCs w:val="32"/>
          <w:lang w:eastAsia="zh-CN"/>
        </w:rPr>
        <w:fldChar w:fldCharType="end"/>
      </w:r>
    </w:p>
    <w:p w14:paraId="745D0E07">
      <w:pPr>
        <w:spacing w:line="720" w:lineRule="auto"/>
        <w:rPr>
          <w:rFonts w:hint="eastAsia"/>
          <w:sz w:val="32"/>
          <w:szCs w:val="32"/>
          <w:lang w:eastAsia="zh-CN"/>
        </w:rPr>
      </w:pPr>
      <w:r>
        <w:rPr>
          <w:rFonts w:hint="eastAsia"/>
          <w:sz w:val="32"/>
          <w:szCs w:val="32"/>
          <w:lang w:eastAsia="zh-CN"/>
        </w:rPr>
        <w:fldChar w:fldCharType="end"/>
      </w:r>
    </w:p>
    <w:p w14:paraId="0D237C65">
      <w:pPr>
        <w:spacing w:line="720" w:lineRule="auto"/>
        <w:rPr>
          <w:rFonts w:hint="eastAsia"/>
          <w:lang w:eastAsia="zh-CN"/>
        </w:rPr>
      </w:pPr>
    </w:p>
    <w:p w14:paraId="7B0EA827">
      <w:pPr>
        <w:shd w:val="clear" w:color="auto" w:fill="FFFFFF"/>
        <w:spacing w:line="420" w:lineRule="atLeast"/>
        <w:ind w:firstLine="360" w:firstLineChars="150"/>
        <w:jc w:val="center"/>
        <w:outlineLvl w:val="9"/>
        <w:rPr>
          <w:rFonts w:ascii="宋体" w:hAnsi="宋体" w:cs="宋体"/>
          <w:color w:val="auto"/>
          <w:sz w:val="24"/>
          <w:szCs w:val="24"/>
          <w:shd w:val="clear" w:color="auto" w:fill="FFFFFF"/>
        </w:rPr>
      </w:pPr>
    </w:p>
    <w:p w14:paraId="2CBF4561">
      <w:pPr>
        <w:shd w:val="clear" w:color="auto" w:fill="FFFFFF"/>
        <w:spacing w:line="420" w:lineRule="atLeast"/>
        <w:ind w:firstLine="360" w:firstLineChars="150"/>
        <w:jc w:val="center"/>
        <w:outlineLvl w:val="9"/>
        <w:rPr>
          <w:rFonts w:ascii="宋体" w:hAnsi="宋体" w:cs="宋体"/>
          <w:color w:val="auto"/>
          <w:sz w:val="24"/>
          <w:szCs w:val="24"/>
          <w:shd w:val="clear" w:color="auto" w:fill="FFFFFF"/>
        </w:rPr>
      </w:pPr>
    </w:p>
    <w:p w14:paraId="2D2DB819">
      <w:pPr>
        <w:shd w:val="clear" w:color="auto" w:fill="FFFFFF"/>
        <w:spacing w:line="420" w:lineRule="atLeast"/>
        <w:ind w:firstLine="360" w:firstLineChars="150"/>
        <w:jc w:val="center"/>
        <w:outlineLvl w:val="9"/>
        <w:rPr>
          <w:rFonts w:ascii="宋体" w:hAnsi="宋体" w:cs="宋体"/>
          <w:color w:val="auto"/>
          <w:sz w:val="24"/>
          <w:szCs w:val="24"/>
          <w:shd w:val="clear" w:color="auto" w:fill="FFFFFF"/>
        </w:rPr>
      </w:pPr>
    </w:p>
    <w:p w14:paraId="2CB2EFFC">
      <w:pPr>
        <w:shd w:val="clear" w:color="auto" w:fill="FFFFFF"/>
        <w:spacing w:line="420" w:lineRule="atLeast"/>
        <w:ind w:firstLine="360" w:firstLineChars="150"/>
        <w:jc w:val="center"/>
        <w:outlineLvl w:val="9"/>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 xml:space="preserve"> </w:t>
      </w:r>
    </w:p>
    <w:p w14:paraId="01381131">
      <w:pPr>
        <w:shd w:val="clear" w:color="auto" w:fill="FFFFFF"/>
        <w:spacing w:line="420" w:lineRule="atLeast"/>
        <w:ind w:firstLine="360" w:firstLineChars="150"/>
        <w:jc w:val="center"/>
        <w:outlineLvl w:val="9"/>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 xml:space="preserve"> </w:t>
      </w:r>
    </w:p>
    <w:p w14:paraId="0F88089A">
      <w:pPr>
        <w:shd w:val="clear" w:color="auto" w:fill="FFFFFF"/>
        <w:spacing w:line="420" w:lineRule="atLeast"/>
        <w:ind w:firstLine="360" w:firstLineChars="150"/>
        <w:jc w:val="center"/>
        <w:outlineLvl w:val="9"/>
        <w:rPr>
          <w:rFonts w:ascii="宋体" w:hAnsi="宋体" w:cs="宋体"/>
          <w:color w:val="auto"/>
          <w:sz w:val="24"/>
          <w:szCs w:val="24"/>
          <w:shd w:val="clear" w:color="auto" w:fill="FFFFFF"/>
        </w:rPr>
      </w:pPr>
    </w:p>
    <w:p w14:paraId="2A49EFE0">
      <w:pPr>
        <w:shd w:val="clear" w:color="auto" w:fill="FFFFFF"/>
        <w:spacing w:line="420" w:lineRule="atLeast"/>
        <w:ind w:firstLine="360" w:firstLineChars="150"/>
        <w:jc w:val="center"/>
        <w:outlineLvl w:val="9"/>
        <w:rPr>
          <w:rFonts w:ascii="宋体" w:hAnsi="宋体" w:cs="宋体"/>
          <w:color w:val="auto"/>
          <w:sz w:val="24"/>
          <w:szCs w:val="24"/>
          <w:shd w:val="clear" w:color="auto" w:fill="FFFFFF"/>
        </w:rPr>
      </w:pPr>
    </w:p>
    <w:p w14:paraId="2211F82E">
      <w:pPr>
        <w:shd w:val="clear" w:color="auto" w:fill="FFFFFF"/>
        <w:spacing w:line="420" w:lineRule="atLeast"/>
        <w:ind w:firstLine="360" w:firstLineChars="150"/>
        <w:jc w:val="center"/>
        <w:outlineLvl w:val="9"/>
        <w:rPr>
          <w:rFonts w:ascii="宋体" w:hAnsi="宋体" w:cs="宋体"/>
          <w:color w:val="auto"/>
          <w:sz w:val="24"/>
          <w:szCs w:val="24"/>
          <w:shd w:val="clear" w:color="auto" w:fill="FFFFFF"/>
        </w:rPr>
      </w:pPr>
    </w:p>
    <w:p w14:paraId="3777AE34">
      <w:pPr>
        <w:shd w:val="clear" w:color="auto" w:fill="FFFFFF"/>
        <w:spacing w:line="420" w:lineRule="atLeast"/>
        <w:ind w:firstLine="360" w:firstLineChars="150"/>
        <w:jc w:val="center"/>
        <w:outlineLvl w:val="9"/>
        <w:rPr>
          <w:rFonts w:ascii="宋体" w:hAnsi="宋体" w:cs="宋体"/>
          <w:color w:val="auto"/>
          <w:sz w:val="24"/>
          <w:szCs w:val="24"/>
          <w:shd w:val="clear" w:color="auto" w:fill="FFFFFF"/>
        </w:rPr>
      </w:pPr>
    </w:p>
    <w:p w14:paraId="563BB4B4">
      <w:pPr>
        <w:shd w:val="clear" w:color="auto" w:fill="FFFFFF"/>
        <w:spacing w:line="420" w:lineRule="atLeast"/>
        <w:ind w:firstLine="360" w:firstLineChars="150"/>
        <w:jc w:val="center"/>
        <w:outlineLvl w:val="9"/>
        <w:rPr>
          <w:rFonts w:ascii="宋体" w:hAnsi="宋体" w:cs="宋体"/>
          <w:color w:val="auto"/>
          <w:sz w:val="24"/>
          <w:szCs w:val="24"/>
          <w:shd w:val="clear" w:color="auto" w:fill="FFFFFF"/>
        </w:rPr>
      </w:pPr>
    </w:p>
    <w:p w14:paraId="72FC0DB9">
      <w:pPr>
        <w:shd w:val="clear" w:color="auto" w:fill="FFFFFF"/>
        <w:spacing w:line="420" w:lineRule="atLeast"/>
        <w:ind w:firstLine="360" w:firstLineChars="150"/>
        <w:jc w:val="center"/>
        <w:outlineLvl w:val="9"/>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 xml:space="preserve"> </w:t>
      </w:r>
    </w:p>
    <w:p w14:paraId="56816F79">
      <w:pPr>
        <w:shd w:val="clear" w:color="auto" w:fill="FFFFFF"/>
        <w:spacing w:line="420" w:lineRule="atLeast"/>
        <w:jc w:val="both"/>
        <w:outlineLvl w:val="9"/>
        <w:rPr>
          <w:rFonts w:hint="eastAsia" w:ascii="黑体" w:cs="宋体"/>
          <w:b/>
          <w:color w:val="auto"/>
          <w:kern w:val="2"/>
          <w:sz w:val="24"/>
          <w:szCs w:val="24"/>
        </w:rPr>
      </w:pPr>
      <w:bookmarkStart w:id="4" w:name="_Toc461977412"/>
      <w:bookmarkEnd w:id="4"/>
      <w:bookmarkStart w:id="5" w:name="_Toc461977403"/>
      <w:bookmarkEnd w:id="5"/>
    </w:p>
    <w:p w14:paraId="146D5A39">
      <w:pPr>
        <w:keepNext/>
        <w:widowControl w:val="0"/>
        <w:spacing w:before="100" w:beforeAutospacing="1" w:after="100" w:afterAutospacing="1" w:line="520" w:lineRule="exact"/>
        <w:jc w:val="center"/>
        <w:outlineLvl w:val="9"/>
        <w:rPr>
          <w:rFonts w:hint="eastAsia" w:ascii="黑体" w:cs="宋体"/>
          <w:b/>
          <w:color w:val="auto"/>
          <w:kern w:val="2"/>
          <w:sz w:val="24"/>
          <w:szCs w:val="24"/>
        </w:rPr>
        <w:sectPr>
          <w:footerReference r:id="rId3" w:type="default"/>
          <w:pgSz w:w="11906" w:h="16838"/>
          <w:pgMar w:top="1135" w:right="1196" w:bottom="1135" w:left="1418" w:header="720" w:footer="720" w:gutter="0"/>
          <w:pgNumType w:start="1"/>
          <w:cols w:space="720" w:num="1"/>
          <w:docGrid w:type="lines" w:linePitch="312" w:charSpace="0"/>
        </w:sectPr>
      </w:pPr>
    </w:p>
    <w:p w14:paraId="102E0778">
      <w:pPr>
        <w:keepNext/>
        <w:widowControl w:val="0"/>
        <w:spacing w:before="100" w:beforeAutospacing="1" w:after="100" w:afterAutospacing="1" w:line="520" w:lineRule="exact"/>
        <w:jc w:val="center"/>
        <w:outlineLvl w:val="0"/>
        <w:rPr>
          <w:rFonts w:ascii="黑体" w:cs="黑体"/>
          <w:b/>
          <w:color w:val="auto"/>
          <w:sz w:val="28"/>
          <w:szCs w:val="28"/>
        </w:rPr>
      </w:pPr>
      <w:bookmarkStart w:id="6" w:name="_Toc29862"/>
      <w:r>
        <w:rPr>
          <w:rFonts w:hint="eastAsia" w:ascii="黑体" w:cs="宋体"/>
          <w:b/>
          <w:color w:val="auto"/>
          <w:kern w:val="2"/>
          <w:sz w:val="28"/>
          <w:szCs w:val="28"/>
        </w:rPr>
        <w:t>第一章</w:t>
      </w:r>
      <w:r>
        <w:rPr>
          <w:rFonts w:hint="eastAsia" w:ascii="黑体" w:cs="黑体"/>
          <w:b/>
          <w:color w:val="auto"/>
          <w:kern w:val="2"/>
          <w:sz w:val="28"/>
          <w:szCs w:val="28"/>
        </w:rPr>
        <w:t xml:space="preserve">    </w:t>
      </w:r>
      <w:r>
        <w:rPr>
          <w:rFonts w:hint="eastAsia" w:ascii="黑体" w:cs="宋体"/>
          <w:b/>
          <w:color w:val="auto"/>
          <w:kern w:val="2"/>
          <w:sz w:val="28"/>
          <w:szCs w:val="28"/>
        </w:rPr>
        <w:t>竞争性磋商公告</w:t>
      </w:r>
      <w:bookmarkEnd w:id="6"/>
    </w:p>
    <w:p w14:paraId="694D063C">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ascii="宋体" w:hAnsi="宋体" w:cs="宋体"/>
          <w:color w:val="auto"/>
          <w:kern w:val="2"/>
          <w:sz w:val="24"/>
          <w:szCs w:val="24"/>
        </w:rPr>
      </w:pPr>
      <w:r>
        <w:rPr>
          <w:rFonts w:hint="eastAsia" w:ascii="宋体" w:hAnsi="宋体" w:cs="宋体"/>
          <w:color w:val="auto"/>
          <w:sz w:val="24"/>
          <w:szCs w:val="24"/>
          <w:shd w:val="clear" w:color="auto" w:fill="FFFFFF"/>
          <w:lang w:eastAsia="zh-CN"/>
        </w:rPr>
        <w:t>中瑞建园工程管理有限公司</w:t>
      </w:r>
      <w:r>
        <w:rPr>
          <w:rFonts w:hint="eastAsia" w:ascii="宋体" w:hAnsi="宋体" w:cs="宋体"/>
          <w:color w:val="auto"/>
          <w:kern w:val="2"/>
          <w:sz w:val="24"/>
          <w:szCs w:val="24"/>
        </w:rPr>
        <w:t>受</w:t>
      </w:r>
      <w:r>
        <w:rPr>
          <w:rFonts w:hint="eastAsia" w:ascii="宋体" w:hAnsi="宋体" w:cs="宋体"/>
          <w:color w:val="auto"/>
          <w:kern w:val="2"/>
          <w:sz w:val="24"/>
          <w:szCs w:val="24"/>
          <w:lang w:eastAsia="zh-CN"/>
        </w:rPr>
        <w:t>卢氏县应急管理局</w:t>
      </w:r>
      <w:r>
        <w:rPr>
          <w:rFonts w:hint="eastAsia" w:ascii="宋体" w:hAnsi="宋体" w:cs="宋体"/>
          <w:color w:val="auto"/>
          <w:kern w:val="2"/>
          <w:sz w:val="24"/>
          <w:szCs w:val="24"/>
        </w:rPr>
        <w:t>的委托，就</w:t>
      </w:r>
      <w:r>
        <w:rPr>
          <w:rFonts w:hint="eastAsia" w:ascii="宋体" w:hAnsi="宋体" w:cs="宋体"/>
          <w:color w:val="auto"/>
          <w:kern w:val="2"/>
          <w:sz w:val="24"/>
          <w:szCs w:val="24"/>
          <w:lang w:val="en-US" w:eastAsia="zh-CN"/>
        </w:rPr>
        <w:t>卢氏县《卢氏县突发事件总体应急预案》和《卢氏县防汛应急预案》等六部预案修编项目</w:t>
      </w:r>
      <w:r>
        <w:rPr>
          <w:rFonts w:hint="eastAsia" w:ascii="宋体" w:hAnsi="宋体" w:cs="宋体"/>
          <w:color w:val="auto"/>
          <w:kern w:val="2"/>
          <w:sz w:val="24"/>
          <w:szCs w:val="24"/>
        </w:rPr>
        <w:t>进行竞争性磋商采购，</w:t>
      </w:r>
      <w:r>
        <w:rPr>
          <w:rFonts w:hint="eastAsia" w:ascii="宋体" w:hAnsi="宋体" w:cs="宋体"/>
          <w:color w:val="auto"/>
          <w:kern w:val="2"/>
          <w:sz w:val="24"/>
          <w:szCs w:val="24"/>
          <w:lang w:eastAsia="zh-CN"/>
        </w:rPr>
        <w:t>本项目</w:t>
      </w:r>
      <w:r>
        <w:rPr>
          <w:rFonts w:hint="eastAsia" w:ascii="宋体" w:hAnsi="宋体" w:cs="宋体"/>
          <w:color w:val="auto"/>
          <w:kern w:val="2"/>
          <w:sz w:val="24"/>
          <w:szCs w:val="24"/>
        </w:rPr>
        <w:t>已具备</w:t>
      </w:r>
      <w:r>
        <w:rPr>
          <w:rFonts w:hint="eastAsia" w:ascii="宋体" w:hAnsi="宋体" w:cs="宋体"/>
          <w:color w:val="auto"/>
          <w:kern w:val="2"/>
          <w:sz w:val="24"/>
          <w:szCs w:val="24"/>
          <w:lang w:eastAsia="zh-CN"/>
        </w:rPr>
        <w:t>磋商</w:t>
      </w:r>
      <w:r>
        <w:rPr>
          <w:rFonts w:hint="eastAsia" w:ascii="宋体" w:hAnsi="宋体" w:cs="宋体"/>
          <w:color w:val="auto"/>
          <w:kern w:val="2"/>
          <w:sz w:val="24"/>
          <w:szCs w:val="24"/>
        </w:rPr>
        <w:t>条件,欢迎符合资格条件的供应商参加。</w:t>
      </w:r>
    </w:p>
    <w:p w14:paraId="416CED48">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outlineLvl w:val="1"/>
        <w:rPr>
          <w:rFonts w:ascii="宋体" w:hAnsi="宋体" w:cs="宋体"/>
          <w:color w:val="auto"/>
          <w:kern w:val="2"/>
          <w:sz w:val="24"/>
          <w:szCs w:val="24"/>
        </w:rPr>
      </w:pPr>
      <w:bookmarkStart w:id="7" w:name="_Toc2448"/>
      <w:r>
        <w:rPr>
          <w:rFonts w:hint="eastAsia" w:ascii="宋体" w:hAnsi="宋体" w:cs="宋体"/>
          <w:color w:val="auto"/>
          <w:kern w:val="2"/>
          <w:sz w:val="24"/>
          <w:szCs w:val="24"/>
        </w:rPr>
        <w:t>一、项目概况与磋商范围</w:t>
      </w:r>
      <w:bookmarkEnd w:id="7"/>
    </w:p>
    <w:p w14:paraId="4445701B">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rPr>
        <w:t>1、采购人：</w:t>
      </w:r>
      <w:r>
        <w:rPr>
          <w:rFonts w:hint="eastAsia" w:ascii="宋体" w:hAnsi="宋体" w:cs="宋体"/>
          <w:color w:val="auto"/>
          <w:kern w:val="2"/>
          <w:sz w:val="24"/>
          <w:szCs w:val="24"/>
          <w:lang w:eastAsia="zh-CN"/>
        </w:rPr>
        <w:t xml:space="preserve">卢氏县应急管理局 </w:t>
      </w:r>
    </w:p>
    <w:p w14:paraId="4F4F18AC">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hint="eastAsia" w:ascii="宋体" w:hAnsi="宋体" w:cs="宋体"/>
          <w:bCs/>
          <w:color w:val="auto"/>
          <w:kern w:val="0"/>
          <w:sz w:val="24"/>
          <w:szCs w:val="20"/>
          <w:u w:val="none"/>
          <w:lang w:val="en-US" w:eastAsia="zh-CN"/>
        </w:rPr>
      </w:pPr>
      <w:r>
        <w:rPr>
          <w:rFonts w:hint="eastAsia" w:ascii="宋体" w:hAnsi="宋体" w:cs="宋体"/>
          <w:color w:val="auto"/>
          <w:kern w:val="2"/>
          <w:sz w:val="24"/>
          <w:szCs w:val="24"/>
        </w:rPr>
        <w:t>2、项目名称：</w:t>
      </w:r>
      <w:r>
        <w:rPr>
          <w:rFonts w:hint="eastAsia" w:ascii="宋体" w:hAnsi="宋体" w:cs="宋体"/>
          <w:color w:val="auto"/>
          <w:kern w:val="2"/>
          <w:sz w:val="24"/>
          <w:szCs w:val="24"/>
          <w:lang w:val="en-US" w:eastAsia="zh-CN"/>
        </w:rPr>
        <w:t xml:space="preserve">卢氏县《卢氏县突发事件总体应急预案》和《卢氏县防汛应急预案》等六部预案修编项目 </w:t>
      </w:r>
    </w:p>
    <w:p w14:paraId="12DD08FF">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hint="eastAsia" w:ascii="宋体" w:hAnsi="宋体" w:cs="宋体"/>
          <w:bCs/>
          <w:color w:val="auto"/>
          <w:kern w:val="0"/>
          <w:sz w:val="24"/>
          <w:szCs w:val="20"/>
          <w:u w:val="none"/>
          <w:lang w:val="en-US" w:eastAsia="zh-CN"/>
        </w:rPr>
      </w:pPr>
      <w:r>
        <w:rPr>
          <w:rFonts w:hint="eastAsia" w:ascii="宋体" w:hAnsi="宋体" w:cs="宋体"/>
          <w:bCs/>
          <w:color w:val="auto"/>
          <w:kern w:val="0"/>
          <w:sz w:val="24"/>
          <w:szCs w:val="20"/>
          <w:u w:val="none"/>
          <w:lang w:val="en-US" w:eastAsia="zh-CN"/>
        </w:rPr>
        <w:t>3、项目编号：三卢竞磋采购-2025-106 、LSGZ[2025]271-ZC154</w:t>
      </w:r>
    </w:p>
    <w:p w14:paraId="26BFCD6C">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rPr>
        <w:t>4、标段划分：本项目</w:t>
      </w:r>
      <w:r>
        <w:rPr>
          <w:rFonts w:hint="eastAsia" w:ascii="宋体" w:hAnsi="宋体" w:cs="宋体"/>
          <w:color w:val="auto"/>
          <w:kern w:val="2"/>
          <w:sz w:val="24"/>
          <w:szCs w:val="24"/>
          <w:lang w:val="en-US" w:eastAsia="zh-CN"/>
        </w:rPr>
        <w:t>不划分</w:t>
      </w:r>
      <w:r>
        <w:rPr>
          <w:rFonts w:hint="eastAsia" w:ascii="宋体" w:hAnsi="宋体" w:cs="宋体"/>
          <w:color w:val="auto"/>
          <w:kern w:val="2"/>
          <w:sz w:val="24"/>
          <w:szCs w:val="24"/>
        </w:rPr>
        <w:t>标段</w:t>
      </w:r>
    </w:p>
    <w:p w14:paraId="7323DEC4">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hint="eastAsia" w:ascii="宋体" w:hAnsi="宋体" w:cs="宋体"/>
          <w:color w:val="auto"/>
          <w:kern w:val="2"/>
          <w:sz w:val="24"/>
          <w:szCs w:val="24"/>
          <w:lang w:val="en-US" w:eastAsia="zh-CN"/>
        </w:rPr>
      </w:pPr>
      <w:r>
        <w:rPr>
          <w:rFonts w:hint="eastAsia" w:ascii="宋体" w:hAnsi="宋体" w:cs="宋体"/>
          <w:color w:val="auto"/>
          <w:kern w:val="2"/>
          <w:sz w:val="24"/>
          <w:szCs w:val="24"/>
        </w:rPr>
        <w:t>5、</w:t>
      </w:r>
      <w:r>
        <w:rPr>
          <w:rFonts w:hint="eastAsia" w:ascii="宋体" w:hAnsi="宋体" w:cs="宋体"/>
          <w:color w:val="auto"/>
          <w:kern w:val="2"/>
          <w:sz w:val="24"/>
          <w:szCs w:val="24"/>
          <w:lang w:val="en-US" w:eastAsia="zh-CN"/>
        </w:rPr>
        <w:t>服务</w:t>
      </w:r>
      <w:r>
        <w:rPr>
          <w:rFonts w:hint="eastAsia" w:ascii="宋体" w:hAnsi="宋体" w:cs="宋体"/>
          <w:color w:val="auto"/>
          <w:kern w:val="2"/>
          <w:sz w:val="24"/>
          <w:szCs w:val="24"/>
        </w:rPr>
        <w:t>内容：针对卢氏县“1部总体+6部专项”应急预案进行修订，并完成可视化内容。1、可视化突发事件总体应急预案【修订】2、可视化防汛应急预案【修订】3、可视化抗旱应急预案【修订】4、可视化地震应急预案【修订】5、可视化森林火灾应急预案【修订】6、可视化低温雨雪冰冻灾害应急预案【修订】7、可视化生产安全事故应急预案【修订】</w:t>
      </w:r>
    </w:p>
    <w:p w14:paraId="74598EA6">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6、实施地点：卢氏县</w:t>
      </w:r>
    </w:p>
    <w:p w14:paraId="5DC43E71">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hint="default" w:ascii="宋体" w:hAnsi="宋体" w:eastAsia="宋体" w:cs="宋体"/>
          <w:color w:val="0000FF"/>
          <w:kern w:val="2"/>
          <w:sz w:val="24"/>
          <w:szCs w:val="24"/>
          <w:lang w:val="en-US" w:eastAsia="zh-CN"/>
        </w:rPr>
      </w:pPr>
      <w:r>
        <w:rPr>
          <w:rFonts w:hint="eastAsia" w:ascii="宋体" w:hAnsi="宋体" w:cs="宋体"/>
          <w:color w:val="auto"/>
          <w:kern w:val="2"/>
          <w:sz w:val="24"/>
          <w:szCs w:val="24"/>
          <w:lang w:val="en-US" w:eastAsia="zh-CN"/>
        </w:rPr>
        <w:t>7、</w:t>
      </w:r>
      <w:r>
        <w:rPr>
          <w:rFonts w:hint="eastAsia" w:ascii="宋体" w:hAnsi="宋体" w:eastAsia="宋体" w:cs="宋体"/>
          <w:color w:val="auto"/>
          <w:kern w:val="2"/>
          <w:sz w:val="24"/>
          <w:szCs w:val="24"/>
          <w:lang w:val="en-US" w:eastAsia="zh-CN"/>
        </w:rPr>
        <w:t>服务周期：</w:t>
      </w:r>
      <w:r>
        <w:rPr>
          <w:rFonts w:hint="eastAsia" w:ascii="宋体" w:hAnsi="宋体" w:cs="宋体"/>
          <w:color w:val="auto"/>
          <w:kern w:val="2"/>
          <w:sz w:val="24"/>
          <w:szCs w:val="24"/>
          <w:lang w:val="en-US" w:eastAsia="zh-CN"/>
        </w:rPr>
        <w:t>市级应急预案印发后3个月内完成</w:t>
      </w:r>
    </w:p>
    <w:p w14:paraId="1B2B60CF">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hint="eastAsia" w:ascii="宋体" w:hAnsi="宋体" w:cs="宋体"/>
          <w:color w:val="auto"/>
          <w:kern w:val="2"/>
          <w:sz w:val="24"/>
          <w:szCs w:val="24"/>
          <w:lang w:val="en-US" w:eastAsia="zh-CN"/>
        </w:rPr>
      </w:pPr>
      <w:r>
        <w:rPr>
          <w:rFonts w:hint="eastAsia" w:ascii="宋体" w:hAnsi="宋体" w:eastAsia="宋体" w:cs="宋体"/>
          <w:color w:val="auto"/>
          <w:kern w:val="2"/>
          <w:sz w:val="24"/>
          <w:szCs w:val="24"/>
          <w:lang w:val="en-US" w:eastAsia="zh-CN"/>
        </w:rPr>
        <w:t>8、</w:t>
      </w:r>
      <w:r>
        <w:rPr>
          <w:rFonts w:hint="eastAsia" w:ascii="宋体" w:hAnsi="宋体" w:cs="宋体"/>
          <w:color w:val="auto"/>
          <w:kern w:val="2"/>
          <w:sz w:val="24"/>
          <w:szCs w:val="24"/>
          <w:lang w:val="en-US" w:eastAsia="zh-CN"/>
        </w:rPr>
        <w:t>质量要求：</w:t>
      </w:r>
      <w:r>
        <w:rPr>
          <w:rFonts w:hint="eastAsia" w:ascii="宋体" w:hAnsi="宋体" w:cs="宋体"/>
          <w:color w:val="auto"/>
          <w:spacing w:val="6"/>
          <w:kern w:val="2"/>
          <w:sz w:val="24"/>
          <w:szCs w:val="24"/>
        </w:rPr>
        <w:t>符合国家及行业标准</w:t>
      </w:r>
      <w:r>
        <w:rPr>
          <w:rFonts w:hint="eastAsia" w:ascii="宋体" w:hAnsi="宋体" w:cs="宋体"/>
          <w:color w:val="auto"/>
          <w:spacing w:val="6"/>
          <w:kern w:val="2"/>
          <w:sz w:val="24"/>
          <w:szCs w:val="24"/>
          <w:lang w:eastAsia="zh-CN"/>
        </w:rPr>
        <w:t>，</w:t>
      </w:r>
      <w:r>
        <w:rPr>
          <w:rFonts w:hint="eastAsia" w:ascii="宋体" w:hAnsi="宋体" w:eastAsia="宋体" w:cs="宋体"/>
          <w:sz w:val="24"/>
          <w:szCs w:val="24"/>
          <w:lang w:eastAsia="zh-CN"/>
        </w:rPr>
        <w:t>满足</w:t>
      </w:r>
      <w:r>
        <w:rPr>
          <w:rFonts w:hint="eastAsia" w:ascii="宋体" w:hAnsi="宋体" w:cs="宋体"/>
          <w:sz w:val="24"/>
          <w:szCs w:val="24"/>
          <w:lang w:eastAsia="zh-CN"/>
        </w:rPr>
        <w:t>采购人</w:t>
      </w:r>
      <w:r>
        <w:rPr>
          <w:rFonts w:hint="eastAsia" w:ascii="宋体" w:hAnsi="宋体" w:eastAsia="宋体" w:cs="宋体"/>
          <w:sz w:val="24"/>
          <w:szCs w:val="24"/>
          <w:lang w:eastAsia="zh-CN"/>
        </w:rPr>
        <w:t>使用需求</w:t>
      </w:r>
    </w:p>
    <w:p w14:paraId="5932E760">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9、预算资金：￥438137.75元</w:t>
      </w:r>
    </w:p>
    <w:p w14:paraId="5E064A4B">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10、资金来源：财政资金，已落实</w:t>
      </w:r>
    </w:p>
    <w:p w14:paraId="1173F2B3">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hint="eastAsia" w:ascii="宋体" w:hAnsi="宋体" w:cs="宋体"/>
          <w:color w:val="auto"/>
          <w:kern w:val="2"/>
          <w:sz w:val="24"/>
          <w:szCs w:val="24"/>
          <w:lang w:val="en-US" w:eastAsia="zh-CN"/>
        </w:rPr>
      </w:pPr>
      <w:bookmarkStart w:id="8" w:name="_Toc32606"/>
      <w:r>
        <w:rPr>
          <w:rFonts w:hint="eastAsia" w:ascii="宋体" w:hAnsi="宋体" w:cs="宋体"/>
          <w:color w:val="auto"/>
          <w:kern w:val="2"/>
          <w:sz w:val="24"/>
          <w:szCs w:val="24"/>
          <w:lang w:val="en-US" w:eastAsia="zh-CN"/>
        </w:rPr>
        <w:t>11、是否接受进口产品：否</w:t>
      </w:r>
    </w:p>
    <w:p w14:paraId="3C4C781D">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rPr>
          <w:rFonts w:hint="eastAsia" w:ascii="宋体" w:hAnsi="宋体" w:cs="宋体"/>
          <w:color w:val="auto"/>
          <w:kern w:val="2"/>
          <w:sz w:val="24"/>
          <w:szCs w:val="24"/>
        </w:rPr>
      </w:pPr>
      <w:r>
        <w:rPr>
          <w:rFonts w:hint="eastAsia" w:ascii="宋体" w:hAnsi="宋体" w:cs="宋体"/>
          <w:color w:val="auto"/>
          <w:kern w:val="2"/>
          <w:sz w:val="24"/>
          <w:szCs w:val="24"/>
          <w:lang w:val="en-US" w:eastAsia="zh-CN"/>
        </w:rPr>
        <w:t>12、落实政府采购政策满足的资格要求：本项目专门面向中小企业采购,同时供应商须提供《中小企业声明函》。</w:t>
      </w:r>
    </w:p>
    <w:p w14:paraId="63DC007F">
      <w:pPr>
        <w:keepNext w:val="0"/>
        <w:keepLines w:val="0"/>
        <w:pageBreakBefore w:val="0"/>
        <w:widowControl w:val="0"/>
        <w:kinsoku/>
        <w:wordWrap w:val="0"/>
        <w:overflowPunct/>
        <w:autoSpaceDE/>
        <w:autoSpaceDN/>
        <w:bidi w:val="0"/>
        <w:adjustRightInd/>
        <w:snapToGrid/>
        <w:spacing w:line="600" w:lineRule="exact"/>
        <w:ind w:firstLine="480" w:firstLineChars="200"/>
        <w:textAlignment w:val="auto"/>
        <w:outlineLvl w:val="1"/>
        <w:rPr>
          <w:rFonts w:ascii="宋体" w:hAnsi="宋体" w:cs="宋体"/>
          <w:color w:val="auto"/>
          <w:kern w:val="2"/>
          <w:sz w:val="24"/>
          <w:szCs w:val="24"/>
        </w:rPr>
      </w:pPr>
      <w:r>
        <w:rPr>
          <w:rFonts w:hint="eastAsia" w:ascii="宋体" w:hAnsi="宋体" w:cs="宋体"/>
          <w:color w:val="auto"/>
          <w:kern w:val="2"/>
          <w:sz w:val="24"/>
          <w:szCs w:val="24"/>
        </w:rPr>
        <w:t>二、供应商资格要求</w:t>
      </w:r>
      <w:bookmarkEnd w:id="8"/>
    </w:p>
    <w:p w14:paraId="349B2E81">
      <w:pPr>
        <w:keepNext w:val="0"/>
        <w:keepLines w:val="0"/>
        <w:pageBreakBefore w:val="0"/>
        <w:shd w:val="clear" w:color="auto" w:fill="FFFFFF"/>
        <w:kinsoku/>
        <w:wordWrap w:val="0"/>
        <w:overflowPunct/>
        <w:autoSpaceDE/>
        <w:autoSpaceDN/>
        <w:bidi w:val="0"/>
        <w:adjustRightInd/>
        <w:snapToGrid/>
        <w:spacing w:line="600" w:lineRule="exact"/>
        <w:ind w:firstLine="480" w:firstLineChars="200"/>
        <w:textAlignment w:val="auto"/>
        <w:rPr>
          <w:rFonts w:hint="eastAsia" w:ascii="宋体" w:hAnsi="宋体" w:cs="宋体"/>
          <w:color w:val="auto"/>
          <w:kern w:val="2"/>
          <w:sz w:val="24"/>
          <w:szCs w:val="24"/>
        </w:rPr>
      </w:pPr>
      <w:r>
        <w:rPr>
          <w:rFonts w:hint="eastAsia" w:ascii="宋体" w:hAnsi="宋体" w:cs="宋体"/>
          <w:color w:val="auto"/>
          <w:kern w:val="2"/>
          <w:sz w:val="24"/>
          <w:szCs w:val="24"/>
        </w:rPr>
        <w:t>供应商参加本次政府采购活动必须符合《中华人民共和国政府采购法》第二十二条的规定并同时具备下列条件：</w:t>
      </w:r>
    </w:p>
    <w:p w14:paraId="0AD3EF2B">
      <w:pPr>
        <w:keepNext w:val="0"/>
        <w:keepLines w:val="0"/>
        <w:pageBreakBefore w:val="0"/>
        <w:shd w:val="clear" w:color="auto" w:fill="FFFFFF"/>
        <w:kinsoku/>
        <w:wordWrap w:val="0"/>
        <w:overflowPunct/>
        <w:autoSpaceDE/>
        <w:autoSpaceDN/>
        <w:bidi w:val="0"/>
        <w:adjustRightInd/>
        <w:snapToGrid/>
        <w:spacing w:line="600" w:lineRule="exact"/>
        <w:ind w:firstLine="480" w:firstLineChars="200"/>
        <w:textAlignment w:val="auto"/>
        <w:rPr>
          <w:rFonts w:hint="eastAsia" w:ascii="宋体" w:hAnsi="宋体" w:cs="宋体"/>
          <w:color w:val="auto"/>
          <w:kern w:val="2"/>
          <w:sz w:val="24"/>
          <w:szCs w:val="24"/>
          <w:lang w:eastAsia="zh-CN"/>
        </w:rPr>
      </w:pPr>
      <w:r>
        <w:rPr>
          <w:rFonts w:hint="eastAsia" w:ascii="宋体" w:hAnsi="宋体" w:cs="宋体"/>
          <w:color w:val="auto"/>
          <w:kern w:val="2"/>
          <w:sz w:val="24"/>
          <w:szCs w:val="24"/>
          <w:lang w:val="en-US" w:eastAsia="zh-CN"/>
        </w:rPr>
        <w:t>1、</w:t>
      </w:r>
      <w:r>
        <w:rPr>
          <w:rFonts w:hint="eastAsia" w:ascii="宋体" w:hAnsi="宋体" w:cs="宋体"/>
          <w:color w:val="auto"/>
          <w:kern w:val="2"/>
          <w:sz w:val="24"/>
          <w:szCs w:val="24"/>
        </w:rPr>
        <w:t>供应商必须是在中华人民共和国境内注册的能够独立承担民事责任的独立法人或其他组织，具有有效的营业执照、税务登记证、组织机构代码证或</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“三证合一”的营业执照</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w:t>
      </w:r>
    </w:p>
    <w:p w14:paraId="08FC2B7B">
      <w:pPr>
        <w:keepNext w:val="0"/>
        <w:keepLines w:val="0"/>
        <w:pageBreakBefore w:val="0"/>
        <w:shd w:val="clear" w:color="auto" w:fill="FFFFFF"/>
        <w:kinsoku/>
        <w:wordWrap w:val="0"/>
        <w:overflowPunct/>
        <w:autoSpaceDE/>
        <w:autoSpaceDN/>
        <w:bidi w:val="0"/>
        <w:adjustRightInd/>
        <w:snapToGrid/>
        <w:spacing w:line="600" w:lineRule="exact"/>
        <w:ind w:firstLine="480" w:firstLineChars="200"/>
        <w:textAlignment w:val="auto"/>
        <w:rPr>
          <w:rFonts w:hint="eastAsia" w:ascii="宋体" w:hAnsi="宋体" w:cs="宋体"/>
          <w:color w:val="auto"/>
          <w:kern w:val="2"/>
          <w:sz w:val="24"/>
          <w:szCs w:val="24"/>
          <w:lang w:val="en-US" w:eastAsia="zh-CN"/>
        </w:rPr>
      </w:pPr>
      <w:r>
        <w:rPr>
          <w:rFonts w:hint="eastAsia" w:ascii="宋体" w:hAnsi="宋体" w:eastAsia="宋体" w:cs="宋体"/>
          <w:color w:val="auto"/>
          <w:kern w:val="2"/>
          <w:sz w:val="24"/>
          <w:szCs w:val="24"/>
          <w:lang w:val="en-US" w:eastAsia="zh-CN"/>
        </w:rPr>
        <w:t>2、须具有</w:t>
      </w:r>
      <w:r>
        <w:rPr>
          <w:rFonts w:hint="eastAsia" w:ascii="宋体" w:hAnsi="宋体" w:cs="宋体"/>
          <w:color w:val="auto"/>
          <w:kern w:val="2"/>
          <w:sz w:val="24"/>
          <w:szCs w:val="24"/>
          <w:lang w:val="en-US" w:eastAsia="zh-CN"/>
        </w:rPr>
        <w:t>履行合同</w:t>
      </w:r>
      <w:r>
        <w:rPr>
          <w:rFonts w:hint="eastAsia" w:ascii="宋体" w:hAnsi="宋体" w:eastAsia="宋体" w:cs="宋体"/>
          <w:color w:val="auto"/>
          <w:kern w:val="2"/>
          <w:sz w:val="24"/>
          <w:szCs w:val="24"/>
          <w:lang w:val="en-US" w:eastAsia="zh-CN"/>
        </w:rPr>
        <w:t>所必须的设备和专业技术服务能力；</w:t>
      </w:r>
      <w:r>
        <w:rPr>
          <w:rFonts w:hint="eastAsia" w:ascii="宋体" w:hAnsi="宋体" w:cs="宋体"/>
          <w:color w:val="auto"/>
          <w:kern w:val="2"/>
          <w:sz w:val="24"/>
          <w:szCs w:val="24"/>
          <w:lang w:val="en-US" w:eastAsia="zh-CN"/>
        </w:rPr>
        <w:t>(提供承诺书）；</w:t>
      </w:r>
    </w:p>
    <w:p w14:paraId="782AACDC">
      <w:pPr>
        <w:keepNext w:val="0"/>
        <w:keepLines w:val="0"/>
        <w:pageBreakBefore w:val="0"/>
        <w:shd w:val="clear" w:color="auto" w:fill="FFFFFF"/>
        <w:kinsoku/>
        <w:wordWrap w:val="0"/>
        <w:overflowPunct/>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lang w:val="en-US" w:eastAsia="zh-CN"/>
        </w:rPr>
      </w:pPr>
      <w:bookmarkStart w:id="9" w:name="_Toc16513"/>
      <w:r>
        <w:rPr>
          <w:rFonts w:hint="eastAsia" w:ascii="宋体" w:hAnsi="宋体" w:eastAsia="宋体" w:cs="宋体"/>
          <w:color w:val="auto"/>
          <w:kern w:val="2"/>
          <w:sz w:val="24"/>
          <w:szCs w:val="24"/>
          <w:lang w:val="en-US" w:eastAsia="zh-CN"/>
        </w:rPr>
        <w:t>3、拟派项目负责人必须为中级</w:t>
      </w:r>
      <w:r>
        <w:rPr>
          <w:rFonts w:hint="eastAsia" w:ascii="宋体" w:hAnsi="宋体" w:cs="宋体"/>
          <w:color w:val="auto"/>
          <w:kern w:val="2"/>
          <w:sz w:val="24"/>
          <w:szCs w:val="24"/>
          <w:lang w:val="en-US" w:eastAsia="zh-CN"/>
        </w:rPr>
        <w:t>及</w:t>
      </w:r>
      <w:r>
        <w:rPr>
          <w:rFonts w:hint="eastAsia" w:ascii="宋体" w:hAnsi="宋体" w:eastAsia="宋体" w:cs="宋体"/>
          <w:color w:val="auto"/>
          <w:kern w:val="2"/>
          <w:sz w:val="24"/>
          <w:szCs w:val="24"/>
          <w:lang w:val="en-US" w:eastAsia="zh-CN"/>
        </w:rPr>
        <w:t>以上技术职称</w:t>
      </w:r>
      <w:r>
        <w:rPr>
          <w:rFonts w:hint="eastAsia" w:ascii="宋体" w:hAnsi="宋体" w:cs="宋体"/>
          <w:color w:val="auto"/>
          <w:kern w:val="2"/>
          <w:sz w:val="24"/>
          <w:szCs w:val="24"/>
          <w:lang w:val="en-US" w:eastAsia="zh-CN"/>
        </w:rPr>
        <w:t>，且为</w:t>
      </w:r>
      <w:r>
        <w:rPr>
          <w:rFonts w:hint="eastAsia" w:ascii="宋体" w:hAnsi="宋体" w:eastAsia="宋体" w:cs="宋体"/>
          <w:color w:val="auto"/>
          <w:kern w:val="2"/>
          <w:sz w:val="24"/>
          <w:szCs w:val="24"/>
          <w:lang w:val="en-US" w:eastAsia="zh-CN"/>
        </w:rPr>
        <w:t>本单位人员（提供与本单位签订劳动合同及近半年连续三个月缴纳的社保证明材料）；</w:t>
      </w:r>
    </w:p>
    <w:p w14:paraId="5243DDE5">
      <w:pPr>
        <w:keepNext w:val="0"/>
        <w:keepLines w:val="0"/>
        <w:pageBreakBefore w:val="0"/>
        <w:shd w:val="clear" w:color="auto" w:fill="FFFFFF"/>
        <w:kinsoku/>
        <w:wordWrap w:val="0"/>
        <w:overflowPunct/>
        <w:autoSpaceDE/>
        <w:autoSpaceDN/>
        <w:bidi w:val="0"/>
        <w:adjustRightInd/>
        <w:snapToGrid/>
        <w:spacing w:line="600" w:lineRule="exact"/>
        <w:ind w:firstLine="480" w:firstLineChars="200"/>
        <w:textAlignment w:val="auto"/>
        <w:outlineLvl w:val="1"/>
        <w:rPr>
          <w:rFonts w:hint="eastAsia" w:ascii="宋体" w:hAnsi="宋体" w:cs="宋体"/>
          <w:sz w:val="24"/>
          <w:szCs w:val="24"/>
          <w:lang w:val="en-US" w:eastAsia="zh-CN"/>
        </w:rPr>
      </w:pPr>
      <w:r>
        <w:rPr>
          <w:rFonts w:hint="eastAsia" w:ascii="宋体" w:hAnsi="宋体" w:cs="宋体"/>
          <w:color w:val="auto"/>
          <w:kern w:val="2"/>
          <w:sz w:val="24"/>
          <w:szCs w:val="24"/>
          <w:lang w:val="en-US" w:eastAsia="zh-CN"/>
        </w:rPr>
        <w:t>4、依法缴纳税收；须提供企业近半年任意连续三个月完税证明材料（新成立的企业从成立之日起计算）：主要是指缴纳增值税或企业所得税或企业附加税的依法缴纳税收证明材料，依法免税的响应人，应提供相应文件证明其依法免税；    5、</w:t>
      </w:r>
      <w:r>
        <w:rPr>
          <w:rFonts w:hint="eastAsia" w:ascii="宋体" w:hAnsi="宋体" w:cs="宋体"/>
          <w:sz w:val="24"/>
          <w:szCs w:val="24"/>
          <w:lang w:val="en-US" w:eastAsia="zh-CN"/>
        </w:rPr>
        <w:t>具有良好的财务状况且没有处于被责令停业，提供企业近三年（新成立企业从成立之日起计算）任意一年审计报告或财务报表（提供财务报表时须提供资产负债表、现金流量表、利润表）；</w:t>
      </w:r>
    </w:p>
    <w:p w14:paraId="4351F21F">
      <w:pPr>
        <w:keepNext w:val="0"/>
        <w:keepLines w:val="0"/>
        <w:pageBreakBefore w:val="0"/>
        <w:shd w:val="clear" w:color="auto" w:fill="FFFFFF"/>
        <w:kinsoku/>
        <w:wordWrap w:val="0"/>
        <w:overflowPunct/>
        <w:autoSpaceDE/>
        <w:autoSpaceDN/>
        <w:bidi w:val="0"/>
        <w:adjustRightInd/>
        <w:snapToGrid/>
        <w:spacing w:line="600" w:lineRule="exact"/>
        <w:ind w:firstLine="480" w:firstLineChars="200"/>
        <w:textAlignment w:val="auto"/>
        <w:outlineLvl w:val="1"/>
        <w:rPr>
          <w:rFonts w:hint="eastAsia" w:ascii="宋体" w:hAnsi="宋体" w:cs="宋体"/>
          <w:color w:val="auto"/>
          <w:kern w:val="2"/>
          <w:sz w:val="24"/>
          <w:szCs w:val="24"/>
          <w:lang w:val="en-US"/>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参加政府采购活动前3年内无行贿犯罪记录、商业贿赂、不正当竞争行为、骗取中标、严重违约等问题；供应商出具无行贿犯罪记录在中国裁判文书网自行查询或自行承诺（查询对象：企业、法定代表人）；</w:t>
      </w:r>
    </w:p>
    <w:p w14:paraId="080A50DF">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cs="宋体"/>
          <w:color w:val="auto"/>
          <w:kern w:val="2"/>
          <w:sz w:val="24"/>
          <w:szCs w:val="24"/>
          <w:lang w:val="en-US"/>
        </w:rPr>
      </w:pPr>
      <w:r>
        <w:rPr>
          <w:rFonts w:hint="eastAsia" w:ascii="宋体" w:hAnsi="宋体" w:cs="宋体"/>
          <w:color w:val="auto"/>
          <w:kern w:val="2"/>
          <w:sz w:val="24"/>
          <w:szCs w:val="24"/>
          <w:lang w:val="en-US" w:eastAsia="zh-CN"/>
        </w:rPr>
        <w:t>7、</w:t>
      </w:r>
      <w:r>
        <w:rPr>
          <w:rFonts w:hint="eastAsia" w:ascii="宋体" w:hAnsi="宋体" w:eastAsia="宋体" w:cs="宋体"/>
          <w:sz w:val="24"/>
          <w:szCs w:val="24"/>
          <w:lang w:val="en-US" w:eastAsia="zh-CN"/>
        </w:rPr>
        <w:t>提供企业注册地工商管理部门出具的无商业贿赂和不正当竞争行为的查询证明（若当地工商管理部门不办理此项业务，供应商须自行出具本企业无商业贿赂和不正当竞争行为承诺书）；</w:t>
      </w:r>
    </w:p>
    <w:p w14:paraId="5812CB4A">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color w:val="auto"/>
          <w:kern w:val="2"/>
          <w:sz w:val="24"/>
          <w:szCs w:val="24"/>
          <w:lang w:val="en-US" w:eastAsia="zh-CN"/>
        </w:rPr>
        <w:t>8、</w:t>
      </w:r>
      <w:r>
        <w:rPr>
          <w:rFonts w:hint="eastAsia" w:ascii="宋体" w:hAnsi="宋体" w:eastAsia="宋体" w:cs="宋体"/>
          <w:sz w:val="24"/>
          <w:szCs w:val="24"/>
          <w:lang w:val="en-US" w:eastAsia="zh-CN"/>
        </w:rPr>
        <w:t>企业没有被列入“信用中国”网站的“失信被执行人”、“重大税收违法失信主体”及“中国政府采购网”网站的“政府采购严重违法失信行为记录名单”的投标人（查询渠道：“信用中国”网站（www.creditchina.gov.cn）、中国政府采购网（www.ccgp.gov.cn）。(注：査询时间必须是磋商公告发布以后开标时间以前，并提供网站查询网页截图，查询结果清晰可见)</w:t>
      </w:r>
    </w:p>
    <w:p w14:paraId="292A1195">
      <w:pPr>
        <w:keepNext w:val="0"/>
        <w:keepLines w:val="0"/>
        <w:pageBreakBefore w:val="0"/>
        <w:shd w:val="clear" w:color="auto" w:fill="FFFFFF"/>
        <w:kinsoku/>
        <w:wordWrap w:val="0"/>
        <w:overflowPunct/>
        <w:autoSpaceDE/>
        <w:autoSpaceDN/>
        <w:bidi w:val="0"/>
        <w:adjustRightInd/>
        <w:snapToGrid/>
        <w:spacing w:line="600" w:lineRule="exact"/>
        <w:ind w:firstLine="480" w:firstLineChars="200"/>
        <w:textAlignment w:val="auto"/>
        <w:outlineLvl w:val="1"/>
        <w:rPr>
          <w:rFonts w:hint="eastAsia" w:ascii="宋体" w:hAnsi="宋体" w:cs="宋体"/>
          <w:color w:val="auto"/>
          <w:kern w:val="2"/>
          <w:sz w:val="24"/>
          <w:szCs w:val="24"/>
          <w:lang w:val="en-US"/>
        </w:rPr>
      </w:pPr>
      <w:r>
        <w:rPr>
          <w:rFonts w:hint="eastAsia" w:ascii="宋体" w:hAnsi="宋体" w:cs="宋体"/>
          <w:color w:val="auto"/>
          <w:kern w:val="2"/>
          <w:sz w:val="24"/>
          <w:szCs w:val="24"/>
          <w:lang w:val="en-US" w:eastAsia="zh-CN"/>
        </w:rPr>
        <w:t>9、本项目实行资格后审；</w:t>
      </w:r>
    </w:p>
    <w:p w14:paraId="616AF271">
      <w:pPr>
        <w:keepNext w:val="0"/>
        <w:keepLines w:val="0"/>
        <w:pageBreakBefore w:val="0"/>
        <w:shd w:val="clear" w:color="auto" w:fill="FFFFFF"/>
        <w:kinsoku/>
        <w:wordWrap w:val="0"/>
        <w:overflowPunct/>
        <w:autoSpaceDE/>
        <w:autoSpaceDN/>
        <w:bidi w:val="0"/>
        <w:adjustRightInd/>
        <w:snapToGrid/>
        <w:spacing w:line="600" w:lineRule="exact"/>
        <w:ind w:firstLine="480" w:firstLineChars="200"/>
        <w:textAlignment w:val="auto"/>
        <w:outlineLvl w:val="1"/>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val="en-US" w:eastAsia="zh-CN"/>
        </w:rPr>
        <w:t>10、本项目不接受联合体磋商。</w:t>
      </w:r>
    </w:p>
    <w:p w14:paraId="6B41DC09">
      <w:pPr>
        <w:keepNext w:val="0"/>
        <w:keepLines w:val="0"/>
        <w:pageBreakBefore w:val="0"/>
        <w:shd w:val="clear" w:color="auto" w:fill="FFFFFF"/>
        <w:kinsoku/>
        <w:wordWrap w:val="0"/>
        <w:overflowPunct/>
        <w:autoSpaceDE/>
        <w:autoSpaceDN/>
        <w:bidi w:val="0"/>
        <w:adjustRightInd/>
        <w:snapToGrid/>
        <w:spacing w:line="600" w:lineRule="exact"/>
        <w:ind w:firstLine="480" w:firstLineChars="200"/>
        <w:textAlignment w:val="auto"/>
        <w:outlineLvl w:val="1"/>
        <w:rPr>
          <w:rFonts w:hint="default" w:ascii="宋体" w:hAnsi="宋体" w:cs="宋体"/>
          <w:color w:val="auto"/>
          <w:kern w:val="2"/>
          <w:sz w:val="24"/>
          <w:szCs w:val="24"/>
          <w:lang w:val="en-US" w:eastAsia="zh-CN"/>
        </w:rPr>
      </w:pPr>
      <w:r>
        <w:rPr>
          <w:rFonts w:hint="eastAsia" w:ascii="宋体" w:hAnsi="宋体" w:eastAsia="宋体" w:cs="宋体"/>
          <w:sz w:val="24"/>
          <w:szCs w:val="24"/>
          <w:lang w:val="en-US" w:eastAsia="zh-CN"/>
        </w:rPr>
        <w:t>注：被列入失信被执行人及重大税收违法失信主体的企业做无效标处理。采购人或采购代理机构有权对供应商信用记录进行甄别和复查。</w:t>
      </w:r>
    </w:p>
    <w:p w14:paraId="247C6707">
      <w:pPr>
        <w:keepNext w:val="0"/>
        <w:keepLines w:val="0"/>
        <w:pageBreakBefore w:val="0"/>
        <w:shd w:val="clear" w:color="auto" w:fill="FFFFFF"/>
        <w:kinsoku/>
        <w:wordWrap w:val="0"/>
        <w:overflowPunct/>
        <w:autoSpaceDE/>
        <w:autoSpaceDN/>
        <w:bidi w:val="0"/>
        <w:adjustRightInd/>
        <w:snapToGrid/>
        <w:spacing w:line="600" w:lineRule="exact"/>
        <w:ind w:firstLine="480" w:firstLineChars="200"/>
        <w:textAlignment w:val="auto"/>
        <w:outlineLvl w:val="1"/>
        <w:rPr>
          <w:rFonts w:ascii="宋体" w:hAnsi="宋体" w:cs="宋体"/>
          <w:color w:val="auto"/>
          <w:kern w:val="2"/>
          <w:sz w:val="24"/>
          <w:szCs w:val="24"/>
        </w:rPr>
      </w:pPr>
      <w:r>
        <w:rPr>
          <w:rFonts w:hint="eastAsia" w:ascii="宋体" w:hAnsi="宋体" w:cs="宋体"/>
          <w:color w:val="auto"/>
          <w:kern w:val="2"/>
          <w:sz w:val="24"/>
          <w:szCs w:val="24"/>
        </w:rPr>
        <w:t>三、磋商文件获取方式</w:t>
      </w:r>
      <w:bookmarkEnd w:id="9"/>
    </w:p>
    <w:p w14:paraId="4A99E52C">
      <w:pPr>
        <w:keepNext w:val="0"/>
        <w:keepLines w:val="0"/>
        <w:pageBreakBefore w:val="0"/>
        <w:kinsoku/>
        <w:wordWrap w:val="0"/>
        <w:overflowPunct/>
        <w:topLinePunct/>
        <w:autoSpaceDE/>
        <w:autoSpaceDN/>
        <w:bidi w:val="0"/>
        <w:adjustRightInd/>
        <w:snapToGrid/>
        <w:spacing w:line="600" w:lineRule="exact"/>
        <w:ind w:firstLine="480" w:firstLineChars="200"/>
        <w:jc w:val="both"/>
        <w:textAlignment w:val="auto"/>
        <w:rPr>
          <w:rFonts w:hint="eastAsia" w:ascii="宋体" w:hAnsi="宋体"/>
          <w:color w:val="auto"/>
          <w:sz w:val="24"/>
          <w:szCs w:val="24"/>
          <w:shd w:val="clear" w:color="auto" w:fill="FFFFFF"/>
        </w:rPr>
      </w:pPr>
      <w:r>
        <w:rPr>
          <w:rFonts w:hint="eastAsia" w:ascii="宋体" w:hAnsi="宋体" w:cs="宋体"/>
          <w:color w:val="auto"/>
          <w:kern w:val="2"/>
          <w:sz w:val="24"/>
          <w:szCs w:val="24"/>
        </w:rPr>
        <w:t>1、本项目没有报名环节，供应商凭CA数字证书通过三门峡市公共资源交易中心网（网址：http://gzjy.smx.gov.cn/</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，点击交易平台选择“</w:t>
      </w:r>
      <w:r>
        <w:rPr>
          <w:rFonts w:hint="eastAsia" w:ascii="宋体" w:hAnsi="宋体" w:cs="宋体"/>
          <w:color w:val="auto"/>
          <w:kern w:val="2"/>
          <w:sz w:val="24"/>
          <w:szCs w:val="24"/>
          <w:lang w:eastAsia="zh-CN"/>
        </w:rPr>
        <w:t>交易</w:t>
      </w:r>
      <w:r>
        <w:rPr>
          <w:rFonts w:hint="eastAsia" w:ascii="宋体" w:hAnsi="宋体" w:cs="宋体"/>
          <w:color w:val="auto"/>
          <w:kern w:val="2"/>
          <w:sz w:val="24"/>
          <w:szCs w:val="24"/>
        </w:rPr>
        <w:t>主体登录”，在所参与项</w:t>
      </w:r>
      <w:r>
        <w:rPr>
          <w:rFonts w:hint="eastAsia" w:ascii="宋体" w:hAnsi="宋体"/>
          <w:color w:val="auto"/>
          <w:sz w:val="24"/>
          <w:szCs w:val="24"/>
          <w:shd w:val="clear" w:color="auto" w:fill="FFFFFF"/>
        </w:rPr>
        <w:t>目右侧点击参与投标，即可直接下载本项目</w:t>
      </w:r>
      <w:r>
        <w:rPr>
          <w:rFonts w:hint="eastAsia" w:ascii="宋体" w:hAnsi="宋体"/>
          <w:color w:val="auto"/>
          <w:sz w:val="24"/>
          <w:szCs w:val="24"/>
          <w:shd w:val="clear" w:color="auto" w:fill="FFFFFF"/>
          <w:lang w:eastAsia="zh-CN"/>
        </w:rPr>
        <w:t>磋商</w:t>
      </w:r>
      <w:r>
        <w:rPr>
          <w:rFonts w:hint="eastAsia" w:ascii="宋体" w:hAnsi="宋体"/>
          <w:color w:val="auto"/>
          <w:sz w:val="24"/>
          <w:szCs w:val="24"/>
          <w:shd w:val="clear" w:color="auto" w:fill="FFFFFF"/>
        </w:rPr>
        <w:t>文件及其相关资料；</w:t>
      </w:r>
    </w:p>
    <w:p w14:paraId="7F824C97">
      <w:pPr>
        <w:keepNext w:val="0"/>
        <w:keepLines w:val="0"/>
        <w:pageBreakBefore w:val="0"/>
        <w:kinsoku/>
        <w:wordWrap w:val="0"/>
        <w:overflowPunct/>
        <w:topLinePunct/>
        <w:autoSpaceDE/>
        <w:autoSpaceDN/>
        <w:bidi w:val="0"/>
        <w:adjustRightInd/>
        <w:snapToGrid/>
        <w:spacing w:line="600" w:lineRule="exact"/>
        <w:ind w:firstLine="480" w:firstLineChars="200"/>
        <w:jc w:val="both"/>
        <w:textAlignment w:val="auto"/>
        <w:rPr>
          <w:rFonts w:hint="eastAsia" w:ascii="宋体" w:hAnsi="宋体"/>
          <w:color w:val="auto"/>
          <w:sz w:val="24"/>
          <w:szCs w:val="24"/>
          <w:shd w:val="clear" w:color="auto" w:fill="FFFFFF"/>
        </w:rPr>
      </w:pPr>
      <w:r>
        <w:rPr>
          <w:rFonts w:hint="eastAsia" w:ascii="宋体" w:hAnsi="宋体"/>
          <w:color w:val="auto"/>
          <w:sz w:val="24"/>
          <w:szCs w:val="24"/>
          <w:shd w:val="clear" w:color="auto" w:fill="FFFFFF"/>
        </w:rPr>
        <w:t>办理CA证书：</w:t>
      </w:r>
      <w:r>
        <w:rPr>
          <w:rFonts w:hint="eastAsia" w:ascii="宋体" w:hAnsi="宋体"/>
          <w:color w:val="auto"/>
          <w:sz w:val="24"/>
          <w:szCs w:val="24"/>
          <w:shd w:val="clear" w:color="auto" w:fill="FFFFFF"/>
          <w:lang w:val="en-US" w:eastAsia="zh-CN"/>
        </w:rPr>
        <w:t>http://www.smxgzjy.org/bwstb/23330.jhtml</w:t>
      </w:r>
    </w:p>
    <w:p w14:paraId="2BC459DE">
      <w:pPr>
        <w:keepNext w:val="0"/>
        <w:keepLines w:val="0"/>
        <w:pageBreakBefore w:val="0"/>
        <w:kinsoku/>
        <w:wordWrap w:val="0"/>
        <w:overflowPunct/>
        <w:topLinePunct/>
        <w:autoSpaceDE/>
        <w:autoSpaceDN/>
        <w:bidi w:val="0"/>
        <w:adjustRightInd/>
        <w:snapToGrid/>
        <w:spacing w:line="600" w:lineRule="exact"/>
        <w:ind w:firstLine="480" w:firstLineChars="200"/>
        <w:jc w:val="both"/>
        <w:textAlignment w:val="auto"/>
        <w:rPr>
          <w:rFonts w:hint="eastAsia" w:ascii="宋体" w:hAnsi="宋体"/>
          <w:color w:val="auto"/>
          <w:sz w:val="24"/>
          <w:szCs w:val="24"/>
          <w:shd w:val="clear" w:color="auto" w:fill="FFFFFF"/>
        </w:rPr>
      </w:pPr>
      <w:r>
        <w:rPr>
          <w:rFonts w:hint="eastAsia" w:ascii="宋体" w:hAnsi="宋体"/>
          <w:color w:val="auto"/>
          <w:sz w:val="24"/>
          <w:szCs w:val="24"/>
          <w:shd w:val="clear" w:color="auto" w:fill="FFFFFF"/>
        </w:rPr>
        <w:t>2、文件下载时间：202</w:t>
      </w:r>
      <w:r>
        <w:rPr>
          <w:rFonts w:hint="eastAsia" w:ascii="宋体" w:hAnsi="宋体"/>
          <w:color w:val="auto"/>
          <w:sz w:val="24"/>
          <w:szCs w:val="24"/>
          <w:shd w:val="clear" w:color="auto" w:fill="FFFFFF"/>
          <w:lang w:val="en-US" w:eastAsia="zh-CN"/>
        </w:rPr>
        <w:t>5</w:t>
      </w:r>
      <w:r>
        <w:rPr>
          <w:rFonts w:hint="eastAsia" w:ascii="宋体" w:hAnsi="宋体"/>
          <w:color w:val="auto"/>
          <w:sz w:val="24"/>
          <w:szCs w:val="24"/>
          <w:shd w:val="clear" w:color="auto" w:fill="FFFFFF"/>
        </w:rPr>
        <w:t>年</w:t>
      </w:r>
      <w:r>
        <w:rPr>
          <w:rFonts w:hint="eastAsia" w:ascii="宋体" w:hAnsi="宋体"/>
          <w:color w:val="auto"/>
          <w:sz w:val="24"/>
          <w:szCs w:val="24"/>
          <w:shd w:val="clear" w:color="auto" w:fill="FFFFFF"/>
          <w:lang w:val="en-US" w:eastAsia="zh-CN"/>
        </w:rPr>
        <w:t>10</w:t>
      </w:r>
      <w:r>
        <w:rPr>
          <w:rFonts w:hint="eastAsia" w:ascii="宋体" w:hAnsi="宋体"/>
          <w:color w:val="auto"/>
          <w:sz w:val="24"/>
          <w:szCs w:val="24"/>
          <w:shd w:val="clear" w:color="auto" w:fill="FFFFFF"/>
        </w:rPr>
        <w:t>月</w:t>
      </w:r>
      <w:r>
        <w:rPr>
          <w:rFonts w:hint="eastAsia" w:ascii="宋体" w:hAnsi="宋体"/>
          <w:color w:val="auto"/>
          <w:sz w:val="24"/>
          <w:szCs w:val="24"/>
          <w:shd w:val="clear" w:color="auto" w:fill="FFFFFF"/>
          <w:lang w:val="en-US" w:eastAsia="zh-CN"/>
        </w:rPr>
        <w:t>1</w:t>
      </w:r>
      <w:r>
        <w:rPr>
          <w:rFonts w:hint="eastAsia" w:ascii="宋体" w:hAnsi="宋体"/>
          <w:color w:val="auto"/>
          <w:sz w:val="24"/>
          <w:szCs w:val="24"/>
          <w:shd w:val="clear" w:color="auto" w:fill="FFFFFF"/>
        </w:rPr>
        <w:t>日08时00分至202</w:t>
      </w:r>
      <w:r>
        <w:rPr>
          <w:rFonts w:hint="eastAsia" w:ascii="宋体" w:hAnsi="宋体"/>
          <w:color w:val="auto"/>
          <w:sz w:val="24"/>
          <w:szCs w:val="24"/>
          <w:shd w:val="clear" w:color="auto" w:fill="FFFFFF"/>
          <w:lang w:val="en-US" w:eastAsia="zh-CN"/>
        </w:rPr>
        <w:t>5</w:t>
      </w:r>
      <w:r>
        <w:rPr>
          <w:rFonts w:hint="eastAsia" w:ascii="宋体" w:hAnsi="宋体"/>
          <w:color w:val="auto"/>
          <w:sz w:val="24"/>
          <w:szCs w:val="24"/>
          <w:shd w:val="clear" w:color="auto" w:fill="FFFFFF"/>
        </w:rPr>
        <w:t>年</w:t>
      </w:r>
      <w:r>
        <w:rPr>
          <w:rFonts w:hint="eastAsia" w:ascii="宋体" w:hAnsi="宋体"/>
          <w:color w:val="auto"/>
          <w:sz w:val="24"/>
          <w:szCs w:val="24"/>
          <w:shd w:val="clear" w:color="auto" w:fill="FFFFFF"/>
          <w:lang w:val="en-US" w:eastAsia="zh-CN"/>
        </w:rPr>
        <w:t>10</w:t>
      </w:r>
      <w:r>
        <w:rPr>
          <w:rFonts w:hint="eastAsia" w:ascii="宋体" w:hAnsi="宋体"/>
          <w:color w:val="auto"/>
          <w:sz w:val="24"/>
          <w:szCs w:val="24"/>
          <w:shd w:val="clear" w:color="auto" w:fill="FFFFFF"/>
        </w:rPr>
        <w:t>月</w:t>
      </w:r>
      <w:r>
        <w:rPr>
          <w:rFonts w:hint="eastAsia" w:ascii="宋体" w:hAnsi="宋体"/>
          <w:color w:val="auto"/>
          <w:sz w:val="24"/>
          <w:szCs w:val="24"/>
          <w:shd w:val="clear" w:color="auto" w:fill="FFFFFF"/>
          <w:lang w:val="en-US" w:eastAsia="zh-CN"/>
        </w:rPr>
        <w:t>31</w:t>
      </w:r>
      <w:r>
        <w:rPr>
          <w:rFonts w:hint="eastAsia" w:ascii="宋体" w:hAnsi="宋体"/>
          <w:color w:val="auto"/>
          <w:sz w:val="24"/>
          <w:szCs w:val="24"/>
          <w:shd w:val="clear" w:color="auto" w:fill="FFFFFF"/>
        </w:rPr>
        <w:t>日0</w:t>
      </w:r>
      <w:r>
        <w:rPr>
          <w:rFonts w:hint="eastAsia" w:ascii="宋体" w:hAnsi="宋体"/>
          <w:color w:val="auto"/>
          <w:sz w:val="24"/>
          <w:szCs w:val="24"/>
          <w:shd w:val="clear" w:color="auto" w:fill="FFFFFF"/>
          <w:lang w:val="en-US" w:eastAsia="zh-CN"/>
        </w:rPr>
        <w:t>9</w:t>
      </w:r>
      <w:r>
        <w:rPr>
          <w:rFonts w:hint="eastAsia" w:ascii="宋体" w:hAnsi="宋体"/>
          <w:color w:val="auto"/>
          <w:sz w:val="24"/>
          <w:szCs w:val="24"/>
          <w:shd w:val="clear" w:color="auto" w:fill="FFFFFF"/>
        </w:rPr>
        <w:t>时</w:t>
      </w:r>
      <w:r>
        <w:rPr>
          <w:rFonts w:hint="eastAsia" w:ascii="宋体" w:hAnsi="宋体"/>
          <w:color w:val="auto"/>
          <w:sz w:val="24"/>
          <w:szCs w:val="24"/>
          <w:shd w:val="clear" w:color="auto" w:fill="FFFFFF"/>
          <w:lang w:val="en-US" w:eastAsia="zh-CN"/>
        </w:rPr>
        <w:t>10</w:t>
      </w:r>
      <w:r>
        <w:rPr>
          <w:rFonts w:hint="eastAsia" w:ascii="宋体" w:hAnsi="宋体"/>
          <w:color w:val="auto"/>
          <w:sz w:val="24"/>
          <w:szCs w:val="24"/>
          <w:shd w:val="clear" w:color="auto" w:fill="FFFFFF"/>
        </w:rPr>
        <w:t>分；</w:t>
      </w:r>
    </w:p>
    <w:p w14:paraId="22DAFAC2">
      <w:pPr>
        <w:keepNext w:val="0"/>
        <w:keepLines w:val="0"/>
        <w:pageBreakBefore w:val="0"/>
        <w:widowControl/>
        <w:kinsoku/>
        <w:wordWrap w:val="0"/>
        <w:overflowPunct/>
        <w:topLinePunct/>
        <w:autoSpaceDE/>
        <w:autoSpaceDN/>
        <w:bidi w:val="0"/>
        <w:adjustRightInd/>
        <w:snapToGrid/>
        <w:spacing w:line="600" w:lineRule="exact"/>
        <w:ind w:firstLine="480" w:firstLineChars="200"/>
        <w:jc w:val="left"/>
        <w:textAlignment w:val="auto"/>
        <w:rPr>
          <w:rFonts w:hint="eastAsia" w:ascii="宋体" w:hAnsi="宋体"/>
          <w:color w:val="auto"/>
          <w:sz w:val="24"/>
          <w:szCs w:val="24"/>
          <w:shd w:val="clear" w:color="auto" w:fill="FFFFFF"/>
        </w:rPr>
      </w:pPr>
      <w:r>
        <w:rPr>
          <w:rFonts w:hint="eastAsia" w:ascii="宋体" w:hAnsi="宋体"/>
          <w:color w:val="auto"/>
          <w:sz w:val="24"/>
          <w:szCs w:val="24"/>
          <w:shd w:val="clear" w:color="auto" w:fill="FFFFFF"/>
        </w:rPr>
        <w:t>3、本项目为不见面开标项目。开标当日，供应商无需到开标现场参加开标会议，供应商应当在</w:t>
      </w:r>
      <w:r>
        <w:rPr>
          <w:rFonts w:hint="eastAsia" w:ascii="宋体" w:hAnsi="宋体"/>
          <w:color w:val="auto"/>
          <w:sz w:val="24"/>
          <w:szCs w:val="24"/>
          <w:shd w:val="clear" w:color="auto" w:fill="FFFFFF"/>
          <w:lang w:eastAsia="zh-CN"/>
        </w:rPr>
        <w:t>开标</w:t>
      </w:r>
      <w:r>
        <w:rPr>
          <w:rFonts w:hint="eastAsia" w:ascii="宋体" w:hAnsi="宋体"/>
          <w:color w:val="auto"/>
          <w:sz w:val="24"/>
          <w:szCs w:val="24"/>
          <w:shd w:val="clear" w:color="auto" w:fill="FFFFFF"/>
        </w:rPr>
        <w:t>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olor w:val="auto"/>
          <w:sz w:val="24"/>
          <w:szCs w:val="24"/>
          <w:shd w:val="clear" w:color="auto" w:fill="FFFFFF"/>
          <w:lang w:eastAsia="zh-CN"/>
        </w:rPr>
        <w:t>响应</w:t>
      </w:r>
      <w:r>
        <w:rPr>
          <w:rFonts w:hint="eastAsia" w:ascii="宋体" w:hAnsi="宋体"/>
          <w:color w:val="auto"/>
          <w:sz w:val="24"/>
          <w:szCs w:val="24"/>
          <w:shd w:val="clear" w:color="auto" w:fill="FFFFFF"/>
        </w:rPr>
        <w:t>文件解密等。每位供应商的解密时间为开标时间起30分钟内完成。因供应商原因未能解密、解密失败或解密超时的将被拒绝。</w:t>
      </w:r>
    </w:p>
    <w:p w14:paraId="051F6276">
      <w:pPr>
        <w:keepNext w:val="0"/>
        <w:keepLines w:val="0"/>
        <w:pageBreakBefore w:val="0"/>
        <w:widowControl/>
        <w:kinsoku/>
        <w:wordWrap w:val="0"/>
        <w:overflowPunct/>
        <w:topLinePunct/>
        <w:autoSpaceDE/>
        <w:autoSpaceDN/>
        <w:bidi w:val="0"/>
        <w:adjustRightInd/>
        <w:snapToGrid/>
        <w:spacing w:line="600" w:lineRule="exact"/>
        <w:ind w:firstLine="480" w:firstLineChars="200"/>
        <w:jc w:val="both"/>
        <w:textAlignment w:val="auto"/>
        <w:rPr>
          <w:rFonts w:hint="eastAsia" w:ascii="宋体" w:hAnsi="宋体" w:eastAsia="宋体"/>
          <w:color w:val="auto"/>
          <w:sz w:val="24"/>
          <w:szCs w:val="24"/>
          <w:shd w:val="clear" w:color="auto" w:fill="FFFFFF"/>
          <w:lang w:val="en-US" w:eastAsia="zh-CN"/>
        </w:rPr>
      </w:pPr>
      <w:r>
        <w:rPr>
          <w:rFonts w:hint="eastAsia" w:ascii="宋体" w:hAnsi="宋体"/>
          <w:color w:val="auto"/>
          <w:sz w:val="24"/>
          <w:szCs w:val="24"/>
          <w:shd w:val="clear" w:color="auto" w:fill="FFFFFF"/>
          <w:lang w:val="en-US" w:eastAsia="zh-CN"/>
        </w:rPr>
        <w:t>4</w:t>
      </w:r>
      <w:r>
        <w:rPr>
          <w:rFonts w:hint="eastAsia" w:ascii="宋体" w:hAnsi="宋体" w:cs="Times New Roman"/>
          <w:color w:val="auto"/>
          <w:sz w:val="24"/>
          <w:szCs w:val="24"/>
          <w:shd w:val="clear" w:color="auto" w:fill="FFFFFF"/>
          <w:lang w:val="en-US" w:eastAsia="zh-CN"/>
        </w:rPr>
        <w:t>、本项目为全电子招标，不再收取磋商文件费用。</w:t>
      </w:r>
    </w:p>
    <w:p w14:paraId="7C382DBC">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outlineLvl w:val="1"/>
        <w:rPr>
          <w:rFonts w:ascii="宋体" w:hAnsi="宋体" w:cs="宋体"/>
          <w:color w:val="auto"/>
          <w:kern w:val="2"/>
          <w:sz w:val="24"/>
          <w:szCs w:val="24"/>
        </w:rPr>
      </w:pPr>
      <w:bookmarkStart w:id="10" w:name="_Toc12451"/>
      <w:r>
        <w:rPr>
          <w:rFonts w:hint="eastAsia" w:ascii="宋体" w:hAnsi="宋体" w:cs="宋体"/>
          <w:color w:val="auto"/>
          <w:kern w:val="2"/>
          <w:sz w:val="24"/>
          <w:szCs w:val="24"/>
        </w:rPr>
        <w:t>四、磋商保证金</w:t>
      </w:r>
      <w:bookmarkEnd w:id="10"/>
    </w:p>
    <w:p w14:paraId="31CB97E7">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cs="宋体"/>
          <w:color w:val="auto"/>
          <w:kern w:val="2"/>
          <w:sz w:val="24"/>
          <w:szCs w:val="24"/>
        </w:rPr>
      </w:pPr>
      <w:r>
        <w:rPr>
          <w:rFonts w:hint="eastAsia" w:ascii="宋体" w:hAnsi="宋体" w:cs="宋体"/>
          <w:color w:val="auto"/>
          <w:kern w:val="2"/>
          <w:sz w:val="24"/>
          <w:szCs w:val="24"/>
        </w:rPr>
        <w:t>按照《河南省财政厅关于优化政府采购营商环境有关问题的通知》（豫财购[2019]4号文）的要求本项目不再收取</w:t>
      </w:r>
      <w:r>
        <w:rPr>
          <w:rFonts w:hint="eastAsia" w:ascii="宋体" w:hAnsi="宋体" w:cs="宋体"/>
          <w:color w:val="auto"/>
          <w:kern w:val="2"/>
          <w:sz w:val="24"/>
          <w:szCs w:val="24"/>
          <w:lang w:eastAsia="zh-CN"/>
        </w:rPr>
        <w:t>磋商</w:t>
      </w:r>
      <w:r>
        <w:rPr>
          <w:rFonts w:hint="eastAsia" w:ascii="宋体" w:hAnsi="宋体" w:cs="宋体"/>
          <w:color w:val="auto"/>
          <w:kern w:val="2"/>
          <w:sz w:val="24"/>
          <w:szCs w:val="24"/>
        </w:rPr>
        <w:t>保证金。</w:t>
      </w:r>
    </w:p>
    <w:p w14:paraId="45A8DF96">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outlineLvl w:val="1"/>
        <w:rPr>
          <w:rFonts w:ascii="宋体" w:hAnsi="宋体" w:cs="宋体"/>
          <w:color w:val="auto"/>
          <w:kern w:val="2"/>
          <w:sz w:val="24"/>
          <w:szCs w:val="24"/>
        </w:rPr>
      </w:pPr>
      <w:bookmarkStart w:id="11" w:name="_Toc13329"/>
      <w:r>
        <w:rPr>
          <w:rFonts w:hint="eastAsia" w:ascii="宋体" w:hAnsi="宋体" w:cs="宋体"/>
          <w:color w:val="auto"/>
          <w:kern w:val="2"/>
          <w:sz w:val="24"/>
          <w:szCs w:val="24"/>
        </w:rPr>
        <w:t>五、供应商资料的提交</w:t>
      </w:r>
      <w:bookmarkEnd w:id="11"/>
    </w:p>
    <w:p w14:paraId="453C3E32">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本项目实行资格后审，审查内容以</w:t>
      </w:r>
      <w:r>
        <w:rPr>
          <w:rFonts w:hint="eastAsia" w:ascii="宋体" w:hAnsi="宋体" w:cs="宋体"/>
          <w:color w:val="auto"/>
          <w:kern w:val="2"/>
          <w:sz w:val="24"/>
          <w:szCs w:val="24"/>
          <w:lang w:eastAsia="zh-CN"/>
        </w:rPr>
        <w:t>开</w:t>
      </w:r>
      <w:r>
        <w:rPr>
          <w:rFonts w:hint="eastAsia" w:ascii="宋体" w:hAnsi="宋体" w:cs="宋体"/>
          <w:color w:val="auto"/>
          <w:kern w:val="2"/>
          <w:sz w:val="24"/>
          <w:szCs w:val="24"/>
        </w:rPr>
        <w:t>标截止时间前在三门峡市公共资源交易系统上传的</w:t>
      </w:r>
      <w:r>
        <w:rPr>
          <w:rFonts w:hint="eastAsia" w:ascii="宋体" w:hAnsi="宋体" w:cs="宋体"/>
          <w:color w:val="auto"/>
          <w:kern w:val="2"/>
          <w:sz w:val="24"/>
          <w:szCs w:val="24"/>
          <w:lang w:eastAsia="zh-CN"/>
        </w:rPr>
        <w:t>响应</w:t>
      </w:r>
      <w:r>
        <w:rPr>
          <w:rFonts w:hint="eastAsia" w:ascii="宋体" w:hAnsi="宋体" w:cs="宋体"/>
          <w:color w:val="auto"/>
          <w:kern w:val="2"/>
          <w:sz w:val="24"/>
          <w:szCs w:val="24"/>
        </w:rPr>
        <w:t>文件的信息为准。其上传资料真实性由供应商自行承担，同时，供应商需要完善主体库信息。否则，由此造成应得分而未得分或资格审查不合格等情况的，由供应商</w:t>
      </w:r>
      <w:r>
        <w:rPr>
          <w:rFonts w:hint="eastAsia" w:ascii="宋体" w:hAnsi="宋体" w:cs="宋体"/>
          <w:color w:val="auto"/>
          <w:kern w:val="2"/>
          <w:sz w:val="24"/>
          <w:szCs w:val="24"/>
          <w:lang w:eastAsia="zh-CN"/>
        </w:rPr>
        <w:t>自行</w:t>
      </w:r>
      <w:r>
        <w:rPr>
          <w:rFonts w:hint="eastAsia" w:ascii="宋体" w:hAnsi="宋体" w:cs="宋体"/>
          <w:color w:val="auto"/>
          <w:kern w:val="2"/>
          <w:sz w:val="24"/>
          <w:szCs w:val="24"/>
        </w:rPr>
        <w:t>承担责任。</w:t>
      </w:r>
    </w:p>
    <w:p w14:paraId="12FC6DD1">
      <w:pPr>
        <w:keepNext w:val="0"/>
        <w:keepLines w:val="0"/>
        <w:pageBreakBefore w:val="0"/>
        <w:widowControl/>
        <w:numPr>
          <w:ilvl w:val="0"/>
          <w:numId w:val="0"/>
        </w:numPr>
        <w:kinsoku/>
        <w:wordWrap w:val="0"/>
        <w:overflowPunct/>
        <w:topLinePunct w:val="0"/>
        <w:autoSpaceDE/>
        <w:autoSpaceDN/>
        <w:bidi w:val="0"/>
        <w:adjustRightInd/>
        <w:snapToGrid/>
        <w:spacing w:line="600" w:lineRule="exact"/>
        <w:ind w:firstLine="480" w:firstLineChars="200"/>
        <w:textAlignment w:val="auto"/>
        <w:rPr>
          <w:rFonts w:hint="eastAsia" w:ascii="宋体" w:hAnsi="宋体" w:cs="宋体"/>
          <w:color w:val="auto"/>
          <w:kern w:val="2"/>
          <w:sz w:val="24"/>
          <w:szCs w:val="24"/>
          <w:lang w:val="en-US" w:eastAsia="zh-CN"/>
        </w:rPr>
      </w:pPr>
      <w:r>
        <w:rPr>
          <w:rFonts w:hint="eastAsia" w:ascii="宋体" w:hAnsi="宋体" w:cs="宋体"/>
          <w:color w:val="auto"/>
          <w:kern w:val="2"/>
          <w:sz w:val="24"/>
          <w:szCs w:val="24"/>
          <w:lang w:eastAsia="zh-CN"/>
        </w:rPr>
        <w:t>六、响应</w:t>
      </w:r>
      <w:r>
        <w:rPr>
          <w:rFonts w:hint="eastAsia" w:ascii="宋体" w:hAnsi="宋体" w:cs="宋体"/>
          <w:color w:val="auto"/>
          <w:kern w:val="2"/>
          <w:sz w:val="24"/>
          <w:szCs w:val="24"/>
        </w:rPr>
        <w:t>文件递交的截止时间</w:t>
      </w:r>
      <w:r>
        <w:rPr>
          <w:rFonts w:hint="eastAsia" w:ascii="宋体" w:hAnsi="宋体" w:cs="宋体"/>
          <w:color w:val="auto"/>
          <w:kern w:val="2"/>
          <w:sz w:val="24"/>
          <w:szCs w:val="24"/>
          <w:lang w:eastAsia="zh-CN"/>
        </w:rPr>
        <w:t>及</w:t>
      </w:r>
      <w:r>
        <w:rPr>
          <w:rFonts w:hint="eastAsia" w:ascii="宋体" w:hAnsi="宋体" w:cs="宋体"/>
          <w:color w:val="auto"/>
          <w:kern w:val="2"/>
          <w:sz w:val="24"/>
          <w:szCs w:val="24"/>
          <w:lang w:val="en-US" w:eastAsia="zh-CN"/>
        </w:rPr>
        <w:t>开评标地点</w:t>
      </w:r>
    </w:p>
    <w:p w14:paraId="238EDFB0">
      <w:pPr>
        <w:keepNext w:val="0"/>
        <w:keepLines w:val="0"/>
        <w:pageBreakBefore w:val="0"/>
        <w:widowControl/>
        <w:numPr>
          <w:ilvl w:val="0"/>
          <w:numId w:val="0"/>
        </w:numPr>
        <w:kinsoku/>
        <w:wordWrap w:val="0"/>
        <w:overflowPunct/>
        <w:topLinePunct w:val="0"/>
        <w:autoSpaceDE/>
        <w:autoSpaceDN/>
        <w:bidi w:val="0"/>
        <w:adjustRightInd/>
        <w:snapToGrid/>
        <w:spacing w:line="600" w:lineRule="exact"/>
        <w:ind w:firstLine="480" w:firstLineChars="200"/>
        <w:textAlignment w:val="auto"/>
        <w:rPr>
          <w:rFonts w:hint="eastAsia" w:ascii="宋体" w:hAnsi="宋体" w:cs="宋体"/>
          <w:color w:val="auto"/>
          <w:kern w:val="2"/>
          <w:sz w:val="24"/>
          <w:szCs w:val="24"/>
          <w:lang w:eastAsia="zh-CN"/>
        </w:rPr>
      </w:pPr>
      <w:r>
        <w:rPr>
          <w:rFonts w:hint="eastAsia" w:ascii="宋体" w:hAnsi="宋体" w:cs="宋体"/>
          <w:color w:val="auto"/>
          <w:kern w:val="2"/>
          <w:sz w:val="24"/>
          <w:szCs w:val="24"/>
          <w:lang w:eastAsia="zh-CN"/>
        </w:rPr>
        <w:t>1、响应文件递交的截止时间（开标时间）为</w:t>
      </w:r>
      <w:r>
        <w:rPr>
          <w:rFonts w:hint="eastAsia" w:ascii="宋体" w:hAnsi="宋体"/>
          <w:color w:val="auto"/>
          <w:sz w:val="24"/>
          <w:szCs w:val="24"/>
          <w:shd w:val="clear" w:color="auto" w:fill="FFFFFF"/>
        </w:rPr>
        <w:t>202</w:t>
      </w:r>
      <w:r>
        <w:rPr>
          <w:rFonts w:hint="eastAsia" w:ascii="宋体" w:hAnsi="宋体"/>
          <w:color w:val="auto"/>
          <w:sz w:val="24"/>
          <w:szCs w:val="24"/>
          <w:shd w:val="clear" w:color="auto" w:fill="FFFFFF"/>
          <w:lang w:val="en-US" w:eastAsia="zh-CN"/>
        </w:rPr>
        <w:t>5</w:t>
      </w:r>
      <w:r>
        <w:rPr>
          <w:rFonts w:hint="eastAsia" w:ascii="宋体" w:hAnsi="宋体"/>
          <w:color w:val="auto"/>
          <w:sz w:val="24"/>
          <w:szCs w:val="24"/>
          <w:shd w:val="clear" w:color="auto" w:fill="FFFFFF"/>
        </w:rPr>
        <w:t>年</w:t>
      </w:r>
      <w:r>
        <w:rPr>
          <w:rFonts w:hint="eastAsia" w:ascii="宋体" w:hAnsi="宋体"/>
          <w:color w:val="auto"/>
          <w:sz w:val="24"/>
          <w:szCs w:val="24"/>
          <w:shd w:val="clear" w:color="auto" w:fill="FFFFFF"/>
          <w:lang w:val="en-US" w:eastAsia="zh-CN"/>
        </w:rPr>
        <w:t>10</w:t>
      </w:r>
      <w:r>
        <w:rPr>
          <w:rFonts w:hint="eastAsia" w:ascii="宋体" w:hAnsi="宋体"/>
          <w:color w:val="auto"/>
          <w:sz w:val="24"/>
          <w:szCs w:val="24"/>
          <w:shd w:val="clear" w:color="auto" w:fill="FFFFFF"/>
        </w:rPr>
        <w:t>月</w:t>
      </w:r>
      <w:r>
        <w:rPr>
          <w:rFonts w:hint="eastAsia" w:ascii="宋体" w:hAnsi="宋体"/>
          <w:color w:val="auto"/>
          <w:sz w:val="24"/>
          <w:szCs w:val="24"/>
          <w:shd w:val="clear" w:color="auto" w:fill="FFFFFF"/>
          <w:lang w:val="en-US" w:eastAsia="zh-CN"/>
        </w:rPr>
        <w:t>31</w:t>
      </w:r>
      <w:r>
        <w:rPr>
          <w:rFonts w:hint="eastAsia" w:ascii="宋体" w:hAnsi="宋体"/>
          <w:color w:val="auto"/>
          <w:sz w:val="24"/>
          <w:szCs w:val="24"/>
          <w:shd w:val="clear" w:color="auto" w:fill="FFFFFF"/>
        </w:rPr>
        <w:t>日0</w:t>
      </w:r>
      <w:r>
        <w:rPr>
          <w:rFonts w:hint="eastAsia" w:ascii="宋体" w:hAnsi="宋体"/>
          <w:color w:val="auto"/>
          <w:sz w:val="24"/>
          <w:szCs w:val="24"/>
          <w:shd w:val="clear" w:color="auto" w:fill="FFFFFF"/>
          <w:lang w:val="en-US" w:eastAsia="zh-CN"/>
        </w:rPr>
        <w:t>9</w:t>
      </w:r>
      <w:r>
        <w:rPr>
          <w:rFonts w:hint="eastAsia" w:ascii="宋体" w:hAnsi="宋体"/>
          <w:color w:val="auto"/>
          <w:sz w:val="24"/>
          <w:szCs w:val="24"/>
          <w:shd w:val="clear" w:color="auto" w:fill="FFFFFF"/>
        </w:rPr>
        <w:t>时</w:t>
      </w:r>
      <w:r>
        <w:rPr>
          <w:rFonts w:hint="eastAsia" w:ascii="宋体" w:hAnsi="宋体"/>
          <w:color w:val="auto"/>
          <w:sz w:val="24"/>
          <w:szCs w:val="24"/>
          <w:shd w:val="clear" w:color="auto" w:fill="FFFFFF"/>
          <w:lang w:val="en-US" w:eastAsia="zh-CN"/>
        </w:rPr>
        <w:t>10</w:t>
      </w:r>
      <w:r>
        <w:rPr>
          <w:rFonts w:hint="eastAsia" w:ascii="宋体" w:hAnsi="宋体"/>
          <w:color w:val="auto"/>
          <w:sz w:val="24"/>
          <w:szCs w:val="24"/>
          <w:shd w:val="clear" w:color="auto" w:fill="FFFFFF"/>
        </w:rPr>
        <w:t>分</w:t>
      </w:r>
      <w:r>
        <w:rPr>
          <w:rFonts w:hint="eastAsia" w:ascii="宋体" w:hAnsi="宋体" w:cs="宋体"/>
          <w:color w:val="000000" w:themeColor="text1"/>
          <w:kern w:val="2"/>
          <w:sz w:val="24"/>
          <w:szCs w:val="24"/>
          <w:lang w:eastAsia="zh-CN"/>
          <w14:textFill>
            <w14:solidFill>
              <w14:schemeClr w14:val="tx1"/>
            </w14:solidFill>
          </w14:textFill>
        </w:rPr>
        <w:t>；</w:t>
      </w:r>
    </w:p>
    <w:p w14:paraId="0B733CC5">
      <w:pPr>
        <w:keepNext w:val="0"/>
        <w:keepLines w:val="0"/>
        <w:pageBreakBefore w:val="0"/>
        <w:widowControl/>
        <w:numPr>
          <w:ilvl w:val="0"/>
          <w:numId w:val="0"/>
        </w:numPr>
        <w:kinsoku/>
        <w:wordWrap w:val="0"/>
        <w:overflowPunct/>
        <w:topLinePunct w:val="0"/>
        <w:autoSpaceDE/>
        <w:autoSpaceDN/>
        <w:bidi w:val="0"/>
        <w:adjustRightInd/>
        <w:snapToGrid/>
        <w:spacing w:line="600" w:lineRule="exact"/>
        <w:ind w:firstLine="480" w:firstLineChars="200"/>
        <w:textAlignment w:val="auto"/>
        <w:rPr>
          <w:rFonts w:hint="eastAsia" w:ascii="宋体" w:hAnsi="宋体" w:cs="宋体"/>
          <w:color w:val="000000" w:themeColor="text1"/>
          <w:kern w:val="2"/>
          <w:sz w:val="24"/>
          <w:szCs w:val="24"/>
          <w:lang w:eastAsia="zh-CN"/>
          <w14:textFill>
            <w14:solidFill>
              <w14:schemeClr w14:val="tx1"/>
            </w14:solidFill>
          </w14:textFill>
        </w:rPr>
      </w:pPr>
      <w:r>
        <w:rPr>
          <w:rFonts w:hint="eastAsia" w:ascii="宋体" w:hAnsi="宋体" w:cs="宋体"/>
          <w:color w:val="auto"/>
          <w:kern w:val="2"/>
          <w:sz w:val="24"/>
          <w:szCs w:val="24"/>
          <w:lang w:eastAsia="zh-CN"/>
        </w:rPr>
        <w:t>2、开标地点：</w:t>
      </w:r>
      <w:r>
        <w:rPr>
          <w:rFonts w:hint="eastAsia" w:ascii="宋体" w:hAnsi="宋体" w:cs="宋体"/>
          <w:color w:val="000000" w:themeColor="text1"/>
          <w:kern w:val="2"/>
          <w:sz w:val="24"/>
          <w:szCs w:val="24"/>
          <w:lang w:eastAsia="zh-CN"/>
          <w14:textFill>
            <w14:solidFill>
              <w14:schemeClr w14:val="tx1"/>
            </w14:solidFill>
          </w14:textFill>
        </w:rPr>
        <w:t>卢氏县公共资源交易中心</w:t>
      </w:r>
      <w:r>
        <w:rPr>
          <w:rFonts w:hint="eastAsia" w:ascii="宋体" w:hAnsi="宋体" w:cs="宋体"/>
          <w:color w:val="000000" w:themeColor="text1"/>
          <w:kern w:val="2"/>
          <w:sz w:val="24"/>
          <w:szCs w:val="24"/>
          <w:lang w:val="en-US" w:eastAsia="zh-CN"/>
          <w14:textFill>
            <w14:solidFill>
              <w14:schemeClr w14:val="tx1"/>
            </w14:solidFill>
          </w14:textFill>
        </w:rPr>
        <w:t>四</w:t>
      </w:r>
      <w:r>
        <w:rPr>
          <w:rFonts w:hint="eastAsia" w:ascii="宋体" w:hAnsi="宋体" w:cs="宋体"/>
          <w:color w:val="000000" w:themeColor="text1"/>
          <w:kern w:val="2"/>
          <w:sz w:val="24"/>
          <w:szCs w:val="24"/>
          <w:lang w:eastAsia="zh-CN"/>
          <w14:textFill>
            <w14:solidFill>
              <w14:schemeClr w14:val="tx1"/>
            </w14:solidFill>
          </w14:textFill>
        </w:rPr>
        <w:t>楼第</w:t>
      </w:r>
      <w:r>
        <w:rPr>
          <w:rFonts w:hint="eastAsia" w:ascii="宋体" w:hAnsi="宋体" w:cs="宋体"/>
          <w:color w:val="000000" w:themeColor="text1"/>
          <w:kern w:val="2"/>
          <w:sz w:val="24"/>
          <w:szCs w:val="24"/>
          <w:lang w:val="en-US" w:eastAsia="zh-CN"/>
          <w14:textFill>
            <w14:solidFill>
              <w14:schemeClr w14:val="tx1"/>
            </w14:solidFill>
          </w14:textFill>
        </w:rPr>
        <w:t>一</w:t>
      </w:r>
      <w:r>
        <w:rPr>
          <w:rFonts w:hint="eastAsia" w:ascii="宋体" w:hAnsi="宋体" w:cs="宋体"/>
          <w:color w:val="000000" w:themeColor="text1"/>
          <w:kern w:val="2"/>
          <w:sz w:val="24"/>
          <w:szCs w:val="24"/>
          <w:lang w:eastAsia="zh-CN"/>
          <w14:textFill>
            <w14:solidFill>
              <w14:schemeClr w14:val="tx1"/>
            </w14:solidFill>
          </w14:textFill>
        </w:rPr>
        <w:t>开标室；</w:t>
      </w:r>
    </w:p>
    <w:p w14:paraId="380C78B3">
      <w:pPr>
        <w:keepNext w:val="0"/>
        <w:keepLines w:val="0"/>
        <w:pageBreakBefore w:val="0"/>
        <w:widowControl/>
        <w:numPr>
          <w:ilvl w:val="0"/>
          <w:numId w:val="0"/>
        </w:numPr>
        <w:kinsoku/>
        <w:wordWrap w:val="0"/>
        <w:overflowPunct/>
        <w:topLinePunct w:val="0"/>
        <w:autoSpaceDE/>
        <w:autoSpaceDN/>
        <w:bidi w:val="0"/>
        <w:adjustRightInd/>
        <w:snapToGrid/>
        <w:spacing w:line="600" w:lineRule="exact"/>
        <w:ind w:firstLine="480" w:firstLineChars="200"/>
        <w:textAlignment w:val="auto"/>
        <w:rPr>
          <w:rFonts w:hint="eastAsia" w:ascii="宋体" w:hAnsi="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3、评标地点：卢氏县公共资源交易中心二楼</w:t>
      </w:r>
      <w:r>
        <w:rPr>
          <w:rFonts w:hint="eastAsia" w:ascii="宋体" w:hAnsi="宋体" w:cs="宋体"/>
          <w:color w:val="000000" w:themeColor="text1"/>
          <w:kern w:val="2"/>
          <w:sz w:val="24"/>
          <w:szCs w:val="24"/>
          <w:lang w:val="en-US" w:eastAsia="zh-CN"/>
          <w14:textFill>
            <w14:solidFill>
              <w14:schemeClr w14:val="tx1"/>
            </w14:solidFill>
          </w14:textFill>
        </w:rPr>
        <w:t>第二</w:t>
      </w:r>
      <w:r>
        <w:rPr>
          <w:rFonts w:hint="eastAsia" w:ascii="宋体" w:hAnsi="宋体" w:cs="宋体"/>
          <w:color w:val="000000" w:themeColor="text1"/>
          <w:kern w:val="2"/>
          <w:sz w:val="24"/>
          <w:szCs w:val="24"/>
          <w:lang w:eastAsia="zh-CN"/>
          <w14:textFill>
            <w14:solidFill>
              <w14:schemeClr w14:val="tx1"/>
            </w14:solidFill>
          </w14:textFill>
        </w:rPr>
        <w:t>电子评标室。</w:t>
      </w:r>
    </w:p>
    <w:p w14:paraId="275DA5C2">
      <w:pPr>
        <w:keepNext w:val="0"/>
        <w:keepLines w:val="0"/>
        <w:pageBreakBefore w:val="0"/>
        <w:widowControl/>
        <w:numPr>
          <w:ilvl w:val="0"/>
          <w:numId w:val="0"/>
        </w:numPr>
        <w:kinsoku/>
        <w:wordWrap w:val="0"/>
        <w:overflowPunct/>
        <w:topLinePunct w:val="0"/>
        <w:autoSpaceDE/>
        <w:autoSpaceDN/>
        <w:bidi w:val="0"/>
        <w:adjustRightInd/>
        <w:snapToGrid/>
        <w:spacing w:line="600" w:lineRule="exact"/>
        <w:ind w:firstLine="480" w:firstLineChars="200"/>
        <w:textAlignment w:val="auto"/>
        <w:rPr>
          <w:rFonts w:hint="eastAsia" w:ascii="宋体" w:hAnsi="宋体" w:cs="宋体"/>
          <w:color w:val="000000" w:themeColor="text1"/>
          <w:kern w:val="2"/>
          <w:sz w:val="24"/>
          <w:szCs w:val="24"/>
          <w:lang w:eastAsia="zh-CN"/>
          <w14:textFill>
            <w14:solidFill>
              <w14:schemeClr w14:val="tx1"/>
            </w14:solidFill>
          </w14:textFill>
        </w:rPr>
      </w:pPr>
      <w:bookmarkStart w:id="12" w:name="_Toc19627"/>
      <w:r>
        <w:rPr>
          <w:rFonts w:hint="eastAsia" w:ascii="宋体" w:hAnsi="宋体" w:cs="宋体"/>
          <w:color w:val="000000" w:themeColor="text1"/>
          <w:kern w:val="2"/>
          <w:sz w:val="24"/>
          <w:szCs w:val="24"/>
          <w:lang w:eastAsia="zh-CN"/>
          <w14:textFill>
            <w14:solidFill>
              <w14:schemeClr w14:val="tx1"/>
            </w14:solidFill>
          </w14:textFill>
        </w:rPr>
        <w:t>七、其他事项</w:t>
      </w:r>
      <w:bookmarkEnd w:id="12"/>
    </w:p>
    <w:p w14:paraId="16BF6ABE">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outlineLvl w:val="0"/>
        <w:rPr>
          <w:rFonts w:hint="eastAsia" w:ascii="宋体" w:hAnsi="宋体" w:cs="宋体"/>
          <w:color w:val="auto"/>
          <w:kern w:val="2"/>
          <w:sz w:val="24"/>
          <w:szCs w:val="24"/>
        </w:rPr>
      </w:pPr>
      <w:bookmarkStart w:id="13" w:name="_Toc31883"/>
      <w:r>
        <w:rPr>
          <w:rFonts w:hint="eastAsia" w:ascii="宋体" w:hAnsi="宋体" w:cs="宋体"/>
          <w:color w:val="000000" w:themeColor="text1"/>
          <w:kern w:val="2"/>
          <w:sz w:val="24"/>
          <w:szCs w:val="24"/>
          <w14:textFill>
            <w14:solidFill>
              <w14:schemeClr w14:val="tx1"/>
            </w14:solidFill>
          </w14:textFill>
        </w:rPr>
        <w:t>1、供应商应仔细阅读操作手册，在本公告中要求的截止时间前完成。并充</w:t>
      </w:r>
      <w:r>
        <w:rPr>
          <w:rFonts w:hint="eastAsia" w:ascii="宋体" w:hAnsi="宋体" w:cs="宋体"/>
          <w:color w:val="auto"/>
          <w:kern w:val="2"/>
          <w:sz w:val="24"/>
          <w:szCs w:val="24"/>
        </w:rPr>
        <w:t>分考虑人为操作等因素，因供应商操作不当等问题造成的无法报名、无法下载</w:t>
      </w:r>
      <w:r>
        <w:rPr>
          <w:rFonts w:hint="eastAsia" w:ascii="宋体" w:hAnsi="宋体" w:cs="宋体"/>
          <w:color w:val="auto"/>
          <w:kern w:val="2"/>
          <w:sz w:val="24"/>
          <w:szCs w:val="24"/>
          <w:lang w:eastAsia="zh-CN"/>
        </w:rPr>
        <w:t>磋商</w:t>
      </w:r>
      <w:r>
        <w:rPr>
          <w:rFonts w:hint="eastAsia" w:ascii="宋体" w:hAnsi="宋体" w:cs="宋体"/>
          <w:color w:val="auto"/>
          <w:kern w:val="2"/>
          <w:sz w:val="24"/>
          <w:szCs w:val="24"/>
        </w:rPr>
        <w:t>文件、无法</w:t>
      </w:r>
      <w:r>
        <w:rPr>
          <w:rFonts w:hint="eastAsia" w:ascii="宋体" w:hAnsi="宋体" w:cs="宋体"/>
          <w:color w:val="auto"/>
          <w:kern w:val="2"/>
          <w:sz w:val="24"/>
          <w:szCs w:val="24"/>
          <w:lang w:eastAsia="zh-CN"/>
        </w:rPr>
        <w:t>开</w:t>
      </w:r>
      <w:r>
        <w:rPr>
          <w:rFonts w:hint="eastAsia" w:ascii="宋体" w:hAnsi="宋体" w:cs="宋体"/>
          <w:color w:val="auto"/>
          <w:kern w:val="2"/>
          <w:sz w:val="24"/>
          <w:szCs w:val="24"/>
        </w:rPr>
        <w:t>标等一切后果，由供应商自行承担；</w:t>
      </w:r>
      <w:bookmarkEnd w:id="13"/>
    </w:p>
    <w:p w14:paraId="2260594F">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outlineLvl w:val="0"/>
        <w:rPr>
          <w:rFonts w:hint="eastAsia" w:ascii="宋体" w:hAnsi="宋体" w:cs="宋体"/>
          <w:color w:val="auto"/>
          <w:kern w:val="2"/>
          <w:sz w:val="24"/>
          <w:szCs w:val="24"/>
        </w:rPr>
      </w:pPr>
      <w:bookmarkStart w:id="14" w:name="_Toc28558"/>
      <w:r>
        <w:rPr>
          <w:rFonts w:hint="eastAsia" w:ascii="宋体" w:hAnsi="宋体" w:cs="宋体"/>
          <w:color w:val="auto"/>
          <w:kern w:val="2"/>
          <w:sz w:val="24"/>
          <w:szCs w:val="24"/>
        </w:rPr>
        <w:t>2、</w:t>
      </w:r>
      <w:r>
        <w:rPr>
          <w:rFonts w:hint="eastAsia" w:ascii="宋体" w:hAnsi="宋体" w:cs="宋体"/>
          <w:color w:val="auto"/>
          <w:kern w:val="2"/>
          <w:sz w:val="24"/>
          <w:szCs w:val="24"/>
          <w:lang w:eastAsia="zh-CN"/>
        </w:rPr>
        <w:t>开</w:t>
      </w:r>
      <w:r>
        <w:rPr>
          <w:rFonts w:hint="eastAsia" w:ascii="宋体" w:hAnsi="宋体" w:cs="宋体"/>
          <w:color w:val="auto"/>
          <w:kern w:val="2"/>
          <w:sz w:val="24"/>
          <w:szCs w:val="24"/>
        </w:rPr>
        <w:t>标所发生一切费用由各</w:t>
      </w:r>
      <w:r>
        <w:rPr>
          <w:rFonts w:hint="eastAsia" w:ascii="宋体" w:hAnsi="宋体" w:cs="宋体"/>
          <w:color w:val="auto"/>
          <w:kern w:val="2"/>
          <w:sz w:val="24"/>
          <w:szCs w:val="24"/>
          <w:lang w:eastAsia="zh-CN"/>
        </w:rPr>
        <w:t>供应商</w:t>
      </w:r>
      <w:r>
        <w:rPr>
          <w:rFonts w:hint="eastAsia" w:ascii="宋体" w:hAnsi="宋体" w:cs="宋体"/>
          <w:color w:val="auto"/>
          <w:kern w:val="2"/>
          <w:sz w:val="24"/>
          <w:szCs w:val="24"/>
        </w:rPr>
        <w:t>自行承担，并承担相应的风险和责任；</w:t>
      </w:r>
      <w:bookmarkEnd w:id="14"/>
    </w:p>
    <w:p w14:paraId="3510B8E0">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outlineLvl w:val="0"/>
        <w:rPr>
          <w:rFonts w:hint="eastAsia" w:ascii="宋体" w:hAnsi="宋体" w:cs="宋体"/>
          <w:color w:val="auto"/>
          <w:kern w:val="2"/>
          <w:sz w:val="24"/>
          <w:szCs w:val="24"/>
        </w:rPr>
      </w:pPr>
      <w:bookmarkStart w:id="15" w:name="_Toc2594"/>
      <w:r>
        <w:rPr>
          <w:rFonts w:hint="eastAsia" w:ascii="宋体" w:hAnsi="宋体" w:cs="宋体"/>
          <w:color w:val="auto"/>
          <w:kern w:val="2"/>
          <w:sz w:val="24"/>
          <w:szCs w:val="24"/>
        </w:rPr>
        <w:t>3、供应商递交的</w:t>
      </w:r>
      <w:r>
        <w:rPr>
          <w:rFonts w:hint="eastAsia" w:ascii="宋体" w:hAnsi="宋体" w:cs="宋体"/>
          <w:color w:val="auto"/>
          <w:kern w:val="2"/>
          <w:sz w:val="24"/>
          <w:szCs w:val="24"/>
          <w:lang w:eastAsia="zh-CN"/>
        </w:rPr>
        <w:t>响应</w:t>
      </w:r>
      <w:r>
        <w:rPr>
          <w:rFonts w:hint="eastAsia" w:ascii="宋体" w:hAnsi="宋体" w:cs="宋体"/>
          <w:color w:val="auto"/>
          <w:kern w:val="2"/>
          <w:sz w:val="24"/>
          <w:szCs w:val="24"/>
        </w:rPr>
        <w:t>文件不论中标与否均不予退还。</w:t>
      </w:r>
      <w:bookmarkEnd w:id="15"/>
    </w:p>
    <w:p w14:paraId="40211B38">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outlineLvl w:val="0"/>
        <w:rPr>
          <w:rFonts w:hint="eastAsia" w:ascii="宋体" w:hAnsi="宋体" w:cs="宋体"/>
          <w:color w:val="auto"/>
          <w:kern w:val="2"/>
          <w:sz w:val="24"/>
          <w:szCs w:val="24"/>
        </w:rPr>
      </w:pPr>
      <w:bookmarkStart w:id="16" w:name="_Toc25729"/>
      <w:r>
        <w:rPr>
          <w:rFonts w:hint="eastAsia" w:ascii="宋体" w:hAnsi="宋体" w:cs="宋体"/>
          <w:color w:val="auto"/>
          <w:kern w:val="2"/>
          <w:sz w:val="24"/>
          <w:szCs w:val="24"/>
        </w:rPr>
        <w:t>温馨提示：本项目为电子化、无纸化交易项目，开标时不再接受任何纸质资料，为保证您能</w:t>
      </w:r>
      <w:r>
        <w:rPr>
          <w:rFonts w:hint="eastAsia" w:ascii="宋体" w:hAnsi="宋体" w:cs="宋体"/>
          <w:color w:val="auto"/>
          <w:kern w:val="2"/>
          <w:sz w:val="24"/>
          <w:szCs w:val="24"/>
          <w:lang w:eastAsia="zh-CN"/>
        </w:rPr>
        <w:t>开</w:t>
      </w:r>
      <w:r>
        <w:rPr>
          <w:rFonts w:hint="eastAsia" w:ascii="宋体" w:hAnsi="宋体" w:cs="宋体"/>
          <w:color w:val="auto"/>
          <w:kern w:val="2"/>
          <w:sz w:val="24"/>
          <w:szCs w:val="24"/>
        </w:rPr>
        <w:t>标成功，请需仔细阅读</w:t>
      </w:r>
      <w:r>
        <w:rPr>
          <w:rFonts w:hint="eastAsia" w:ascii="宋体" w:hAnsi="宋体" w:cs="宋体"/>
          <w:color w:val="auto"/>
          <w:kern w:val="2"/>
          <w:sz w:val="24"/>
          <w:szCs w:val="24"/>
          <w:lang w:eastAsia="zh-CN"/>
        </w:rPr>
        <w:t>磋商</w:t>
      </w:r>
      <w:r>
        <w:rPr>
          <w:rFonts w:hint="eastAsia" w:ascii="宋体" w:hAnsi="宋体" w:cs="宋体"/>
          <w:color w:val="auto"/>
          <w:kern w:val="2"/>
          <w:sz w:val="24"/>
          <w:szCs w:val="24"/>
        </w:rPr>
        <w:t>文件和三门峡市公共资源交易中心官网业务办理指南。</w:t>
      </w:r>
      <w:bookmarkEnd w:id="16"/>
    </w:p>
    <w:p w14:paraId="64CC23AE">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outlineLvl w:val="0"/>
        <w:rPr>
          <w:rFonts w:ascii="宋体" w:hAnsi="宋体" w:cs="宋体"/>
          <w:color w:val="auto"/>
          <w:kern w:val="2"/>
          <w:sz w:val="24"/>
          <w:szCs w:val="24"/>
        </w:rPr>
      </w:pPr>
      <w:bookmarkStart w:id="17" w:name="_Toc2116"/>
      <w:r>
        <w:rPr>
          <w:rFonts w:hint="eastAsia" w:ascii="宋体" w:hAnsi="宋体" w:cs="宋体"/>
          <w:color w:val="auto"/>
          <w:kern w:val="2"/>
          <w:sz w:val="24"/>
          <w:szCs w:val="24"/>
        </w:rPr>
        <w:t>八、发布公告的媒介</w:t>
      </w:r>
      <w:bookmarkEnd w:id="17"/>
    </w:p>
    <w:p w14:paraId="52C43519">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本次磋商公告同时在《中国招标投标公共服务平台》、《河南省政府采购网》、《三门峡市公共资源交易中心网》上发布。</w:t>
      </w:r>
    </w:p>
    <w:p w14:paraId="5476527F">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九、联系方式</w:t>
      </w:r>
    </w:p>
    <w:p w14:paraId="739F1EAB">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lang w:eastAsia="en-US"/>
        </w:rPr>
      </w:pPr>
      <w:r>
        <w:rPr>
          <w:rFonts w:hint="eastAsia" w:ascii="宋体" w:hAnsi="宋体" w:eastAsia="宋体" w:cs="宋体"/>
          <w:color w:val="auto"/>
          <w:kern w:val="2"/>
          <w:sz w:val="24"/>
          <w:szCs w:val="24"/>
          <w:lang w:eastAsia="en-US"/>
        </w:rPr>
        <w:t>监督单位：卢氏县政府采购办公室</w:t>
      </w:r>
    </w:p>
    <w:p w14:paraId="4BAB5871">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lang w:eastAsia="en-US"/>
        </w:rPr>
      </w:pPr>
      <w:r>
        <w:rPr>
          <w:rFonts w:hint="eastAsia" w:ascii="宋体" w:hAnsi="宋体" w:eastAsia="宋体" w:cs="宋体"/>
          <w:color w:val="auto"/>
          <w:kern w:val="2"/>
          <w:sz w:val="24"/>
          <w:szCs w:val="24"/>
          <w:lang w:val="en-US" w:eastAsia="en-US"/>
        </w:rPr>
        <w:t>联系人：郭伟静</w:t>
      </w:r>
    </w:p>
    <w:p w14:paraId="2917650D">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lang w:eastAsia="en-US"/>
        </w:rPr>
      </w:pPr>
      <w:r>
        <w:rPr>
          <w:rFonts w:hint="eastAsia" w:ascii="宋体" w:hAnsi="宋体" w:eastAsia="宋体" w:cs="宋体"/>
          <w:color w:val="auto"/>
          <w:kern w:val="2"/>
          <w:sz w:val="24"/>
          <w:szCs w:val="24"/>
          <w:lang w:eastAsia="en-US"/>
        </w:rPr>
        <w:t>电话：0398-7863556</w:t>
      </w:r>
    </w:p>
    <w:p w14:paraId="286C0F2B">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lang w:eastAsia="en-US"/>
        </w:rPr>
      </w:pPr>
      <w:r>
        <w:rPr>
          <w:rFonts w:hint="eastAsia" w:ascii="宋体" w:hAnsi="宋体" w:eastAsia="宋体" w:cs="宋体"/>
          <w:color w:val="auto"/>
          <w:kern w:val="2"/>
          <w:sz w:val="24"/>
          <w:szCs w:val="24"/>
          <w:lang w:eastAsia="en-US"/>
        </w:rPr>
        <w:t>地址：卢氏县城关镇解放路中段</w:t>
      </w:r>
    </w:p>
    <w:p w14:paraId="15EA7043">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en-US"/>
          <w14:textFill>
            <w14:solidFill>
              <w14:schemeClr w14:val="tx1"/>
            </w14:solidFill>
          </w14:textFill>
        </w:rPr>
        <w:t>监督单位：</w:t>
      </w:r>
      <w:r>
        <w:rPr>
          <w:rFonts w:hint="eastAsia" w:ascii="宋体" w:hAnsi="宋体" w:cs="宋体"/>
          <w:color w:val="000000" w:themeColor="text1"/>
          <w:kern w:val="2"/>
          <w:sz w:val="24"/>
          <w:szCs w:val="24"/>
          <w:lang w:eastAsia="zh-CN"/>
          <w14:textFill>
            <w14:solidFill>
              <w14:schemeClr w14:val="tx1"/>
            </w14:solidFill>
          </w14:textFill>
        </w:rPr>
        <w:t>卢氏县应急管理局</w:t>
      </w: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14:paraId="1B853FDF">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en-US"/>
          <w14:textFill>
            <w14:solidFill>
              <w14:schemeClr w14:val="tx1"/>
            </w14:solidFill>
          </w14:textFill>
        </w:rPr>
        <w:t>联系人：</w:t>
      </w:r>
      <w:r>
        <w:rPr>
          <w:rFonts w:hint="eastAsia" w:ascii="宋体" w:hAnsi="宋体" w:cs="宋体"/>
          <w:color w:val="000000" w:themeColor="text1"/>
          <w:kern w:val="2"/>
          <w:sz w:val="24"/>
          <w:szCs w:val="24"/>
          <w:lang w:val="en-US" w:eastAsia="zh-CN"/>
          <w14:textFill>
            <w14:solidFill>
              <w14:schemeClr w14:val="tx1"/>
            </w14:solidFill>
          </w14:textFill>
        </w:rPr>
        <w:t>孙兵</w:t>
      </w: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w:t>
      </w:r>
    </w:p>
    <w:p w14:paraId="042565B0">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eastAsia="en-US"/>
          <w14:textFill>
            <w14:solidFill>
              <w14:schemeClr w14:val="tx1"/>
            </w14:solidFill>
          </w14:textFill>
        </w:rPr>
        <w:t>电话：</w:t>
      </w:r>
      <w:r>
        <w:rPr>
          <w:rFonts w:hint="eastAsia" w:ascii="宋体" w:hAnsi="宋体" w:cs="宋体"/>
          <w:color w:val="000000" w:themeColor="text1"/>
          <w:kern w:val="2"/>
          <w:sz w:val="24"/>
          <w:szCs w:val="24"/>
          <w:lang w:eastAsia="zh-CN"/>
          <w14:textFill>
            <w14:solidFill>
              <w14:schemeClr w14:val="tx1"/>
            </w14:solidFill>
          </w14:textFill>
        </w:rPr>
        <w:t>131</w:t>
      </w:r>
      <w:r>
        <w:rPr>
          <w:rFonts w:hint="eastAsia" w:ascii="宋体" w:hAnsi="宋体" w:cs="宋体"/>
          <w:color w:val="000000" w:themeColor="text1"/>
          <w:kern w:val="2"/>
          <w:sz w:val="24"/>
          <w:szCs w:val="24"/>
          <w:lang w:val="en-US" w:eastAsia="zh-CN"/>
          <w14:textFill>
            <w14:solidFill>
              <w14:schemeClr w14:val="tx1"/>
            </w14:solidFill>
          </w14:textFill>
        </w:rPr>
        <w:t>93966122</w:t>
      </w:r>
    </w:p>
    <w:p w14:paraId="64A9E724">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FF"/>
          <w:kern w:val="2"/>
          <w:sz w:val="24"/>
          <w:szCs w:val="24"/>
          <w:lang w:eastAsia="en-US"/>
        </w:rPr>
      </w:pPr>
      <w:r>
        <w:rPr>
          <w:rFonts w:hint="eastAsia" w:ascii="宋体" w:hAnsi="宋体" w:eastAsia="宋体" w:cs="宋体"/>
          <w:color w:val="000000" w:themeColor="text1"/>
          <w:kern w:val="2"/>
          <w:sz w:val="24"/>
          <w:szCs w:val="24"/>
          <w:lang w:eastAsia="en-US"/>
          <w14:textFill>
            <w14:solidFill>
              <w14:schemeClr w14:val="tx1"/>
            </w14:solidFill>
          </w14:textFill>
        </w:rPr>
        <w:t>地址：</w:t>
      </w:r>
      <w:r>
        <w:rPr>
          <w:rFonts w:hint="eastAsia" w:ascii="宋体" w:hAnsi="宋体" w:cs="宋体"/>
          <w:color w:val="000000" w:themeColor="text1"/>
          <w:kern w:val="2"/>
          <w:sz w:val="24"/>
          <w:szCs w:val="24"/>
          <w:lang w:eastAsia="zh-CN"/>
          <w14:textFill>
            <w14:solidFill>
              <w14:schemeClr w14:val="tx1"/>
            </w14:solidFill>
          </w14:textFill>
        </w:rPr>
        <w:t>卢氏县G209与兴贤</w:t>
      </w:r>
      <w:r>
        <w:rPr>
          <w:rFonts w:hint="eastAsia" w:ascii="宋体" w:hAnsi="宋体" w:cs="宋体"/>
          <w:color w:val="auto"/>
          <w:kern w:val="2"/>
          <w:sz w:val="24"/>
          <w:szCs w:val="24"/>
          <w:lang w:eastAsia="zh-CN"/>
        </w:rPr>
        <w:t>路交叉口</w:t>
      </w:r>
    </w:p>
    <w:p w14:paraId="0ADDD1DC">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en-US"/>
        </w:rPr>
        <w:t>采购人：</w:t>
      </w:r>
      <w:r>
        <w:rPr>
          <w:rFonts w:hint="eastAsia" w:ascii="宋体" w:hAnsi="宋体" w:cs="宋体"/>
          <w:color w:val="auto"/>
          <w:kern w:val="2"/>
          <w:sz w:val="24"/>
          <w:szCs w:val="24"/>
          <w:lang w:eastAsia="zh-CN"/>
        </w:rPr>
        <w:t>卢氏县应急管理局</w:t>
      </w:r>
      <w:r>
        <w:rPr>
          <w:rFonts w:hint="eastAsia" w:ascii="宋体" w:hAnsi="宋体" w:eastAsia="宋体" w:cs="宋体"/>
          <w:color w:val="auto"/>
          <w:kern w:val="2"/>
          <w:sz w:val="24"/>
          <w:szCs w:val="24"/>
          <w:lang w:eastAsia="zh-CN"/>
        </w:rPr>
        <w:t xml:space="preserve"> </w:t>
      </w:r>
    </w:p>
    <w:p w14:paraId="1F02AD5A">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en-US"/>
        </w:rPr>
        <w:t>联系人：</w:t>
      </w:r>
      <w:r>
        <w:rPr>
          <w:rFonts w:hint="eastAsia" w:ascii="宋体" w:hAnsi="宋体" w:cs="宋体"/>
          <w:color w:val="auto"/>
          <w:kern w:val="2"/>
          <w:sz w:val="24"/>
          <w:szCs w:val="24"/>
          <w:lang w:val="en-US" w:eastAsia="zh-CN"/>
        </w:rPr>
        <w:t>揣浩彦</w:t>
      </w:r>
      <w:r>
        <w:rPr>
          <w:rFonts w:hint="eastAsia" w:ascii="宋体" w:hAnsi="宋体" w:eastAsia="宋体" w:cs="宋体"/>
          <w:color w:val="auto"/>
          <w:kern w:val="2"/>
          <w:sz w:val="24"/>
          <w:szCs w:val="24"/>
          <w:lang w:val="en-US" w:eastAsia="zh-CN"/>
        </w:rPr>
        <w:t xml:space="preserve"> </w:t>
      </w:r>
    </w:p>
    <w:p w14:paraId="5C844D46">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FF"/>
          <w:kern w:val="2"/>
          <w:sz w:val="24"/>
          <w:szCs w:val="24"/>
          <w:lang w:val="en-US" w:eastAsia="zh-CN"/>
        </w:rPr>
      </w:pPr>
      <w:r>
        <w:rPr>
          <w:rFonts w:hint="eastAsia" w:ascii="宋体" w:hAnsi="宋体" w:eastAsia="宋体" w:cs="宋体"/>
          <w:color w:val="auto"/>
          <w:kern w:val="2"/>
          <w:sz w:val="24"/>
          <w:szCs w:val="24"/>
          <w:lang w:eastAsia="en-US"/>
        </w:rPr>
        <w:t>电话：</w:t>
      </w:r>
      <w:r>
        <w:rPr>
          <w:rFonts w:hint="eastAsia" w:ascii="宋体" w:hAnsi="宋体" w:cs="宋体"/>
          <w:color w:val="auto"/>
          <w:kern w:val="2"/>
          <w:sz w:val="24"/>
          <w:szCs w:val="24"/>
          <w:lang w:eastAsia="zh-CN"/>
        </w:rPr>
        <w:t>13137988960</w:t>
      </w:r>
    </w:p>
    <w:p w14:paraId="282B217A">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en-US"/>
        </w:rPr>
        <w:t>地址：</w:t>
      </w:r>
      <w:r>
        <w:rPr>
          <w:rFonts w:hint="eastAsia" w:ascii="宋体" w:hAnsi="宋体" w:cs="宋体"/>
          <w:color w:val="auto"/>
          <w:kern w:val="2"/>
          <w:sz w:val="24"/>
          <w:szCs w:val="24"/>
          <w:lang w:eastAsia="zh-CN"/>
        </w:rPr>
        <w:t>卢氏县G209与兴贤路交叉口</w:t>
      </w:r>
      <w:r>
        <w:rPr>
          <w:rFonts w:hint="eastAsia" w:ascii="宋体" w:hAnsi="宋体" w:eastAsia="宋体" w:cs="宋体"/>
          <w:color w:val="auto"/>
          <w:kern w:val="2"/>
          <w:sz w:val="24"/>
          <w:szCs w:val="24"/>
          <w:lang w:val="en-US" w:eastAsia="zh-CN"/>
        </w:rPr>
        <w:t xml:space="preserve"> </w:t>
      </w:r>
    </w:p>
    <w:p w14:paraId="4735A6C7">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en-US"/>
        </w:rPr>
        <w:t>代理机构：</w:t>
      </w:r>
      <w:r>
        <w:rPr>
          <w:rFonts w:hint="eastAsia" w:ascii="宋体" w:hAnsi="宋体" w:cs="宋体"/>
          <w:color w:val="auto"/>
          <w:kern w:val="2"/>
          <w:sz w:val="24"/>
          <w:szCs w:val="24"/>
          <w:lang w:eastAsia="zh-CN"/>
        </w:rPr>
        <w:t>中瑞建园工程管理有限公司</w:t>
      </w:r>
    </w:p>
    <w:p w14:paraId="303720E3">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en-US"/>
        </w:rPr>
        <w:t>联系人</w:t>
      </w:r>
      <w:r>
        <w:rPr>
          <w:rFonts w:hint="eastAsia" w:ascii="宋体" w:hAnsi="宋体" w:eastAsia="宋体" w:cs="宋体"/>
          <w:color w:val="auto"/>
          <w:kern w:val="2"/>
          <w:sz w:val="24"/>
          <w:szCs w:val="24"/>
          <w:lang w:eastAsia="zh-CN"/>
        </w:rPr>
        <w:t>：</w:t>
      </w:r>
      <w:r>
        <w:rPr>
          <w:rFonts w:hint="eastAsia" w:ascii="宋体" w:hAnsi="宋体" w:cs="宋体"/>
          <w:color w:val="auto"/>
          <w:kern w:val="2"/>
          <w:sz w:val="24"/>
          <w:szCs w:val="24"/>
          <w:lang w:val="en-US" w:eastAsia="zh-CN"/>
        </w:rPr>
        <w:t>赵敏</w:t>
      </w:r>
    </w:p>
    <w:p w14:paraId="3103F1CD">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lang w:eastAsia="en-US"/>
        </w:rPr>
      </w:pPr>
      <w:r>
        <w:rPr>
          <w:rFonts w:hint="eastAsia" w:ascii="宋体" w:hAnsi="宋体" w:eastAsia="宋体" w:cs="宋体"/>
          <w:color w:val="auto"/>
          <w:kern w:val="2"/>
          <w:sz w:val="24"/>
          <w:szCs w:val="24"/>
          <w:lang w:eastAsia="en-US"/>
        </w:rPr>
        <w:t>电话：</w:t>
      </w:r>
      <w:r>
        <w:rPr>
          <w:rFonts w:hint="eastAsia" w:ascii="宋体" w:hAnsi="宋体" w:cs="宋体"/>
          <w:sz w:val="24"/>
          <w:lang w:eastAsia="zh-CN"/>
        </w:rPr>
        <w:t>13193973900</w:t>
      </w:r>
      <w:r>
        <w:rPr>
          <w:rFonts w:hint="eastAsia" w:ascii="宋体" w:hAnsi="宋体" w:cs="宋体"/>
          <w:sz w:val="24"/>
        </w:rPr>
        <w:t>、15139855300</w:t>
      </w:r>
    </w:p>
    <w:p w14:paraId="5CBB220C">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黑体" w:cs="宋体"/>
          <w:b/>
          <w:color w:val="auto"/>
          <w:kern w:val="2"/>
          <w:sz w:val="24"/>
          <w:szCs w:val="24"/>
        </w:rPr>
      </w:pPr>
      <w:r>
        <w:rPr>
          <w:rFonts w:hint="eastAsia" w:ascii="宋体" w:hAnsi="宋体" w:eastAsia="宋体" w:cs="宋体"/>
          <w:color w:val="auto"/>
          <w:kern w:val="2"/>
          <w:sz w:val="24"/>
          <w:szCs w:val="24"/>
          <w:lang w:eastAsia="en-US"/>
        </w:rPr>
        <w:t>地址：</w:t>
      </w:r>
      <w:r>
        <w:rPr>
          <w:rFonts w:hint="eastAsia" w:ascii="宋体" w:hAnsi="宋体" w:cs="宋体"/>
          <w:color w:val="auto"/>
          <w:kern w:val="2"/>
          <w:sz w:val="24"/>
          <w:szCs w:val="24"/>
          <w:lang w:eastAsia="zh-CN"/>
        </w:rPr>
        <w:t>河南自贸试验区郑州片区（郑东）金水东路80号绿地新都会8号楼901号</w:t>
      </w:r>
    </w:p>
    <w:p w14:paraId="6C15C545">
      <w:pPr>
        <w:keepNext/>
        <w:widowControl w:val="0"/>
        <w:spacing w:before="100" w:beforeAutospacing="1" w:after="100" w:afterAutospacing="1" w:line="360" w:lineRule="auto"/>
        <w:jc w:val="center"/>
        <w:outlineLvl w:val="9"/>
        <w:rPr>
          <w:rFonts w:hint="eastAsia" w:ascii="黑体" w:cs="宋体"/>
          <w:b/>
          <w:color w:val="auto"/>
          <w:kern w:val="2"/>
          <w:sz w:val="24"/>
          <w:szCs w:val="24"/>
        </w:rPr>
      </w:pPr>
    </w:p>
    <w:p w14:paraId="6732C904">
      <w:pPr>
        <w:keepNext/>
        <w:widowControl w:val="0"/>
        <w:spacing w:before="100" w:beforeAutospacing="1" w:after="100" w:afterAutospacing="1" w:line="360" w:lineRule="auto"/>
        <w:jc w:val="center"/>
        <w:outlineLvl w:val="9"/>
        <w:rPr>
          <w:rFonts w:hint="eastAsia" w:ascii="黑体" w:cs="宋体"/>
          <w:b/>
          <w:color w:val="auto"/>
          <w:kern w:val="2"/>
          <w:sz w:val="24"/>
          <w:szCs w:val="24"/>
        </w:rPr>
      </w:pPr>
    </w:p>
    <w:p w14:paraId="6FDAF93B">
      <w:pPr>
        <w:keepNext/>
        <w:widowControl w:val="0"/>
        <w:spacing w:before="100" w:beforeAutospacing="1" w:after="100" w:afterAutospacing="1" w:line="360" w:lineRule="auto"/>
        <w:jc w:val="both"/>
        <w:outlineLvl w:val="9"/>
        <w:rPr>
          <w:rFonts w:hint="eastAsia" w:ascii="黑体" w:cs="宋体"/>
          <w:b/>
          <w:color w:val="auto"/>
          <w:kern w:val="2"/>
          <w:sz w:val="24"/>
          <w:szCs w:val="24"/>
        </w:rPr>
      </w:pPr>
    </w:p>
    <w:p w14:paraId="3ED277FE">
      <w:pPr>
        <w:pStyle w:val="2"/>
        <w:rPr>
          <w:rFonts w:hint="eastAsia"/>
          <w:color w:val="auto"/>
        </w:rPr>
      </w:pPr>
    </w:p>
    <w:p w14:paraId="1E729C79">
      <w:r>
        <w:br w:type="page"/>
      </w:r>
    </w:p>
    <w:p w14:paraId="22C0EAD5">
      <w:pPr>
        <w:keepNext/>
        <w:widowControl w:val="0"/>
        <w:spacing w:before="100" w:beforeAutospacing="1" w:after="100" w:afterAutospacing="1" w:line="360" w:lineRule="auto"/>
        <w:jc w:val="center"/>
        <w:outlineLvl w:val="0"/>
        <w:rPr>
          <w:rFonts w:ascii="黑体" w:cs="黑体"/>
          <w:b/>
          <w:color w:val="auto"/>
          <w:sz w:val="24"/>
          <w:szCs w:val="24"/>
        </w:rPr>
      </w:pPr>
      <w:bookmarkStart w:id="18" w:name="_Toc21927"/>
      <w:r>
        <w:rPr>
          <w:rFonts w:hint="eastAsia" w:ascii="黑体" w:cs="宋体"/>
          <w:b/>
          <w:color w:val="auto"/>
          <w:kern w:val="2"/>
          <w:sz w:val="24"/>
          <w:szCs w:val="24"/>
        </w:rPr>
        <w:t>第二章</w:t>
      </w:r>
      <w:r>
        <w:rPr>
          <w:rFonts w:hint="eastAsia" w:ascii="黑体" w:cs="黑体"/>
          <w:b/>
          <w:color w:val="auto"/>
          <w:kern w:val="2"/>
          <w:sz w:val="24"/>
          <w:szCs w:val="24"/>
        </w:rPr>
        <w:t xml:space="preserve">    </w:t>
      </w:r>
      <w:r>
        <w:rPr>
          <w:rFonts w:hint="eastAsia" w:ascii="黑体" w:cs="宋体"/>
          <w:b/>
          <w:color w:val="auto"/>
          <w:kern w:val="2"/>
          <w:sz w:val="24"/>
          <w:szCs w:val="24"/>
        </w:rPr>
        <w:t>供应商须知</w:t>
      </w:r>
      <w:bookmarkEnd w:id="18"/>
    </w:p>
    <w:p w14:paraId="2B936044">
      <w:pPr>
        <w:keepNext/>
        <w:keepLines/>
        <w:widowControl w:val="0"/>
        <w:spacing w:before="20" w:after="20" w:line="360" w:lineRule="auto"/>
        <w:jc w:val="center"/>
        <w:outlineLvl w:val="1"/>
        <w:rPr>
          <w:rFonts w:ascii="宋体" w:hAnsi="宋体"/>
          <w:b/>
          <w:color w:val="auto"/>
          <w:sz w:val="24"/>
          <w:szCs w:val="24"/>
        </w:rPr>
      </w:pPr>
      <w:bookmarkStart w:id="19" w:name="_Toc461977413"/>
      <w:bookmarkEnd w:id="19"/>
      <w:r>
        <w:rPr>
          <w:rFonts w:hint="eastAsia" w:ascii="宋体" w:hAnsi="宋体" w:cs="宋体"/>
          <w:b/>
          <w:color w:val="auto"/>
          <w:kern w:val="2"/>
          <w:sz w:val="24"/>
          <w:szCs w:val="24"/>
        </w:rPr>
        <w:t>供应商须知前附表</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3"/>
        <w:gridCol w:w="1695"/>
        <w:gridCol w:w="7018"/>
      </w:tblGrid>
      <w:tr w14:paraId="1F9F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7" w:hRule="atLeast"/>
          <w:jc w:val="center"/>
        </w:trPr>
        <w:tc>
          <w:tcPr>
            <w:tcW w:w="773" w:type="dxa"/>
            <w:tcBorders>
              <w:top w:val="single" w:color="auto" w:sz="12" w:space="0"/>
              <w:left w:val="single" w:color="auto" w:sz="12" w:space="0"/>
              <w:bottom w:val="single" w:color="auto" w:sz="6" w:space="0"/>
              <w:right w:val="single" w:color="auto" w:sz="6" w:space="0"/>
            </w:tcBorders>
            <w:noWrap w:val="0"/>
            <w:vAlign w:val="center"/>
          </w:tcPr>
          <w:p w14:paraId="3E0168F0">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spacing w:val="6"/>
                <w:kern w:val="2"/>
                <w:sz w:val="24"/>
                <w:szCs w:val="24"/>
              </w:rPr>
            </w:pPr>
            <w:r>
              <w:rPr>
                <w:rFonts w:ascii="宋体" w:hAnsi="宋体" w:cs="宋体"/>
                <w:color w:val="auto"/>
                <w:spacing w:val="6"/>
                <w:kern w:val="2"/>
                <w:sz w:val="24"/>
                <w:szCs w:val="24"/>
              </w:rPr>
              <w:t>条款</w:t>
            </w:r>
          </w:p>
        </w:tc>
        <w:tc>
          <w:tcPr>
            <w:tcW w:w="1695" w:type="dxa"/>
            <w:tcBorders>
              <w:top w:val="single" w:color="auto" w:sz="12" w:space="0"/>
              <w:left w:val="single" w:color="auto" w:sz="6" w:space="0"/>
              <w:bottom w:val="single" w:color="auto" w:sz="6" w:space="0"/>
              <w:right w:val="single" w:color="auto" w:sz="6" w:space="0"/>
            </w:tcBorders>
            <w:noWrap w:val="0"/>
            <w:vAlign w:val="center"/>
          </w:tcPr>
          <w:p w14:paraId="58598DB1">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spacing w:val="6"/>
                <w:kern w:val="2"/>
                <w:sz w:val="24"/>
                <w:szCs w:val="24"/>
              </w:rPr>
            </w:pPr>
            <w:r>
              <w:rPr>
                <w:rFonts w:ascii="宋体" w:hAnsi="宋体" w:cs="宋体"/>
                <w:color w:val="auto"/>
                <w:spacing w:val="6"/>
                <w:kern w:val="2"/>
                <w:sz w:val="24"/>
                <w:szCs w:val="24"/>
              </w:rPr>
              <w:t>条款号</w:t>
            </w:r>
          </w:p>
        </w:tc>
        <w:tc>
          <w:tcPr>
            <w:tcW w:w="7018" w:type="dxa"/>
            <w:tcBorders>
              <w:top w:val="single" w:color="auto" w:sz="12" w:space="0"/>
              <w:left w:val="single" w:color="auto" w:sz="6" w:space="0"/>
              <w:bottom w:val="single" w:color="auto" w:sz="6" w:space="0"/>
              <w:right w:val="single" w:color="auto" w:sz="12" w:space="0"/>
            </w:tcBorders>
            <w:noWrap w:val="0"/>
            <w:vAlign w:val="center"/>
          </w:tcPr>
          <w:p w14:paraId="07B6A6B2">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spacing w:val="6"/>
                <w:kern w:val="2"/>
                <w:sz w:val="24"/>
                <w:szCs w:val="24"/>
              </w:rPr>
            </w:pPr>
            <w:r>
              <w:rPr>
                <w:rFonts w:ascii="宋体" w:hAnsi="宋体" w:cs="宋体"/>
                <w:color w:val="auto"/>
                <w:spacing w:val="6"/>
                <w:kern w:val="2"/>
                <w:sz w:val="24"/>
                <w:szCs w:val="24"/>
              </w:rPr>
              <w:t>编列内容</w:t>
            </w:r>
          </w:p>
        </w:tc>
      </w:tr>
      <w:tr w14:paraId="0A1B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40B0D1F7">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1</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6435441">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采购人</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19B57D5">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hint="eastAsia" w:ascii="宋体" w:hAnsi="宋体" w:cs="宋体"/>
                <w:color w:val="auto"/>
                <w:spacing w:val="6"/>
                <w:kern w:val="2"/>
                <w:sz w:val="24"/>
                <w:szCs w:val="24"/>
              </w:rPr>
            </w:pPr>
            <w:r>
              <w:rPr>
                <w:rFonts w:hint="eastAsia" w:ascii="宋体" w:hAnsi="宋体" w:cs="宋体"/>
                <w:color w:val="auto"/>
                <w:spacing w:val="6"/>
                <w:kern w:val="2"/>
                <w:sz w:val="24"/>
                <w:szCs w:val="24"/>
              </w:rPr>
              <w:t>采购人：</w:t>
            </w:r>
            <w:r>
              <w:rPr>
                <w:rFonts w:hint="eastAsia" w:ascii="宋体" w:hAnsi="宋体" w:cs="宋体"/>
                <w:color w:val="auto"/>
                <w:spacing w:val="6"/>
                <w:kern w:val="2"/>
                <w:sz w:val="24"/>
                <w:szCs w:val="24"/>
                <w:lang w:eastAsia="zh-CN"/>
              </w:rPr>
              <w:t>卢氏县应急管理局</w:t>
            </w:r>
            <w:r>
              <w:rPr>
                <w:rFonts w:hint="eastAsia" w:ascii="宋体" w:hAnsi="宋体" w:cs="宋体"/>
                <w:color w:val="auto"/>
                <w:spacing w:val="6"/>
                <w:kern w:val="2"/>
                <w:sz w:val="24"/>
                <w:szCs w:val="24"/>
              </w:rPr>
              <w:t xml:space="preserve"> </w:t>
            </w:r>
          </w:p>
          <w:p w14:paraId="0715AB8F">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hint="eastAsia" w:ascii="宋体" w:hAnsi="宋体" w:cs="宋体"/>
                <w:color w:val="auto"/>
                <w:spacing w:val="6"/>
                <w:kern w:val="2"/>
                <w:sz w:val="24"/>
                <w:szCs w:val="24"/>
              </w:rPr>
            </w:pPr>
            <w:r>
              <w:rPr>
                <w:rFonts w:hint="eastAsia" w:ascii="宋体" w:hAnsi="宋体" w:cs="宋体"/>
                <w:color w:val="auto"/>
                <w:spacing w:val="6"/>
                <w:kern w:val="2"/>
                <w:sz w:val="24"/>
                <w:szCs w:val="24"/>
              </w:rPr>
              <w:t>联系人：</w:t>
            </w:r>
            <w:r>
              <w:rPr>
                <w:rFonts w:hint="eastAsia" w:ascii="宋体" w:hAnsi="宋体" w:cs="宋体"/>
                <w:color w:val="auto"/>
                <w:spacing w:val="6"/>
                <w:kern w:val="2"/>
                <w:sz w:val="24"/>
                <w:szCs w:val="24"/>
                <w:lang w:eastAsia="zh-CN"/>
              </w:rPr>
              <w:t>揣浩彦</w:t>
            </w:r>
            <w:r>
              <w:rPr>
                <w:rFonts w:hint="eastAsia" w:ascii="宋体" w:hAnsi="宋体" w:cs="宋体"/>
                <w:color w:val="auto"/>
                <w:spacing w:val="6"/>
                <w:kern w:val="2"/>
                <w:sz w:val="24"/>
                <w:szCs w:val="24"/>
              </w:rPr>
              <w:t xml:space="preserve"> </w:t>
            </w:r>
          </w:p>
          <w:p w14:paraId="38921924">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hint="eastAsia" w:ascii="宋体" w:hAnsi="宋体" w:cs="宋体"/>
                <w:color w:val="0000FF"/>
                <w:spacing w:val="6"/>
                <w:kern w:val="2"/>
                <w:sz w:val="24"/>
                <w:szCs w:val="24"/>
              </w:rPr>
            </w:pPr>
            <w:r>
              <w:rPr>
                <w:rFonts w:hint="eastAsia" w:ascii="宋体" w:hAnsi="宋体" w:cs="宋体"/>
                <w:color w:val="auto"/>
                <w:spacing w:val="6"/>
                <w:kern w:val="2"/>
                <w:sz w:val="24"/>
                <w:szCs w:val="24"/>
              </w:rPr>
              <w:t>电话：</w:t>
            </w:r>
            <w:r>
              <w:rPr>
                <w:rFonts w:hint="eastAsia" w:ascii="宋体" w:hAnsi="宋体" w:cs="宋体"/>
                <w:color w:val="auto"/>
                <w:spacing w:val="6"/>
                <w:kern w:val="2"/>
                <w:sz w:val="24"/>
                <w:szCs w:val="24"/>
                <w:lang w:eastAsia="zh-CN"/>
              </w:rPr>
              <w:t>13137988960</w:t>
            </w:r>
          </w:p>
          <w:p w14:paraId="33326D1D">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地址：</w:t>
            </w:r>
            <w:r>
              <w:rPr>
                <w:rFonts w:hint="eastAsia" w:ascii="宋体" w:hAnsi="宋体" w:cs="宋体"/>
                <w:color w:val="auto"/>
                <w:spacing w:val="6"/>
                <w:kern w:val="2"/>
                <w:sz w:val="24"/>
                <w:szCs w:val="24"/>
                <w:lang w:eastAsia="zh-CN"/>
              </w:rPr>
              <w:t>卢氏县G209与兴贤路交叉口</w:t>
            </w:r>
            <w:r>
              <w:rPr>
                <w:rFonts w:hint="eastAsia" w:ascii="宋体" w:hAnsi="宋体" w:cs="宋体"/>
                <w:color w:val="auto"/>
                <w:spacing w:val="6"/>
                <w:kern w:val="2"/>
                <w:sz w:val="24"/>
                <w:szCs w:val="24"/>
              </w:rPr>
              <w:t xml:space="preserve"> </w:t>
            </w:r>
          </w:p>
        </w:tc>
      </w:tr>
      <w:tr w14:paraId="090F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79AA4AA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2</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12F89A93">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代理机构</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569C7378">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 w:hangingChars="1"/>
              <w:textAlignment w:val="auto"/>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代理机构：</w:t>
            </w:r>
            <w:r>
              <w:rPr>
                <w:rFonts w:hint="eastAsia" w:ascii="宋体" w:hAnsi="宋体" w:cs="宋体"/>
                <w:color w:val="auto"/>
                <w:spacing w:val="6"/>
                <w:kern w:val="2"/>
                <w:sz w:val="24"/>
                <w:szCs w:val="24"/>
                <w:lang w:eastAsia="zh-CN"/>
              </w:rPr>
              <w:t>中瑞建园工程管理有限公司</w:t>
            </w:r>
          </w:p>
          <w:p w14:paraId="3CBB82D2">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 w:hangingChars="1"/>
              <w:textAlignment w:val="auto"/>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联系人：</w:t>
            </w:r>
            <w:r>
              <w:rPr>
                <w:rFonts w:hint="eastAsia" w:ascii="宋体" w:hAnsi="宋体" w:cs="宋体"/>
                <w:color w:val="auto"/>
                <w:spacing w:val="6"/>
                <w:kern w:val="2"/>
                <w:sz w:val="24"/>
                <w:szCs w:val="24"/>
                <w:lang w:eastAsia="zh-CN"/>
              </w:rPr>
              <w:t>赵敏</w:t>
            </w:r>
          </w:p>
          <w:p w14:paraId="1E39571A">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 w:hangingChars="1"/>
              <w:textAlignment w:val="auto"/>
              <w:rPr>
                <w:rFonts w:hint="eastAsia" w:ascii="宋体" w:hAnsi="宋体" w:cs="宋体"/>
                <w:color w:val="auto"/>
                <w:spacing w:val="6"/>
                <w:kern w:val="2"/>
                <w:sz w:val="24"/>
                <w:szCs w:val="24"/>
              </w:rPr>
            </w:pPr>
            <w:r>
              <w:rPr>
                <w:rFonts w:hint="eastAsia" w:ascii="宋体" w:hAnsi="宋体" w:cs="宋体"/>
                <w:color w:val="auto"/>
                <w:spacing w:val="6"/>
                <w:kern w:val="2"/>
                <w:sz w:val="24"/>
                <w:szCs w:val="24"/>
              </w:rPr>
              <w:t>电话：</w:t>
            </w:r>
            <w:r>
              <w:rPr>
                <w:rFonts w:hint="eastAsia" w:ascii="宋体" w:hAnsi="宋体" w:cs="宋体"/>
                <w:sz w:val="24"/>
                <w:lang w:eastAsia="zh-CN"/>
              </w:rPr>
              <w:t>13193973900</w:t>
            </w:r>
            <w:r>
              <w:rPr>
                <w:rFonts w:hint="eastAsia" w:ascii="宋体" w:hAnsi="宋体" w:cs="宋体"/>
                <w:sz w:val="24"/>
              </w:rPr>
              <w:t>、15139855300</w:t>
            </w:r>
          </w:p>
          <w:p w14:paraId="00C1FE48">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 w:hangingChars="1"/>
              <w:textAlignment w:val="auto"/>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地址：</w:t>
            </w:r>
            <w:r>
              <w:rPr>
                <w:rFonts w:hint="eastAsia" w:ascii="宋体" w:hAnsi="宋体" w:cs="宋体"/>
                <w:color w:val="auto"/>
                <w:spacing w:val="6"/>
                <w:kern w:val="2"/>
                <w:sz w:val="24"/>
                <w:szCs w:val="24"/>
                <w:lang w:eastAsia="zh-CN"/>
              </w:rPr>
              <w:t>河南自贸试验区郑州片区（郑东）金水东路80号绿地新都会8号楼901号</w:t>
            </w:r>
          </w:p>
        </w:tc>
      </w:tr>
      <w:tr w14:paraId="0810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0534C47">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3</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10524C88">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 w:hangingChars="1"/>
              <w:jc w:val="center"/>
              <w:textAlignment w:val="auto"/>
              <w:rPr>
                <w:rFonts w:hint="eastAsia" w:ascii="宋体" w:hAnsi="宋体" w:cs="宋体"/>
                <w:color w:val="auto"/>
                <w:spacing w:val="6"/>
                <w:kern w:val="2"/>
                <w:sz w:val="24"/>
                <w:szCs w:val="24"/>
              </w:rPr>
            </w:pPr>
            <w:r>
              <w:rPr>
                <w:rFonts w:hint="eastAsia" w:ascii="宋体" w:hAnsi="宋体" w:cs="宋体"/>
                <w:color w:val="auto"/>
                <w:spacing w:val="6"/>
                <w:kern w:val="2"/>
                <w:sz w:val="24"/>
                <w:szCs w:val="24"/>
              </w:rPr>
              <w:t>项目名称</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4B7EE580">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 w:hangingChars="1"/>
              <w:textAlignment w:val="auto"/>
              <w:rPr>
                <w:rFonts w:hint="eastAsia" w:ascii="宋体" w:hAnsi="宋体" w:cs="宋体"/>
                <w:color w:val="auto"/>
                <w:spacing w:val="6"/>
                <w:kern w:val="2"/>
                <w:sz w:val="24"/>
                <w:szCs w:val="24"/>
              </w:rPr>
            </w:pPr>
            <w:r>
              <w:rPr>
                <w:rFonts w:hint="eastAsia" w:ascii="宋体" w:hAnsi="宋体" w:cs="宋体"/>
                <w:color w:val="auto"/>
                <w:spacing w:val="6"/>
                <w:kern w:val="2"/>
                <w:sz w:val="24"/>
                <w:szCs w:val="24"/>
                <w:lang w:val="en-US" w:eastAsia="zh-CN"/>
              </w:rPr>
              <w:t xml:space="preserve">卢氏县《卢氏县突发事件总体应急预案》和《卢氏县防汛应急预案》等六部预案修编项目 </w:t>
            </w:r>
          </w:p>
        </w:tc>
      </w:tr>
      <w:tr w14:paraId="083D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312AC9CF">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4</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2C76A73">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kern w:val="2"/>
                <w:sz w:val="24"/>
                <w:szCs w:val="24"/>
              </w:rPr>
            </w:pPr>
            <w:r>
              <w:rPr>
                <w:rFonts w:ascii="宋体" w:hAnsi="宋体" w:cs="宋体"/>
                <w:color w:val="auto"/>
                <w:kern w:val="2"/>
                <w:sz w:val="24"/>
                <w:szCs w:val="24"/>
              </w:rPr>
              <w:t>项目编号</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0B10EA2">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三卢竞磋采购-2025-106 、LSGZ[2025]271-ZC154</w:t>
            </w:r>
          </w:p>
        </w:tc>
      </w:tr>
      <w:tr w14:paraId="47BF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773743DD">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5</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DE84A86">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kern w:val="2"/>
                <w:sz w:val="24"/>
                <w:szCs w:val="24"/>
              </w:rPr>
            </w:pPr>
            <w:r>
              <w:rPr>
                <w:rFonts w:ascii="宋体" w:hAnsi="宋体" w:cs="宋体"/>
                <w:color w:val="auto"/>
                <w:kern w:val="2"/>
                <w:sz w:val="24"/>
                <w:szCs w:val="24"/>
              </w:rPr>
              <w:t>采购</w:t>
            </w:r>
            <w:r>
              <w:rPr>
                <w:rFonts w:hint="eastAsia" w:ascii="宋体" w:hAnsi="宋体" w:cs="宋体"/>
                <w:color w:val="auto"/>
                <w:kern w:val="2"/>
                <w:sz w:val="24"/>
                <w:szCs w:val="24"/>
              </w:rPr>
              <w:t>人</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139E18E5">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lang w:val="en-US" w:eastAsia="zh-CN"/>
              </w:rPr>
              <w:t xml:space="preserve">卢氏县应急管理局 </w:t>
            </w:r>
          </w:p>
        </w:tc>
      </w:tr>
      <w:tr w14:paraId="79F8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1D0A3E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6</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969D6E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kern w:val="2"/>
                <w:sz w:val="24"/>
                <w:szCs w:val="24"/>
                <w:lang w:val="en-US" w:eastAsia="zh-CN"/>
              </w:rPr>
              <w:t>服务</w:t>
            </w:r>
            <w:r>
              <w:rPr>
                <w:rFonts w:hint="eastAsia" w:ascii="宋体" w:hAnsi="宋体" w:cs="宋体"/>
                <w:color w:val="auto"/>
                <w:kern w:val="2"/>
                <w:sz w:val="24"/>
                <w:szCs w:val="24"/>
              </w:rPr>
              <w:t>内容</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652920C9">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hint="eastAsia" w:ascii="宋体" w:hAnsi="宋体" w:cs="宋体"/>
                <w:color w:val="auto"/>
                <w:spacing w:val="6"/>
                <w:kern w:val="2"/>
                <w:sz w:val="24"/>
                <w:szCs w:val="24"/>
              </w:rPr>
            </w:pPr>
            <w:r>
              <w:rPr>
                <w:rFonts w:hint="eastAsia" w:ascii="宋体" w:hAnsi="宋体" w:cs="宋体"/>
                <w:color w:val="auto"/>
                <w:spacing w:val="6"/>
                <w:kern w:val="2"/>
                <w:sz w:val="24"/>
                <w:szCs w:val="24"/>
              </w:rPr>
              <w:t>针对卢氏县“1部总体+6部专项”应急预案进行修订，并完成可视化内容。</w:t>
            </w:r>
          </w:p>
          <w:p w14:paraId="0D228F84">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hint="eastAsia" w:ascii="宋体" w:hAnsi="宋体" w:cs="宋体"/>
                <w:color w:val="auto"/>
                <w:spacing w:val="6"/>
                <w:kern w:val="2"/>
                <w:sz w:val="24"/>
                <w:szCs w:val="24"/>
              </w:rPr>
            </w:pPr>
            <w:r>
              <w:rPr>
                <w:rFonts w:hint="eastAsia" w:ascii="宋体" w:hAnsi="宋体" w:cs="宋体"/>
                <w:color w:val="auto"/>
                <w:spacing w:val="6"/>
                <w:kern w:val="2"/>
                <w:sz w:val="24"/>
                <w:szCs w:val="24"/>
              </w:rPr>
              <w:t>1、可视化突发事件总体应急预案【修订】</w:t>
            </w:r>
          </w:p>
          <w:p w14:paraId="680C23E6">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hint="eastAsia" w:ascii="宋体" w:hAnsi="宋体" w:cs="宋体"/>
                <w:color w:val="auto"/>
                <w:spacing w:val="6"/>
                <w:kern w:val="2"/>
                <w:sz w:val="24"/>
                <w:szCs w:val="24"/>
              </w:rPr>
            </w:pPr>
            <w:r>
              <w:rPr>
                <w:rFonts w:hint="eastAsia" w:ascii="宋体" w:hAnsi="宋体" w:cs="宋体"/>
                <w:color w:val="auto"/>
                <w:spacing w:val="6"/>
                <w:kern w:val="2"/>
                <w:sz w:val="24"/>
                <w:szCs w:val="24"/>
              </w:rPr>
              <w:t>2、可视化防汛应急预案【修订】</w:t>
            </w:r>
          </w:p>
          <w:p w14:paraId="7675D19C">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hint="eastAsia" w:ascii="宋体" w:hAnsi="宋体" w:cs="宋体"/>
                <w:color w:val="auto"/>
                <w:spacing w:val="6"/>
                <w:kern w:val="2"/>
                <w:sz w:val="24"/>
                <w:szCs w:val="24"/>
              </w:rPr>
            </w:pPr>
            <w:r>
              <w:rPr>
                <w:rFonts w:hint="eastAsia" w:ascii="宋体" w:hAnsi="宋体" w:cs="宋体"/>
                <w:color w:val="auto"/>
                <w:spacing w:val="6"/>
                <w:kern w:val="2"/>
                <w:sz w:val="24"/>
                <w:szCs w:val="24"/>
              </w:rPr>
              <w:t>3、可视化抗旱应急预案【修订】</w:t>
            </w:r>
          </w:p>
          <w:p w14:paraId="6D1C0857">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hint="eastAsia" w:ascii="宋体" w:hAnsi="宋体" w:cs="宋体"/>
                <w:color w:val="auto"/>
                <w:spacing w:val="6"/>
                <w:kern w:val="2"/>
                <w:sz w:val="24"/>
                <w:szCs w:val="24"/>
              </w:rPr>
            </w:pPr>
            <w:r>
              <w:rPr>
                <w:rFonts w:hint="eastAsia" w:ascii="宋体" w:hAnsi="宋体" w:cs="宋体"/>
                <w:color w:val="auto"/>
                <w:spacing w:val="6"/>
                <w:kern w:val="2"/>
                <w:sz w:val="24"/>
                <w:szCs w:val="24"/>
              </w:rPr>
              <w:t>4、可视化地震应急预案【修订】</w:t>
            </w:r>
          </w:p>
          <w:p w14:paraId="520F24DB">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hint="eastAsia" w:ascii="宋体" w:hAnsi="宋体" w:cs="宋体"/>
                <w:color w:val="auto"/>
                <w:spacing w:val="6"/>
                <w:kern w:val="2"/>
                <w:sz w:val="24"/>
                <w:szCs w:val="24"/>
              </w:rPr>
            </w:pPr>
            <w:r>
              <w:rPr>
                <w:rFonts w:hint="eastAsia" w:ascii="宋体" w:hAnsi="宋体" w:cs="宋体"/>
                <w:color w:val="auto"/>
                <w:spacing w:val="6"/>
                <w:kern w:val="2"/>
                <w:sz w:val="24"/>
                <w:szCs w:val="24"/>
              </w:rPr>
              <w:t>5、可视化森林火灾应急预案【修订】</w:t>
            </w:r>
          </w:p>
          <w:p w14:paraId="2FC4145B">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hint="eastAsia" w:ascii="宋体" w:hAnsi="宋体" w:cs="宋体"/>
                <w:color w:val="auto"/>
                <w:spacing w:val="6"/>
                <w:kern w:val="2"/>
                <w:sz w:val="24"/>
                <w:szCs w:val="24"/>
              </w:rPr>
            </w:pPr>
            <w:r>
              <w:rPr>
                <w:rFonts w:hint="eastAsia" w:ascii="宋体" w:hAnsi="宋体" w:cs="宋体"/>
                <w:color w:val="auto"/>
                <w:spacing w:val="6"/>
                <w:kern w:val="2"/>
                <w:sz w:val="24"/>
                <w:szCs w:val="24"/>
              </w:rPr>
              <w:t>6、可视化低温雨雪冰冻灾害应急预案【修订】</w:t>
            </w:r>
          </w:p>
          <w:p w14:paraId="04BC56F2">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7、可视化生产安全事故应急预案【修订】；</w:t>
            </w:r>
          </w:p>
        </w:tc>
      </w:tr>
      <w:tr w14:paraId="5EEC7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006C03D">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7</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7EB7CD5">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ascii="宋体" w:hAnsi="宋体" w:cs="宋体"/>
                <w:color w:val="auto"/>
                <w:spacing w:val="6"/>
                <w:kern w:val="2"/>
                <w:sz w:val="24"/>
                <w:szCs w:val="24"/>
              </w:rPr>
              <w:t>采购方式</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C8B5114">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ascii="宋体" w:hAnsi="宋体" w:cs="宋体"/>
                <w:color w:val="auto"/>
                <w:spacing w:val="6"/>
                <w:kern w:val="2"/>
                <w:sz w:val="24"/>
                <w:szCs w:val="24"/>
              </w:rPr>
            </w:pPr>
            <w:r>
              <w:rPr>
                <w:rFonts w:ascii="宋体" w:hAnsi="宋体" w:cs="宋体"/>
                <w:color w:val="auto"/>
                <w:spacing w:val="6"/>
                <w:kern w:val="2"/>
                <w:sz w:val="24"/>
                <w:szCs w:val="24"/>
              </w:rPr>
              <w:t>竞争性磋商</w:t>
            </w:r>
          </w:p>
        </w:tc>
      </w:tr>
      <w:tr w14:paraId="1589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28B8B5BE">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8</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16AC6E4A">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ascii="宋体" w:hAnsi="宋体" w:cs="宋体"/>
                <w:color w:val="auto"/>
                <w:spacing w:val="6"/>
                <w:kern w:val="2"/>
                <w:sz w:val="24"/>
                <w:szCs w:val="24"/>
              </w:rPr>
              <w:t>质量要求</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B442784">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符合国家及行业标准</w:t>
            </w:r>
            <w:r>
              <w:rPr>
                <w:rFonts w:hint="eastAsia" w:ascii="宋体" w:hAnsi="宋体" w:cs="宋体"/>
                <w:color w:val="auto"/>
                <w:spacing w:val="6"/>
                <w:kern w:val="2"/>
                <w:sz w:val="24"/>
                <w:szCs w:val="24"/>
                <w:lang w:eastAsia="zh-CN"/>
              </w:rPr>
              <w:t>，</w:t>
            </w:r>
            <w:r>
              <w:rPr>
                <w:rFonts w:hint="eastAsia" w:ascii="宋体" w:hAnsi="宋体" w:eastAsia="宋体" w:cs="宋体"/>
                <w:sz w:val="24"/>
                <w:szCs w:val="24"/>
                <w:lang w:eastAsia="zh-CN"/>
              </w:rPr>
              <w:t>满足</w:t>
            </w:r>
            <w:r>
              <w:rPr>
                <w:rFonts w:hint="eastAsia" w:ascii="宋体" w:hAnsi="宋体" w:cs="宋体"/>
                <w:sz w:val="24"/>
                <w:szCs w:val="24"/>
                <w:lang w:eastAsia="zh-CN"/>
              </w:rPr>
              <w:t>采购人</w:t>
            </w:r>
            <w:r>
              <w:rPr>
                <w:rFonts w:hint="eastAsia" w:ascii="宋体" w:hAnsi="宋体" w:eastAsia="宋体" w:cs="宋体"/>
                <w:sz w:val="24"/>
                <w:szCs w:val="24"/>
                <w:lang w:eastAsia="zh-CN"/>
              </w:rPr>
              <w:t>使用需求</w:t>
            </w:r>
          </w:p>
        </w:tc>
      </w:tr>
      <w:tr w14:paraId="42A7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1240DD23">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9</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3AB1534">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服务周期</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E5163CF">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hint="eastAsia" w:ascii="宋体" w:hAnsi="宋体" w:eastAsia="宋体" w:cs="宋体"/>
                <w:color w:val="auto"/>
                <w:spacing w:val="6"/>
                <w:kern w:val="2"/>
                <w:sz w:val="24"/>
                <w:szCs w:val="24"/>
              </w:rPr>
            </w:pPr>
            <w:r>
              <w:rPr>
                <w:rFonts w:hint="eastAsia" w:ascii="宋体" w:hAnsi="宋体" w:cs="宋体"/>
                <w:color w:val="auto"/>
                <w:kern w:val="2"/>
                <w:sz w:val="24"/>
                <w:szCs w:val="24"/>
                <w:lang w:val="en-US" w:eastAsia="zh-CN"/>
              </w:rPr>
              <w:t>市级应急预案印发后3个月内完成</w:t>
            </w:r>
          </w:p>
        </w:tc>
      </w:tr>
      <w:tr w14:paraId="1AF4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285B1808">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0</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3720505">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right="0" w:rightChars="0"/>
              <w:jc w:val="center"/>
              <w:textAlignment w:val="auto"/>
              <w:rPr>
                <w:rFonts w:hint="eastAsia"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预算资金</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58D63500">
            <w:pPr>
              <w:keepNext w:val="0"/>
              <w:keepLines w:val="0"/>
              <w:pageBreakBefore w:val="0"/>
              <w:widowControl w:val="0"/>
              <w:suppressLineNumbers w:val="0"/>
              <w:kinsoku/>
              <w:wordWrap w:val="0"/>
              <w:overflowPunct/>
              <w:topLinePunct w:val="0"/>
              <w:autoSpaceDE/>
              <w:autoSpaceDN/>
              <w:bidi w:val="0"/>
              <w:adjustRightInd w:val="0"/>
              <w:snapToGrid/>
              <w:spacing w:before="0" w:beforeAutospacing="0" w:after="0" w:afterAutospacing="0" w:line="400" w:lineRule="exact"/>
              <w:ind w:left="0" w:right="0" w:rightChars="0"/>
              <w:jc w:val="left"/>
              <w:textAlignment w:val="auto"/>
              <w:rPr>
                <w:rFonts w:hint="eastAsia"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￥438137.75元</w:t>
            </w:r>
          </w:p>
        </w:tc>
      </w:tr>
      <w:tr w14:paraId="1D13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DD34E1D">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1</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13D7142">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kern w:val="2"/>
                <w:sz w:val="24"/>
                <w:szCs w:val="24"/>
              </w:rPr>
            </w:pPr>
            <w:r>
              <w:rPr>
                <w:rFonts w:ascii="宋体" w:hAnsi="宋体" w:cs="宋体"/>
                <w:color w:val="auto"/>
                <w:kern w:val="2"/>
                <w:sz w:val="24"/>
                <w:szCs w:val="24"/>
              </w:rPr>
              <w:t>资金来源</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706E5DA4">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ascii="宋体" w:hAnsi="宋体" w:cs="宋体"/>
                <w:color w:val="auto"/>
                <w:spacing w:val="6"/>
                <w:kern w:val="2"/>
                <w:sz w:val="24"/>
                <w:szCs w:val="24"/>
              </w:rPr>
            </w:pPr>
            <w:r>
              <w:rPr>
                <w:rFonts w:hint="eastAsia" w:ascii="宋体" w:hAnsi="宋体" w:cs="宋体"/>
                <w:color w:val="auto"/>
                <w:kern w:val="2"/>
                <w:sz w:val="24"/>
                <w:szCs w:val="24"/>
                <w:lang w:val="en-US" w:eastAsia="zh-CN"/>
              </w:rPr>
              <w:t>财政资金</w:t>
            </w:r>
            <w:r>
              <w:rPr>
                <w:rFonts w:hint="eastAsia" w:ascii="宋体" w:hAnsi="宋体" w:cs="宋体"/>
                <w:color w:val="auto"/>
                <w:kern w:val="2"/>
                <w:sz w:val="24"/>
                <w:szCs w:val="24"/>
              </w:rPr>
              <w:t>，已落实</w:t>
            </w:r>
          </w:p>
        </w:tc>
      </w:tr>
      <w:tr w14:paraId="6597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2A975DF7">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12</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7D6907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40"/>
                <w:kern w:val="2"/>
                <w:sz w:val="24"/>
                <w:szCs w:val="24"/>
                <w:highlight w:val="yellow"/>
              </w:rPr>
            </w:pPr>
            <w:r>
              <w:rPr>
                <w:rFonts w:ascii="宋体" w:hAnsi="宋体" w:cs="宋体"/>
                <w:color w:val="auto"/>
                <w:kern w:val="2"/>
                <w:sz w:val="24"/>
                <w:szCs w:val="24"/>
              </w:rPr>
              <w:t>供应商资质要求</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ABF03CB">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ascii="宋体" w:hAnsi="宋体" w:cs="宋体"/>
                <w:color w:val="auto"/>
                <w:kern w:val="2"/>
                <w:sz w:val="24"/>
                <w:szCs w:val="24"/>
              </w:rPr>
            </w:pPr>
            <w:r>
              <w:rPr>
                <w:rFonts w:hint="eastAsia" w:ascii="宋体" w:hAnsi="宋体" w:cs="宋体"/>
                <w:color w:val="auto"/>
                <w:kern w:val="2"/>
                <w:sz w:val="24"/>
                <w:szCs w:val="24"/>
              </w:rPr>
              <w:t>具体详见公告内容</w:t>
            </w:r>
          </w:p>
        </w:tc>
      </w:tr>
      <w:tr w14:paraId="0625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7F7BDF2">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lang w:val="en-US" w:eastAsia="zh-CN"/>
              </w:rPr>
            </w:pPr>
            <w:r>
              <w:rPr>
                <w:rFonts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3</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9974119">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kern w:val="2"/>
                <w:sz w:val="24"/>
                <w:szCs w:val="24"/>
              </w:rPr>
            </w:pPr>
            <w:r>
              <w:rPr>
                <w:rFonts w:ascii="宋体" w:hAnsi="宋体" w:cs="宋体"/>
                <w:color w:val="auto"/>
                <w:spacing w:val="6"/>
                <w:kern w:val="2"/>
                <w:sz w:val="24"/>
                <w:szCs w:val="24"/>
              </w:rPr>
              <w:t>竞争性磋商有效</w:t>
            </w:r>
            <w:r>
              <w:rPr>
                <w:rFonts w:ascii="宋体" w:hAnsi="宋体" w:cs="宋体"/>
                <w:color w:val="auto"/>
                <w:kern w:val="2"/>
                <w:sz w:val="24"/>
                <w:szCs w:val="24"/>
              </w:rPr>
              <w:t>期</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1C3795D2">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ascii="宋体" w:hAnsi="宋体" w:cs="宋体"/>
                <w:color w:val="auto"/>
                <w:spacing w:val="6"/>
                <w:kern w:val="2"/>
                <w:sz w:val="24"/>
                <w:szCs w:val="24"/>
              </w:rPr>
            </w:pPr>
            <w:r>
              <w:rPr>
                <w:rFonts w:ascii="宋体" w:hAnsi="宋体" w:cs="宋体"/>
                <w:color w:val="auto"/>
                <w:spacing w:val="6"/>
                <w:kern w:val="2"/>
                <w:sz w:val="24"/>
                <w:szCs w:val="24"/>
                <w:u w:val="single"/>
              </w:rPr>
              <w:t>60</w:t>
            </w:r>
            <w:r>
              <w:rPr>
                <w:rFonts w:ascii="宋体" w:hAnsi="宋体" w:cs="宋体"/>
                <w:color w:val="auto"/>
                <w:spacing w:val="6"/>
                <w:kern w:val="2"/>
                <w:sz w:val="24"/>
                <w:szCs w:val="24"/>
              </w:rPr>
              <w:t>日历天(</w:t>
            </w:r>
            <w:r>
              <w:rPr>
                <w:rFonts w:hint="eastAsia" w:ascii="宋体" w:hAnsi="宋体" w:cs="宋体"/>
                <w:color w:val="auto"/>
                <w:spacing w:val="-3"/>
                <w:kern w:val="2"/>
                <w:sz w:val="24"/>
                <w:szCs w:val="24"/>
              </w:rPr>
              <w:t>指本次采购项目递交响应性文件截止之日起</w:t>
            </w:r>
            <w:r>
              <w:rPr>
                <w:rFonts w:ascii="宋体" w:hAnsi="宋体" w:cs="宋体"/>
                <w:color w:val="auto"/>
                <w:spacing w:val="6"/>
                <w:kern w:val="2"/>
                <w:sz w:val="24"/>
                <w:szCs w:val="24"/>
              </w:rPr>
              <w:t>)</w:t>
            </w:r>
          </w:p>
        </w:tc>
      </w:tr>
      <w:tr w14:paraId="263C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70DD1A87">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4</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6F5917E1">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kern w:val="2"/>
                <w:sz w:val="24"/>
                <w:szCs w:val="24"/>
              </w:rPr>
            </w:pPr>
            <w:r>
              <w:rPr>
                <w:rFonts w:ascii="宋体" w:hAnsi="宋体" w:cs="宋体"/>
                <w:color w:val="auto"/>
                <w:kern w:val="2"/>
                <w:sz w:val="24"/>
                <w:szCs w:val="24"/>
              </w:rPr>
              <w:t>竞争性磋商保证金</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41AB5FCC">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按照《河南省财政厅关于优化政府采购营商环境有关问题的通知》（豫财购[2019]4号文）的要求本项目不再收取</w:t>
            </w:r>
            <w:r>
              <w:rPr>
                <w:rFonts w:hint="eastAsia" w:ascii="宋体" w:hAnsi="宋体" w:cs="宋体"/>
                <w:color w:val="auto"/>
                <w:spacing w:val="6"/>
                <w:kern w:val="2"/>
                <w:sz w:val="24"/>
                <w:szCs w:val="24"/>
                <w:lang w:eastAsia="zh-CN"/>
              </w:rPr>
              <w:t>磋商</w:t>
            </w:r>
            <w:r>
              <w:rPr>
                <w:rFonts w:hint="eastAsia" w:ascii="宋体" w:hAnsi="宋体" w:cs="宋体"/>
                <w:color w:val="auto"/>
                <w:spacing w:val="6"/>
                <w:kern w:val="2"/>
                <w:sz w:val="24"/>
                <w:szCs w:val="24"/>
              </w:rPr>
              <w:t>保证金</w:t>
            </w:r>
          </w:p>
        </w:tc>
      </w:tr>
      <w:tr w14:paraId="1269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7BAEB10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5</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9BAB5A8">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是否接受联合体投标</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2B77794">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不接受</w:t>
            </w:r>
          </w:p>
        </w:tc>
      </w:tr>
      <w:tr w14:paraId="5573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A505851">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rPr>
              <w:t>1</w:t>
            </w:r>
            <w:r>
              <w:rPr>
                <w:rFonts w:hint="eastAsia" w:ascii="宋体" w:hAnsi="宋体" w:cs="宋体"/>
                <w:color w:val="auto"/>
                <w:spacing w:val="6"/>
                <w:kern w:val="2"/>
                <w:sz w:val="24"/>
                <w:szCs w:val="24"/>
                <w:lang w:val="en-US" w:eastAsia="zh-CN"/>
              </w:rPr>
              <w:t>6</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4BC5FFA">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踏勘现场</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144A5A1C">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不组织</w:t>
            </w:r>
          </w:p>
        </w:tc>
      </w:tr>
      <w:tr w14:paraId="0772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5B2B3A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17</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1CD9EF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投标预备会</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803CEA1">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不召开</w:t>
            </w:r>
          </w:p>
        </w:tc>
      </w:tr>
      <w:tr w14:paraId="684E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545A90D0">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18</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AF61606">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分包</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1A0FC246">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不允许</w:t>
            </w:r>
          </w:p>
        </w:tc>
      </w:tr>
      <w:tr w14:paraId="7A51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5A9689D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19</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D988D4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lang w:val="en-US" w:eastAsia="zh-CN" w:bidi="ar-SA"/>
              </w:rPr>
            </w:pPr>
            <w:r>
              <w:rPr>
                <w:rFonts w:hint="eastAsia" w:ascii="宋体" w:hAnsi="宋体" w:cs="宋体"/>
                <w:color w:val="auto"/>
                <w:spacing w:val="6"/>
                <w:kern w:val="2"/>
                <w:sz w:val="24"/>
                <w:szCs w:val="24"/>
                <w:lang w:eastAsia="zh-CN"/>
              </w:rPr>
              <w:t>偏离</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23BC81C">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textAlignment w:val="auto"/>
              <w:rPr>
                <w:rFonts w:hint="eastAsia" w:ascii="宋体" w:hAnsi="宋体" w:eastAsia="宋体" w:cs="宋体"/>
                <w:color w:val="auto"/>
                <w:spacing w:val="6"/>
                <w:kern w:val="2"/>
                <w:sz w:val="24"/>
                <w:szCs w:val="24"/>
                <w:lang w:val="en-US" w:eastAsia="zh-CN" w:bidi="ar-SA"/>
              </w:rPr>
            </w:pPr>
            <w:r>
              <w:rPr>
                <w:rFonts w:hint="eastAsia" w:ascii="宋体" w:hAnsi="宋体" w:cs="宋体"/>
                <w:color w:val="auto"/>
                <w:spacing w:val="6"/>
                <w:kern w:val="2"/>
                <w:sz w:val="24"/>
                <w:szCs w:val="24"/>
                <w:lang w:eastAsia="zh-CN"/>
              </w:rPr>
              <w:t>不</w:t>
            </w:r>
            <w:r>
              <w:rPr>
                <w:rFonts w:hint="eastAsia" w:ascii="宋体" w:hAnsi="宋体" w:cs="宋体"/>
                <w:color w:val="auto"/>
                <w:spacing w:val="6"/>
                <w:kern w:val="2"/>
                <w:sz w:val="24"/>
                <w:szCs w:val="24"/>
              </w:rPr>
              <w:t>允许</w:t>
            </w:r>
          </w:p>
        </w:tc>
      </w:tr>
      <w:tr w14:paraId="1F1D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C933363">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20</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012DAC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是否接受进口产品</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4A98BF5A">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textAlignment w:val="auto"/>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lang w:eastAsia="zh-CN"/>
              </w:rPr>
              <w:t>否</w:t>
            </w:r>
          </w:p>
        </w:tc>
      </w:tr>
      <w:tr w14:paraId="3888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530127CD">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21</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5581BAB">
            <w:pPr>
              <w:keepNext w:val="0"/>
              <w:keepLines w:val="0"/>
              <w:pageBreakBefore w:val="0"/>
              <w:widowControl/>
              <w:suppressLineNumbers w:val="0"/>
              <w:kinsoku/>
              <w:overflowPunct/>
              <w:topLinePunct w:val="0"/>
              <w:bidi w:val="0"/>
              <w:adjustRightInd w:val="0"/>
              <w:snapToGrid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cs="宋体"/>
                <w:color w:val="auto"/>
                <w:kern w:val="2"/>
                <w:sz w:val="24"/>
                <w:szCs w:val="22"/>
              </w:rPr>
              <w:t>构成</w:t>
            </w:r>
            <w:r>
              <w:rPr>
                <w:rFonts w:hint="eastAsia" w:ascii="宋体" w:hAnsi="宋体" w:cs="宋体"/>
                <w:color w:val="auto"/>
                <w:kern w:val="2"/>
                <w:sz w:val="24"/>
                <w:szCs w:val="22"/>
                <w:lang w:eastAsia="zh-CN"/>
              </w:rPr>
              <w:t>磋商</w:t>
            </w:r>
            <w:r>
              <w:rPr>
                <w:rFonts w:hint="eastAsia" w:ascii="宋体" w:hAnsi="宋体" w:cs="宋体"/>
                <w:color w:val="auto"/>
                <w:kern w:val="2"/>
                <w:sz w:val="24"/>
                <w:szCs w:val="22"/>
              </w:rPr>
              <w:t>文件的其他材料</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FDC76D4">
            <w:pPr>
              <w:keepNext w:val="0"/>
              <w:keepLines w:val="0"/>
              <w:pageBreakBefore w:val="0"/>
              <w:widowControl/>
              <w:suppressLineNumbers w:val="0"/>
              <w:kinsoku/>
              <w:overflowPunct/>
              <w:topLinePunct w:val="0"/>
              <w:bidi w:val="0"/>
              <w:adjustRightInd w:val="0"/>
              <w:snapToGrid w:val="0"/>
              <w:spacing w:before="0" w:beforeAutospacing="0" w:after="0" w:afterAutospacing="0" w:line="400" w:lineRule="exact"/>
              <w:ind w:left="0" w:right="0" w:rightChars="0"/>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cs="宋体"/>
                <w:color w:val="auto"/>
                <w:kern w:val="2"/>
                <w:sz w:val="24"/>
                <w:szCs w:val="22"/>
              </w:rPr>
              <w:t>对</w:t>
            </w:r>
            <w:r>
              <w:rPr>
                <w:rFonts w:hint="eastAsia" w:ascii="宋体" w:hAnsi="宋体" w:cs="宋体"/>
                <w:color w:val="auto"/>
                <w:kern w:val="2"/>
                <w:sz w:val="24"/>
                <w:szCs w:val="22"/>
                <w:lang w:eastAsia="zh-CN"/>
              </w:rPr>
              <w:t>磋商</w:t>
            </w:r>
            <w:r>
              <w:rPr>
                <w:rFonts w:hint="eastAsia" w:ascii="宋体" w:hAnsi="宋体" w:cs="宋体"/>
                <w:color w:val="auto"/>
                <w:kern w:val="2"/>
                <w:sz w:val="24"/>
                <w:szCs w:val="22"/>
              </w:rPr>
              <w:t>文件所作的澄清（含答疑）、修改，补充构成</w:t>
            </w:r>
            <w:r>
              <w:rPr>
                <w:rFonts w:hint="eastAsia" w:ascii="宋体" w:hAnsi="宋体" w:cs="宋体"/>
                <w:color w:val="auto"/>
                <w:kern w:val="2"/>
                <w:sz w:val="24"/>
                <w:szCs w:val="22"/>
                <w:lang w:eastAsia="zh-CN"/>
              </w:rPr>
              <w:t>磋商</w:t>
            </w:r>
            <w:r>
              <w:rPr>
                <w:rFonts w:hint="eastAsia" w:ascii="宋体" w:hAnsi="宋体" w:cs="宋体"/>
                <w:color w:val="auto"/>
                <w:kern w:val="2"/>
                <w:sz w:val="24"/>
                <w:szCs w:val="22"/>
              </w:rPr>
              <w:t>文件的组成部分</w:t>
            </w:r>
          </w:p>
        </w:tc>
      </w:tr>
      <w:tr w14:paraId="2784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2D901ED9">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22</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315FBA4">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kern w:val="2"/>
                <w:sz w:val="24"/>
                <w:szCs w:val="24"/>
              </w:rPr>
              <w:t>响应人要求澄清竞争性磋商文件的截止时间</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61E3F65A">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kern w:val="2"/>
                <w:sz w:val="24"/>
                <w:szCs w:val="24"/>
              </w:rPr>
              <w:t>响应文件递交截止时间5日前</w:t>
            </w:r>
          </w:p>
        </w:tc>
      </w:tr>
      <w:tr w14:paraId="360A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548B2D9A">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23</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7D7C4C1">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40" w:hangingChars="100"/>
              <w:jc w:val="center"/>
              <w:textAlignment w:val="auto"/>
              <w:outlineLvl w:val="9"/>
              <w:rPr>
                <w:rFonts w:ascii="宋体" w:hAnsi="宋体" w:eastAsia="宋体" w:cs="宋体"/>
                <w:color w:val="auto"/>
                <w:kern w:val="2"/>
                <w:sz w:val="24"/>
                <w:szCs w:val="24"/>
              </w:rPr>
            </w:pPr>
            <w:r>
              <w:rPr>
                <w:rFonts w:hint="eastAsia" w:ascii="宋体" w:hAnsi="宋体" w:eastAsia="宋体" w:cs="宋体"/>
                <w:color w:val="auto"/>
                <w:kern w:val="2"/>
                <w:sz w:val="24"/>
                <w:szCs w:val="24"/>
              </w:rPr>
              <w:t>响应文件递</w:t>
            </w:r>
          </w:p>
          <w:p w14:paraId="3E568296">
            <w:pPr>
              <w:keepNext w:val="0"/>
              <w:keepLines w:val="0"/>
              <w:pageBreakBefore w:val="0"/>
              <w:widowControl/>
              <w:suppressLineNumbers w:val="0"/>
              <w:kinsoku/>
              <w:overflowPunct/>
              <w:topLinePunct w:val="0"/>
              <w:bidi w:val="0"/>
              <w:spacing w:before="0" w:beforeAutospacing="0" w:after="0" w:afterAutospacing="0" w:line="400" w:lineRule="exact"/>
              <w:ind w:left="240" w:leftChars="0" w:right="0" w:rightChars="0" w:hanging="240" w:hangingChars="10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kern w:val="2"/>
                <w:sz w:val="24"/>
                <w:szCs w:val="24"/>
              </w:rPr>
              <w:t>交截止时间</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75CD3C4">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6"/>
                <w:kern w:val="2"/>
                <w:sz w:val="24"/>
                <w:szCs w:val="24"/>
              </w:rPr>
              <w:t>具体详见公告部分</w:t>
            </w:r>
          </w:p>
        </w:tc>
      </w:tr>
      <w:tr w14:paraId="6173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41DFFA6D">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24</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1E5B872">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kern w:val="2"/>
                <w:sz w:val="24"/>
                <w:szCs w:val="24"/>
              </w:rPr>
              <w:t>响应人确认收到竞争性磋商文件澄清的时间</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D5B0108">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kern w:val="2"/>
                <w:sz w:val="24"/>
                <w:szCs w:val="24"/>
              </w:rPr>
              <w:t>在收到相应澄清文件后</w:t>
            </w:r>
            <w:r>
              <w:rPr>
                <w:rFonts w:hint="eastAsia" w:ascii="宋体" w:hAnsi="宋体" w:eastAsia="宋体" w:cs="宋体"/>
                <w:color w:val="auto"/>
                <w:kern w:val="2"/>
                <w:sz w:val="24"/>
                <w:szCs w:val="24"/>
                <w:u w:val="single"/>
              </w:rPr>
              <w:t xml:space="preserve"> 24 </w:t>
            </w:r>
            <w:r>
              <w:rPr>
                <w:rFonts w:hint="eastAsia" w:ascii="宋体" w:hAnsi="宋体" w:eastAsia="宋体" w:cs="宋体"/>
                <w:color w:val="auto"/>
                <w:kern w:val="2"/>
                <w:sz w:val="24"/>
                <w:szCs w:val="24"/>
              </w:rPr>
              <w:t>小时内</w:t>
            </w:r>
          </w:p>
        </w:tc>
      </w:tr>
      <w:tr w14:paraId="3B74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CB96F99">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25</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4FB448E">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kern w:val="2"/>
                <w:sz w:val="24"/>
                <w:szCs w:val="24"/>
              </w:rPr>
              <w:t>响应人确认收到竞争性磋商文件修改的时间</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4A783D96">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kern w:val="2"/>
                <w:sz w:val="24"/>
                <w:szCs w:val="24"/>
              </w:rPr>
              <w:t>在收到相应修改文件后</w:t>
            </w:r>
            <w:r>
              <w:rPr>
                <w:rFonts w:hint="eastAsia" w:ascii="宋体" w:hAnsi="宋体" w:eastAsia="宋体" w:cs="宋体"/>
                <w:color w:val="auto"/>
                <w:kern w:val="2"/>
                <w:sz w:val="24"/>
                <w:szCs w:val="24"/>
                <w:u w:val="single"/>
              </w:rPr>
              <w:t xml:space="preserve"> 24</w:t>
            </w:r>
            <w:r>
              <w:rPr>
                <w:rFonts w:hint="eastAsia" w:ascii="宋体" w:hAnsi="宋体" w:eastAsia="宋体" w:cs="宋体"/>
                <w:color w:val="auto"/>
                <w:kern w:val="2"/>
                <w:sz w:val="24"/>
                <w:szCs w:val="24"/>
              </w:rPr>
              <w:t>小时内</w:t>
            </w:r>
          </w:p>
        </w:tc>
      </w:tr>
      <w:tr w14:paraId="41EB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4521743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26</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12C568DC">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10"/>
                <w:kern w:val="2"/>
                <w:sz w:val="24"/>
                <w:szCs w:val="24"/>
                <w:lang w:val="en-US" w:eastAsia="zh-CN" w:bidi="ar-SA"/>
              </w:rPr>
            </w:pPr>
            <w:r>
              <w:rPr>
                <w:rFonts w:hint="eastAsia" w:ascii="宋体" w:hAnsi="宋体" w:cs="宋体"/>
                <w:color w:val="auto"/>
                <w:spacing w:val="-10"/>
                <w:kern w:val="2"/>
                <w:sz w:val="24"/>
                <w:szCs w:val="24"/>
                <w:lang w:eastAsia="zh-CN"/>
              </w:rPr>
              <w:t>响应</w:t>
            </w:r>
            <w:r>
              <w:rPr>
                <w:rFonts w:hint="eastAsia" w:ascii="宋体" w:hAnsi="宋体" w:cs="宋体"/>
                <w:color w:val="auto"/>
                <w:spacing w:val="-10"/>
                <w:kern w:val="2"/>
                <w:sz w:val="24"/>
                <w:szCs w:val="24"/>
              </w:rPr>
              <w:t>文件是否退还</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C9DD264">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hint="eastAsia" w:ascii="宋体" w:hAnsi="宋体" w:eastAsia="宋体" w:cs="宋体"/>
                <w:color w:val="auto"/>
                <w:spacing w:val="-10"/>
                <w:kern w:val="2"/>
                <w:sz w:val="24"/>
                <w:szCs w:val="24"/>
                <w:lang w:val="en-US" w:eastAsia="zh-CN" w:bidi="ar-SA"/>
              </w:rPr>
            </w:pPr>
            <w:r>
              <w:rPr>
                <w:rFonts w:hint="eastAsia" w:ascii="宋体" w:hAnsi="宋体" w:cs="宋体"/>
                <w:color w:val="auto"/>
                <w:spacing w:val="-10"/>
                <w:kern w:val="2"/>
                <w:sz w:val="24"/>
                <w:szCs w:val="24"/>
              </w:rPr>
              <w:t>否</w:t>
            </w:r>
          </w:p>
        </w:tc>
      </w:tr>
      <w:tr w14:paraId="24B4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1AA20533">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27</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8447801">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eastAsia="宋体" w:cs="宋体"/>
                <w:color w:val="auto"/>
                <w:spacing w:val="6"/>
                <w:kern w:val="2"/>
                <w:sz w:val="24"/>
                <w:szCs w:val="24"/>
                <w:lang w:val="en-US" w:eastAsia="zh-CN" w:bidi="ar-SA"/>
              </w:rPr>
            </w:pPr>
            <w:r>
              <w:rPr>
                <w:rFonts w:hint="eastAsia" w:ascii="宋体" w:hAnsi="宋体" w:cs="宋体"/>
                <w:color w:val="auto"/>
                <w:spacing w:val="6"/>
                <w:kern w:val="2"/>
                <w:sz w:val="24"/>
                <w:szCs w:val="24"/>
              </w:rPr>
              <w:t>是否允许递交备选</w:t>
            </w:r>
            <w:r>
              <w:rPr>
                <w:rFonts w:hint="eastAsia" w:ascii="宋体" w:hAnsi="宋体" w:cs="宋体"/>
                <w:color w:val="auto"/>
                <w:spacing w:val="6"/>
                <w:kern w:val="2"/>
                <w:sz w:val="24"/>
                <w:szCs w:val="24"/>
                <w:lang w:eastAsia="zh-CN"/>
              </w:rPr>
              <w:t>磋商</w:t>
            </w:r>
            <w:r>
              <w:rPr>
                <w:rFonts w:hint="eastAsia" w:ascii="宋体" w:hAnsi="宋体" w:cs="宋体"/>
                <w:color w:val="auto"/>
                <w:spacing w:val="6"/>
                <w:kern w:val="2"/>
                <w:sz w:val="24"/>
                <w:szCs w:val="24"/>
              </w:rPr>
              <w:t>方案</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1ADA218">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eastAsia="宋体" w:cs="宋体"/>
                <w:color w:val="auto"/>
                <w:spacing w:val="6"/>
                <w:kern w:val="2"/>
                <w:sz w:val="24"/>
                <w:szCs w:val="24"/>
                <w:lang w:val="en-US" w:eastAsia="zh-CN" w:bidi="ar-SA"/>
              </w:rPr>
            </w:pPr>
            <w:r>
              <w:rPr>
                <w:rFonts w:hint="eastAsia" w:ascii="宋体" w:hAnsi="宋体" w:cs="宋体"/>
                <w:color w:val="auto"/>
                <w:spacing w:val="6"/>
                <w:kern w:val="2"/>
                <w:sz w:val="24"/>
                <w:szCs w:val="24"/>
              </w:rPr>
              <w:t>不允许</w:t>
            </w:r>
          </w:p>
        </w:tc>
      </w:tr>
      <w:tr w14:paraId="2711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53D8068A">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28</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3751C54">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签字和（或）盖章要求</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71EAD3F5">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ascii="宋体" w:hAnsi="宋体" w:eastAsia="宋体" w:cs="宋体"/>
                <w:color w:val="auto"/>
                <w:kern w:val="2"/>
                <w:sz w:val="24"/>
                <w:szCs w:val="24"/>
              </w:rPr>
            </w:pPr>
            <w:r>
              <w:rPr>
                <w:rFonts w:hint="eastAsia" w:ascii="宋体" w:hAnsi="宋体" w:eastAsia="宋体" w:cs="宋体"/>
                <w:color w:val="auto"/>
                <w:kern w:val="2"/>
                <w:sz w:val="24"/>
                <w:szCs w:val="24"/>
              </w:rPr>
              <w:t>电子化响应文件的签章：</w:t>
            </w:r>
          </w:p>
          <w:p w14:paraId="6986D047">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ascii="宋体" w:hAnsi="宋体" w:eastAsia="宋体" w:cs="宋体"/>
                <w:color w:val="auto"/>
                <w:kern w:val="2"/>
                <w:sz w:val="24"/>
                <w:szCs w:val="24"/>
              </w:rPr>
            </w:pPr>
            <w:r>
              <w:rPr>
                <w:rFonts w:hint="eastAsia" w:ascii="宋体" w:hAnsi="宋体" w:eastAsia="宋体" w:cs="宋体"/>
                <w:color w:val="auto"/>
                <w:kern w:val="2"/>
                <w:sz w:val="24"/>
                <w:szCs w:val="24"/>
              </w:rPr>
              <w:t>1、响应人在生成电子化响应文件后，应对电子化响应文件进行签章，未对电子化响应文件进行签章的视为无效</w:t>
            </w:r>
            <w:r>
              <w:rPr>
                <w:rFonts w:hint="eastAsia" w:ascii="宋体" w:hAnsi="宋体" w:cs="宋体"/>
                <w:color w:val="auto"/>
                <w:kern w:val="2"/>
                <w:sz w:val="24"/>
                <w:szCs w:val="24"/>
                <w:lang w:eastAsia="zh-CN"/>
              </w:rPr>
              <w:t>文件</w:t>
            </w:r>
            <w:r>
              <w:rPr>
                <w:rFonts w:hint="eastAsia" w:ascii="宋体" w:hAnsi="宋体" w:eastAsia="宋体" w:cs="宋体"/>
                <w:color w:val="auto"/>
                <w:kern w:val="2"/>
                <w:sz w:val="24"/>
                <w:szCs w:val="24"/>
              </w:rPr>
              <w:t>。</w:t>
            </w:r>
          </w:p>
          <w:p w14:paraId="6BBDCE10">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ascii="宋体" w:hAnsi="宋体" w:eastAsia="宋体" w:cs="宋体"/>
                <w:color w:val="auto"/>
                <w:kern w:val="2"/>
                <w:sz w:val="24"/>
                <w:szCs w:val="24"/>
              </w:rPr>
            </w:pPr>
            <w:r>
              <w:rPr>
                <w:rFonts w:hint="eastAsia" w:ascii="宋体" w:hAnsi="宋体" w:eastAsia="宋体" w:cs="宋体"/>
                <w:color w:val="auto"/>
                <w:kern w:val="2"/>
                <w:sz w:val="24"/>
                <w:szCs w:val="24"/>
              </w:rPr>
              <w:t>2、竞争性磋商文件中要求法定代表人或授权委托人盖章的，响应人在进行电子化响应文件签章时，以签盖法定代表人签章为准。</w:t>
            </w:r>
          </w:p>
          <w:p w14:paraId="61B28536">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rightChars="0"/>
              <w:jc w:val="left"/>
              <w:textAlignment w:val="auto"/>
              <w:outlineLvl w:val="9"/>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4"/>
              </w:rPr>
              <w:t>3、电子化响应文件工具请点击</w:t>
            </w:r>
            <w:r>
              <w:rPr>
                <w:rFonts w:ascii="宋体" w:hAnsi="宋体" w:eastAsia="宋体" w:cs="宋体"/>
                <w:color w:val="auto"/>
                <w:kern w:val="2"/>
                <w:sz w:val="24"/>
                <w:szCs w:val="24"/>
              </w:rPr>
              <w:t>https://download.bqpoint.com/download/downloadlist.html?SoftTypeCode=06</w:t>
            </w:r>
            <w:r>
              <w:rPr>
                <w:rFonts w:hint="eastAsia" w:ascii="宋体" w:hAnsi="宋体" w:eastAsia="宋体" w:cs="宋体"/>
                <w:color w:val="auto"/>
                <w:kern w:val="2"/>
                <w:sz w:val="24"/>
                <w:szCs w:val="24"/>
              </w:rPr>
              <w:t>进行下载。</w:t>
            </w:r>
          </w:p>
        </w:tc>
      </w:tr>
      <w:tr w14:paraId="1514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4EC632C2">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29</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7F8A44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auto"/>
              <w:rPr>
                <w:rFonts w:hint="default" w:ascii="宋体" w:hAnsi="宋体" w:eastAsia="宋体" w:cs="宋体"/>
                <w:color w:val="auto"/>
                <w:spacing w:val="6"/>
                <w:kern w:val="2"/>
                <w:sz w:val="24"/>
                <w:szCs w:val="24"/>
                <w:lang w:val="en-US" w:eastAsia="zh-CN" w:bidi="ar-SA"/>
              </w:rPr>
            </w:pPr>
            <w:r>
              <w:rPr>
                <w:rFonts w:hint="eastAsia" w:ascii="宋体" w:hAnsi="宋体" w:cs="宋体"/>
                <w:color w:val="auto"/>
                <w:spacing w:val="6"/>
                <w:kern w:val="2"/>
                <w:sz w:val="24"/>
                <w:szCs w:val="24"/>
                <w:lang w:val="en-US" w:eastAsia="zh-CN"/>
              </w:rPr>
              <w:t>履约保证金</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1492963F">
            <w:pPr>
              <w:keepNext w:val="0"/>
              <w:keepLines w:val="0"/>
              <w:pageBreakBefore w:val="0"/>
              <w:widowControl w:val="0"/>
              <w:suppressLineNumbers w:val="0"/>
              <w:kinsoku/>
              <w:overflowPunct/>
              <w:topLinePunct w:val="0"/>
              <w:bidi w:val="0"/>
              <w:spacing w:before="0" w:beforeAutospacing="0" w:after="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rPr>
              <w:t>不收取</w:t>
            </w:r>
          </w:p>
        </w:tc>
      </w:tr>
      <w:tr w14:paraId="7685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4D8BE476">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30</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3B184F5">
            <w:pPr>
              <w:keepNext w:val="0"/>
              <w:keepLines w:val="0"/>
              <w:widowControl w:val="0"/>
              <w:suppressLineNumbers w:val="0"/>
              <w:adjustRightInd w:val="0"/>
              <w:spacing w:before="0" w:beforeAutospacing="0" w:after="0" w:afterAutospacing="0" w:line="360" w:lineRule="auto"/>
              <w:ind w:left="0" w:leftChars="0" w:right="0" w:rightChars="0"/>
              <w:jc w:val="center"/>
              <w:rPr>
                <w:rFonts w:hint="eastAsia" w:ascii="宋体" w:hAnsi="宋体" w:eastAsia="宋体" w:cs="宋体"/>
                <w:color w:val="auto"/>
                <w:spacing w:val="-10"/>
                <w:kern w:val="2"/>
                <w:sz w:val="24"/>
                <w:szCs w:val="24"/>
                <w:lang w:val="en-US" w:eastAsia="zh-CN" w:bidi="ar-SA"/>
              </w:rPr>
            </w:pPr>
            <w:r>
              <w:rPr>
                <w:rFonts w:hint="eastAsia" w:ascii="宋体" w:hAnsi="宋体" w:cs="宋体"/>
                <w:color w:val="auto"/>
                <w:spacing w:val="-10"/>
                <w:kern w:val="2"/>
                <w:sz w:val="24"/>
                <w:szCs w:val="24"/>
              </w:rPr>
              <w:t>近年完成的类似项目的业绩年份要求</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5CA7BB2F">
            <w:pPr>
              <w:keepNext w:val="0"/>
              <w:keepLines w:val="0"/>
              <w:widowControl w:val="0"/>
              <w:suppressLineNumbers w:val="0"/>
              <w:adjustRightInd w:val="0"/>
              <w:spacing w:before="0" w:beforeAutospacing="0" w:after="0" w:afterAutospacing="0" w:line="360" w:lineRule="auto"/>
              <w:ind w:left="0" w:leftChars="0" w:right="0" w:rightChars="0"/>
              <w:jc w:val="both"/>
              <w:rPr>
                <w:rFonts w:hint="eastAsia" w:ascii="宋体" w:hAnsi="宋体" w:eastAsia="宋体" w:cs="宋体"/>
                <w:color w:val="auto"/>
                <w:spacing w:val="-10"/>
                <w:kern w:val="2"/>
                <w:sz w:val="24"/>
                <w:szCs w:val="24"/>
                <w:lang w:val="en-US" w:eastAsia="zh-CN" w:bidi="ar-SA"/>
              </w:rPr>
            </w:pPr>
            <w:r>
              <w:rPr>
                <w:rFonts w:hint="eastAsia" w:ascii="宋体" w:hAnsi="宋体" w:cs="宋体"/>
                <w:color w:val="auto"/>
                <w:spacing w:val="-10"/>
                <w:kern w:val="2"/>
                <w:sz w:val="24"/>
                <w:szCs w:val="24"/>
              </w:rPr>
              <w:t>20</w:t>
            </w:r>
            <w:r>
              <w:rPr>
                <w:rFonts w:hint="eastAsia" w:ascii="宋体" w:hAnsi="宋体" w:cs="宋体"/>
                <w:color w:val="auto"/>
                <w:spacing w:val="-10"/>
                <w:kern w:val="2"/>
                <w:sz w:val="24"/>
                <w:szCs w:val="24"/>
                <w:lang w:val="en-US" w:eastAsia="zh-CN"/>
              </w:rPr>
              <w:t>22</w:t>
            </w:r>
            <w:r>
              <w:rPr>
                <w:rFonts w:hint="eastAsia" w:ascii="宋体" w:hAnsi="宋体" w:cs="宋体"/>
                <w:color w:val="auto"/>
                <w:spacing w:val="-10"/>
                <w:kern w:val="2"/>
                <w:sz w:val="24"/>
                <w:szCs w:val="24"/>
              </w:rPr>
              <w:t>年01月01日以来完成类似项目</w:t>
            </w:r>
          </w:p>
        </w:tc>
      </w:tr>
      <w:tr w14:paraId="6807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D76A068">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31</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1A1E4D18">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eastAsia="宋体" w:cs="宋体"/>
                <w:color w:val="auto"/>
                <w:spacing w:val="6"/>
                <w:kern w:val="2"/>
                <w:sz w:val="24"/>
                <w:szCs w:val="24"/>
                <w:lang w:val="en-US" w:eastAsia="zh-CN" w:bidi="ar-SA"/>
              </w:rPr>
            </w:pPr>
            <w:r>
              <w:rPr>
                <w:rFonts w:ascii="宋体" w:hAnsi="宋体" w:cs="宋体"/>
                <w:color w:val="auto"/>
                <w:spacing w:val="6"/>
                <w:kern w:val="2"/>
                <w:sz w:val="24"/>
                <w:szCs w:val="24"/>
              </w:rPr>
              <w:t>竞争性磋商响应文件上传</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57DA9134">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eastAsia="宋体" w:cs="宋体"/>
                <w:color w:val="auto"/>
                <w:spacing w:val="6"/>
                <w:kern w:val="2"/>
                <w:sz w:val="24"/>
                <w:szCs w:val="24"/>
                <w:lang w:val="en-US" w:eastAsia="zh-CN" w:bidi="ar-SA"/>
              </w:rPr>
            </w:pPr>
            <w:r>
              <w:rPr>
                <w:rFonts w:hint="eastAsia" w:ascii="宋体" w:hAnsi="宋体" w:cs="宋体"/>
                <w:color w:val="auto"/>
                <w:spacing w:val="6"/>
                <w:kern w:val="2"/>
                <w:sz w:val="24"/>
                <w:szCs w:val="24"/>
              </w:rPr>
              <w:t>用CA在电子平台上传电子</w:t>
            </w:r>
            <w:r>
              <w:rPr>
                <w:rFonts w:hint="eastAsia" w:ascii="宋体" w:hAnsi="宋体" w:cs="宋体"/>
                <w:color w:val="auto"/>
                <w:spacing w:val="6"/>
                <w:kern w:val="2"/>
                <w:sz w:val="24"/>
                <w:szCs w:val="24"/>
                <w:lang w:eastAsia="zh-CN"/>
              </w:rPr>
              <w:t>响应</w:t>
            </w:r>
            <w:r>
              <w:rPr>
                <w:rFonts w:hint="eastAsia" w:ascii="宋体" w:hAnsi="宋体" w:cs="宋体"/>
                <w:color w:val="auto"/>
                <w:spacing w:val="6"/>
                <w:kern w:val="2"/>
                <w:sz w:val="24"/>
                <w:szCs w:val="24"/>
              </w:rPr>
              <w:t>文件</w:t>
            </w:r>
          </w:p>
        </w:tc>
      </w:tr>
      <w:tr w14:paraId="2669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5705DFD7">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32</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8F482A1">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ascii="宋体" w:hAnsi="宋体" w:cs="宋体"/>
                <w:color w:val="auto"/>
                <w:spacing w:val="6"/>
                <w:kern w:val="2"/>
                <w:sz w:val="24"/>
                <w:szCs w:val="24"/>
              </w:rPr>
              <w:t>磋商小组的组建</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62C311ED">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spacing w:val="6"/>
                <w:kern w:val="2"/>
                <w:sz w:val="24"/>
                <w:szCs w:val="24"/>
              </w:rPr>
            </w:pPr>
            <w:r>
              <w:rPr>
                <w:rFonts w:ascii="宋体" w:hAnsi="宋体" w:cs="宋体"/>
                <w:color w:val="auto"/>
                <w:spacing w:val="6"/>
                <w:kern w:val="2"/>
                <w:sz w:val="24"/>
                <w:szCs w:val="24"/>
              </w:rPr>
              <w:t>磋商小组成员为3人，</w:t>
            </w:r>
            <w:r>
              <w:rPr>
                <w:rFonts w:hint="eastAsia" w:ascii="宋体" w:hAnsi="宋体" w:cs="宋体"/>
                <w:color w:val="auto"/>
                <w:spacing w:val="6"/>
                <w:kern w:val="2"/>
                <w:sz w:val="24"/>
                <w:szCs w:val="24"/>
                <w:lang w:val="en-US" w:eastAsia="zh-CN"/>
              </w:rPr>
              <w:t>由</w:t>
            </w:r>
            <w:r>
              <w:rPr>
                <w:rFonts w:ascii="宋体" w:hAnsi="宋体" w:cs="宋体"/>
                <w:color w:val="auto"/>
                <w:spacing w:val="6"/>
                <w:kern w:val="2"/>
                <w:sz w:val="24"/>
                <w:szCs w:val="24"/>
              </w:rPr>
              <w:t>采购人代表1人，其余</w:t>
            </w:r>
            <w:r>
              <w:rPr>
                <w:rFonts w:hint="eastAsia" w:ascii="宋体" w:hAnsi="宋体" w:cs="宋体"/>
                <w:color w:val="auto"/>
                <w:spacing w:val="6"/>
                <w:kern w:val="2"/>
                <w:sz w:val="24"/>
                <w:szCs w:val="24"/>
                <w:lang w:val="en-US" w:eastAsia="zh-CN"/>
              </w:rPr>
              <w:t>技术、经济类</w:t>
            </w:r>
            <w:r>
              <w:rPr>
                <w:rFonts w:ascii="宋体" w:hAnsi="宋体" w:cs="宋体"/>
                <w:color w:val="auto"/>
                <w:spacing w:val="6"/>
                <w:kern w:val="2"/>
                <w:sz w:val="24"/>
                <w:szCs w:val="24"/>
              </w:rPr>
              <w:t>专家2人</w:t>
            </w:r>
            <w:r>
              <w:rPr>
                <w:rFonts w:hint="eastAsia" w:ascii="宋体" w:hAnsi="宋体" w:cs="宋体"/>
                <w:color w:val="auto"/>
                <w:spacing w:val="6"/>
                <w:kern w:val="2"/>
                <w:sz w:val="24"/>
                <w:szCs w:val="24"/>
                <w:lang w:val="en-US" w:eastAsia="zh-CN"/>
              </w:rPr>
              <w:t>组成；开标后</w:t>
            </w:r>
            <w:r>
              <w:rPr>
                <w:rFonts w:hint="eastAsia" w:ascii="宋体" w:hAnsi="宋体" w:cs="宋体"/>
                <w:color w:val="auto"/>
                <w:spacing w:val="6"/>
                <w:kern w:val="2"/>
                <w:sz w:val="24"/>
                <w:szCs w:val="24"/>
                <w:lang w:eastAsia="zh-CN"/>
              </w:rPr>
              <w:t>从</w:t>
            </w:r>
            <w:r>
              <w:rPr>
                <w:rFonts w:hint="eastAsia" w:ascii="宋体" w:hAnsi="宋体" w:cs="宋体"/>
                <w:color w:val="auto"/>
                <w:spacing w:val="6"/>
                <w:kern w:val="2"/>
                <w:sz w:val="24"/>
                <w:szCs w:val="24"/>
                <w:lang w:val="en-US" w:eastAsia="zh-CN"/>
              </w:rPr>
              <w:t>河南省财政厅</w:t>
            </w:r>
            <w:r>
              <w:rPr>
                <w:rFonts w:hint="eastAsia" w:ascii="宋体" w:hAnsi="宋体" w:cs="宋体"/>
                <w:color w:val="auto"/>
                <w:spacing w:val="6"/>
                <w:kern w:val="2"/>
                <w:sz w:val="24"/>
                <w:szCs w:val="24"/>
                <w:lang w:eastAsia="zh-CN"/>
              </w:rPr>
              <w:t>专家库中随机抽取。</w:t>
            </w:r>
          </w:p>
        </w:tc>
      </w:tr>
      <w:tr w14:paraId="72CA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7C6F09D2">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33</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FE19A33">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lang w:eastAsia="zh-CN"/>
              </w:rPr>
              <w:t>磋商</w:t>
            </w:r>
            <w:r>
              <w:rPr>
                <w:rFonts w:ascii="宋体" w:hAnsi="宋体" w:cs="宋体"/>
                <w:color w:val="auto"/>
                <w:spacing w:val="6"/>
                <w:kern w:val="2"/>
                <w:sz w:val="24"/>
                <w:szCs w:val="24"/>
              </w:rPr>
              <w:t>标</w:t>
            </w:r>
          </w:p>
          <w:p w14:paraId="3652AC45">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ascii="宋体" w:hAnsi="宋体" w:cs="宋体"/>
                <w:color w:val="auto"/>
                <w:spacing w:val="6"/>
                <w:kern w:val="2"/>
                <w:sz w:val="24"/>
                <w:szCs w:val="24"/>
              </w:rPr>
              <w:t>准及方法</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005100F">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spacing w:val="6"/>
                <w:kern w:val="2"/>
                <w:sz w:val="24"/>
                <w:szCs w:val="24"/>
              </w:rPr>
            </w:pPr>
            <w:r>
              <w:rPr>
                <w:rFonts w:ascii="宋体" w:hAnsi="宋体" w:cs="宋体"/>
                <w:color w:val="auto"/>
                <w:spacing w:val="6"/>
                <w:kern w:val="2"/>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color w:val="auto"/>
                <w:spacing w:val="6"/>
                <w:kern w:val="2"/>
                <w:sz w:val="24"/>
                <w:szCs w:val="24"/>
              </w:rPr>
              <w:t>（且推荐候选人为三名）</w:t>
            </w:r>
          </w:p>
        </w:tc>
      </w:tr>
      <w:tr w14:paraId="2D0C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2A5BFBE6">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34</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84ED49D">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是否授权</w:t>
            </w:r>
            <w:r>
              <w:rPr>
                <w:rFonts w:hint="eastAsia" w:ascii="宋体" w:hAnsi="宋体" w:cs="宋体"/>
                <w:color w:val="auto"/>
                <w:spacing w:val="6"/>
                <w:kern w:val="2"/>
                <w:sz w:val="24"/>
                <w:szCs w:val="24"/>
                <w:lang w:eastAsia="zh-CN"/>
              </w:rPr>
              <w:t>磋商小组</w:t>
            </w:r>
            <w:r>
              <w:rPr>
                <w:rFonts w:hint="eastAsia" w:ascii="宋体" w:hAnsi="宋体" w:cs="宋体"/>
                <w:color w:val="auto"/>
                <w:spacing w:val="6"/>
                <w:kern w:val="2"/>
                <w:sz w:val="24"/>
                <w:szCs w:val="24"/>
              </w:rPr>
              <w:t>确定中标人</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634D7B4">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否，</w:t>
            </w:r>
            <w:r>
              <w:rPr>
                <w:rFonts w:hint="eastAsia" w:ascii="宋体" w:hAnsi="宋体" w:cs="宋体"/>
                <w:color w:val="auto"/>
                <w:spacing w:val="6"/>
                <w:kern w:val="2"/>
                <w:sz w:val="24"/>
                <w:szCs w:val="24"/>
                <w:lang w:eastAsia="zh-CN"/>
              </w:rPr>
              <w:t>磋商小组</w:t>
            </w:r>
            <w:r>
              <w:rPr>
                <w:rFonts w:hint="eastAsia" w:ascii="宋体" w:hAnsi="宋体" w:cs="宋体"/>
                <w:color w:val="auto"/>
                <w:spacing w:val="6"/>
                <w:kern w:val="2"/>
                <w:sz w:val="24"/>
                <w:szCs w:val="24"/>
              </w:rPr>
              <w:t>推选三名中标候选人</w:t>
            </w:r>
          </w:p>
        </w:tc>
      </w:tr>
      <w:tr w14:paraId="085F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4"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36068F63">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35</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6040E731">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hint="eastAsia" w:ascii="宋体" w:hAnsi="宋体" w:cs="宋体"/>
                <w:color w:val="auto"/>
                <w:spacing w:val="6"/>
                <w:kern w:val="2"/>
                <w:sz w:val="24"/>
                <w:szCs w:val="24"/>
              </w:rPr>
              <w:t>其他事项</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A387530">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kern w:val="2"/>
                <w:sz w:val="24"/>
                <w:szCs w:val="24"/>
              </w:rPr>
            </w:pPr>
            <w:r>
              <w:rPr>
                <w:rFonts w:hint="eastAsia" w:ascii="宋体" w:hAnsi="宋体" w:cs="宋体"/>
                <w:color w:val="auto"/>
                <w:kern w:val="2"/>
                <w:sz w:val="24"/>
                <w:szCs w:val="24"/>
              </w:rPr>
              <w:t>1.电子化投标文件应在投标截止时间前成功上传至三门峡市公共资源电子化交易系统。至投标截止时间止，仍未上传成功的电子化投标文件，将不予接受</w:t>
            </w:r>
          </w:p>
          <w:p w14:paraId="116C6EB3">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kern w:val="2"/>
                <w:sz w:val="24"/>
                <w:szCs w:val="24"/>
              </w:rPr>
            </w:pPr>
            <w:r>
              <w:rPr>
                <w:rFonts w:hint="eastAsia" w:ascii="宋体" w:hAnsi="宋体" w:cs="宋体"/>
                <w:color w:val="auto"/>
                <w:kern w:val="2"/>
                <w:sz w:val="24"/>
                <w:szCs w:val="24"/>
              </w:rPr>
              <w:t>2.中标方领取通知书时，须提供与上传电子版内容一致的纸质版投标文件一份，不得采用活页夹形式</w:t>
            </w:r>
          </w:p>
          <w:p w14:paraId="5CA66BE2">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kern w:val="2"/>
                <w:sz w:val="24"/>
                <w:szCs w:val="24"/>
              </w:rPr>
            </w:pPr>
            <w:r>
              <w:rPr>
                <w:rFonts w:hint="eastAsia" w:ascii="宋体" w:hAnsi="宋体" w:cs="宋体"/>
                <w:color w:val="auto"/>
                <w:kern w:val="2"/>
                <w:sz w:val="24"/>
                <w:szCs w:val="24"/>
              </w:rPr>
              <w:t>3. 各供应商</w:t>
            </w:r>
            <w:r>
              <w:rPr>
                <w:rFonts w:hint="eastAsia" w:ascii="宋体" w:hAnsi="宋体" w:cs="宋体"/>
                <w:color w:val="auto"/>
                <w:kern w:val="2"/>
                <w:sz w:val="24"/>
                <w:szCs w:val="24"/>
                <w:lang w:val="en-US" w:eastAsia="zh-CN"/>
              </w:rPr>
              <w:t>应及时刷新系统</w:t>
            </w:r>
            <w:r>
              <w:rPr>
                <w:rFonts w:hint="eastAsia" w:ascii="宋体" w:hAnsi="宋体" w:cs="宋体"/>
                <w:color w:val="auto"/>
                <w:kern w:val="2"/>
                <w:sz w:val="24"/>
                <w:szCs w:val="24"/>
              </w:rPr>
              <w:t>，以方便</w:t>
            </w:r>
            <w:r>
              <w:rPr>
                <w:rFonts w:hint="eastAsia" w:ascii="宋体" w:hAnsi="宋体" w:cs="宋体"/>
                <w:color w:val="auto"/>
                <w:kern w:val="2"/>
                <w:sz w:val="24"/>
                <w:szCs w:val="24"/>
                <w:lang w:val="en-US" w:eastAsia="zh-CN"/>
              </w:rPr>
              <w:t>进行</w:t>
            </w:r>
            <w:r>
              <w:rPr>
                <w:rFonts w:hint="eastAsia" w:ascii="宋体" w:hAnsi="宋体" w:cs="宋体"/>
                <w:color w:val="auto"/>
                <w:kern w:val="2"/>
                <w:sz w:val="24"/>
                <w:szCs w:val="24"/>
              </w:rPr>
              <w:t>二次报价，未在规定时间内进行二次报价的按自动放弃处理</w:t>
            </w:r>
          </w:p>
        </w:tc>
      </w:tr>
      <w:tr w14:paraId="76D6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5BB6B56D">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36</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73EC616">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center"/>
              <w:textAlignment w:val="auto"/>
              <w:rPr>
                <w:rFonts w:hint="eastAsia" w:ascii="宋体" w:hAnsi="宋体" w:eastAsia="宋体" w:cs="宋体"/>
                <w:color w:val="0000FF"/>
                <w:kern w:val="2"/>
                <w:sz w:val="24"/>
                <w:szCs w:val="24"/>
              </w:rPr>
            </w:pPr>
            <w:r>
              <w:rPr>
                <w:rFonts w:hint="eastAsia" w:ascii="宋体" w:hAnsi="宋体" w:eastAsia="宋体" w:cs="宋体"/>
                <w:color w:val="auto"/>
                <w:kern w:val="2"/>
                <w:sz w:val="24"/>
                <w:szCs w:val="24"/>
              </w:rPr>
              <w:t>付款方式</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B8C0284">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hint="default" w:ascii="宋体" w:hAnsi="宋体" w:eastAsia="宋体" w:cs="宋体"/>
                <w:color w:val="0000FF"/>
                <w:kern w:val="2"/>
                <w:sz w:val="24"/>
                <w:szCs w:val="24"/>
                <w:lang w:val="en-US" w:eastAsia="zh-CN"/>
              </w:rPr>
            </w:pPr>
            <w:r>
              <w:rPr>
                <w:rFonts w:hint="default" w:ascii="宋体" w:hAnsi="宋体" w:eastAsia="宋体" w:cs="宋体"/>
                <w:color w:val="auto"/>
                <w:kern w:val="2"/>
                <w:sz w:val="24"/>
                <w:szCs w:val="24"/>
                <w:lang w:val="en-US" w:eastAsia="zh-CN"/>
              </w:rPr>
              <w:t>以《民法典》等相关法律法规为准，甲乙双方协定。</w:t>
            </w:r>
          </w:p>
        </w:tc>
      </w:tr>
      <w:tr w14:paraId="13CD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3E3C87E1">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37</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623AE5C7">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ascii="宋体" w:hAnsi="宋体" w:cs="宋体"/>
                <w:color w:val="auto"/>
                <w:spacing w:val="6"/>
                <w:kern w:val="2"/>
                <w:sz w:val="24"/>
                <w:szCs w:val="24"/>
              </w:rPr>
              <w:t>代理服务费</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05300D6">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rightChars="0"/>
              <w:jc w:val="both"/>
              <w:textAlignment w:val="auto"/>
            </w:pPr>
            <w:r>
              <w:rPr>
                <w:rFonts w:hint="eastAsia" w:ascii="宋体" w:hAnsi="宋体" w:cs="宋体"/>
                <w:color w:val="auto"/>
                <w:spacing w:val="6"/>
                <w:kern w:val="2"/>
                <w:sz w:val="24"/>
                <w:szCs w:val="24"/>
              </w:rPr>
              <w:t>本次磋商代理服务费参照豫招协[2023]002号河南省招标投标</w:t>
            </w:r>
            <w:r>
              <w:rPr>
                <w:rFonts w:hint="eastAsia" w:ascii="宋体" w:hAnsi="宋体" w:eastAsia="宋体" w:cs="宋体"/>
                <w:color w:val="auto"/>
                <w:spacing w:val="6"/>
                <w:kern w:val="2"/>
                <w:sz w:val="24"/>
                <w:szCs w:val="24"/>
              </w:rPr>
              <w:t>协会关于印发《河南省招标代理服务收费指导意见》规定的收费标准收取成交服务费，该代理服务费在成交人领取成交通知书时向招标代理机构缴纳。</w:t>
            </w:r>
            <w:r>
              <w:rPr>
                <w:rFonts w:hint="eastAsia" w:ascii="宋体" w:hAnsi="宋体" w:eastAsia="宋体" w:cs="宋体"/>
                <w:color w:val="auto"/>
                <w:spacing w:val="6"/>
                <w:kern w:val="2"/>
                <w:sz w:val="24"/>
                <w:szCs w:val="24"/>
                <w:lang w:eastAsia="zh-CN"/>
              </w:rPr>
              <w:t>代理服务费计算方式及金额在发布成交结果公告时一并公布。</w:t>
            </w:r>
          </w:p>
        </w:tc>
      </w:tr>
      <w:tr w14:paraId="5888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4233CB5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38</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43CDD8B">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竞争性磋商文件的解释</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33E4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在符合相关法律法规的前题下，竞争性磋商文件的解释权归采购人所有。本竞争性磋商文件中其他部分内容与响应人须知前附表不一致的，以响应人须知前附表为准。</w:t>
            </w:r>
          </w:p>
        </w:tc>
      </w:tr>
      <w:tr w14:paraId="6B9B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03B5CB4">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39</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62E226BB">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答疑</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4C769BB4">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left"/>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需要解答的疑问以书面形式加盖单位公章递交至采购人或代理机构，逾期提交的问题概不做回复。采购人将需要解答的内容以公告形式发至所有潜在响应人。</w:t>
            </w:r>
          </w:p>
        </w:tc>
      </w:tr>
      <w:tr w14:paraId="49F4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223EFBA">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40</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33A1EA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结果公告</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635D81E">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在《中国招标投标公共服务平台》、《河南省政府采购网》、《三门峡市公共资源交易中心网》同时进行公告，公示期1个工作日。</w:t>
            </w:r>
          </w:p>
        </w:tc>
      </w:tr>
      <w:tr w14:paraId="77BF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109C0D33">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41</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6CA0B3D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知识产权</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907308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21FA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35B88CDE">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42</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BC9890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重新招标的其他情形</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70303CE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除响应人须知正文规定的情形外，除非已经产生中标候选人，在磋商有效期内同意延长磋商有效期的响应人少于三个的，采购人应当依法重新招标。</w:t>
            </w:r>
          </w:p>
        </w:tc>
      </w:tr>
      <w:tr w14:paraId="65F0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12F6EB98">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43</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0166B6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同义词语</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D3E69A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1774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85CD4C8">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44</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DA0F43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监督</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6607222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kern w:val="2"/>
                <w:sz w:val="24"/>
                <w:szCs w:val="24"/>
              </w:rPr>
              <w:t>本项目的招标磋商活动及其相关当事人应当接受有管辖权的招标投标行政监督部门依法实施的监督。</w:t>
            </w:r>
          </w:p>
        </w:tc>
      </w:tr>
      <w:tr w14:paraId="0833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3" w:type="dxa"/>
            <w:tcBorders>
              <w:top w:val="single" w:color="auto" w:sz="6" w:space="0"/>
              <w:left w:val="single" w:color="auto" w:sz="12" w:space="0"/>
              <w:bottom w:val="single" w:color="auto" w:sz="12" w:space="0"/>
              <w:right w:val="single" w:color="auto" w:sz="6" w:space="0"/>
            </w:tcBorders>
            <w:noWrap w:val="0"/>
            <w:vAlign w:val="center"/>
          </w:tcPr>
          <w:p w14:paraId="314A52D2">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leftChars="0" w:right="0" w:rightChars="0"/>
              <w:jc w:val="center"/>
              <w:textAlignment w:val="auto"/>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45</w:t>
            </w:r>
          </w:p>
        </w:tc>
        <w:tc>
          <w:tcPr>
            <w:tcW w:w="1695" w:type="dxa"/>
            <w:tcBorders>
              <w:top w:val="single" w:color="auto" w:sz="6" w:space="0"/>
              <w:left w:val="single" w:color="auto" w:sz="6" w:space="0"/>
              <w:bottom w:val="single" w:color="auto" w:sz="12" w:space="0"/>
              <w:right w:val="single" w:color="auto" w:sz="6" w:space="0"/>
            </w:tcBorders>
            <w:noWrap w:val="0"/>
            <w:vAlign w:val="center"/>
          </w:tcPr>
          <w:p w14:paraId="12C3621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项目行业分类</w:t>
            </w:r>
          </w:p>
        </w:tc>
        <w:tc>
          <w:tcPr>
            <w:tcW w:w="7018" w:type="dxa"/>
            <w:tcBorders>
              <w:top w:val="single" w:color="auto" w:sz="6" w:space="0"/>
              <w:left w:val="single" w:color="auto" w:sz="6" w:space="0"/>
              <w:bottom w:val="single" w:color="auto" w:sz="12" w:space="0"/>
              <w:right w:val="single" w:color="auto" w:sz="12" w:space="0"/>
            </w:tcBorders>
            <w:noWrap w:val="0"/>
            <w:vAlign w:val="center"/>
          </w:tcPr>
          <w:p w14:paraId="1935D06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本项目为服务类采购项目</w:t>
            </w:r>
          </w:p>
          <w:p w14:paraId="6ACFBB7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采购标的所属行业：其他未列明行业</w:t>
            </w:r>
          </w:p>
          <w:p w14:paraId="135F385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划定标准为：《工业和信息化部、国家统计局、国家发展和改革委员会、财政部关于印发&lt;中小企业划型标准规定的通知&gt;（工信部联企业〔2011〕300号）规定的划分标准为依据。</w:t>
            </w:r>
          </w:p>
        </w:tc>
      </w:tr>
      <w:tr w14:paraId="4515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9" w:hRule="atLeast"/>
          <w:jc w:val="center"/>
        </w:trPr>
        <w:tc>
          <w:tcPr>
            <w:tcW w:w="773" w:type="dxa"/>
            <w:tcBorders>
              <w:top w:val="single" w:color="auto" w:sz="6" w:space="0"/>
              <w:left w:val="single" w:color="auto" w:sz="12" w:space="0"/>
              <w:bottom w:val="single" w:color="auto" w:sz="12" w:space="0"/>
              <w:right w:val="single" w:color="auto" w:sz="6" w:space="0"/>
            </w:tcBorders>
            <w:noWrap w:val="0"/>
            <w:vAlign w:val="center"/>
          </w:tcPr>
          <w:p w14:paraId="75ED061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46</w:t>
            </w:r>
          </w:p>
        </w:tc>
        <w:tc>
          <w:tcPr>
            <w:tcW w:w="1695" w:type="dxa"/>
            <w:tcBorders>
              <w:top w:val="single" w:color="auto" w:sz="6" w:space="0"/>
              <w:left w:val="single" w:color="auto" w:sz="6" w:space="0"/>
              <w:bottom w:val="single" w:color="auto" w:sz="12" w:space="0"/>
              <w:right w:val="single" w:color="auto" w:sz="6" w:space="0"/>
            </w:tcBorders>
            <w:noWrap w:val="0"/>
            <w:vAlign w:val="center"/>
          </w:tcPr>
          <w:p w14:paraId="1D912018">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rPr>
            </w:pPr>
            <w:r>
              <w:rPr>
                <w:rFonts w:ascii="宋体" w:hAnsi="宋体" w:cs="宋体"/>
                <w:b/>
                <w:color w:val="auto"/>
                <w:kern w:val="2"/>
                <w:sz w:val="24"/>
                <w:szCs w:val="24"/>
              </w:rPr>
              <w:t>电子化注意事项</w:t>
            </w:r>
          </w:p>
        </w:tc>
        <w:tc>
          <w:tcPr>
            <w:tcW w:w="7018" w:type="dxa"/>
            <w:tcBorders>
              <w:top w:val="single" w:color="auto" w:sz="6" w:space="0"/>
              <w:left w:val="single" w:color="auto" w:sz="6" w:space="0"/>
              <w:bottom w:val="single" w:color="auto" w:sz="12" w:space="0"/>
              <w:right w:val="single" w:color="auto" w:sz="12" w:space="0"/>
            </w:tcBorders>
            <w:noWrap w:val="0"/>
            <w:vAlign w:val="center"/>
          </w:tcPr>
          <w:p w14:paraId="48058346">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7913940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电子化磋商响应文件具体制作教材请供应商通过CA证书登录三门峡市公共资源电子化交易系统在 “交易智库”中下载操作流程</w:t>
            </w:r>
          </w:p>
          <w:p w14:paraId="66CE22E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温馨提示：本项目为电子化、无纸化交易项目，投标时不接受任何纸质资料，为保证您能投标成功，请需仔细阅读以下条款。</w:t>
            </w:r>
          </w:p>
          <w:p w14:paraId="24EAE22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一、电子化投标</w:t>
            </w:r>
          </w:p>
          <w:p w14:paraId="4F07490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（一）电子化磋商响应文件的签章</w:t>
            </w:r>
          </w:p>
          <w:p w14:paraId="772D2C3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1、供应商在生成电子化磋商响应文件后，应对电子化磋商响应文件进行签章，未进行签章的视为无效投标。</w:t>
            </w:r>
          </w:p>
          <w:p w14:paraId="20C08A7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2、磋商响应文件中要求法定代表人或授权委托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22A5A28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（二）电子化磋商响应文件的格式及上传投标</w:t>
            </w:r>
          </w:p>
          <w:p w14:paraId="7D65C7D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4B205B8A">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注：供应商投报多个标段的，需要每个标段单独制作电子磋商响应文件。</w:t>
            </w:r>
          </w:p>
          <w:p w14:paraId="7FD1DBC5">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2、电子化磋商响应文件应在投标截止时间前成功上传至三门峡市公共资源电子化交易系统。至投标截止时间止，仍未上传成功的电子化磋商响应文件将不予接收。</w:t>
            </w:r>
          </w:p>
          <w:p w14:paraId="16DA049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6FD018E5">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技术联系电话：400-998-0000</w:t>
            </w:r>
          </w:p>
          <w:p w14:paraId="0FF4E2C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（三）电子化项目开标、解密、唱标、评标</w:t>
            </w:r>
          </w:p>
          <w:p w14:paraId="5FC90D4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EF719F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0F795C84">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3、电子化磋商响应文件解密异常的处理</w:t>
            </w:r>
          </w:p>
          <w:p w14:paraId="2F3E2F2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如出现供应商的电子磋商响应文件无法解密等异常情况</w:t>
            </w:r>
            <w:r>
              <w:rPr>
                <w:rFonts w:hint="eastAsia" w:ascii="宋体" w:hAnsi="宋体"/>
                <w:color w:val="auto"/>
                <w:kern w:val="2"/>
                <w:sz w:val="24"/>
                <w:szCs w:val="24"/>
                <w:lang w:eastAsia="zh-CN"/>
              </w:rPr>
              <w:t>，</w:t>
            </w:r>
            <w:r>
              <w:rPr>
                <w:rFonts w:hint="eastAsia" w:ascii="宋体" w:hAnsi="宋体"/>
                <w:color w:val="auto"/>
                <w:kern w:val="2"/>
                <w:sz w:val="24"/>
                <w:szCs w:val="24"/>
              </w:rPr>
              <w:t>磋商响应文件异常，按以下步骤进行处理：</w:t>
            </w:r>
          </w:p>
          <w:p w14:paraId="4033663B">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（1）首先由技术人员进行问题排查。</w:t>
            </w:r>
          </w:p>
          <w:p w14:paraId="13B7F214">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（2）经技术人员排查后，是供应商文件自身问题导致磋商响应文件无法解密的，该磋商响应文件将不予接收、解密和唱标。开标会议继续进行。</w:t>
            </w:r>
          </w:p>
          <w:p w14:paraId="629308E1">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4612DF1B">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4、待所有供应商磋商响应文件解密完成后，由中介服务机构操作，对所有已解密磋商响应文件进行唱标。</w:t>
            </w:r>
          </w:p>
          <w:p w14:paraId="6CF633DD">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供应商应保证在开标期间电话、电脑、网络能够正常工作，供应商因停电、电脑病毒、网络堵塞等原因，未在规定的解密时间内对磋商响应文件进行解密的，其磋商响应文件不予接收、唱标。</w:t>
            </w:r>
          </w:p>
          <w:p w14:paraId="052D9F26">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5、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供应商未在规定时间内提出质疑的，视为认可唱标内容。</w:t>
            </w:r>
          </w:p>
          <w:p w14:paraId="11F41F5B">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6、评标时，评标委员会对电子化磋商响应文件有质疑的，将通过电子化交易系统对供应商发起质疑，供应商的回复文件必须以经过供应商和其法定代表人签章的PDF格式文件为准，并通过电子化交易系统提交至磋商小组。</w:t>
            </w:r>
          </w:p>
          <w:p w14:paraId="7BF9847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7、各供应商在会员系统中收到有关二次报价信息后，必须在规定时间内给出答复，并在签章后提交，采购人及采购代理机构不再电话通知。需要回复的响应人在规定的时间内未回复的，视为响应人放弃回复，评标委员会将自行对需要回复的内容进行认定。</w:t>
            </w:r>
          </w:p>
          <w:p w14:paraId="5B0A4773">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二、相关证书原件的提交</w:t>
            </w:r>
          </w:p>
          <w:p w14:paraId="504B8D9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本项目实行资格后审，磋商响应文件中要求供应商提交资质、业绩、荣誉及单位人员等相关资料原件的，供应商需将原件扫描件制作到电子磋商响应文件中。</w:t>
            </w:r>
          </w:p>
          <w:p w14:paraId="7A47B23D">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（一）供应商应及时完善主体库。</w:t>
            </w:r>
          </w:p>
          <w:p w14:paraId="7726787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olor w:val="auto"/>
                <w:kern w:val="2"/>
                <w:sz w:val="24"/>
                <w:szCs w:val="24"/>
              </w:rPr>
            </w:pPr>
            <w:r>
              <w:rPr>
                <w:rFonts w:hint="eastAsia" w:ascii="宋体" w:hAnsi="宋体"/>
                <w:color w:val="auto"/>
                <w:kern w:val="2"/>
                <w:sz w:val="24"/>
                <w:szCs w:val="24"/>
              </w:rPr>
              <w:t>（二）项目评标结果公示时，将同时公示中标候选人主体库信息，接受社会监督。</w:t>
            </w:r>
          </w:p>
        </w:tc>
      </w:tr>
    </w:tbl>
    <w:p w14:paraId="75D09B75">
      <w:pPr>
        <w:keepNext/>
        <w:keepLines/>
        <w:widowControl w:val="0"/>
        <w:spacing w:before="20" w:after="20" w:line="360" w:lineRule="auto"/>
        <w:outlineLvl w:val="1"/>
        <w:rPr>
          <w:rFonts w:ascii="宋体" w:hAnsi="宋体"/>
          <w:b/>
          <w:color w:val="auto"/>
          <w:sz w:val="24"/>
          <w:szCs w:val="24"/>
        </w:rPr>
      </w:pPr>
      <w:r>
        <w:rPr>
          <w:rFonts w:hint="eastAsia" w:ascii="宋体" w:hAnsi="宋体" w:cs="宋体"/>
          <w:b/>
          <w:color w:val="auto"/>
          <w:sz w:val="24"/>
          <w:szCs w:val="24"/>
        </w:rPr>
        <w:t>一、说明</w:t>
      </w:r>
    </w:p>
    <w:p w14:paraId="3ABBD668">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1.适用范围</w:t>
      </w:r>
    </w:p>
    <w:p w14:paraId="609C023A">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本竞争性磋商文件仅适用于竞争性磋商公告中所叙述项目的相关采购。</w:t>
      </w:r>
    </w:p>
    <w:p w14:paraId="51E7BA00">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2.定义</w:t>
      </w:r>
    </w:p>
    <w:p w14:paraId="59100694">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2.1  “采购人”系指本次项目内容的采购单位。</w:t>
      </w:r>
    </w:p>
    <w:p w14:paraId="61ABC709">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2.2  “采购代理机构”系指本次采购项目活动组织方。</w:t>
      </w:r>
    </w:p>
    <w:p w14:paraId="3E877DF7">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2.3 “供应商”系指响应采购、参加磋商竞争的法人或者其他组织。</w:t>
      </w:r>
    </w:p>
    <w:p w14:paraId="7D9323C2">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2.4 “供应商代表”系指代表供应商参加本次磋商活动的供应商的法定代表人或其委托代理人。</w:t>
      </w:r>
    </w:p>
    <w:p w14:paraId="7AC64495">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2.5 “服务”系指供应商按竞争性磋商文件规定提供采购人所要求的一切项目内容。</w:t>
      </w:r>
    </w:p>
    <w:p w14:paraId="50440732">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2.6 “相关服务”系指竞争性磋商文件规定供应商须承担的与本次采购项目相关的服务、协调工作以及其他类似的义务。</w:t>
      </w:r>
    </w:p>
    <w:p w14:paraId="3C7BCE54">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2.7 “竞争性磋商文件有效期”系指本次采购项目递交响应性文件截止之日起至合同签订之日止的期限。成交供应商的竞争性磋商文件有效期至合同完全履行止。</w:t>
      </w:r>
    </w:p>
    <w:p w14:paraId="67F7E6F9">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3.资金来源：</w:t>
      </w:r>
      <w:r>
        <w:rPr>
          <w:rFonts w:hint="eastAsia" w:ascii="宋体" w:hAnsi="宋体" w:cs="宋体"/>
          <w:color w:val="auto"/>
          <w:spacing w:val="-3"/>
          <w:sz w:val="24"/>
          <w:szCs w:val="24"/>
          <w:lang w:val="en-US" w:eastAsia="zh-CN"/>
        </w:rPr>
        <w:t>财政</w:t>
      </w:r>
      <w:r>
        <w:rPr>
          <w:rFonts w:hint="eastAsia" w:ascii="宋体" w:hAnsi="宋体" w:cs="宋体"/>
          <w:color w:val="auto"/>
          <w:spacing w:val="-3"/>
          <w:sz w:val="24"/>
          <w:szCs w:val="24"/>
        </w:rPr>
        <w:t>资金，已落实。</w:t>
      </w:r>
    </w:p>
    <w:p w14:paraId="3D182E3F">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4.供应商应提交的证明文件</w:t>
      </w:r>
    </w:p>
    <w:p w14:paraId="65711FDE">
      <w:pPr>
        <w:widowControl w:val="0"/>
        <w:autoSpaceDE w:val="0"/>
        <w:autoSpaceDN w:val="0"/>
        <w:adjustRightInd w:val="0"/>
        <w:spacing w:before="32" w:line="360" w:lineRule="auto"/>
        <w:ind w:right="-58"/>
        <w:jc w:val="both"/>
        <w:rPr>
          <w:rFonts w:ascii="宋体" w:hAnsi="宋体" w:cs="宋体"/>
          <w:b/>
          <w:color w:val="auto"/>
          <w:spacing w:val="-3"/>
          <w:sz w:val="24"/>
          <w:szCs w:val="24"/>
        </w:rPr>
      </w:pPr>
      <w:r>
        <w:rPr>
          <w:rFonts w:hint="eastAsia" w:ascii="宋体" w:hAnsi="宋体" w:cs="宋体"/>
          <w:color w:val="auto"/>
          <w:kern w:val="2"/>
          <w:sz w:val="24"/>
          <w:szCs w:val="24"/>
        </w:rPr>
        <w:t>具体详见供应商须知</w:t>
      </w:r>
    </w:p>
    <w:p w14:paraId="7A318A5A">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5.磋商费用</w:t>
      </w:r>
    </w:p>
    <w:p w14:paraId="4FCBEC65">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不论磋商结果如何，供应商均应自行承担所有与磋商有关的全部费用。</w:t>
      </w:r>
    </w:p>
    <w:p w14:paraId="59E21354">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6.联合体参加磋商</w:t>
      </w:r>
    </w:p>
    <w:p w14:paraId="3CC4B00B">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6.1 本项目不接受联合体参加磋商。</w:t>
      </w:r>
    </w:p>
    <w:p w14:paraId="6B78035A">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7.转包与分包</w:t>
      </w:r>
    </w:p>
    <w:p w14:paraId="39DC6CF4">
      <w:pPr>
        <w:widowControl w:val="0"/>
        <w:autoSpaceDE w:val="0"/>
        <w:autoSpaceDN w:val="0"/>
        <w:adjustRightInd w:val="0"/>
        <w:spacing w:before="32" w:line="360" w:lineRule="auto"/>
        <w:ind w:right="-58"/>
        <w:jc w:val="both"/>
        <w:rPr>
          <w:rFonts w:hint="eastAsia" w:ascii="宋体" w:hAnsi="宋体" w:cs="宋体"/>
          <w:color w:val="auto"/>
          <w:spacing w:val="-3"/>
          <w:sz w:val="24"/>
          <w:szCs w:val="24"/>
        </w:rPr>
      </w:pPr>
      <w:r>
        <w:rPr>
          <w:rFonts w:hint="eastAsia" w:ascii="宋体" w:hAnsi="宋体" w:cs="宋体"/>
          <w:color w:val="auto"/>
          <w:spacing w:val="-3"/>
          <w:sz w:val="24"/>
          <w:szCs w:val="24"/>
        </w:rPr>
        <w:t>7.1 本项目不允许采取转包方式履行合同。</w:t>
      </w:r>
    </w:p>
    <w:p w14:paraId="79EC9D5D">
      <w:pPr>
        <w:widowControl w:val="0"/>
        <w:autoSpaceDE w:val="0"/>
        <w:autoSpaceDN w:val="0"/>
        <w:adjustRightInd w:val="0"/>
        <w:spacing w:before="32" w:line="360" w:lineRule="auto"/>
        <w:ind w:right="-58"/>
        <w:jc w:val="both"/>
        <w:rPr>
          <w:rFonts w:hint="eastAsia" w:ascii="宋体" w:hAnsi="宋体" w:cs="宋体"/>
          <w:color w:val="auto"/>
          <w:spacing w:val="-3"/>
          <w:sz w:val="24"/>
          <w:szCs w:val="24"/>
        </w:rPr>
      </w:pPr>
      <w:r>
        <w:rPr>
          <w:rFonts w:hint="eastAsia" w:ascii="宋体" w:hAnsi="宋体" w:cs="宋体"/>
          <w:color w:val="auto"/>
          <w:spacing w:val="-3"/>
          <w:sz w:val="24"/>
          <w:szCs w:val="24"/>
        </w:rPr>
        <w:t>7.2 本项目不允许采取分包方式履行合同。</w:t>
      </w:r>
    </w:p>
    <w:p w14:paraId="0E1F02E6">
      <w:pPr>
        <w:widowControl w:val="0"/>
        <w:autoSpaceDE w:val="0"/>
        <w:autoSpaceDN w:val="0"/>
        <w:adjustRightInd w:val="0"/>
        <w:spacing w:before="32" w:line="360" w:lineRule="auto"/>
        <w:ind w:right="-58"/>
        <w:jc w:val="both"/>
        <w:rPr>
          <w:rFonts w:hint="eastAsia" w:ascii="宋体" w:hAnsi="宋体" w:cs="宋体"/>
          <w:color w:val="auto"/>
          <w:spacing w:val="-3"/>
          <w:sz w:val="24"/>
          <w:szCs w:val="24"/>
          <w:lang w:val="en-US" w:eastAsia="zh-CN"/>
        </w:rPr>
      </w:pPr>
      <w:r>
        <w:rPr>
          <w:rFonts w:hint="eastAsia" w:ascii="宋体" w:hAnsi="宋体" w:cs="宋体"/>
          <w:color w:val="auto"/>
          <w:spacing w:val="-3"/>
          <w:sz w:val="24"/>
          <w:szCs w:val="24"/>
          <w:lang w:val="en-US" w:eastAsia="zh-CN"/>
        </w:rPr>
        <w:t>7.3 本项目不允许偏离</w:t>
      </w:r>
    </w:p>
    <w:p w14:paraId="0183BD50">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8.特别说明：</w:t>
      </w:r>
    </w:p>
    <w:p w14:paraId="4EDEDDCA">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8.1 供应商参加磋商所使用的资格、信誉、荣誉、业绩与企业认证必须为本法人所拥有。</w:t>
      </w:r>
    </w:p>
    <w:p w14:paraId="09FFF15B">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8.2 供应商代表只能接受一个供应商的委托参加磋商。</w:t>
      </w:r>
    </w:p>
    <w:p w14:paraId="44D747F1">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8.3 供应商在磋商活动中提供虚假材料或从事其他违法活动的,其响应无效，由相关部门查处。</w:t>
      </w:r>
    </w:p>
    <w:p w14:paraId="34BD19CF">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9.质疑和投诉</w:t>
      </w:r>
    </w:p>
    <w:p w14:paraId="4485C679">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C3D5FB3">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2C4C649D">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10.供应商的风险</w:t>
      </w:r>
    </w:p>
    <w:p w14:paraId="2F2ED77B">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供应商没有按照竞争性磋商文件要求提供全部资料，或者供应商没有对响应性文件在各方面都作出实质性响应是供应商的风险，并可能导致其响应被拒绝。</w:t>
      </w:r>
    </w:p>
    <w:p w14:paraId="46B9A861">
      <w:pPr>
        <w:keepNext/>
        <w:keepLines/>
        <w:widowControl w:val="0"/>
        <w:spacing w:before="20" w:after="20" w:line="360" w:lineRule="auto"/>
        <w:jc w:val="center"/>
        <w:outlineLvl w:val="1"/>
        <w:rPr>
          <w:rFonts w:ascii="宋体" w:hAnsi="宋体"/>
          <w:b/>
          <w:color w:val="auto"/>
          <w:sz w:val="24"/>
          <w:szCs w:val="24"/>
        </w:rPr>
      </w:pPr>
      <w:bookmarkStart w:id="20" w:name="_Toc461977415"/>
      <w:bookmarkEnd w:id="20"/>
      <w:r>
        <w:rPr>
          <w:rFonts w:hint="eastAsia" w:ascii="宋体" w:hAnsi="宋体" w:cs="宋体"/>
          <w:b/>
          <w:color w:val="auto"/>
          <w:sz w:val="24"/>
          <w:szCs w:val="24"/>
        </w:rPr>
        <w:t>二、竞争性磋商文件</w:t>
      </w:r>
    </w:p>
    <w:p w14:paraId="2972C556">
      <w:pPr>
        <w:widowControl w:val="0"/>
        <w:autoSpaceDE w:val="0"/>
        <w:autoSpaceDN w:val="0"/>
        <w:adjustRightInd w:val="0"/>
        <w:spacing w:before="32" w:line="360" w:lineRule="auto"/>
        <w:ind w:right="-58"/>
        <w:jc w:val="both"/>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11.竞争性磋商文件的构成。本竞争性磋商文件由以下部分组成：</w:t>
      </w:r>
    </w:p>
    <w:p w14:paraId="4ABA7C40">
      <w:pPr>
        <w:widowControl w:val="0"/>
        <w:autoSpaceDE w:val="0"/>
        <w:autoSpaceDN w:val="0"/>
        <w:adjustRightInd w:val="0"/>
        <w:spacing w:before="32" w:line="360" w:lineRule="auto"/>
        <w:ind w:right="-58"/>
        <w:jc w:val="both"/>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11.1 竞争性磋商公告</w:t>
      </w:r>
    </w:p>
    <w:p w14:paraId="3B4E2FE1">
      <w:pPr>
        <w:widowControl w:val="0"/>
        <w:autoSpaceDE w:val="0"/>
        <w:autoSpaceDN w:val="0"/>
        <w:adjustRightInd w:val="0"/>
        <w:spacing w:before="32" w:line="360" w:lineRule="auto"/>
        <w:ind w:right="-58"/>
        <w:jc w:val="both"/>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11.2 供应商须知</w:t>
      </w:r>
    </w:p>
    <w:p w14:paraId="55542DCF">
      <w:pPr>
        <w:widowControl w:val="0"/>
        <w:autoSpaceDE w:val="0"/>
        <w:autoSpaceDN w:val="0"/>
        <w:adjustRightInd w:val="0"/>
        <w:spacing w:before="32" w:line="360" w:lineRule="auto"/>
        <w:ind w:right="-58"/>
        <w:jc w:val="both"/>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rPr>
        <w:t>11.3</w:t>
      </w:r>
      <w:r>
        <w:rPr>
          <w:rFonts w:hint="eastAsia" w:ascii="宋体" w:hAnsi="宋体" w:eastAsia="宋体" w:cs="宋体"/>
          <w:color w:val="auto"/>
          <w:spacing w:val="-3"/>
          <w:sz w:val="24"/>
          <w:szCs w:val="24"/>
          <w:lang w:val="en-US" w:eastAsia="zh-CN"/>
        </w:rPr>
        <w:t xml:space="preserve"> 服务需求</w:t>
      </w:r>
    </w:p>
    <w:p w14:paraId="246FDDFA">
      <w:pPr>
        <w:widowControl w:val="0"/>
        <w:autoSpaceDE w:val="0"/>
        <w:autoSpaceDN w:val="0"/>
        <w:adjustRightInd w:val="0"/>
        <w:spacing w:before="32" w:line="360" w:lineRule="auto"/>
        <w:ind w:right="-58"/>
        <w:jc w:val="both"/>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11.4 合同主要条款</w:t>
      </w:r>
    </w:p>
    <w:p w14:paraId="32E72D51">
      <w:pPr>
        <w:widowControl w:val="0"/>
        <w:autoSpaceDE w:val="0"/>
        <w:autoSpaceDN w:val="0"/>
        <w:adjustRightInd w:val="0"/>
        <w:spacing w:before="32" w:line="360" w:lineRule="auto"/>
        <w:ind w:right="-58"/>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 xml:space="preserve">11.5 </w:t>
      </w:r>
      <w:r>
        <w:rPr>
          <w:rFonts w:hint="eastAsia" w:ascii="宋体" w:hAnsi="宋体" w:eastAsia="宋体" w:cs="宋体"/>
          <w:color w:val="auto"/>
          <w:spacing w:val="-3"/>
          <w:sz w:val="24"/>
          <w:szCs w:val="24"/>
          <w:lang w:eastAsia="zh-CN"/>
        </w:rPr>
        <w:t>评审标准</w:t>
      </w:r>
    </w:p>
    <w:p w14:paraId="4542BB65">
      <w:pPr>
        <w:widowControl w:val="0"/>
        <w:autoSpaceDE w:val="0"/>
        <w:autoSpaceDN w:val="0"/>
        <w:adjustRightInd w:val="0"/>
        <w:spacing w:before="32" w:line="360" w:lineRule="auto"/>
        <w:ind w:right="-58"/>
        <w:jc w:val="both"/>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lang w:val="en-US" w:eastAsia="zh-CN"/>
        </w:rPr>
        <w:t xml:space="preserve">11.6 </w:t>
      </w:r>
      <w:r>
        <w:rPr>
          <w:rFonts w:hint="eastAsia" w:ascii="宋体" w:hAnsi="宋体" w:eastAsia="宋体" w:cs="宋体"/>
          <w:color w:val="auto"/>
          <w:spacing w:val="-3"/>
          <w:sz w:val="24"/>
          <w:szCs w:val="24"/>
        </w:rPr>
        <w:t>响应性文件格式</w:t>
      </w:r>
    </w:p>
    <w:p w14:paraId="1A6905ED">
      <w:pPr>
        <w:widowControl w:val="0"/>
        <w:autoSpaceDE w:val="0"/>
        <w:autoSpaceDN w:val="0"/>
        <w:adjustRightInd w:val="0"/>
        <w:spacing w:before="32" w:line="360" w:lineRule="auto"/>
        <w:ind w:right="-58"/>
        <w:jc w:val="both"/>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12.竞争性磋商文件的澄清与修改</w:t>
      </w:r>
    </w:p>
    <w:p w14:paraId="4CB1310A">
      <w:pPr>
        <w:widowControl w:val="0"/>
        <w:autoSpaceDE w:val="0"/>
        <w:autoSpaceDN w:val="0"/>
        <w:adjustRightInd w:val="0"/>
        <w:spacing w:before="32" w:line="360" w:lineRule="auto"/>
        <w:ind w:right="-58"/>
        <w:jc w:val="both"/>
        <w:rPr>
          <w:rFonts w:ascii="宋体" w:hAnsi="宋体" w:cs="宋体"/>
          <w:color w:val="auto"/>
          <w:spacing w:val="-3"/>
          <w:sz w:val="24"/>
          <w:szCs w:val="24"/>
        </w:rPr>
      </w:pPr>
      <w:r>
        <w:rPr>
          <w:rFonts w:hint="eastAsia" w:ascii="宋体" w:hAnsi="宋体" w:cs="宋体"/>
          <w:color w:val="auto"/>
          <w:spacing w:val="-3"/>
          <w:sz w:val="24"/>
          <w:szCs w:val="24"/>
        </w:rPr>
        <w:t>12.1 采购代理机构对已发出的竞争性磋商文件进行必要澄清、修改或补充</w:t>
      </w:r>
      <w:r>
        <w:rPr>
          <w:rFonts w:hint="eastAsia" w:ascii="宋体" w:hAnsi="宋体" w:cs="宋体"/>
          <w:color w:val="auto"/>
          <w:spacing w:val="-6"/>
          <w:sz w:val="24"/>
          <w:szCs w:val="24"/>
        </w:rPr>
        <w:t>的，应当在竞争性磋商文件要求提交响应性文件截止时间</w:t>
      </w:r>
      <w:r>
        <w:rPr>
          <w:rFonts w:hint="eastAsia" w:ascii="宋体" w:hAnsi="宋体" w:cs="宋体"/>
          <w:color w:val="auto"/>
          <w:spacing w:val="-6"/>
          <w:sz w:val="24"/>
          <w:szCs w:val="24"/>
          <w:lang w:val="en-US" w:eastAsia="zh-CN"/>
        </w:rPr>
        <w:t>5</w:t>
      </w:r>
      <w:r>
        <w:rPr>
          <w:rFonts w:hint="eastAsia" w:ascii="宋体" w:hAnsi="宋体" w:cs="宋体"/>
          <w:color w:val="auto"/>
          <w:spacing w:val="-6"/>
          <w:sz w:val="24"/>
          <w:szCs w:val="24"/>
        </w:rPr>
        <w:t>个工作日（如至原定</w:t>
      </w:r>
      <w:r>
        <w:rPr>
          <w:rFonts w:hint="eastAsia" w:ascii="宋体" w:hAnsi="宋体" w:cs="宋体"/>
          <w:color w:val="auto"/>
          <w:spacing w:val="-4"/>
          <w:sz w:val="24"/>
          <w:szCs w:val="24"/>
        </w:rPr>
        <w:t>截止时间不足</w:t>
      </w:r>
      <w:r>
        <w:rPr>
          <w:rFonts w:hint="eastAsia" w:ascii="宋体" w:hAnsi="宋体" w:cs="宋体"/>
          <w:color w:val="auto"/>
          <w:spacing w:val="-4"/>
          <w:sz w:val="24"/>
          <w:szCs w:val="24"/>
          <w:lang w:val="en-US" w:eastAsia="zh-CN"/>
        </w:rPr>
        <w:t>5</w:t>
      </w:r>
      <w:r>
        <w:rPr>
          <w:rFonts w:hint="eastAsia" w:ascii="宋体" w:hAnsi="宋体" w:cs="宋体"/>
          <w:color w:val="auto"/>
          <w:spacing w:val="-4"/>
          <w:sz w:val="24"/>
          <w:szCs w:val="24"/>
        </w:rPr>
        <w:t>个工作日，则需延长磋商开始时间）前，在发布公告的相关媒体上发布更正公告</w:t>
      </w:r>
      <w:r>
        <w:rPr>
          <w:rFonts w:hint="eastAsia" w:ascii="宋体" w:hAnsi="宋体" w:cs="宋体"/>
          <w:color w:val="auto"/>
          <w:spacing w:val="-3"/>
          <w:sz w:val="24"/>
          <w:szCs w:val="24"/>
        </w:rPr>
        <w:t>。竞争性磋商文件公示期间对竞争性磋商文件进行的澄清、修改或补充不受上述限制。</w:t>
      </w:r>
    </w:p>
    <w:p w14:paraId="255F0978">
      <w:pPr>
        <w:widowControl w:val="0"/>
        <w:autoSpaceDE w:val="0"/>
        <w:autoSpaceDN w:val="0"/>
        <w:adjustRightInd w:val="0"/>
        <w:spacing w:before="163" w:line="360" w:lineRule="auto"/>
        <w:rPr>
          <w:rFonts w:ascii="宋体" w:hAnsi="宋体" w:cs="宋体"/>
          <w:color w:val="auto"/>
          <w:spacing w:val="-3"/>
          <w:sz w:val="24"/>
          <w:szCs w:val="24"/>
        </w:rPr>
      </w:pPr>
      <w:r>
        <w:rPr>
          <w:rFonts w:hint="eastAsia" w:ascii="宋体" w:hAnsi="宋体" w:cs="宋体"/>
          <w:color w:val="auto"/>
          <w:spacing w:val="-3"/>
          <w:sz w:val="24"/>
          <w:szCs w:val="24"/>
        </w:rPr>
        <w:t>12.2 竞争性磋商文件澄清、修改或补充的内容为竞争性磋商文件的组成部分。</w:t>
      </w:r>
    </w:p>
    <w:p w14:paraId="4428A1C8">
      <w:pPr>
        <w:widowControl w:val="0"/>
        <w:autoSpaceDE w:val="0"/>
        <w:autoSpaceDN w:val="0"/>
        <w:adjustRightInd w:val="0"/>
        <w:spacing w:before="20" w:line="360" w:lineRule="auto"/>
        <w:ind w:right="-58"/>
        <w:jc w:val="both"/>
        <w:rPr>
          <w:rFonts w:ascii="宋体" w:hAnsi="宋体" w:cs="宋体"/>
          <w:color w:val="auto"/>
          <w:spacing w:val="-5"/>
          <w:sz w:val="24"/>
          <w:szCs w:val="24"/>
        </w:rPr>
      </w:pPr>
      <w:r>
        <w:rPr>
          <w:rFonts w:hint="eastAsia" w:ascii="宋体" w:hAnsi="宋体" w:cs="宋体"/>
          <w:color w:val="auto"/>
          <w:spacing w:val="-3"/>
          <w:sz w:val="24"/>
          <w:szCs w:val="24"/>
        </w:rPr>
        <w:t>12.3 竞争性磋商文件的澄清、修改或补充都应通过本采购代理机构以法定形式</w:t>
      </w:r>
      <w:r>
        <w:rPr>
          <w:rFonts w:hint="eastAsia" w:ascii="宋体" w:hAnsi="宋体" w:cs="宋体"/>
          <w:color w:val="auto"/>
          <w:spacing w:val="-5"/>
          <w:sz w:val="24"/>
          <w:szCs w:val="24"/>
        </w:rPr>
        <w:t>发布。采购人未通过本采购代理机构对竞争性磋商文件进行的澄清、修改或补充无效，磋商时不予认可。</w:t>
      </w:r>
    </w:p>
    <w:p w14:paraId="5F029894">
      <w:pPr>
        <w:widowControl w:val="0"/>
        <w:autoSpaceDE w:val="0"/>
        <w:autoSpaceDN w:val="0"/>
        <w:adjustRightInd w:val="0"/>
        <w:spacing w:line="360" w:lineRule="auto"/>
        <w:ind w:right="-58"/>
        <w:jc w:val="both"/>
        <w:rPr>
          <w:rFonts w:ascii="宋体" w:hAnsi="宋体" w:cs="宋体"/>
          <w:color w:val="auto"/>
          <w:spacing w:val="-4"/>
          <w:sz w:val="24"/>
          <w:szCs w:val="24"/>
        </w:rPr>
      </w:pPr>
      <w:r>
        <w:rPr>
          <w:rFonts w:hint="eastAsia" w:ascii="宋体" w:hAnsi="宋体" w:cs="宋体"/>
          <w:color w:val="auto"/>
          <w:spacing w:val="-3"/>
          <w:sz w:val="24"/>
          <w:szCs w:val="24"/>
        </w:rPr>
        <w:t>12.4 采购代理机构可以视采购具体情况，延长递交响应性文件截止时间和</w:t>
      </w:r>
      <w:r>
        <w:rPr>
          <w:rFonts w:hint="eastAsia" w:ascii="宋体" w:hAnsi="宋体" w:cs="宋体"/>
          <w:color w:val="auto"/>
          <w:spacing w:val="-4"/>
          <w:sz w:val="24"/>
          <w:szCs w:val="24"/>
        </w:rPr>
        <w:t>开始磋商时间，但至少应当在竞争性磋商文件要求提交响应性文件的截止时间</w:t>
      </w:r>
      <w:r>
        <w:rPr>
          <w:rFonts w:hint="eastAsia" w:ascii="宋体" w:hAnsi="宋体" w:cs="宋体"/>
          <w:color w:val="auto"/>
          <w:spacing w:val="-4"/>
          <w:sz w:val="24"/>
          <w:szCs w:val="24"/>
          <w:lang w:val="en-US" w:eastAsia="zh-CN"/>
        </w:rPr>
        <w:t>5</w:t>
      </w:r>
      <w:r>
        <w:rPr>
          <w:rFonts w:hint="eastAsia" w:ascii="宋体" w:hAnsi="宋体" w:cs="宋体"/>
          <w:color w:val="auto"/>
          <w:spacing w:val="-4"/>
          <w:sz w:val="24"/>
          <w:szCs w:val="24"/>
        </w:rPr>
        <w:t>个工作日前，将变更时间在《中国招标投标公共服务平台》、《河南省政府采购网》、《三门峡市公共资源交易中心网》等相关媒体上发布更正公告，磋商时间不足应顺延开标时间。</w:t>
      </w:r>
    </w:p>
    <w:p w14:paraId="4CB1788D">
      <w:pPr>
        <w:keepNext/>
        <w:keepLines/>
        <w:widowControl w:val="0"/>
        <w:spacing w:before="20" w:after="20" w:line="360" w:lineRule="auto"/>
        <w:jc w:val="center"/>
        <w:outlineLvl w:val="1"/>
        <w:rPr>
          <w:rFonts w:ascii="宋体" w:hAnsi="宋体"/>
          <w:b/>
          <w:color w:val="auto"/>
          <w:sz w:val="24"/>
          <w:szCs w:val="24"/>
        </w:rPr>
      </w:pPr>
      <w:bookmarkStart w:id="21" w:name="_Toc461977416"/>
      <w:bookmarkEnd w:id="21"/>
      <w:r>
        <w:rPr>
          <w:rFonts w:hint="eastAsia" w:ascii="宋体" w:hAnsi="宋体" w:cs="宋体"/>
          <w:b/>
          <w:color w:val="auto"/>
          <w:sz w:val="24"/>
          <w:szCs w:val="24"/>
        </w:rPr>
        <w:t>三、响应性文件的编制</w:t>
      </w:r>
    </w:p>
    <w:p w14:paraId="238F79BD">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13.要求</w:t>
      </w:r>
    </w:p>
    <w:p w14:paraId="098EF7E8">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4384686E">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14.响应性文件的语言和计量单位</w:t>
      </w:r>
    </w:p>
    <w:p w14:paraId="11D966FC">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14.1 响应性文件以及供应商与采购、代理机构就有关磋商事宜的所有来往函电均应使用简体中文书写。</w:t>
      </w:r>
    </w:p>
    <w:p w14:paraId="2E210DDC">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14.2 关于计量单位，竞争性磋商文件已有明确规定的，使用竞争性磋商文件规定的计量单位；竞争性磋商文件没有规定的，应采用中华人民共和国法定计量单位。</w:t>
      </w:r>
    </w:p>
    <w:p w14:paraId="22740E7A">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15.响应性文件的组成。响应性文件应包括：详见磋商文件</w:t>
      </w:r>
    </w:p>
    <w:p w14:paraId="11B06FD3">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16.响应性文件有效期</w:t>
      </w:r>
    </w:p>
    <w:p w14:paraId="3E4D5C60">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16.1 响应性文件从所规定的递交响应性文件截止期之后开始生效，有效期不足将导致其响应性文件被拒绝。成交供应商的响应性文件有效期至合同完全履行止。</w:t>
      </w:r>
    </w:p>
    <w:p w14:paraId="1A9943C5">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16.2 特殊情况下采购代理机构可于响应性文件有效期满之前要求供应商同意延长有效期，供应商应在采购代理机构规定的期限内予以答复。</w:t>
      </w:r>
    </w:p>
    <w:p w14:paraId="78F5F6A5">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17.磋商报价</w:t>
      </w:r>
    </w:p>
    <w:p w14:paraId="23242A30">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17.1 所有磋商报价均以人民币元为计算单位。供应商的报价为项目实施所需的人工费、服务费、运输费、税费、服务费及完成项目所需其他一切费用。</w:t>
      </w:r>
    </w:p>
    <w:p w14:paraId="7372AE6C">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17.2 供应商要按初次报价一览表的内容填写。</w:t>
      </w:r>
    </w:p>
    <w:p w14:paraId="1397FDDC">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17.3本次磋商应以人民币报价，进行二次报价。</w:t>
      </w:r>
    </w:p>
    <w:p w14:paraId="4CC65E16">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18.磋商保证金</w:t>
      </w:r>
    </w:p>
    <w:p w14:paraId="5A050788">
      <w:pPr>
        <w:widowControl w:val="0"/>
        <w:autoSpaceDE w:val="0"/>
        <w:autoSpaceDN w:val="0"/>
        <w:adjustRightInd w:val="0"/>
        <w:spacing w:before="32" w:line="360" w:lineRule="auto"/>
        <w:ind w:right="-58"/>
        <w:jc w:val="both"/>
        <w:rPr>
          <w:rFonts w:hint="eastAsia" w:ascii="宋体" w:hAnsi="宋体" w:cs="宋体"/>
          <w:color w:val="auto"/>
          <w:spacing w:val="-4"/>
          <w:sz w:val="24"/>
          <w:szCs w:val="24"/>
        </w:rPr>
      </w:pPr>
      <w:r>
        <w:rPr>
          <w:rFonts w:hint="eastAsia" w:ascii="宋体" w:hAnsi="宋体" w:cs="宋体"/>
          <w:color w:val="auto"/>
          <w:spacing w:val="-4"/>
          <w:sz w:val="24"/>
          <w:szCs w:val="24"/>
        </w:rPr>
        <w:t>18.1</w:t>
      </w:r>
      <w:r>
        <w:rPr>
          <w:rFonts w:hint="eastAsia" w:ascii="宋体" w:hAnsi="宋体" w:cs="宋体"/>
          <w:color w:val="auto"/>
          <w:spacing w:val="-4"/>
          <w:sz w:val="24"/>
          <w:szCs w:val="24"/>
          <w:lang w:val="en-US" w:eastAsia="zh-CN"/>
        </w:rPr>
        <w:t>.</w:t>
      </w:r>
      <w:r>
        <w:rPr>
          <w:rFonts w:hint="eastAsia" w:ascii="宋体" w:hAnsi="宋体" w:cs="宋体"/>
          <w:color w:val="auto"/>
          <w:spacing w:val="-4"/>
          <w:sz w:val="24"/>
          <w:szCs w:val="24"/>
        </w:rPr>
        <w:t>1按照《河南省财政厅关于优化政府采购营商环境有关问题的通知》（豫财购[2019]4号文）的要求本项目不再收取</w:t>
      </w:r>
      <w:r>
        <w:rPr>
          <w:rFonts w:hint="eastAsia" w:ascii="宋体" w:hAnsi="宋体" w:cs="宋体"/>
          <w:color w:val="auto"/>
          <w:spacing w:val="-4"/>
          <w:sz w:val="24"/>
          <w:szCs w:val="24"/>
          <w:lang w:eastAsia="zh-CN"/>
        </w:rPr>
        <w:t>磋商</w:t>
      </w:r>
      <w:r>
        <w:rPr>
          <w:rFonts w:hint="eastAsia" w:ascii="宋体" w:hAnsi="宋体" w:cs="宋体"/>
          <w:color w:val="auto"/>
          <w:spacing w:val="-4"/>
          <w:sz w:val="24"/>
          <w:szCs w:val="24"/>
        </w:rPr>
        <w:t>保证金；</w:t>
      </w:r>
    </w:p>
    <w:p w14:paraId="4FF972ED">
      <w:pPr>
        <w:widowControl w:val="0"/>
        <w:autoSpaceDE w:val="0"/>
        <w:autoSpaceDN w:val="0"/>
        <w:adjustRightInd w:val="0"/>
        <w:spacing w:before="32" w:line="360" w:lineRule="auto"/>
        <w:ind w:right="-58"/>
        <w:jc w:val="both"/>
        <w:rPr>
          <w:rFonts w:hint="eastAsia" w:ascii="宋体" w:hAnsi="宋体" w:cs="宋体"/>
          <w:color w:val="auto"/>
          <w:spacing w:val="-4"/>
          <w:sz w:val="24"/>
          <w:szCs w:val="24"/>
        </w:rPr>
      </w:pPr>
      <w:r>
        <w:rPr>
          <w:rFonts w:hint="eastAsia" w:ascii="宋体" w:hAnsi="宋体" w:cs="宋体"/>
          <w:color w:val="auto"/>
          <w:spacing w:val="-4"/>
          <w:sz w:val="24"/>
          <w:szCs w:val="24"/>
          <w:lang w:val="en-US" w:eastAsia="zh-CN"/>
        </w:rPr>
        <w:t>18.1.2</w:t>
      </w:r>
      <w:r>
        <w:rPr>
          <w:rFonts w:hint="eastAsia" w:ascii="宋体" w:hAnsi="宋体" w:cs="宋体"/>
          <w:color w:val="auto"/>
          <w:spacing w:val="-4"/>
          <w:sz w:val="24"/>
          <w:szCs w:val="24"/>
        </w:rPr>
        <w:t>响应人需提供投标承诺函。（承诺事项及违背承诺的责任追究措施，详见磋商文件第五章响应文件内容及格式）。</w:t>
      </w:r>
    </w:p>
    <w:p w14:paraId="4D4986A1">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19. 响应性文件的签署</w:t>
      </w:r>
    </w:p>
    <w:p w14:paraId="0EAFA39A">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19.1 供应商应按本竞争性磋商文件规定的格</w:t>
      </w:r>
      <w:r>
        <w:rPr>
          <w:rFonts w:hint="eastAsia" w:ascii="宋体" w:hAnsi="宋体" w:cs="宋体"/>
          <w:color w:val="000000" w:themeColor="text1"/>
          <w:spacing w:val="-4"/>
          <w:sz w:val="24"/>
          <w:szCs w:val="24"/>
          <w14:textFill>
            <w14:solidFill>
              <w14:schemeClr w14:val="tx1"/>
            </w14:solidFill>
          </w14:textFill>
        </w:rPr>
        <w:t>式和顺序编制响应性文件。除了响应性文件封面以外，每个页面都要在明显位置编制页码，按流水顺序填写，</w:t>
      </w:r>
      <w:r>
        <w:rPr>
          <w:rFonts w:hint="eastAsia" w:ascii="宋体" w:hAnsi="宋体" w:cs="宋体"/>
          <w:color w:val="auto"/>
          <w:spacing w:val="-4"/>
          <w:sz w:val="24"/>
          <w:szCs w:val="24"/>
        </w:rPr>
        <w:t>字迹必须清晰可认，响应性文件的目录必须编序。响应性文件内容不完整、编排混乱导致被误读、漏读或者查找不到相关内容的，由供应商负责。</w:t>
      </w:r>
    </w:p>
    <w:p w14:paraId="2CDA0CF4">
      <w:pPr>
        <w:keepNext/>
        <w:keepLines/>
        <w:widowControl w:val="0"/>
        <w:spacing w:before="20" w:after="20" w:line="360" w:lineRule="auto"/>
        <w:jc w:val="center"/>
        <w:outlineLvl w:val="1"/>
        <w:rPr>
          <w:rFonts w:ascii="宋体" w:hAnsi="宋体" w:cs="宋体"/>
          <w:color w:val="auto"/>
          <w:spacing w:val="-4"/>
          <w:sz w:val="24"/>
          <w:szCs w:val="24"/>
        </w:rPr>
      </w:pPr>
      <w:bookmarkStart w:id="22" w:name="_Toc461977417"/>
      <w:bookmarkEnd w:id="22"/>
      <w:r>
        <w:rPr>
          <w:rFonts w:hint="eastAsia" w:ascii="宋体" w:hAnsi="宋体" w:cs="宋体"/>
          <w:b/>
          <w:color w:val="auto"/>
          <w:sz w:val="24"/>
          <w:szCs w:val="24"/>
        </w:rPr>
        <w:t>四、响应性文件的递交</w:t>
      </w:r>
    </w:p>
    <w:p w14:paraId="40885BB1">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20.响应性文件的递交</w:t>
      </w:r>
    </w:p>
    <w:p w14:paraId="577696AA">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在响应文件截止时间前上传至三门峡市公共资源交易中心系统平台。</w:t>
      </w:r>
    </w:p>
    <w:p w14:paraId="0360A29E">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21.响应性文件的修改和撤回</w:t>
      </w:r>
    </w:p>
    <w:p w14:paraId="0630DA65">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21.1供应商在递交竞争性磋商文件截止时间前，可以对所提交的响应性文件进行补充、修改或者撤回。</w:t>
      </w:r>
    </w:p>
    <w:p w14:paraId="165475AF">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22.供应商有下列情形之一的，采购人或采购代理机构将拒绝接受其响应性文件：</w:t>
      </w:r>
    </w:p>
    <w:p w14:paraId="38C57EB8">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22.1 在竞争性磋商文件规定的递交竞争性磋商文件截止时间之后上传竞争性磋商文件的。</w:t>
      </w:r>
    </w:p>
    <w:p w14:paraId="1755E621">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22. 2未按竞争性磋商文件参加磋商的。</w:t>
      </w:r>
    </w:p>
    <w:p w14:paraId="6B8FE2EA">
      <w:pPr>
        <w:keepNext/>
        <w:keepLines/>
        <w:widowControl w:val="0"/>
        <w:spacing w:before="20" w:after="20" w:line="360" w:lineRule="auto"/>
        <w:jc w:val="center"/>
        <w:outlineLvl w:val="1"/>
        <w:rPr>
          <w:rFonts w:ascii="宋体" w:hAnsi="宋体"/>
          <w:b/>
          <w:color w:val="auto"/>
          <w:sz w:val="24"/>
          <w:szCs w:val="24"/>
        </w:rPr>
      </w:pPr>
      <w:bookmarkStart w:id="23" w:name="_Toc461977418"/>
      <w:bookmarkEnd w:id="23"/>
      <w:r>
        <w:rPr>
          <w:rFonts w:hint="eastAsia" w:ascii="宋体" w:hAnsi="宋体" w:cs="宋体"/>
          <w:b/>
          <w:color w:val="auto"/>
          <w:sz w:val="24"/>
          <w:szCs w:val="24"/>
        </w:rPr>
        <w:t>五、磋商</w:t>
      </w:r>
    </w:p>
    <w:p w14:paraId="3A6FDE59">
      <w:pPr>
        <w:widowControl w:val="0"/>
        <w:autoSpaceDE w:val="0"/>
        <w:autoSpaceDN w:val="0"/>
        <w:adjustRightInd w:val="0"/>
        <w:spacing w:before="32" w:line="360" w:lineRule="auto"/>
        <w:ind w:right="-58"/>
        <w:jc w:val="both"/>
        <w:rPr>
          <w:rFonts w:hint="eastAsia" w:ascii="宋体" w:hAnsi="宋体" w:eastAsia="宋体" w:cs="宋体"/>
          <w:color w:val="auto"/>
          <w:spacing w:val="-4"/>
          <w:sz w:val="24"/>
          <w:szCs w:val="24"/>
          <w:lang w:eastAsia="zh-CN"/>
        </w:rPr>
      </w:pPr>
      <w:r>
        <w:rPr>
          <w:rFonts w:hint="eastAsia" w:ascii="宋体" w:hAnsi="宋体" w:cs="宋体"/>
          <w:color w:val="auto"/>
          <w:spacing w:val="-4"/>
          <w:sz w:val="24"/>
          <w:szCs w:val="24"/>
        </w:rPr>
        <w:t>23、磋商仪式</w:t>
      </w:r>
    </w:p>
    <w:p w14:paraId="768219D9">
      <w:pPr>
        <w:widowControl w:val="0"/>
        <w:autoSpaceDE w:val="0"/>
        <w:autoSpaceDN w:val="0"/>
        <w:adjustRightInd w:val="0"/>
        <w:spacing w:before="32" w:line="360" w:lineRule="auto"/>
        <w:ind w:right="-58"/>
        <w:jc w:val="both"/>
        <w:rPr>
          <w:rFonts w:ascii="宋体" w:hAnsi="宋体"/>
          <w:color w:val="auto"/>
          <w:sz w:val="24"/>
          <w:szCs w:val="24"/>
          <w:shd w:val="clear" w:color="auto" w:fill="FFFFFF"/>
        </w:rPr>
      </w:pPr>
      <w:r>
        <w:rPr>
          <w:rFonts w:hint="eastAsia" w:ascii="宋体" w:hAnsi="宋体" w:cs="宋体"/>
          <w:color w:val="auto"/>
          <w:spacing w:val="-4"/>
          <w:sz w:val="24"/>
          <w:szCs w:val="24"/>
        </w:rPr>
        <w:t>磋商仪式由代理公司主持，竞争性磋商领导小组成员、采购人代表、监督代表以及有关工作人员参加，本项目为不见面开标项目，所有参与交易活动的投标人无需到现场参加开标，投标人进行远程开标解密工作，每位投标人的解密时间为开标时间起30分钟内完成，</w:t>
      </w:r>
      <w:r>
        <w:rPr>
          <w:rFonts w:hint="eastAsia" w:ascii="宋体" w:hAnsi="宋体"/>
          <w:color w:val="auto"/>
          <w:sz w:val="24"/>
          <w:szCs w:val="24"/>
          <w:shd w:val="clear" w:color="auto" w:fill="FFFFFF"/>
        </w:rPr>
        <w:t>因供应商原因未能解密、解密失败或解密超时的将被拒绝</w:t>
      </w:r>
    </w:p>
    <w:p w14:paraId="787145D9">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24、磋商小组</w:t>
      </w:r>
      <w:r>
        <w:rPr>
          <w:rFonts w:hint="eastAsia" w:ascii="宋体" w:hAnsi="宋体" w:cs="宋体"/>
          <w:color w:val="auto"/>
          <w:spacing w:val="-4"/>
          <w:sz w:val="24"/>
          <w:szCs w:val="24"/>
        </w:rPr>
        <w:tab/>
      </w:r>
    </w:p>
    <w:p w14:paraId="4805D159">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7843A7BD">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25、磋商工作纪律及保密</w:t>
      </w:r>
    </w:p>
    <w:p w14:paraId="17D121A3">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评审专家应当遵守评审工作纪律，不得泄露评审情况和评审中获悉的商业秘密。</w:t>
      </w:r>
    </w:p>
    <w:p w14:paraId="476D5A4D">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26、磋商小组工作原则</w:t>
      </w:r>
    </w:p>
    <w:p w14:paraId="267FF0A0">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09A4C90">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27、响应文件审查</w:t>
      </w:r>
    </w:p>
    <w:p w14:paraId="78D2EE5C">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909A9F">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28、供应商澄清</w:t>
      </w:r>
    </w:p>
    <w:p w14:paraId="37A227F5">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磋商小组要求供应商澄清、说明或者更正响应文件将在电子系统作出。</w:t>
      </w:r>
    </w:p>
    <w:p w14:paraId="215FBC59">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29、磋商程序、最后报价、综合评分</w:t>
      </w:r>
    </w:p>
    <w:p w14:paraId="0D23BA1C">
      <w:pPr>
        <w:widowControl w:val="0"/>
        <w:autoSpaceDE w:val="0"/>
        <w:autoSpaceDN w:val="0"/>
        <w:adjustRightInd w:val="0"/>
        <w:spacing w:before="32" w:line="360" w:lineRule="auto"/>
        <w:ind w:right="-58" w:firstLine="348" w:firstLineChars="150"/>
        <w:jc w:val="both"/>
        <w:rPr>
          <w:rFonts w:ascii="宋体" w:hAnsi="宋体" w:cs="宋体"/>
          <w:color w:val="auto"/>
          <w:spacing w:val="-4"/>
          <w:sz w:val="24"/>
          <w:szCs w:val="24"/>
        </w:rPr>
      </w:pPr>
      <w:r>
        <w:rPr>
          <w:rFonts w:hint="eastAsia" w:ascii="宋体" w:hAnsi="宋体" w:cs="宋体"/>
          <w:color w:val="auto"/>
          <w:spacing w:val="-4"/>
          <w:sz w:val="24"/>
          <w:szCs w:val="24"/>
        </w:rPr>
        <w:t>磋商小组所有成员应当集中与单一供应商分别进行磋商，并给予所有参加磋商的供应商平等的磋商机会。</w:t>
      </w:r>
    </w:p>
    <w:p w14:paraId="0041E4F4">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5656C13A">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磋商文件能够详细列明采购的的技术、服务要求的，磋商结束后，磋商小组将要求所有实质性响应的供应商在规定时间内提交最后报价。最后报价是供应商响应文件的有效组成部分。</w:t>
      </w:r>
    </w:p>
    <w:p w14:paraId="0C65D6EA">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已提交响应文件的供应商，在提交最后报价之前，可以根据情况退出磋商。将退还退出磋商的供应商的磋商保证金。</w:t>
      </w:r>
    </w:p>
    <w:p w14:paraId="51F8F3EA">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47C90E9">
      <w:pPr>
        <w:widowControl w:val="0"/>
        <w:autoSpaceDE w:val="0"/>
        <w:autoSpaceDN w:val="0"/>
        <w:adjustRightInd w:val="0"/>
        <w:spacing w:before="32" w:line="360" w:lineRule="auto"/>
        <w:ind w:right="-58" w:firstLine="348" w:firstLineChars="150"/>
        <w:jc w:val="both"/>
        <w:rPr>
          <w:rFonts w:ascii="宋体" w:hAnsi="宋体" w:cs="宋体"/>
          <w:color w:val="auto"/>
          <w:spacing w:val="-4"/>
          <w:sz w:val="24"/>
          <w:szCs w:val="24"/>
        </w:rPr>
      </w:pPr>
      <w:r>
        <w:rPr>
          <w:rFonts w:hint="eastAsia" w:ascii="宋体" w:hAnsi="宋体" w:cs="宋体"/>
          <w:color w:val="auto"/>
          <w:spacing w:val="-4"/>
          <w:sz w:val="24"/>
          <w:szCs w:val="24"/>
        </w:rPr>
        <w:t>评审时，磋商小组各成员独立对每个有效响应的文件进行评价、打分，然后汇总每个供应商每项评分因素的得分。</w:t>
      </w:r>
    </w:p>
    <w:p w14:paraId="53590439">
      <w:pPr>
        <w:widowControl w:val="0"/>
        <w:autoSpaceDE w:val="0"/>
        <w:autoSpaceDN w:val="0"/>
        <w:adjustRightInd w:val="0"/>
        <w:spacing w:before="32" w:line="360" w:lineRule="auto"/>
        <w:ind w:left="110" w:leftChars="55" w:right="-58" w:firstLine="232" w:firstLineChars="100"/>
        <w:jc w:val="both"/>
        <w:rPr>
          <w:rFonts w:ascii="宋体" w:hAnsi="宋体" w:cs="宋体"/>
          <w:color w:val="auto"/>
          <w:spacing w:val="-4"/>
          <w:sz w:val="24"/>
          <w:szCs w:val="24"/>
        </w:rPr>
      </w:pPr>
      <w:r>
        <w:rPr>
          <w:rFonts w:hint="eastAsia" w:ascii="宋体" w:hAnsi="宋体" w:cs="宋体"/>
          <w:color w:val="auto"/>
          <w:spacing w:val="-4"/>
          <w:sz w:val="24"/>
          <w:szCs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708D5505">
      <w:pPr>
        <w:widowControl w:val="0"/>
        <w:autoSpaceDE w:val="0"/>
        <w:autoSpaceDN w:val="0"/>
        <w:adjustRightInd w:val="0"/>
        <w:spacing w:before="32" w:line="360" w:lineRule="auto"/>
        <w:ind w:right="-58" w:firstLine="348" w:firstLineChars="150"/>
        <w:jc w:val="both"/>
        <w:rPr>
          <w:rFonts w:ascii="宋体" w:hAnsi="宋体" w:cs="宋体"/>
          <w:color w:val="auto"/>
          <w:spacing w:val="-4"/>
          <w:sz w:val="24"/>
          <w:szCs w:val="24"/>
        </w:rPr>
      </w:pPr>
      <w:r>
        <w:rPr>
          <w:rFonts w:hint="eastAsia" w:ascii="宋体" w:hAnsi="宋体" w:cs="宋体"/>
          <w:color w:val="auto"/>
          <w:spacing w:val="-4"/>
          <w:sz w:val="24"/>
          <w:szCs w:val="24"/>
        </w:rPr>
        <w:t>出现下列情形之一的，将终止竞争性磋商采购活动，发布项目终止公告并说明原因，重新开展采购活动：</w:t>
      </w:r>
    </w:p>
    <w:p w14:paraId="431631F6">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1、不符合法律、法规和竞争性磋商文件中规定的其他实质性要求的；</w:t>
      </w:r>
    </w:p>
    <w:p w14:paraId="5419117D">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2、其他法律、法规及本竞争性磋商文件规定的属响应无效的情形。终止竞争性磋商采购活动的条款；</w:t>
      </w:r>
    </w:p>
    <w:p w14:paraId="62CFD776">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3、因情况变化，不再符合规定的竞争性磋商采购方式适用情形的；出现影响采购公正的违法、违规行为的；</w:t>
      </w:r>
    </w:p>
    <w:p w14:paraId="00184A62">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30、磋商截止时间结束后参加供应商不足3家的，</w:t>
      </w:r>
      <w:r>
        <w:rPr>
          <w:rFonts w:hint="eastAsia" w:ascii="宋体" w:hAnsi="宋体" w:cs="宋体"/>
          <w:color w:val="auto"/>
          <w:spacing w:val="-4"/>
          <w:sz w:val="24"/>
          <w:szCs w:val="24"/>
          <w:lang w:eastAsia="zh-CN"/>
        </w:rPr>
        <w:t>应</w:t>
      </w:r>
      <w:r>
        <w:rPr>
          <w:rFonts w:hint="eastAsia" w:ascii="宋体" w:hAnsi="宋体" w:cs="宋体"/>
          <w:color w:val="auto"/>
          <w:spacing w:val="-4"/>
          <w:sz w:val="24"/>
          <w:szCs w:val="24"/>
        </w:rPr>
        <w:t>重新组织采购</w:t>
      </w:r>
      <w:r>
        <w:rPr>
          <w:rFonts w:hint="eastAsia" w:ascii="宋体" w:hAnsi="宋体" w:cs="宋体"/>
          <w:color w:val="auto"/>
          <w:spacing w:val="-4"/>
          <w:sz w:val="24"/>
          <w:szCs w:val="24"/>
          <w:lang w:eastAsia="zh-CN"/>
        </w:rPr>
        <w:t>，</w:t>
      </w:r>
      <w:r>
        <w:rPr>
          <w:rFonts w:hint="eastAsia" w:ascii="宋体" w:hAnsi="宋体" w:cs="宋体"/>
          <w:color w:val="auto"/>
          <w:spacing w:val="-4"/>
          <w:sz w:val="24"/>
          <w:szCs w:val="24"/>
        </w:rPr>
        <w:t>评审期间符合专业条件的供应商或者对磋商响应文件作出实质响应的供应商不足3家的，</w:t>
      </w:r>
      <w:r>
        <w:rPr>
          <w:rFonts w:hint="eastAsia" w:ascii="宋体" w:hAnsi="宋体" w:cs="宋体"/>
          <w:color w:val="auto"/>
          <w:spacing w:val="-4"/>
          <w:sz w:val="24"/>
          <w:szCs w:val="24"/>
          <w:lang w:eastAsia="zh-CN"/>
        </w:rPr>
        <w:t>应</w:t>
      </w:r>
      <w:r>
        <w:rPr>
          <w:rFonts w:hint="eastAsia" w:ascii="宋体" w:hAnsi="宋体" w:cs="宋体"/>
          <w:color w:val="auto"/>
          <w:spacing w:val="-4"/>
          <w:sz w:val="24"/>
          <w:szCs w:val="24"/>
        </w:rPr>
        <w:t>重新组织采购。</w:t>
      </w:r>
    </w:p>
    <w:p w14:paraId="4D5B3F53">
      <w:pPr>
        <w:keepNext/>
        <w:keepLines/>
        <w:widowControl w:val="0"/>
        <w:spacing w:before="20" w:after="20" w:line="360" w:lineRule="auto"/>
        <w:jc w:val="center"/>
        <w:outlineLvl w:val="1"/>
        <w:rPr>
          <w:rFonts w:ascii="宋体" w:hAnsi="宋体"/>
          <w:b/>
          <w:color w:val="auto"/>
          <w:sz w:val="24"/>
          <w:szCs w:val="24"/>
        </w:rPr>
      </w:pPr>
      <w:bookmarkStart w:id="24" w:name="_Toc461977419"/>
      <w:bookmarkEnd w:id="24"/>
      <w:r>
        <w:rPr>
          <w:rFonts w:hint="eastAsia" w:ascii="宋体" w:hAnsi="宋体" w:cs="宋体"/>
          <w:b/>
          <w:color w:val="auto"/>
          <w:sz w:val="24"/>
          <w:szCs w:val="24"/>
        </w:rPr>
        <w:t>六、确定成交</w:t>
      </w:r>
    </w:p>
    <w:p w14:paraId="2439652C">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 xml:space="preserve"> 评标结束后，采购人和其委托的采购代理机构，在政府采购项目评审结束</w:t>
      </w:r>
      <w:r>
        <w:rPr>
          <w:rFonts w:hint="eastAsia" w:ascii="宋体" w:hAnsi="宋体" w:cs="宋体"/>
          <w:color w:val="auto"/>
          <w:spacing w:val="-4"/>
          <w:sz w:val="24"/>
          <w:szCs w:val="24"/>
          <w:lang w:eastAsia="zh-CN"/>
        </w:rPr>
        <w:t>当</w:t>
      </w:r>
      <w:r>
        <w:rPr>
          <w:rFonts w:hint="eastAsia" w:ascii="宋体" w:hAnsi="宋体" w:cs="宋体"/>
          <w:color w:val="auto"/>
          <w:spacing w:val="-4"/>
          <w:sz w:val="24"/>
          <w:szCs w:val="24"/>
        </w:rPr>
        <w:t>日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58B439B3">
      <w:pPr>
        <w:keepNext/>
        <w:keepLines/>
        <w:widowControl w:val="0"/>
        <w:spacing w:before="20" w:after="20" w:line="360" w:lineRule="auto"/>
        <w:jc w:val="center"/>
        <w:outlineLvl w:val="1"/>
        <w:rPr>
          <w:rFonts w:ascii="宋体" w:hAnsi="宋体"/>
          <w:b/>
          <w:color w:val="auto"/>
          <w:sz w:val="24"/>
          <w:szCs w:val="24"/>
        </w:rPr>
      </w:pPr>
      <w:bookmarkStart w:id="25" w:name="_Toc461977420"/>
      <w:bookmarkEnd w:id="25"/>
      <w:r>
        <w:rPr>
          <w:rFonts w:hint="eastAsia" w:ascii="宋体" w:hAnsi="宋体" w:cs="宋体"/>
          <w:b/>
          <w:color w:val="auto"/>
          <w:sz w:val="24"/>
          <w:szCs w:val="24"/>
        </w:rPr>
        <w:t>七、授予合同</w:t>
      </w:r>
    </w:p>
    <w:p w14:paraId="4D787A8A">
      <w:pPr>
        <w:widowControl w:val="0"/>
        <w:autoSpaceDE w:val="0"/>
        <w:autoSpaceDN w:val="0"/>
        <w:adjustRightInd w:val="0"/>
        <w:spacing w:before="32" w:line="360" w:lineRule="auto"/>
        <w:ind w:right="-58"/>
        <w:jc w:val="both"/>
        <w:rPr>
          <w:rFonts w:ascii="宋体" w:hAnsi="宋体" w:cs="宋体"/>
          <w:color w:val="auto"/>
          <w:spacing w:val="-4"/>
          <w:sz w:val="24"/>
          <w:szCs w:val="24"/>
        </w:rPr>
      </w:pPr>
      <w:r>
        <w:rPr>
          <w:rFonts w:hint="eastAsia" w:ascii="宋体" w:hAnsi="宋体" w:cs="宋体"/>
          <w:color w:val="auto"/>
          <w:spacing w:val="-4"/>
          <w:sz w:val="24"/>
          <w:szCs w:val="24"/>
        </w:rPr>
        <w:t>签订合同</w:t>
      </w:r>
    </w:p>
    <w:p w14:paraId="02672DDC">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采购人、中标供应商在《中标通知书》发出之日起在</w:t>
      </w:r>
      <w:r>
        <w:rPr>
          <w:rFonts w:hint="eastAsia" w:ascii="宋体" w:hAnsi="宋体" w:cs="宋体"/>
          <w:color w:val="auto"/>
          <w:spacing w:val="-4"/>
          <w:sz w:val="24"/>
          <w:szCs w:val="24"/>
          <w:lang w:val="en-US" w:eastAsia="zh-CN"/>
        </w:rPr>
        <w:t>1</w:t>
      </w:r>
      <w:r>
        <w:rPr>
          <w:rFonts w:hint="eastAsia" w:ascii="宋体" w:hAnsi="宋体" w:cs="宋体"/>
          <w:color w:val="auto"/>
          <w:spacing w:val="-4"/>
          <w:sz w:val="24"/>
          <w:szCs w:val="24"/>
        </w:rPr>
        <w:t>个工作日，根据竞争性磋商文件确定的事项和中标供应商投标文件签订合同，合同签订后</w:t>
      </w:r>
      <w:r>
        <w:rPr>
          <w:rFonts w:hint="eastAsia" w:ascii="宋体" w:hAnsi="宋体" w:cs="宋体"/>
          <w:color w:val="auto"/>
          <w:spacing w:val="-4"/>
          <w:sz w:val="24"/>
          <w:szCs w:val="24"/>
          <w:lang w:val="en-US" w:eastAsia="zh-CN"/>
        </w:rPr>
        <w:t>2</w:t>
      </w:r>
      <w:r>
        <w:rPr>
          <w:rFonts w:hint="eastAsia" w:ascii="宋体" w:hAnsi="宋体" w:cs="宋体"/>
          <w:color w:val="auto"/>
          <w:spacing w:val="-4"/>
          <w:sz w:val="24"/>
          <w:szCs w:val="24"/>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24C2806">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42D5AC84">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rPr>
      </w:pPr>
      <w:r>
        <w:rPr>
          <w:rFonts w:hint="eastAsia" w:ascii="宋体" w:hAnsi="宋体" w:cs="宋体"/>
          <w:color w:val="auto"/>
          <w:spacing w:val="-4"/>
          <w:sz w:val="24"/>
          <w:szCs w:val="24"/>
        </w:rPr>
        <w:t>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组织采购。</w:t>
      </w:r>
    </w:p>
    <w:p w14:paraId="592677CD">
      <w:pPr>
        <w:keepNext/>
        <w:tabs>
          <w:tab w:val="left" w:pos="1233"/>
        </w:tabs>
        <w:spacing w:line="440" w:lineRule="exact"/>
        <w:ind w:firstLine="466" w:firstLineChars="200"/>
        <w:jc w:val="center"/>
        <w:outlineLvl w:val="1"/>
        <w:rPr>
          <w:rFonts w:ascii="宋体" w:hAnsi="宋体" w:eastAsia="宋体" w:cs="宋体"/>
          <w:b/>
          <w:bCs/>
          <w:color w:val="auto"/>
          <w:sz w:val="24"/>
          <w:szCs w:val="24"/>
          <w:highlight w:val="none"/>
        </w:rPr>
      </w:pPr>
      <w:r>
        <w:rPr>
          <w:rFonts w:hint="eastAsia" w:ascii="宋体" w:hAnsi="宋体" w:cs="宋体"/>
          <w:b/>
          <w:bCs/>
          <w:color w:val="auto"/>
          <w:spacing w:val="-4"/>
          <w:sz w:val="24"/>
          <w:szCs w:val="24"/>
          <w:lang w:val="en-US" w:eastAsia="zh-CN"/>
        </w:rPr>
        <w:t>八、</w:t>
      </w:r>
      <w:bookmarkStart w:id="26" w:name="_Toc18422"/>
      <w:r>
        <w:rPr>
          <w:rFonts w:hint="eastAsia" w:ascii="宋体" w:hAnsi="宋体" w:eastAsia="宋体" w:cs="宋体"/>
          <w:b/>
          <w:bCs/>
          <w:color w:val="auto"/>
          <w:sz w:val="24"/>
          <w:szCs w:val="24"/>
          <w:highlight w:val="none"/>
        </w:rPr>
        <w:t>重新招标</w:t>
      </w:r>
      <w:bookmarkEnd w:id="26"/>
    </w:p>
    <w:p w14:paraId="6AAF66B8">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出现下列情形之一的，将终止竞争性磋商采购活动，发布项目终止公告并说明原因，重新开展采购活动：</w:t>
      </w:r>
    </w:p>
    <w:p w14:paraId="0E8B30BF">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不符合法律、法规和竞争性磋商文件中规定的其他实质性要求的；</w:t>
      </w:r>
    </w:p>
    <w:p w14:paraId="10DCA493">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其他法律、法规及本竞争性磋商文件规定的属响应无效的情形。终止竞争性磋商采购活动的条款；</w:t>
      </w:r>
    </w:p>
    <w:p w14:paraId="563525C9">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因情况变化，不再符合规定的竞争性磋商采购方式适用情形的；出现影响采购公正的违法、违规行为的；</w:t>
      </w:r>
    </w:p>
    <w:p w14:paraId="1CD384FC">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w:t>
      </w:r>
      <w:r>
        <w:rPr>
          <w:rFonts w:hint="eastAsia" w:ascii="宋体" w:hAnsi="宋体" w:cs="宋体"/>
          <w:color w:val="auto"/>
          <w:sz w:val="24"/>
          <w:szCs w:val="24"/>
          <w:highlight w:val="none"/>
          <w:lang w:eastAsia="zh-CN"/>
        </w:rPr>
        <w:t>文件递交</w:t>
      </w:r>
      <w:r>
        <w:rPr>
          <w:rFonts w:hint="eastAsia" w:ascii="宋体" w:hAnsi="宋体" w:eastAsia="宋体" w:cs="宋体"/>
          <w:color w:val="auto"/>
          <w:sz w:val="24"/>
          <w:szCs w:val="24"/>
          <w:highlight w:val="none"/>
        </w:rPr>
        <w:t>截止时间结束后参加响应人不足3家的，应重新组织采购。评审期间符合专业条件的响应人或者对磋商响应文件作出实质响应的响应人不足3家的。</w:t>
      </w:r>
    </w:p>
    <w:p w14:paraId="13F8A797">
      <w:pPr>
        <w:widowControl/>
        <w:shd w:val="clear" w:color="auto" w:fill="FFFFFF"/>
        <w:spacing w:line="400" w:lineRule="exact"/>
        <w:ind w:firstLine="482" w:firstLineChars="200"/>
        <w:jc w:val="center"/>
        <w:rPr>
          <w:rFonts w:ascii="宋体" w:hAnsi="宋体" w:eastAsia="宋体" w:cs="monospace"/>
          <w:b/>
          <w:color w:val="auto"/>
          <w:sz w:val="24"/>
          <w:szCs w:val="24"/>
          <w:highlight w:val="none"/>
        </w:rPr>
      </w:pPr>
      <w:r>
        <w:rPr>
          <w:rFonts w:hint="eastAsia" w:ascii="宋体" w:hAnsi="宋体" w:eastAsia="宋体" w:cs="monospace"/>
          <w:b/>
          <w:color w:val="auto"/>
          <w:kern w:val="0"/>
          <w:sz w:val="24"/>
          <w:szCs w:val="24"/>
          <w:highlight w:val="none"/>
          <w:shd w:val="clear" w:color="auto" w:fill="FFFFFF"/>
          <w:lang w:val="en-US" w:eastAsia="zh-CN" w:bidi="ar"/>
        </w:rPr>
        <w:t>九、</w:t>
      </w:r>
      <w:r>
        <w:rPr>
          <w:rFonts w:ascii="宋体" w:hAnsi="宋体" w:eastAsia="宋体" w:cs="sans-serif"/>
          <w:b/>
          <w:color w:val="auto"/>
          <w:kern w:val="0"/>
          <w:sz w:val="24"/>
          <w:szCs w:val="24"/>
          <w:highlight w:val="none"/>
          <w:shd w:val="clear" w:color="auto" w:fill="FFFFFF"/>
          <w:lang w:bidi="ar"/>
        </w:rPr>
        <w:t>投诉</w:t>
      </w:r>
    </w:p>
    <w:p w14:paraId="3FBAD0FE">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供应商和其他利害关系人认为本次竞争性磋商违反法律、法规和规章规定的，有权向有关行政监督部门投诉。</w:t>
      </w:r>
    </w:p>
    <w:p w14:paraId="3854DB2C">
      <w:pPr>
        <w:widowControl/>
        <w:shd w:val="clear" w:color="auto" w:fill="FFFFFF"/>
        <w:spacing w:line="400" w:lineRule="exact"/>
        <w:ind w:firstLine="482" w:firstLineChars="200"/>
        <w:jc w:val="center"/>
        <w:rPr>
          <w:rFonts w:ascii="宋体" w:hAnsi="宋体" w:eastAsia="宋体" w:cs="monospace"/>
          <w:b/>
          <w:color w:val="auto"/>
          <w:sz w:val="24"/>
          <w:szCs w:val="24"/>
          <w:highlight w:val="none"/>
        </w:rPr>
      </w:pPr>
      <w:r>
        <w:rPr>
          <w:rFonts w:hint="eastAsia" w:ascii="宋体" w:hAnsi="宋体" w:eastAsia="宋体" w:cs="monospace"/>
          <w:b/>
          <w:color w:val="auto"/>
          <w:kern w:val="0"/>
          <w:sz w:val="24"/>
          <w:szCs w:val="24"/>
          <w:highlight w:val="none"/>
          <w:shd w:val="clear" w:color="auto" w:fill="FFFFFF"/>
          <w:lang w:val="en-US" w:eastAsia="zh-CN" w:bidi="ar"/>
        </w:rPr>
        <w:t>十、</w:t>
      </w:r>
      <w:r>
        <w:rPr>
          <w:rFonts w:ascii="宋体" w:hAnsi="宋体" w:eastAsia="宋体" w:cs="sans-serif"/>
          <w:b/>
          <w:color w:val="auto"/>
          <w:kern w:val="0"/>
          <w:sz w:val="24"/>
          <w:szCs w:val="24"/>
          <w:highlight w:val="none"/>
          <w:shd w:val="clear" w:color="auto" w:fill="FFFFFF"/>
          <w:lang w:bidi="ar"/>
        </w:rPr>
        <w:t>质疑程序及处理</w:t>
      </w:r>
    </w:p>
    <w:p w14:paraId="20B9A02E">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28D98E06">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（一）对可以质疑的磋商文件提出质疑的，为收到磋商文件之日或者磋商文件公告期限届满之日；</w:t>
      </w:r>
    </w:p>
    <w:p w14:paraId="153AA1C3">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（二）对采购过程提出质疑的，为各采购程序环节结束之日；</w:t>
      </w:r>
    </w:p>
    <w:p w14:paraId="3B4190EE">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（三）对成交结果提出质疑的，为成交结果公告期限届满之日。</w:t>
      </w:r>
    </w:p>
    <w:p w14:paraId="788A5072">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质疑书应当包括下列主要内容，并按照“谁主张、谁举证”的原则，附上相关证明材料。否则，采购人不予受理：</w:t>
      </w:r>
    </w:p>
    <w:p w14:paraId="474DA9F9">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（四）提起质疑的日期</w:t>
      </w:r>
    </w:p>
    <w:p w14:paraId="62ECC3BB">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761A5491">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供应商委托代理人办理质疑事宜，应当提交授权委托书，并载明委托代理的具体权限和事项。授权委托书应当由委托人签字并加盖单位公章。</w:t>
      </w:r>
    </w:p>
    <w:p w14:paraId="61D9F6A7">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0A7D780F">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CD120FC">
      <w:pPr>
        <w:snapToGrid w:val="0"/>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11115C72">
      <w:pPr>
        <w:snapToGrid w:val="0"/>
        <w:spacing w:line="440" w:lineRule="exact"/>
        <w:ind w:firstLine="480" w:firstLineChars="200"/>
        <w:rPr>
          <w:rFonts w:ascii="宋体" w:hAnsi="宋体" w:eastAsia="宋体"/>
          <w:b/>
          <w:color w:val="auto"/>
          <w:sz w:val="24"/>
          <w:szCs w:val="24"/>
          <w:highlight w:val="none"/>
        </w:rPr>
      </w:pPr>
      <w:r>
        <w:rPr>
          <w:rFonts w:ascii="宋体" w:hAnsi="宋体" w:eastAsia="宋体" w:cs="宋体"/>
          <w:color w:val="auto"/>
          <w:sz w:val="24"/>
          <w:szCs w:val="24"/>
          <w:highlight w:val="none"/>
        </w:rPr>
        <w:t>质疑供应商对采购人的答复不满意以及采购人未在规定的时间内做出答复的，可以在答复期满后15个工作日内向财政部门投诉。</w:t>
      </w:r>
    </w:p>
    <w:tbl>
      <w:tblPr>
        <w:tblStyle w:val="18"/>
        <w:tblpPr w:leftFromText="180" w:rightFromText="180" w:vertAnchor="text" w:horzAnchor="page" w:tblpX="1421" w:tblpY="1"/>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5" w:type="dxa"/>
          <w:bottom w:w="0" w:type="dxa"/>
          <w:right w:w="15" w:type="dxa"/>
        </w:tblCellMar>
      </w:tblPr>
      <w:tblGrid>
        <w:gridCol w:w="8780"/>
      </w:tblGrid>
      <w:tr w14:paraId="08C0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noWrap w:val="0"/>
            <w:vAlign w:val="center"/>
          </w:tcPr>
          <w:p w14:paraId="02866C40">
            <w:pPr>
              <w:snapToGrid w:val="0"/>
              <w:spacing w:line="440" w:lineRule="exact"/>
              <w:ind w:firstLine="482" w:firstLineChars="20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十八、代理服务费</w:t>
            </w:r>
          </w:p>
          <w:p w14:paraId="3535A4BA">
            <w:pPr>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招标代理服务收费参照豫招协[2023]002号河南省招标投标协会关于印发《河南省招标代理服务收费指导意见》规定的收费标准收取中标服务费。</w:t>
            </w:r>
          </w:p>
          <w:p w14:paraId="5C86FA06">
            <w:pPr>
              <w:snapToGrid w:val="0"/>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河南省招标代理服务费计算标准</w:t>
            </w:r>
          </w:p>
          <w:tbl>
            <w:tblPr>
              <w:tblStyle w:val="18"/>
              <w:tblpPr w:leftFromText="180" w:rightFromText="180" w:vertAnchor="text" w:horzAnchor="page" w:tblpX="1421" w:tblpY="481"/>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5" w:type="dxa"/>
                <w:bottom w:w="0" w:type="dxa"/>
                <w:right w:w="15" w:type="dxa"/>
              </w:tblCellMar>
            </w:tblPr>
            <w:tblGrid>
              <w:gridCol w:w="3978"/>
              <w:gridCol w:w="1634"/>
              <w:gridCol w:w="1426"/>
              <w:gridCol w:w="1709"/>
            </w:tblGrid>
            <w:tr w14:paraId="0601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2274" w:type="pct"/>
                  <w:tcBorders>
                    <w:top w:val="single" w:color="000000" w:sz="4" w:space="0"/>
                    <w:left w:val="single" w:color="000000" w:sz="4" w:space="0"/>
                    <w:bottom w:val="single" w:color="000000" w:sz="4" w:space="0"/>
                    <w:right w:val="single" w:color="000000" w:sz="4" w:space="0"/>
                  </w:tcBorders>
                  <w:noWrap w:val="0"/>
                  <w:vAlign w:val="center"/>
                </w:tcPr>
                <w:p w14:paraId="3713140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7ADDC82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28D6E4F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974" w:type="pct"/>
                  <w:tcBorders>
                    <w:top w:val="single" w:color="000000" w:sz="4" w:space="0"/>
                    <w:left w:val="single" w:color="000000" w:sz="4" w:space="0"/>
                    <w:bottom w:val="single" w:color="000000" w:sz="4" w:space="0"/>
                    <w:right w:val="single" w:color="000000" w:sz="4" w:space="0"/>
                  </w:tcBorders>
                  <w:noWrap w:val="0"/>
                  <w:vAlign w:val="center"/>
                </w:tcPr>
                <w:p w14:paraId="49FA555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371B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2274" w:type="pct"/>
                  <w:tcBorders>
                    <w:top w:val="single" w:color="000000" w:sz="4" w:space="0"/>
                    <w:left w:val="single" w:color="000000" w:sz="4" w:space="0"/>
                    <w:bottom w:val="single" w:color="000000" w:sz="4" w:space="0"/>
                    <w:right w:val="single" w:color="000000" w:sz="4" w:space="0"/>
                  </w:tcBorders>
                  <w:noWrap w:val="0"/>
                  <w:vAlign w:val="center"/>
                </w:tcPr>
                <w:p w14:paraId="27DFA207">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470F661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6259D9E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974" w:type="pct"/>
                  <w:tcBorders>
                    <w:top w:val="single" w:color="000000" w:sz="4" w:space="0"/>
                    <w:left w:val="single" w:color="000000" w:sz="4" w:space="0"/>
                    <w:bottom w:val="single" w:color="000000" w:sz="4" w:space="0"/>
                    <w:right w:val="single" w:color="000000" w:sz="4" w:space="0"/>
                  </w:tcBorders>
                  <w:noWrap w:val="0"/>
                  <w:vAlign w:val="center"/>
                </w:tcPr>
                <w:p w14:paraId="4F6A095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491E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2274" w:type="pct"/>
                  <w:tcBorders>
                    <w:top w:val="single" w:color="000000" w:sz="4" w:space="0"/>
                    <w:left w:val="single" w:color="000000" w:sz="4" w:space="0"/>
                    <w:bottom w:val="single" w:color="000000" w:sz="4" w:space="0"/>
                    <w:right w:val="single" w:color="000000" w:sz="4" w:space="0"/>
                  </w:tcBorders>
                  <w:noWrap w:val="0"/>
                  <w:vAlign w:val="center"/>
                </w:tcPr>
                <w:p w14:paraId="2E901489">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222A410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39E6EE0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974" w:type="pct"/>
                  <w:tcBorders>
                    <w:top w:val="single" w:color="000000" w:sz="4" w:space="0"/>
                    <w:left w:val="single" w:color="000000" w:sz="4" w:space="0"/>
                    <w:bottom w:val="single" w:color="000000" w:sz="4" w:space="0"/>
                    <w:right w:val="single" w:color="000000" w:sz="4" w:space="0"/>
                  </w:tcBorders>
                  <w:noWrap w:val="0"/>
                  <w:vAlign w:val="center"/>
                </w:tcPr>
                <w:p w14:paraId="6EF1238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58E0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2274" w:type="pct"/>
                  <w:tcBorders>
                    <w:top w:val="single" w:color="000000" w:sz="4" w:space="0"/>
                    <w:left w:val="single" w:color="000000" w:sz="4" w:space="0"/>
                    <w:bottom w:val="single" w:color="000000" w:sz="4" w:space="0"/>
                    <w:right w:val="single" w:color="000000" w:sz="4" w:space="0"/>
                  </w:tcBorders>
                  <w:noWrap w:val="0"/>
                  <w:vAlign w:val="center"/>
                </w:tcPr>
                <w:p w14:paraId="70448083">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5B757AB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0A432B0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974" w:type="pct"/>
                  <w:tcBorders>
                    <w:top w:val="single" w:color="000000" w:sz="4" w:space="0"/>
                    <w:left w:val="single" w:color="000000" w:sz="4" w:space="0"/>
                    <w:bottom w:val="single" w:color="000000" w:sz="4" w:space="0"/>
                    <w:right w:val="single" w:color="000000" w:sz="4" w:space="0"/>
                  </w:tcBorders>
                  <w:noWrap w:val="0"/>
                  <w:vAlign w:val="center"/>
                </w:tcPr>
                <w:p w14:paraId="426613A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276C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2274" w:type="pct"/>
                  <w:tcBorders>
                    <w:top w:val="single" w:color="000000" w:sz="4" w:space="0"/>
                    <w:left w:val="single" w:color="000000" w:sz="4" w:space="0"/>
                    <w:bottom w:val="single" w:color="000000" w:sz="4" w:space="0"/>
                    <w:right w:val="single" w:color="000000" w:sz="4" w:space="0"/>
                  </w:tcBorders>
                  <w:noWrap w:val="0"/>
                  <w:vAlign w:val="center"/>
                </w:tcPr>
                <w:p w14:paraId="470C1F5C">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3E7FADE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1E1544F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974" w:type="pct"/>
                  <w:tcBorders>
                    <w:top w:val="single" w:color="000000" w:sz="4" w:space="0"/>
                    <w:left w:val="single" w:color="000000" w:sz="4" w:space="0"/>
                    <w:bottom w:val="single" w:color="000000" w:sz="4" w:space="0"/>
                    <w:right w:val="single" w:color="000000" w:sz="4" w:space="0"/>
                  </w:tcBorders>
                  <w:noWrap w:val="0"/>
                  <w:vAlign w:val="center"/>
                </w:tcPr>
                <w:p w14:paraId="4082DBB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1D7F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2274" w:type="pct"/>
                  <w:tcBorders>
                    <w:top w:val="single" w:color="000000" w:sz="4" w:space="0"/>
                    <w:left w:val="single" w:color="000000" w:sz="4" w:space="0"/>
                    <w:bottom w:val="single" w:color="000000" w:sz="4" w:space="0"/>
                    <w:right w:val="single" w:color="000000" w:sz="4" w:space="0"/>
                  </w:tcBorders>
                  <w:noWrap w:val="0"/>
                  <w:vAlign w:val="center"/>
                </w:tcPr>
                <w:p w14:paraId="0C577559">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66D327B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23ACEF1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974" w:type="pct"/>
                  <w:tcBorders>
                    <w:top w:val="single" w:color="000000" w:sz="4" w:space="0"/>
                    <w:left w:val="single" w:color="000000" w:sz="4" w:space="0"/>
                    <w:bottom w:val="single" w:color="000000" w:sz="4" w:space="0"/>
                    <w:right w:val="single" w:color="000000" w:sz="4" w:space="0"/>
                  </w:tcBorders>
                  <w:noWrap w:val="0"/>
                  <w:vAlign w:val="center"/>
                </w:tcPr>
                <w:p w14:paraId="5B44C62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234B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2274" w:type="pct"/>
                  <w:tcBorders>
                    <w:top w:val="single" w:color="000000" w:sz="4" w:space="0"/>
                    <w:left w:val="single" w:color="000000" w:sz="4" w:space="0"/>
                    <w:right w:val="single" w:color="000000" w:sz="4" w:space="0"/>
                  </w:tcBorders>
                  <w:noWrap w:val="0"/>
                  <w:vAlign w:val="center"/>
                </w:tcPr>
                <w:p w14:paraId="061E1E37">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934" w:type="pct"/>
                  <w:tcBorders>
                    <w:top w:val="single" w:color="000000" w:sz="4" w:space="0"/>
                    <w:left w:val="single" w:color="000000" w:sz="4" w:space="0"/>
                    <w:right w:val="single" w:color="000000" w:sz="4" w:space="0"/>
                  </w:tcBorders>
                  <w:noWrap w:val="0"/>
                  <w:vAlign w:val="center"/>
                </w:tcPr>
                <w:p w14:paraId="4D11B61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815" w:type="pct"/>
                  <w:tcBorders>
                    <w:top w:val="single" w:color="000000" w:sz="4" w:space="0"/>
                    <w:left w:val="single" w:color="000000" w:sz="4" w:space="0"/>
                    <w:right w:val="single" w:color="000000" w:sz="4" w:space="0"/>
                  </w:tcBorders>
                  <w:noWrap w:val="0"/>
                  <w:vAlign w:val="center"/>
                </w:tcPr>
                <w:p w14:paraId="0F02651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974" w:type="pct"/>
                  <w:tcBorders>
                    <w:top w:val="single" w:color="000000" w:sz="4" w:space="0"/>
                    <w:left w:val="single" w:color="000000" w:sz="4" w:space="0"/>
                    <w:right w:val="single" w:color="000000" w:sz="4" w:space="0"/>
                  </w:tcBorders>
                  <w:noWrap w:val="0"/>
                  <w:vAlign w:val="center"/>
                </w:tcPr>
                <w:p w14:paraId="423D30E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6B71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2274" w:type="pct"/>
                  <w:tcBorders>
                    <w:top w:val="single" w:color="000000" w:sz="4" w:space="0"/>
                    <w:left w:val="single" w:color="000000" w:sz="4" w:space="0"/>
                    <w:bottom w:val="single" w:color="000000" w:sz="4" w:space="0"/>
                    <w:right w:val="single" w:color="000000" w:sz="4" w:space="0"/>
                  </w:tcBorders>
                  <w:noWrap w:val="0"/>
                  <w:vAlign w:val="center"/>
                </w:tcPr>
                <w:p w14:paraId="10608811">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0DDC6653">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2CE9ED0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974" w:type="pct"/>
                  <w:tcBorders>
                    <w:top w:val="single" w:color="000000" w:sz="4" w:space="0"/>
                    <w:left w:val="single" w:color="000000" w:sz="4" w:space="0"/>
                    <w:bottom w:val="single" w:color="000000" w:sz="4" w:space="0"/>
                    <w:right w:val="single" w:color="000000" w:sz="4" w:space="0"/>
                  </w:tcBorders>
                  <w:noWrap w:val="0"/>
                  <w:vAlign w:val="center"/>
                </w:tcPr>
                <w:p w14:paraId="21A4E79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3E05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2274" w:type="pct"/>
                  <w:tcBorders>
                    <w:top w:val="single" w:color="000000" w:sz="4" w:space="0"/>
                    <w:left w:val="single" w:color="000000" w:sz="4" w:space="0"/>
                    <w:bottom w:val="single" w:color="000000" w:sz="4" w:space="0"/>
                    <w:right w:val="single" w:color="000000" w:sz="4" w:space="0"/>
                  </w:tcBorders>
                  <w:noWrap w:val="0"/>
                  <w:vAlign w:val="center"/>
                </w:tcPr>
                <w:p w14:paraId="7C7DC24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675FFFE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15D3A09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974" w:type="pct"/>
                  <w:tcBorders>
                    <w:top w:val="single" w:color="000000" w:sz="4" w:space="0"/>
                    <w:left w:val="single" w:color="000000" w:sz="4" w:space="0"/>
                    <w:bottom w:val="single" w:color="000000" w:sz="4" w:space="0"/>
                    <w:right w:val="single" w:color="000000" w:sz="4" w:space="0"/>
                  </w:tcBorders>
                  <w:noWrap w:val="0"/>
                  <w:vAlign w:val="center"/>
                </w:tcPr>
                <w:p w14:paraId="6C4F54A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429B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2274" w:type="pct"/>
                  <w:tcBorders>
                    <w:top w:val="single" w:color="000000" w:sz="4" w:space="0"/>
                    <w:left w:val="single" w:color="000000" w:sz="4" w:space="0"/>
                    <w:bottom w:val="single" w:color="000000" w:sz="4" w:space="0"/>
                    <w:right w:val="single" w:color="000000" w:sz="4" w:space="0"/>
                  </w:tcBorders>
                  <w:noWrap w:val="0"/>
                  <w:vAlign w:val="center"/>
                </w:tcPr>
                <w:p w14:paraId="48633091">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934" w:type="pct"/>
                  <w:tcBorders>
                    <w:top w:val="single" w:color="000000" w:sz="4" w:space="0"/>
                    <w:left w:val="single" w:color="000000" w:sz="4" w:space="0"/>
                    <w:bottom w:val="single" w:color="000000" w:sz="4" w:space="0"/>
                    <w:right w:val="single" w:color="000000" w:sz="4" w:space="0"/>
                  </w:tcBorders>
                  <w:noWrap w:val="0"/>
                  <w:vAlign w:val="center"/>
                </w:tcPr>
                <w:p w14:paraId="67CABBB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815" w:type="pct"/>
                  <w:tcBorders>
                    <w:top w:val="single" w:color="000000" w:sz="4" w:space="0"/>
                    <w:left w:val="single" w:color="000000" w:sz="4" w:space="0"/>
                    <w:bottom w:val="single" w:color="000000" w:sz="4" w:space="0"/>
                    <w:right w:val="single" w:color="000000" w:sz="4" w:space="0"/>
                  </w:tcBorders>
                  <w:noWrap w:val="0"/>
                  <w:vAlign w:val="center"/>
                </w:tcPr>
                <w:p w14:paraId="26670D3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974" w:type="pct"/>
                  <w:tcBorders>
                    <w:top w:val="single" w:color="000000" w:sz="4" w:space="0"/>
                    <w:left w:val="single" w:color="000000" w:sz="4" w:space="0"/>
                    <w:bottom w:val="single" w:color="000000" w:sz="4" w:space="0"/>
                    <w:right w:val="single" w:color="000000" w:sz="4" w:space="0"/>
                  </w:tcBorders>
                  <w:noWrap w:val="0"/>
                  <w:vAlign w:val="center"/>
                </w:tcPr>
                <w:p w14:paraId="38E8984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7093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5000" w:type="pct"/>
                  <w:gridSpan w:val="4"/>
                  <w:noWrap w:val="0"/>
                  <w:vAlign w:val="center"/>
                </w:tcPr>
                <w:p w14:paraId="7B5E57A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271CECF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21ADDFB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1B98DBC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736A4BA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07D09A3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3C60B0C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5B9A013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52731F3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27D28AF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699D8E8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0DFCB0A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2BFA075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3596E60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3F9BF12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226018B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19228EEF">
      <w:r>
        <w:br w:type="page"/>
      </w:r>
    </w:p>
    <w:p w14:paraId="33D5D87A">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rPr>
        <w:t>附件</w:t>
      </w:r>
      <w:r>
        <w:rPr>
          <w:rFonts w:hint="eastAsia" w:ascii="宋体" w:hAnsi="宋体" w:eastAsia="宋体" w:cs="宋体"/>
          <w:color w:val="auto"/>
          <w:spacing w:val="-4"/>
          <w:sz w:val="24"/>
          <w:szCs w:val="24"/>
          <w:lang w:val="en-US" w:eastAsia="zh-CN"/>
        </w:rPr>
        <w:t>1</w:t>
      </w:r>
      <w:r>
        <w:rPr>
          <w:rFonts w:hint="eastAsia" w:ascii="宋体" w:hAnsi="宋体" w:eastAsia="宋体" w:cs="宋体"/>
          <w:color w:val="auto"/>
          <w:spacing w:val="-4"/>
          <w:sz w:val="24"/>
          <w:szCs w:val="24"/>
        </w:rPr>
        <w:t>：河南省政府采购合同融资政策告知函</w:t>
      </w:r>
    </w:p>
    <w:p w14:paraId="40D43497">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rPr>
      </w:pPr>
      <w:bookmarkStart w:id="27" w:name="_Toc7567"/>
      <w:bookmarkStart w:id="28" w:name="_Toc19399"/>
    </w:p>
    <w:p w14:paraId="660763EB">
      <w:pPr>
        <w:widowControl w:val="0"/>
        <w:autoSpaceDE w:val="0"/>
        <w:autoSpaceDN w:val="0"/>
        <w:adjustRightInd w:val="0"/>
        <w:spacing w:before="32" w:line="360" w:lineRule="auto"/>
        <w:ind w:right="-58" w:firstLine="464" w:firstLineChars="200"/>
        <w:jc w:val="center"/>
        <w:rPr>
          <w:rFonts w:hint="eastAsia" w:ascii="宋体" w:hAnsi="宋体" w:eastAsia="宋体" w:cs="宋体"/>
          <w:color w:val="auto"/>
          <w:spacing w:val="-4"/>
          <w:sz w:val="24"/>
          <w:szCs w:val="24"/>
        </w:rPr>
      </w:pPr>
      <w:bookmarkStart w:id="29" w:name="_Toc17171"/>
      <w:r>
        <w:rPr>
          <w:rFonts w:hint="eastAsia" w:ascii="宋体" w:hAnsi="宋体" w:eastAsia="宋体" w:cs="宋体"/>
          <w:color w:val="auto"/>
          <w:spacing w:val="-4"/>
          <w:sz w:val="24"/>
          <w:szCs w:val="24"/>
        </w:rPr>
        <w:t>河南省政府采购合同融资政策告知函</w:t>
      </w:r>
      <w:bookmarkEnd w:id="27"/>
      <w:bookmarkEnd w:id="28"/>
      <w:bookmarkEnd w:id="29"/>
    </w:p>
    <w:p w14:paraId="6B9BD10E">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各</w:t>
      </w:r>
      <w:r>
        <w:rPr>
          <w:rFonts w:hint="eastAsia" w:ascii="宋体" w:hAnsi="宋体" w:eastAsia="宋体" w:cs="宋体"/>
          <w:color w:val="auto"/>
          <w:spacing w:val="-4"/>
          <w:sz w:val="24"/>
          <w:szCs w:val="24"/>
          <w:lang w:eastAsia="zh-CN"/>
        </w:rPr>
        <w:t>投标人</w:t>
      </w:r>
      <w:r>
        <w:rPr>
          <w:rFonts w:hint="eastAsia" w:ascii="宋体" w:hAnsi="宋体" w:eastAsia="宋体" w:cs="宋体"/>
          <w:color w:val="auto"/>
          <w:spacing w:val="-4"/>
          <w:sz w:val="24"/>
          <w:szCs w:val="24"/>
        </w:rPr>
        <w:t>：</w:t>
      </w:r>
    </w:p>
    <w:p w14:paraId="69C90B35">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欢迎贵公司参与河南省政府采购活动！</w:t>
      </w:r>
    </w:p>
    <w:p w14:paraId="08FEFA37">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政府采购合同融资是河南省财政厅支持中小微企业发展，针对参与政府采购活动的</w:t>
      </w:r>
      <w:r>
        <w:rPr>
          <w:rFonts w:hint="eastAsia" w:ascii="宋体" w:hAnsi="宋体" w:eastAsia="宋体" w:cs="宋体"/>
          <w:color w:val="auto"/>
          <w:spacing w:val="-4"/>
          <w:sz w:val="24"/>
          <w:szCs w:val="24"/>
          <w:lang w:eastAsia="zh-CN"/>
        </w:rPr>
        <w:t>投标人</w:t>
      </w:r>
      <w:r>
        <w:rPr>
          <w:rFonts w:hint="eastAsia" w:ascii="宋体" w:hAnsi="宋体" w:eastAsia="宋体" w:cs="宋体"/>
          <w:color w:val="auto"/>
          <w:spacing w:val="-4"/>
          <w:sz w:val="24"/>
          <w:szCs w:val="24"/>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1DAC7A3">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rPr>
      </w:pPr>
      <w:bookmarkStart w:id="30" w:name="_Toc15196"/>
      <w:r>
        <w:rPr>
          <w:rFonts w:hint="eastAsia" w:ascii="宋体" w:hAnsi="宋体" w:eastAsia="宋体" w:cs="宋体"/>
          <w:color w:val="auto"/>
          <w:spacing w:val="-4"/>
          <w:sz w:val="24"/>
          <w:szCs w:val="24"/>
        </w:rPr>
        <w:t>贷款渠道和提供贷款的金融机构，可在河南省政府采购网“河南省政府采购合同融资平台”查询联系。</w:t>
      </w:r>
      <w:bookmarkEnd w:id="30"/>
    </w:p>
    <w:p w14:paraId="4132BACC">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rPr>
      </w:pPr>
    </w:p>
    <w:p w14:paraId="6DDEE4C1">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rPr>
        <w:br w:type="page"/>
      </w:r>
      <w:r>
        <w:rPr>
          <w:rFonts w:hint="eastAsia" w:ascii="宋体" w:hAnsi="宋体" w:eastAsia="宋体" w:cs="宋体"/>
          <w:color w:val="auto"/>
          <w:spacing w:val="-4"/>
          <w:sz w:val="24"/>
          <w:szCs w:val="24"/>
          <w:lang w:eastAsia="zh-CN"/>
        </w:rPr>
        <w:t>附件</w:t>
      </w:r>
      <w:r>
        <w:rPr>
          <w:rFonts w:hint="eastAsia" w:ascii="宋体" w:hAnsi="宋体" w:eastAsia="宋体" w:cs="宋体"/>
          <w:color w:val="auto"/>
          <w:spacing w:val="-4"/>
          <w:sz w:val="24"/>
          <w:szCs w:val="24"/>
          <w:lang w:val="en-US" w:eastAsia="zh-CN"/>
        </w:rPr>
        <w:t>2：卢氏县政府采购合同融资政策告知书</w:t>
      </w:r>
    </w:p>
    <w:p w14:paraId="66C3E97A">
      <w:pPr>
        <w:widowControl w:val="0"/>
        <w:autoSpaceDE w:val="0"/>
        <w:autoSpaceDN w:val="0"/>
        <w:adjustRightInd w:val="0"/>
        <w:spacing w:before="32" w:line="360" w:lineRule="auto"/>
        <w:ind w:right="-58" w:firstLine="464" w:firstLineChars="200"/>
        <w:jc w:val="center"/>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卢氏县政府采购合同融资政策告知书</w:t>
      </w:r>
    </w:p>
    <w:p w14:paraId="1058E02B">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各供应商:</w:t>
      </w:r>
    </w:p>
    <w:p w14:paraId="59B747B7">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1CB2277F">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0584E1C1">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联系电话:0398-7863556</w:t>
      </w:r>
    </w:p>
    <w:p w14:paraId="4CA89F9D">
      <w:pPr>
        <w:widowControl w:val="0"/>
        <w:autoSpaceDE w:val="0"/>
        <w:autoSpaceDN w:val="0"/>
        <w:adjustRightInd w:val="0"/>
        <w:spacing w:before="32" w:line="360" w:lineRule="auto"/>
        <w:ind w:right="-58" w:firstLine="464" w:firstLineChars="200"/>
        <w:jc w:val="both"/>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承接银行联系方式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3065"/>
        <w:gridCol w:w="3066"/>
      </w:tblGrid>
      <w:tr w14:paraId="3C61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3586A287">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3065" w:type="dxa"/>
            <w:noWrap w:val="0"/>
            <w:vAlign w:val="center"/>
          </w:tcPr>
          <w:p w14:paraId="6174A6AC">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3066" w:type="dxa"/>
            <w:noWrap w:val="0"/>
            <w:vAlign w:val="center"/>
          </w:tcPr>
          <w:p w14:paraId="2BE0F3E5">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p>
        </w:tc>
      </w:tr>
      <w:tr w14:paraId="4A3A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0A0F575F">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中国建设银行股份有限公司卢氏支行</w:t>
            </w:r>
          </w:p>
        </w:tc>
        <w:tc>
          <w:tcPr>
            <w:tcW w:w="3065" w:type="dxa"/>
            <w:noWrap w:val="0"/>
            <w:vAlign w:val="center"/>
          </w:tcPr>
          <w:p w14:paraId="33AE71EF">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张江涛</w:t>
            </w:r>
          </w:p>
        </w:tc>
        <w:tc>
          <w:tcPr>
            <w:tcW w:w="3066" w:type="dxa"/>
            <w:noWrap w:val="0"/>
            <w:vAlign w:val="center"/>
          </w:tcPr>
          <w:p w14:paraId="49FC357C">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18739850204</w:t>
            </w:r>
          </w:p>
        </w:tc>
      </w:tr>
      <w:tr w14:paraId="2C83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1411E29C">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中国农业银行股份有限公司卢氏县支行</w:t>
            </w:r>
          </w:p>
        </w:tc>
        <w:tc>
          <w:tcPr>
            <w:tcW w:w="3065" w:type="dxa"/>
            <w:noWrap w:val="0"/>
            <w:vAlign w:val="center"/>
          </w:tcPr>
          <w:p w14:paraId="3DD8B03F">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代仁旺</w:t>
            </w:r>
          </w:p>
        </w:tc>
        <w:tc>
          <w:tcPr>
            <w:tcW w:w="3066" w:type="dxa"/>
            <w:noWrap w:val="0"/>
            <w:vAlign w:val="center"/>
          </w:tcPr>
          <w:p w14:paraId="7A0CFD98">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18939062604</w:t>
            </w:r>
          </w:p>
        </w:tc>
      </w:tr>
      <w:tr w14:paraId="4E4A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FEEA91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中原银行股份有限公司</w:t>
            </w:r>
          </w:p>
          <w:p w14:paraId="6D28526A">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卢氏支行</w:t>
            </w:r>
          </w:p>
        </w:tc>
        <w:tc>
          <w:tcPr>
            <w:tcW w:w="3065" w:type="dxa"/>
            <w:noWrap w:val="0"/>
            <w:vAlign w:val="center"/>
          </w:tcPr>
          <w:p w14:paraId="69193169">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李 博</w:t>
            </w:r>
          </w:p>
        </w:tc>
        <w:tc>
          <w:tcPr>
            <w:tcW w:w="3066" w:type="dxa"/>
            <w:noWrap w:val="0"/>
            <w:vAlign w:val="center"/>
          </w:tcPr>
          <w:p w14:paraId="5F34F85E">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15839857887</w:t>
            </w:r>
          </w:p>
        </w:tc>
      </w:tr>
    </w:tbl>
    <w:p w14:paraId="687E2F8F">
      <w:pPr>
        <w:jc w:val="both"/>
        <w:rPr>
          <w:rFonts w:hint="eastAsia" w:ascii="宋体" w:hAnsi="宋体" w:cs="宋体"/>
          <w:b/>
          <w:bCs/>
          <w:color w:val="auto"/>
          <w:highlight w:val="none"/>
          <w:lang w:eastAsia="zh-CN"/>
        </w:rPr>
      </w:pPr>
    </w:p>
    <w:p w14:paraId="03972778">
      <w:pPr>
        <w:rPr>
          <w:rFonts w:hint="eastAsia" w:ascii="宋体" w:hAnsi="宋体" w:cs="宋体"/>
          <w:b/>
          <w:bCs/>
          <w:color w:val="auto"/>
          <w:highlight w:val="none"/>
          <w:lang w:eastAsia="zh-CN"/>
        </w:rPr>
      </w:pPr>
    </w:p>
    <w:p w14:paraId="030A0491">
      <w:pPr>
        <w:pStyle w:val="22"/>
        <w:ind w:left="400" w:firstLine="482"/>
        <w:jc w:val="center"/>
        <w:rPr>
          <w:rFonts w:hint="eastAsia" w:ascii="宋体" w:hAnsi="宋体" w:cs="宋体"/>
          <w:color w:val="auto"/>
          <w:spacing w:val="-4"/>
          <w:sz w:val="24"/>
          <w:szCs w:val="24"/>
        </w:rPr>
      </w:pPr>
      <w:r>
        <w:rPr>
          <w:rFonts w:hint="eastAsia" w:ascii="宋体" w:hAnsi="宋体" w:cs="宋体"/>
          <w:color w:val="auto"/>
          <w:spacing w:val="-4"/>
          <w:sz w:val="24"/>
          <w:szCs w:val="24"/>
        </w:rPr>
        <w:t xml:space="preserve"> </w:t>
      </w:r>
    </w:p>
    <w:p w14:paraId="127A2EC4">
      <w:pPr>
        <w:pStyle w:val="22"/>
        <w:ind w:left="0" w:leftChars="0" w:firstLine="0" w:firstLineChars="0"/>
        <w:jc w:val="both"/>
        <w:rPr>
          <w:rFonts w:hint="eastAsia" w:ascii="宋体" w:hAnsi="宋体" w:cs="宋体"/>
          <w:color w:val="auto"/>
          <w:spacing w:val="-4"/>
          <w:sz w:val="24"/>
          <w:szCs w:val="24"/>
        </w:rPr>
      </w:pPr>
    </w:p>
    <w:p w14:paraId="0777E3DD">
      <w:pPr>
        <w:pStyle w:val="22"/>
        <w:ind w:left="0" w:leftChars="0" w:firstLine="0" w:firstLineChars="0"/>
        <w:jc w:val="both"/>
        <w:rPr>
          <w:rFonts w:hint="eastAsia" w:ascii="宋体" w:hAnsi="宋体" w:cs="宋体"/>
          <w:color w:val="auto"/>
          <w:spacing w:val="-4"/>
          <w:sz w:val="24"/>
          <w:szCs w:val="24"/>
        </w:rPr>
      </w:pPr>
    </w:p>
    <w:p w14:paraId="5FEE98FB">
      <w:pPr>
        <w:pStyle w:val="22"/>
        <w:keepNext w:val="0"/>
        <w:keepLines w:val="0"/>
        <w:pageBreakBefore w:val="0"/>
        <w:widowControl/>
        <w:numPr>
          <w:ilvl w:val="0"/>
          <w:numId w:val="1"/>
        </w:numPr>
        <w:kinsoku/>
        <w:overflowPunct/>
        <w:topLinePunct w:val="0"/>
        <w:autoSpaceDE/>
        <w:autoSpaceDN/>
        <w:bidi w:val="0"/>
        <w:adjustRightInd/>
        <w:snapToGrid/>
        <w:spacing w:after="0" w:line="360" w:lineRule="auto"/>
        <w:ind w:left="0" w:leftChars="0" w:firstLine="482" w:firstLineChars="200"/>
        <w:jc w:val="center"/>
        <w:textAlignment w:val="auto"/>
        <w:outlineLvl w:val="0"/>
        <w:rPr>
          <w:rFonts w:hint="eastAsia" w:ascii="黑体" w:cs="宋体"/>
          <w:b/>
          <w:color w:val="auto"/>
          <w:kern w:val="2"/>
          <w:sz w:val="28"/>
          <w:szCs w:val="28"/>
          <w:lang w:val="en-US" w:eastAsia="zh-CN" w:bidi="ar-SA"/>
        </w:rPr>
      </w:pPr>
      <w:r>
        <w:rPr>
          <w:rFonts w:hint="eastAsia" w:ascii="黑体" w:cs="宋体"/>
          <w:b/>
          <w:color w:val="auto"/>
          <w:kern w:val="2"/>
          <w:sz w:val="24"/>
          <w:szCs w:val="24"/>
        </w:rPr>
        <w:br w:type="page"/>
      </w:r>
      <w:bookmarkStart w:id="31" w:name="_Toc27975"/>
      <w:r>
        <w:rPr>
          <w:rFonts w:hint="eastAsia" w:ascii="黑体" w:hAnsi="Times New Roman" w:eastAsia="宋体" w:cs="宋体"/>
          <w:b/>
          <w:color w:val="auto"/>
          <w:kern w:val="2"/>
          <w:sz w:val="28"/>
          <w:szCs w:val="28"/>
          <w:lang w:val="en-US" w:eastAsia="zh-CN" w:bidi="ar-SA"/>
        </w:rPr>
        <w:t xml:space="preserve"> </w:t>
      </w:r>
      <w:bookmarkEnd w:id="31"/>
      <w:r>
        <w:rPr>
          <w:rFonts w:hint="eastAsia" w:ascii="黑体" w:hAnsi="Times New Roman" w:eastAsia="宋体" w:cs="宋体"/>
          <w:b/>
          <w:color w:val="auto"/>
          <w:kern w:val="2"/>
          <w:sz w:val="28"/>
          <w:szCs w:val="28"/>
          <w:lang w:val="en-US" w:eastAsia="zh-CN" w:bidi="ar-SA"/>
        </w:rPr>
        <w:t>服务需求</w:t>
      </w:r>
    </w:p>
    <w:p w14:paraId="57C0ADC9">
      <w:pPr>
        <w:rPr>
          <w:rFonts w:hint="default"/>
          <w:lang w:val="en-US" w:eastAsia="zh-CN"/>
        </w:rPr>
      </w:pPr>
    </w:p>
    <w:p w14:paraId="1F5C613E">
      <w:pPr>
        <w:pStyle w:val="12"/>
        <w:keepNext w:val="0"/>
        <w:keepLines w:val="0"/>
        <w:pageBreakBefore w:val="0"/>
        <w:widowControl/>
        <w:numPr>
          <w:ilvl w:val="0"/>
          <w:numId w:val="2"/>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bCs/>
          <w:kern w:val="0"/>
          <w:sz w:val="28"/>
          <w:szCs w:val="28"/>
          <w:lang w:val="en-US" w:eastAsia="zh-CN"/>
        </w:rPr>
        <w:t>项目名称：</w:t>
      </w:r>
      <w:r>
        <w:rPr>
          <w:rFonts w:hint="eastAsia" w:ascii="宋体" w:hAnsi="宋体" w:eastAsia="宋体" w:cs="宋体"/>
          <w:b w:val="0"/>
          <w:bCs w:val="0"/>
          <w:kern w:val="0"/>
          <w:sz w:val="28"/>
          <w:szCs w:val="28"/>
          <w:lang w:val="en-US" w:eastAsia="zh-CN"/>
        </w:rPr>
        <w:t>卢氏县《卢氏县突发事件总体应急预案》和《卢氏县防汛应急预案》等六部预案修编项目</w:t>
      </w:r>
    </w:p>
    <w:p w14:paraId="0E64096C">
      <w:pPr>
        <w:pStyle w:val="12"/>
        <w:numPr>
          <w:ilvl w:val="0"/>
          <w:numId w:val="0"/>
        </w:numPr>
        <w:spacing w:line="360" w:lineRule="auto"/>
        <w:ind w:left="962" w:leftChars="200" w:hanging="562" w:hangingChars="200"/>
        <w:rPr>
          <w:rFonts w:hint="eastAsia"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二</w:t>
      </w:r>
      <w:r>
        <w:rPr>
          <w:rFonts w:hint="eastAsia" w:ascii="宋体" w:hAnsi="宋体" w:eastAsia="宋体" w:cs="宋体"/>
          <w:b/>
          <w:bCs/>
          <w:kern w:val="0"/>
          <w:sz w:val="28"/>
          <w:szCs w:val="28"/>
          <w:lang w:val="en-US" w:eastAsia="zh-CN"/>
        </w:rPr>
        <w:t>项目编号：三卢竞磋采购-2025-106 、LSGZ[2025]271-ZC154</w:t>
      </w:r>
    </w:p>
    <w:p w14:paraId="3BB43C87">
      <w:pPr>
        <w:pStyle w:val="12"/>
        <w:numPr>
          <w:ilvl w:val="0"/>
          <w:numId w:val="0"/>
        </w:numPr>
        <w:spacing w:line="360" w:lineRule="auto"/>
        <w:ind w:left="962" w:leftChars="200" w:hanging="562" w:hangingChars="200"/>
        <w:rPr>
          <w:rFonts w:hint="eastAsia" w:ascii="宋体" w:hAnsi="宋体" w:eastAsia="宋体" w:cs="宋体"/>
          <w:b/>
          <w:sz w:val="28"/>
          <w:szCs w:val="28"/>
        </w:rPr>
      </w:pPr>
      <w:r>
        <w:rPr>
          <w:rFonts w:hint="eastAsia" w:ascii="宋体" w:hAnsi="宋体" w:cs="宋体"/>
          <w:b/>
          <w:bCs/>
          <w:sz w:val="28"/>
          <w:szCs w:val="28"/>
          <w:lang w:val="en-US" w:eastAsia="zh-CN" w:bidi="ar-SA"/>
        </w:rPr>
        <w:t>三</w:t>
      </w:r>
      <w:r>
        <w:rPr>
          <w:rFonts w:hint="eastAsia" w:ascii="宋体" w:hAnsi="宋体" w:eastAsia="宋体" w:cs="宋体"/>
          <w:b/>
          <w:bCs/>
          <w:sz w:val="28"/>
          <w:szCs w:val="28"/>
          <w:lang w:val="en-US" w:eastAsia="zh-CN" w:bidi="ar-SA"/>
        </w:rPr>
        <w:t>、预算金额：</w:t>
      </w:r>
      <w:r>
        <w:rPr>
          <w:rFonts w:hint="eastAsia" w:ascii="宋体" w:hAnsi="宋体" w:eastAsia="宋体" w:cs="宋体"/>
          <w:color w:val="auto"/>
          <w:kern w:val="2"/>
          <w:sz w:val="28"/>
          <w:szCs w:val="28"/>
          <w:lang w:val="en-US" w:eastAsia="zh-CN"/>
        </w:rPr>
        <w:t>￥438137.75元</w:t>
      </w:r>
    </w:p>
    <w:p w14:paraId="119CBCC8">
      <w:pPr>
        <w:pStyle w:val="12"/>
        <w:numPr>
          <w:ilvl w:val="0"/>
          <w:numId w:val="0"/>
        </w:numPr>
        <w:spacing w:line="360" w:lineRule="auto"/>
        <w:ind w:left="962" w:leftChars="200" w:hanging="562" w:hangingChars="200"/>
        <w:rPr>
          <w:rFonts w:hint="eastAsia" w:ascii="宋体" w:hAnsi="宋体" w:eastAsia="宋体" w:cs="宋体"/>
          <w:b/>
          <w:sz w:val="28"/>
          <w:szCs w:val="28"/>
        </w:rPr>
      </w:pPr>
      <w:r>
        <w:rPr>
          <w:rFonts w:hint="eastAsia" w:ascii="宋体" w:hAnsi="宋体" w:cs="宋体"/>
          <w:b/>
          <w:sz w:val="28"/>
          <w:szCs w:val="28"/>
          <w:lang w:val="en-US" w:eastAsia="zh-CN" w:bidi="ar-SA"/>
        </w:rPr>
        <w:t>四</w:t>
      </w:r>
      <w:r>
        <w:rPr>
          <w:rFonts w:hint="eastAsia" w:ascii="宋体" w:hAnsi="宋体" w:eastAsia="宋体" w:cs="宋体"/>
          <w:b/>
          <w:sz w:val="28"/>
          <w:szCs w:val="28"/>
          <w:lang w:val="en-US" w:eastAsia="zh-CN" w:bidi="ar-SA"/>
        </w:rPr>
        <w:t>、</w:t>
      </w:r>
      <w:r>
        <w:rPr>
          <w:rFonts w:hint="eastAsia" w:ascii="宋体" w:hAnsi="宋体" w:eastAsia="宋体" w:cs="宋体"/>
          <w:b/>
          <w:bCs/>
          <w:sz w:val="28"/>
          <w:szCs w:val="28"/>
          <w:lang w:val="en-US" w:eastAsia="zh-CN" w:bidi="ar-SA"/>
        </w:rPr>
        <w:t>服务内容：</w:t>
      </w:r>
    </w:p>
    <w:p w14:paraId="20B0FECD">
      <w:pPr>
        <w:widowControl w:val="0"/>
        <w:autoSpaceDE w:val="0"/>
        <w:autoSpaceDN w:val="0"/>
        <w:adjustRightInd w:val="0"/>
        <w:spacing w:before="32" w:line="360" w:lineRule="auto"/>
        <w:ind w:right="-58" w:firstLine="544" w:firstLineChars="200"/>
        <w:jc w:val="both"/>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针对卢氏县“1部总体+6部专项”应急预案进行修订，并完成可视化内容。</w:t>
      </w:r>
    </w:p>
    <w:p w14:paraId="0F76C317">
      <w:pPr>
        <w:widowControl w:val="0"/>
        <w:autoSpaceDE w:val="0"/>
        <w:autoSpaceDN w:val="0"/>
        <w:adjustRightInd w:val="0"/>
        <w:spacing w:before="32" w:line="360" w:lineRule="auto"/>
        <w:ind w:right="-58" w:firstLine="544" w:firstLineChars="200"/>
        <w:jc w:val="both"/>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1、可视化突发事件总体应急预案【修订】</w:t>
      </w:r>
    </w:p>
    <w:p w14:paraId="710C117F">
      <w:pPr>
        <w:widowControl w:val="0"/>
        <w:autoSpaceDE w:val="0"/>
        <w:autoSpaceDN w:val="0"/>
        <w:adjustRightInd w:val="0"/>
        <w:spacing w:before="32" w:line="360" w:lineRule="auto"/>
        <w:ind w:right="-58" w:firstLine="544" w:firstLineChars="200"/>
        <w:jc w:val="both"/>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2、可视化防汛应急预案【修订】</w:t>
      </w:r>
    </w:p>
    <w:p w14:paraId="595DE558">
      <w:pPr>
        <w:widowControl w:val="0"/>
        <w:autoSpaceDE w:val="0"/>
        <w:autoSpaceDN w:val="0"/>
        <w:adjustRightInd w:val="0"/>
        <w:spacing w:before="32" w:line="360" w:lineRule="auto"/>
        <w:ind w:right="-58" w:firstLine="544" w:firstLineChars="200"/>
        <w:jc w:val="both"/>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3、可视化抗旱应急预案【修订】</w:t>
      </w:r>
    </w:p>
    <w:p w14:paraId="0A07DBDB">
      <w:pPr>
        <w:widowControl w:val="0"/>
        <w:autoSpaceDE w:val="0"/>
        <w:autoSpaceDN w:val="0"/>
        <w:adjustRightInd w:val="0"/>
        <w:spacing w:before="32" w:line="360" w:lineRule="auto"/>
        <w:ind w:right="-58" w:firstLine="544" w:firstLineChars="200"/>
        <w:jc w:val="both"/>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4、可视化地震应急预案【修订】</w:t>
      </w:r>
    </w:p>
    <w:p w14:paraId="36A75696">
      <w:pPr>
        <w:widowControl w:val="0"/>
        <w:autoSpaceDE w:val="0"/>
        <w:autoSpaceDN w:val="0"/>
        <w:adjustRightInd w:val="0"/>
        <w:spacing w:before="32" w:line="360" w:lineRule="auto"/>
        <w:ind w:right="-58" w:firstLine="544" w:firstLineChars="200"/>
        <w:jc w:val="both"/>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5、可视化森林火灾应急预案【修订】</w:t>
      </w:r>
    </w:p>
    <w:p w14:paraId="6DF4D926">
      <w:pPr>
        <w:widowControl w:val="0"/>
        <w:autoSpaceDE w:val="0"/>
        <w:autoSpaceDN w:val="0"/>
        <w:adjustRightInd w:val="0"/>
        <w:spacing w:before="32" w:line="360" w:lineRule="auto"/>
        <w:ind w:right="-58" w:firstLine="544" w:firstLineChars="200"/>
        <w:jc w:val="both"/>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6、可视化低温雨雪冰冻灾害应急预案【修订】</w:t>
      </w:r>
    </w:p>
    <w:p w14:paraId="635716DF">
      <w:pPr>
        <w:widowControl w:val="0"/>
        <w:autoSpaceDE w:val="0"/>
        <w:autoSpaceDN w:val="0"/>
        <w:adjustRightInd w:val="0"/>
        <w:spacing w:before="32" w:line="360" w:lineRule="auto"/>
        <w:ind w:right="-58" w:firstLine="544" w:firstLineChars="200"/>
        <w:jc w:val="both"/>
        <w:rPr>
          <w:rFonts w:hint="eastAsia" w:ascii="宋体" w:hAnsi="宋体" w:eastAsia="宋体" w:cs="宋体"/>
          <w:sz w:val="28"/>
          <w:szCs w:val="28"/>
        </w:rPr>
      </w:pPr>
      <w:r>
        <w:rPr>
          <w:rFonts w:hint="eastAsia" w:ascii="宋体" w:hAnsi="宋体" w:eastAsia="宋体" w:cs="宋体"/>
          <w:color w:val="auto"/>
          <w:spacing w:val="-4"/>
          <w:sz w:val="28"/>
          <w:szCs w:val="28"/>
          <w:lang w:val="en-US" w:eastAsia="zh-CN"/>
        </w:rPr>
        <w:t>7、可视化生产安全事故应急预案【修订】</w:t>
      </w:r>
    </w:p>
    <w:p w14:paraId="150124C2">
      <w:pPr>
        <w:numPr>
          <w:ilvl w:val="0"/>
          <w:numId w:val="0"/>
        </w:numPr>
        <w:ind w:firstLine="281" w:firstLineChars="100"/>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、项目建设预期目标：</w:t>
      </w:r>
    </w:p>
    <w:p w14:paraId="7B0A55A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544" w:firstLineChars="200"/>
        <w:jc w:val="both"/>
        <w:textAlignment w:val="auto"/>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1.内容修订目标：对照国家、河南省、三门峡市关于应急预案管理的最新政策要求，结合卢氏县近年来突发事件应对实践经验与自然灾害风险普查，完成“1部总体+6部专项”应急预案的系统性修订，确保预案内容合法合规、贴合实际、责任清晰、流程明确，具备较强的指导性与可操作性。​</w:t>
      </w:r>
    </w:p>
    <w:p w14:paraId="72C25B38">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544" w:firstLineChars="200"/>
        <w:jc w:val="both"/>
        <w:textAlignment w:val="auto"/>
        <w:rPr>
          <w:rFonts w:hint="eastAsia"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val="en-US" w:eastAsia="zh-CN"/>
        </w:rPr>
        <w:t>2.可视化转化目标：打破传统文字预案“篇幅长、理解难”的局限，将修订后的7部应急预案转化为可视化内容，通过“图、卡、表”的形式，突出突发事件的应急处置流程，明确指挥部领导“如何指挥”，成员单位“做什么”“怎么做”“何时做”等内容，使复杂的预案简明化，进一步提高预案的可操作性。</w:t>
      </w:r>
    </w:p>
    <w:p w14:paraId="6FF0F82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562" w:firstLineChars="200"/>
        <w:jc w:val="both"/>
        <w:textAlignment w:val="auto"/>
        <w:rPr>
          <w:rFonts w:hint="eastAsia" w:ascii="宋体" w:hAnsi="宋体" w:eastAsia="宋体" w:cs="宋体"/>
          <w:color w:val="auto"/>
          <w:spacing w:val="-4"/>
          <w:sz w:val="32"/>
          <w:szCs w:val="32"/>
          <w:lang w:val="en-US" w:eastAsia="zh-CN"/>
        </w:rPr>
      </w:pPr>
      <w:r>
        <w:rPr>
          <w:rFonts w:hint="eastAsia" w:ascii="宋体" w:hAnsi="宋体" w:cs="宋体"/>
          <w:b/>
          <w:bCs/>
          <w:sz w:val="28"/>
          <w:szCs w:val="28"/>
          <w:lang w:val="en-US" w:eastAsia="zh-CN"/>
        </w:rPr>
        <w:t>六、服务周期：</w:t>
      </w:r>
      <w:r>
        <w:rPr>
          <w:rFonts w:hint="eastAsia" w:ascii="宋体" w:hAnsi="宋体" w:cs="宋体"/>
          <w:color w:val="auto"/>
          <w:kern w:val="2"/>
          <w:sz w:val="28"/>
          <w:szCs w:val="28"/>
          <w:lang w:val="en-US" w:eastAsia="zh-CN"/>
        </w:rPr>
        <w:t>市级应急预案印发后3个月内完成。</w:t>
      </w:r>
    </w:p>
    <w:p w14:paraId="13C8CE8B">
      <w:pPr>
        <w:keepNext w:val="0"/>
        <w:keepLines w:val="0"/>
        <w:pageBreakBefore w:val="0"/>
        <w:kinsoku/>
        <w:wordWrap/>
        <w:overflowPunct/>
        <w:topLinePunct w:val="0"/>
        <w:bidi w:val="0"/>
        <w:snapToGrid/>
        <w:spacing w:line="360" w:lineRule="auto"/>
        <w:ind w:firstLine="640" w:firstLineChars="200"/>
        <w:textAlignment w:val="auto"/>
        <w:rPr>
          <w:rFonts w:hint="eastAsia" w:ascii="宋体" w:hAnsi="宋体" w:eastAsia="宋体" w:cs="宋体"/>
          <w:sz w:val="32"/>
          <w:szCs w:val="32"/>
        </w:rPr>
      </w:pPr>
    </w:p>
    <w:p w14:paraId="4960849C">
      <w:pPr>
        <w:rPr>
          <w:rFonts w:hint="eastAsia" w:ascii="宋体" w:hAnsi="宋体" w:eastAsia="宋体" w:cs="宋体"/>
          <w:b/>
          <w:color w:val="auto"/>
          <w:kern w:val="2"/>
          <w:sz w:val="28"/>
          <w:szCs w:val="28"/>
        </w:rPr>
      </w:pPr>
      <w:bookmarkStart w:id="32" w:name="_Toc13111"/>
      <w:r>
        <w:rPr>
          <w:rFonts w:hint="eastAsia" w:ascii="宋体" w:hAnsi="宋体" w:eastAsia="宋体" w:cs="宋体"/>
          <w:b/>
          <w:color w:val="auto"/>
          <w:kern w:val="2"/>
          <w:sz w:val="28"/>
          <w:szCs w:val="28"/>
        </w:rPr>
        <w:br w:type="page"/>
      </w:r>
    </w:p>
    <w:p w14:paraId="4624A7CA">
      <w:pPr>
        <w:pStyle w:val="12"/>
        <w:numPr>
          <w:ilvl w:val="0"/>
          <w:numId w:val="1"/>
        </w:numPr>
        <w:ind w:left="0" w:leftChars="0" w:firstLine="562" w:firstLineChars="200"/>
        <w:jc w:val="center"/>
        <w:rPr>
          <w:rFonts w:hint="eastAsia" w:ascii="黑体" w:hAnsi="Times New Roman" w:eastAsia="宋体" w:cs="宋体"/>
          <w:b/>
          <w:color w:val="auto"/>
          <w:kern w:val="2"/>
          <w:sz w:val="28"/>
          <w:szCs w:val="28"/>
        </w:rPr>
      </w:pPr>
      <w:r>
        <w:rPr>
          <w:rFonts w:hint="eastAsia" w:ascii="黑体" w:hAnsi="Times New Roman" w:eastAsia="宋体" w:cs="宋体"/>
          <w:b/>
          <w:color w:val="auto"/>
          <w:kern w:val="2"/>
          <w:sz w:val="28"/>
          <w:szCs w:val="28"/>
        </w:rPr>
        <w:t>合同条款及合同文件格式</w:t>
      </w:r>
      <w:bookmarkEnd w:id="32"/>
    </w:p>
    <w:p w14:paraId="5CED6C13">
      <w:pPr>
        <w:pStyle w:val="12"/>
        <w:numPr>
          <w:ilvl w:val="0"/>
          <w:numId w:val="0"/>
        </w:numPr>
        <w:ind w:leftChars="200"/>
        <w:jc w:val="both"/>
        <w:rPr>
          <w:rFonts w:hint="eastAsia" w:ascii="黑体" w:hAnsi="Times New Roman" w:eastAsia="宋体" w:cs="宋体"/>
          <w:b/>
          <w:color w:val="auto"/>
          <w:kern w:val="2"/>
          <w:sz w:val="24"/>
          <w:szCs w:val="24"/>
        </w:rPr>
      </w:pPr>
    </w:p>
    <w:p w14:paraId="216A1411">
      <w:pPr>
        <w:pStyle w:val="12"/>
        <w:numPr>
          <w:ilvl w:val="0"/>
          <w:numId w:val="0"/>
        </w:numPr>
        <w:jc w:val="center"/>
        <w:rPr>
          <w:rFonts w:hint="eastAsia" w:ascii="宋体" w:hAnsi="宋体" w:cs="宋体"/>
          <w:b/>
          <w:color w:val="000000"/>
          <w:sz w:val="24"/>
          <w:highlight w:val="none"/>
          <w:lang w:bidi="ar"/>
        </w:rPr>
      </w:pPr>
      <w:r>
        <w:rPr>
          <w:rFonts w:hint="eastAsia" w:ascii="宋体" w:hAnsi="宋体" w:cs="宋体"/>
          <w:b/>
          <w:color w:val="000000"/>
          <w:sz w:val="24"/>
          <w:highlight w:val="none"/>
          <w:lang w:bidi="ar"/>
        </w:rPr>
        <w:t>（合同详细内容待双方签订合同时商榷，仅供参考）</w:t>
      </w:r>
    </w:p>
    <w:p w14:paraId="5996B8A8">
      <w:pPr>
        <w:rPr>
          <w:rFonts w:hint="eastAsia" w:ascii="宋体" w:hAnsi="宋体" w:cs="宋体"/>
          <w:b/>
          <w:color w:val="000000"/>
          <w:sz w:val="24"/>
          <w:highlight w:val="none"/>
          <w:lang w:bidi="ar"/>
        </w:rPr>
      </w:pPr>
      <w:r>
        <w:rPr>
          <w:rFonts w:hint="eastAsia" w:ascii="宋体" w:hAnsi="宋体" w:cs="宋体"/>
          <w:b/>
          <w:color w:val="000000"/>
          <w:sz w:val="24"/>
          <w:highlight w:val="none"/>
          <w:lang w:bidi="ar"/>
        </w:rPr>
        <w:br w:type="page"/>
      </w:r>
    </w:p>
    <w:p w14:paraId="40160081">
      <w:pPr>
        <w:keepNext/>
        <w:widowControl w:val="0"/>
        <w:spacing w:before="100" w:beforeAutospacing="1" w:after="100" w:afterAutospacing="1" w:line="360" w:lineRule="auto"/>
        <w:ind w:left="720" w:hanging="720"/>
        <w:jc w:val="center"/>
        <w:outlineLvl w:val="0"/>
        <w:rPr>
          <w:color w:val="auto"/>
          <w:sz w:val="28"/>
          <w:szCs w:val="28"/>
        </w:rPr>
      </w:pPr>
      <w:r>
        <w:rPr>
          <w:rFonts w:hint="eastAsia" w:ascii="黑体" w:cs="宋体"/>
          <w:b/>
          <w:color w:val="auto"/>
          <w:kern w:val="2"/>
          <w:sz w:val="28"/>
          <w:szCs w:val="28"/>
        </w:rPr>
        <w:t>第五章</w:t>
      </w:r>
      <w:r>
        <w:rPr>
          <w:rFonts w:hint="eastAsia" w:ascii="黑体" w:cs="宋体"/>
          <w:b/>
          <w:color w:val="auto"/>
          <w:kern w:val="2"/>
          <w:sz w:val="28"/>
          <w:szCs w:val="28"/>
          <w:lang w:val="en-US" w:eastAsia="zh-CN"/>
        </w:rPr>
        <w:t xml:space="preserve"> </w:t>
      </w:r>
      <w:r>
        <w:rPr>
          <w:rFonts w:hint="eastAsia" w:ascii="黑体" w:cs="宋体"/>
          <w:b/>
          <w:color w:val="auto"/>
          <w:kern w:val="2"/>
          <w:sz w:val="28"/>
          <w:szCs w:val="28"/>
        </w:rPr>
        <w:t>评审标准</w:t>
      </w:r>
    </w:p>
    <w:p w14:paraId="7A49376B">
      <w:pPr>
        <w:widowControl w:val="0"/>
        <w:spacing w:beforeLines="50" w:afterLines="50" w:line="360" w:lineRule="auto"/>
        <w:jc w:val="center"/>
        <w:rPr>
          <w:rFonts w:ascii="宋体" w:hAnsi="宋体" w:cs="宋体"/>
          <w:b/>
          <w:color w:val="auto"/>
          <w:sz w:val="24"/>
          <w:szCs w:val="24"/>
        </w:rPr>
      </w:pPr>
      <w:r>
        <w:rPr>
          <w:rFonts w:hint="eastAsia" w:ascii="宋体" w:hAnsi="宋体" w:cs="宋体"/>
          <w:b/>
          <w:color w:val="auto"/>
          <w:kern w:val="2"/>
          <w:sz w:val="24"/>
          <w:szCs w:val="24"/>
        </w:rPr>
        <w:t>评标办法前附表</w:t>
      </w:r>
    </w:p>
    <w:tbl>
      <w:tblPr>
        <w:tblStyle w:val="18"/>
        <w:tblW w:w="9462" w:type="dxa"/>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975"/>
        <w:gridCol w:w="1500"/>
        <w:gridCol w:w="6102"/>
      </w:tblGrid>
      <w:tr w14:paraId="3C2E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544057B1">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ascii="宋体" w:hAnsi="宋体" w:cs="宋体"/>
                <w:color w:val="auto"/>
                <w:kern w:val="2"/>
                <w:sz w:val="24"/>
                <w:szCs w:val="24"/>
              </w:rPr>
              <w:t>2.1初步评审</w:t>
            </w:r>
          </w:p>
        </w:tc>
        <w:tc>
          <w:tcPr>
            <w:tcW w:w="1500" w:type="dxa"/>
            <w:tcBorders>
              <w:top w:val="single" w:color="auto" w:sz="4" w:space="0"/>
              <w:left w:val="nil"/>
              <w:bottom w:val="single" w:color="auto" w:sz="4" w:space="0"/>
              <w:right w:val="single" w:color="auto" w:sz="4" w:space="0"/>
            </w:tcBorders>
            <w:noWrap w:val="0"/>
            <w:vAlign w:val="center"/>
          </w:tcPr>
          <w:p w14:paraId="1C8F17C1">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ascii="宋体" w:hAnsi="宋体" w:cs="宋体"/>
                <w:color w:val="auto"/>
                <w:kern w:val="2"/>
                <w:sz w:val="24"/>
                <w:szCs w:val="24"/>
              </w:rPr>
              <w:t>评审因素</w:t>
            </w:r>
          </w:p>
        </w:tc>
        <w:tc>
          <w:tcPr>
            <w:tcW w:w="6102" w:type="dxa"/>
            <w:tcBorders>
              <w:top w:val="single" w:color="auto" w:sz="4" w:space="0"/>
              <w:left w:val="nil"/>
              <w:bottom w:val="single" w:color="auto" w:sz="4" w:space="0"/>
              <w:right w:val="single" w:color="auto" w:sz="4" w:space="0"/>
            </w:tcBorders>
            <w:noWrap w:val="0"/>
            <w:vAlign w:val="center"/>
          </w:tcPr>
          <w:p w14:paraId="1C8738E1">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ascii="宋体" w:hAnsi="宋体" w:cs="宋体"/>
                <w:color w:val="auto"/>
                <w:kern w:val="2"/>
                <w:sz w:val="24"/>
                <w:szCs w:val="24"/>
              </w:rPr>
              <w:t>评审标准</w:t>
            </w:r>
          </w:p>
        </w:tc>
      </w:tr>
      <w:tr w14:paraId="4129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885" w:type="dxa"/>
            <w:vMerge w:val="restart"/>
            <w:tcBorders>
              <w:top w:val="nil"/>
              <w:left w:val="single" w:color="auto" w:sz="4" w:space="0"/>
              <w:bottom w:val="single" w:color="auto" w:sz="4" w:space="0"/>
              <w:right w:val="single" w:color="auto" w:sz="4" w:space="0"/>
            </w:tcBorders>
            <w:noWrap w:val="0"/>
            <w:vAlign w:val="center"/>
          </w:tcPr>
          <w:p w14:paraId="7A5DD635">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ascii="宋体" w:hAnsi="宋体" w:cs="宋体"/>
                <w:color w:val="auto"/>
                <w:kern w:val="2"/>
                <w:sz w:val="24"/>
                <w:szCs w:val="24"/>
              </w:rPr>
              <w:t>2.1.1</w:t>
            </w:r>
          </w:p>
        </w:tc>
        <w:tc>
          <w:tcPr>
            <w:tcW w:w="975" w:type="dxa"/>
            <w:vMerge w:val="restart"/>
            <w:tcBorders>
              <w:top w:val="nil"/>
              <w:left w:val="nil"/>
              <w:bottom w:val="single" w:color="auto" w:sz="4" w:space="0"/>
              <w:right w:val="single" w:color="auto" w:sz="4" w:space="0"/>
            </w:tcBorders>
            <w:noWrap w:val="0"/>
            <w:vAlign w:val="center"/>
          </w:tcPr>
          <w:p w14:paraId="26C20922">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ascii="宋体" w:hAnsi="宋体" w:cs="宋体"/>
                <w:color w:val="auto"/>
                <w:kern w:val="2"/>
                <w:sz w:val="24"/>
                <w:szCs w:val="24"/>
              </w:rPr>
              <w:t>资格评审标准</w:t>
            </w:r>
          </w:p>
        </w:tc>
        <w:tc>
          <w:tcPr>
            <w:tcW w:w="1500" w:type="dxa"/>
            <w:tcBorders>
              <w:top w:val="single" w:color="auto" w:sz="4" w:space="0"/>
              <w:left w:val="nil"/>
              <w:bottom w:val="single" w:color="auto" w:sz="4" w:space="0"/>
              <w:right w:val="single" w:color="auto" w:sz="4" w:space="0"/>
            </w:tcBorders>
            <w:noWrap w:val="0"/>
            <w:vAlign w:val="center"/>
          </w:tcPr>
          <w:p w14:paraId="7CEA3C5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第二十二条规定</w:t>
            </w:r>
          </w:p>
        </w:tc>
        <w:tc>
          <w:tcPr>
            <w:tcW w:w="6102" w:type="dxa"/>
            <w:tcBorders>
              <w:top w:val="single" w:color="auto" w:sz="4" w:space="0"/>
              <w:left w:val="nil"/>
              <w:bottom w:val="single" w:color="auto" w:sz="4" w:space="0"/>
              <w:right w:val="single" w:color="auto" w:sz="4" w:space="0"/>
            </w:tcBorders>
            <w:noWrap w:val="0"/>
            <w:vAlign w:val="center"/>
          </w:tcPr>
          <w:p w14:paraId="4FC0A251">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rPr>
            </w:pPr>
            <w:r>
              <w:rPr>
                <w:rFonts w:hint="eastAsia" w:ascii="宋体" w:hAnsi="宋体" w:cs="宋体"/>
                <w:color w:val="auto"/>
                <w:kern w:val="2"/>
                <w:sz w:val="24"/>
                <w:szCs w:val="24"/>
              </w:rPr>
              <w:t>供应商参加本次政府采购活动必须符合《中华人民共和国政府采购法》第二十二条的规定</w:t>
            </w:r>
          </w:p>
        </w:tc>
      </w:tr>
      <w:tr w14:paraId="5A8A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5" w:type="dxa"/>
            <w:vMerge w:val="continue"/>
            <w:tcBorders>
              <w:top w:val="nil"/>
              <w:left w:val="single" w:color="auto" w:sz="4" w:space="0"/>
              <w:bottom w:val="single" w:color="auto" w:sz="4" w:space="0"/>
              <w:right w:val="single" w:color="auto" w:sz="4" w:space="0"/>
            </w:tcBorders>
            <w:noWrap w:val="0"/>
            <w:vAlign w:val="center"/>
          </w:tcPr>
          <w:p w14:paraId="7B0A0810">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975" w:type="dxa"/>
            <w:vMerge w:val="continue"/>
            <w:tcBorders>
              <w:top w:val="nil"/>
              <w:left w:val="nil"/>
              <w:bottom w:val="single" w:color="auto" w:sz="4" w:space="0"/>
              <w:right w:val="single" w:color="auto" w:sz="4" w:space="0"/>
            </w:tcBorders>
            <w:noWrap w:val="0"/>
            <w:vAlign w:val="center"/>
          </w:tcPr>
          <w:p w14:paraId="037557B5">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1500" w:type="dxa"/>
            <w:tcBorders>
              <w:top w:val="single" w:color="auto" w:sz="4" w:space="0"/>
              <w:left w:val="nil"/>
              <w:bottom w:val="single" w:color="auto" w:sz="4" w:space="0"/>
              <w:right w:val="single" w:color="auto" w:sz="4" w:space="0"/>
            </w:tcBorders>
            <w:noWrap w:val="0"/>
            <w:vAlign w:val="center"/>
          </w:tcPr>
          <w:p w14:paraId="22CA8D9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lang w:val="en-US" w:eastAsia="zh-CN" w:bidi="ar-SA"/>
              </w:rPr>
            </w:pPr>
            <w:r>
              <w:rPr>
                <w:rFonts w:ascii="宋体" w:hAnsi="宋体" w:cs="宋体"/>
                <w:color w:val="auto"/>
                <w:kern w:val="2"/>
                <w:sz w:val="24"/>
                <w:szCs w:val="24"/>
              </w:rPr>
              <w:t>营业执照</w:t>
            </w:r>
          </w:p>
        </w:tc>
        <w:tc>
          <w:tcPr>
            <w:tcW w:w="6102" w:type="dxa"/>
            <w:tcBorders>
              <w:top w:val="single" w:color="auto" w:sz="4" w:space="0"/>
              <w:left w:val="nil"/>
              <w:bottom w:val="single" w:color="auto" w:sz="4" w:space="0"/>
              <w:right w:val="single" w:color="auto" w:sz="4" w:space="0"/>
            </w:tcBorders>
            <w:noWrap w:val="0"/>
            <w:vAlign w:val="center"/>
          </w:tcPr>
          <w:p w14:paraId="0D678986">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rPr>
              <w:t>供应商必须是在中华人民共和国境内注册的能够独立承担民事责任的独立法人或其他组织，具有有效的营业执照、税务登记证、组织机构代码证或</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“三证合一”的营业执照</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w:t>
            </w:r>
          </w:p>
        </w:tc>
      </w:tr>
      <w:tr w14:paraId="00BF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885" w:type="dxa"/>
            <w:vMerge w:val="continue"/>
            <w:tcBorders>
              <w:top w:val="nil"/>
              <w:left w:val="single" w:color="auto" w:sz="4" w:space="0"/>
              <w:bottom w:val="single" w:color="auto" w:sz="4" w:space="0"/>
              <w:right w:val="single" w:color="auto" w:sz="4" w:space="0"/>
            </w:tcBorders>
            <w:noWrap w:val="0"/>
            <w:vAlign w:val="center"/>
          </w:tcPr>
          <w:p w14:paraId="5ECDEE71">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975" w:type="dxa"/>
            <w:vMerge w:val="continue"/>
            <w:tcBorders>
              <w:top w:val="nil"/>
              <w:left w:val="nil"/>
              <w:bottom w:val="single" w:color="auto" w:sz="4" w:space="0"/>
              <w:right w:val="single" w:color="auto" w:sz="4" w:space="0"/>
            </w:tcBorders>
            <w:noWrap w:val="0"/>
            <w:vAlign w:val="center"/>
          </w:tcPr>
          <w:p w14:paraId="128D9C25">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1500" w:type="dxa"/>
            <w:tcBorders>
              <w:top w:val="single" w:color="auto" w:sz="4" w:space="0"/>
              <w:left w:val="nil"/>
              <w:bottom w:val="single" w:color="auto" w:sz="4" w:space="0"/>
              <w:right w:val="single" w:color="auto" w:sz="4" w:space="0"/>
            </w:tcBorders>
            <w:noWrap w:val="0"/>
            <w:vAlign w:val="center"/>
          </w:tcPr>
          <w:p w14:paraId="013E2BD4">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hint="eastAsia" w:ascii="宋体" w:hAnsi="宋体" w:cs="宋体"/>
                <w:color w:val="auto"/>
                <w:kern w:val="2"/>
                <w:sz w:val="24"/>
                <w:szCs w:val="24"/>
              </w:rPr>
              <w:t>专业能力</w:t>
            </w:r>
          </w:p>
        </w:tc>
        <w:tc>
          <w:tcPr>
            <w:tcW w:w="6102" w:type="dxa"/>
            <w:tcBorders>
              <w:top w:val="single" w:color="auto" w:sz="4" w:space="0"/>
              <w:left w:val="nil"/>
              <w:bottom w:val="single" w:color="auto" w:sz="4" w:space="0"/>
              <w:right w:val="single" w:color="auto" w:sz="4" w:space="0"/>
            </w:tcBorders>
            <w:noWrap w:val="0"/>
            <w:vAlign w:val="center"/>
          </w:tcPr>
          <w:p w14:paraId="49DF28AD">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rPr>
            </w:pPr>
            <w:r>
              <w:rPr>
                <w:rFonts w:hint="eastAsia" w:ascii="宋体" w:hAnsi="宋体" w:cs="宋体"/>
                <w:color w:val="auto"/>
                <w:kern w:val="2"/>
                <w:sz w:val="24"/>
                <w:szCs w:val="24"/>
                <w:lang w:val="en-US" w:eastAsia="zh-CN"/>
              </w:rPr>
              <w:t>须具有履行本项目采购内容所必须的设备和专业技术服务能力；(提供承诺书）</w:t>
            </w:r>
          </w:p>
        </w:tc>
      </w:tr>
      <w:tr w14:paraId="6C5D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885" w:type="dxa"/>
            <w:vMerge w:val="continue"/>
            <w:tcBorders>
              <w:top w:val="nil"/>
              <w:left w:val="single" w:color="auto" w:sz="4" w:space="0"/>
              <w:bottom w:val="single" w:color="auto" w:sz="4" w:space="0"/>
              <w:right w:val="single" w:color="auto" w:sz="4" w:space="0"/>
            </w:tcBorders>
            <w:noWrap w:val="0"/>
            <w:vAlign w:val="center"/>
          </w:tcPr>
          <w:p w14:paraId="342D8DF3">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975" w:type="dxa"/>
            <w:vMerge w:val="continue"/>
            <w:tcBorders>
              <w:top w:val="nil"/>
              <w:left w:val="nil"/>
              <w:bottom w:val="single" w:color="auto" w:sz="4" w:space="0"/>
              <w:right w:val="single" w:color="auto" w:sz="4" w:space="0"/>
            </w:tcBorders>
            <w:noWrap w:val="0"/>
            <w:vAlign w:val="center"/>
          </w:tcPr>
          <w:p w14:paraId="1241A4B4">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1500" w:type="dxa"/>
            <w:tcBorders>
              <w:top w:val="single" w:color="auto" w:sz="4" w:space="0"/>
              <w:left w:val="nil"/>
              <w:bottom w:val="single" w:color="auto" w:sz="4" w:space="0"/>
              <w:right w:val="single" w:color="auto" w:sz="4" w:space="0"/>
            </w:tcBorders>
            <w:noWrap w:val="0"/>
            <w:vAlign w:val="center"/>
          </w:tcPr>
          <w:p w14:paraId="4285A5D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eastAsia="zh-CN"/>
              </w:rPr>
            </w:pPr>
            <w:r>
              <w:rPr>
                <w:rFonts w:hint="eastAsia" w:ascii="宋体" w:hAnsi="宋体" w:eastAsia="宋体" w:cs="Calibri"/>
                <w:color w:val="auto"/>
                <w:kern w:val="2"/>
                <w:sz w:val="24"/>
                <w:szCs w:val="24"/>
              </w:rPr>
              <w:t>项目负责人</w:t>
            </w:r>
          </w:p>
        </w:tc>
        <w:tc>
          <w:tcPr>
            <w:tcW w:w="6102" w:type="dxa"/>
            <w:tcBorders>
              <w:top w:val="single" w:color="auto" w:sz="4" w:space="0"/>
              <w:left w:val="nil"/>
              <w:bottom w:val="single" w:color="auto" w:sz="4" w:space="0"/>
              <w:right w:val="single" w:color="auto" w:sz="4" w:space="0"/>
            </w:tcBorders>
            <w:noWrap w:val="0"/>
            <w:vAlign w:val="center"/>
          </w:tcPr>
          <w:p w14:paraId="628740FA">
            <w:pPr>
              <w:keepNext w:val="0"/>
              <w:keepLines w:val="0"/>
              <w:widowControl w:val="0"/>
              <w:suppressLineNumbers w:val="0"/>
              <w:spacing w:before="0" w:beforeAutospacing="0" w:after="0" w:afterAutospacing="0" w:line="360" w:lineRule="auto"/>
              <w:ind w:left="0" w:right="0"/>
              <w:jc w:val="both"/>
              <w:rPr>
                <w:rFonts w:hint="eastAsia" w:ascii="宋体" w:hAnsi="宋体" w:cs="宋体"/>
                <w:color w:val="auto"/>
                <w:kern w:val="2"/>
                <w:sz w:val="24"/>
                <w:szCs w:val="24"/>
              </w:rPr>
            </w:pPr>
            <w:r>
              <w:rPr>
                <w:rFonts w:hint="eastAsia" w:ascii="宋体" w:hAnsi="宋体" w:eastAsia="宋体" w:cs="宋体"/>
                <w:color w:val="auto"/>
                <w:kern w:val="2"/>
                <w:sz w:val="24"/>
                <w:szCs w:val="24"/>
                <w:lang w:val="en-US" w:eastAsia="zh-CN"/>
              </w:rPr>
              <w:t>拟派项目负责人必须为中级</w:t>
            </w:r>
            <w:r>
              <w:rPr>
                <w:rFonts w:hint="eastAsia" w:ascii="宋体" w:hAnsi="宋体" w:cs="宋体"/>
                <w:color w:val="auto"/>
                <w:kern w:val="2"/>
                <w:sz w:val="24"/>
                <w:szCs w:val="24"/>
                <w:lang w:val="en-US" w:eastAsia="zh-CN"/>
              </w:rPr>
              <w:t>及</w:t>
            </w:r>
            <w:r>
              <w:rPr>
                <w:rFonts w:hint="eastAsia" w:ascii="宋体" w:hAnsi="宋体" w:eastAsia="宋体" w:cs="宋体"/>
                <w:color w:val="auto"/>
                <w:kern w:val="2"/>
                <w:sz w:val="24"/>
                <w:szCs w:val="24"/>
                <w:lang w:val="en-US" w:eastAsia="zh-CN"/>
              </w:rPr>
              <w:t>以上技术职称</w:t>
            </w:r>
            <w:r>
              <w:rPr>
                <w:rFonts w:hint="eastAsia" w:ascii="宋体" w:hAnsi="宋体" w:cs="宋体"/>
                <w:color w:val="auto"/>
                <w:kern w:val="2"/>
                <w:sz w:val="24"/>
                <w:szCs w:val="24"/>
                <w:lang w:val="en-US" w:eastAsia="zh-CN"/>
              </w:rPr>
              <w:t>，且为</w:t>
            </w:r>
            <w:r>
              <w:rPr>
                <w:rFonts w:hint="eastAsia" w:ascii="宋体" w:hAnsi="宋体" w:eastAsia="宋体" w:cs="宋体"/>
                <w:color w:val="auto"/>
                <w:kern w:val="2"/>
                <w:sz w:val="24"/>
                <w:szCs w:val="24"/>
                <w:lang w:val="en-US" w:eastAsia="zh-CN"/>
              </w:rPr>
              <w:t>本单位人员（提供与本单位签订劳动合同及近半年连续三个月缴纳的社保证明材料）；</w:t>
            </w:r>
          </w:p>
        </w:tc>
      </w:tr>
      <w:tr w14:paraId="7CDF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85" w:type="dxa"/>
            <w:vMerge w:val="continue"/>
            <w:tcBorders>
              <w:top w:val="nil"/>
              <w:left w:val="single" w:color="auto" w:sz="4" w:space="0"/>
              <w:bottom w:val="single" w:color="auto" w:sz="4" w:space="0"/>
              <w:right w:val="single" w:color="auto" w:sz="4" w:space="0"/>
            </w:tcBorders>
            <w:noWrap w:val="0"/>
            <w:vAlign w:val="center"/>
          </w:tcPr>
          <w:p w14:paraId="40FAEAE2">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975" w:type="dxa"/>
            <w:vMerge w:val="continue"/>
            <w:tcBorders>
              <w:top w:val="nil"/>
              <w:left w:val="nil"/>
              <w:bottom w:val="single" w:color="auto" w:sz="4" w:space="0"/>
              <w:right w:val="single" w:color="auto" w:sz="4" w:space="0"/>
            </w:tcBorders>
            <w:noWrap w:val="0"/>
            <w:vAlign w:val="center"/>
          </w:tcPr>
          <w:p w14:paraId="49C041DA">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1500" w:type="dxa"/>
            <w:tcBorders>
              <w:top w:val="single" w:color="auto" w:sz="4" w:space="0"/>
              <w:left w:val="nil"/>
              <w:bottom w:val="single" w:color="auto" w:sz="4" w:space="0"/>
              <w:right w:val="single" w:color="auto" w:sz="4" w:space="0"/>
            </w:tcBorders>
            <w:noWrap w:val="0"/>
            <w:vAlign w:val="center"/>
          </w:tcPr>
          <w:p w14:paraId="1D3B726F">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hint="eastAsia" w:ascii="宋体" w:hAnsi="宋体" w:cs="宋体"/>
                <w:color w:val="auto"/>
                <w:kern w:val="2"/>
                <w:sz w:val="24"/>
                <w:szCs w:val="24"/>
                <w:lang w:val="en-US" w:eastAsia="zh-CN"/>
              </w:rPr>
              <w:t>依法缴纳税收</w:t>
            </w:r>
          </w:p>
        </w:tc>
        <w:tc>
          <w:tcPr>
            <w:tcW w:w="6102" w:type="dxa"/>
            <w:tcBorders>
              <w:top w:val="single" w:color="auto" w:sz="4" w:space="0"/>
              <w:left w:val="nil"/>
              <w:bottom w:val="single" w:color="auto" w:sz="4" w:space="0"/>
              <w:right w:val="single" w:color="auto" w:sz="4" w:space="0"/>
            </w:tcBorders>
            <w:noWrap w:val="0"/>
            <w:vAlign w:val="center"/>
          </w:tcPr>
          <w:p w14:paraId="4CFF4B8B">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rPr>
            </w:pPr>
            <w:r>
              <w:rPr>
                <w:rFonts w:hint="eastAsia" w:ascii="宋体" w:hAnsi="宋体" w:cs="宋体"/>
                <w:color w:val="auto"/>
                <w:kern w:val="2"/>
                <w:sz w:val="24"/>
                <w:szCs w:val="24"/>
                <w:lang w:val="en-US" w:eastAsia="zh-CN"/>
              </w:rPr>
              <w:t>须提供企业近半年任意连续三个月完税证明材料（新成立的企业从成立之日起计算）：主要是指缴纳增值税或企业所得税或企业附加税的依法缴纳税收证明材料，依法免税的响应人，应提供相应文件证明其依法免税；</w:t>
            </w:r>
          </w:p>
        </w:tc>
      </w:tr>
      <w:tr w14:paraId="3871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4" w:hRule="atLeast"/>
        </w:trPr>
        <w:tc>
          <w:tcPr>
            <w:tcW w:w="885" w:type="dxa"/>
            <w:vMerge w:val="continue"/>
            <w:tcBorders>
              <w:top w:val="nil"/>
              <w:left w:val="single" w:color="auto" w:sz="4" w:space="0"/>
              <w:bottom w:val="single" w:color="auto" w:sz="4" w:space="0"/>
              <w:right w:val="single" w:color="auto" w:sz="4" w:space="0"/>
            </w:tcBorders>
            <w:noWrap w:val="0"/>
            <w:vAlign w:val="center"/>
          </w:tcPr>
          <w:p w14:paraId="2D098E99">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975" w:type="dxa"/>
            <w:vMerge w:val="continue"/>
            <w:tcBorders>
              <w:top w:val="nil"/>
              <w:left w:val="nil"/>
              <w:bottom w:val="single" w:color="auto" w:sz="4" w:space="0"/>
              <w:right w:val="single" w:color="auto" w:sz="4" w:space="0"/>
            </w:tcBorders>
            <w:noWrap w:val="0"/>
            <w:vAlign w:val="center"/>
          </w:tcPr>
          <w:p w14:paraId="338F7799">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1500" w:type="dxa"/>
            <w:tcBorders>
              <w:top w:val="single" w:color="auto" w:sz="4" w:space="0"/>
              <w:left w:val="nil"/>
              <w:bottom w:val="single" w:color="auto" w:sz="4" w:space="0"/>
              <w:right w:val="single" w:color="auto" w:sz="4" w:space="0"/>
            </w:tcBorders>
            <w:noWrap w:val="0"/>
            <w:vAlign w:val="center"/>
          </w:tcPr>
          <w:p w14:paraId="4793978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财务状况</w:t>
            </w:r>
          </w:p>
        </w:tc>
        <w:tc>
          <w:tcPr>
            <w:tcW w:w="6102" w:type="dxa"/>
            <w:tcBorders>
              <w:top w:val="single" w:color="auto" w:sz="4" w:space="0"/>
              <w:left w:val="nil"/>
              <w:bottom w:val="single" w:color="auto" w:sz="4" w:space="0"/>
              <w:right w:val="single" w:color="auto" w:sz="4" w:space="0"/>
            </w:tcBorders>
            <w:noWrap w:val="0"/>
            <w:vAlign w:val="center"/>
          </w:tcPr>
          <w:p w14:paraId="37AD8319">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rPr>
            </w:pPr>
            <w:r>
              <w:rPr>
                <w:rFonts w:hint="eastAsia" w:ascii="宋体" w:hAnsi="宋体" w:cs="宋体"/>
                <w:sz w:val="24"/>
                <w:szCs w:val="24"/>
                <w:lang w:val="en-US" w:eastAsia="zh-CN"/>
              </w:rPr>
              <w:t>具有良好的财务状况且没有处于被责令停业，提供企业近三年（新成立企业从成立之日起计算）任意一年审计报告或财务报表（提供财务报表时须提供资产负债表、现金流量表、利润表）；</w:t>
            </w:r>
          </w:p>
        </w:tc>
      </w:tr>
      <w:tr w14:paraId="2772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4" w:hRule="atLeast"/>
        </w:trPr>
        <w:tc>
          <w:tcPr>
            <w:tcW w:w="885" w:type="dxa"/>
            <w:vMerge w:val="continue"/>
            <w:tcBorders>
              <w:top w:val="nil"/>
              <w:left w:val="single" w:color="auto" w:sz="4" w:space="0"/>
              <w:bottom w:val="single" w:color="auto" w:sz="4" w:space="0"/>
              <w:right w:val="single" w:color="auto" w:sz="4" w:space="0"/>
            </w:tcBorders>
            <w:noWrap w:val="0"/>
            <w:vAlign w:val="center"/>
          </w:tcPr>
          <w:p w14:paraId="2FEC2180">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975" w:type="dxa"/>
            <w:vMerge w:val="continue"/>
            <w:tcBorders>
              <w:top w:val="nil"/>
              <w:left w:val="nil"/>
              <w:bottom w:val="single" w:color="auto" w:sz="4" w:space="0"/>
              <w:right w:val="single" w:color="auto" w:sz="4" w:space="0"/>
            </w:tcBorders>
            <w:noWrap w:val="0"/>
            <w:vAlign w:val="center"/>
          </w:tcPr>
          <w:p w14:paraId="457FF164">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1500" w:type="dxa"/>
            <w:tcBorders>
              <w:top w:val="single" w:color="auto" w:sz="4" w:space="0"/>
              <w:left w:val="nil"/>
              <w:bottom w:val="single" w:color="auto" w:sz="4" w:space="0"/>
              <w:right w:val="single" w:color="auto" w:sz="4" w:space="0"/>
            </w:tcBorders>
            <w:noWrap w:val="0"/>
            <w:vAlign w:val="center"/>
          </w:tcPr>
          <w:p w14:paraId="412390D4">
            <w:pPr>
              <w:spacing w:line="240" w:lineRule="auto"/>
              <w:jc w:val="center"/>
              <w:rPr>
                <w:rFonts w:ascii="宋体" w:hAnsi="宋体" w:cs="宋体"/>
                <w:color w:val="auto"/>
                <w:kern w:val="2"/>
                <w:sz w:val="24"/>
                <w:szCs w:val="24"/>
              </w:rPr>
            </w:pPr>
            <w:r>
              <w:rPr>
                <w:rFonts w:hint="eastAsia" w:ascii="宋体" w:hAnsi="宋体" w:eastAsia="宋体" w:cs="宋体"/>
                <w:sz w:val="24"/>
                <w:szCs w:val="24"/>
                <w:lang w:val="en-US" w:eastAsia="zh-CN"/>
              </w:rPr>
              <w:t>无行贿犯罪记录</w:t>
            </w:r>
          </w:p>
        </w:tc>
        <w:tc>
          <w:tcPr>
            <w:tcW w:w="6102" w:type="dxa"/>
            <w:tcBorders>
              <w:top w:val="single" w:color="auto" w:sz="4" w:space="0"/>
              <w:left w:val="nil"/>
              <w:bottom w:val="single" w:color="auto" w:sz="4" w:space="0"/>
              <w:right w:val="single" w:color="auto" w:sz="4" w:space="0"/>
            </w:tcBorders>
            <w:noWrap w:val="0"/>
            <w:vAlign w:val="center"/>
          </w:tcPr>
          <w:p w14:paraId="35753042">
            <w:pPr>
              <w:spacing w:line="360" w:lineRule="auto"/>
              <w:rPr>
                <w:rFonts w:ascii="宋体" w:hAnsi="宋体" w:cs="宋体"/>
                <w:color w:val="auto"/>
                <w:kern w:val="2"/>
                <w:sz w:val="24"/>
                <w:szCs w:val="24"/>
              </w:rPr>
            </w:pPr>
            <w:r>
              <w:rPr>
                <w:rFonts w:hint="eastAsia" w:ascii="宋体" w:hAnsi="宋体" w:cs="宋体"/>
                <w:sz w:val="24"/>
                <w:szCs w:val="24"/>
                <w:lang w:val="en-US" w:eastAsia="zh-CN"/>
              </w:rPr>
              <w:t>参加政府采购活动前3年内无行贿犯罪记录、商业贿赂、不正当竞争行为、骗取中标、严重违约等问题；供应商出具无行贿犯罪记录在中国裁判文书网自行查询或自行承诺（查询对象：企业、法定代表人）；</w:t>
            </w:r>
          </w:p>
        </w:tc>
      </w:tr>
      <w:tr w14:paraId="4987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85" w:type="dxa"/>
            <w:vMerge w:val="continue"/>
            <w:tcBorders>
              <w:left w:val="single" w:color="auto" w:sz="4" w:space="0"/>
              <w:right w:val="single" w:color="auto" w:sz="4" w:space="0"/>
            </w:tcBorders>
            <w:noWrap w:val="0"/>
            <w:vAlign w:val="center"/>
          </w:tcPr>
          <w:p w14:paraId="4F6D3EBE">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p>
        </w:tc>
        <w:tc>
          <w:tcPr>
            <w:tcW w:w="975" w:type="dxa"/>
            <w:vMerge w:val="continue"/>
            <w:tcBorders>
              <w:left w:val="single" w:color="auto" w:sz="4" w:space="0"/>
              <w:right w:val="single" w:color="auto" w:sz="4" w:space="0"/>
            </w:tcBorders>
            <w:noWrap w:val="0"/>
            <w:vAlign w:val="center"/>
          </w:tcPr>
          <w:p w14:paraId="0EC45F60">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p>
        </w:tc>
        <w:tc>
          <w:tcPr>
            <w:tcW w:w="1500" w:type="dxa"/>
            <w:tcBorders>
              <w:top w:val="single" w:color="auto" w:sz="4" w:space="0"/>
              <w:left w:val="single" w:color="auto" w:sz="4" w:space="0"/>
              <w:right w:val="single" w:color="auto" w:sz="4" w:space="0"/>
            </w:tcBorders>
            <w:noWrap w:val="0"/>
            <w:vAlign w:val="center"/>
          </w:tcPr>
          <w:p w14:paraId="626E0512">
            <w:pPr>
              <w:spacing w:line="240" w:lineRule="auto"/>
              <w:jc w:val="center"/>
              <w:rPr>
                <w:rFonts w:hint="eastAsia" w:ascii="宋体" w:hAnsi="宋体" w:cs="宋体"/>
                <w:color w:val="auto"/>
                <w:kern w:val="2"/>
                <w:sz w:val="24"/>
                <w:szCs w:val="24"/>
                <w:lang w:val="en-US" w:eastAsia="zh-CN"/>
              </w:rPr>
            </w:pPr>
            <w:r>
              <w:rPr>
                <w:rFonts w:hint="eastAsia" w:ascii="宋体" w:hAnsi="宋体" w:eastAsia="宋体" w:cs="宋体"/>
                <w:sz w:val="24"/>
                <w:szCs w:val="24"/>
                <w:lang w:val="en-US" w:eastAsia="zh-CN"/>
              </w:rPr>
              <w:t>无商业贿赂和不正当竞争行为</w:t>
            </w:r>
          </w:p>
        </w:tc>
        <w:tc>
          <w:tcPr>
            <w:tcW w:w="6102" w:type="dxa"/>
            <w:tcBorders>
              <w:top w:val="single" w:color="auto" w:sz="4" w:space="0"/>
              <w:left w:val="nil"/>
              <w:bottom w:val="single" w:color="auto" w:sz="4" w:space="0"/>
              <w:right w:val="single" w:color="auto" w:sz="4" w:space="0"/>
            </w:tcBorders>
            <w:noWrap w:val="0"/>
            <w:vAlign w:val="center"/>
          </w:tcPr>
          <w:p w14:paraId="73011392">
            <w:pPr>
              <w:spacing w:line="360" w:lineRule="auto"/>
              <w:rPr>
                <w:rFonts w:hint="default"/>
                <w:lang w:val="en-US" w:eastAsia="zh-CN"/>
              </w:rPr>
            </w:pPr>
            <w:r>
              <w:rPr>
                <w:rFonts w:hint="eastAsia" w:ascii="宋体" w:hAnsi="宋体" w:eastAsia="宋体" w:cs="宋体"/>
                <w:sz w:val="24"/>
                <w:szCs w:val="24"/>
                <w:lang w:val="en-US" w:eastAsia="zh-CN"/>
              </w:rPr>
              <w:t>提供企业注册地工商管理部门出具的无商业贿赂和不正当竞争行为的查询证明（若当地工商管理部门不办理此项业务，供应商须自行出具本企业无商业贿赂和不正当竞争行为承诺书）；</w:t>
            </w:r>
          </w:p>
        </w:tc>
      </w:tr>
      <w:tr w14:paraId="4E91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85" w:type="dxa"/>
            <w:tcBorders>
              <w:left w:val="single" w:color="auto" w:sz="4" w:space="0"/>
              <w:right w:val="single" w:color="auto" w:sz="4" w:space="0"/>
            </w:tcBorders>
            <w:noWrap w:val="0"/>
            <w:vAlign w:val="center"/>
          </w:tcPr>
          <w:p w14:paraId="6F8AF21F">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p>
        </w:tc>
        <w:tc>
          <w:tcPr>
            <w:tcW w:w="975" w:type="dxa"/>
            <w:tcBorders>
              <w:left w:val="single" w:color="auto" w:sz="4" w:space="0"/>
              <w:right w:val="single" w:color="auto" w:sz="4" w:space="0"/>
            </w:tcBorders>
            <w:noWrap w:val="0"/>
            <w:vAlign w:val="center"/>
          </w:tcPr>
          <w:p w14:paraId="1F78DD5F">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p>
        </w:tc>
        <w:tc>
          <w:tcPr>
            <w:tcW w:w="1500" w:type="dxa"/>
            <w:tcBorders>
              <w:top w:val="single" w:color="auto" w:sz="4" w:space="0"/>
              <w:left w:val="single" w:color="auto" w:sz="4" w:space="0"/>
              <w:right w:val="single" w:color="auto" w:sz="4" w:space="0"/>
            </w:tcBorders>
            <w:shd w:val="clear" w:color="auto" w:fill="auto"/>
            <w:noWrap w:val="0"/>
            <w:vAlign w:val="center"/>
          </w:tcPr>
          <w:p w14:paraId="3FDE6C4F">
            <w:pPr>
              <w:keepNext w:val="0"/>
              <w:keepLines w:val="0"/>
              <w:pageBreakBefore w:val="0"/>
              <w:widowControl w:val="0"/>
              <w:kinsoku/>
              <w:overflowPunct/>
              <w:topLinePunct w:val="0"/>
              <w:bidi w:val="0"/>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信用查询</w:t>
            </w:r>
          </w:p>
        </w:tc>
        <w:tc>
          <w:tcPr>
            <w:tcW w:w="6102" w:type="dxa"/>
            <w:tcBorders>
              <w:top w:val="single" w:color="auto" w:sz="4" w:space="0"/>
              <w:left w:val="nil"/>
              <w:bottom w:val="single" w:color="auto" w:sz="4" w:space="0"/>
              <w:right w:val="single" w:color="auto" w:sz="4" w:space="0"/>
            </w:tcBorders>
            <w:shd w:val="clear" w:color="auto" w:fill="auto"/>
            <w:noWrap w:val="0"/>
            <w:vAlign w:val="center"/>
          </w:tcPr>
          <w:p w14:paraId="67746FE4">
            <w:pPr>
              <w:keepNext w:val="0"/>
              <w:keepLines w:val="0"/>
              <w:pageBreakBefore w:val="0"/>
              <w:widowControl w:val="0"/>
              <w:shd w:val="clear" w:color="auto"/>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企业没有被列入“信用中国”网站的“失信被执行人”、“重大税收违法失信主体”及“中国政府采购网”网站的“政府采购严重违法失信行为记录名单”的投标人（查询渠道：“信用中国”网站（www.creditchina.gov.cn）、中国政府采购网（www.ccgp.gov.cn）。(注：査询时间必须是磋商公告发布以后开标时间以前，并提供网站查询网页截图，查询结果清晰可见)</w:t>
            </w:r>
          </w:p>
        </w:tc>
      </w:tr>
      <w:tr w14:paraId="379D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885" w:type="dxa"/>
            <w:tcBorders>
              <w:left w:val="single" w:color="auto" w:sz="4" w:space="0"/>
              <w:right w:val="single" w:color="auto" w:sz="4" w:space="0"/>
            </w:tcBorders>
            <w:noWrap w:val="0"/>
            <w:vAlign w:val="center"/>
          </w:tcPr>
          <w:p w14:paraId="7E410343">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p>
        </w:tc>
        <w:tc>
          <w:tcPr>
            <w:tcW w:w="975" w:type="dxa"/>
            <w:tcBorders>
              <w:left w:val="single" w:color="auto" w:sz="4" w:space="0"/>
              <w:right w:val="single" w:color="auto" w:sz="4" w:space="0"/>
            </w:tcBorders>
            <w:noWrap w:val="0"/>
            <w:vAlign w:val="center"/>
          </w:tcPr>
          <w:p w14:paraId="51F1CFEF">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p>
        </w:tc>
        <w:tc>
          <w:tcPr>
            <w:tcW w:w="1500" w:type="dxa"/>
            <w:tcBorders>
              <w:top w:val="single" w:color="auto" w:sz="4" w:space="0"/>
              <w:left w:val="single" w:color="auto" w:sz="4" w:space="0"/>
              <w:right w:val="single" w:color="auto" w:sz="4" w:space="0"/>
            </w:tcBorders>
            <w:shd w:val="clear" w:color="auto" w:fill="auto"/>
            <w:noWrap w:val="0"/>
            <w:vAlign w:val="center"/>
          </w:tcPr>
          <w:p w14:paraId="4D3DE354">
            <w:pPr>
              <w:spacing w:line="240"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联合体</w:t>
            </w:r>
            <w:r>
              <w:rPr>
                <w:rFonts w:hint="eastAsia" w:ascii="宋体" w:hAnsi="宋体" w:cs="宋体"/>
                <w:color w:val="auto"/>
                <w:kern w:val="2"/>
                <w:sz w:val="24"/>
                <w:szCs w:val="24"/>
                <w:lang w:val="en-US" w:eastAsia="zh-CN"/>
              </w:rPr>
              <w:t>磋商</w:t>
            </w:r>
          </w:p>
        </w:tc>
        <w:tc>
          <w:tcPr>
            <w:tcW w:w="6102" w:type="dxa"/>
            <w:tcBorders>
              <w:top w:val="single" w:color="auto" w:sz="4" w:space="0"/>
              <w:left w:val="nil"/>
              <w:bottom w:val="single" w:color="auto" w:sz="4" w:space="0"/>
              <w:right w:val="single" w:color="auto" w:sz="4" w:space="0"/>
            </w:tcBorders>
            <w:shd w:val="clear" w:color="auto" w:fill="auto"/>
            <w:noWrap w:val="0"/>
            <w:vAlign w:val="center"/>
          </w:tcPr>
          <w:p w14:paraId="328BAC0E">
            <w:pPr>
              <w:spacing w:line="240" w:lineRule="auto"/>
              <w:rPr>
                <w:rFonts w:hint="eastAsia" w:ascii="宋体" w:hAnsi="宋体" w:eastAsia="宋体" w:cs="宋体"/>
                <w:sz w:val="24"/>
                <w:szCs w:val="24"/>
                <w:lang w:val="en-US" w:eastAsia="zh-CN" w:bidi="ar-SA"/>
              </w:rPr>
            </w:pPr>
            <w:r>
              <w:rPr>
                <w:rFonts w:hint="eastAsia" w:ascii="宋体" w:hAnsi="宋体" w:eastAsia="宋体" w:cs="宋体"/>
                <w:sz w:val="24"/>
                <w:szCs w:val="24"/>
              </w:rPr>
              <w:t>本项目不接受联合体</w:t>
            </w:r>
            <w:r>
              <w:rPr>
                <w:rFonts w:hint="eastAsia" w:ascii="宋体" w:hAnsi="宋体" w:cs="宋体"/>
                <w:color w:val="auto"/>
                <w:kern w:val="2"/>
                <w:sz w:val="24"/>
                <w:szCs w:val="24"/>
                <w:lang w:val="en-US" w:eastAsia="zh-CN"/>
              </w:rPr>
              <w:t>磋商</w:t>
            </w:r>
            <w:r>
              <w:rPr>
                <w:rFonts w:hint="eastAsia" w:ascii="宋体" w:hAnsi="宋体" w:eastAsia="宋体" w:cs="宋体"/>
                <w:sz w:val="24"/>
                <w:szCs w:val="24"/>
              </w:rPr>
              <w:t>，提供非联合体承诺书</w:t>
            </w:r>
          </w:p>
        </w:tc>
      </w:tr>
      <w:tr w14:paraId="6AA8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885" w:type="dxa"/>
            <w:vMerge w:val="restart"/>
            <w:tcBorders>
              <w:top w:val="single" w:color="auto" w:sz="4" w:space="0"/>
              <w:left w:val="single" w:color="auto" w:sz="4" w:space="0"/>
              <w:bottom w:val="single" w:color="auto" w:sz="4" w:space="0"/>
              <w:right w:val="single" w:color="auto" w:sz="4" w:space="0"/>
            </w:tcBorders>
            <w:noWrap w:val="0"/>
            <w:vAlign w:val="center"/>
          </w:tcPr>
          <w:p w14:paraId="1552839B">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ascii="宋体" w:hAnsi="宋体" w:cs="宋体"/>
                <w:color w:val="auto"/>
                <w:kern w:val="2"/>
                <w:sz w:val="24"/>
                <w:szCs w:val="24"/>
              </w:rPr>
              <w:t>2.1.2</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F30DB9B">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hint="eastAsia" w:ascii="宋体" w:hAnsi="宋体" w:cs="宋体"/>
                <w:color w:val="auto"/>
                <w:kern w:val="2"/>
                <w:sz w:val="24"/>
                <w:szCs w:val="24"/>
                <w:lang w:val="en-US" w:eastAsia="zh-CN"/>
              </w:rPr>
              <w:t>响应</w:t>
            </w:r>
            <w:r>
              <w:rPr>
                <w:rFonts w:ascii="宋体" w:hAnsi="宋体" w:cs="宋体"/>
                <w:color w:val="auto"/>
                <w:kern w:val="2"/>
                <w:sz w:val="24"/>
                <w:szCs w:val="24"/>
              </w:rPr>
              <w:t>性审查</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F258689">
            <w:pPr>
              <w:keepNext w:val="0"/>
              <w:keepLines w:val="0"/>
              <w:widowControl w:val="0"/>
              <w:suppressLineNumbers w:val="0"/>
              <w:spacing w:before="0" w:beforeAutospacing="0" w:after="0" w:afterAutospacing="0" w:line="360" w:lineRule="auto"/>
              <w:ind w:left="0" w:right="0"/>
              <w:jc w:val="center"/>
              <w:rPr>
                <w:rFonts w:hint="eastAsia" w:ascii="宋体" w:hAnsi="宋体" w:cs="宋体"/>
                <w:color w:val="auto"/>
                <w:kern w:val="2"/>
                <w:sz w:val="24"/>
                <w:szCs w:val="24"/>
              </w:rPr>
            </w:pPr>
            <w:r>
              <w:rPr>
                <w:rFonts w:hint="eastAsia" w:ascii="宋体" w:hAnsi="宋体" w:cs="宋体"/>
                <w:color w:val="auto"/>
                <w:kern w:val="2"/>
                <w:sz w:val="24"/>
                <w:szCs w:val="24"/>
                <w:lang w:val="en-US" w:eastAsia="zh-CN"/>
              </w:rPr>
              <w:t>实施</w:t>
            </w:r>
            <w:r>
              <w:rPr>
                <w:rFonts w:hint="eastAsia" w:ascii="宋体" w:hAnsi="宋体" w:cs="宋体"/>
                <w:color w:val="auto"/>
                <w:kern w:val="2"/>
                <w:sz w:val="24"/>
                <w:szCs w:val="24"/>
              </w:rPr>
              <w:t>地点</w:t>
            </w:r>
          </w:p>
        </w:tc>
        <w:tc>
          <w:tcPr>
            <w:tcW w:w="6102" w:type="dxa"/>
            <w:tcBorders>
              <w:top w:val="single" w:color="auto" w:sz="4" w:space="0"/>
              <w:left w:val="single" w:color="auto" w:sz="4" w:space="0"/>
              <w:bottom w:val="single" w:color="auto" w:sz="4" w:space="0"/>
              <w:right w:val="single" w:color="auto" w:sz="4" w:space="0"/>
            </w:tcBorders>
            <w:noWrap w:val="0"/>
            <w:vAlign w:val="center"/>
          </w:tcPr>
          <w:p w14:paraId="16BB3600">
            <w:pPr>
              <w:keepNext w:val="0"/>
              <w:keepLines w:val="0"/>
              <w:widowControl w:val="0"/>
              <w:suppressLineNumbers w:val="0"/>
              <w:spacing w:before="0" w:beforeAutospacing="0" w:after="0" w:afterAutospacing="0" w:line="360" w:lineRule="auto"/>
              <w:ind w:left="0" w:right="0"/>
              <w:jc w:val="both"/>
              <w:rPr>
                <w:rFonts w:hint="default" w:ascii="宋体" w:hAnsi="宋体" w:cs="宋体"/>
                <w:color w:val="auto"/>
                <w:kern w:val="2"/>
                <w:sz w:val="24"/>
                <w:szCs w:val="24"/>
                <w:lang w:val="en-US"/>
              </w:rPr>
            </w:pPr>
            <w:r>
              <w:rPr>
                <w:rFonts w:hint="eastAsia" w:ascii="宋体" w:hAnsi="宋体" w:cs="宋体"/>
                <w:color w:val="auto"/>
                <w:kern w:val="2"/>
                <w:sz w:val="24"/>
                <w:szCs w:val="24"/>
                <w:lang w:val="en-US" w:eastAsia="zh-CN"/>
              </w:rPr>
              <w:t xml:space="preserve">卢氏县 </w:t>
            </w:r>
          </w:p>
        </w:tc>
      </w:tr>
      <w:tr w14:paraId="2062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43609587">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56A322">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3F36B9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服务周期</w:t>
            </w:r>
          </w:p>
        </w:tc>
        <w:tc>
          <w:tcPr>
            <w:tcW w:w="6102" w:type="dxa"/>
            <w:tcBorders>
              <w:top w:val="single" w:color="auto" w:sz="4" w:space="0"/>
              <w:left w:val="nil"/>
              <w:bottom w:val="single" w:color="auto" w:sz="4" w:space="0"/>
              <w:right w:val="single" w:color="auto" w:sz="4" w:space="0"/>
            </w:tcBorders>
            <w:noWrap w:val="0"/>
            <w:vAlign w:val="center"/>
          </w:tcPr>
          <w:p w14:paraId="4F2A567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市级应急预案印发后3个月内完成</w:t>
            </w:r>
          </w:p>
        </w:tc>
      </w:tr>
      <w:tr w14:paraId="08E6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0150C68F">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95603BC">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6A221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lang w:val="en-US" w:eastAsia="zh-CN"/>
              </w:rPr>
            </w:pPr>
            <w:r>
              <w:rPr>
                <w:rFonts w:ascii="宋体" w:hAnsi="宋体" w:cs="宋体"/>
                <w:color w:val="auto"/>
                <w:kern w:val="2"/>
                <w:sz w:val="24"/>
                <w:szCs w:val="24"/>
              </w:rPr>
              <w:t>质量</w:t>
            </w:r>
            <w:r>
              <w:rPr>
                <w:rFonts w:hint="eastAsia" w:ascii="宋体" w:hAnsi="宋体" w:cs="宋体"/>
                <w:color w:val="auto"/>
                <w:kern w:val="2"/>
                <w:sz w:val="24"/>
                <w:szCs w:val="24"/>
                <w:lang w:val="en-US" w:eastAsia="zh-CN"/>
              </w:rPr>
              <w:t>要求</w:t>
            </w:r>
          </w:p>
        </w:tc>
        <w:tc>
          <w:tcPr>
            <w:tcW w:w="6102" w:type="dxa"/>
            <w:tcBorders>
              <w:top w:val="single" w:color="auto" w:sz="4" w:space="0"/>
              <w:left w:val="nil"/>
              <w:bottom w:val="single" w:color="auto" w:sz="4" w:space="0"/>
              <w:right w:val="single" w:color="auto" w:sz="4" w:space="0"/>
            </w:tcBorders>
            <w:noWrap w:val="0"/>
            <w:vAlign w:val="center"/>
          </w:tcPr>
          <w:p w14:paraId="2683A4BE">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rPr>
            </w:pPr>
            <w:r>
              <w:rPr>
                <w:rFonts w:hint="eastAsia" w:ascii="宋体" w:hAnsi="宋体" w:cs="宋体"/>
                <w:color w:val="auto"/>
                <w:spacing w:val="6"/>
                <w:kern w:val="2"/>
                <w:sz w:val="24"/>
                <w:szCs w:val="24"/>
              </w:rPr>
              <w:t>符合国家及行业标准</w:t>
            </w:r>
            <w:r>
              <w:rPr>
                <w:rFonts w:hint="eastAsia" w:ascii="宋体" w:hAnsi="宋体" w:cs="宋体"/>
                <w:color w:val="auto"/>
                <w:spacing w:val="6"/>
                <w:kern w:val="2"/>
                <w:sz w:val="24"/>
                <w:szCs w:val="24"/>
                <w:lang w:eastAsia="zh-CN"/>
              </w:rPr>
              <w:t>，</w:t>
            </w:r>
            <w:r>
              <w:rPr>
                <w:rFonts w:hint="eastAsia" w:ascii="宋体" w:hAnsi="宋体" w:eastAsia="宋体" w:cs="宋体"/>
                <w:sz w:val="24"/>
                <w:szCs w:val="24"/>
                <w:lang w:eastAsia="zh-CN"/>
              </w:rPr>
              <w:t>满足</w:t>
            </w:r>
            <w:r>
              <w:rPr>
                <w:rFonts w:hint="eastAsia" w:ascii="宋体" w:hAnsi="宋体" w:cs="宋体"/>
                <w:sz w:val="24"/>
                <w:szCs w:val="24"/>
                <w:lang w:eastAsia="zh-CN"/>
              </w:rPr>
              <w:t>采购人</w:t>
            </w:r>
            <w:r>
              <w:rPr>
                <w:rFonts w:hint="eastAsia" w:ascii="宋体" w:hAnsi="宋体" w:eastAsia="宋体" w:cs="宋体"/>
                <w:sz w:val="24"/>
                <w:szCs w:val="24"/>
                <w:lang w:eastAsia="zh-CN"/>
              </w:rPr>
              <w:t>使用需求</w:t>
            </w:r>
          </w:p>
        </w:tc>
      </w:tr>
      <w:tr w14:paraId="0C9F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07373502">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32E1AE">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198F5EF">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ascii="宋体" w:hAnsi="宋体" w:cs="宋体"/>
                <w:color w:val="auto"/>
                <w:kern w:val="2"/>
                <w:sz w:val="24"/>
                <w:szCs w:val="24"/>
              </w:rPr>
              <w:t>磋商有效期</w:t>
            </w:r>
          </w:p>
        </w:tc>
        <w:tc>
          <w:tcPr>
            <w:tcW w:w="6102" w:type="dxa"/>
            <w:tcBorders>
              <w:top w:val="single" w:color="auto" w:sz="4" w:space="0"/>
              <w:left w:val="nil"/>
              <w:bottom w:val="single" w:color="auto" w:sz="4" w:space="0"/>
              <w:right w:val="single" w:color="auto" w:sz="4" w:space="0"/>
            </w:tcBorders>
            <w:noWrap w:val="0"/>
            <w:vAlign w:val="center"/>
          </w:tcPr>
          <w:p w14:paraId="2412A834">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rPr>
            </w:pPr>
            <w:r>
              <w:rPr>
                <w:rFonts w:hint="eastAsia" w:ascii="宋体" w:hAnsi="宋体" w:cs="宋体"/>
                <w:color w:val="auto"/>
                <w:kern w:val="2"/>
                <w:sz w:val="24"/>
                <w:szCs w:val="24"/>
              </w:rPr>
              <w:t>符合磋商文件要求</w:t>
            </w:r>
          </w:p>
        </w:tc>
      </w:tr>
      <w:tr w14:paraId="0ABD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0282E608">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036E9F">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F656EC2">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ascii="宋体" w:hAnsi="宋体" w:cs="宋体"/>
                <w:color w:val="auto"/>
                <w:kern w:val="2"/>
                <w:sz w:val="24"/>
                <w:szCs w:val="24"/>
              </w:rPr>
              <w:t>磋商</w:t>
            </w:r>
            <w:r>
              <w:rPr>
                <w:rFonts w:hint="eastAsia" w:ascii="宋体" w:hAnsi="宋体" w:cs="宋体"/>
                <w:color w:val="auto"/>
                <w:kern w:val="2"/>
                <w:sz w:val="24"/>
                <w:szCs w:val="24"/>
              </w:rPr>
              <w:t>承诺函</w:t>
            </w:r>
          </w:p>
        </w:tc>
        <w:tc>
          <w:tcPr>
            <w:tcW w:w="6102" w:type="dxa"/>
            <w:tcBorders>
              <w:top w:val="single" w:color="auto" w:sz="4" w:space="0"/>
              <w:left w:val="nil"/>
              <w:bottom w:val="single" w:color="auto" w:sz="4" w:space="0"/>
              <w:right w:val="single" w:color="auto" w:sz="4" w:space="0"/>
            </w:tcBorders>
            <w:noWrap w:val="0"/>
            <w:vAlign w:val="center"/>
          </w:tcPr>
          <w:p w14:paraId="60DC1A9A">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rPr>
            </w:pPr>
            <w:r>
              <w:rPr>
                <w:rFonts w:hint="eastAsia" w:ascii="宋体" w:hAnsi="宋体" w:cs="宋体"/>
                <w:color w:val="auto"/>
                <w:kern w:val="2"/>
                <w:sz w:val="24"/>
                <w:szCs w:val="24"/>
              </w:rPr>
              <w:t>按照磋商文件要求提交</w:t>
            </w:r>
          </w:p>
        </w:tc>
      </w:tr>
      <w:tr w14:paraId="630E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798A0B07">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CF5CD5">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BF1650A">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ascii="宋体" w:hAnsi="宋体" w:cs="宋体"/>
                <w:color w:val="auto"/>
                <w:kern w:val="2"/>
                <w:sz w:val="24"/>
                <w:szCs w:val="24"/>
              </w:rPr>
              <w:t>磋商报价</w:t>
            </w:r>
          </w:p>
        </w:tc>
        <w:tc>
          <w:tcPr>
            <w:tcW w:w="6102" w:type="dxa"/>
            <w:tcBorders>
              <w:top w:val="single" w:color="auto" w:sz="4" w:space="0"/>
              <w:left w:val="nil"/>
              <w:bottom w:val="single" w:color="auto" w:sz="4" w:space="0"/>
              <w:right w:val="single" w:color="auto" w:sz="4" w:space="0"/>
            </w:tcBorders>
            <w:noWrap w:val="0"/>
            <w:vAlign w:val="center"/>
          </w:tcPr>
          <w:p w14:paraId="069AEA9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lang w:eastAsia="zh-CN"/>
              </w:rPr>
            </w:pPr>
            <w:r>
              <w:rPr>
                <w:rFonts w:ascii="宋体" w:hAnsi="宋体" w:cs="宋体"/>
                <w:color w:val="auto"/>
                <w:kern w:val="2"/>
                <w:sz w:val="24"/>
                <w:szCs w:val="24"/>
              </w:rPr>
              <w:t>磋商供应商的报价不能超出磋商预算价</w:t>
            </w:r>
            <w:r>
              <w:rPr>
                <w:rFonts w:hint="eastAsia" w:ascii="宋体" w:hAnsi="宋体" w:cs="宋体"/>
                <w:color w:val="auto"/>
                <w:kern w:val="2"/>
                <w:sz w:val="24"/>
                <w:szCs w:val="24"/>
                <w:lang w:eastAsia="zh-CN"/>
              </w:rPr>
              <w:t>（超出按</w:t>
            </w:r>
            <w:r>
              <w:rPr>
                <w:rFonts w:hint="eastAsia" w:ascii="宋体" w:hAnsi="宋体" w:eastAsia="宋体" w:cs="宋体"/>
                <w:color w:val="auto"/>
                <w:kern w:val="2"/>
                <w:sz w:val="24"/>
                <w:szCs w:val="24"/>
                <w:lang w:val="en-US" w:eastAsia="zh-CN"/>
              </w:rPr>
              <w:t>废标处理）</w:t>
            </w:r>
          </w:p>
        </w:tc>
      </w:tr>
      <w:tr w14:paraId="4771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85" w:type="dxa"/>
            <w:vMerge w:val="restart"/>
            <w:tcBorders>
              <w:top w:val="single" w:color="auto" w:sz="4" w:space="0"/>
              <w:left w:val="single" w:color="auto" w:sz="4" w:space="0"/>
              <w:right w:val="single" w:color="auto" w:sz="4" w:space="0"/>
            </w:tcBorders>
            <w:noWrap w:val="0"/>
            <w:vAlign w:val="center"/>
          </w:tcPr>
          <w:p w14:paraId="20EAC036">
            <w:pPr>
              <w:keepNext w:val="0"/>
              <w:keepLines w:val="0"/>
              <w:widowControl/>
              <w:suppressLineNumbers w:val="0"/>
              <w:spacing w:before="0" w:beforeAutospacing="0" w:after="0" w:afterAutospacing="0" w:line="360" w:lineRule="auto"/>
              <w:ind w:left="0" w:right="0"/>
              <w:rPr>
                <w:rFonts w:ascii="宋体" w:hAnsi="宋体" w:eastAsia="宋体" w:cs="宋体"/>
                <w:color w:val="auto"/>
                <w:kern w:val="2"/>
                <w:sz w:val="24"/>
                <w:szCs w:val="24"/>
                <w:lang w:val="en-US" w:eastAsia="zh-CN" w:bidi="ar-SA"/>
              </w:rPr>
            </w:pPr>
            <w:r>
              <w:rPr>
                <w:rFonts w:hint="eastAsia" w:ascii="宋体" w:hAnsi="宋体" w:cs="宋体"/>
                <w:color w:val="auto"/>
                <w:kern w:val="2"/>
                <w:sz w:val="24"/>
                <w:szCs w:val="24"/>
              </w:rPr>
              <w:t>2.1.3</w:t>
            </w:r>
          </w:p>
        </w:tc>
        <w:tc>
          <w:tcPr>
            <w:tcW w:w="975" w:type="dxa"/>
            <w:vMerge w:val="restart"/>
            <w:tcBorders>
              <w:top w:val="single" w:color="auto" w:sz="4" w:space="0"/>
              <w:left w:val="single" w:color="auto" w:sz="4" w:space="0"/>
              <w:right w:val="single" w:color="auto" w:sz="4" w:space="0"/>
            </w:tcBorders>
            <w:noWrap w:val="0"/>
            <w:vAlign w:val="center"/>
          </w:tcPr>
          <w:p w14:paraId="49BF1E27">
            <w:pPr>
              <w:keepNext w:val="0"/>
              <w:keepLines w:val="0"/>
              <w:widowControl w:val="0"/>
              <w:suppressLineNumbers w:val="0"/>
              <w:spacing w:before="0" w:beforeAutospacing="0" w:after="0" w:afterAutospacing="0" w:line="360" w:lineRule="auto"/>
              <w:ind w:left="0" w:right="0"/>
              <w:jc w:val="center"/>
              <w:rPr>
                <w:rFonts w:hint="default" w:ascii="宋体" w:hAnsi="宋体" w:cs="宋体"/>
                <w:color w:val="auto"/>
                <w:kern w:val="2"/>
                <w:sz w:val="24"/>
                <w:szCs w:val="24"/>
                <w:lang w:val="en-US"/>
              </w:rPr>
            </w:pPr>
            <w:r>
              <w:rPr>
                <w:rFonts w:hint="eastAsia" w:ascii="宋体" w:hAnsi="宋体" w:cs="宋体"/>
                <w:color w:val="auto"/>
                <w:kern w:val="2"/>
                <w:sz w:val="24"/>
                <w:szCs w:val="24"/>
                <w:lang w:val="en-US" w:eastAsia="zh-CN"/>
              </w:rPr>
              <w:t>形式评审标准</w:t>
            </w:r>
          </w:p>
        </w:tc>
        <w:tc>
          <w:tcPr>
            <w:tcW w:w="1500" w:type="dxa"/>
            <w:tcBorders>
              <w:top w:val="single" w:color="auto" w:sz="4" w:space="0"/>
              <w:left w:val="nil"/>
              <w:bottom w:val="single" w:color="auto" w:sz="4" w:space="0"/>
              <w:right w:val="single" w:color="auto" w:sz="4" w:space="0"/>
            </w:tcBorders>
            <w:noWrap w:val="0"/>
            <w:vAlign w:val="center"/>
          </w:tcPr>
          <w:p w14:paraId="551A624D">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lang w:val="zh-CN"/>
              </w:rPr>
            </w:pPr>
            <w:r>
              <w:rPr>
                <w:rFonts w:hint="eastAsia" w:ascii="宋体" w:hAnsi="宋体" w:cs="宋体"/>
                <w:color w:val="auto"/>
                <w:kern w:val="2"/>
                <w:sz w:val="24"/>
                <w:szCs w:val="24"/>
                <w:lang w:val="zh-CN"/>
              </w:rPr>
              <w:t>供应商名称</w:t>
            </w:r>
          </w:p>
        </w:tc>
        <w:tc>
          <w:tcPr>
            <w:tcW w:w="6102" w:type="dxa"/>
            <w:tcBorders>
              <w:top w:val="single" w:color="auto" w:sz="4" w:space="0"/>
              <w:left w:val="nil"/>
              <w:bottom w:val="single" w:color="auto" w:sz="4" w:space="0"/>
              <w:right w:val="single" w:color="auto" w:sz="4" w:space="0"/>
            </w:tcBorders>
            <w:noWrap w:val="0"/>
            <w:vAlign w:val="center"/>
          </w:tcPr>
          <w:p w14:paraId="491A6AEB">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lang w:val="zh-CN"/>
              </w:rPr>
            </w:pPr>
            <w:r>
              <w:rPr>
                <w:rFonts w:hint="eastAsia" w:ascii="宋体" w:hAnsi="宋体" w:cs="宋体"/>
                <w:color w:val="auto"/>
                <w:kern w:val="2"/>
                <w:sz w:val="24"/>
                <w:szCs w:val="24"/>
                <w:lang w:val="zh-CN"/>
              </w:rPr>
              <w:t>与营业执照等一致</w:t>
            </w:r>
          </w:p>
        </w:tc>
      </w:tr>
      <w:tr w14:paraId="0270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85" w:type="dxa"/>
            <w:vMerge w:val="continue"/>
            <w:tcBorders>
              <w:left w:val="single" w:color="auto" w:sz="4" w:space="0"/>
              <w:right w:val="single" w:color="auto" w:sz="4" w:space="0"/>
            </w:tcBorders>
            <w:noWrap w:val="0"/>
            <w:vAlign w:val="center"/>
          </w:tcPr>
          <w:p w14:paraId="614039C1">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rPr>
            </w:pPr>
          </w:p>
        </w:tc>
        <w:tc>
          <w:tcPr>
            <w:tcW w:w="975" w:type="dxa"/>
            <w:vMerge w:val="continue"/>
            <w:tcBorders>
              <w:left w:val="single" w:color="auto" w:sz="4" w:space="0"/>
              <w:right w:val="single" w:color="auto" w:sz="4" w:space="0"/>
            </w:tcBorders>
            <w:noWrap w:val="0"/>
            <w:vAlign w:val="center"/>
          </w:tcPr>
          <w:p w14:paraId="1A281504">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rPr>
            </w:pPr>
          </w:p>
        </w:tc>
        <w:tc>
          <w:tcPr>
            <w:tcW w:w="1500" w:type="dxa"/>
            <w:tcBorders>
              <w:top w:val="single" w:color="auto" w:sz="4" w:space="0"/>
              <w:left w:val="nil"/>
              <w:bottom w:val="single" w:color="auto" w:sz="4" w:space="0"/>
              <w:right w:val="single" w:color="auto" w:sz="4" w:space="0"/>
            </w:tcBorders>
            <w:noWrap w:val="0"/>
            <w:vAlign w:val="center"/>
          </w:tcPr>
          <w:p w14:paraId="0C4BFEB2">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lang w:val="zh-CN"/>
              </w:rPr>
            </w:pPr>
            <w:r>
              <w:rPr>
                <w:rFonts w:hint="eastAsia" w:ascii="宋体" w:hAnsi="宋体" w:cs="宋体"/>
                <w:color w:val="auto"/>
                <w:kern w:val="2"/>
                <w:sz w:val="24"/>
                <w:szCs w:val="24"/>
                <w:lang w:val="zh-CN"/>
              </w:rPr>
              <w:t>签字盖章</w:t>
            </w:r>
          </w:p>
        </w:tc>
        <w:tc>
          <w:tcPr>
            <w:tcW w:w="6102" w:type="dxa"/>
            <w:tcBorders>
              <w:top w:val="single" w:color="auto" w:sz="4" w:space="0"/>
              <w:left w:val="nil"/>
              <w:bottom w:val="single" w:color="auto" w:sz="4" w:space="0"/>
              <w:right w:val="single" w:color="auto" w:sz="4" w:space="0"/>
            </w:tcBorders>
            <w:noWrap w:val="0"/>
            <w:vAlign w:val="center"/>
          </w:tcPr>
          <w:p w14:paraId="59685432">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lang w:val="zh-CN"/>
              </w:rPr>
            </w:pPr>
            <w:r>
              <w:rPr>
                <w:rFonts w:hint="eastAsia" w:ascii="宋体" w:hAnsi="宋体" w:cs="宋体"/>
                <w:color w:val="auto"/>
                <w:kern w:val="2"/>
                <w:sz w:val="24"/>
                <w:szCs w:val="24"/>
                <w:lang w:val="zh-CN"/>
              </w:rPr>
              <w:t>符合竞争性磋商文件要求的签字、盖章或标注的要求</w:t>
            </w:r>
          </w:p>
        </w:tc>
      </w:tr>
      <w:tr w14:paraId="329F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85" w:type="dxa"/>
            <w:vMerge w:val="continue"/>
            <w:tcBorders>
              <w:left w:val="single" w:color="auto" w:sz="4" w:space="0"/>
              <w:right w:val="single" w:color="auto" w:sz="4" w:space="0"/>
            </w:tcBorders>
            <w:noWrap w:val="0"/>
            <w:vAlign w:val="center"/>
          </w:tcPr>
          <w:p w14:paraId="70DB3D7A">
            <w:pPr>
              <w:keepNext w:val="0"/>
              <w:keepLines w:val="0"/>
              <w:widowControl/>
              <w:suppressLineNumbers w:val="0"/>
              <w:spacing w:before="0" w:beforeAutospacing="0" w:after="0" w:afterAutospacing="0" w:line="360" w:lineRule="auto"/>
              <w:ind w:left="0" w:right="0"/>
              <w:rPr>
                <w:rFonts w:ascii="宋体" w:hAnsi="宋体" w:eastAsia="宋体" w:cs="宋体"/>
                <w:color w:val="auto"/>
                <w:kern w:val="2"/>
                <w:sz w:val="24"/>
                <w:szCs w:val="24"/>
                <w:lang w:val="en-US" w:eastAsia="zh-CN" w:bidi="ar-SA"/>
              </w:rPr>
            </w:pPr>
          </w:p>
        </w:tc>
        <w:tc>
          <w:tcPr>
            <w:tcW w:w="975" w:type="dxa"/>
            <w:vMerge w:val="continue"/>
            <w:tcBorders>
              <w:left w:val="single" w:color="auto" w:sz="4" w:space="0"/>
              <w:right w:val="single" w:color="auto" w:sz="4" w:space="0"/>
            </w:tcBorders>
            <w:noWrap w:val="0"/>
            <w:vAlign w:val="center"/>
          </w:tcPr>
          <w:p w14:paraId="44B604BC">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rPr>
            </w:pPr>
          </w:p>
        </w:tc>
        <w:tc>
          <w:tcPr>
            <w:tcW w:w="1500" w:type="dxa"/>
            <w:tcBorders>
              <w:top w:val="single" w:color="auto" w:sz="4" w:space="0"/>
              <w:left w:val="nil"/>
              <w:bottom w:val="single" w:color="auto" w:sz="4" w:space="0"/>
              <w:right w:val="single" w:color="auto" w:sz="4" w:space="0"/>
            </w:tcBorders>
            <w:noWrap w:val="0"/>
            <w:vAlign w:val="center"/>
          </w:tcPr>
          <w:p w14:paraId="319500B7">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hint="eastAsia" w:ascii="宋体" w:hAnsi="宋体" w:cs="宋体"/>
                <w:color w:val="auto"/>
                <w:kern w:val="2"/>
                <w:sz w:val="24"/>
                <w:szCs w:val="24"/>
                <w:lang w:val="zh-CN"/>
              </w:rPr>
              <w:t>响应文件内容及格式</w:t>
            </w:r>
          </w:p>
        </w:tc>
        <w:tc>
          <w:tcPr>
            <w:tcW w:w="6102" w:type="dxa"/>
            <w:tcBorders>
              <w:top w:val="single" w:color="auto" w:sz="4" w:space="0"/>
              <w:left w:val="nil"/>
              <w:bottom w:val="single" w:color="auto" w:sz="4" w:space="0"/>
              <w:right w:val="single" w:color="auto" w:sz="4" w:space="0"/>
            </w:tcBorders>
            <w:noWrap w:val="0"/>
            <w:vAlign w:val="center"/>
          </w:tcPr>
          <w:p w14:paraId="3889CB32">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rPr>
            </w:pPr>
            <w:r>
              <w:rPr>
                <w:rFonts w:hint="eastAsia" w:ascii="宋体" w:hAnsi="宋体" w:cs="宋体"/>
                <w:color w:val="auto"/>
                <w:kern w:val="2"/>
                <w:sz w:val="24"/>
                <w:szCs w:val="24"/>
                <w:lang w:val="zh-CN"/>
              </w:rPr>
              <w:t>符合第六章“响应文件内容及格式”的要求</w:t>
            </w:r>
          </w:p>
        </w:tc>
      </w:tr>
      <w:tr w14:paraId="67A3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885" w:type="dxa"/>
            <w:vMerge w:val="continue"/>
            <w:tcBorders>
              <w:left w:val="single" w:color="auto" w:sz="4" w:space="0"/>
              <w:bottom w:val="single" w:color="auto" w:sz="4" w:space="0"/>
              <w:right w:val="single" w:color="auto" w:sz="4" w:space="0"/>
            </w:tcBorders>
            <w:noWrap w:val="0"/>
            <w:vAlign w:val="center"/>
          </w:tcPr>
          <w:p w14:paraId="4495D88C">
            <w:pPr>
              <w:keepNext w:val="0"/>
              <w:keepLines w:val="0"/>
              <w:widowControl/>
              <w:suppressLineNumbers w:val="0"/>
              <w:spacing w:before="0" w:beforeAutospacing="0" w:after="0" w:afterAutospacing="0" w:line="360" w:lineRule="auto"/>
              <w:ind w:left="0" w:right="0"/>
              <w:rPr>
                <w:rFonts w:ascii="宋体" w:hAnsi="宋体" w:eastAsia="宋体" w:cs="宋体"/>
                <w:color w:val="auto"/>
                <w:kern w:val="2"/>
                <w:sz w:val="24"/>
                <w:szCs w:val="24"/>
                <w:lang w:val="en-US" w:eastAsia="zh-CN" w:bidi="ar-SA"/>
              </w:rPr>
            </w:pPr>
          </w:p>
        </w:tc>
        <w:tc>
          <w:tcPr>
            <w:tcW w:w="975" w:type="dxa"/>
            <w:vMerge w:val="continue"/>
            <w:tcBorders>
              <w:left w:val="single" w:color="auto" w:sz="4" w:space="0"/>
              <w:bottom w:val="single" w:color="auto" w:sz="4" w:space="0"/>
              <w:right w:val="single" w:color="auto" w:sz="4" w:space="0"/>
            </w:tcBorders>
            <w:noWrap w:val="0"/>
            <w:vAlign w:val="center"/>
          </w:tcPr>
          <w:p w14:paraId="1445A59A">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rPr>
            </w:pPr>
          </w:p>
        </w:tc>
        <w:tc>
          <w:tcPr>
            <w:tcW w:w="1500" w:type="dxa"/>
            <w:tcBorders>
              <w:top w:val="single" w:color="auto" w:sz="4" w:space="0"/>
              <w:left w:val="nil"/>
              <w:bottom w:val="single" w:color="auto" w:sz="4" w:space="0"/>
              <w:right w:val="single" w:color="auto" w:sz="4" w:space="0"/>
            </w:tcBorders>
            <w:noWrap w:val="0"/>
            <w:vAlign w:val="center"/>
          </w:tcPr>
          <w:p w14:paraId="1BBC2EE5">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rPr>
            </w:pPr>
            <w:r>
              <w:rPr>
                <w:rFonts w:hint="eastAsia" w:ascii="宋体" w:hAnsi="宋体" w:cs="宋体"/>
                <w:color w:val="auto"/>
                <w:kern w:val="2"/>
                <w:sz w:val="24"/>
                <w:szCs w:val="24"/>
                <w:lang w:val="zh-CN"/>
              </w:rPr>
              <w:t>报价唯一</w:t>
            </w:r>
          </w:p>
        </w:tc>
        <w:tc>
          <w:tcPr>
            <w:tcW w:w="6102" w:type="dxa"/>
            <w:tcBorders>
              <w:top w:val="single" w:color="auto" w:sz="4" w:space="0"/>
              <w:left w:val="nil"/>
              <w:bottom w:val="single" w:color="auto" w:sz="4" w:space="0"/>
              <w:right w:val="single" w:color="auto" w:sz="4" w:space="0"/>
            </w:tcBorders>
            <w:noWrap w:val="0"/>
            <w:vAlign w:val="center"/>
          </w:tcPr>
          <w:p w14:paraId="28DAE355">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rPr>
            </w:pPr>
            <w:r>
              <w:rPr>
                <w:rFonts w:hint="eastAsia" w:ascii="宋体" w:hAnsi="宋体" w:cs="宋体"/>
                <w:color w:val="auto"/>
                <w:kern w:val="2"/>
                <w:sz w:val="24"/>
                <w:szCs w:val="24"/>
                <w:lang w:val="zh-CN"/>
              </w:rPr>
              <w:t>只能有一个有效报价</w:t>
            </w:r>
          </w:p>
        </w:tc>
      </w:tr>
    </w:tbl>
    <w:p w14:paraId="3E9786D0">
      <w:pPr>
        <w:widowControl w:val="0"/>
        <w:spacing w:line="360" w:lineRule="auto"/>
        <w:jc w:val="both"/>
        <w:rPr>
          <w:color w:val="auto"/>
          <w:sz w:val="24"/>
          <w:szCs w:val="24"/>
        </w:rPr>
      </w:pPr>
      <w:r>
        <w:rPr>
          <w:rFonts w:hint="eastAsia"/>
          <w:color w:val="auto"/>
          <w:kern w:val="2"/>
          <w:sz w:val="24"/>
          <w:szCs w:val="24"/>
        </w:rPr>
        <w:t xml:space="preserve"> </w:t>
      </w:r>
    </w:p>
    <w:p w14:paraId="6945F6C3">
      <w:pPr>
        <w:spacing w:line="360" w:lineRule="auto"/>
        <w:ind w:firstLine="480"/>
        <w:jc w:val="both"/>
        <w:rPr>
          <w:color w:val="auto"/>
          <w:sz w:val="24"/>
          <w:szCs w:val="24"/>
        </w:rPr>
      </w:pPr>
      <w:r>
        <w:rPr>
          <w:rFonts w:hint="eastAsia" w:ascii="宋体" w:hAnsi="宋体" w:cs="宋体"/>
          <w:b/>
          <w:color w:val="auto"/>
          <w:sz w:val="24"/>
          <w:szCs w:val="24"/>
        </w:rPr>
        <w:t>1. 磋商文件的评审、比较和否决</w:t>
      </w:r>
    </w:p>
    <w:p w14:paraId="23830104">
      <w:pPr>
        <w:spacing w:line="360" w:lineRule="auto"/>
        <w:ind w:firstLine="480"/>
        <w:jc w:val="both"/>
        <w:rPr>
          <w:color w:val="auto"/>
          <w:sz w:val="24"/>
          <w:szCs w:val="24"/>
        </w:rPr>
      </w:pPr>
      <w:r>
        <w:rPr>
          <w:rFonts w:hint="eastAsia" w:ascii="宋体" w:hAnsi="宋体" w:cs="宋体"/>
          <w:b/>
          <w:color w:val="auto"/>
          <w:sz w:val="24"/>
          <w:szCs w:val="24"/>
        </w:rPr>
        <w:t>1.1</w:t>
      </w:r>
      <w:r>
        <w:rPr>
          <w:rFonts w:hint="eastAsia" w:ascii="宋体" w:hAnsi="宋体" w:cs="宋体"/>
          <w:color w:val="auto"/>
          <w:sz w:val="24"/>
          <w:szCs w:val="24"/>
          <w:lang w:eastAsia="zh-CN"/>
        </w:rPr>
        <w:t>磋商小组</w:t>
      </w:r>
      <w:r>
        <w:rPr>
          <w:rFonts w:hint="eastAsia" w:ascii="宋体" w:hAnsi="宋体" w:cs="宋体"/>
          <w:color w:val="auto"/>
          <w:sz w:val="24"/>
          <w:szCs w:val="24"/>
        </w:rPr>
        <w:t>将按照竞争性磋商文件的规定，仅对在实质上响应竞争性磋商文件要求的磋商文件进行评估和比较。</w:t>
      </w:r>
    </w:p>
    <w:p w14:paraId="2D3725A5">
      <w:pPr>
        <w:spacing w:line="360" w:lineRule="auto"/>
        <w:ind w:firstLine="480"/>
        <w:jc w:val="both"/>
        <w:rPr>
          <w:color w:val="auto"/>
          <w:sz w:val="24"/>
          <w:szCs w:val="24"/>
        </w:rPr>
      </w:pPr>
      <w:r>
        <w:rPr>
          <w:rFonts w:hint="eastAsia" w:ascii="宋体" w:hAnsi="宋体" w:cs="宋体"/>
          <w:b/>
          <w:color w:val="auto"/>
          <w:sz w:val="24"/>
          <w:szCs w:val="24"/>
        </w:rPr>
        <w:t>1.2</w:t>
      </w:r>
      <w:r>
        <w:rPr>
          <w:rFonts w:hint="eastAsia" w:ascii="宋体" w:hAnsi="宋体" w:cs="宋体"/>
          <w:color w:val="auto"/>
          <w:sz w:val="24"/>
          <w:szCs w:val="24"/>
        </w:rPr>
        <w:t>根据相关法律法规及有关磋商文件规定，结合本项目具体情况，制定本次采购评标办法。并按照“公平、公正、科学、择优”的原则进行评标。采用百分制综合评估法进行评比。</w:t>
      </w:r>
    </w:p>
    <w:p w14:paraId="67CAC7CD">
      <w:pPr>
        <w:spacing w:line="360" w:lineRule="auto"/>
        <w:ind w:firstLine="480"/>
        <w:jc w:val="both"/>
        <w:rPr>
          <w:color w:val="auto"/>
          <w:sz w:val="24"/>
          <w:szCs w:val="24"/>
        </w:rPr>
      </w:pPr>
      <w:r>
        <w:rPr>
          <w:rFonts w:hint="eastAsia" w:ascii="宋体" w:hAnsi="宋体" w:cs="宋体"/>
          <w:b/>
          <w:color w:val="auto"/>
          <w:sz w:val="24"/>
          <w:szCs w:val="24"/>
        </w:rPr>
        <w:t>1.3</w:t>
      </w:r>
      <w:r>
        <w:rPr>
          <w:rFonts w:hint="eastAsia" w:ascii="宋体" w:hAnsi="宋体" w:cs="宋体"/>
          <w:color w:val="auto"/>
          <w:sz w:val="24"/>
          <w:szCs w:val="24"/>
        </w:rPr>
        <w:t>在评审过程中，</w:t>
      </w:r>
      <w:r>
        <w:rPr>
          <w:rFonts w:hint="eastAsia" w:ascii="宋体" w:hAnsi="宋体" w:cs="宋体"/>
          <w:color w:val="auto"/>
          <w:sz w:val="24"/>
          <w:szCs w:val="24"/>
          <w:lang w:eastAsia="zh-CN"/>
        </w:rPr>
        <w:t>磋商小组</w:t>
      </w:r>
      <w:r>
        <w:rPr>
          <w:rFonts w:hint="eastAsia" w:ascii="宋体" w:hAnsi="宋体" w:cs="宋体"/>
          <w:color w:val="auto"/>
          <w:sz w:val="24"/>
          <w:szCs w:val="24"/>
        </w:rPr>
        <w:t>可以以书面形式要求磋商供应商就磋商文件中含义不明确的内容进行书面说明并提供相关材料；</w:t>
      </w:r>
      <w:r>
        <w:rPr>
          <w:rFonts w:hint="eastAsia" w:ascii="宋体" w:hAnsi="宋体" w:cs="宋体"/>
          <w:color w:val="auto"/>
          <w:spacing w:val="-12"/>
          <w:sz w:val="24"/>
          <w:szCs w:val="24"/>
        </w:rPr>
        <w:t>凡遇到竞争性磋商文件中无界定或界定不清、前后不一致使评委会成员</w:t>
      </w:r>
      <w:r>
        <w:rPr>
          <w:rFonts w:hint="eastAsia" w:ascii="宋体" w:hAnsi="宋体" w:cs="宋体"/>
          <w:color w:val="auto"/>
          <w:sz w:val="24"/>
          <w:szCs w:val="24"/>
        </w:rPr>
        <w:t>意见</w:t>
      </w:r>
      <w:r>
        <w:rPr>
          <w:rFonts w:hint="eastAsia" w:ascii="宋体" w:hAnsi="宋体" w:cs="宋体"/>
          <w:color w:val="auto"/>
          <w:spacing w:val="-12"/>
          <w:sz w:val="24"/>
          <w:szCs w:val="24"/>
        </w:rPr>
        <w:t>有分歧且又难于协商一致的问题，均由评委会予以表决，获半数以上同意的即为通过，未获半数同意的即为否决</w:t>
      </w:r>
      <w:r>
        <w:rPr>
          <w:rFonts w:hint="eastAsia" w:ascii="宋体" w:hAnsi="宋体" w:cs="宋体"/>
          <w:color w:val="auto"/>
          <w:sz w:val="24"/>
          <w:szCs w:val="24"/>
        </w:rPr>
        <w:t>。</w:t>
      </w:r>
    </w:p>
    <w:p w14:paraId="62A312D6">
      <w:pPr>
        <w:spacing w:line="360" w:lineRule="auto"/>
        <w:ind w:firstLine="480"/>
        <w:jc w:val="both"/>
        <w:rPr>
          <w:color w:val="auto"/>
          <w:sz w:val="24"/>
          <w:szCs w:val="24"/>
        </w:rPr>
      </w:pPr>
      <w:r>
        <w:rPr>
          <w:rFonts w:hint="eastAsia" w:ascii="宋体" w:hAnsi="宋体" w:cs="宋体"/>
          <w:b/>
          <w:color w:val="auto"/>
          <w:sz w:val="24"/>
          <w:szCs w:val="24"/>
        </w:rPr>
        <w:t>1.4</w:t>
      </w:r>
      <w:r>
        <w:rPr>
          <w:rFonts w:hint="eastAsia" w:ascii="宋体" w:hAnsi="宋体" w:cs="宋体"/>
          <w:color w:val="auto"/>
          <w:sz w:val="24"/>
          <w:szCs w:val="24"/>
        </w:rPr>
        <w:t>评标时，磋商报价是评标的重要依据，但不是唯一依据，采购人不承诺将合同授予报价最低或最高的磋商供应商。</w:t>
      </w:r>
    </w:p>
    <w:p w14:paraId="6E00C0B3">
      <w:pPr>
        <w:spacing w:line="360" w:lineRule="auto"/>
        <w:ind w:firstLine="480"/>
        <w:jc w:val="both"/>
        <w:rPr>
          <w:color w:val="auto"/>
          <w:sz w:val="24"/>
          <w:szCs w:val="24"/>
        </w:rPr>
      </w:pPr>
      <w:r>
        <w:rPr>
          <w:rFonts w:hint="eastAsia" w:ascii="宋体" w:hAnsi="宋体" w:cs="宋体"/>
          <w:b/>
          <w:color w:val="auto"/>
          <w:sz w:val="24"/>
          <w:szCs w:val="24"/>
        </w:rPr>
        <w:t>1.5</w:t>
      </w:r>
      <w:r>
        <w:rPr>
          <w:rFonts w:hint="eastAsia" w:ascii="宋体" w:hAnsi="宋体" w:cs="宋体"/>
          <w:color w:val="auto"/>
          <w:sz w:val="24"/>
          <w:szCs w:val="24"/>
          <w:lang w:eastAsia="zh-CN"/>
        </w:rPr>
        <w:t>磋商小组</w:t>
      </w:r>
      <w:r>
        <w:rPr>
          <w:rFonts w:hint="eastAsia" w:ascii="宋体" w:hAnsi="宋体" w:cs="宋体"/>
          <w:color w:val="auto"/>
          <w:sz w:val="24"/>
          <w:szCs w:val="24"/>
        </w:rPr>
        <w:t>依据竞争性磋商文件中规定的评标标准和方法，对磋商文件进行评审和比较，向采购人提出书面评标报告，并推荐合格的中标候选人。采购人根据</w:t>
      </w:r>
      <w:r>
        <w:rPr>
          <w:rFonts w:hint="eastAsia" w:ascii="宋体" w:hAnsi="宋体" w:cs="宋体"/>
          <w:color w:val="auto"/>
          <w:sz w:val="24"/>
          <w:szCs w:val="24"/>
          <w:lang w:eastAsia="zh-CN"/>
        </w:rPr>
        <w:t>磋商小组</w:t>
      </w:r>
      <w:r>
        <w:rPr>
          <w:rFonts w:hint="eastAsia" w:ascii="宋体" w:hAnsi="宋体" w:cs="宋体"/>
          <w:color w:val="auto"/>
          <w:sz w:val="24"/>
          <w:szCs w:val="24"/>
        </w:rPr>
        <w:t>提出的书面评标报告和推荐的中标候选人按序确定中标人。</w:t>
      </w:r>
    </w:p>
    <w:p w14:paraId="5DC03970">
      <w:pPr>
        <w:spacing w:line="360" w:lineRule="auto"/>
        <w:ind w:firstLine="480"/>
        <w:jc w:val="both"/>
        <w:rPr>
          <w:color w:val="auto"/>
          <w:sz w:val="24"/>
          <w:szCs w:val="24"/>
        </w:rPr>
      </w:pPr>
      <w:r>
        <w:rPr>
          <w:rFonts w:hint="eastAsia" w:ascii="宋体" w:hAnsi="宋体" w:cs="宋体"/>
          <w:b/>
          <w:color w:val="auto"/>
          <w:sz w:val="24"/>
          <w:szCs w:val="24"/>
        </w:rPr>
        <w:t>2. 评审程序</w:t>
      </w:r>
    </w:p>
    <w:p w14:paraId="23624140">
      <w:pPr>
        <w:spacing w:line="360" w:lineRule="auto"/>
        <w:ind w:firstLine="480"/>
        <w:jc w:val="both"/>
        <w:rPr>
          <w:color w:val="auto"/>
          <w:sz w:val="24"/>
          <w:szCs w:val="24"/>
        </w:rPr>
      </w:pPr>
      <w:r>
        <w:rPr>
          <w:rFonts w:hint="eastAsia" w:ascii="宋体" w:hAnsi="宋体" w:cs="宋体"/>
          <w:color w:val="auto"/>
          <w:sz w:val="24"/>
          <w:szCs w:val="24"/>
        </w:rPr>
        <w:t>2.1 资格审查</w:t>
      </w:r>
    </w:p>
    <w:p w14:paraId="2DA66121">
      <w:pPr>
        <w:spacing w:line="360" w:lineRule="auto"/>
        <w:ind w:firstLine="480"/>
        <w:jc w:val="both"/>
        <w:rPr>
          <w:color w:val="auto"/>
          <w:sz w:val="24"/>
          <w:szCs w:val="24"/>
        </w:rPr>
      </w:pPr>
      <w:r>
        <w:rPr>
          <w:rFonts w:hint="eastAsia" w:ascii="宋体" w:hAnsi="宋体" w:cs="宋体"/>
          <w:color w:val="auto"/>
          <w:sz w:val="24"/>
          <w:szCs w:val="24"/>
        </w:rPr>
        <w:t>本项目采用资格后审</w:t>
      </w:r>
    </w:p>
    <w:p w14:paraId="258130C2">
      <w:pPr>
        <w:spacing w:line="360" w:lineRule="auto"/>
        <w:ind w:firstLine="480"/>
        <w:jc w:val="both"/>
        <w:rPr>
          <w:color w:val="auto"/>
          <w:sz w:val="24"/>
          <w:szCs w:val="24"/>
        </w:rPr>
      </w:pPr>
      <w:r>
        <w:rPr>
          <w:rFonts w:hint="eastAsia" w:ascii="宋体" w:hAnsi="宋体" w:cs="宋体"/>
          <w:color w:val="auto"/>
          <w:sz w:val="24"/>
          <w:szCs w:val="24"/>
          <w:lang w:eastAsia="zh-CN"/>
        </w:rPr>
        <w:t>磋商小组</w:t>
      </w:r>
      <w:r>
        <w:rPr>
          <w:rFonts w:hint="eastAsia" w:ascii="宋体" w:hAnsi="宋体" w:cs="宋体"/>
          <w:color w:val="auto"/>
          <w:sz w:val="24"/>
          <w:szCs w:val="24"/>
        </w:rPr>
        <w:t>按照竞争性磋商文件供应商资格要求，对磋商供应商的磋商文件进行初步评审，有一项不符合的，视为未通过初步审查，按废标处理，符合的进入下一评标程序。</w:t>
      </w:r>
    </w:p>
    <w:p w14:paraId="2D994154">
      <w:pPr>
        <w:spacing w:line="360" w:lineRule="auto"/>
        <w:ind w:firstLine="472" w:firstLineChars="196"/>
        <w:rPr>
          <w:rFonts w:ascii="宋体" w:hAnsi="宋体" w:cs="宋体"/>
          <w:b/>
          <w:color w:val="auto"/>
          <w:sz w:val="24"/>
          <w:szCs w:val="24"/>
        </w:rPr>
      </w:pPr>
      <w:r>
        <w:rPr>
          <w:rFonts w:hint="eastAsia" w:ascii="宋体" w:hAnsi="宋体" w:cs="宋体"/>
          <w:b/>
          <w:color w:val="auto"/>
          <w:sz w:val="24"/>
          <w:szCs w:val="24"/>
        </w:rPr>
        <w:t>3.评标具体方法和标准</w:t>
      </w:r>
    </w:p>
    <w:p w14:paraId="674D6AFB">
      <w:pPr>
        <w:widowControl w:val="0"/>
        <w:spacing w:line="360" w:lineRule="auto"/>
        <w:jc w:val="both"/>
        <w:rPr>
          <w:rFonts w:ascii="宋体" w:hAnsi="宋体" w:cs="宋体"/>
          <w:color w:val="auto"/>
          <w:sz w:val="24"/>
          <w:szCs w:val="24"/>
        </w:rPr>
      </w:pPr>
      <w:r>
        <w:rPr>
          <w:rFonts w:hint="eastAsia" w:ascii="宋体" w:hAnsi="宋体" w:cs="宋体"/>
          <w:color w:val="auto"/>
          <w:sz w:val="24"/>
          <w:szCs w:val="24"/>
          <w:lang w:eastAsia="zh-CN"/>
        </w:rPr>
        <w:t>磋商小组</w:t>
      </w:r>
      <w:r>
        <w:rPr>
          <w:rFonts w:hint="eastAsia" w:ascii="宋体" w:hAnsi="宋体" w:cs="宋体"/>
          <w:color w:val="auto"/>
          <w:sz w:val="24"/>
          <w:szCs w:val="24"/>
        </w:rPr>
        <w:t>根据评标原则和办法对所有磋商文件进行集中审核，分别评价。</w:t>
      </w:r>
    </w:p>
    <w:p w14:paraId="7B5C41E1">
      <w:pPr>
        <w:adjustRightInd w:val="0"/>
        <w:spacing w:line="360" w:lineRule="auto"/>
        <w:textAlignment w:val="baseline"/>
        <w:rPr>
          <w:rFonts w:ascii="宋体" w:cs="宋体"/>
          <w:color w:val="auto"/>
          <w:spacing w:val="-4"/>
          <w:sz w:val="24"/>
          <w:szCs w:val="24"/>
        </w:rPr>
      </w:pPr>
      <w:r>
        <w:rPr>
          <w:rFonts w:hint="eastAsia" w:ascii="宋体" w:cs="宋体"/>
          <w:color w:val="auto"/>
          <w:spacing w:val="-4"/>
          <w:sz w:val="24"/>
          <w:szCs w:val="24"/>
        </w:rPr>
        <w:t>评审因素：首先应对投标企业的资格文件进行审查，不能通过初步审查的，其投标文件不再评审，通过初步审查的，其投标进入以下评标程序。</w:t>
      </w:r>
    </w:p>
    <w:p w14:paraId="595DB637">
      <w:pPr>
        <w:pStyle w:val="2"/>
        <w:spacing w:line="360" w:lineRule="auto"/>
        <w:ind w:left="0" w:leftChars="0" w:firstLine="0" w:firstLineChars="0"/>
        <w:jc w:val="center"/>
        <w:rPr>
          <w:rFonts w:hint="eastAsia" w:ascii="宋体" w:hAnsi="宋体" w:cs="宋体"/>
          <w:b/>
          <w:bCs/>
          <w:color w:val="auto"/>
          <w:sz w:val="24"/>
          <w:szCs w:val="24"/>
        </w:rPr>
      </w:pPr>
    </w:p>
    <w:p w14:paraId="2F60B82C">
      <w:pPr>
        <w:rPr>
          <w:rFonts w:hint="eastAsia" w:ascii="宋体" w:hAnsi="宋体" w:cs="宋体"/>
          <w:b/>
          <w:bCs/>
          <w:color w:val="auto"/>
          <w:sz w:val="24"/>
          <w:szCs w:val="24"/>
        </w:rPr>
      </w:pPr>
      <w:r>
        <w:rPr>
          <w:rFonts w:hint="eastAsia" w:ascii="宋体" w:hAnsi="宋体" w:cs="宋体"/>
          <w:b/>
          <w:bCs/>
          <w:color w:val="auto"/>
          <w:sz w:val="24"/>
          <w:szCs w:val="24"/>
        </w:rPr>
        <w:br w:type="page"/>
      </w:r>
    </w:p>
    <w:p w14:paraId="2F471420">
      <w:pPr>
        <w:pStyle w:val="2"/>
        <w:spacing w:line="360" w:lineRule="auto"/>
        <w:ind w:left="0" w:leftChars="0" w:firstLine="0" w:firstLineChars="0"/>
        <w:jc w:val="center"/>
        <w:rPr>
          <w:rFonts w:ascii="宋体" w:hAnsi="宋体" w:cs="宋体"/>
          <w:b/>
          <w:bCs/>
          <w:color w:val="auto"/>
          <w:sz w:val="24"/>
          <w:szCs w:val="24"/>
        </w:rPr>
      </w:pPr>
      <w:r>
        <w:rPr>
          <w:rFonts w:hint="eastAsia" w:ascii="宋体" w:hAnsi="宋体" w:cs="宋体"/>
          <w:b/>
          <w:bCs/>
          <w:color w:val="auto"/>
          <w:sz w:val="24"/>
          <w:szCs w:val="24"/>
        </w:rPr>
        <w:t>综合评分法评标办法</w:t>
      </w:r>
    </w:p>
    <w:tbl>
      <w:tblPr>
        <w:tblStyle w:val="18"/>
        <w:tblpPr w:leftFromText="180" w:rightFromText="180" w:vertAnchor="text" w:horzAnchor="margin" w:tblpXSpec="center" w:tblpY="172"/>
        <w:tblW w:w="8762"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569"/>
        <w:gridCol w:w="5873"/>
      </w:tblGrid>
      <w:tr w14:paraId="3658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889" w:type="dxa"/>
            <w:gridSpan w:val="2"/>
            <w:tcBorders>
              <w:top w:val="single" w:color="auto" w:sz="4" w:space="0"/>
              <w:left w:val="single" w:color="auto" w:sz="4" w:space="0"/>
              <w:bottom w:val="single" w:color="auto" w:sz="4" w:space="0"/>
              <w:right w:val="single" w:color="auto" w:sz="4" w:space="0"/>
            </w:tcBorders>
            <w:noWrap w:val="0"/>
            <w:vAlign w:val="center"/>
          </w:tcPr>
          <w:p w14:paraId="64932F3D">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条款内容</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64703C75">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编列内容</w:t>
            </w:r>
          </w:p>
        </w:tc>
      </w:tr>
      <w:tr w14:paraId="12E0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2889" w:type="dxa"/>
            <w:gridSpan w:val="2"/>
            <w:tcBorders>
              <w:top w:val="single" w:color="auto" w:sz="4" w:space="0"/>
              <w:left w:val="single" w:color="auto" w:sz="4" w:space="0"/>
              <w:bottom w:val="single" w:color="auto" w:sz="4" w:space="0"/>
              <w:right w:val="single" w:color="auto" w:sz="4" w:space="0"/>
            </w:tcBorders>
            <w:noWrap w:val="0"/>
            <w:vAlign w:val="center"/>
          </w:tcPr>
          <w:p w14:paraId="232E5183">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分值构成（总分100分）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4C828ED6">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投标报价：</w:t>
            </w:r>
            <w:r>
              <w:rPr>
                <w:rFonts w:hint="eastAsia" w:ascii="宋体" w:hAnsi="宋体"/>
                <w:b w:val="0"/>
                <w:bCs w:val="0"/>
                <w:color w:val="auto"/>
                <w:kern w:val="0"/>
                <w:sz w:val="24"/>
                <w:szCs w:val="24"/>
                <w:lang w:val="en-US" w:eastAsia="zh-CN"/>
              </w:rPr>
              <w:t>2</w:t>
            </w:r>
            <w:r>
              <w:rPr>
                <w:rFonts w:hint="eastAsia" w:ascii="宋体" w:hAnsi="宋体" w:eastAsia="宋体"/>
                <w:b w:val="0"/>
                <w:bCs w:val="0"/>
                <w:color w:val="auto"/>
                <w:kern w:val="0"/>
                <w:sz w:val="24"/>
                <w:szCs w:val="24"/>
                <w:lang w:val="en-US" w:eastAsia="zh-CN"/>
              </w:rPr>
              <w:t>0分</w:t>
            </w:r>
          </w:p>
          <w:p w14:paraId="266B3282">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技术部分：</w:t>
            </w:r>
            <w:r>
              <w:rPr>
                <w:rFonts w:hint="eastAsia" w:ascii="宋体" w:hAnsi="宋体"/>
                <w:b w:val="0"/>
                <w:bCs w:val="0"/>
                <w:color w:val="auto"/>
                <w:kern w:val="0"/>
                <w:sz w:val="24"/>
                <w:szCs w:val="24"/>
                <w:lang w:val="en-US" w:eastAsia="zh-CN"/>
              </w:rPr>
              <w:t>60</w:t>
            </w:r>
            <w:r>
              <w:rPr>
                <w:rFonts w:hint="eastAsia" w:ascii="宋体" w:hAnsi="宋体" w:eastAsia="宋体"/>
                <w:b w:val="0"/>
                <w:bCs w:val="0"/>
                <w:color w:val="auto"/>
                <w:kern w:val="0"/>
                <w:sz w:val="24"/>
                <w:szCs w:val="24"/>
                <w:lang w:val="en-US" w:eastAsia="zh-CN"/>
              </w:rPr>
              <w:t>分</w:t>
            </w:r>
          </w:p>
          <w:p w14:paraId="094F985B">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综合部分：</w:t>
            </w:r>
            <w:r>
              <w:rPr>
                <w:rFonts w:hint="eastAsia" w:ascii="宋体" w:hAnsi="宋体"/>
                <w:b w:val="0"/>
                <w:bCs w:val="0"/>
                <w:color w:val="auto"/>
                <w:kern w:val="0"/>
                <w:sz w:val="24"/>
                <w:szCs w:val="24"/>
                <w:lang w:val="en-US" w:eastAsia="zh-CN"/>
              </w:rPr>
              <w:t>20</w:t>
            </w:r>
            <w:r>
              <w:rPr>
                <w:rFonts w:hint="eastAsia" w:ascii="宋体" w:hAnsi="宋体" w:eastAsia="宋体"/>
                <w:b w:val="0"/>
                <w:bCs w:val="0"/>
                <w:color w:val="auto"/>
                <w:kern w:val="0"/>
                <w:sz w:val="24"/>
                <w:szCs w:val="24"/>
                <w:lang w:val="en-US" w:eastAsia="zh-CN"/>
              </w:rPr>
              <w:t>分</w:t>
            </w:r>
          </w:p>
        </w:tc>
      </w:tr>
      <w:tr w14:paraId="42CC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320" w:type="dxa"/>
            <w:tcBorders>
              <w:top w:val="single" w:color="auto" w:sz="4" w:space="0"/>
              <w:left w:val="single" w:color="auto" w:sz="4" w:space="0"/>
              <w:bottom w:val="single" w:color="auto" w:sz="4" w:space="0"/>
              <w:right w:val="single" w:color="auto" w:sz="4" w:space="0"/>
            </w:tcBorders>
            <w:noWrap w:val="0"/>
            <w:vAlign w:val="center"/>
          </w:tcPr>
          <w:p w14:paraId="3E400440">
            <w:pPr>
              <w:keepNext w:val="0"/>
              <w:keepLines w:val="0"/>
              <w:widowControl/>
              <w:suppressLineNumbers w:val="0"/>
              <w:spacing w:before="0" w:beforeAutospacing="0" w:after="0" w:afterAutospacing="0" w:line="192" w:lineRule="auto"/>
              <w:ind w:left="0" w:right="0"/>
              <w:jc w:val="center"/>
              <w:rPr>
                <w:rFonts w:ascii="宋体" w:hAnsi="宋体" w:eastAsia="宋体" w:cs="宋体"/>
                <w:b/>
                <w:bCs/>
                <w:color w:val="auto"/>
                <w:kern w:val="2"/>
                <w:sz w:val="24"/>
                <w:szCs w:val="24"/>
              </w:rPr>
            </w:pPr>
            <w:r>
              <w:rPr>
                <w:rFonts w:hint="eastAsia" w:ascii="宋体" w:hAnsi="宋体" w:eastAsia="宋体" w:cs="宋体"/>
                <w:b/>
                <w:bCs/>
                <w:color w:val="auto"/>
                <w:kern w:val="2"/>
                <w:sz w:val="24"/>
                <w:szCs w:val="24"/>
              </w:rPr>
              <w:t>评分内容</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6A1AC222">
            <w:pPr>
              <w:keepNext w:val="0"/>
              <w:keepLines w:val="0"/>
              <w:widowControl/>
              <w:suppressLineNumbers w:val="0"/>
              <w:spacing w:before="0" w:beforeAutospacing="0" w:after="0" w:afterAutospacing="0" w:line="192" w:lineRule="auto"/>
              <w:ind w:left="0" w:right="0"/>
              <w:jc w:val="center"/>
              <w:rPr>
                <w:rFonts w:ascii="宋体" w:hAnsi="宋体" w:eastAsia="宋体" w:cs="宋体"/>
                <w:b/>
                <w:bCs/>
                <w:color w:val="auto"/>
                <w:kern w:val="2"/>
                <w:sz w:val="24"/>
                <w:szCs w:val="24"/>
              </w:rPr>
            </w:pPr>
            <w:r>
              <w:rPr>
                <w:rFonts w:hint="eastAsia" w:ascii="宋体" w:hAnsi="宋体" w:eastAsia="宋体" w:cs="宋体"/>
                <w:b/>
                <w:bCs/>
                <w:color w:val="auto"/>
                <w:kern w:val="2"/>
                <w:sz w:val="24"/>
                <w:szCs w:val="24"/>
              </w:rPr>
              <w:t>分值</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2C5C333B">
            <w:pPr>
              <w:keepNext w:val="0"/>
              <w:keepLines w:val="0"/>
              <w:widowControl/>
              <w:suppressLineNumbers w:val="0"/>
              <w:spacing w:before="0" w:beforeAutospacing="0" w:after="0" w:afterAutospacing="0" w:line="192" w:lineRule="auto"/>
              <w:ind w:left="0" w:right="0" w:firstLine="542"/>
              <w:jc w:val="center"/>
              <w:rPr>
                <w:rFonts w:ascii="宋体" w:hAnsi="宋体" w:eastAsia="宋体" w:cs="宋体"/>
                <w:b/>
                <w:bCs/>
                <w:color w:val="auto"/>
                <w:kern w:val="2"/>
                <w:sz w:val="24"/>
                <w:szCs w:val="24"/>
              </w:rPr>
            </w:pPr>
            <w:r>
              <w:rPr>
                <w:rFonts w:hint="eastAsia" w:ascii="宋体" w:hAnsi="宋体" w:eastAsia="宋体" w:cs="宋体"/>
                <w:b/>
                <w:bCs/>
                <w:color w:val="auto"/>
                <w:kern w:val="2"/>
                <w:sz w:val="24"/>
                <w:szCs w:val="24"/>
              </w:rPr>
              <w:t>评分标准</w:t>
            </w:r>
          </w:p>
        </w:tc>
      </w:tr>
      <w:tr w14:paraId="7374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2" w:hRule="atLeast"/>
        </w:trPr>
        <w:tc>
          <w:tcPr>
            <w:tcW w:w="1320" w:type="dxa"/>
            <w:tcBorders>
              <w:top w:val="single" w:color="auto" w:sz="4" w:space="0"/>
              <w:left w:val="single" w:color="auto" w:sz="4" w:space="0"/>
              <w:bottom w:val="single" w:color="auto" w:sz="4" w:space="0"/>
              <w:right w:val="single" w:color="auto" w:sz="4" w:space="0"/>
            </w:tcBorders>
            <w:noWrap w:val="0"/>
            <w:vAlign w:val="center"/>
          </w:tcPr>
          <w:p w14:paraId="48CFD8E0">
            <w:pPr>
              <w:keepNext w:val="0"/>
              <w:keepLines w:val="0"/>
              <w:widowControl/>
              <w:suppressLineNumbers w:val="0"/>
              <w:spacing w:before="156" w:beforeAutospacing="0" w:after="0" w:afterAutospacing="0" w:line="192" w:lineRule="auto"/>
              <w:ind w:left="0" w:right="0"/>
              <w:jc w:val="center"/>
              <w:rPr>
                <w:rFonts w:ascii="宋体" w:hAnsi="宋体" w:eastAsia="宋体"/>
                <w:color w:val="auto"/>
                <w:kern w:val="2"/>
                <w:sz w:val="24"/>
                <w:szCs w:val="24"/>
              </w:rPr>
            </w:pPr>
            <w:r>
              <w:rPr>
                <w:rFonts w:hint="eastAsia" w:ascii="宋体" w:hAnsi="宋体" w:eastAsia="宋体"/>
                <w:color w:val="auto"/>
                <w:kern w:val="2"/>
                <w:sz w:val="24"/>
                <w:szCs w:val="24"/>
              </w:rPr>
              <w:t>投标报价（</w:t>
            </w:r>
            <w:r>
              <w:rPr>
                <w:rFonts w:hint="eastAsia" w:ascii="宋体" w:hAnsi="宋体"/>
                <w:color w:val="auto"/>
                <w:kern w:val="2"/>
                <w:sz w:val="24"/>
                <w:szCs w:val="24"/>
                <w:lang w:val="en-US" w:eastAsia="zh-CN"/>
              </w:rPr>
              <w:t>2</w:t>
            </w:r>
            <w:r>
              <w:rPr>
                <w:rFonts w:hint="eastAsia" w:ascii="宋体" w:hAnsi="宋体" w:eastAsia="宋体"/>
                <w:color w:val="auto"/>
                <w:kern w:val="2"/>
                <w:sz w:val="24"/>
                <w:szCs w:val="24"/>
                <w:lang w:val="en-US" w:eastAsia="zh-CN"/>
              </w:rPr>
              <w:t>0</w:t>
            </w:r>
            <w:r>
              <w:rPr>
                <w:rFonts w:hint="eastAsia" w:ascii="宋体" w:hAnsi="宋体" w:eastAsia="宋体"/>
                <w:color w:val="auto"/>
                <w:kern w:val="2"/>
                <w:sz w:val="24"/>
                <w:szCs w:val="24"/>
              </w:rPr>
              <w:t>分）</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4EB76FE1">
            <w:pPr>
              <w:keepNext w:val="0"/>
              <w:keepLines w:val="0"/>
              <w:widowControl/>
              <w:suppressLineNumbers w:val="0"/>
              <w:spacing w:before="156" w:beforeAutospacing="0" w:after="0" w:afterAutospacing="0" w:line="192" w:lineRule="auto"/>
              <w:ind w:left="0" w:right="0"/>
              <w:jc w:val="center"/>
              <w:rPr>
                <w:rFonts w:ascii="宋体" w:hAnsi="宋体" w:eastAsia="宋体"/>
                <w:color w:val="auto"/>
                <w:kern w:val="2"/>
                <w:sz w:val="24"/>
                <w:szCs w:val="24"/>
              </w:rPr>
            </w:pPr>
            <w:r>
              <w:rPr>
                <w:rFonts w:hint="eastAsia" w:ascii="宋体" w:hAnsi="宋体"/>
                <w:color w:val="auto"/>
                <w:kern w:val="2"/>
                <w:sz w:val="24"/>
                <w:szCs w:val="24"/>
                <w:lang w:val="en-US" w:eastAsia="zh-CN"/>
              </w:rPr>
              <w:t>2</w:t>
            </w:r>
            <w:r>
              <w:rPr>
                <w:rFonts w:hint="eastAsia" w:ascii="宋体" w:hAnsi="宋体" w:eastAsia="宋体"/>
                <w:color w:val="auto"/>
                <w:kern w:val="2"/>
                <w:sz w:val="24"/>
                <w:szCs w:val="24"/>
                <w:lang w:val="en-US" w:eastAsia="zh-CN"/>
              </w:rPr>
              <w:t>0</w:t>
            </w:r>
            <w:r>
              <w:rPr>
                <w:rFonts w:hint="eastAsia" w:ascii="宋体" w:hAnsi="宋体" w:eastAsia="宋体"/>
                <w:color w:val="auto"/>
                <w:kern w:val="2"/>
                <w:sz w:val="24"/>
                <w:szCs w:val="24"/>
              </w:rPr>
              <w:t>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6E635D97">
            <w:pPr>
              <w:spacing w:line="400" w:lineRule="exact"/>
              <w:rPr>
                <w:rFonts w:hint="eastAsia" w:ascii="宋体" w:hAnsi="宋体" w:eastAsia="宋体" w:cs="宋体"/>
                <w:sz w:val="24"/>
                <w:highlight w:val="none"/>
              </w:rPr>
            </w:pPr>
            <w:r>
              <w:rPr>
                <w:rFonts w:hint="eastAsia" w:ascii="宋体" w:hAnsi="宋体" w:eastAsia="宋体" w:cs="宋体"/>
                <w:sz w:val="24"/>
                <w:highlight w:val="none"/>
              </w:rPr>
              <w:t>1、价格分采用低价优先法计算，即满足</w:t>
            </w:r>
            <w:r>
              <w:rPr>
                <w:rFonts w:hint="eastAsia" w:ascii="宋体" w:hAnsi="宋体" w:eastAsia="宋体" w:cs="宋体"/>
                <w:sz w:val="24"/>
                <w:highlight w:val="none"/>
                <w:lang w:eastAsia="zh-CN"/>
              </w:rPr>
              <w:t>竞争性磋商</w:t>
            </w:r>
            <w:r>
              <w:rPr>
                <w:rFonts w:hint="eastAsia" w:ascii="宋体" w:hAnsi="宋体" w:eastAsia="宋体" w:cs="宋体"/>
                <w:sz w:val="24"/>
                <w:highlight w:val="none"/>
              </w:rPr>
              <w:t>文件通过</w:t>
            </w:r>
            <w:r>
              <w:rPr>
                <w:rFonts w:hint="eastAsia" w:ascii="宋体" w:hAnsi="宋体" w:eastAsia="宋体" w:cs="宋体"/>
                <w:sz w:val="24"/>
                <w:highlight w:val="none"/>
                <w:lang w:eastAsia="zh-CN"/>
              </w:rPr>
              <w:t>初步评审</w:t>
            </w:r>
            <w:r>
              <w:rPr>
                <w:rFonts w:hint="eastAsia" w:ascii="宋体" w:hAnsi="宋体" w:eastAsia="宋体" w:cs="宋体"/>
                <w:sz w:val="24"/>
                <w:highlight w:val="none"/>
              </w:rPr>
              <w:t>且</w:t>
            </w:r>
            <w:r>
              <w:rPr>
                <w:rFonts w:hint="eastAsia" w:ascii="宋体" w:hAnsi="宋体" w:eastAsia="宋体" w:cs="宋体"/>
                <w:sz w:val="24"/>
                <w:highlight w:val="none"/>
                <w:lang w:val="en-US" w:eastAsia="zh-CN"/>
              </w:rPr>
              <w:t>最终报价</w:t>
            </w:r>
            <w:r>
              <w:rPr>
                <w:rFonts w:hint="eastAsia" w:ascii="宋体" w:hAnsi="宋体" w:eastAsia="宋体" w:cs="宋体"/>
                <w:sz w:val="24"/>
                <w:highlight w:val="none"/>
              </w:rPr>
              <w:t>最低的投标报价为评标基准价，其价格得分为满分</w:t>
            </w:r>
            <w:r>
              <w:rPr>
                <w:rFonts w:hint="eastAsia" w:ascii="宋体" w:hAnsi="宋体" w:cs="宋体"/>
                <w:sz w:val="24"/>
                <w:highlight w:val="none"/>
                <w:lang w:val="en-US" w:eastAsia="zh-CN"/>
              </w:rPr>
              <w:t>2</w:t>
            </w:r>
            <w:r>
              <w:rPr>
                <w:rFonts w:hint="eastAsia" w:ascii="宋体" w:hAnsi="宋体" w:eastAsia="宋体" w:cs="宋体"/>
                <w:sz w:val="24"/>
                <w:highlight w:val="none"/>
              </w:rPr>
              <w:t>0分。</w:t>
            </w:r>
          </w:p>
          <w:p w14:paraId="2CBB04D9">
            <w:pPr>
              <w:spacing w:line="400" w:lineRule="exact"/>
              <w:rPr>
                <w:rFonts w:hint="eastAsia" w:ascii="宋体" w:hAnsi="宋体" w:eastAsia="宋体" w:cs="宋体"/>
                <w:sz w:val="24"/>
                <w:highlight w:val="none"/>
              </w:rPr>
            </w:pPr>
            <w:r>
              <w:rPr>
                <w:rFonts w:hint="eastAsia" w:ascii="宋体" w:hAnsi="宋体" w:eastAsia="宋体" w:cs="宋体"/>
                <w:sz w:val="24"/>
                <w:highlight w:val="none"/>
              </w:rPr>
              <w:t>2、其他投标人的价格分统一按照下列公式计算：</w:t>
            </w:r>
          </w:p>
          <w:p w14:paraId="7851E46D">
            <w:pPr>
              <w:spacing w:line="400" w:lineRule="exact"/>
              <w:rPr>
                <w:rFonts w:hint="eastAsia" w:ascii="宋体" w:hAnsi="宋体" w:eastAsia="宋体" w:cs="宋体"/>
                <w:sz w:val="24"/>
                <w:highlight w:val="none"/>
              </w:rPr>
            </w:pPr>
            <w:r>
              <w:rPr>
                <w:rFonts w:hint="eastAsia" w:ascii="宋体" w:hAnsi="宋体" w:eastAsia="宋体" w:cs="宋体"/>
                <w:sz w:val="24"/>
                <w:highlight w:val="none"/>
              </w:rPr>
              <w:t>投标报价得分=(评标基准价／投标报价)×</w:t>
            </w:r>
            <w:r>
              <w:rPr>
                <w:rFonts w:hint="eastAsia" w:ascii="宋体" w:hAnsi="宋体" w:cs="宋体"/>
                <w:sz w:val="24"/>
                <w:highlight w:val="none"/>
                <w:lang w:val="en-US" w:eastAsia="zh-CN"/>
              </w:rPr>
              <w:t>2</w:t>
            </w:r>
            <w:r>
              <w:rPr>
                <w:rFonts w:hint="eastAsia" w:ascii="宋体" w:hAnsi="宋体" w:eastAsia="宋体" w:cs="宋体"/>
                <w:sz w:val="24"/>
                <w:highlight w:val="none"/>
              </w:rPr>
              <w:t>0</w:t>
            </w:r>
          </w:p>
          <w:p w14:paraId="12B41AB8">
            <w:pPr>
              <w:spacing w:line="400" w:lineRule="exact"/>
              <w:rPr>
                <w:rFonts w:hint="eastAsia" w:ascii="宋体" w:hAnsi="宋体" w:eastAsia="宋体"/>
                <w:b/>
                <w:bCs/>
                <w:color w:val="auto"/>
                <w:kern w:val="0"/>
                <w:sz w:val="24"/>
                <w:szCs w:val="24"/>
                <w:lang w:eastAsia="zh-CN"/>
              </w:rPr>
            </w:pPr>
            <w:r>
              <w:rPr>
                <w:rFonts w:hint="eastAsia" w:ascii="宋体" w:hAnsi="宋体" w:eastAsia="宋体" w:cs="宋体"/>
                <w:sz w:val="24"/>
                <w:highlight w:val="none"/>
              </w:rPr>
              <w:t>注：价格分计算保留小数点后二位。在评标过程中，评标小组发现投标人的报价明显低于成本价时或明显低于其他通过初步审查投标人的报价，有可能影响产品质量或者不能诚信履约的，评标小组可向该投标人提出询问</w:t>
            </w:r>
            <w:r>
              <w:rPr>
                <w:rFonts w:hint="eastAsia" w:ascii="宋体" w:hAnsi="宋体" w:eastAsia="宋体" w:cs="宋体"/>
                <w:sz w:val="24"/>
                <w:highlight w:val="none"/>
                <w:lang w:eastAsia="zh-CN"/>
              </w:rPr>
              <w:t>，</w:t>
            </w:r>
            <w:r>
              <w:rPr>
                <w:rFonts w:hint="eastAsia" w:ascii="宋体" w:hAnsi="宋体" w:eastAsia="宋体" w:cs="宋体"/>
                <w:sz w:val="24"/>
                <w:highlight w:val="none"/>
              </w:rPr>
              <w:t>要求该投标人作出书面说明并提供相关证明材料。投标人不能合理说明及不能提供相关证明材料的，评标委员会认定该投标人以低于成本价恶意竞标，其投标作废标处理</w:t>
            </w:r>
            <w:r>
              <w:rPr>
                <w:rFonts w:hint="eastAsia" w:ascii="宋体" w:hAnsi="宋体" w:cs="宋体"/>
                <w:sz w:val="24"/>
                <w:highlight w:val="none"/>
                <w:lang w:eastAsia="zh-CN"/>
              </w:rPr>
              <w:t>。</w:t>
            </w:r>
          </w:p>
        </w:tc>
      </w:tr>
      <w:tr w14:paraId="4D89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1320" w:type="dxa"/>
            <w:vMerge w:val="restart"/>
            <w:tcBorders>
              <w:left w:val="single" w:color="auto" w:sz="4" w:space="0"/>
              <w:right w:val="single" w:color="auto" w:sz="4" w:space="0"/>
            </w:tcBorders>
            <w:noWrap w:val="0"/>
            <w:vAlign w:val="center"/>
          </w:tcPr>
          <w:p w14:paraId="3ECC5515">
            <w:pPr>
              <w:keepNext w:val="0"/>
              <w:keepLines w:val="0"/>
              <w:widowControl/>
              <w:suppressLineNumbers w:val="0"/>
              <w:spacing w:before="0" w:beforeAutospacing="0" w:after="0" w:afterAutospacing="0" w:line="360" w:lineRule="auto"/>
              <w:ind w:left="0" w:right="0"/>
              <w:jc w:val="center"/>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技术部分（</w:t>
            </w:r>
            <w:r>
              <w:rPr>
                <w:rFonts w:hint="eastAsia" w:ascii="宋体" w:hAnsi="宋体"/>
                <w:b w:val="0"/>
                <w:bCs w:val="0"/>
                <w:color w:val="auto"/>
                <w:kern w:val="0"/>
                <w:sz w:val="24"/>
                <w:szCs w:val="24"/>
                <w:lang w:val="en-US" w:eastAsia="zh-CN"/>
              </w:rPr>
              <w:t>60</w:t>
            </w:r>
            <w:r>
              <w:rPr>
                <w:rFonts w:hint="eastAsia" w:ascii="宋体" w:hAnsi="宋体" w:eastAsia="宋体"/>
                <w:b w:val="0"/>
                <w:bCs w:val="0"/>
                <w:color w:val="auto"/>
                <w:kern w:val="0"/>
                <w:sz w:val="24"/>
                <w:szCs w:val="24"/>
                <w:lang w:val="en-US" w:eastAsia="zh-CN"/>
              </w:rPr>
              <w:t>分）</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405A9E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cs="宋体"/>
                <w:sz w:val="24"/>
                <w:szCs w:val="24"/>
                <w:lang w:val="en-US" w:eastAsia="zh-CN"/>
              </w:rPr>
              <w:t>总体编制</w:t>
            </w:r>
            <w:r>
              <w:rPr>
                <w:rFonts w:hint="eastAsia" w:ascii="宋体" w:hAnsi="宋体" w:eastAsia="宋体" w:cs="宋体"/>
                <w:sz w:val="24"/>
                <w:szCs w:val="24"/>
              </w:rPr>
              <w:t>方案</w:t>
            </w:r>
          </w:p>
          <w:p w14:paraId="46D0DB7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b w:val="0"/>
                <w:bCs w:val="0"/>
                <w:color w:val="auto"/>
                <w:kern w:val="0"/>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0-20</w:t>
            </w:r>
            <w:r>
              <w:rPr>
                <w:rFonts w:hint="eastAsia" w:ascii="宋体" w:hAnsi="宋体" w:eastAsia="宋体" w:cs="宋体"/>
                <w:sz w:val="24"/>
                <w:szCs w:val="24"/>
              </w:rPr>
              <w:t>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00091B47">
            <w:pPr>
              <w:keepNext w:val="0"/>
              <w:keepLines w:val="0"/>
              <w:pageBreakBefore w:val="0"/>
              <w:widowControl w:val="0"/>
              <w:numPr>
                <w:ilvl w:val="0"/>
                <w:numId w:val="3"/>
              </w:numPr>
              <w:kinsoku/>
              <w:wordWrap/>
              <w:overflowPunct/>
              <w:topLinePunct w:val="0"/>
              <w:autoSpaceDE/>
              <w:autoSpaceDN/>
              <w:bidi w:val="0"/>
              <w:adjustRightInd/>
              <w:snapToGrid/>
              <w:spacing w:line="480" w:lineRule="exact"/>
              <w:jc w:val="left"/>
              <w:textAlignment w:val="auto"/>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根据对项目的基本认知和理解，对本项目的背景、目标、主要内容和理解程度进行比较打分，优秀得</w:t>
            </w:r>
            <w:r>
              <w:rPr>
                <w:rFonts w:hint="eastAsia" w:ascii="宋体" w:hAnsi="宋体"/>
                <w:b w:val="0"/>
                <w:bCs w:val="0"/>
                <w:color w:val="auto"/>
                <w:kern w:val="0"/>
                <w:sz w:val="24"/>
                <w:szCs w:val="24"/>
                <w:lang w:val="en-US" w:eastAsia="zh-CN"/>
              </w:rPr>
              <w:t>5</w:t>
            </w:r>
            <w:r>
              <w:rPr>
                <w:rFonts w:hint="eastAsia" w:ascii="宋体" w:hAnsi="宋体" w:eastAsia="宋体"/>
                <w:b w:val="0"/>
                <w:bCs w:val="0"/>
                <w:color w:val="auto"/>
                <w:kern w:val="0"/>
                <w:sz w:val="24"/>
                <w:szCs w:val="24"/>
                <w:lang w:val="en-US" w:eastAsia="zh-CN"/>
              </w:rPr>
              <w:t>分，良好得</w:t>
            </w:r>
            <w:r>
              <w:rPr>
                <w:rFonts w:hint="eastAsia" w:ascii="宋体" w:hAnsi="宋体"/>
                <w:b w:val="0"/>
                <w:bCs w:val="0"/>
                <w:color w:val="auto"/>
                <w:kern w:val="0"/>
                <w:sz w:val="24"/>
                <w:szCs w:val="24"/>
                <w:lang w:val="en-US" w:eastAsia="zh-CN"/>
              </w:rPr>
              <w:t>3</w:t>
            </w:r>
            <w:r>
              <w:rPr>
                <w:rFonts w:hint="eastAsia" w:ascii="宋体" w:hAnsi="宋体" w:eastAsia="宋体"/>
                <w:b w:val="0"/>
                <w:bCs w:val="0"/>
                <w:color w:val="auto"/>
                <w:kern w:val="0"/>
                <w:sz w:val="24"/>
                <w:szCs w:val="24"/>
                <w:lang w:val="en-US" w:eastAsia="zh-CN"/>
              </w:rPr>
              <w:t>分，一般得</w:t>
            </w:r>
            <w:r>
              <w:rPr>
                <w:rFonts w:hint="eastAsia" w:ascii="宋体" w:hAnsi="宋体"/>
                <w:b w:val="0"/>
                <w:bCs w:val="0"/>
                <w:color w:val="auto"/>
                <w:kern w:val="0"/>
                <w:sz w:val="24"/>
                <w:szCs w:val="24"/>
                <w:lang w:val="en-US" w:eastAsia="zh-CN"/>
              </w:rPr>
              <w:t>1</w:t>
            </w:r>
            <w:r>
              <w:rPr>
                <w:rFonts w:hint="eastAsia" w:ascii="宋体" w:hAnsi="宋体" w:eastAsia="宋体"/>
                <w:b w:val="0"/>
                <w:bCs w:val="0"/>
                <w:color w:val="auto"/>
                <w:kern w:val="0"/>
                <w:sz w:val="24"/>
                <w:szCs w:val="24"/>
                <w:lang w:val="en-US" w:eastAsia="zh-CN"/>
              </w:rPr>
              <w:t>分，不提供得0分。</w:t>
            </w:r>
          </w:p>
          <w:p w14:paraId="0BBAE8B0">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根据</w:t>
            </w:r>
            <w:r>
              <w:rPr>
                <w:rFonts w:hint="eastAsia" w:ascii="宋体" w:hAnsi="宋体"/>
                <w:b w:val="0"/>
                <w:bCs w:val="0"/>
                <w:color w:val="auto"/>
                <w:kern w:val="0"/>
                <w:sz w:val="24"/>
                <w:szCs w:val="24"/>
                <w:lang w:val="en-US" w:eastAsia="zh-CN"/>
              </w:rPr>
              <w:t>投标人</w:t>
            </w:r>
            <w:r>
              <w:rPr>
                <w:rFonts w:hint="eastAsia" w:ascii="宋体" w:hAnsi="宋体" w:eastAsia="宋体"/>
                <w:b w:val="0"/>
                <w:bCs w:val="0"/>
                <w:color w:val="auto"/>
                <w:kern w:val="0"/>
                <w:sz w:val="24"/>
                <w:szCs w:val="24"/>
                <w:lang w:val="en-US" w:eastAsia="zh-CN"/>
              </w:rPr>
              <w:t>对本项目提出具体工作的技术路径和合理性建议进行比较打分，优秀得</w:t>
            </w:r>
            <w:r>
              <w:rPr>
                <w:rFonts w:hint="eastAsia" w:ascii="宋体" w:hAnsi="宋体"/>
                <w:b w:val="0"/>
                <w:bCs w:val="0"/>
                <w:color w:val="auto"/>
                <w:kern w:val="0"/>
                <w:sz w:val="24"/>
                <w:szCs w:val="24"/>
                <w:lang w:val="en-US" w:eastAsia="zh-CN"/>
              </w:rPr>
              <w:t>5</w:t>
            </w:r>
            <w:r>
              <w:rPr>
                <w:rFonts w:hint="eastAsia" w:ascii="宋体" w:hAnsi="宋体" w:eastAsia="宋体"/>
                <w:b w:val="0"/>
                <w:bCs w:val="0"/>
                <w:color w:val="auto"/>
                <w:kern w:val="0"/>
                <w:sz w:val="24"/>
                <w:szCs w:val="24"/>
                <w:lang w:val="en-US" w:eastAsia="zh-CN"/>
              </w:rPr>
              <w:t>分，良好得</w:t>
            </w:r>
            <w:r>
              <w:rPr>
                <w:rFonts w:hint="eastAsia" w:ascii="宋体" w:hAnsi="宋体"/>
                <w:b w:val="0"/>
                <w:bCs w:val="0"/>
                <w:color w:val="auto"/>
                <w:kern w:val="0"/>
                <w:sz w:val="24"/>
                <w:szCs w:val="24"/>
                <w:lang w:val="en-US" w:eastAsia="zh-CN"/>
              </w:rPr>
              <w:t>3</w:t>
            </w:r>
            <w:r>
              <w:rPr>
                <w:rFonts w:hint="eastAsia" w:ascii="宋体" w:hAnsi="宋体" w:eastAsia="宋体"/>
                <w:b w:val="0"/>
                <w:bCs w:val="0"/>
                <w:color w:val="auto"/>
                <w:kern w:val="0"/>
                <w:sz w:val="24"/>
                <w:szCs w:val="24"/>
                <w:lang w:val="en-US" w:eastAsia="zh-CN"/>
              </w:rPr>
              <w:t>分，一般得</w:t>
            </w:r>
            <w:r>
              <w:rPr>
                <w:rFonts w:hint="eastAsia" w:ascii="宋体" w:hAnsi="宋体"/>
                <w:b w:val="0"/>
                <w:bCs w:val="0"/>
                <w:color w:val="auto"/>
                <w:kern w:val="0"/>
                <w:sz w:val="24"/>
                <w:szCs w:val="24"/>
                <w:lang w:val="en-US" w:eastAsia="zh-CN"/>
              </w:rPr>
              <w:t>1</w:t>
            </w:r>
            <w:r>
              <w:rPr>
                <w:rFonts w:hint="eastAsia" w:ascii="宋体" w:hAnsi="宋体" w:eastAsia="宋体"/>
                <w:b w:val="0"/>
                <w:bCs w:val="0"/>
                <w:color w:val="auto"/>
                <w:kern w:val="0"/>
                <w:sz w:val="24"/>
                <w:szCs w:val="24"/>
                <w:lang w:val="en-US" w:eastAsia="zh-CN"/>
              </w:rPr>
              <w:t>分，不提供得0分。</w:t>
            </w:r>
          </w:p>
          <w:p w14:paraId="7B051D0A">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b w:val="0"/>
                <w:bCs w:val="0"/>
                <w:color w:val="auto"/>
                <w:kern w:val="0"/>
                <w:sz w:val="24"/>
                <w:szCs w:val="24"/>
                <w:lang w:val="en-US" w:eastAsia="zh-CN"/>
              </w:rPr>
            </w:pPr>
            <w:r>
              <w:rPr>
                <w:rFonts w:hint="eastAsia" w:ascii="宋体" w:hAnsi="宋体"/>
                <w:b w:val="0"/>
                <w:bCs w:val="0"/>
                <w:color w:val="auto"/>
                <w:kern w:val="0"/>
                <w:sz w:val="24"/>
                <w:szCs w:val="24"/>
                <w:lang w:val="en-US" w:eastAsia="zh-CN"/>
              </w:rPr>
              <w:t>针对本项目方案的重点、难点及解决办法的全面性透彻性进行比较打分，优秀得5分，良好得3分，一般得1分，不提供得0分。</w:t>
            </w:r>
          </w:p>
          <w:p w14:paraId="13696725">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0" w:firstLineChars="0"/>
              <w:jc w:val="left"/>
              <w:textAlignment w:val="auto"/>
              <w:rPr>
                <w:rFonts w:hint="eastAsia"/>
                <w:lang w:val="en-US" w:eastAsia="zh-CN"/>
              </w:rPr>
            </w:pPr>
            <w:r>
              <w:rPr>
                <w:rFonts w:hint="eastAsia" w:ascii="宋体" w:hAnsi="宋体"/>
                <w:b w:val="0"/>
                <w:bCs w:val="0"/>
                <w:color w:val="auto"/>
                <w:kern w:val="0"/>
                <w:sz w:val="24"/>
                <w:szCs w:val="24"/>
                <w:lang w:val="en-US" w:eastAsia="zh-CN"/>
              </w:rPr>
              <w:t>根据各投标人服务过程中的应急方案等因素横向比较后进行打分；优秀得5分，良好得3分，一般得1分，不提供得0分。</w:t>
            </w:r>
          </w:p>
        </w:tc>
      </w:tr>
      <w:tr w14:paraId="7EC5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8" w:hRule="atLeast"/>
        </w:trPr>
        <w:tc>
          <w:tcPr>
            <w:tcW w:w="1320" w:type="dxa"/>
            <w:vMerge w:val="continue"/>
            <w:tcBorders>
              <w:left w:val="single" w:color="auto" w:sz="4" w:space="0"/>
              <w:right w:val="single" w:color="auto" w:sz="4" w:space="0"/>
            </w:tcBorders>
            <w:noWrap w:val="0"/>
            <w:vAlign w:val="center"/>
          </w:tcPr>
          <w:p w14:paraId="7A7FB7F3">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01DD11A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项目进度计划与措施</w:t>
            </w:r>
          </w:p>
          <w:p w14:paraId="71F6C99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lang w:val="en-US" w:eastAsia="zh-CN"/>
              </w:rPr>
            </w:pPr>
            <w:r>
              <w:rPr>
                <w:rFonts w:hint="eastAsia" w:ascii="宋体" w:hAnsi="宋体" w:eastAsia="宋体" w:cs="Times New Roman"/>
                <w:color w:val="000000" w:themeColor="text1"/>
                <w:kern w:val="0"/>
                <w:sz w:val="24"/>
                <w:szCs w:val="24"/>
                <w14:textFill>
                  <w14:solidFill>
                    <w14:schemeClr w14:val="tx1"/>
                  </w14:solidFill>
                </w14:textFill>
              </w:rPr>
              <w:t>（0-</w:t>
            </w:r>
            <w:r>
              <w:rPr>
                <w:rFonts w:hint="eastAsia" w:ascii="宋体" w:hAnsi="宋体" w:eastAsia="宋体" w:cs="Times New Roman"/>
                <w:color w:val="000000" w:themeColor="text1"/>
                <w:kern w:val="0"/>
                <w:sz w:val="24"/>
                <w:szCs w:val="24"/>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14:textFill>
                  <w14:solidFill>
                    <w14:schemeClr w14:val="tx1"/>
                  </w14:solidFill>
                </w14:textFill>
              </w:rPr>
              <w:t>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27B168F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lang w:val="en-US" w:eastAsia="zh-CN"/>
              </w:rPr>
            </w:pPr>
            <w:r>
              <w:rPr>
                <w:rFonts w:hint="eastAsia" w:ascii="宋体" w:hAnsi="宋体" w:eastAsia="宋体" w:cs="宋体"/>
                <w:bCs/>
                <w:sz w:val="24"/>
                <w:szCs w:val="24"/>
                <w:highlight w:val="none"/>
                <w:lang w:eastAsia="zh-CN" w:bidi="ar"/>
              </w:rPr>
              <w:t>根据</w:t>
            </w:r>
            <w:r>
              <w:rPr>
                <w:rFonts w:hint="eastAsia" w:ascii="宋体" w:hAnsi="宋体"/>
                <w:b w:val="0"/>
                <w:bCs w:val="0"/>
                <w:color w:val="auto"/>
                <w:kern w:val="0"/>
                <w:sz w:val="24"/>
                <w:szCs w:val="24"/>
                <w:lang w:val="en-US" w:eastAsia="zh-CN"/>
              </w:rPr>
              <w:t>投标人</w:t>
            </w:r>
            <w:r>
              <w:rPr>
                <w:rFonts w:hint="eastAsia" w:ascii="宋体" w:hAnsi="宋体" w:eastAsia="宋体" w:cs="宋体"/>
                <w:bCs/>
                <w:sz w:val="24"/>
                <w:szCs w:val="24"/>
                <w:highlight w:val="none"/>
                <w:lang w:eastAsia="zh-CN" w:bidi="ar"/>
              </w:rPr>
              <w:t>提出的项目进度安排方案，服务工作的时间、人员及组织安排，服务工作关键节点、进度，出具方案时间安排等进行综合评分：项目进度安排方案合理可行，服务工作的时间、人员及组织安排科学全面，服务工作关键节点、进度描述全面清晰，</w:t>
            </w:r>
            <w:r>
              <w:rPr>
                <w:rFonts w:hint="eastAsia" w:ascii="宋体" w:hAnsi="宋体" w:eastAsia="宋体" w:cs="宋体"/>
                <w:bCs/>
                <w:sz w:val="24"/>
                <w:szCs w:val="24"/>
                <w:highlight w:val="none"/>
                <w:lang w:val="en-US" w:eastAsia="zh-CN" w:bidi="ar"/>
              </w:rPr>
              <w:t>出具</w:t>
            </w:r>
            <w:r>
              <w:rPr>
                <w:rFonts w:hint="eastAsia" w:ascii="宋体" w:hAnsi="宋体" w:eastAsia="宋体" w:cs="宋体"/>
                <w:bCs/>
                <w:sz w:val="24"/>
                <w:szCs w:val="24"/>
                <w:highlight w:val="none"/>
                <w:lang w:eastAsia="zh-CN" w:bidi="ar"/>
              </w:rPr>
              <w:t>时间安排完全满足项目需求</w:t>
            </w:r>
            <w:r>
              <w:rPr>
                <w:rFonts w:hint="eastAsia" w:ascii="宋体" w:hAnsi="宋体" w:eastAsia="宋体" w:cs="宋体"/>
                <w:sz w:val="24"/>
                <w:szCs w:val="24"/>
              </w:rPr>
              <w:t>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r>
              <w:rPr>
                <w:rFonts w:hint="eastAsia" w:ascii="宋体" w:hAnsi="宋体" w:eastAsia="宋体" w:cs="宋体"/>
                <w:bCs/>
                <w:sz w:val="24"/>
                <w:szCs w:val="24"/>
                <w:highlight w:val="none"/>
                <w:lang w:eastAsia="zh-CN" w:bidi="ar"/>
              </w:rPr>
              <w:t>项目进度安排方案</w:t>
            </w:r>
            <w:r>
              <w:rPr>
                <w:rFonts w:hint="eastAsia" w:ascii="宋体" w:hAnsi="宋体" w:eastAsia="宋体" w:cs="宋体"/>
                <w:bCs/>
                <w:sz w:val="24"/>
                <w:szCs w:val="24"/>
                <w:highlight w:val="none"/>
                <w:lang w:val="en-US" w:eastAsia="zh-CN" w:bidi="ar"/>
              </w:rPr>
              <w:t>基本</w:t>
            </w:r>
            <w:r>
              <w:rPr>
                <w:rFonts w:hint="eastAsia" w:ascii="宋体" w:hAnsi="宋体" w:eastAsia="宋体" w:cs="宋体"/>
                <w:bCs/>
                <w:sz w:val="24"/>
                <w:szCs w:val="24"/>
                <w:highlight w:val="none"/>
                <w:lang w:eastAsia="zh-CN" w:bidi="ar"/>
              </w:rPr>
              <w:t>合理可行，服务工作的时间、人员及组织安排</w:t>
            </w:r>
            <w:r>
              <w:rPr>
                <w:rFonts w:hint="eastAsia" w:ascii="宋体" w:hAnsi="宋体" w:eastAsia="宋体" w:cs="宋体"/>
                <w:bCs/>
                <w:sz w:val="24"/>
                <w:szCs w:val="24"/>
                <w:highlight w:val="none"/>
                <w:lang w:val="en-US" w:eastAsia="zh-CN" w:bidi="ar"/>
              </w:rPr>
              <w:t>基本</w:t>
            </w:r>
            <w:r>
              <w:rPr>
                <w:rFonts w:hint="eastAsia" w:ascii="宋体" w:hAnsi="宋体" w:eastAsia="宋体" w:cs="宋体"/>
                <w:bCs/>
                <w:sz w:val="24"/>
                <w:szCs w:val="24"/>
                <w:highlight w:val="none"/>
                <w:lang w:eastAsia="zh-CN" w:bidi="ar"/>
              </w:rPr>
              <w:t>全面，服务工作关键节点、进度描述清晰，</w:t>
            </w:r>
            <w:r>
              <w:rPr>
                <w:rFonts w:hint="eastAsia" w:ascii="宋体" w:hAnsi="宋体" w:eastAsia="宋体" w:cs="宋体"/>
                <w:bCs/>
                <w:sz w:val="24"/>
                <w:szCs w:val="24"/>
                <w:highlight w:val="none"/>
                <w:lang w:val="en-US" w:eastAsia="zh-CN" w:bidi="ar"/>
              </w:rPr>
              <w:t>出具</w:t>
            </w:r>
            <w:r>
              <w:rPr>
                <w:rFonts w:hint="eastAsia" w:ascii="宋体" w:hAnsi="宋体" w:eastAsia="宋体" w:cs="宋体"/>
                <w:bCs/>
                <w:sz w:val="24"/>
                <w:szCs w:val="24"/>
                <w:highlight w:val="none"/>
                <w:lang w:eastAsia="zh-CN" w:bidi="ar"/>
              </w:rPr>
              <w:t>时间安排满足项目需求</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bCs/>
                <w:sz w:val="24"/>
                <w:szCs w:val="24"/>
                <w:highlight w:val="none"/>
                <w:lang w:eastAsia="zh-CN" w:bidi="ar"/>
              </w:rPr>
              <w:t>项目进度安排方案一般，服务工作的时间、人员及组织安排一般，服务工作关键节点、进度描述一般，出具时间安排满足项目基本需求得</w:t>
            </w:r>
            <w:r>
              <w:rPr>
                <w:rFonts w:hint="eastAsia" w:ascii="宋体" w:hAnsi="宋体" w:eastAsia="宋体" w:cs="宋体"/>
                <w:bCs/>
                <w:sz w:val="24"/>
                <w:szCs w:val="24"/>
                <w:highlight w:val="none"/>
                <w:lang w:val="en-US" w:eastAsia="zh-CN" w:bidi="ar"/>
              </w:rPr>
              <w:t>2</w:t>
            </w:r>
            <w:r>
              <w:rPr>
                <w:rFonts w:hint="eastAsia" w:ascii="宋体" w:hAnsi="宋体" w:eastAsia="宋体" w:cs="宋体"/>
                <w:bCs/>
                <w:sz w:val="24"/>
                <w:szCs w:val="24"/>
                <w:highlight w:val="none"/>
                <w:lang w:eastAsia="zh-CN" w:bidi="ar"/>
              </w:rPr>
              <w:t>分</w:t>
            </w:r>
            <w:r>
              <w:rPr>
                <w:rFonts w:hint="eastAsia" w:ascii="宋体" w:hAnsi="宋体" w:eastAsia="宋体" w:cs="宋体"/>
                <w:sz w:val="24"/>
                <w:szCs w:val="24"/>
              </w:rPr>
              <w:t>；未响应的不得分</w:t>
            </w:r>
            <w:r>
              <w:rPr>
                <w:rFonts w:hint="eastAsia" w:ascii="宋体" w:hAnsi="宋体" w:eastAsia="宋体" w:cs="Times New Roman"/>
                <w:color w:val="000000" w:themeColor="text1"/>
                <w:kern w:val="0"/>
                <w:sz w:val="24"/>
                <w:szCs w:val="24"/>
                <w14:textFill>
                  <w14:solidFill>
                    <w14:schemeClr w14:val="tx1"/>
                  </w14:solidFill>
                </w14:textFill>
              </w:rPr>
              <w:t>。</w:t>
            </w:r>
          </w:p>
        </w:tc>
      </w:tr>
      <w:tr w14:paraId="7AE7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3" w:hRule="atLeast"/>
        </w:trPr>
        <w:tc>
          <w:tcPr>
            <w:tcW w:w="1320" w:type="dxa"/>
            <w:vMerge w:val="continue"/>
            <w:tcBorders>
              <w:left w:val="single" w:color="auto" w:sz="4" w:space="0"/>
              <w:right w:val="single" w:color="auto" w:sz="4" w:space="0"/>
            </w:tcBorders>
            <w:noWrap w:val="0"/>
            <w:vAlign w:val="center"/>
          </w:tcPr>
          <w:p w14:paraId="28A5B988">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7DCAF2C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lang w:val="en-US" w:eastAsia="zh-CN"/>
              </w:rPr>
            </w:pPr>
            <w:r>
              <w:rPr>
                <w:rFonts w:hint="eastAsia" w:ascii="宋体" w:hAnsi="宋体" w:eastAsia="宋体" w:cs="宋体"/>
                <w:sz w:val="24"/>
                <w:szCs w:val="24"/>
                <w:lang w:eastAsia="zh-CN"/>
              </w:rPr>
              <w:t>拟投入</w:t>
            </w:r>
            <w:r>
              <w:rPr>
                <w:rFonts w:hint="eastAsia" w:ascii="宋体" w:hAnsi="宋体" w:eastAsia="宋体" w:cs="Times New Roman"/>
                <w:color w:val="000000" w:themeColor="text1"/>
                <w:kern w:val="0"/>
                <w:sz w:val="24"/>
                <w:szCs w:val="24"/>
                <w14:textFill>
                  <w14:solidFill>
                    <w14:schemeClr w14:val="tx1"/>
                  </w14:solidFill>
                </w14:textFill>
              </w:rPr>
              <w:t>人员</w:t>
            </w:r>
            <w:r>
              <w:rPr>
                <w:rFonts w:hint="eastAsia" w:ascii="宋体" w:hAnsi="宋体" w:cs="Times New Roman"/>
                <w:color w:val="000000" w:themeColor="text1"/>
                <w:kern w:val="0"/>
                <w:sz w:val="24"/>
                <w:szCs w:val="24"/>
                <w:lang w:val="en-US" w:eastAsia="zh-CN"/>
                <w14:textFill>
                  <w14:solidFill>
                    <w14:schemeClr w14:val="tx1"/>
                  </w14:solidFill>
                </w14:textFill>
              </w:rPr>
              <w:t>机构设置</w:t>
            </w:r>
            <w:r>
              <w:rPr>
                <w:rFonts w:hint="eastAsia" w:ascii="宋体" w:hAnsi="宋体" w:eastAsia="宋体" w:cs="Times New Roman"/>
                <w:color w:val="000000" w:themeColor="text1"/>
                <w:kern w:val="0"/>
                <w:sz w:val="24"/>
                <w:szCs w:val="24"/>
                <w14:textFill>
                  <w14:solidFill>
                    <w14:schemeClr w14:val="tx1"/>
                  </w14:solidFill>
                </w14:textFill>
              </w:rPr>
              <w:t>（0-</w:t>
            </w:r>
            <w:r>
              <w:rPr>
                <w:rFonts w:hint="eastAsia" w:ascii="宋体" w:hAnsi="宋体" w:eastAsia="宋体" w:cs="Times New Roman"/>
                <w:color w:val="000000" w:themeColor="text1"/>
                <w:kern w:val="0"/>
                <w:sz w:val="24"/>
                <w:szCs w:val="24"/>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14:textFill>
                  <w14:solidFill>
                    <w14:schemeClr w14:val="tx1"/>
                  </w14:solidFill>
                </w14:textFill>
              </w:rPr>
              <w:t>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67A631D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lang w:val="en-US" w:eastAsia="zh-CN"/>
              </w:rPr>
            </w:pPr>
            <w:r>
              <w:rPr>
                <w:rFonts w:hint="eastAsia" w:ascii="宋体" w:hAnsi="宋体" w:eastAsia="宋体" w:cs="宋体"/>
                <w:sz w:val="24"/>
                <w:szCs w:val="24"/>
                <w:highlight w:val="none"/>
                <w:lang w:bidi="ar"/>
              </w:rPr>
              <w:t>项目实施过程中，</w:t>
            </w:r>
            <w:r>
              <w:rPr>
                <w:rFonts w:hint="eastAsia" w:ascii="宋体" w:hAnsi="宋体"/>
                <w:b w:val="0"/>
                <w:bCs w:val="0"/>
                <w:color w:val="auto"/>
                <w:kern w:val="0"/>
                <w:sz w:val="24"/>
                <w:szCs w:val="24"/>
                <w:lang w:val="en-US" w:eastAsia="zh-CN"/>
              </w:rPr>
              <w:t>投标人</w:t>
            </w:r>
            <w:r>
              <w:rPr>
                <w:rFonts w:hint="eastAsia" w:ascii="宋体" w:hAnsi="宋体" w:eastAsia="宋体" w:cs="宋体"/>
                <w:sz w:val="24"/>
                <w:szCs w:val="24"/>
                <w:highlight w:val="none"/>
                <w:lang w:bidi="ar"/>
              </w:rPr>
              <w:t>机构设置、分工及各个环节均设置有相应的机构和健全的质量控制及管理制度等方面进行评分。机构设置合理，拟投入人员配备齐全、技术力量雄厚、各项管理制度健全、可行，能够完全满足实际项目需求的，得</w:t>
            </w:r>
            <w:r>
              <w:rPr>
                <w:rFonts w:hint="eastAsia" w:ascii="宋体" w:hAnsi="宋体" w:eastAsia="宋体" w:cs="宋体"/>
                <w:sz w:val="24"/>
                <w:szCs w:val="24"/>
                <w:highlight w:val="none"/>
                <w:lang w:val="en-US" w:eastAsia="zh-CN" w:bidi="ar"/>
              </w:rPr>
              <w:t>8</w:t>
            </w:r>
            <w:r>
              <w:rPr>
                <w:rFonts w:hint="eastAsia" w:ascii="宋体" w:hAnsi="宋体" w:eastAsia="宋体" w:cs="宋体"/>
                <w:sz w:val="24"/>
                <w:szCs w:val="24"/>
                <w:highlight w:val="none"/>
                <w:lang w:bidi="ar"/>
              </w:rPr>
              <w:t>分；机构设置较合理、人员配备较符合要求、管理制度较健全，较满足实际项目需求的，得</w:t>
            </w:r>
            <w:r>
              <w:rPr>
                <w:rFonts w:hint="eastAsia" w:ascii="宋体" w:hAnsi="宋体" w:eastAsia="宋体" w:cs="宋体"/>
                <w:sz w:val="24"/>
                <w:szCs w:val="24"/>
                <w:highlight w:val="none"/>
                <w:lang w:val="en-US" w:eastAsia="zh-CN" w:bidi="ar"/>
              </w:rPr>
              <w:t>5</w:t>
            </w:r>
            <w:r>
              <w:rPr>
                <w:rFonts w:hint="eastAsia" w:ascii="宋体" w:hAnsi="宋体" w:eastAsia="宋体" w:cs="宋体"/>
                <w:sz w:val="24"/>
                <w:szCs w:val="24"/>
                <w:highlight w:val="none"/>
                <w:lang w:bidi="ar"/>
              </w:rPr>
              <w:t>分；机构设置基本合理、人员配备基本符合要求、管理制度健全，基本满足实际项目需求的，得</w:t>
            </w:r>
            <w:r>
              <w:rPr>
                <w:rFonts w:hint="eastAsia" w:ascii="宋体" w:hAnsi="宋体" w:eastAsia="宋体" w:cs="宋体"/>
                <w:sz w:val="24"/>
                <w:szCs w:val="24"/>
                <w:highlight w:val="none"/>
                <w:lang w:val="en-US" w:eastAsia="zh-CN" w:bidi="ar"/>
              </w:rPr>
              <w:t>2</w:t>
            </w:r>
            <w:r>
              <w:rPr>
                <w:rFonts w:hint="eastAsia" w:ascii="宋体" w:hAnsi="宋体" w:eastAsia="宋体" w:cs="宋体"/>
                <w:sz w:val="24"/>
                <w:szCs w:val="24"/>
                <w:highlight w:val="none"/>
                <w:lang w:bidi="ar"/>
              </w:rPr>
              <w:t>分；</w:t>
            </w:r>
            <w:r>
              <w:rPr>
                <w:rFonts w:hint="eastAsia" w:ascii="宋体" w:hAnsi="宋体" w:eastAsia="宋体" w:cs="宋体"/>
                <w:sz w:val="24"/>
                <w:szCs w:val="24"/>
              </w:rPr>
              <w:t>未响应的不得分</w:t>
            </w:r>
            <w:r>
              <w:rPr>
                <w:rFonts w:hint="eastAsia" w:ascii="宋体" w:hAnsi="宋体" w:eastAsia="宋体" w:cs="Times New Roman"/>
                <w:color w:val="000000" w:themeColor="text1"/>
                <w:kern w:val="0"/>
                <w:sz w:val="24"/>
                <w:szCs w:val="24"/>
                <w14:textFill>
                  <w14:solidFill>
                    <w14:schemeClr w14:val="tx1"/>
                  </w14:solidFill>
                </w14:textFill>
              </w:rPr>
              <w:t>。</w:t>
            </w:r>
          </w:p>
        </w:tc>
      </w:tr>
      <w:tr w14:paraId="63E6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320" w:type="dxa"/>
            <w:vMerge w:val="continue"/>
            <w:tcBorders>
              <w:left w:val="single" w:color="auto" w:sz="4" w:space="0"/>
              <w:right w:val="single" w:color="auto" w:sz="4" w:space="0"/>
            </w:tcBorders>
            <w:noWrap w:val="0"/>
            <w:vAlign w:val="center"/>
          </w:tcPr>
          <w:p w14:paraId="24C55962">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7C7945F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lang w:val="en-US" w:eastAsia="zh-CN"/>
              </w:rPr>
            </w:pPr>
            <w:r>
              <w:rPr>
                <w:rFonts w:hint="eastAsia" w:ascii="宋体" w:hAnsi="宋体" w:eastAsia="宋体" w:cs="宋体"/>
                <w:sz w:val="24"/>
                <w:szCs w:val="24"/>
                <w:lang w:eastAsia="zh-CN"/>
              </w:rPr>
              <w:t>成果提交质量保证措施（</w:t>
            </w:r>
            <w:r>
              <w:rPr>
                <w:rFonts w:hint="eastAsia" w:ascii="宋体" w:hAnsi="宋体" w:eastAsia="宋体" w:cs="Times New Roman"/>
                <w:color w:val="000000" w:themeColor="text1"/>
                <w:kern w:val="0"/>
                <w:sz w:val="24"/>
                <w:szCs w:val="24"/>
                <w14:textFill>
                  <w14:solidFill>
                    <w14:schemeClr w14:val="tx1"/>
                  </w14:solidFill>
                </w14:textFill>
              </w:rPr>
              <w:t>0-</w:t>
            </w:r>
            <w:r>
              <w:rPr>
                <w:rFonts w:hint="eastAsia" w:ascii="宋体" w:hAnsi="宋体" w:eastAsia="宋体" w:cs="Times New Roman"/>
                <w:color w:val="000000" w:themeColor="text1"/>
                <w:kern w:val="0"/>
                <w:sz w:val="24"/>
                <w:szCs w:val="24"/>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14:textFill>
                  <w14:solidFill>
                    <w14:schemeClr w14:val="tx1"/>
                  </w14:solidFill>
                </w14:textFill>
              </w:rPr>
              <w:t>分</w:t>
            </w:r>
            <w:r>
              <w:rPr>
                <w:rFonts w:hint="eastAsia" w:ascii="宋体" w:hAnsi="宋体" w:eastAsia="宋体" w:cs="宋体"/>
                <w:sz w:val="24"/>
                <w:szCs w:val="24"/>
                <w:lang w:eastAsia="zh-CN"/>
              </w:rPr>
              <w:t>）</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0901F5D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lang w:val="en-US" w:eastAsia="zh-CN"/>
              </w:rPr>
            </w:pPr>
            <w:r>
              <w:rPr>
                <w:rFonts w:hint="eastAsia" w:ascii="宋体" w:hAnsi="宋体" w:eastAsia="宋体" w:cs="宋体"/>
                <w:sz w:val="24"/>
                <w:szCs w:val="24"/>
              </w:rPr>
              <w:t>根据</w:t>
            </w:r>
            <w:r>
              <w:rPr>
                <w:rFonts w:hint="eastAsia" w:ascii="宋体" w:hAnsi="宋体"/>
                <w:b w:val="0"/>
                <w:bCs w:val="0"/>
                <w:color w:val="auto"/>
                <w:kern w:val="0"/>
                <w:sz w:val="24"/>
                <w:szCs w:val="24"/>
                <w:lang w:val="en-US" w:eastAsia="zh-CN"/>
              </w:rPr>
              <w:t>投标人</w:t>
            </w:r>
            <w:r>
              <w:rPr>
                <w:rFonts w:hint="eastAsia" w:ascii="宋体" w:hAnsi="宋体" w:eastAsia="宋体" w:cs="宋体"/>
                <w:sz w:val="24"/>
                <w:szCs w:val="24"/>
              </w:rPr>
              <w:t>的成果提交质量保证措施（包含但不仅限于突发环境事件应急预案档案资料收集运用、保密措施、风险防范措施等）进行评审：质量保证措施合理、详尽，成果提交满足业主要求，措施详细可行且具体的得</w:t>
            </w:r>
            <w:r>
              <w:rPr>
                <w:rFonts w:hint="eastAsia" w:ascii="宋体" w:hAnsi="宋体" w:cs="宋体"/>
                <w:sz w:val="24"/>
                <w:szCs w:val="24"/>
                <w:lang w:val="en-US" w:eastAsia="zh-CN"/>
              </w:rPr>
              <w:t>8</w:t>
            </w:r>
            <w:r>
              <w:rPr>
                <w:rFonts w:hint="eastAsia" w:ascii="宋体" w:hAnsi="宋体" w:eastAsia="宋体" w:cs="宋体"/>
                <w:sz w:val="24"/>
                <w:szCs w:val="24"/>
              </w:rPr>
              <w:t xml:space="preserve">分；质量保证措施较合理、详尽，成果提交较满足业主要求，保证措施较详细可行且具体的得 </w:t>
            </w:r>
            <w:r>
              <w:rPr>
                <w:rFonts w:hint="eastAsia" w:ascii="宋体" w:hAnsi="宋体" w:cs="宋体"/>
                <w:sz w:val="24"/>
                <w:szCs w:val="24"/>
                <w:lang w:val="en-US" w:eastAsia="zh-CN"/>
              </w:rPr>
              <w:t>5</w:t>
            </w:r>
            <w:r>
              <w:rPr>
                <w:rFonts w:hint="eastAsia" w:ascii="宋体" w:hAnsi="宋体" w:eastAsia="宋体" w:cs="宋体"/>
                <w:sz w:val="24"/>
                <w:szCs w:val="24"/>
              </w:rPr>
              <w:t xml:space="preserve"> 分；质量保证措施一般合理、详尽，成果提交一般满足业主要求，保证措施一般详细可行且具体的得 </w:t>
            </w:r>
            <w:r>
              <w:rPr>
                <w:rFonts w:hint="eastAsia" w:ascii="宋体" w:hAnsi="宋体" w:cs="宋体"/>
                <w:sz w:val="24"/>
                <w:szCs w:val="24"/>
                <w:lang w:val="en-US" w:eastAsia="zh-CN"/>
              </w:rPr>
              <w:t>2</w:t>
            </w:r>
            <w:r>
              <w:rPr>
                <w:rFonts w:hint="eastAsia" w:ascii="宋体" w:hAnsi="宋体" w:eastAsia="宋体" w:cs="宋体"/>
                <w:sz w:val="24"/>
                <w:szCs w:val="24"/>
              </w:rPr>
              <w:t>分；未响应的不得分。</w:t>
            </w:r>
          </w:p>
        </w:tc>
      </w:tr>
      <w:tr w14:paraId="3F9D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1320" w:type="dxa"/>
            <w:vMerge w:val="continue"/>
            <w:tcBorders>
              <w:left w:val="single" w:color="auto" w:sz="4" w:space="0"/>
              <w:right w:val="single" w:color="auto" w:sz="4" w:space="0"/>
            </w:tcBorders>
            <w:noWrap w:val="0"/>
            <w:vAlign w:val="center"/>
          </w:tcPr>
          <w:p w14:paraId="0E7F445D">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30D30C1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制度管理方案（</w:t>
            </w:r>
            <w:r>
              <w:rPr>
                <w:rFonts w:hint="eastAsia" w:ascii="宋体" w:hAnsi="宋体" w:eastAsia="宋体" w:cs="Times New Roman"/>
                <w:color w:val="000000" w:themeColor="text1"/>
                <w:kern w:val="0"/>
                <w:sz w:val="24"/>
                <w:szCs w:val="24"/>
                <w14:textFill>
                  <w14:solidFill>
                    <w14:schemeClr w14:val="tx1"/>
                  </w14:solidFill>
                </w14:textFill>
              </w:rPr>
              <w:t>0-</w:t>
            </w:r>
            <w:r>
              <w:rPr>
                <w:rFonts w:hint="eastAsia" w:ascii="宋体" w:hAnsi="宋体" w:eastAsia="宋体" w:cs="Times New Roman"/>
                <w:color w:val="000000" w:themeColor="text1"/>
                <w:kern w:val="0"/>
                <w:sz w:val="24"/>
                <w:szCs w:val="24"/>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14:textFill>
                  <w14:solidFill>
                    <w14:schemeClr w14:val="tx1"/>
                  </w14:solidFill>
                </w14:textFill>
              </w:rPr>
              <w:t>分</w:t>
            </w:r>
            <w:r>
              <w:rPr>
                <w:rFonts w:hint="eastAsia" w:ascii="宋体" w:hAnsi="宋体" w:eastAsia="宋体" w:cs="宋体"/>
                <w:sz w:val="24"/>
                <w:szCs w:val="24"/>
                <w:lang w:eastAsia="zh-CN"/>
              </w:rPr>
              <w:t>）</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291BE2C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cs="宋体"/>
                <w:sz w:val="24"/>
                <w:szCs w:val="24"/>
                <w:lang w:eastAsia="zh-CN"/>
              </w:rPr>
              <w:t>投标人</w:t>
            </w:r>
            <w:r>
              <w:rPr>
                <w:rFonts w:hint="eastAsia" w:ascii="宋体" w:hAnsi="宋体" w:eastAsia="宋体" w:cs="宋体"/>
                <w:sz w:val="24"/>
                <w:szCs w:val="24"/>
              </w:rPr>
              <w:t xml:space="preserve">针对本项目的制度管理方案（包含管理制度、人员考核方案、日常档案管理制度、奖励与处罚制度等）进行评审：制度管理方案详细、具体、可行，具有可操作性，得 </w:t>
            </w:r>
            <w:r>
              <w:rPr>
                <w:rFonts w:hint="eastAsia" w:ascii="宋体" w:hAnsi="宋体" w:cs="宋体"/>
                <w:sz w:val="24"/>
                <w:szCs w:val="24"/>
                <w:lang w:val="en-US" w:eastAsia="zh-CN"/>
              </w:rPr>
              <w:t>8</w:t>
            </w:r>
            <w:r>
              <w:rPr>
                <w:rFonts w:hint="eastAsia" w:ascii="宋体" w:hAnsi="宋体" w:eastAsia="宋体" w:cs="宋体"/>
                <w:sz w:val="24"/>
                <w:szCs w:val="24"/>
              </w:rPr>
              <w:t xml:space="preserve">分；制度管理方案基本合理但不全面，具有一定可操作性，得 </w:t>
            </w:r>
            <w:r>
              <w:rPr>
                <w:rFonts w:hint="eastAsia" w:ascii="宋体" w:hAnsi="宋体" w:cs="宋体"/>
                <w:sz w:val="24"/>
                <w:szCs w:val="24"/>
                <w:lang w:val="en-US" w:eastAsia="zh-CN"/>
              </w:rPr>
              <w:t>5</w:t>
            </w:r>
            <w:r>
              <w:rPr>
                <w:rFonts w:hint="eastAsia" w:ascii="宋体" w:hAnsi="宋体" w:eastAsia="宋体" w:cs="宋体"/>
                <w:sz w:val="24"/>
                <w:szCs w:val="24"/>
              </w:rPr>
              <w:t xml:space="preserve"> 分；制度管理方案不够全面，操作性不强，得 </w:t>
            </w:r>
            <w:r>
              <w:rPr>
                <w:rFonts w:hint="eastAsia" w:ascii="宋体" w:hAnsi="宋体" w:cs="宋体"/>
                <w:sz w:val="24"/>
                <w:szCs w:val="24"/>
                <w:lang w:val="en-US" w:eastAsia="zh-CN"/>
              </w:rPr>
              <w:t>2</w:t>
            </w:r>
            <w:r>
              <w:rPr>
                <w:rFonts w:hint="eastAsia" w:ascii="宋体" w:hAnsi="宋体" w:eastAsia="宋体" w:cs="宋体"/>
                <w:sz w:val="24"/>
                <w:szCs w:val="24"/>
              </w:rPr>
              <w:t xml:space="preserve"> 分；未响应的不得分。</w:t>
            </w:r>
          </w:p>
        </w:tc>
      </w:tr>
      <w:tr w14:paraId="528D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1320" w:type="dxa"/>
            <w:vMerge w:val="continue"/>
            <w:tcBorders>
              <w:left w:val="single" w:color="auto" w:sz="4" w:space="0"/>
              <w:right w:val="single" w:color="auto" w:sz="4" w:space="0"/>
            </w:tcBorders>
            <w:noWrap w:val="0"/>
            <w:vAlign w:val="center"/>
          </w:tcPr>
          <w:p w14:paraId="5FC823BA">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1E7B730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合理化建议</w:t>
            </w:r>
          </w:p>
          <w:p w14:paraId="444FF97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lang w:val="en-US" w:eastAsia="zh-CN"/>
              </w:rPr>
            </w:pPr>
            <w:r>
              <w:rPr>
                <w:rFonts w:hint="eastAsia" w:ascii="宋体" w:hAnsi="宋体" w:eastAsia="宋体" w:cs="宋体"/>
                <w:sz w:val="24"/>
                <w:szCs w:val="24"/>
              </w:rPr>
              <w:t>（</w:t>
            </w:r>
            <w:r>
              <w:rPr>
                <w:rFonts w:hint="eastAsia" w:ascii="宋体" w:hAnsi="宋体" w:eastAsia="宋体" w:cs="Times New Roman"/>
                <w:color w:val="000000" w:themeColor="text1"/>
                <w:kern w:val="0"/>
                <w:sz w:val="24"/>
                <w:szCs w:val="24"/>
                <w14:textFill>
                  <w14:solidFill>
                    <w14:schemeClr w14:val="tx1"/>
                  </w14:solidFill>
                </w14:textFill>
              </w:rPr>
              <w:t>0-</w:t>
            </w:r>
            <w:r>
              <w:rPr>
                <w:rFonts w:hint="eastAsia" w:ascii="宋体" w:hAnsi="宋体" w:eastAsia="宋体" w:cs="Times New Roman"/>
                <w:color w:val="000000" w:themeColor="text1"/>
                <w:kern w:val="0"/>
                <w:sz w:val="24"/>
                <w:szCs w:val="24"/>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14:textFill>
                  <w14:solidFill>
                    <w14:schemeClr w14:val="tx1"/>
                  </w14:solidFill>
                </w14:textFill>
              </w:rPr>
              <w:t>分</w:t>
            </w:r>
            <w:r>
              <w:rPr>
                <w:rFonts w:hint="eastAsia" w:ascii="宋体" w:hAnsi="宋体" w:eastAsia="宋体" w:cs="宋体"/>
                <w:sz w:val="24"/>
                <w:szCs w:val="24"/>
              </w:rPr>
              <w:t>）</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30E2008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Times New Roman"/>
                <w:b w:val="0"/>
                <w:bCs w:val="0"/>
                <w:color w:val="auto"/>
                <w:kern w:val="0"/>
                <w:sz w:val="24"/>
                <w:szCs w:val="24"/>
                <w:lang w:val="en-US" w:eastAsia="zh-CN"/>
              </w:rPr>
            </w:pPr>
            <w:r>
              <w:rPr>
                <w:rFonts w:hint="eastAsia" w:ascii="宋体" w:hAnsi="宋体" w:eastAsia="宋体" w:cs="宋体"/>
                <w:sz w:val="24"/>
                <w:szCs w:val="24"/>
              </w:rPr>
              <w:t>供应商的</w:t>
            </w:r>
            <w:r>
              <w:rPr>
                <w:rFonts w:hint="eastAsia" w:ascii="宋体" w:hAnsi="宋体" w:cs="宋体"/>
                <w:sz w:val="24"/>
                <w:szCs w:val="24"/>
                <w:lang w:val="en-US" w:eastAsia="zh-CN"/>
              </w:rPr>
              <w:t>应</w:t>
            </w:r>
            <w:r>
              <w:rPr>
                <w:rFonts w:hint="eastAsia" w:ascii="宋体" w:hAnsi="宋体" w:eastAsia="宋体" w:cs="宋体"/>
                <w:sz w:val="24"/>
                <w:szCs w:val="24"/>
              </w:rPr>
              <w:t>对项目实施难点、关键过程分析及合理化建议</w:t>
            </w:r>
            <w:r>
              <w:rPr>
                <w:rFonts w:hint="eastAsia" w:ascii="宋体" w:hAnsi="宋体" w:cs="宋体"/>
                <w:sz w:val="24"/>
                <w:szCs w:val="24"/>
                <w:lang w:val="en-US" w:eastAsia="zh-CN"/>
              </w:rPr>
              <w:t>，</w:t>
            </w:r>
            <w:r>
              <w:rPr>
                <w:rFonts w:hint="eastAsia" w:ascii="宋体" w:hAnsi="宋体" w:eastAsia="宋体" w:cs="宋体"/>
                <w:sz w:val="24"/>
                <w:lang w:eastAsia="zh-CN"/>
              </w:rPr>
              <w:t>方案分析</w:t>
            </w:r>
            <w:r>
              <w:rPr>
                <w:rFonts w:hint="eastAsia" w:ascii="宋体" w:hAnsi="宋体" w:eastAsia="宋体" w:cs="宋体"/>
                <w:sz w:val="24"/>
                <w:highlight w:val="none"/>
                <w:lang w:eastAsia="zh-CN"/>
              </w:rPr>
              <w:t>清晰</w:t>
            </w:r>
            <w:r>
              <w:rPr>
                <w:rFonts w:hint="eastAsia" w:ascii="宋体" w:hAnsi="宋体" w:cs="宋体"/>
                <w:sz w:val="24"/>
                <w:highlight w:val="none"/>
                <w:lang w:eastAsia="zh-CN"/>
              </w:rPr>
              <w:t>合理、详尽，</w:t>
            </w:r>
            <w:r>
              <w:rPr>
                <w:rFonts w:hint="eastAsia" w:ascii="宋体" w:hAnsi="宋体"/>
                <w:iCs/>
                <w:color w:val="000000"/>
                <w:sz w:val="24"/>
                <w:szCs w:val="24"/>
                <w:highlight w:val="none"/>
                <w:lang w:eastAsia="zh-CN"/>
              </w:rPr>
              <w:t>合理化建议</w:t>
            </w:r>
            <w:r>
              <w:rPr>
                <w:rFonts w:hint="eastAsia" w:ascii="宋体" w:hAnsi="宋体" w:cs="宋体"/>
                <w:sz w:val="24"/>
                <w:highlight w:val="none"/>
              </w:rPr>
              <w:t>可行且具体的得</w:t>
            </w:r>
            <w:r>
              <w:rPr>
                <w:rFonts w:hint="eastAsia" w:ascii="宋体" w:hAnsi="宋体" w:cs="宋体"/>
                <w:sz w:val="24"/>
                <w:szCs w:val="24"/>
                <w:lang w:val="en-US" w:eastAsia="zh-CN"/>
              </w:rPr>
              <w:t>8</w:t>
            </w:r>
            <w:r>
              <w:rPr>
                <w:rFonts w:hint="eastAsia" w:ascii="宋体" w:hAnsi="宋体" w:eastAsia="宋体" w:cs="宋体"/>
                <w:sz w:val="24"/>
                <w:szCs w:val="24"/>
              </w:rPr>
              <w:t>分</w:t>
            </w:r>
            <w:r>
              <w:rPr>
                <w:rFonts w:hint="eastAsia" w:ascii="宋体" w:hAnsi="宋体" w:cs="宋体"/>
                <w:sz w:val="24"/>
                <w:szCs w:val="24"/>
                <w:lang w:eastAsia="zh-CN"/>
              </w:rPr>
              <w:t>；较好得</w:t>
            </w:r>
            <w:r>
              <w:rPr>
                <w:rFonts w:hint="eastAsia" w:ascii="宋体" w:hAnsi="宋体" w:cs="宋体"/>
                <w:sz w:val="24"/>
                <w:szCs w:val="24"/>
                <w:lang w:val="en-US" w:eastAsia="zh-CN"/>
              </w:rPr>
              <w:t>5分，一般得2分；未响应不得分</w:t>
            </w:r>
            <w:r>
              <w:rPr>
                <w:rFonts w:hint="eastAsia" w:ascii="宋体" w:hAnsi="宋体" w:eastAsia="宋体" w:cs="宋体"/>
                <w:sz w:val="24"/>
                <w:szCs w:val="24"/>
              </w:rPr>
              <w:t>。</w:t>
            </w:r>
          </w:p>
        </w:tc>
      </w:tr>
      <w:tr w14:paraId="6642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1320" w:type="dxa"/>
            <w:vMerge w:val="restart"/>
            <w:tcBorders>
              <w:top w:val="single" w:color="auto" w:sz="4" w:space="0"/>
              <w:left w:val="single" w:color="auto" w:sz="4" w:space="0"/>
              <w:right w:val="single" w:color="auto" w:sz="4" w:space="0"/>
            </w:tcBorders>
            <w:noWrap w:val="0"/>
            <w:vAlign w:val="center"/>
          </w:tcPr>
          <w:p w14:paraId="46176B07">
            <w:pPr>
              <w:pStyle w:val="9"/>
              <w:keepLines w:val="0"/>
              <w:widowControl/>
              <w:suppressLineNumbers w:val="0"/>
              <w:spacing w:beforeAutospacing="0" w:afterAutospacing="0"/>
              <w:ind w:left="0" w:right="0"/>
              <w:rPr>
                <w:rFonts w:hint="default" w:ascii="宋体" w:hAnsi="宋体" w:eastAsia="宋体" w:cs="Times New Roman"/>
                <w:b w:val="0"/>
                <w:bCs w:val="0"/>
                <w:color w:val="auto"/>
                <w:kern w:val="0"/>
                <w:sz w:val="24"/>
                <w:szCs w:val="24"/>
                <w:lang w:val="en-US" w:eastAsia="zh-CN" w:bidi="ar-SA"/>
              </w:rPr>
            </w:pPr>
            <w:r>
              <w:rPr>
                <w:rFonts w:hint="eastAsia" w:ascii="宋体" w:hAnsi="宋体" w:eastAsia="宋体" w:cs="Times New Roman"/>
                <w:b w:val="0"/>
                <w:bCs w:val="0"/>
                <w:color w:val="auto"/>
                <w:kern w:val="0"/>
                <w:sz w:val="24"/>
                <w:szCs w:val="24"/>
                <w:lang w:val="en-US" w:eastAsia="zh-CN" w:bidi="ar-SA"/>
              </w:rPr>
              <w:t>综合部分（20分）</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0BE2FC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Times New Roman"/>
                <w:b w:val="0"/>
                <w:bCs w:val="0"/>
                <w:color w:val="auto"/>
                <w:kern w:val="0"/>
                <w:sz w:val="24"/>
                <w:szCs w:val="24"/>
                <w:lang w:val="en-US" w:eastAsia="zh-CN" w:bidi="ar-SA"/>
              </w:rPr>
            </w:pPr>
            <w:r>
              <w:rPr>
                <w:rFonts w:hint="eastAsia" w:ascii="宋体" w:hAnsi="宋体" w:cs="宋体"/>
                <w:sz w:val="24"/>
                <w:szCs w:val="24"/>
                <w:lang w:val="en-US" w:eastAsia="zh-CN"/>
              </w:rPr>
              <w:t>企业业绩</w:t>
            </w:r>
            <w:r>
              <w:rPr>
                <w:rFonts w:hint="eastAsia" w:ascii="宋体" w:hAnsi="宋体" w:eastAsia="宋体" w:cs="宋体"/>
                <w:sz w:val="24"/>
                <w:szCs w:val="24"/>
              </w:rPr>
              <w:t>（</w:t>
            </w:r>
            <w:r>
              <w:rPr>
                <w:rFonts w:hint="eastAsia" w:ascii="宋体" w:hAnsi="宋体" w:cs="宋体"/>
                <w:sz w:val="24"/>
                <w:szCs w:val="24"/>
                <w:lang w:val="en-US" w:eastAsia="zh-CN"/>
              </w:rPr>
              <w:t>0-6</w:t>
            </w:r>
            <w:r>
              <w:rPr>
                <w:rFonts w:hint="eastAsia" w:ascii="宋体" w:hAnsi="宋体" w:eastAsia="宋体" w:cs="宋体"/>
                <w:sz w:val="24"/>
                <w:szCs w:val="24"/>
              </w:rPr>
              <w:t>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0331B599">
            <w:pPr>
              <w:spacing w:line="500" w:lineRule="exact"/>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自2021年1月1日以来，供应商每提供一份类似业绩的得1分,最多得6分；</w:t>
            </w:r>
          </w:p>
          <w:p w14:paraId="3A4D33F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提供合同协议书原件扫描件，以合同协议书实际签订时间为准</w:t>
            </w:r>
          </w:p>
        </w:tc>
      </w:tr>
      <w:tr w14:paraId="3771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1320" w:type="dxa"/>
            <w:vMerge w:val="continue"/>
            <w:tcBorders>
              <w:left w:val="single" w:color="auto" w:sz="4" w:space="0"/>
              <w:right w:val="single" w:color="auto" w:sz="4" w:space="0"/>
            </w:tcBorders>
            <w:noWrap w:val="0"/>
            <w:vAlign w:val="center"/>
          </w:tcPr>
          <w:p w14:paraId="1A3C4535">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lang w:val="en-US" w:eastAsia="zh-CN" w:bidi="ar-SA"/>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0A4C68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人员配备</w:t>
            </w:r>
          </w:p>
          <w:p w14:paraId="411134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Calibri"/>
                <w:kern w:val="0"/>
                <w:sz w:val="24"/>
                <w:highlight w:val="none"/>
                <w:lang w:eastAsia="zh-CN"/>
              </w:rPr>
            </w:pPr>
            <w:r>
              <w:rPr>
                <w:rFonts w:hint="eastAsia" w:ascii="宋体" w:hAnsi="宋体" w:cs="宋体"/>
                <w:sz w:val="24"/>
                <w:szCs w:val="24"/>
                <w:lang w:val="en-US" w:eastAsia="zh-CN"/>
              </w:rPr>
              <w:t>（0-6分）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130EA6D5">
            <w:pPr>
              <w:spacing w:line="360" w:lineRule="auto"/>
              <w:jc w:val="left"/>
              <w:rPr>
                <w:rFonts w:hint="eastAsia" w:ascii="宋体" w:hAnsi="宋体" w:eastAsia="宋体" w:cs="Times New Roman"/>
                <w:b w:val="0"/>
                <w:bCs w:val="0"/>
                <w:color w:val="auto"/>
                <w:kern w:val="0"/>
                <w:sz w:val="24"/>
                <w:szCs w:val="24"/>
                <w:lang w:val="en-US" w:eastAsia="zh-CN" w:bidi="ar-SA"/>
              </w:rPr>
            </w:pPr>
            <w:r>
              <w:rPr>
                <w:rFonts w:hint="eastAsia" w:ascii="宋体" w:hAnsi="宋体" w:cs="Times New Roman"/>
                <w:b w:val="0"/>
                <w:bCs w:val="0"/>
                <w:color w:val="auto"/>
                <w:kern w:val="0"/>
                <w:sz w:val="24"/>
                <w:szCs w:val="24"/>
                <w:lang w:val="en-US" w:eastAsia="zh-CN" w:bidi="ar-SA"/>
              </w:rPr>
              <w:t>投入人员需</w:t>
            </w:r>
            <w:r>
              <w:rPr>
                <w:rFonts w:hint="eastAsia" w:ascii="宋体" w:hAnsi="宋体" w:eastAsia="宋体" w:cs="Times New Roman"/>
                <w:b w:val="0"/>
                <w:bCs w:val="0"/>
                <w:color w:val="auto"/>
                <w:kern w:val="0"/>
                <w:sz w:val="24"/>
                <w:szCs w:val="24"/>
                <w:lang w:val="en-US" w:eastAsia="zh-CN" w:bidi="ar-SA"/>
              </w:rPr>
              <w:t>有相关专业学历和经验，中级及以上技术职称的每人得2分，最多得6分。</w:t>
            </w:r>
          </w:p>
          <w:p w14:paraId="1C3BF700">
            <w:pPr>
              <w:spacing w:line="360" w:lineRule="auto"/>
              <w:jc w:val="left"/>
              <w:rPr>
                <w:rFonts w:hint="eastAsia" w:ascii="宋体" w:hAnsi="宋体" w:eastAsia="宋体" w:cs="Times New Roman"/>
                <w:b w:val="0"/>
                <w:bCs w:val="0"/>
                <w:color w:val="auto"/>
                <w:kern w:val="0"/>
                <w:sz w:val="24"/>
                <w:szCs w:val="24"/>
                <w:lang w:val="en-US" w:eastAsia="zh-CN" w:bidi="ar-SA"/>
              </w:rPr>
            </w:pPr>
            <w:r>
              <w:rPr>
                <w:rFonts w:hint="eastAsia" w:ascii="宋体" w:hAnsi="宋体" w:eastAsia="宋体" w:cs="Times New Roman"/>
                <w:b w:val="0"/>
                <w:bCs w:val="0"/>
                <w:color w:val="auto"/>
                <w:kern w:val="0"/>
                <w:sz w:val="24"/>
                <w:szCs w:val="24"/>
                <w:lang w:val="en-US" w:eastAsia="zh-CN" w:bidi="ar-SA"/>
              </w:rPr>
              <w:t>注：人员提供相关证书、劳动合同扫描件</w:t>
            </w:r>
            <w:r>
              <w:rPr>
                <w:rFonts w:hint="eastAsia" w:ascii="宋体" w:hAnsi="宋体" w:cs="Times New Roman"/>
                <w:b w:val="0"/>
                <w:bCs w:val="0"/>
                <w:color w:val="auto"/>
                <w:kern w:val="0"/>
                <w:sz w:val="24"/>
                <w:szCs w:val="24"/>
                <w:lang w:val="en-US" w:eastAsia="zh-CN" w:bidi="ar-SA"/>
              </w:rPr>
              <w:t>或聘书；</w:t>
            </w:r>
          </w:p>
        </w:tc>
      </w:tr>
      <w:tr w14:paraId="5BEB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Merge w:val="continue"/>
            <w:tcBorders>
              <w:left w:val="single" w:color="auto" w:sz="4" w:space="0"/>
              <w:right w:val="single" w:color="auto" w:sz="4" w:space="0"/>
            </w:tcBorders>
            <w:noWrap w:val="0"/>
            <w:vAlign w:val="center"/>
          </w:tcPr>
          <w:p w14:paraId="0AA1DFBA">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lang w:val="en-US" w:eastAsia="zh-CN" w:bidi="ar-SA"/>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5964DC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Calibri"/>
                <w:kern w:val="0"/>
                <w:sz w:val="24"/>
                <w:highlight w:val="none"/>
                <w:lang w:eastAsia="zh-CN"/>
              </w:rPr>
            </w:pPr>
            <w:r>
              <w:rPr>
                <w:rFonts w:hint="eastAsia" w:ascii="宋体" w:hAnsi="宋体" w:eastAsia="宋体" w:cs="宋体"/>
                <w:sz w:val="24"/>
                <w:szCs w:val="24"/>
                <w:highlight w:val="none"/>
                <w:lang w:val="en-US" w:eastAsia="zh-CN"/>
              </w:rPr>
              <w:t>服务承诺</w:t>
            </w:r>
            <w:r>
              <w:rPr>
                <w:rFonts w:hint="eastAsia" w:ascii="宋体" w:hAnsi="宋体" w:eastAsia="宋体" w:cs="宋体"/>
                <w:sz w:val="24"/>
                <w:szCs w:val="24"/>
              </w:rPr>
              <w:t>（</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5A4BFA8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lang w:val="en-US" w:eastAsia="zh-CN"/>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整体服务承诺内容完善，积极配合采购人工作、为采购人排忧解难，服从安排，按时保质保量完成的服务工作</w:t>
            </w:r>
            <w:r>
              <w:rPr>
                <w:rFonts w:hint="eastAsia" w:ascii="宋体" w:hAnsi="宋体" w:eastAsia="宋体" w:cs="宋体"/>
                <w:sz w:val="24"/>
                <w:szCs w:val="24"/>
                <w:highlight w:val="none"/>
                <w:lang w:eastAsia="zh-CN"/>
              </w:rPr>
              <w:t>，承诺帮助委托人做好各项协调工作，减轻委托人工作负担，保证工作顺利进行的承诺措施</w:t>
            </w:r>
            <w:r>
              <w:rPr>
                <w:rFonts w:hint="eastAsia" w:ascii="宋体" w:hAnsi="宋体" w:eastAsia="宋体" w:cs="宋体"/>
                <w:sz w:val="24"/>
                <w:szCs w:val="24"/>
                <w:highlight w:val="none"/>
              </w:rPr>
              <w:t>等内容进行打分。整体服务承诺内容详细、清晰明了的，得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分；整体服务承诺内容较为详细、较为清晰明了的，得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分；整体服务承诺内容基本详细、基本清晰明了的，得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rPr>
              <w:t>未响应的不得分。</w:t>
            </w:r>
          </w:p>
        </w:tc>
      </w:tr>
      <w:tr w14:paraId="3EAB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320" w:type="dxa"/>
            <w:vMerge w:val="continue"/>
            <w:tcBorders>
              <w:left w:val="single" w:color="auto" w:sz="4" w:space="0"/>
              <w:right w:val="single" w:color="auto" w:sz="4" w:space="0"/>
            </w:tcBorders>
            <w:noWrap w:val="0"/>
            <w:vAlign w:val="center"/>
          </w:tcPr>
          <w:p w14:paraId="57CDDF2D">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lang w:val="en-US" w:eastAsia="zh-CN" w:bidi="ar-SA"/>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001DA0F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投标文件规范程度</w:t>
            </w:r>
          </w:p>
          <w:p w14:paraId="3D23406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宋体" w:eastAsia="宋体" w:cs="Times New Roman"/>
                <w:sz w:val="24"/>
                <w:szCs w:val="22"/>
                <w:highlight w:val="none"/>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0-2</w:t>
            </w:r>
            <w:r>
              <w:rPr>
                <w:rFonts w:hint="eastAsia" w:ascii="宋体" w:hAnsi="宋体" w:eastAsia="宋体" w:cs="宋体"/>
                <w:sz w:val="24"/>
                <w:szCs w:val="24"/>
              </w:rPr>
              <w:t>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68EA0D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宋体" w:eastAsia="宋体" w:cs="Times New Roman"/>
                <w:sz w:val="24"/>
                <w:szCs w:val="22"/>
                <w:highlight w:val="none"/>
                <w:lang w:val="en-US" w:eastAsia="zh-CN"/>
              </w:rPr>
            </w:pPr>
            <w:r>
              <w:rPr>
                <w:rFonts w:hint="eastAsia" w:ascii="宋体" w:hAnsi="宋体" w:eastAsia="宋体" w:cs="宋体"/>
                <w:sz w:val="24"/>
                <w:szCs w:val="24"/>
              </w:rPr>
              <w:t>所提供资料准确完整、排版清晰、一目了然、无差错得</w:t>
            </w:r>
            <w:r>
              <w:rPr>
                <w:rFonts w:hint="eastAsia" w:ascii="宋体" w:hAnsi="宋体" w:eastAsia="宋体" w:cs="宋体"/>
                <w:sz w:val="24"/>
                <w:szCs w:val="24"/>
                <w:lang w:val="en-US" w:eastAsia="zh-CN"/>
              </w:rPr>
              <w:t>2</w:t>
            </w:r>
            <w:r>
              <w:rPr>
                <w:rFonts w:hint="eastAsia" w:ascii="宋体" w:hAnsi="宋体" w:eastAsia="宋体" w:cs="宋体"/>
                <w:sz w:val="24"/>
                <w:szCs w:val="24"/>
              </w:rPr>
              <w:t>分，不完整不得分。</w:t>
            </w:r>
          </w:p>
        </w:tc>
      </w:tr>
      <w:tr w14:paraId="1ECF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762" w:type="dxa"/>
            <w:gridSpan w:val="3"/>
            <w:tcBorders>
              <w:left w:val="single" w:color="auto" w:sz="4" w:space="0"/>
              <w:right w:val="single" w:color="auto" w:sz="4" w:space="0"/>
            </w:tcBorders>
            <w:noWrap w:val="0"/>
            <w:vAlign w:val="center"/>
          </w:tcPr>
          <w:p w14:paraId="3DFBFF9D">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lang w:val="en-US" w:eastAsia="zh-CN" w:bidi="ar-SA"/>
              </w:rPr>
            </w:pPr>
            <w:r>
              <w:rPr>
                <w:rFonts w:hint="eastAsia" w:ascii="宋体" w:hAnsi="宋体" w:eastAsia="宋体" w:cs="Times New Roman"/>
                <w:b w:val="0"/>
                <w:bCs w:val="0"/>
                <w:color w:val="auto"/>
                <w:kern w:val="0"/>
                <w:sz w:val="24"/>
                <w:szCs w:val="24"/>
                <w:lang w:val="en-US" w:eastAsia="zh-CN" w:bidi="ar-SA"/>
              </w:rPr>
              <w:t>综合得分=报价得分＋技术标得分＋综合标得分。</w:t>
            </w:r>
          </w:p>
          <w:p w14:paraId="1D764EB4">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lang w:val="en-US" w:eastAsia="zh-CN" w:bidi="ar-SA"/>
              </w:rPr>
            </w:pPr>
            <w:r>
              <w:rPr>
                <w:rFonts w:hint="eastAsia" w:ascii="宋体" w:hAnsi="宋体" w:eastAsia="宋体" w:cs="Times New Roman"/>
                <w:b w:val="0"/>
                <w:bCs w:val="0"/>
                <w:color w:val="auto"/>
                <w:kern w:val="0"/>
                <w:sz w:val="24"/>
                <w:szCs w:val="24"/>
                <w:lang w:val="en-US" w:eastAsia="zh-CN" w:bidi="ar-SA"/>
              </w:rPr>
              <w:t>磋商小组完成对技术标、报价标和综合标的汇总后取平均值作为该响应人的最终得分。</w:t>
            </w:r>
          </w:p>
          <w:p w14:paraId="56FDFF0F">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lang w:val="en-US" w:eastAsia="zh-CN" w:bidi="ar-SA"/>
              </w:rPr>
            </w:pPr>
            <w:r>
              <w:rPr>
                <w:rFonts w:hint="eastAsia" w:ascii="宋体" w:hAnsi="宋体" w:eastAsia="宋体" w:cs="Times New Roman"/>
                <w:b w:val="0"/>
                <w:bCs w:val="0"/>
                <w:color w:val="auto"/>
                <w:kern w:val="0"/>
                <w:sz w:val="24"/>
                <w:szCs w:val="24"/>
                <w:lang w:val="en-US" w:eastAsia="zh-CN" w:bidi="ar-SA"/>
              </w:rPr>
              <w:t>本办法计算过程中分值按四舍五入保留三位小数，结果按四舍五入保留两位小数。 供应商的报价应包含所承诺的应达到的质量标准及其他承诺应达到的标准所包含的所有费用。</w:t>
            </w:r>
          </w:p>
          <w:p w14:paraId="2E0FA3B3">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lang w:val="en-US" w:eastAsia="zh-CN" w:bidi="ar-SA"/>
              </w:rPr>
            </w:pPr>
            <w:r>
              <w:rPr>
                <w:rFonts w:hint="eastAsia" w:ascii="宋体" w:hAnsi="宋体" w:eastAsia="宋体" w:cs="Times New Roman"/>
                <w:b w:val="0"/>
                <w:bCs w:val="0"/>
                <w:color w:val="auto"/>
                <w:kern w:val="0"/>
                <w:sz w:val="24"/>
                <w:szCs w:val="24"/>
                <w:lang w:val="en-US" w:eastAsia="zh-CN" w:bidi="ar-SA"/>
              </w:rPr>
              <w:t>注：1、评标过程中涉及到资格审查、人员业绩、企业业绩等计分部分时，以供应商自行上传到磋商文件中的相应内容为准。</w:t>
            </w:r>
          </w:p>
          <w:p w14:paraId="1C394267">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lang w:val="en-US" w:eastAsia="zh-CN" w:bidi="ar-SA"/>
              </w:rPr>
            </w:pPr>
            <w:r>
              <w:rPr>
                <w:rFonts w:hint="eastAsia" w:ascii="宋体" w:hAnsi="宋体" w:eastAsia="宋体" w:cs="Times New Roman"/>
                <w:b w:val="0"/>
                <w:bCs w:val="0"/>
                <w:color w:val="auto"/>
                <w:kern w:val="0"/>
                <w:sz w:val="24"/>
                <w:szCs w:val="24"/>
                <w:lang w:val="en-US" w:eastAsia="zh-CN" w:bidi="ar-SA"/>
              </w:rPr>
              <w:t>2、评标开始后，不再接受任何补充材料。</w:t>
            </w:r>
          </w:p>
        </w:tc>
      </w:tr>
    </w:tbl>
    <w:p w14:paraId="1848DE15">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1.评标方法</w:t>
      </w:r>
    </w:p>
    <w:p w14:paraId="011D0FFB">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本次评标先进行资格审查。通过资格审查的单位进行下一步的综合得分评审。资格评审、响应性评审</w:t>
      </w:r>
      <w:r>
        <w:rPr>
          <w:rFonts w:hint="eastAsia" w:ascii="宋体" w:hAnsi="宋体" w:eastAsia="宋体" w:cs="宋体"/>
          <w:color w:val="auto"/>
          <w:sz w:val="24"/>
          <w:szCs w:val="24"/>
          <w:highlight w:val="none"/>
          <w:lang w:eastAsia="zh-CN"/>
        </w:rPr>
        <w:t>、符合性</w:t>
      </w:r>
      <w:r>
        <w:rPr>
          <w:rFonts w:hint="eastAsia" w:ascii="宋体" w:hAnsi="宋体" w:eastAsia="宋体" w:cs="宋体"/>
          <w:color w:val="auto"/>
          <w:sz w:val="24"/>
          <w:szCs w:val="24"/>
          <w:highlight w:val="none"/>
        </w:rPr>
        <w:t>评审未合格的按无效标处理。</w:t>
      </w:r>
    </w:p>
    <w:p w14:paraId="33D25350">
      <w:pPr>
        <w:snapToGrid w:val="0"/>
        <w:spacing w:line="440" w:lineRule="exact"/>
        <w:ind w:right="30" w:rightChars="15"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hint="eastAsia" w:ascii="宋体" w:hAnsi="宋体" w:eastAsia="宋体" w:cs="宋体"/>
          <w:b w:val="0"/>
          <w:bCs/>
          <w:color w:val="auto"/>
          <w:sz w:val="24"/>
          <w:szCs w:val="24"/>
          <w:highlight w:val="none"/>
        </w:rPr>
        <w:t xml:space="preserve">最终评分相等时，以最终报价低的优先；最终报价也相等的，由采购人自行确定。 </w:t>
      </w:r>
    </w:p>
    <w:p w14:paraId="20CE224B">
      <w:pPr>
        <w:snapToGrid w:val="0"/>
        <w:spacing w:line="440" w:lineRule="exact"/>
        <w:ind w:right="30" w:rightChars="15" w:firstLine="482" w:firstLineChars="200"/>
        <w:rPr>
          <w:rFonts w:hint="eastAsia" w:ascii="宋体" w:hAnsi="宋体" w:eastAsia="宋体" w:cs="宋体"/>
          <w:b/>
          <w:color w:val="auto"/>
          <w:sz w:val="24"/>
          <w:szCs w:val="24"/>
          <w:highlight w:val="none"/>
        </w:rPr>
      </w:pPr>
      <w:bookmarkStart w:id="33" w:name="_Toc449367501"/>
      <w:r>
        <w:rPr>
          <w:rFonts w:hint="eastAsia" w:ascii="宋体" w:hAnsi="宋体" w:eastAsia="宋体" w:cs="宋体"/>
          <w:b/>
          <w:color w:val="auto"/>
          <w:sz w:val="24"/>
          <w:szCs w:val="24"/>
          <w:highlight w:val="none"/>
        </w:rPr>
        <w:t>2. 评审标准</w:t>
      </w:r>
      <w:bookmarkEnd w:id="33"/>
    </w:p>
    <w:p w14:paraId="0A205895">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2.1 初步评审标准 </w:t>
      </w:r>
    </w:p>
    <w:p w14:paraId="47014801">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资格评审标准：见评标办法前附表。</w:t>
      </w:r>
    </w:p>
    <w:p w14:paraId="5EA80BB2">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响应性评审标准：见评标办法前附表。</w:t>
      </w:r>
    </w:p>
    <w:p w14:paraId="0628876B">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eastAsia="宋体" w:cs="宋体"/>
          <w:color w:val="auto"/>
          <w:sz w:val="24"/>
          <w:szCs w:val="24"/>
          <w:highlight w:val="none"/>
          <w:lang w:eastAsia="zh-CN"/>
        </w:rPr>
        <w:t>符合性</w:t>
      </w:r>
      <w:r>
        <w:rPr>
          <w:rFonts w:hint="eastAsia" w:ascii="宋体" w:hAnsi="宋体" w:eastAsia="宋体" w:cs="宋体"/>
          <w:color w:val="auto"/>
          <w:sz w:val="24"/>
          <w:szCs w:val="24"/>
          <w:highlight w:val="none"/>
        </w:rPr>
        <w:t xml:space="preserve">评审标准：见评标办法前附表。 </w:t>
      </w:r>
    </w:p>
    <w:p w14:paraId="41AE9235">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2.2 分值构成与评分标准 </w:t>
      </w:r>
    </w:p>
    <w:p w14:paraId="4A60F309">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2.2.1 分值构成</w:t>
      </w:r>
    </w:p>
    <w:p w14:paraId="47221BAC">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（1）报价部分：见评标办法前附表；</w:t>
      </w:r>
    </w:p>
    <w:p w14:paraId="618EF8A0">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部分：见评标办法前附表；</w:t>
      </w:r>
    </w:p>
    <w:p w14:paraId="4428C3A6">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（3）综合部分：见评标办法前附表；</w:t>
      </w:r>
    </w:p>
    <w:p w14:paraId="2B021D22">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2.2.4评分标准</w:t>
      </w:r>
    </w:p>
    <w:p w14:paraId="19D8B976">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（1）报价部分：见评标办法前附表；</w:t>
      </w:r>
    </w:p>
    <w:p w14:paraId="742D1100">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部分：见评标办法前附表；</w:t>
      </w:r>
    </w:p>
    <w:p w14:paraId="7280147E">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（3）综合部分：见评标办法前附表；</w:t>
      </w:r>
    </w:p>
    <w:p w14:paraId="1C74BBCA">
      <w:pPr>
        <w:snapToGrid w:val="0"/>
        <w:spacing w:line="440" w:lineRule="exact"/>
        <w:ind w:right="30" w:rightChars="15" w:firstLine="482" w:firstLineChars="200"/>
        <w:rPr>
          <w:rFonts w:hint="eastAsia" w:ascii="宋体" w:hAnsi="宋体" w:eastAsia="宋体" w:cs="宋体"/>
          <w:b/>
          <w:color w:val="auto"/>
          <w:sz w:val="24"/>
          <w:szCs w:val="24"/>
          <w:highlight w:val="none"/>
        </w:rPr>
      </w:pPr>
      <w:bookmarkStart w:id="34" w:name="_Toc449367502"/>
      <w:r>
        <w:rPr>
          <w:rFonts w:hint="eastAsia" w:ascii="宋体" w:hAnsi="宋体" w:eastAsia="宋体" w:cs="宋体"/>
          <w:b/>
          <w:color w:val="auto"/>
          <w:sz w:val="24"/>
          <w:szCs w:val="24"/>
          <w:highlight w:val="none"/>
        </w:rPr>
        <w:t>3.评标程序</w:t>
      </w:r>
      <w:bookmarkEnd w:id="34"/>
    </w:p>
    <w:p w14:paraId="6BEA65A8">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3.1 初步评审 </w:t>
      </w:r>
    </w:p>
    <w:p w14:paraId="5B490FE5">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3.1.1竞争性磋商小组依据本章第 2.1项规定的评审标准对响应文件进行初步评审。有一项不符合评审标准的，作废标处理。</w:t>
      </w:r>
    </w:p>
    <w:p w14:paraId="301ED27E">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响应人有以下情形之一的，其投标作废标处理：</w:t>
      </w:r>
    </w:p>
    <w:p w14:paraId="6C384B9E">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657CF645">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（2）不按竞争性磋商小组要求澄清、说明或补正的。</w:t>
      </w:r>
    </w:p>
    <w:p w14:paraId="49DC85A5">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投标报价有算术错误的，竞争性磋商小组按以下原则对报价进行修正，修正的价格经响应人书面确认后具有约束力。响应人不接受修正价格的，其投标作废标处理。响应文件中填报的投标报价、服务周期、质量目标前后不一致时，以磋商响应书中填报的相应内容为准。</w:t>
      </w:r>
    </w:p>
    <w:p w14:paraId="68DB8240">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(1）响应文件中的大写金额与小写金额不一致的，以大写金额为准；</w:t>
      </w:r>
    </w:p>
    <w:p w14:paraId="079FF597">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11CD5971">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3.2 详细评审 </w:t>
      </w:r>
    </w:p>
    <w:p w14:paraId="2938E6FC">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竞争性磋商小组按本章第 2.2款规定的量化因素和分值进行打分，并计算出综合评估得分。</w:t>
      </w:r>
      <w:r>
        <w:rPr>
          <w:rFonts w:hint="eastAsia" w:ascii="宋体" w:hAnsi="宋体" w:eastAsia="宋体" w:cs="宋体"/>
          <w:b/>
          <w:color w:val="auto"/>
          <w:sz w:val="24"/>
          <w:szCs w:val="24"/>
          <w:highlight w:val="none"/>
        </w:rPr>
        <w:t>每个响应人最终得分为各评委打分的算术平均值。</w:t>
      </w:r>
    </w:p>
    <w:p w14:paraId="101A5D9B">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(1）按本章第2.2.4(1）目规定的评审因素和分值对报价部分计算出得分A；</w:t>
      </w:r>
    </w:p>
    <w:p w14:paraId="29E1D5BC">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部分计算出得分B；</w:t>
      </w:r>
    </w:p>
    <w:p w14:paraId="1340B19D">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(3）按本章第2.2.4(3）目规定的评审因素和分值对</w:t>
      </w:r>
      <w:r>
        <w:rPr>
          <w:rFonts w:hint="eastAsia" w:ascii="宋体" w:hAnsi="宋体" w:eastAsia="宋体" w:cs="宋体"/>
          <w:color w:val="auto"/>
          <w:sz w:val="24"/>
          <w:szCs w:val="24"/>
          <w:highlight w:val="none"/>
          <w:lang w:eastAsia="zh-CN"/>
        </w:rPr>
        <w:t>综合</w:t>
      </w:r>
      <w:r>
        <w:rPr>
          <w:rFonts w:hint="eastAsia" w:ascii="宋体" w:hAnsi="宋体" w:eastAsia="宋体" w:cs="宋体"/>
          <w:color w:val="auto"/>
          <w:sz w:val="24"/>
          <w:szCs w:val="24"/>
          <w:highlight w:val="none"/>
        </w:rPr>
        <w:t>部分计算出得分C；</w:t>
      </w:r>
    </w:p>
    <w:p w14:paraId="1705B2D9">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评分分值计算保留小数点后两位，小数点后第三位“四舍五入”。</w:t>
      </w:r>
    </w:p>
    <w:p w14:paraId="6AE58ED5">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响应人得分=A 十B 十C 。</w:t>
      </w:r>
    </w:p>
    <w:p w14:paraId="56323007">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621FEB4B">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3.3 响应文件的澄清和补正 </w:t>
      </w:r>
    </w:p>
    <w:p w14:paraId="701C252E">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193B0BF4">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3.3.2澄清、说明和补正不得改变响应文件的实质性内容（算术性错误修正的除外）。响应人的书面澄清、说明和补正属于响应文件的组成部分。 </w:t>
      </w:r>
    </w:p>
    <w:p w14:paraId="537AA90D">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竞争性磋商小组对响应人提交的澄清、说明或补正有疑问的，可以要求响应人进一步澄清、说明或补正，直至满足竞争性磋商小组的要求。</w:t>
      </w:r>
    </w:p>
    <w:p w14:paraId="693D13C4">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3.4定标办法</w:t>
      </w:r>
    </w:p>
    <w:p w14:paraId="0E5504A8">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竞争性磋商小组按照上述办法打分，最后按照各响应人最终得分从高到低排序。</w:t>
      </w:r>
    </w:p>
    <w:p w14:paraId="46087EBB">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3.4.2竞争性磋商小组完成评标后，应当向采购人提交书面评标报告。向采购人推荐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名成交候选人，得分最高的响应人为第一成交候选人，得分第二的响应人为第二成交候选人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得分第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的响应人为第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成交候选人。</w:t>
      </w:r>
    </w:p>
    <w:p w14:paraId="27E29D85">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w:t>
      </w:r>
      <w:r>
        <w:rPr>
          <w:rFonts w:hint="eastAsia" w:ascii="宋体" w:hAnsi="宋体" w:eastAsia="宋体" w:cs="宋体"/>
          <w:color w:val="auto"/>
          <w:sz w:val="24"/>
          <w:szCs w:val="24"/>
          <w:highlight w:val="none"/>
          <w:lang w:eastAsia="zh-CN"/>
        </w:rPr>
        <w:t>按照推荐顺序依次</w:t>
      </w:r>
      <w:r>
        <w:rPr>
          <w:rFonts w:hint="eastAsia" w:ascii="宋体" w:hAnsi="宋体" w:eastAsia="宋体" w:cs="宋体"/>
          <w:color w:val="auto"/>
          <w:sz w:val="24"/>
          <w:szCs w:val="24"/>
          <w:highlight w:val="none"/>
        </w:rPr>
        <w:t>确定另一名成交候选人为成交人。</w:t>
      </w:r>
    </w:p>
    <w:p w14:paraId="65722392">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成交人确定后，面向社会公示，公示期为1个工作日，采购人向成交响应人签发成交通知书，采购人与成交响应人应自成交通知书签发之日起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个工作日内签定合同。</w:t>
      </w:r>
    </w:p>
    <w:p w14:paraId="6DC73C1B">
      <w:pPr>
        <w:snapToGrid w:val="0"/>
        <w:spacing w:line="440" w:lineRule="exact"/>
        <w:ind w:right="30" w:rightChars="15" w:firstLine="482" w:firstLineChars="200"/>
        <w:rPr>
          <w:rFonts w:hint="eastAsia" w:ascii="宋体" w:hAnsi="宋体" w:eastAsia="宋体" w:cs="宋体"/>
          <w:b/>
          <w:color w:val="auto"/>
          <w:sz w:val="24"/>
          <w:szCs w:val="24"/>
          <w:highlight w:val="none"/>
        </w:rPr>
      </w:pPr>
      <w:bookmarkStart w:id="35" w:name="_Toc449367503"/>
      <w:r>
        <w:rPr>
          <w:rFonts w:hint="eastAsia" w:ascii="宋体" w:hAnsi="宋体" w:eastAsia="宋体" w:cs="宋体"/>
          <w:b/>
          <w:color w:val="auto"/>
          <w:sz w:val="24"/>
          <w:szCs w:val="24"/>
          <w:highlight w:val="none"/>
        </w:rPr>
        <w:t>4. 评标注意事项</w:t>
      </w:r>
      <w:bookmarkEnd w:id="35"/>
    </w:p>
    <w:p w14:paraId="32B9978D">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竞争性磋商小组应按下列原则进行评分汇总统计：</w:t>
      </w:r>
    </w:p>
    <w:p w14:paraId="0C13800A">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1、分数计算过程中，保留两位小数，小数点后第三位四舍五入。</w:t>
      </w:r>
    </w:p>
    <w:p w14:paraId="510D197C">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2、分数汇总时，将所有评委打分取算术平均值作为该响应人的最终得分。</w:t>
      </w:r>
    </w:p>
    <w:p w14:paraId="7F058466">
      <w:pPr>
        <w:snapToGrid w:val="0"/>
        <w:spacing w:line="420" w:lineRule="exact"/>
        <w:ind w:right="30" w:rightChars="15" w:firstLine="482" w:firstLineChars="200"/>
        <w:rPr>
          <w:rFonts w:hint="eastAsia" w:ascii="宋体" w:hAnsi="宋体" w:eastAsia="宋体" w:cs="宋体"/>
          <w:b/>
          <w:color w:val="auto"/>
          <w:sz w:val="24"/>
          <w:szCs w:val="24"/>
          <w:highlight w:val="none"/>
        </w:rPr>
      </w:pPr>
      <w:bookmarkStart w:id="36" w:name="_Toc449367504"/>
      <w:r>
        <w:rPr>
          <w:rFonts w:hint="eastAsia" w:ascii="宋体" w:hAnsi="宋体" w:eastAsia="宋体" w:cs="宋体"/>
          <w:b/>
          <w:color w:val="auto"/>
          <w:sz w:val="24"/>
          <w:szCs w:val="24"/>
          <w:highlight w:val="none"/>
        </w:rPr>
        <w:t>5.评标报告</w:t>
      </w:r>
      <w:bookmarkEnd w:id="36"/>
    </w:p>
    <w:p w14:paraId="69C63340">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竞争性磋商小组根据响应人须知前附表的规定向采购人提交评标报告。评标报告应当由全体竞争性磋商小组成员签字。</w:t>
      </w:r>
    </w:p>
    <w:p w14:paraId="76C0E60B">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676D24A4">
      <w:pPr>
        <w:keepNext/>
        <w:widowControl w:val="0"/>
        <w:spacing w:before="100" w:beforeAutospacing="1" w:after="100" w:afterAutospacing="1" w:line="360" w:lineRule="auto"/>
        <w:jc w:val="center"/>
        <w:outlineLvl w:val="9"/>
        <w:rPr>
          <w:rFonts w:hint="eastAsia" w:ascii="宋体" w:hAnsi="宋体" w:cs="宋体"/>
          <w:b/>
          <w:color w:val="auto"/>
          <w:kern w:val="2"/>
          <w:sz w:val="24"/>
          <w:szCs w:val="24"/>
        </w:rPr>
      </w:pPr>
    </w:p>
    <w:p w14:paraId="121C158B">
      <w:pPr>
        <w:pStyle w:val="2"/>
        <w:rPr>
          <w:rFonts w:hint="eastAsia"/>
          <w:color w:val="auto"/>
        </w:rPr>
      </w:pPr>
    </w:p>
    <w:p w14:paraId="67EB479F">
      <w:pPr>
        <w:keepNext/>
        <w:widowControl w:val="0"/>
        <w:spacing w:before="100" w:beforeAutospacing="1" w:after="100" w:afterAutospacing="1" w:line="360" w:lineRule="auto"/>
        <w:jc w:val="center"/>
        <w:outlineLvl w:val="0"/>
        <w:rPr>
          <w:rFonts w:ascii="宋体" w:hAnsi="宋体" w:cs="黑体"/>
          <w:b/>
          <w:color w:val="auto"/>
          <w:sz w:val="24"/>
          <w:szCs w:val="24"/>
        </w:rPr>
      </w:pPr>
      <w:bookmarkStart w:id="37" w:name="_Toc14753"/>
      <w:r>
        <w:rPr>
          <w:rFonts w:hint="eastAsia" w:ascii="宋体" w:hAnsi="宋体" w:cs="宋体"/>
          <w:b/>
          <w:color w:val="auto"/>
          <w:kern w:val="2"/>
          <w:sz w:val="24"/>
          <w:szCs w:val="24"/>
        </w:rPr>
        <w:br w:type="page"/>
      </w:r>
      <w:r>
        <w:rPr>
          <w:rFonts w:hint="eastAsia" w:ascii="宋体" w:hAnsi="宋体" w:cs="宋体"/>
          <w:b/>
          <w:color w:val="auto"/>
          <w:kern w:val="2"/>
          <w:sz w:val="28"/>
          <w:szCs w:val="28"/>
        </w:rPr>
        <w:t>第六章</w:t>
      </w:r>
      <w:r>
        <w:rPr>
          <w:rFonts w:hint="eastAsia" w:ascii="宋体" w:hAnsi="宋体" w:cs="宋体"/>
          <w:b/>
          <w:color w:val="auto"/>
          <w:kern w:val="2"/>
          <w:sz w:val="28"/>
          <w:szCs w:val="28"/>
          <w:lang w:val="en-US" w:eastAsia="zh-CN"/>
        </w:rPr>
        <w:t xml:space="preserve">  </w:t>
      </w:r>
      <w:r>
        <w:rPr>
          <w:rFonts w:hint="eastAsia" w:ascii="宋体" w:hAnsi="宋体" w:cs="宋体"/>
          <w:b/>
          <w:color w:val="auto"/>
          <w:kern w:val="2"/>
          <w:sz w:val="28"/>
          <w:szCs w:val="28"/>
        </w:rPr>
        <w:t>磋商文件格式</w:t>
      </w:r>
      <w:bookmarkEnd w:id="37"/>
    </w:p>
    <w:p w14:paraId="22D527E9">
      <w:pPr>
        <w:widowControl w:val="0"/>
        <w:spacing w:line="360" w:lineRule="auto"/>
        <w:ind w:firstLine="952" w:firstLineChars="395"/>
        <w:jc w:val="center"/>
        <w:rPr>
          <w:rFonts w:ascii="宋体" w:hAnsi="宋体" w:cs="宋体"/>
          <w:b/>
          <w:color w:val="auto"/>
          <w:kern w:val="2"/>
          <w:sz w:val="24"/>
          <w:szCs w:val="24"/>
          <w:u w:val="single"/>
        </w:rPr>
      </w:pPr>
    </w:p>
    <w:p w14:paraId="0F7AF0FC">
      <w:pPr>
        <w:widowControl w:val="0"/>
        <w:spacing w:line="360" w:lineRule="auto"/>
        <w:ind w:firstLine="952" w:firstLineChars="395"/>
        <w:jc w:val="center"/>
        <w:rPr>
          <w:rFonts w:hint="default" w:ascii="宋体" w:hAnsi="宋体" w:eastAsia="宋体"/>
          <w:b/>
          <w:color w:val="auto"/>
          <w:sz w:val="24"/>
          <w:szCs w:val="24"/>
          <w:lang w:val="en-US" w:eastAsia="zh-CN"/>
        </w:rPr>
      </w:pPr>
      <w:r>
        <w:rPr>
          <w:rFonts w:hint="eastAsia" w:ascii="宋体" w:hAnsi="宋体" w:cs="宋体"/>
          <w:b/>
          <w:color w:val="auto"/>
          <w:kern w:val="2"/>
          <w:sz w:val="24"/>
          <w:szCs w:val="24"/>
          <w:u w:val="single"/>
        </w:rPr>
        <w:t xml:space="preserve">         </w:t>
      </w:r>
      <w:r>
        <w:rPr>
          <w:rFonts w:hint="eastAsia" w:ascii="宋体" w:hAnsi="宋体" w:cs="宋体"/>
          <w:b/>
          <w:color w:val="auto"/>
          <w:kern w:val="2"/>
          <w:sz w:val="24"/>
          <w:szCs w:val="24"/>
        </w:rPr>
        <w:t>项目名称</w:t>
      </w:r>
    </w:p>
    <w:p w14:paraId="1F9C640D">
      <w:pPr>
        <w:widowControl w:val="0"/>
        <w:spacing w:line="360" w:lineRule="auto"/>
        <w:ind w:firstLine="952" w:firstLineChars="395"/>
        <w:jc w:val="both"/>
        <w:rPr>
          <w:rFonts w:ascii="宋体" w:hAnsi="宋体"/>
          <w:b/>
          <w:color w:val="auto"/>
          <w:sz w:val="24"/>
          <w:szCs w:val="24"/>
        </w:rPr>
      </w:pPr>
      <w:r>
        <w:rPr>
          <w:rFonts w:hint="eastAsia" w:ascii="宋体" w:hAnsi="宋体"/>
          <w:b/>
          <w:color w:val="auto"/>
          <w:kern w:val="2"/>
          <w:sz w:val="24"/>
          <w:szCs w:val="24"/>
        </w:rPr>
        <w:t xml:space="preserve"> </w:t>
      </w:r>
    </w:p>
    <w:p w14:paraId="28B2CF8C">
      <w:pPr>
        <w:widowControl w:val="0"/>
        <w:spacing w:line="360" w:lineRule="auto"/>
        <w:ind w:firstLine="1193" w:firstLineChars="495"/>
        <w:jc w:val="center"/>
        <w:rPr>
          <w:rFonts w:hint="eastAsia" w:ascii="宋体" w:hAnsi="宋体" w:cs="宋体"/>
          <w:b/>
          <w:color w:val="auto"/>
          <w:kern w:val="2"/>
          <w:sz w:val="24"/>
          <w:szCs w:val="24"/>
        </w:rPr>
      </w:pPr>
      <w:bookmarkStart w:id="38" w:name="_Toc453139657"/>
      <w:bookmarkEnd w:id="38"/>
    </w:p>
    <w:p w14:paraId="161F3A4A">
      <w:pPr>
        <w:widowControl w:val="0"/>
        <w:spacing w:line="360" w:lineRule="auto"/>
        <w:ind w:firstLine="1193" w:firstLineChars="495"/>
        <w:jc w:val="center"/>
        <w:rPr>
          <w:rFonts w:ascii="宋体" w:hAnsi="宋体"/>
          <w:b/>
          <w:color w:val="auto"/>
          <w:sz w:val="24"/>
          <w:szCs w:val="24"/>
        </w:rPr>
      </w:pPr>
      <w:r>
        <w:rPr>
          <w:rFonts w:hint="eastAsia" w:ascii="宋体" w:hAnsi="宋体" w:cs="宋体"/>
          <w:b/>
          <w:color w:val="auto"/>
          <w:kern w:val="2"/>
          <w:sz w:val="24"/>
          <w:szCs w:val="24"/>
        </w:rPr>
        <w:t>响应文件</w:t>
      </w:r>
    </w:p>
    <w:p w14:paraId="38813CDF">
      <w:pPr>
        <w:widowControl w:val="0"/>
        <w:spacing w:line="360" w:lineRule="auto"/>
        <w:ind w:firstLine="1072" w:firstLineChars="445"/>
        <w:jc w:val="both"/>
        <w:rPr>
          <w:rFonts w:ascii="宋体" w:hAnsi="宋体"/>
          <w:b/>
          <w:color w:val="auto"/>
          <w:sz w:val="24"/>
          <w:szCs w:val="24"/>
        </w:rPr>
      </w:pPr>
      <w:r>
        <w:rPr>
          <w:rFonts w:hint="eastAsia" w:ascii="宋体" w:hAnsi="宋体"/>
          <w:b/>
          <w:color w:val="auto"/>
          <w:kern w:val="2"/>
          <w:sz w:val="24"/>
          <w:szCs w:val="24"/>
        </w:rPr>
        <w:t xml:space="preserve"> </w:t>
      </w:r>
    </w:p>
    <w:p w14:paraId="0D799264">
      <w:pPr>
        <w:widowControl w:val="0"/>
        <w:spacing w:line="360" w:lineRule="auto"/>
        <w:ind w:firstLine="1072" w:firstLineChars="445"/>
        <w:jc w:val="both"/>
        <w:rPr>
          <w:rFonts w:ascii="宋体" w:hAnsi="宋体"/>
          <w:b/>
          <w:color w:val="auto"/>
          <w:sz w:val="24"/>
          <w:szCs w:val="24"/>
        </w:rPr>
      </w:pPr>
      <w:r>
        <w:rPr>
          <w:rFonts w:hint="eastAsia" w:ascii="宋体" w:hAnsi="宋体"/>
          <w:b/>
          <w:color w:val="auto"/>
          <w:kern w:val="2"/>
          <w:sz w:val="24"/>
          <w:szCs w:val="24"/>
        </w:rPr>
        <w:t xml:space="preserve"> </w:t>
      </w:r>
    </w:p>
    <w:p w14:paraId="63012351">
      <w:pPr>
        <w:widowControl w:val="0"/>
        <w:spacing w:line="360" w:lineRule="auto"/>
        <w:ind w:firstLine="1554" w:firstLineChars="645"/>
        <w:jc w:val="center"/>
        <w:rPr>
          <w:rFonts w:ascii="宋体" w:hAnsi="宋体"/>
          <w:b/>
          <w:color w:val="auto"/>
          <w:sz w:val="24"/>
          <w:szCs w:val="24"/>
        </w:rPr>
      </w:pPr>
      <w:r>
        <w:rPr>
          <w:rFonts w:hint="eastAsia" w:ascii="宋体" w:hAnsi="宋体" w:cs="宋体"/>
          <w:b/>
          <w:color w:val="auto"/>
          <w:kern w:val="2"/>
          <w:sz w:val="24"/>
          <w:szCs w:val="24"/>
        </w:rPr>
        <w:t>项目编号：</w:t>
      </w:r>
    </w:p>
    <w:p w14:paraId="329FB34F">
      <w:pPr>
        <w:widowControl w:val="0"/>
        <w:spacing w:line="360" w:lineRule="auto"/>
        <w:jc w:val="both"/>
        <w:rPr>
          <w:rFonts w:ascii="宋体" w:hAnsi="宋体"/>
          <w:color w:val="auto"/>
          <w:sz w:val="24"/>
          <w:szCs w:val="24"/>
        </w:rPr>
      </w:pPr>
      <w:r>
        <w:rPr>
          <w:rFonts w:hint="eastAsia" w:ascii="宋体" w:hAnsi="宋体"/>
          <w:color w:val="auto"/>
          <w:kern w:val="2"/>
          <w:sz w:val="24"/>
          <w:szCs w:val="24"/>
        </w:rPr>
        <w:t xml:space="preserve"> </w:t>
      </w:r>
    </w:p>
    <w:p w14:paraId="16ACF522">
      <w:pPr>
        <w:widowControl w:val="0"/>
        <w:spacing w:line="360" w:lineRule="auto"/>
        <w:jc w:val="both"/>
        <w:rPr>
          <w:rFonts w:ascii="宋体" w:hAnsi="宋体"/>
          <w:color w:val="auto"/>
          <w:sz w:val="24"/>
          <w:szCs w:val="24"/>
        </w:rPr>
      </w:pPr>
      <w:r>
        <w:rPr>
          <w:rFonts w:hint="eastAsia" w:ascii="宋体" w:hAnsi="宋体"/>
          <w:color w:val="auto"/>
          <w:kern w:val="2"/>
          <w:sz w:val="24"/>
          <w:szCs w:val="24"/>
        </w:rPr>
        <w:t xml:space="preserve"> </w:t>
      </w:r>
    </w:p>
    <w:p w14:paraId="16E788A1">
      <w:pPr>
        <w:widowControl w:val="0"/>
        <w:spacing w:line="360" w:lineRule="auto"/>
        <w:jc w:val="both"/>
        <w:rPr>
          <w:rFonts w:hint="eastAsia" w:ascii="宋体" w:hAnsi="宋体"/>
          <w:color w:val="auto"/>
          <w:kern w:val="2"/>
          <w:sz w:val="24"/>
          <w:szCs w:val="24"/>
        </w:rPr>
      </w:pPr>
      <w:r>
        <w:rPr>
          <w:rFonts w:hint="eastAsia" w:ascii="宋体" w:hAnsi="宋体"/>
          <w:color w:val="auto"/>
          <w:kern w:val="2"/>
          <w:sz w:val="24"/>
          <w:szCs w:val="24"/>
        </w:rPr>
        <w:t xml:space="preserve"> </w:t>
      </w:r>
    </w:p>
    <w:p w14:paraId="06920E9F">
      <w:pPr>
        <w:pStyle w:val="2"/>
        <w:rPr>
          <w:rFonts w:hint="eastAsia" w:ascii="宋体" w:hAnsi="宋体"/>
          <w:color w:val="auto"/>
          <w:kern w:val="2"/>
          <w:sz w:val="24"/>
          <w:szCs w:val="24"/>
        </w:rPr>
      </w:pPr>
    </w:p>
    <w:p w14:paraId="315AFADF">
      <w:pPr>
        <w:pStyle w:val="5"/>
        <w:rPr>
          <w:rFonts w:hint="eastAsia" w:ascii="宋体" w:hAnsi="宋体"/>
          <w:color w:val="auto"/>
          <w:kern w:val="2"/>
          <w:sz w:val="24"/>
          <w:szCs w:val="24"/>
        </w:rPr>
      </w:pPr>
    </w:p>
    <w:p w14:paraId="712A0E74">
      <w:pPr>
        <w:pStyle w:val="2"/>
        <w:rPr>
          <w:rFonts w:hint="eastAsia" w:ascii="宋体" w:hAnsi="宋体"/>
          <w:color w:val="auto"/>
          <w:kern w:val="2"/>
          <w:sz w:val="24"/>
          <w:szCs w:val="24"/>
        </w:rPr>
      </w:pPr>
    </w:p>
    <w:p w14:paraId="4CB7ACD0">
      <w:pPr>
        <w:pStyle w:val="5"/>
        <w:rPr>
          <w:rFonts w:hint="eastAsia" w:ascii="宋体" w:hAnsi="宋体"/>
          <w:color w:val="auto"/>
          <w:kern w:val="2"/>
          <w:sz w:val="24"/>
          <w:szCs w:val="24"/>
        </w:rPr>
      </w:pPr>
    </w:p>
    <w:p w14:paraId="3FCBED2D">
      <w:pPr>
        <w:pStyle w:val="2"/>
        <w:rPr>
          <w:color w:val="auto"/>
        </w:rPr>
      </w:pPr>
    </w:p>
    <w:p w14:paraId="66D97B3F">
      <w:pPr>
        <w:widowControl w:val="0"/>
        <w:spacing w:line="360" w:lineRule="auto"/>
        <w:jc w:val="both"/>
        <w:rPr>
          <w:rFonts w:hint="eastAsia" w:ascii="宋体" w:hAnsi="宋体"/>
          <w:color w:val="auto"/>
          <w:kern w:val="2"/>
          <w:sz w:val="24"/>
          <w:szCs w:val="24"/>
        </w:rPr>
      </w:pPr>
      <w:r>
        <w:rPr>
          <w:rFonts w:hint="eastAsia" w:ascii="宋体" w:hAnsi="宋体"/>
          <w:color w:val="auto"/>
          <w:kern w:val="2"/>
          <w:sz w:val="24"/>
          <w:szCs w:val="24"/>
        </w:rPr>
        <w:t xml:space="preserve"> </w:t>
      </w:r>
    </w:p>
    <w:p w14:paraId="75DC17F9">
      <w:pPr>
        <w:pStyle w:val="2"/>
        <w:rPr>
          <w:rFonts w:hint="eastAsia" w:ascii="宋体" w:hAnsi="宋体"/>
          <w:color w:val="auto"/>
          <w:kern w:val="2"/>
          <w:sz w:val="24"/>
          <w:szCs w:val="24"/>
        </w:rPr>
      </w:pPr>
    </w:p>
    <w:p w14:paraId="38651403">
      <w:pPr>
        <w:pStyle w:val="5"/>
        <w:rPr>
          <w:color w:val="auto"/>
        </w:rPr>
      </w:pPr>
    </w:p>
    <w:p w14:paraId="50D03292">
      <w:pPr>
        <w:widowControl w:val="0"/>
        <w:spacing w:line="360" w:lineRule="auto"/>
        <w:jc w:val="both"/>
        <w:rPr>
          <w:rFonts w:ascii="宋体" w:hAnsi="宋体"/>
          <w:color w:val="auto"/>
          <w:sz w:val="24"/>
          <w:szCs w:val="24"/>
        </w:rPr>
      </w:pPr>
      <w:r>
        <w:rPr>
          <w:rFonts w:hint="eastAsia" w:ascii="宋体" w:hAnsi="宋体"/>
          <w:color w:val="auto"/>
          <w:kern w:val="2"/>
          <w:sz w:val="24"/>
          <w:szCs w:val="24"/>
        </w:rPr>
        <w:t xml:space="preserve"> </w:t>
      </w:r>
    </w:p>
    <w:p w14:paraId="2B08DAB8">
      <w:pPr>
        <w:widowControl w:val="0"/>
        <w:spacing w:line="360" w:lineRule="auto"/>
        <w:jc w:val="center"/>
        <w:rPr>
          <w:rFonts w:ascii="宋体" w:hAnsi="宋体"/>
          <w:color w:val="auto"/>
          <w:sz w:val="24"/>
          <w:szCs w:val="24"/>
        </w:rPr>
      </w:pPr>
      <w:bookmarkStart w:id="39" w:name="_Toc453139658"/>
      <w:bookmarkEnd w:id="39"/>
      <w:r>
        <w:rPr>
          <w:rFonts w:hint="eastAsia" w:ascii="宋体" w:hAnsi="宋体" w:cs="宋体"/>
          <w:color w:val="auto"/>
          <w:kern w:val="2"/>
          <w:sz w:val="24"/>
          <w:szCs w:val="24"/>
        </w:rPr>
        <w:t>供应商名称：</w:t>
      </w:r>
      <w:r>
        <w:rPr>
          <w:rFonts w:hint="eastAsia" w:ascii="宋体" w:hAnsi="宋体"/>
          <w:color w:val="auto"/>
          <w:kern w:val="2"/>
          <w:sz w:val="24"/>
          <w:szCs w:val="24"/>
        </w:rPr>
        <w:t xml:space="preserve">                </w:t>
      </w:r>
      <w:r>
        <w:rPr>
          <w:rFonts w:hint="eastAsia" w:ascii="宋体" w:hAnsi="宋体" w:cs="宋体"/>
          <w:color w:val="auto"/>
          <w:kern w:val="2"/>
          <w:sz w:val="24"/>
          <w:szCs w:val="24"/>
        </w:rPr>
        <w:t>（</w:t>
      </w:r>
      <w:r>
        <w:rPr>
          <w:rFonts w:hint="eastAsia" w:ascii="宋体" w:hAnsi="宋体" w:cs="宋体"/>
          <w:color w:val="auto"/>
          <w:kern w:val="2"/>
          <w:sz w:val="24"/>
          <w:szCs w:val="24"/>
          <w:lang w:val="en-US" w:eastAsia="zh-CN"/>
        </w:rPr>
        <w:t>公章签章</w:t>
      </w:r>
      <w:r>
        <w:rPr>
          <w:rFonts w:hint="eastAsia" w:ascii="宋体" w:hAnsi="宋体" w:cs="宋体"/>
          <w:color w:val="auto"/>
          <w:kern w:val="2"/>
          <w:sz w:val="24"/>
          <w:szCs w:val="24"/>
        </w:rPr>
        <w:t>）</w:t>
      </w:r>
    </w:p>
    <w:p w14:paraId="452593CD">
      <w:pPr>
        <w:widowControl w:val="0"/>
        <w:spacing w:line="360" w:lineRule="auto"/>
        <w:jc w:val="center"/>
        <w:rPr>
          <w:rFonts w:ascii="宋体" w:hAnsi="宋体"/>
          <w:color w:val="auto"/>
          <w:sz w:val="24"/>
          <w:szCs w:val="24"/>
        </w:rPr>
      </w:pPr>
      <w:bookmarkStart w:id="40" w:name="_Toc453139660"/>
      <w:bookmarkEnd w:id="40"/>
      <w:r>
        <w:rPr>
          <w:rFonts w:hint="eastAsia" w:ascii="宋体" w:hAnsi="宋体" w:cs="宋体"/>
          <w:color w:val="auto"/>
          <w:kern w:val="2"/>
          <w:sz w:val="24"/>
          <w:szCs w:val="24"/>
        </w:rPr>
        <w:t>法定代表人：</w:t>
      </w:r>
      <w:r>
        <w:rPr>
          <w:rFonts w:hint="eastAsia" w:ascii="宋体" w:hAnsi="宋体"/>
          <w:color w:val="auto"/>
          <w:kern w:val="2"/>
          <w:sz w:val="24"/>
          <w:szCs w:val="24"/>
        </w:rPr>
        <w:t xml:space="preserve">                </w:t>
      </w:r>
      <w:r>
        <w:rPr>
          <w:rFonts w:hint="eastAsia" w:ascii="宋体" w:hAnsi="宋体"/>
          <w:color w:val="auto"/>
          <w:kern w:val="2"/>
          <w:sz w:val="24"/>
          <w:szCs w:val="24"/>
          <w:lang w:eastAsia="zh-CN"/>
        </w:rPr>
        <w:t>（</w:t>
      </w:r>
      <w:r>
        <w:rPr>
          <w:rFonts w:hint="eastAsia" w:ascii="宋体" w:hAnsi="宋体"/>
          <w:color w:val="auto"/>
          <w:kern w:val="2"/>
          <w:sz w:val="24"/>
          <w:szCs w:val="24"/>
          <w:lang w:val="en-US" w:eastAsia="zh-CN"/>
        </w:rPr>
        <w:t>法人签章</w:t>
      </w:r>
      <w:r>
        <w:rPr>
          <w:rFonts w:hint="eastAsia" w:ascii="宋体" w:hAnsi="宋体" w:cs="宋体"/>
          <w:color w:val="auto"/>
          <w:kern w:val="2"/>
          <w:sz w:val="24"/>
          <w:szCs w:val="24"/>
        </w:rPr>
        <w:t>）</w:t>
      </w:r>
    </w:p>
    <w:p w14:paraId="5D32DA96">
      <w:pPr>
        <w:widowControl w:val="0"/>
        <w:spacing w:line="360" w:lineRule="auto"/>
        <w:jc w:val="center"/>
        <w:rPr>
          <w:rFonts w:ascii="宋体" w:hAnsi="宋体"/>
          <w:color w:val="auto"/>
          <w:sz w:val="24"/>
          <w:szCs w:val="24"/>
        </w:rPr>
      </w:pPr>
      <w:bookmarkStart w:id="41" w:name="_Toc453139662"/>
      <w:bookmarkEnd w:id="41"/>
      <w:r>
        <w:rPr>
          <w:rFonts w:hint="eastAsia" w:ascii="宋体" w:hAnsi="宋体" w:cs="宋体"/>
          <w:color w:val="auto"/>
          <w:kern w:val="2"/>
          <w:sz w:val="24"/>
          <w:szCs w:val="24"/>
        </w:rPr>
        <w:t>日</w:t>
      </w:r>
      <w:r>
        <w:rPr>
          <w:rFonts w:hint="eastAsia" w:ascii="宋体" w:hAnsi="宋体"/>
          <w:color w:val="auto"/>
          <w:kern w:val="2"/>
          <w:sz w:val="24"/>
          <w:szCs w:val="24"/>
        </w:rPr>
        <w:t xml:space="preserve">      </w:t>
      </w:r>
      <w:r>
        <w:rPr>
          <w:rFonts w:hint="eastAsia" w:ascii="宋体" w:hAnsi="宋体" w:cs="宋体"/>
          <w:color w:val="auto"/>
          <w:kern w:val="2"/>
          <w:sz w:val="24"/>
          <w:szCs w:val="24"/>
        </w:rPr>
        <w:t>期：</w:t>
      </w:r>
    </w:p>
    <w:p w14:paraId="620D83EE">
      <w:pPr>
        <w:widowControl w:val="0"/>
        <w:spacing w:line="360" w:lineRule="auto"/>
        <w:jc w:val="both"/>
        <w:rPr>
          <w:rFonts w:ascii="宋体" w:hAnsi="宋体"/>
          <w:color w:val="auto"/>
          <w:kern w:val="2"/>
          <w:sz w:val="24"/>
          <w:szCs w:val="24"/>
        </w:rPr>
      </w:pPr>
      <w:r>
        <w:rPr>
          <w:rFonts w:hint="eastAsia" w:ascii="宋体" w:hAnsi="宋体"/>
          <w:color w:val="auto"/>
          <w:kern w:val="2"/>
          <w:sz w:val="24"/>
          <w:szCs w:val="24"/>
        </w:rPr>
        <w:t xml:space="preserve"> </w:t>
      </w:r>
    </w:p>
    <w:p w14:paraId="3EFDA2AB">
      <w:pPr>
        <w:widowControl w:val="0"/>
        <w:spacing w:line="360" w:lineRule="auto"/>
        <w:jc w:val="both"/>
        <w:rPr>
          <w:rFonts w:ascii="宋体" w:hAnsi="宋体"/>
          <w:color w:val="auto"/>
          <w:kern w:val="2"/>
          <w:sz w:val="24"/>
          <w:szCs w:val="24"/>
        </w:rPr>
      </w:pPr>
    </w:p>
    <w:p w14:paraId="749A6301">
      <w:pPr>
        <w:widowControl w:val="0"/>
        <w:spacing w:line="360" w:lineRule="auto"/>
        <w:jc w:val="both"/>
        <w:rPr>
          <w:rFonts w:ascii="宋体" w:hAnsi="宋体"/>
          <w:color w:val="auto"/>
          <w:kern w:val="2"/>
          <w:sz w:val="24"/>
          <w:szCs w:val="24"/>
        </w:rPr>
      </w:pPr>
    </w:p>
    <w:p w14:paraId="6B08B708">
      <w:pPr>
        <w:widowControl w:val="0"/>
        <w:spacing w:line="360" w:lineRule="auto"/>
        <w:jc w:val="both"/>
        <w:rPr>
          <w:rFonts w:ascii="宋体" w:hAnsi="宋体"/>
          <w:color w:val="auto"/>
          <w:kern w:val="2"/>
          <w:sz w:val="24"/>
          <w:szCs w:val="24"/>
        </w:rPr>
      </w:pPr>
    </w:p>
    <w:p w14:paraId="634BD943">
      <w:pPr>
        <w:widowControl w:val="0"/>
        <w:spacing w:line="360" w:lineRule="auto"/>
        <w:jc w:val="both"/>
        <w:rPr>
          <w:rFonts w:ascii="宋体" w:hAnsi="宋体"/>
          <w:color w:val="auto"/>
          <w:kern w:val="2"/>
          <w:sz w:val="24"/>
          <w:szCs w:val="24"/>
        </w:rPr>
      </w:pPr>
    </w:p>
    <w:p w14:paraId="75176D3E">
      <w:pPr>
        <w:rPr>
          <w:rFonts w:hint="eastAsia" w:ascii="宋体" w:hAnsi="宋体" w:cs="宋体"/>
          <w:b/>
          <w:color w:val="auto"/>
          <w:sz w:val="24"/>
          <w:szCs w:val="24"/>
          <w:lang w:eastAsia="zh-CN"/>
        </w:rPr>
      </w:pPr>
      <w:r>
        <w:rPr>
          <w:rFonts w:hint="eastAsia" w:ascii="宋体" w:hAnsi="宋体" w:cs="宋体"/>
          <w:b/>
          <w:color w:val="auto"/>
          <w:sz w:val="24"/>
          <w:szCs w:val="24"/>
          <w:lang w:eastAsia="zh-CN"/>
        </w:rPr>
        <w:br w:type="page"/>
      </w:r>
    </w:p>
    <w:p w14:paraId="2D64CA9A">
      <w:pPr>
        <w:widowControl/>
        <w:wordWrap/>
        <w:adjustRightInd/>
        <w:snapToGrid/>
        <w:spacing w:line="360" w:lineRule="auto"/>
        <w:jc w:val="center"/>
        <w:textAlignment w:val="auto"/>
        <w:rPr>
          <w:rFonts w:hint="eastAsia" w:ascii="宋体" w:hAnsi="宋体" w:cs="宋体"/>
          <w:b/>
          <w:color w:val="auto"/>
          <w:sz w:val="24"/>
          <w:szCs w:val="24"/>
          <w:lang w:eastAsia="zh-CN"/>
        </w:rPr>
      </w:pPr>
      <w:r>
        <w:rPr>
          <w:rFonts w:hint="eastAsia" w:ascii="宋体" w:hAnsi="宋体" w:cs="宋体"/>
          <w:b/>
          <w:color w:val="auto"/>
          <w:sz w:val="24"/>
          <w:szCs w:val="24"/>
          <w:lang w:eastAsia="zh-CN"/>
        </w:rPr>
        <w:t>目录</w:t>
      </w:r>
    </w:p>
    <w:p w14:paraId="7851B1A0">
      <w:pPr>
        <w:pStyle w:val="2"/>
        <w:rPr>
          <w:rFonts w:hint="eastAsia" w:ascii="宋体" w:hAnsi="宋体" w:cs="宋体"/>
          <w:b/>
          <w:color w:val="auto"/>
          <w:sz w:val="24"/>
          <w:szCs w:val="24"/>
          <w:lang w:eastAsia="zh-CN"/>
        </w:rPr>
      </w:pPr>
    </w:p>
    <w:p w14:paraId="5823CC7A">
      <w:pPr>
        <w:jc w:val="center"/>
        <w:rPr>
          <w:rFonts w:hint="eastAsia" w:ascii="宋体" w:hAnsi="宋体" w:cs="宋体"/>
          <w:b/>
          <w:color w:val="auto"/>
          <w:sz w:val="24"/>
          <w:szCs w:val="24"/>
          <w:lang w:eastAsia="zh-CN"/>
        </w:rPr>
      </w:pPr>
      <w:r>
        <w:rPr>
          <w:rFonts w:hint="eastAsia" w:ascii="宋体" w:hAnsi="宋体" w:cs="宋体"/>
          <w:b/>
          <w:color w:val="auto"/>
          <w:sz w:val="24"/>
          <w:szCs w:val="24"/>
          <w:lang w:eastAsia="zh-CN"/>
        </w:rPr>
        <w:t>（格式自拟）</w:t>
      </w:r>
    </w:p>
    <w:p w14:paraId="5DA822AC">
      <w:pPr>
        <w:pStyle w:val="2"/>
        <w:rPr>
          <w:rFonts w:hint="eastAsia" w:ascii="宋体" w:hAnsi="宋体" w:cs="宋体"/>
          <w:b/>
          <w:color w:val="auto"/>
          <w:sz w:val="24"/>
          <w:szCs w:val="24"/>
          <w:lang w:eastAsia="zh-CN"/>
        </w:rPr>
      </w:pPr>
    </w:p>
    <w:p w14:paraId="558A24C7">
      <w:pPr>
        <w:rPr>
          <w:rFonts w:hint="eastAsia" w:ascii="宋体" w:hAnsi="宋体" w:cs="宋体"/>
          <w:b/>
          <w:color w:val="auto"/>
          <w:sz w:val="24"/>
          <w:szCs w:val="24"/>
          <w:lang w:eastAsia="zh-CN"/>
        </w:rPr>
      </w:pPr>
    </w:p>
    <w:p w14:paraId="7289D9B9">
      <w:pPr>
        <w:pStyle w:val="2"/>
        <w:rPr>
          <w:rFonts w:hint="eastAsia" w:ascii="宋体" w:hAnsi="宋体" w:cs="宋体"/>
          <w:b/>
          <w:color w:val="auto"/>
          <w:sz w:val="24"/>
          <w:szCs w:val="24"/>
          <w:lang w:eastAsia="zh-CN"/>
        </w:rPr>
      </w:pPr>
    </w:p>
    <w:p w14:paraId="2604A63B">
      <w:pPr>
        <w:rPr>
          <w:rFonts w:hint="eastAsia" w:ascii="宋体" w:hAnsi="宋体" w:cs="宋体"/>
          <w:b/>
          <w:color w:val="auto"/>
          <w:sz w:val="24"/>
          <w:szCs w:val="24"/>
          <w:lang w:eastAsia="zh-CN"/>
        </w:rPr>
      </w:pPr>
    </w:p>
    <w:p w14:paraId="66D6D09B">
      <w:pPr>
        <w:pStyle w:val="2"/>
        <w:rPr>
          <w:rFonts w:hint="eastAsia"/>
          <w:color w:val="auto"/>
          <w:lang w:eastAsia="zh-CN"/>
        </w:rPr>
      </w:pPr>
    </w:p>
    <w:p w14:paraId="43AFDBB3">
      <w:pPr>
        <w:rPr>
          <w:rFonts w:hint="eastAsia" w:ascii="宋体" w:hAnsi="宋体" w:cs="宋体"/>
          <w:b/>
          <w:color w:val="auto"/>
          <w:sz w:val="24"/>
          <w:szCs w:val="24"/>
          <w:lang w:eastAsia="zh-CN"/>
        </w:rPr>
      </w:pPr>
    </w:p>
    <w:p w14:paraId="76C8A20F">
      <w:pPr>
        <w:pStyle w:val="2"/>
        <w:rPr>
          <w:rFonts w:hint="eastAsia" w:ascii="宋体" w:hAnsi="宋体" w:cs="宋体"/>
          <w:b/>
          <w:color w:val="auto"/>
          <w:sz w:val="24"/>
          <w:szCs w:val="24"/>
          <w:lang w:eastAsia="zh-CN"/>
        </w:rPr>
      </w:pPr>
    </w:p>
    <w:p w14:paraId="379B5324">
      <w:pPr>
        <w:rPr>
          <w:rFonts w:hint="eastAsia" w:ascii="宋体" w:hAnsi="宋体" w:cs="宋体"/>
          <w:b/>
          <w:color w:val="auto"/>
          <w:sz w:val="24"/>
          <w:szCs w:val="24"/>
          <w:lang w:eastAsia="zh-CN"/>
        </w:rPr>
      </w:pPr>
    </w:p>
    <w:p w14:paraId="32CB4ED2">
      <w:pPr>
        <w:pStyle w:val="2"/>
        <w:rPr>
          <w:rFonts w:hint="eastAsia" w:ascii="宋体" w:hAnsi="宋体" w:cs="宋体"/>
          <w:b/>
          <w:color w:val="auto"/>
          <w:sz w:val="24"/>
          <w:szCs w:val="24"/>
          <w:lang w:eastAsia="zh-CN"/>
        </w:rPr>
      </w:pPr>
    </w:p>
    <w:p w14:paraId="35D0EFC4">
      <w:pPr>
        <w:rPr>
          <w:rFonts w:hint="eastAsia" w:ascii="宋体" w:hAnsi="宋体" w:cs="宋体"/>
          <w:b/>
          <w:color w:val="auto"/>
          <w:sz w:val="24"/>
          <w:szCs w:val="24"/>
          <w:lang w:eastAsia="zh-CN"/>
        </w:rPr>
      </w:pPr>
    </w:p>
    <w:p w14:paraId="68D86D73">
      <w:pPr>
        <w:pStyle w:val="2"/>
        <w:rPr>
          <w:rFonts w:hint="eastAsia"/>
          <w:color w:val="auto"/>
          <w:lang w:eastAsia="zh-CN"/>
        </w:rPr>
      </w:pPr>
    </w:p>
    <w:p w14:paraId="6F33FB79">
      <w:pPr>
        <w:widowControl/>
        <w:wordWrap/>
        <w:adjustRightInd/>
        <w:snapToGrid/>
        <w:spacing w:line="360" w:lineRule="auto"/>
        <w:jc w:val="center"/>
        <w:textAlignment w:val="auto"/>
        <w:rPr>
          <w:rFonts w:hint="eastAsia" w:ascii="宋体" w:hAnsi="宋体" w:cs="宋体"/>
          <w:b/>
          <w:color w:val="auto"/>
          <w:sz w:val="24"/>
          <w:szCs w:val="24"/>
        </w:rPr>
      </w:pPr>
    </w:p>
    <w:p w14:paraId="168663CE">
      <w:pPr>
        <w:widowControl/>
        <w:wordWrap/>
        <w:adjustRightInd/>
        <w:snapToGrid/>
        <w:spacing w:line="360" w:lineRule="auto"/>
        <w:jc w:val="center"/>
        <w:textAlignment w:val="auto"/>
        <w:rPr>
          <w:rFonts w:hint="eastAsia" w:ascii="宋体" w:hAnsi="宋体" w:cs="宋体"/>
          <w:b/>
          <w:color w:val="auto"/>
          <w:sz w:val="24"/>
          <w:szCs w:val="24"/>
        </w:rPr>
      </w:pPr>
    </w:p>
    <w:p w14:paraId="0C2EE4EF">
      <w:pPr>
        <w:widowControl/>
        <w:wordWrap/>
        <w:adjustRightInd/>
        <w:snapToGrid/>
        <w:spacing w:line="360" w:lineRule="auto"/>
        <w:jc w:val="center"/>
        <w:textAlignment w:val="auto"/>
        <w:rPr>
          <w:rFonts w:hint="eastAsia" w:ascii="宋体" w:hAnsi="宋体" w:cs="宋体"/>
          <w:b/>
          <w:color w:val="auto"/>
          <w:sz w:val="24"/>
          <w:szCs w:val="24"/>
        </w:rPr>
      </w:pPr>
    </w:p>
    <w:p w14:paraId="62FD8305">
      <w:pPr>
        <w:widowControl/>
        <w:wordWrap/>
        <w:adjustRightInd/>
        <w:snapToGrid/>
        <w:spacing w:line="360" w:lineRule="auto"/>
        <w:jc w:val="center"/>
        <w:textAlignment w:val="auto"/>
        <w:rPr>
          <w:rFonts w:hint="eastAsia" w:ascii="宋体" w:hAnsi="宋体" w:cs="宋体"/>
          <w:b/>
          <w:color w:val="auto"/>
          <w:sz w:val="24"/>
          <w:szCs w:val="24"/>
        </w:rPr>
      </w:pPr>
    </w:p>
    <w:p w14:paraId="749966EF">
      <w:pPr>
        <w:widowControl/>
        <w:wordWrap/>
        <w:adjustRightInd/>
        <w:snapToGrid/>
        <w:spacing w:line="360" w:lineRule="auto"/>
        <w:jc w:val="center"/>
        <w:textAlignment w:val="auto"/>
        <w:rPr>
          <w:rFonts w:hint="eastAsia" w:ascii="宋体" w:hAnsi="宋体" w:cs="宋体"/>
          <w:b/>
          <w:color w:val="auto"/>
          <w:sz w:val="24"/>
          <w:szCs w:val="24"/>
        </w:rPr>
      </w:pPr>
    </w:p>
    <w:p w14:paraId="7BD658A7">
      <w:pPr>
        <w:widowControl/>
        <w:wordWrap/>
        <w:adjustRightInd/>
        <w:snapToGrid/>
        <w:spacing w:line="360" w:lineRule="auto"/>
        <w:jc w:val="center"/>
        <w:textAlignment w:val="auto"/>
        <w:rPr>
          <w:rFonts w:hint="eastAsia" w:ascii="宋体" w:hAnsi="宋体" w:cs="宋体"/>
          <w:b/>
          <w:color w:val="auto"/>
          <w:sz w:val="24"/>
          <w:szCs w:val="24"/>
        </w:rPr>
      </w:pPr>
    </w:p>
    <w:p w14:paraId="39B1F6D0">
      <w:pPr>
        <w:widowControl/>
        <w:wordWrap/>
        <w:adjustRightInd/>
        <w:snapToGrid/>
        <w:spacing w:line="360" w:lineRule="auto"/>
        <w:jc w:val="center"/>
        <w:textAlignment w:val="auto"/>
        <w:rPr>
          <w:rFonts w:hint="eastAsia" w:ascii="宋体" w:hAnsi="宋体" w:cs="宋体"/>
          <w:b/>
          <w:color w:val="auto"/>
          <w:sz w:val="24"/>
          <w:szCs w:val="24"/>
        </w:rPr>
      </w:pPr>
    </w:p>
    <w:p w14:paraId="18259F57">
      <w:pPr>
        <w:widowControl/>
        <w:wordWrap/>
        <w:adjustRightInd/>
        <w:snapToGrid/>
        <w:spacing w:line="360" w:lineRule="auto"/>
        <w:jc w:val="center"/>
        <w:textAlignment w:val="auto"/>
        <w:rPr>
          <w:rFonts w:hint="eastAsia" w:ascii="宋体" w:hAnsi="宋体" w:cs="宋体"/>
          <w:b/>
          <w:color w:val="auto"/>
          <w:sz w:val="24"/>
          <w:szCs w:val="24"/>
        </w:rPr>
      </w:pPr>
    </w:p>
    <w:p w14:paraId="5AF9D24B">
      <w:pPr>
        <w:widowControl/>
        <w:wordWrap/>
        <w:adjustRightInd/>
        <w:snapToGrid/>
        <w:spacing w:line="360" w:lineRule="auto"/>
        <w:jc w:val="center"/>
        <w:textAlignment w:val="auto"/>
        <w:rPr>
          <w:rFonts w:hint="eastAsia" w:ascii="宋体" w:hAnsi="宋体" w:cs="宋体"/>
          <w:b/>
          <w:color w:val="auto"/>
          <w:sz w:val="24"/>
          <w:szCs w:val="24"/>
        </w:rPr>
      </w:pPr>
    </w:p>
    <w:p w14:paraId="2D352F26">
      <w:pPr>
        <w:widowControl/>
        <w:wordWrap/>
        <w:adjustRightInd/>
        <w:snapToGrid/>
        <w:spacing w:line="360" w:lineRule="auto"/>
        <w:jc w:val="center"/>
        <w:textAlignment w:val="auto"/>
        <w:rPr>
          <w:rFonts w:hint="eastAsia" w:ascii="宋体" w:hAnsi="宋体" w:cs="宋体"/>
          <w:b/>
          <w:color w:val="auto"/>
          <w:sz w:val="24"/>
          <w:szCs w:val="24"/>
        </w:rPr>
      </w:pPr>
    </w:p>
    <w:p w14:paraId="26C40349">
      <w:pPr>
        <w:widowControl/>
        <w:wordWrap/>
        <w:adjustRightInd/>
        <w:snapToGrid/>
        <w:spacing w:line="360" w:lineRule="auto"/>
        <w:jc w:val="center"/>
        <w:textAlignment w:val="auto"/>
        <w:rPr>
          <w:rFonts w:hint="eastAsia" w:ascii="宋体" w:hAnsi="宋体" w:cs="宋体"/>
          <w:b/>
          <w:color w:val="auto"/>
          <w:sz w:val="24"/>
          <w:szCs w:val="24"/>
        </w:rPr>
      </w:pPr>
    </w:p>
    <w:p w14:paraId="0EA2D803">
      <w:pPr>
        <w:widowControl/>
        <w:wordWrap/>
        <w:adjustRightInd/>
        <w:snapToGrid/>
        <w:spacing w:line="360" w:lineRule="auto"/>
        <w:jc w:val="center"/>
        <w:textAlignment w:val="auto"/>
        <w:rPr>
          <w:rFonts w:hint="eastAsia" w:ascii="宋体" w:hAnsi="宋体" w:cs="宋体"/>
          <w:b/>
          <w:color w:val="auto"/>
          <w:sz w:val="24"/>
          <w:szCs w:val="24"/>
        </w:rPr>
      </w:pPr>
    </w:p>
    <w:p w14:paraId="10F16B04">
      <w:pPr>
        <w:widowControl/>
        <w:wordWrap/>
        <w:adjustRightInd/>
        <w:snapToGrid/>
        <w:spacing w:line="360" w:lineRule="auto"/>
        <w:jc w:val="center"/>
        <w:textAlignment w:val="auto"/>
        <w:rPr>
          <w:rFonts w:hint="eastAsia" w:ascii="宋体" w:hAnsi="宋体" w:cs="宋体"/>
          <w:b/>
          <w:color w:val="auto"/>
          <w:sz w:val="24"/>
          <w:szCs w:val="24"/>
        </w:rPr>
      </w:pPr>
    </w:p>
    <w:p w14:paraId="22856E9E">
      <w:pPr>
        <w:widowControl/>
        <w:wordWrap/>
        <w:adjustRightInd/>
        <w:snapToGrid/>
        <w:spacing w:line="360" w:lineRule="auto"/>
        <w:jc w:val="center"/>
        <w:textAlignment w:val="auto"/>
        <w:rPr>
          <w:rFonts w:hint="eastAsia" w:ascii="宋体" w:hAnsi="宋体" w:cs="宋体"/>
          <w:b/>
          <w:color w:val="auto"/>
          <w:sz w:val="24"/>
          <w:szCs w:val="24"/>
        </w:rPr>
      </w:pPr>
    </w:p>
    <w:p w14:paraId="18F8B7C8">
      <w:pPr>
        <w:widowControl/>
        <w:wordWrap/>
        <w:adjustRightInd/>
        <w:snapToGrid/>
        <w:spacing w:line="360" w:lineRule="auto"/>
        <w:jc w:val="both"/>
        <w:textAlignment w:val="auto"/>
        <w:rPr>
          <w:rFonts w:hint="eastAsia" w:ascii="宋体" w:hAnsi="宋体" w:cs="宋体"/>
          <w:b/>
          <w:color w:val="auto"/>
          <w:sz w:val="24"/>
          <w:szCs w:val="24"/>
        </w:rPr>
      </w:pPr>
    </w:p>
    <w:p w14:paraId="42DBD66A">
      <w:pPr>
        <w:widowControl/>
        <w:wordWrap/>
        <w:adjustRightInd/>
        <w:snapToGrid/>
        <w:spacing w:line="360" w:lineRule="auto"/>
        <w:jc w:val="center"/>
        <w:textAlignment w:val="auto"/>
        <w:rPr>
          <w:rFonts w:hint="eastAsia" w:ascii="宋体" w:hAnsi="宋体" w:cs="宋体"/>
          <w:b/>
          <w:color w:val="auto"/>
          <w:sz w:val="24"/>
          <w:szCs w:val="24"/>
        </w:rPr>
      </w:pPr>
    </w:p>
    <w:p w14:paraId="09B4BC7A">
      <w:pPr>
        <w:pStyle w:val="2"/>
        <w:rPr>
          <w:rFonts w:hint="eastAsia" w:ascii="宋体" w:hAnsi="宋体" w:cs="宋体"/>
          <w:b/>
          <w:color w:val="auto"/>
          <w:sz w:val="24"/>
          <w:szCs w:val="24"/>
        </w:rPr>
      </w:pPr>
    </w:p>
    <w:p w14:paraId="017C78CE">
      <w:pPr>
        <w:pStyle w:val="5"/>
        <w:rPr>
          <w:rFonts w:hint="eastAsia"/>
          <w:color w:val="auto"/>
        </w:rPr>
      </w:pPr>
    </w:p>
    <w:p w14:paraId="719BD36C">
      <w:pPr>
        <w:widowControl/>
        <w:wordWrap/>
        <w:adjustRightInd/>
        <w:snapToGrid/>
        <w:spacing w:line="360" w:lineRule="auto"/>
        <w:jc w:val="center"/>
        <w:textAlignment w:val="auto"/>
        <w:rPr>
          <w:rFonts w:ascii="宋体" w:hAnsi="宋体"/>
          <w:color w:val="auto"/>
          <w:sz w:val="24"/>
          <w:szCs w:val="24"/>
        </w:rPr>
      </w:pPr>
      <w:r>
        <w:rPr>
          <w:rFonts w:hint="eastAsia" w:ascii="宋体" w:hAnsi="宋体" w:cs="宋体"/>
          <w:b/>
          <w:color w:val="auto"/>
          <w:sz w:val="24"/>
          <w:szCs w:val="24"/>
        </w:rPr>
        <w:br w:type="page"/>
      </w:r>
      <w:r>
        <w:rPr>
          <w:rFonts w:hint="eastAsia" w:ascii="宋体" w:hAnsi="宋体" w:cs="宋体"/>
          <w:b/>
          <w:color w:val="auto"/>
          <w:sz w:val="24"/>
          <w:szCs w:val="24"/>
        </w:rPr>
        <w:t xml:space="preserve">一、 </w:t>
      </w:r>
      <w:r>
        <w:rPr>
          <w:rFonts w:hint="eastAsia" w:ascii="宋体" w:hAnsi="宋体" w:cs="宋体"/>
          <w:b/>
          <w:color w:val="auto"/>
          <w:sz w:val="24"/>
          <w:szCs w:val="24"/>
          <w:lang w:eastAsia="zh-CN"/>
        </w:rPr>
        <w:t>磋</w:t>
      </w:r>
      <w:r>
        <w:rPr>
          <w:rFonts w:hint="eastAsia" w:ascii="宋体" w:hAnsi="宋体" w:cs="宋体"/>
          <w:b/>
          <w:color w:val="auto"/>
          <w:sz w:val="24"/>
          <w:szCs w:val="24"/>
          <w:lang w:val="en-US" w:eastAsia="zh-CN"/>
        </w:rPr>
        <w:t xml:space="preserve"> </w:t>
      </w:r>
      <w:r>
        <w:rPr>
          <w:rFonts w:hint="eastAsia" w:ascii="宋体" w:hAnsi="宋体" w:cs="宋体"/>
          <w:b/>
          <w:color w:val="auto"/>
          <w:sz w:val="24"/>
          <w:szCs w:val="24"/>
          <w:lang w:eastAsia="zh-CN"/>
        </w:rPr>
        <w:t>商</w:t>
      </w:r>
      <w:r>
        <w:rPr>
          <w:rFonts w:hint="eastAsia" w:ascii="宋体" w:hAnsi="宋体" w:cs="宋体"/>
          <w:b/>
          <w:color w:val="auto"/>
          <w:sz w:val="24"/>
          <w:szCs w:val="24"/>
        </w:rPr>
        <w:t xml:space="preserve"> 函</w:t>
      </w:r>
    </w:p>
    <w:p w14:paraId="4F0F5AB2">
      <w:pPr>
        <w:widowControl/>
        <w:wordWrap/>
        <w:adjustRightInd/>
        <w:snapToGrid/>
        <w:spacing w:line="360" w:lineRule="auto"/>
        <w:textAlignment w:val="auto"/>
        <w:rPr>
          <w:rFonts w:hint="eastAsia" w:ascii="宋体" w:hAnsi="宋体" w:eastAsia="宋体" w:cs="宋体"/>
          <w:color w:val="auto"/>
          <w:sz w:val="24"/>
          <w:szCs w:val="24"/>
          <w:u w:val="single"/>
        </w:rPr>
      </w:pPr>
      <w:bookmarkStart w:id="42" w:name="OLE_LINK11"/>
      <w:bookmarkEnd w:id="42"/>
      <w:r>
        <w:rPr>
          <w:rFonts w:hint="eastAsia" w:ascii="宋体" w:hAnsi="宋体" w:eastAsia="宋体" w:cs="宋体"/>
          <w:color w:val="auto"/>
          <w:sz w:val="24"/>
          <w:szCs w:val="24"/>
          <w:u w:val="single"/>
        </w:rPr>
        <w:t>致：（采购人）</w:t>
      </w:r>
    </w:p>
    <w:p w14:paraId="4C36705E">
      <w:pPr>
        <w:widowControl/>
        <w:wordWrap/>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我们收到了</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文件，经详细研究，我们郑重声明以下诸点并负法律责任。</w:t>
      </w:r>
    </w:p>
    <w:p w14:paraId="728B488C">
      <w:pPr>
        <w:widowControl/>
        <w:wordWrap/>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愿按照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文件中的条款和要求，提供货物和服务，报价为人民币</w:t>
      </w:r>
      <w:r>
        <w:rPr>
          <w:rFonts w:hint="eastAsia" w:ascii="宋体" w:hAnsi="宋体" w:eastAsia="宋体" w:cs="宋体"/>
          <w:color w:val="auto"/>
          <w:sz w:val="24"/>
          <w:szCs w:val="24"/>
          <w:u w:val="none"/>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元</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（大写）： </w:t>
      </w:r>
      <w:r>
        <w:rPr>
          <w:rFonts w:hint="eastAsia" w:ascii="宋体" w:hAnsi="宋体" w:eastAsia="宋体" w:cs="宋体"/>
          <w:color w:val="auto"/>
          <w:sz w:val="24"/>
          <w:szCs w:val="24"/>
          <w:u w:val="single"/>
          <w:lang w:val="en-US" w:eastAsia="zh-CN"/>
        </w:rPr>
        <w:t xml:space="preserve">       元</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服务周期</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B6779D0">
      <w:pPr>
        <w:widowControl/>
        <w:wordWrap/>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如果我们的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文件被接受，我们将履行</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文件中规定的各项要求。</w:t>
      </w:r>
    </w:p>
    <w:p w14:paraId="2B7E9768">
      <w:pPr>
        <w:widowControl/>
        <w:wordWrap/>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我们同意按</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文件中的规定，本</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文件的有效期为自</w:t>
      </w:r>
      <w:r>
        <w:rPr>
          <w:rFonts w:hint="eastAsia" w:ascii="宋体" w:hAnsi="宋体" w:eastAsia="宋体" w:cs="宋体"/>
          <w:color w:val="auto"/>
          <w:sz w:val="24"/>
          <w:szCs w:val="24"/>
          <w:lang w:eastAsia="zh-CN"/>
        </w:rPr>
        <w:t>开</w:t>
      </w:r>
      <w:r>
        <w:rPr>
          <w:rFonts w:hint="eastAsia" w:ascii="宋体" w:hAnsi="宋体" w:eastAsia="宋体" w:cs="宋体"/>
          <w:color w:val="auto"/>
          <w:sz w:val="24"/>
          <w:szCs w:val="24"/>
        </w:rPr>
        <w:t>标截止之日起60日历天。如果中标，有效期延长至合同终止日止。</w:t>
      </w:r>
    </w:p>
    <w:p w14:paraId="688C3975">
      <w:pPr>
        <w:widowControl/>
        <w:wordWrap/>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我们愿提供</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文件中要求的所有文件资料。</w:t>
      </w:r>
    </w:p>
    <w:p w14:paraId="59595498">
      <w:pPr>
        <w:widowControl/>
        <w:wordWrap/>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我们已经详细审核了全部</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文件，包括修改、补充的文件(如果有的话)和参考资料及有关附件，我们完全理解并同意放弃对这方面有不明及误解的权利。</w:t>
      </w:r>
    </w:p>
    <w:p w14:paraId="3CEF4589">
      <w:pPr>
        <w:widowControl/>
        <w:wordWrap/>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我们愿按《中华人民共和国</w:t>
      </w:r>
      <w:r>
        <w:rPr>
          <w:rFonts w:hint="eastAsia" w:ascii="宋体" w:hAnsi="宋体" w:cs="宋体"/>
          <w:color w:val="auto"/>
          <w:sz w:val="24"/>
          <w:szCs w:val="24"/>
          <w:lang w:eastAsia="zh-CN"/>
        </w:rPr>
        <w:t>民法典</w:t>
      </w:r>
      <w:r>
        <w:rPr>
          <w:rFonts w:hint="eastAsia" w:ascii="宋体" w:hAnsi="宋体" w:eastAsia="宋体" w:cs="宋体"/>
          <w:color w:val="auto"/>
          <w:sz w:val="24"/>
          <w:szCs w:val="24"/>
        </w:rPr>
        <w:t>》履行自己的全部责任。</w:t>
      </w:r>
    </w:p>
    <w:p w14:paraId="2080F9A3">
      <w:pPr>
        <w:widowControl/>
        <w:wordWrap/>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（7）随同本</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函递交的</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函附录属于合同文件的组成部分。</w:t>
      </w:r>
    </w:p>
    <w:p w14:paraId="5C426B0E">
      <w:pPr>
        <w:widowControl/>
        <w:wordWrap/>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（8）如果我方中标，愿履行</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文件中的各项条款和规定，并按国家有关标准向采购代理机构交纳中标服务费。</w:t>
      </w:r>
    </w:p>
    <w:p w14:paraId="0F36F7E5">
      <w:pPr>
        <w:widowControl/>
        <w:wordWrap/>
        <w:adjustRightInd/>
        <w:snapToGrid/>
        <w:spacing w:line="36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磋商供应商：（</w:t>
      </w:r>
      <w:r>
        <w:rPr>
          <w:rFonts w:hint="eastAsia" w:ascii="宋体" w:hAnsi="宋体" w:cs="宋体"/>
          <w:color w:val="auto"/>
          <w:sz w:val="24"/>
          <w:szCs w:val="24"/>
          <w:lang w:val="en-US" w:eastAsia="zh-CN"/>
        </w:rPr>
        <w:t>公章签章</w:t>
      </w:r>
      <w:r>
        <w:rPr>
          <w:rFonts w:hint="eastAsia" w:ascii="宋体" w:hAnsi="宋体" w:eastAsia="宋体" w:cs="宋体"/>
          <w:color w:val="auto"/>
          <w:sz w:val="24"/>
          <w:szCs w:val="24"/>
        </w:rPr>
        <w:t xml:space="preserve">） </w:t>
      </w:r>
    </w:p>
    <w:p w14:paraId="6263DA1F">
      <w:pPr>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法人签章</w:t>
      </w:r>
      <w:r>
        <w:rPr>
          <w:rFonts w:hint="eastAsia" w:ascii="宋体" w:hAnsi="宋体" w:eastAsia="宋体" w:cs="宋体"/>
          <w:color w:val="auto"/>
          <w:sz w:val="24"/>
          <w:szCs w:val="24"/>
        </w:rPr>
        <w:t>）</w:t>
      </w:r>
    </w:p>
    <w:p w14:paraId="212E9BC5">
      <w:pPr>
        <w:wordWrap w:val="0"/>
        <w:spacing w:line="360" w:lineRule="auto"/>
        <w:ind w:right="420"/>
        <w:jc w:val="right"/>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BEDDC20">
      <w:pPr>
        <w:pStyle w:val="6"/>
        <w:rPr>
          <w:color w:val="auto"/>
        </w:rPr>
      </w:pPr>
    </w:p>
    <w:p w14:paraId="046FA8E0">
      <w:pPr>
        <w:pStyle w:val="6"/>
        <w:rPr>
          <w:color w:val="auto"/>
        </w:rPr>
      </w:pPr>
    </w:p>
    <w:p w14:paraId="608C62EC">
      <w:pPr>
        <w:pStyle w:val="6"/>
        <w:rPr>
          <w:color w:val="auto"/>
        </w:rPr>
      </w:pPr>
    </w:p>
    <w:p w14:paraId="4C178FBA">
      <w:pPr>
        <w:pStyle w:val="6"/>
        <w:rPr>
          <w:color w:val="auto"/>
        </w:rPr>
      </w:pPr>
    </w:p>
    <w:p w14:paraId="612D518F">
      <w:pPr>
        <w:pStyle w:val="6"/>
        <w:rPr>
          <w:color w:val="auto"/>
        </w:rPr>
      </w:pPr>
    </w:p>
    <w:p w14:paraId="685B4CE8">
      <w:pPr>
        <w:pStyle w:val="6"/>
        <w:rPr>
          <w:color w:val="auto"/>
        </w:rPr>
      </w:pPr>
    </w:p>
    <w:p w14:paraId="36C524CE">
      <w:pPr>
        <w:pStyle w:val="13"/>
        <w:rPr>
          <w:color w:val="auto"/>
        </w:rPr>
      </w:pPr>
    </w:p>
    <w:p w14:paraId="14F13FED">
      <w:pPr>
        <w:spacing w:afterLines="50" w:line="360" w:lineRule="auto"/>
        <w:jc w:val="center"/>
        <w:outlineLvl w:val="9"/>
        <w:rPr>
          <w:rFonts w:hint="eastAsia" w:ascii="宋体" w:hAnsi="宋体" w:cs="宋体"/>
          <w:b/>
          <w:color w:val="auto"/>
          <w:sz w:val="24"/>
          <w:szCs w:val="24"/>
        </w:rPr>
      </w:pPr>
    </w:p>
    <w:p w14:paraId="136B40F1">
      <w:pPr>
        <w:spacing w:afterLines="50" w:line="360" w:lineRule="auto"/>
        <w:jc w:val="center"/>
        <w:outlineLvl w:val="0"/>
        <w:rPr>
          <w:rFonts w:ascii="宋体" w:hAnsi="宋体" w:cs="宋体"/>
          <w:color w:val="auto"/>
          <w:sz w:val="24"/>
          <w:szCs w:val="24"/>
        </w:rPr>
      </w:pPr>
      <w:bookmarkStart w:id="43" w:name="_Toc31409"/>
      <w:r>
        <w:rPr>
          <w:rFonts w:hint="eastAsia" w:ascii="宋体" w:hAnsi="宋体" w:cs="宋体"/>
          <w:b/>
          <w:color w:val="auto"/>
          <w:sz w:val="24"/>
          <w:szCs w:val="24"/>
        </w:rPr>
        <w:br w:type="page"/>
      </w:r>
      <w:r>
        <w:rPr>
          <w:rFonts w:hint="eastAsia" w:ascii="宋体" w:hAnsi="宋体" w:cs="宋体"/>
          <w:b/>
          <w:color w:val="auto"/>
          <w:sz w:val="24"/>
          <w:szCs w:val="24"/>
        </w:rPr>
        <w:t>二、</w:t>
      </w:r>
      <w:r>
        <w:rPr>
          <w:rFonts w:hint="eastAsia" w:ascii="宋体" w:hAnsi="宋体" w:cs="宋体"/>
          <w:b/>
          <w:color w:val="auto"/>
          <w:sz w:val="24"/>
          <w:szCs w:val="24"/>
          <w:lang w:eastAsia="zh-CN"/>
        </w:rPr>
        <w:t>磋商函附录</w:t>
      </w:r>
      <w:bookmarkEnd w:id="43"/>
      <w:r>
        <w:rPr>
          <w:rFonts w:hint="eastAsia" w:ascii="宋体" w:hAnsi="宋体" w:cs="宋体"/>
          <w:b/>
          <w:color w:val="auto"/>
          <w:sz w:val="24"/>
          <w:szCs w:val="24"/>
          <w:lang w:eastAsia="zh-CN"/>
        </w:rPr>
        <w:t xml:space="preserve">    </w:t>
      </w:r>
      <w:r>
        <w:rPr>
          <w:rFonts w:hint="eastAsia" w:ascii="宋体" w:hAnsi="宋体" w:cs="宋体"/>
          <w:color w:val="auto"/>
          <w:sz w:val="24"/>
          <w:szCs w:val="24"/>
        </w:rPr>
        <w:t xml:space="preserve">                               </w:t>
      </w:r>
    </w:p>
    <w:tbl>
      <w:tblPr>
        <w:tblStyle w:val="1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65"/>
        <w:gridCol w:w="5177"/>
      </w:tblGrid>
      <w:tr w14:paraId="539B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92" w:type="dxa"/>
            <w:noWrap w:val="0"/>
            <w:vAlign w:val="center"/>
          </w:tcPr>
          <w:p w14:paraId="4E46EFF7">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ascii="宋体" w:hAnsi="宋体" w:cs="宋体"/>
                <w:color w:val="auto"/>
                <w:spacing w:val="10"/>
                <w:kern w:val="2"/>
                <w:sz w:val="24"/>
                <w:szCs w:val="24"/>
              </w:rPr>
            </w:pPr>
            <w:r>
              <w:rPr>
                <w:rFonts w:hint="eastAsia" w:ascii="宋体" w:hAnsi="宋体" w:cs="宋体"/>
                <w:color w:val="auto"/>
                <w:spacing w:val="10"/>
                <w:kern w:val="2"/>
                <w:sz w:val="24"/>
                <w:szCs w:val="24"/>
              </w:rPr>
              <w:t>1</w:t>
            </w:r>
          </w:p>
        </w:tc>
        <w:tc>
          <w:tcPr>
            <w:tcW w:w="1765" w:type="dxa"/>
            <w:noWrap w:val="0"/>
            <w:vAlign w:val="center"/>
          </w:tcPr>
          <w:p w14:paraId="501E07D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spacing w:val="10"/>
                <w:kern w:val="2"/>
                <w:sz w:val="24"/>
                <w:szCs w:val="24"/>
                <w:lang w:val="en-US" w:eastAsia="zh-CN"/>
              </w:rPr>
            </w:pPr>
            <w:r>
              <w:rPr>
                <w:rFonts w:hint="eastAsia" w:ascii="宋体" w:hAnsi="宋体" w:cs="宋体"/>
                <w:color w:val="auto"/>
                <w:spacing w:val="10"/>
                <w:kern w:val="2"/>
                <w:sz w:val="24"/>
                <w:szCs w:val="24"/>
              </w:rPr>
              <w:t>项目名称</w:t>
            </w:r>
          </w:p>
        </w:tc>
        <w:tc>
          <w:tcPr>
            <w:tcW w:w="5177" w:type="dxa"/>
            <w:noWrap w:val="0"/>
            <w:vAlign w:val="center"/>
          </w:tcPr>
          <w:p w14:paraId="31BFEA79">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p>
        </w:tc>
      </w:tr>
      <w:tr w14:paraId="3A06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2" w:type="dxa"/>
            <w:noWrap w:val="0"/>
            <w:vAlign w:val="center"/>
          </w:tcPr>
          <w:p w14:paraId="52CB83B5">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ascii="宋体" w:hAnsi="宋体" w:cs="宋体"/>
                <w:color w:val="auto"/>
                <w:spacing w:val="10"/>
                <w:kern w:val="2"/>
                <w:sz w:val="24"/>
                <w:szCs w:val="24"/>
              </w:rPr>
            </w:pPr>
            <w:r>
              <w:rPr>
                <w:rFonts w:hint="eastAsia" w:ascii="宋体" w:hAnsi="宋体" w:cs="宋体"/>
                <w:color w:val="auto"/>
                <w:spacing w:val="10"/>
                <w:kern w:val="2"/>
                <w:sz w:val="24"/>
                <w:szCs w:val="24"/>
              </w:rPr>
              <w:t>2</w:t>
            </w:r>
          </w:p>
        </w:tc>
        <w:tc>
          <w:tcPr>
            <w:tcW w:w="1765" w:type="dxa"/>
            <w:noWrap w:val="0"/>
            <w:vAlign w:val="center"/>
          </w:tcPr>
          <w:p w14:paraId="7348AA9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ascii="宋体" w:hAnsi="宋体" w:cs="宋体"/>
                <w:color w:val="auto"/>
                <w:spacing w:val="10"/>
                <w:kern w:val="2"/>
                <w:sz w:val="24"/>
                <w:szCs w:val="24"/>
              </w:rPr>
            </w:pPr>
            <w:r>
              <w:rPr>
                <w:rFonts w:hint="eastAsia" w:ascii="宋体" w:hAnsi="宋体" w:cs="宋体"/>
                <w:color w:val="auto"/>
                <w:kern w:val="2"/>
                <w:sz w:val="24"/>
                <w:szCs w:val="24"/>
              </w:rPr>
              <w:t>项目编号</w:t>
            </w:r>
          </w:p>
        </w:tc>
        <w:tc>
          <w:tcPr>
            <w:tcW w:w="5177" w:type="dxa"/>
            <w:noWrap w:val="0"/>
            <w:vAlign w:val="center"/>
          </w:tcPr>
          <w:p w14:paraId="41B054F1">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p>
        </w:tc>
      </w:tr>
      <w:tr w14:paraId="5F03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noWrap w:val="0"/>
            <w:vAlign w:val="center"/>
          </w:tcPr>
          <w:p w14:paraId="6F36F4BE">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ascii="宋体" w:hAnsi="宋体" w:cs="宋体"/>
                <w:color w:val="auto"/>
                <w:spacing w:val="10"/>
                <w:kern w:val="2"/>
                <w:sz w:val="24"/>
                <w:szCs w:val="24"/>
              </w:rPr>
            </w:pPr>
            <w:r>
              <w:rPr>
                <w:rFonts w:hint="eastAsia" w:ascii="宋体" w:hAnsi="宋体" w:cs="宋体"/>
                <w:color w:val="auto"/>
                <w:spacing w:val="10"/>
                <w:kern w:val="2"/>
                <w:sz w:val="24"/>
                <w:szCs w:val="24"/>
              </w:rPr>
              <w:t>3</w:t>
            </w:r>
          </w:p>
        </w:tc>
        <w:tc>
          <w:tcPr>
            <w:tcW w:w="1765" w:type="dxa"/>
            <w:noWrap w:val="0"/>
            <w:vAlign w:val="center"/>
          </w:tcPr>
          <w:p w14:paraId="5CAD799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ascii="宋体" w:hAnsi="宋体" w:cs="宋体"/>
                <w:color w:val="auto"/>
                <w:spacing w:val="10"/>
                <w:kern w:val="2"/>
                <w:sz w:val="24"/>
                <w:szCs w:val="24"/>
              </w:rPr>
            </w:pPr>
            <w:r>
              <w:rPr>
                <w:rFonts w:hint="eastAsia" w:ascii="宋体" w:hAnsi="宋体" w:cs="宋体"/>
                <w:color w:val="auto"/>
                <w:spacing w:val="10"/>
                <w:kern w:val="2"/>
                <w:sz w:val="24"/>
                <w:szCs w:val="24"/>
              </w:rPr>
              <w:t>供应商名称</w:t>
            </w:r>
          </w:p>
        </w:tc>
        <w:tc>
          <w:tcPr>
            <w:tcW w:w="5177" w:type="dxa"/>
            <w:noWrap w:val="0"/>
            <w:vAlign w:val="center"/>
          </w:tcPr>
          <w:p w14:paraId="6705DD67">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p>
        </w:tc>
      </w:tr>
      <w:tr w14:paraId="0B0D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noWrap w:val="0"/>
            <w:vAlign w:val="center"/>
          </w:tcPr>
          <w:p w14:paraId="32558CA3">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eastAsia" w:ascii="宋体" w:hAnsi="宋体" w:eastAsia="宋体" w:cs="宋体"/>
                <w:color w:val="auto"/>
                <w:spacing w:val="10"/>
                <w:kern w:val="2"/>
                <w:sz w:val="24"/>
                <w:szCs w:val="24"/>
                <w:lang w:val="en-US" w:eastAsia="zh-CN"/>
              </w:rPr>
            </w:pPr>
            <w:r>
              <w:rPr>
                <w:rFonts w:hint="eastAsia" w:ascii="宋体" w:hAnsi="宋体" w:cs="宋体"/>
                <w:color w:val="auto"/>
                <w:spacing w:val="10"/>
                <w:kern w:val="2"/>
                <w:sz w:val="24"/>
                <w:szCs w:val="24"/>
                <w:lang w:val="en-US" w:eastAsia="zh-CN"/>
              </w:rPr>
              <w:t>4</w:t>
            </w:r>
          </w:p>
        </w:tc>
        <w:tc>
          <w:tcPr>
            <w:tcW w:w="1765" w:type="dxa"/>
            <w:noWrap w:val="0"/>
            <w:vAlign w:val="center"/>
          </w:tcPr>
          <w:p w14:paraId="1668F89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10"/>
                <w:kern w:val="2"/>
                <w:sz w:val="24"/>
                <w:szCs w:val="24"/>
                <w:lang w:eastAsia="zh-CN"/>
              </w:rPr>
            </w:pPr>
            <w:r>
              <w:rPr>
                <w:rFonts w:hint="eastAsia" w:ascii="宋体" w:hAnsi="宋体" w:cs="宋体"/>
                <w:color w:val="auto"/>
                <w:spacing w:val="10"/>
                <w:kern w:val="2"/>
                <w:sz w:val="24"/>
                <w:szCs w:val="24"/>
                <w:lang w:eastAsia="zh-CN"/>
              </w:rPr>
              <w:t>法定代表人</w:t>
            </w:r>
          </w:p>
        </w:tc>
        <w:tc>
          <w:tcPr>
            <w:tcW w:w="5177" w:type="dxa"/>
            <w:noWrap w:val="0"/>
            <w:vAlign w:val="center"/>
          </w:tcPr>
          <w:p w14:paraId="510649AB">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p>
        </w:tc>
      </w:tr>
      <w:tr w14:paraId="1A7E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noWrap w:val="0"/>
            <w:vAlign w:val="center"/>
          </w:tcPr>
          <w:p w14:paraId="7F879155">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eastAsia" w:ascii="宋体" w:hAnsi="宋体" w:eastAsia="宋体" w:cs="宋体"/>
                <w:color w:val="auto"/>
                <w:spacing w:val="10"/>
                <w:kern w:val="2"/>
                <w:sz w:val="24"/>
                <w:szCs w:val="24"/>
                <w:lang w:eastAsia="zh-CN"/>
              </w:rPr>
            </w:pPr>
            <w:r>
              <w:rPr>
                <w:rFonts w:hint="eastAsia" w:ascii="宋体" w:hAnsi="宋体" w:cs="宋体"/>
                <w:color w:val="auto"/>
                <w:spacing w:val="10"/>
                <w:kern w:val="2"/>
                <w:sz w:val="24"/>
                <w:szCs w:val="24"/>
                <w:lang w:val="en-US" w:eastAsia="zh-CN"/>
              </w:rPr>
              <w:t>5</w:t>
            </w:r>
          </w:p>
        </w:tc>
        <w:tc>
          <w:tcPr>
            <w:tcW w:w="1765" w:type="dxa"/>
            <w:noWrap w:val="0"/>
            <w:vAlign w:val="center"/>
          </w:tcPr>
          <w:p w14:paraId="3D0B99D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ascii="宋体" w:hAnsi="宋体" w:cs="宋体"/>
                <w:color w:val="auto"/>
                <w:spacing w:val="10"/>
                <w:kern w:val="2"/>
                <w:sz w:val="24"/>
                <w:szCs w:val="24"/>
              </w:rPr>
            </w:pPr>
            <w:r>
              <w:rPr>
                <w:rFonts w:hint="eastAsia" w:ascii="宋体" w:hAnsi="宋体" w:cs="宋体"/>
                <w:color w:val="auto"/>
                <w:spacing w:val="10"/>
                <w:kern w:val="2"/>
                <w:sz w:val="24"/>
                <w:szCs w:val="24"/>
              </w:rPr>
              <w:t>供应商地址</w:t>
            </w:r>
          </w:p>
        </w:tc>
        <w:tc>
          <w:tcPr>
            <w:tcW w:w="5177" w:type="dxa"/>
            <w:noWrap w:val="0"/>
            <w:vAlign w:val="center"/>
          </w:tcPr>
          <w:p w14:paraId="372D34E9">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p>
        </w:tc>
      </w:tr>
      <w:tr w14:paraId="3C13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noWrap w:val="0"/>
            <w:vAlign w:val="center"/>
          </w:tcPr>
          <w:p w14:paraId="30845666">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default" w:ascii="宋体" w:hAnsi="宋体" w:cs="宋体"/>
                <w:color w:val="auto"/>
                <w:spacing w:val="10"/>
                <w:kern w:val="2"/>
                <w:sz w:val="24"/>
                <w:szCs w:val="24"/>
                <w:lang w:val="en-US" w:eastAsia="zh-CN"/>
              </w:rPr>
            </w:pPr>
            <w:r>
              <w:rPr>
                <w:rFonts w:hint="eastAsia" w:ascii="宋体" w:hAnsi="宋体" w:cs="宋体"/>
                <w:color w:val="auto"/>
                <w:spacing w:val="10"/>
                <w:kern w:val="2"/>
                <w:sz w:val="24"/>
                <w:szCs w:val="24"/>
                <w:lang w:val="en-US" w:eastAsia="zh-CN"/>
              </w:rPr>
              <w:t>6</w:t>
            </w:r>
          </w:p>
        </w:tc>
        <w:tc>
          <w:tcPr>
            <w:tcW w:w="1765" w:type="dxa"/>
            <w:noWrap w:val="0"/>
            <w:vAlign w:val="center"/>
          </w:tcPr>
          <w:p w14:paraId="11651F2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rPr>
            </w:pPr>
            <w:r>
              <w:rPr>
                <w:rFonts w:hint="eastAsia" w:ascii="宋体" w:hAnsi="宋体" w:eastAsia="宋体" w:cs="宋体"/>
                <w:color w:val="auto"/>
                <w:spacing w:val="-1"/>
                <w:kern w:val="2"/>
                <w:sz w:val="24"/>
                <w:szCs w:val="22"/>
                <w:lang w:eastAsia="zh-CN"/>
              </w:rPr>
              <w:t>统一机构代码</w:t>
            </w:r>
          </w:p>
        </w:tc>
        <w:tc>
          <w:tcPr>
            <w:tcW w:w="5177" w:type="dxa"/>
            <w:noWrap w:val="0"/>
            <w:vAlign w:val="center"/>
          </w:tcPr>
          <w:p w14:paraId="205423B0">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p>
        </w:tc>
      </w:tr>
      <w:tr w14:paraId="311D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vMerge w:val="restart"/>
            <w:noWrap w:val="0"/>
            <w:vAlign w:val="center"/>
          </w:tcPr>
          <w:p w14:paraId="087DBC26">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eastAsia" w:ascii="宋体" w:hAnsi="宋体" w:eastAsia="宋体" w:cs="宋体"/>
                <w:color w:val="auto"/>
                <w:spacing w:val="10"/>
                <w:kern w:val="2"/>
                <w:sz w:val="24"/>
                <w:szCs w:val="24"/>
                <w:lang w:eastAsia="zh-CN"/>
              </w:rPr>
            </w:pPr>
            <w:r>
              <w:rPr>
                <w:rFonts w:hint="eastAsia" w:ascii="宋体" w:hAnsi="宋体" w:cs="宋体"/>
                <w:color w:val="auto"/>
                <w:spacing w:val="10"/>
                <w:kern w:val="2"/>
                <w:sz w:val="24"/>
                <w:szCs w:val="24"/>
                <w:lang w:val="en-US" w:eastAsia="zh-CN"/>
              </w:rPr>
              <w:t>7</w:t>
            </w:r>
          </w:p>
        </w:tc>
        <w:tc>
          <w:tcPr>
            <w:tcW w:w="1765" w:type="dxa"/>
            <w:vMerge w:val="restart"/>
            <w:noWrap w:val="0"/>
            <w:vAlign w:val="center"/>
          </w:tcPr>
          <w:p w14:paraId="00FA45C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ascii="宋体" w:hAnsi="宋体" w:cs="宋体"/>
                <w:color w:val="auto"/>
                <w:spacing w:val="10"/>
                <w:kern w:val="2"/>
                <w:sz w:val="24"/>
                <w:szCs w:val="24"/>
              </w:rPr>
            </w:pPr>
            <w:r>
              <w:rPr>
                <w:rFonts w:hint="eastAsia" w:ascii="宋体" w:hAnsi="宋体" w:cs="宋体"/>
                <w:color w:val="auto"/>
                <w:spacing w:val="10"/>
                <w:kern w:val="2"/>
                <w:sz w:val="24"/>
                <w:szCs w:val="24"/>
              </w:rPr>
              <w:t>磋商报价</w:t>
            </w:r>
            <w:r>
              <w:rPr>
                <w:rFonts w:hint="eastAsia" w:ascii="宋体" w:hAnsi="宋体" w:cs="宋体"/>
                <w:color w:val="auto"/>
                <w:spacing w:val="10"/>
                <w:kern w:val="2"/>
                <w:sz w:val="24"/>
                <w:szCs w:val="24"/>
                <w:lang w:eastAsia="zh-CN"/>
              </w:rPr>
              <w:t>（元）</w:t>
            </w:r>
          </w:p>
        </w:tc>
        <w:tc>
          <w:tcPr>
            <w:tcW w:w="5177" w:type="dxa"/>
            <w:noWrap w:val="0"/>
            <w:vAlign w:val="center"/>
          </w:tcPr>
          <w:p w14:paraId="7EDF2FF1">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r>
              <w:rPr>
                <w:rFonts w:hint="eastAsia" w:ascii="宋体" w:hAnsi="宋体" w:cs="宋体"/>
                <w:color w:val="auto"/>
                <w:spacing w:val="10"/>
                <w:kern w:val="2"/>
                <w:sz w:val="24"/>
                <w:szCs w:val="24"/>
              </w:rPr>
              <w:t>小写：</w:t>
            </w:r>
          </w:p>
        </w:tc>
      </w:tr>
      <w:tr w14:paraId="0F7B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vMerge w:val="continue"/>
            <w:noWrap w:val="0"/>
            <w:vAlign w:val="center"/>
          </w:tcPr>
          <w:p w14:paraId="37B1CF49">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jc w:val="center"/>
              <w:rPr>
                <w:rFonts w:ascii="宋体" w:hAnsi="宋体" w:cs="宋体"/>
                <w:color w:val="auto"/>
                <w:spacing w:val="10"/>
                <w:kern w:val="2"/>
                <w:sz w:val="24"/>
                <w:szCs w:val="24"/>
              </w:rPr>
            </w:pPr>
          </w:p>
        </w:tc>
        <w:tc>
          <w:tcPr>
            <w:tcW w:w="1765" w:type="dxa"/>
            <w:vMerge w:val="continue"/>
            <w:noWrap w:val="0"/>
            <w:vAlign w:val="center"/>
          </w:tcPr>
          <w:p w14:paraId="0A64EF84">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jc w:val="center"/>
              <w:rPr>
                <w:rFonts w:ascii="宋体" w:hAnsi="宋体" w:cs="宋体"/>
                <w:color w:val="auto"/>
                <w:spacing w:val="10"/>
                <w:kern w:val="2"/>
                <w:sz w:val="24"/>
                <w:szCs w:val="24"/>
              </w:rPr>
            </w:pPr>
          </w:p>
        </w:tc>
        <w:tc>
          <w:tcPr>
            <w:tcW w:w="5177" w:type="dxa"/>
            <w:noWrap w:val="0"/>
            <w:vAlign w:val="center"/>
          </w:tcPr>
          <w:p w14:paraId="7AAA1425">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r>
              <w:rPr>
                <w:rFonts w:hint="eastAsia" w:ascii="宋体" w:hAnsi="宋体" w:cs="宋体"/>
                <w:color w:val="auto"/>
                <w:spacing w:val="10"/>
                <w:kern w:val="2"/>
                <w:sz w:val="24"/>
                <w:szCs w:val="24"/>
              </w:rPr>
              <w:t>大写：</w:t>
            </w:r>
          </w:p>
        </w:tc>
      </w:tr>
      <w:tr w14:paraId="22A9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noWrap w:val="0"/>
            <w:vAlign w:val="center"/>
          </w:tcPr>
          <w:p w14:paraId="1933ED63">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eastAsia" w:ascii="宋体" w:hAnsi="宋体" w:eastAsia="宋体" w:cs="宋体"/>
                <w:color w:val="auto"/>
                <w:spacing w:val="10"/>
                <w:kern w:val="2"/>
                <w:sz w:val="24"/>
                <w:szCs w:val="24"/>
                <w:lang w:eastAsia="zh-CN"/>
              </w:rPr>
            </w:pPr>
            <w:r>
              <w:rPr>
                <w:rFonts w:hint="eastAsia" w:ascii="宋体" w:hAnsi="宋体" w:cs="宋体"/>
                <w:color w:val="auto"/>
                <w:spacing w:val="10"/>
                <w:kern w:val="2"/>
                <w:sz w:val="24"/>
                <w:szCs w:val="24"/>
                <w:lang w:val="en-US" w:eastAsia="zh-CN"/>
              </w:rPr>
              <w:t>9</w:t>
            </w:r>
          </w:p>
        </w:tc>
        <w:tc>
          <w:tcPr>
            <w:tcW w:w="1765" w:type="dxa"/>
            <w:noWrap w:val="0"/>
            <w:vAlign w:val="center"/>
          </w:tcPr>
          <w:p w14:paraId="4EE8974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服务周期</w:t>
            </w:r>
          </w:p>
        </w:tc>
        <w:tc>
          <w:tcPr>
            <w:tcW w:w="5177" w:type="dxa"/>
            <w:noWrap w:val="0"/>
            <w:vAlign w:val="center"/>
          </w:tcPr>
          <w:p w14:paraId="73EDAFDC">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p>
        </w:tc>
      </w:tr>
      <w:tr w14:paraId="4F74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noWrap w:val="0"/>
            <w:vAlign w:val="center"/>
          </w:tcPr>
          <w:p w14:paraId="008FF1FC">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default" w:ascii="宋体" w:hAnsi="宋体" w:eastAsia="宋体" w:cs="宋体"/>
                <w:color w:val="auto"/>
                <w:spacing w:val="10"/>
                <w:kern w:val="2"/>
                <w:sz w:val="24"/>
                <w:szCs w:val="24"/>
                <w:lang w:val="en-US" w:eastAsia="zh-CN"/>
              </w:rPr>
            </w:pPr>
            <w:r>
              <w:rPr>
                <w:rFonts w:hint="eastAsia" w:ascii="宋体" w:hAnsi="宋体" w:cs="宋体"/>
                <w:color w:val="auto"/>
                <w:spacing w:val="10"/>
                <w:kern w:val="2"/>
                <w:sz w:val="24"/>
                <w:szCs w:val="24"/>
                <w:lang w:val="en-US" w:eastAsia="zh-CN"/>
              </w:rPr>
              <w:t>10</w:t>
            </w:r>
          </w:p>
        </w:tc>
        <w:tc>
          <w:tcPr>
            <w:tcW w:w="1765" w:type="dxa"/>
            <w:noWrap w:val="0"/>
            <w:vAlign w:val="center"/>
          </w:tcPr>
          <w:p w14:paraId="2E140F4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ascii="宋体" w:hAnsi="宋体" w:cs="宋体"/>
                <w:color w:val="auto"/>
                <w:spacing w:val="10"/>
                <w:kern w:val="2"/>
                <w:sz w:val="24"/>
                <w:szCs w:val="24"/>
              </w:rPr>
            </w:pPr>
            <w:r>
              <w:rPr>
                <w:rFonts w:hint="eastAsia" w:ascii="宋体" w:hAnsi="宋体" w:cs="宋体"/>
                <w:color w:val="auto"/>
                <w:kern w:val="2"/>
                <w:sz w:val="24"/>
                <w:szCs w:val="24"/>
              </w:rPr>
              <w:t>质量要求</w:t>
            </w:r>
          </w:p>
        </w:tc>
        <w:tc>
          <w:tcPr>
            <w:tcW w:w="5177" w:type="dxa"/>
            <w:noWrap w:val="0"/>
            <w:vAlign w:val="center"/>
          </w:tcPr>
          <w:p w14:paraId="50D9F1D0">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p>
        </w:tc>
      </w:tr>
      <w:tr w14:paraId="503E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noWrap w:val="0"/>
            <w:vAlign w:val="center"/>
          </w:tcPr>
          <w:p w14:paraId="2E0F1555">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eastAsia" w:ascii="宋体" w:hAnsi="宋体" w:eastAsia="宋体" w:cs="宋体"/>
                <w:color w:val="auto"/>
                <w:spacing w:val="10"/>
                <w:kern w:val="2"/>
                <w:sz w:val="24"/>
                <w:szCs w:val="24"/>
                <w:lang w:eastAsia="zh-CN"/>
              </w:rPr>
            </w:pPr>
            <w:r>
              <w:rPr>
                <w:rFonts w:hint="eastAsia" w:ascii="宋体" w:hAnsi="宋体" w:cs="宋体"/>
                <w:color w:val="auto"/>
                <w:spacing w:val="10"/>
                <w:kern w:val="2"/>
                <w:sz w:val="24"/>
                <w:szCs w:val="24"/>
              </w:rPr>
              <w:t>1</w:t>
            </w:r>
            <w:r>
              <w:rPr>
                <w:rFonts w:hint="eastAsia" w:ascii="宋体" w:hAnsi="宋体" w:cs="宋体"/>
                <w:color w:val="auto"/>
                <w:spacing w:val="10"/>
                <w:kern w:val="2"/>
                <w:sz w:val="24"/>
                <w:szCs w:val="24"/>
                <w:lang w:val="en-US" w:eastAsia="zh-CN"/>
              </w:rPr>
              <w:t>1</w:t>
            </w:r>
          </w:p>
        </w:tc>
        <w:tc>
          <w:tcPr>
            <w:tcW w:w="1765" w:type="dxa"/>
            <w:noWrap w:val="0"/>
            <w:vAlign w:val="center"/>
          </w:tcPr>
          <w:p w14:paraId="74AFA15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ascii="宋体" w:hAnsi="宋体" w:cs="宋体"/>
                <w:color w:val="auto"/>
                <w:spacing w:val="10"/>
                <w:kern w:val="2"/>
                <w:sz w:val="24"/>
                <w:szCs w:val="24"/>
              </w:rPr>
            </w:pPr>
            <w:r>
              <w:rPr>
                <w:rFonts w:hint="eastAsia" w:ascii="宋体" w:hAnsi="宋体" w:cs="宋体"/>
                <w:color w:val="auto"/>
                <w:spacing w:val="10"/>
                <w:kern w:val="2"/>
                <w:sz w:val="24"/>
                <w:szCs w:val="24"/>
              </w:rPr>
              <w:t>项目负责人</w:t>
            </w:r>
          </w:p>
        </w:tc>
        <w:tc>
          <w:tcPr>
            <w:tcW w:w="5177" w:type="dxa"/>
            <w:noWrap w:val="0"/>
            <w:vAlign w:val="center"/>
          </w:tcPr>
          <w:p w14:paraId="345DCA8B">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p>
        </w:tc>
      </w:tr>
      <w:tr w14:paraId="23E6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noWrap w:val="0"/>
            <w:vAlign w:val="center"/>
          </w:tcPr>
          <w:p w14:paraId="2CAE1CB0">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eastAsia" w:ascii="宋体" w:hAnsi="宋体" w:eastAsia="宋体" w:cs="宋体"/>
                <w:color w:val="auto"/>
                <w:spacing w:val="10"/>
                <w:kern w:val="2"/>
                <w:sz w:val="24"/>
                <w:szCs w:val="24"/>
                <w:lang w:eastAsia="zh-CN"/>
              </w:rPr>
            </w:pPr>
            <w:r>
              <w:rPr>
                <w:rFonts w:hint="eastAsia" w:ascii="宋体" w:hAnsi="宋体" w:cs="宋体"/>
                <w:color w:val="auto"/>
                <w:spacing w:val="10"/>
                <w:kern w:val="2"/>
                <w:sz w:val="24"/>
                <w:szCs w:val="24"/>
              </w:rPr>
              <w:t>1</w:t>
            </w:r>
            <w:r>
              <w:rPr>
                <w:rFonts w:hint="eastAsia" w:ascii="宋体" w:hAnsi="宋体" w:cs="宋体"/>
                <w:color w:val="auto"/>
                <w:spacing w:val="10"/>
                <w:kern w:val="2"/>
                <w:sz w:val="24"/>
                <w:szCs w:val="24"/>
                <w:lang w:val="en-US" w:eastAsia="zh-CN"/>
              </w:rPr>
              <w:t>2</w:t>
            </w:r>
          </w:p>
        </w:tc>
        <w:tc>
          <w:tcPr>
            <w:tcW w:w="1765" w:type="dxa"/>
            <w:noWrap w:val="0"/>
            <w:vAlign w:val="center"/>
          </w:tcPr>
          <w:p w14:paraId="06D797C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ascii="宋体" w:hAnsi="宋体" w:cs="宋体"/>
                <w:color w:val="auto"/>
                <w:spacing w:val="10"/>
                <w:kern w:val="2"/>
                <w:sz w:val="24"/>
                <w:szCs w:val="24"/>
              </w:rPr>
            </w:pPr>
            <w:r>
              <w:rPr>
                <w:rFonts w:hint="eastAsia" w:ascii="宋体" w:hAnsi="宋体" w:cs="宋体"/>
                <w:color w:val="auto"/>
                <w:spacing w:val="10"/>
                <w:kern w:val="2"/>
                <w:sz w:val="24"/>
                <w:szCs w:val="24"/>
              </w:rPr>
              <w:t>联系电话</w:t>
            </w:r>
          </w:p>
        </w:tc>
        <w:tc>
          <w:tcPr>
            <w:tcW w:w="5177" w:type="dxa"/>
            <w:noWrap w:val="0"/>
            <w:vAlign w:val="center"/>
          </w:tcPr>
          <w:p w14:paraId="4593D095">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p>
        </w:tc>
      </w:tr>
      <w:tr w14:paraId="0FC5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noWrap w:val="0"/>
            <w:vAlign w:val="center"/>
          </w:tcPr>
          <w:p w14:paraId="5BD79B1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10"/>
                <w:kern w:val="2"/>
                <w:sz w:val="24"/>
                <w:szCs w:val="24"/>
                <w:lang w:eastAsia="zh-CN"/>
              </w:rPr>
            </w:pPr>
            <w:r>
              <w:rPr>
                <w:rFonts w:hint="eastAsia" w:ascii="宋体" w:hAnsi="宋体" w:cs="宋体"/>
                <w:color w:val="auto"/>
                <w:spacing w:val="10"/>
                <w:kern w:val="2"/>
                <w:sz w:val="24"/>
                <w:szCs w:val="24"/>
              </w:rPr>
              <w:t>1</w:t>
            </w:r>
            <w:r>
              <w:rPr>
                <w:rFonts w:hint="eastAsia" w:ascii="宋体" w:hAnsi="宋体" w:cs="宋体"/>
                <w:color w:val="auto"/>
                <w:spacing w:val="10"/>
                <w:kern w:val="2"/>
                <w:sz w:val="24"/>
                <w:szCs w:val="24"/>
                <w:lang w:val="en-US" w:eastAsia="zh-CN"/>
              </w:rPr>
              <w:t>3</w:t>
            </w:r>
          </w:p>
        </w:tc>
        <w:tc>
          <w:tcPr>
            <w:tcW w:w="1765" w:type="dxa"/>
            <w:noWrap w:val="0"/>
            <w:vAlign w:val="center"/>
          </w:tcPr>
          <w:p w14:paraId="5E4353B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10"/>
                <w:kern w:val="2"/>
                <w:sz w:val="24"/>
                <w:szCs w:val="24"/>
                <w:lang w:eastAsia="zh-CN"/>
              </w:rPr>
            </w:pPr>
            <w:r>
              <w:rPr>
                <w:rFonts w:hint="eastAsia" w:ascii="宋体" w:hAnsi="宋体" w:cs="宋体"/>
                <w:color w:val="auto"/>
                <w:spacing w:val="10"/>
                <w:kern w:val="2"/>
                <w:sz w:val="24"/>
                <w:szCs w:val="24"/>
                <w:lang w:eastAsia="zh-CN"/>
              </w:rPr>
              <w:t>备注</w:t>
            </w:r>
          </w:p>
        </w:tc>
        <w:tc>
          <w:tcPr>
            <w:tcW w:w="5177" w:type="dxa"/>
            <w:noWrap w:val="0"/>
            <w:vAlign w:val="center"/>
          </w:tcPr>
          <w:p w14:paraId="49FC228D">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rPr>
            </w:pPr>
          </w:p>
        </w:tc>
      </w:tr>
    </w:tbl>
    <w:p w14:paraId="7E0BF944">
      <w:pPr>
        <w:pStyle w:val="4"/>
        <w:spacing w:line="480" w:lineRule="auto"/>
        <w:rPr>
          <w:rFonts w:hint="eastAsia" w:ascii="宋体" w:hAnsi="宋体" w:cs="宋体"/>
          <w:color w:val="auto"/>
          <w:spacing w:val="10"/>
          <w:sz w:val="24"/>
          <w:szCs w:val="24"/>
        </w:rPr>
      </w:pPr>
      <w:r>
        <w:rPr>
          <w:rFonts w:hint="eastAsia" w:ascii="宋体" w:hAnsi="宋体" w:cs="宋体"/>
          <w:color w:val="auto"/>
          <w:spacing w:val="10"/>
          <w:sz w:val="24"/>
          <w:szCs w:val="24"/>
        </w:rPr>
        <w:t>表中内容不允许缺项。</w:t>
      </w:r>
    </w:p>
    <w:p w14:paraId="6785FED1">
      <w:pPr>
        <w:pStyle w:val="4"/>
        <w:widowControl w:val="0"/>
        <w:wordWrap/>
        <w:adjustRightInd/>
        <w:snapToGrid/>
        <w:spacing w:before="0" w:after="0" w:line="240" w:lineRule="auto"/>
        <w:ind w:left="0" w:leftChars="0" w:right="0" w:firstLine="460" w:firstLineChars="200"/>
        <w:jc w:val="both"/>
        <w:textAlignment w:val="auto"/>
        <w:outlineLvl w:val="9"/>
        <w:rPr>
          <w:rFonts w:hint="eastAsia" w:ascii="宋体" w:hAnsi="宋体" w:cs="宋体"/>
          <w:color w:val="auto"/>
          <w:spacing w:val="10"/>
          <w:sz w:val="21"/>
          <w:szCs w:val="21"/>
        </w:rPr>
      </w:pPr>
      <w:r>
        <w:rPr>
          <w:rFonts w:hint="eastAsia" w:ascii="宋体" w:hAnsi="宋体" w:cs="宋体"/>
          <w:color w:val="auto"/>
          <w:spacing w:val="10"/>
          <w:sz w:val="21"/>
          <w:szCs w:val="21"/>
        </w:rPr>
        <w:t>说明：</w:t>
      </w:r>
    </w:p>
    <w:p w14:paraId="77E3AF50">
      <w:pPr>
        <w:pStyle w:val="4"/>
        <w:widowControl w:val="0"/>
        <w:wordWrap/>
        <w:adjustRightInd/>
        <w:snapToGrid/>
        <w:spacing w:before="0" w:after="0" w:line="240" w:lineRule="auto"/>
        <w:ind w:left="0" w:leftChars="0" w:right="0" w:firstLine="460" w:firstLineChars="200"/>
        <w:jc w:val="both"/>
        <w:textAlignment w:val="auto"/>
        <w:outlineLvl w:val="9"/>
        <w:rPr>
          <w:rFonts w:hint="eastAsia" w:ascii="宋体" w:hAnsi="宋体" w:cs="宋体"/>
          <w:color w:val="auto"/>
          <w:spacing w:val="10"/>
          <w:sz w:val="21"/>
          <w:szCs w:val="21"/>
        </w:rPr>
      </w:pPr>
      <w:r>
        <w:rPr>
          <w:rFonts w:hint="eastAsia" w:ascii="宋体" w:hAnsi="宋体" w:cs="宋体"/>
          <w:color w:val="auto"/>
          <w:spacing w:val="10"/>
          <w:sz w:val="21"/>
          <w:szCs w:val="21"/>
        </w:rPr>
        <w:t>1、本表投标总价应与磋商文件中报价表的总报价一致。</w:t>
      </w:r>
    </w:p>
    <w:p w14:paraId="231186ED">
      <w:pPr>
        <w:pStyle w:val="4"/>
        <w:widowControl w:val="0"/>
        <w:wordWrap/>
        <w:adjustRightInd/>
        <w:snapToGrid/>
        <w:spacing w:before="0" w:after="0" w:line="240" w:lineRule="auto"/>
        <w:ind w:left="0" w:leftChars="0" w:right="0" w:firstLine="460" w:firstLineChars="200"/>
        <w:jc w:val="both"/>
        <w:textAlignment w:val="auto"/>
        <w:outlineLvl w:val="9"/>
        <w:rPr>
          <w:rFonts w:hint="eastAsia" w:ascii="宋体" w:hAnsi="宋体" w:cs="宋体"/>
          <w:color w:val="auto"/>
          <w:spacing w:val="10"/>
          <w:sz w:val="21"/>
          <w:szCs w:val="21"/>
        </w:rPr>
      </w:pPr>
      <w:r>
        <w:rPr>
          <w:rFonts w:hint="eastAsia" w:ascii="宋体" w:hAnsi="宋体" w:cs="宋体"/>
          <w:color w:val="auto"/>
          <w:spacing w:val="10"/>
          <w:sz w:val="21"/>
          <w:szCs w:val="21"/>
        </w:rPr>
        <w:t>2、开标一览表中每个包只允许有一个磋商总报价（综合折扣）。</w:t>
      </w:r>
    </w:p>
    <w:p w14:paraId="6C86CDD0">
      <w:pPr>
        <w:pStyle w:val="4"/>
        <w:widowControl w:val="0"/>
        <w:wordWrap/>
        <w:adjustRightInd/>
        <w:snapToGrid/>
        <w:spacing w:before="0" w:after="0" w:line="240" w:lineRule="auto"/>
        <w:ind w:left="0" w:leftChars="0" w:right="0" w:firstLine="460" w:firstLineChars="200"/>
        <w:jc w:val="both"/>
        <w:textAlignment w:val="auto"/>
        <w:outlineLvl w:val="9"/>
        <w:rPr>
          <w:rFonts w:hint="eastAsia" w:ascii="宋体" w:hAnsi="宋体" w:cs="宋体"/>
          <w:color w:val="auto"/>
          <w:spacing w:val="10"/>
          <w:sz w:val="21"/>
          <w:szCs w:val="21"/>
        </w:rPr>
      </w:pPr>
      <w:r>
        <w:rPr>
          <w:rFonts w:hint="eastAsia" w:ascii="宋体" w:hAnsi="宋体" w:cs="宋体"/>
          <w:color w:val="auto"/>
          <w:spacing w:val="10"/>
          <w:sz w:val="21"/>
          <w:szCs w:val="21"/>
          <w:lang w:val="en-US" w:eastAsia="zh-CN"/>
        </w:rPr>
        <w:t>3</w:t>
      </w:r>
      <w:r>
        <w:rPr>
          <w:rFonts w:hint="eastAsia" w:ascii="宋体" w:hAnsi="宋体" w:cs="宋体"/>
          <w:color w:val="auto"/>
          <w:spacing w:val="10"/>
          <w:sz w:val="21"/>
          <w:szCs w:val="21"/>
        </w:rPr>
        <w:t>、磋商总报价（综合折扣）包含所投产品本身价、税、运输到指定地点的费用以及售后服务费、招标代理服务费等。供应商在报价时应综合考虑。</w:t>
      </w:r>
    </w:p>
    <w:p w14:paraId="59C032CF">
      <w:pPr>
        <w:widowControl w:val="0"/>
        <w:autoSpaceDE w:val="0"/>
        <w:autoSpaceDN w:val="0"/>
        <w:adjustRightInd w:val="0"/>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              </w:t>
      </w:r>
    </w:p>
    <w:p w14:paraId="3DA089B1">
      <w:pPr>
        <w:autoSpaceDE w:val="0"/>
        <w:autoSpaceDN w:val="0"/>
        <w:adjustRightInd w:val="0"/>
        <w:snapToGrid w:val="0"/>
        <w:spacing w:after="200" w:line="360" w:lineRule="auto"/>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xml:space="preserve">                         </w:t>
      </w:r>
      <w:r>
        <w:rPr>
          <w:rFonts w:hint="eastAsia" w:ascii="宋体" w:hAnsi="宋体" w:cs="宋体"/>
          <w:color w:val="auto"/>
          <w:sz w:val="24"/>
          <w:szCs w:val="24"/>
        </w:rPr>
        <w:t>（</w:t>
      </w:r>
      <w:r>
        <w:rPr>
          <w:rFonts w:hint="eastAsia" w:ascii="宋体" w:hAnsi="宋体" w:cs="宋体"/>
          <w:color w:val="auto"/>
          <w:sz w:val="24"/>
          <w:szCs w:val="24"/>
          <w:lang w:val="en-US" w:eastAsia="zh-CN"/>
        </w:rPr>
        <w:t>公章</w:t>
      </w:r>
      <w:r>
        <w:rPr>
          <w:rFonts w:hint="eastAsia" w:ascii="宋体" w:hAnsi="宋体" w:cs="宋体"/>
          <w:color w:val="auto"/>
          <w:sz w:val="24"/>
          <w:szCs w:val="24"/>
        </w:rPr>
        <w:t>签章）</w:t>
      </w:r>
    </w:p>
    <w:p w14:paraId="451C0FF4">
      <w:pPr>
        <w:autoSpaceDE w:val="0"/>
        <w:autoSpaceDN w:val="0"/>
        <w:adjustRightInd w:val="0"/>
        <w:snapToGrid w:val="0"/>
        <w:spacing w:after="200" w:line="360" w:lineRule="auto"/>
        <w:rPr>
          <w:rFonts w:ascii="宋体" w:hAnsi="宋体" w:cs="宋体"/>
          <w:color w:val="auto"/>
          <w:sz w:val="24"/>
          <w:szCs w:val="24"/>
        </w:rPr>
      </w:pPr>
      <w:r>
        <w:rPr>
          <w:rFonts w:hint="eastAsia" w:ascii="宋体" w:hAnsi="宋体" w:cs="宋体"/>
          <w:color w:val="auto"/>
          <w:sz w:val="24"/>
          <w:szCs w:val="24"/>
        </w:rPr>
        <w:t>法定代表人或授权委托人：</w:t>
      </w:r>
      <w:r>
        <w:rPr>
          <w:rFonts w:hint="eastAsia" w:ascii="宋体" w:hAnsi="宋体" w:cs="宋体"/>
          <w:color w:val="auto"/>
          <w:sz w:val="24"/>
          <w:szCs w:val="24"/>
          <w:u w:val="single"/>
        </w:rPr>
        <w:t xml:space="preserve">           </w:t>
      </w:r>
      <w:r>
        <w:rPr>
          <w:rFonts w:hint="eastAsia" w:ascii="宋体" w:hAnsi="宋体" w:cs="宋体"/>
          <w:color w:val="auto"/>
          <w:sz w:val="24"/>
          <w:szCs w:val="24"/>
        </w:rPr>
        <w:t>（签章）</w:t>
      </w:r>
    </w:p>
    <w:p w14:paraId="288142A0">
      <w:pPr>
        <w:autoSpaceDE w:val="0"/>
        <w:autoSpaceDN w:val="0"/>
        <w:adjustRightInd w:val="0"/>
        <w:snapToGrid w:val="0"/>
        <w:spacing w:after="200" w:line="360" w:lineRule="auto"/>
        <w:rPr>
          <w:rFonts w:hint="eastAsia" w:ascii="宋体" w:hAnsi="宋体" w:eastAsia="宋体" w:cs="宋体"/>
          <w:b/>
          <w:bCs/>
          <w:color w:val="auto"/>
          <w:sz w:val="28"/>
          <w:szCs w:val="28"/>
        </w:rPr>
      </w:pPr>
      <w:r>
        <w:rPr>
          <w:rFonts w:hint="eastAsia" w:ascii="宋体" w:hAnsi="宋体" w:cs="宋体"/>
          <w:color w:val="auto"/>
          <w:sz w:val="24"/>
          <w:szCs w:val="24"/>
        </w:rPr>
        <w:t xml:space="preserve"> 日期：</w:t>
      </w:r>
    </w:p>
    <w:p w14:paraId="42FD979B">
      <w:pPr>
        <w:spacing w:line="480" w:lineRule="auto"/>
        <w:jc w:val="left"/>
        <w:rPr>
          <w:rFonts w:hint="eastAsia" w:ascii="宋体" w:hAnsi="宋体" w:eastAsia="宋体" w:cs="宋体"/>
          <w:sz w:val="24"/>
          <w:szCs w:val="24"/>
        </w:rPr>
      </w:pPr>
      <w:r>
        <w:rPr>
          <w:rFonts w:hint="eastAsia" w:ascii="宋体" w:hAnsi="宋体" w:eastAsia="宋体" w:cs="宋体"/>
          <w:sz w:val="28"/>
          <w:szCs w:val="28"/>
        </w:rPr>
        <w:br w:type="page"/>
      </w:r>
      <w:r>
        <w:rPr>
          <w:rFonts w:hint="eastAsia" w:ascii="宋体" w:hAnsi="宋体" w:eastAsia="宋体" w:cs="宋体"/>
          <w:sz w:val="24"/>
          <w:szCs w:val="24"/>
        </w:rPr>
        <w:t>2.2</w:t>
      </w:r>
      <w:r>
        <w:rPr>
          <w:rFonts w:hint="eastAsia" w:ascii="宋体" w:hAnsi="宋体" w:eastAsia="宋体" w:cs="宋体"/>
          <w:sz w:val="24"/>
          <w:szCs w:val="24"/>
          <w:lang w:val="en-US" w:eastAsia="zh-CN"/>
        </w:rPr>
        <w:t>分项</w:t>
      </w:r>
      <w:r>
        <w:rPr>
          <w:rFonts w:hint="eastAsia" w:ascii="宋体" w:hAnsi="宋体" w:eastAsia="宋体" w:cs="宋体"/>
          <w:sz w:val="24"/>
          <w:szCs w:val="24"/>
        </w:rPr>
        <w:t>报价一览表</w:t>
      </w:r>
    </w:p>
    <w:tbl>
      <w:tblPr>
        <w:tblStyle w:val="19"/>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049"/>
        <w:gridCol w:w="1013"/>
        <w:gridCol w:w="1125"/>
        <w:gridCol w:w="1125"/>
        <w:gridCol w:w="1125"/>
        <w:gridCol w:w="1313"/>
        <w:gridCol w:w="937"/>
      </w:tblGrid>
      <w:tr w14:paraId="7E2F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37" w:type="dxa"/>
            <w:noWrap w:val="0"/>
            <w:vAlign w:val="center"/>
          </w:tcPr>
          <w:p w14:paraId="593FF72B">
            <w:pPr>
              <w:keepNext w:val="0"/>
              <w:keepLines w:val="0"/>
              <w:pageBreakBefore w:val="0"/>
              <w:widowControl/>
              <w:kinsoku/>
              <w:wordWrap w:val="0"/>
              <w:overflowPunct/>
              <w:topLinePunct w:val="0"/>
              <w:autoSpaceDE/>
              <w:autoSpaceDN/>
              <w:bidi w:val="0"/>
              <w:adjustRightInd/>
              <w:snapToGrid/>
              <w:spacing w:line="48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049" w:type="dxa"/>
            <w:noWrap w:val="0"/>
            <w:vAlign w:val="center"/>
          </w:tcPr>
          <w:p w14:paraId="6E859AAB">
            <w:pPr>
              <w:keepNext w:val="0"/>
              <w:keepLines w:val="0"/>
              <w:pageBreakBefore w:val="0"/>
              <w:widowControl/>
              <w:kinsoku/>
              <w:wordWrap w:val="0"/>
              <w:overflowPunct/>
              <w:topLinePunct w:val="0"/>
              <w:autoSpaceDE/>
              <w:autoSpaceDN/>
              <w:bidi w:val="0"/>
              <w:adjustRightInd/>
              <w:snapToGrid/>
              <w:spacing w:line="48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1013" w:type="dxa"/>
            <w:noWrap w:val="0"/>
            <w:vAlign w:val="center"/>
          </w:tcPr>
          <w:p w14:paraId="59770EB7">
            <w:pPr>
              <w:keepNext w:val="0"/>
              <w:keepLines w:val="0"/>
              <w:pageBreakBefore w:val="0"/>
              <w:widowControl/>
              <w:kinsoku/>
              <w:wordWrap w:val="0"/>
              <w:overflowPunct/>
              <w:topLinePunct w:val="0"/>
              <w:autoSpaceDE/>
              <w:autoSpaceDN/>
              <w:bidi w:val="0"/>
              <w:adjustRightInd/>
              <w:snapToGrid/>
              <w:spacing w:line="48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125" w:type="dxa"/>
            <w:noWrap w:val="0"/>
            <w:vAlign w:val="center"/>
          </w:tcPr>
          <w:p w14:paraId="465E8D70">
            <w:pPr>
              <w:keepNext w:val="0"/>
              <w:keepLines w:val="0"/>
              <w:pageBreakBefore w:val="0"/>
              <w:widowControl/>
              <w:kinsoku/>
              <w:wordWrap w:val="0"/>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125" w:type="dxa"/>
            <w:noWrap w:val="0"/>
            <w:vAlign w:val="center"/>
          </w:tcPr>
          <w:p w14:paraId="2604E09A">
            <w:pPr>
              <w:keepNext w:val="0"/>
              <w:keepLines w:val="0"/>
              <w:pageBreakBefore w:val="0"/>
              <w:widowControl/>
              <w:kinsoku/>
              <w:wordWrap w:val="0"/>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p>
        </w:tc>
        <w:tc>
          <w:tcPr>
            <w:tcW w:w="1125" w:type="dxa"/>
            <w:noWrap w:val="0"/>
            <w:vAlign w:val="center"/>
          </w:tcPr>
          <w:p w14:paraId="35C74B5F">
            <w:pPr>
              <w:keepNext w:val="0"/>
              <w:keepLines w:val="0"/>
              <w:pageBreakBefore w:val="0"/>
              <w:widowControl/>
              <w:kinsoku/>
              <w:wordWrap w:val="0"/>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总价</w:t>
            </w:r>
          </w:p>
        </w:tc>
        <w:tc>
          <w:tcPr>
            <w:tcW w:w="1313" w:type="dxa"/>
            <w:noWrap w:val="0"/>
            <w:vAlign w:val="center"/>
          </w:tcPr>
          <w:p w14:paraId="180F6876">
            <w:pPr>
              <w:keepNext w:val="0"/>
              <w:keepLines w:val="0"/>
              <w:pageBreakBefore w:val="0"/>
              <w:widowControl/>
              <w:kinsoku/>
              <w:wordWrap w:val="0"/>
              <w:overflowPunct/>
              <w:topLinePunct w:val="0"/>
              <w:autoSpaceDE/>
              <w:autoSpaceDN/>
              <w:bidi w:val="0"/>
              <w:adjustRightInd/>
              <w:snapToGrid/>
              <w:spacing w:line="48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主要内容</w:t>
            </w:r>
          </w:p>
        </w:tc>
        <w:tc>
          <w:tcPr>
            <w:tcW w:w="937" w:type="dxa"/>
            <w:noWrap w:val="0"/>
            <w:vAlign w:val="center"/>
          </w:tcPr>
          <w:p w14:paraId="271255D1">
            <w:pPr>
              <w:keepNext w:val="0"/>
              <w:keepLines w:val="0"/>
              <w:pageBreakBefore w:val="0"/>
              <w:widowControl/>
              <w:kinsoku/>
              <w:wordWrap w:val="0"/>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0E77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37" w:type="dxa"/>
            <w:noWrap w:val="0"/>
            <w:vAlign w:val="top"/>
          </w:tcPr>
          <w:p w14:paraId="0A82412B">
            <w:pPr>
              <w:jc w:val="center"/>
              <w:rPr>
                <w:rFonts w:hint="eastAsia" w:ascii="宋体" w:hAnsi="宋体" w:eastAsia="宋体" w:cs="宋体"/>
                <w:sz w:val="24"/>
                <w:szCs w:val="24"/>
              </w:rPr>
            </w:pPr>
          </w:p>
        </w:tc>
        <w:tc>
          <w:tcPr>
            <w:tcW w:w="1049" w:type="dxa"/>
            <w:noWrap w:val="0"/>
            <w:vAlign w:val="top"/>
          </w:tcPr>
          <w:p w14:paraId="3AD6C4CC">
            <w:pPr>
              <w:jc w:val="center"/>
              <w:rPr>
                <w:rFonts w:hint="eastAsia" w:ascii="宋体" w:hAnsi="宋体" w:eastAsia="宋体" w:cs="宋体"/>
                <w:sz w:val="24"/>
                <w:szCs w:val="24"/>
              </w:rPr>
            </w:pPr>
          </w:p>
        </w:tc>
        <w:tc>
          <w:tcPr>
            <w:tcW w:w="1013" w:type="dxa"/>
            <w:noWrap w:val="0"/>
            <w:vAlign w:val="top"/>
          </w:tcPr>
          <w:p w14:paraId="7A44FBD4">
            <w:pPr>
              <w:rPr>
                <w:rFonts w:hint="eastAsia" w:ascii="宋体" w:hAnsi="宋体" w:eastAsia="宋体" w:cs="宋体"/>
                <w:sz w:val="24"/>
                <w:szCs w:val="24"/>
              </w:rPr>
            </w:pPr>
          </w:p>
        </w:tc>
        <w:tc>
          <w:tcPr>
            <w:tcW w:w="1125" w:type="dxa"/>
            <w:noWrap w:val="0"/>
            <w:vAlign w:val="top"/>
          </w:tcPr>
          <w:p w14:paraId="63DB1A40">
            <w:pPr>
              <w:pStyle w:val="2"/>
              <w:spacing w:after="0" w:line="576" w:lineRule="exact"/>
              <w:ind w:firstLine="560"/>
              <w:rPr>
                <w:rFonts w:hint="eastAsia" w:ascii="宋体" w:hAnsi="宋体" w:eastAsia="宋体" w:cs="宋体"/>
                <w:color w:val="000000"/>
                <w:sz w:val="24"/>
                <w:szCs w:val="24"/>
              </w:rPr>
            </w:pPr>
          </w:p>
        </w:tc>
        <w:tc>
          <w:tcPr>
            <w:tcW w:w="1125" w:type="dxa"/>
            <w:noWrap w:val="0"/>
            <w:vAlign w:val="top"/>
          </w:tcPr>
          <w:p w14:paraId="6A8FCE99">
            <w:pPr>
              <w:pStyle w:val="2"/>
              <w:spacing w:after="0" w:line="576" w:lineRule="exact"/>
              <w:ind w:firstLine="560"/>
              <w:rPr>
                <w:rFonts w:hint="eastAsia" w:ascii="宋体" w:hAnsi="宋体" w:eastAsia="宋体" w:cs="宋体"/>
                <w:color w:val="000000"/>
                <w:sz w:val="24"/>
                <w:szCs w:val="24"/>
              </w:rPr>
            </w:pPr>
          </w:p>
        </w:tc>
        <w:tc>
          <w:tcPr>
            <w:tcW w:w="1125" w:type="dxa"/>
            <w:noWrap w:val="0"/>
            <w:vAlign w:val="top"/>
          </w:tcPr>
          <w:p w14:paraId="1C1B5DE0">
            <w:pPr>
              <w:pStyle w:val="2"/>
              <w:spacing w:after="0" w:line="576" w:lineRule="exact"/>
              <w:ind w:firstLine="560"/>
              <w:rPr>
                <w:rFonts w:hint="eastAsia" w:ascii="宋体" w:hAnsi="宋体" w:eastAsia="宋体" w:cs="宋体"/>
                <w:color w:val="000000"/>
                <w:sz w:val="24"/>
                <w:szCs w:val="24"/>
              </w:rPr>
            </w:pPr>
          </w:p>
        </w:tc>
        <w:tc>
          <w:tcPr>
            <w:tcW w:w="1313" w:type="dxa"/>
            <w:noWrap w:val="0"/>
            <w:vAlign w:val="top"/>
          </w:tcPr>
          <w:p w14:paraId="716332C3">
            <w:pPr>
              <w:pStyle w:val="2"/>
              <w:spacing w:after="0" w:line="576" w:lineRule="exact"/>
              <w:ind w:firstLine="560"/>
              <w:rPr>
                <w:rFonts w:hint="eastAsia" w:ascii="宋体" w:hAnsi="宋体" w:eastAsia="宋体" w:cs="宋体"/>
                <w:color w:val="000000"/>
                <w:sz w:val="24"/>
                <w:szCs w:val="24"/>
              </w:rPr>
            </w:pPr>
          </w:p>
        </w:tc>
        <w:tc>
          <w:tcPr>
            <w:tcW w:w="937" w:type="dxa"/>
            <w:noWrap w:val="0"/>
            <w:vAlign w:val="top"/>
          </w:tcPr>
          <w:p w14:paraId="5BB44CD5">
            <w:pPr>
              <w:pStyle w:val="2"/>
              <w:spacing w:after="0" w:line="576" w:lineRule="exact"/>
              <w:ind w:firstLine="560"/>
              <w:rPr>
                <w:rFonts w:hint="eastAsia" w:ascii="宋体" w:hAnsi="宋体" w:eastAsia="宋体" w:cs="宋体"/>
                <w:color w:val="000000"/>
                <w:sz w:val="24"/>
                <w:szCs w:val="24"/>
              </w:rPr>
            </w:pPr>
          </w:p>
        </w:tc>
      </w:tr>
      <w:tr w14:paraId="2017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37" w:type="dxa"/>
            <w:noWrap w:val="0"/>
            <w:vAlign w:val="top"/>
          </w:tcPr>
          <w:p w14:paraId="10D1F859">
            <w:pPr>
              <w:jc w:val="center"/>
              <w:rPr>
                <w:rFonts w:hint="eastAsia" w:ascii="宋体" w:hAnsi="宋体" w:eastAsia="宋体" w:cs="宋体"/>
                <w:sz w:val="24"/>
                <w:szCs w:val="24"/>
              </w:rPr>
            </w:pPr>
          </w:p>
        </w:tc>
        <w:tc>
          <w:tcPr>
            <w:tcW w:w="1049" w:type="dxa"/>
            <w:noWrap w:val="0"/>
            <w:vAlign w:val="top"/>
          </w:tcPr>
          <w:p w14:paraId="03E3B69D">
            <w:pPr>
              <w:jc w:val="center"/>
              <w:rPr>
                <w:rFonts w:hint="eastAsia" w:ascii="宋体" w:hAnsi="宋体" w:eastAsia="宋体" w:cs="宋体"/>
                <w:sz w:val="24"/>
                <w:szCs w:val="24"/>
              </w:rPr>
            </w:pPr>
          </w:p>
        </w:tc>
        <w:tc>
          <w:tcPr>
            <w:tcW w:w="1013" w:type="dxa"/>
            <w:noWrap w:val="0"/>
            <w:vAlign w:val="top"/>
          </w:tcPr>
          <w:p w14:paraId="3652E40B">
            <w:pPr>
              <w:ind w:firstLine="240" w:firstLineChars="100"/>
              <w:rPr>
                <w:rFonts w:hint="eastAsia" w:ascii="宋体" w:hAnsi="宋体" w:eastAsia="宋体" w:cs="宋体"/>
                <w:sz w:val="24"/>
                <w:szCs w:val="24"/>
              </w:rPr>
            </w:pPr>
          </w:p>
        </w:tc>
        <w:tc>
          <w:tcPr>
            <w:tcW w:w="1125" w:type="dxa"/>
            <w:noWrap w:val="0"/>
            <w:vAlign w:val="top"/>
          </w:tcPr>
          <w:p w14:paraId="3690F8B2">
            <w:pPr>
              <w:jc w:val="left"/>
              <w:rPr>
                <w:rFonts w:hint="eastAsia" w:ascii="宋体" w:hAnsi="宋体" w:eastAsia="宋体" w:cs="宋体"/>
                <w:sz w:val="24"/>
                <w:szCs w:val="24"/>
              </w:rPr>
            </w:pPr>
          </w:p>
        </w:tc>
        <w:tc>
          <w:tcPr>
            <w:tcW w:w="1125" w:type="dxa"/>
            <w:noWrap w:val="0"/>
            <w:vAlign w:val="top"/>
          </w:tcPr>
          <w:p w14:paraId="67E52A19">
            <w:pPr>
              <w:jc w:val="left"/>
              <w:rPr>
                <w:rFonts w:hint="eastAsia" w:ascii="宋体" w:hAnsi="宋体" w:eastAsia="宋体" w:cs="宋体"/>
                <w:sz w:val="24"/>
                <w:szCs w:val="24"/>
              </w:rPr>
            </w:pPr>
          </w:p>
        </w:tc>
        <w:tc>
          <w:tcPr>
            <w:tcW w:w="1125" w:type="dxa"/>
            <w:noWrap w:val="0"/>
            <w:vAlign w:val="top"/>
          </w:tcPr>
          <w:p w14:paraId="6D4A2E7C">
            <w:pPr>
              <w:jc w:val="left"/>
              <w:rPr>
                <w:rFonts w:hint="eastAsia" w:ascii="宋体" w:hAnsi="宋体" w:eastAsia="宋体" w:cs="宋体"/>
                <w:sz w:val="24"/>
                <w:szCs w:val="24"/>
              </w:rPr>
            </w:pPr>
          </w:p>
        </w:tc>
        <w:tc>
          <w:tcPr>
            <w:tcW w:w="1313" w:type="dxa"/>
            <w:noWrap w:val="0"/>
            <w:vAlign w:val="top"/>
          </w:tcPr>
          <w:p w14:paraId="5F1186E3">
            <w:pPr>
              <w:jc w:val="left"/>
              <w:rPr>
                <w:rFonts w:hint="eastAsia" w:ascii="宋体" w:hAnsi="宋体" w:eastAsia="宋体" w:cs="宋体"/>
                <w:sz w:val="24"/>
                <w:szCs w:val="24"/>
              </w:rPr>
            </w:pPr>
          </w:p>
        </w:tc>
        <w:tc>
          <w:tcPr>
            <w:tcW w:w="937" w:type="dxa"/>
            <w:noWrap w:val="0"/>
            <w:vAlign w:val="top"/>
          </w:tcPr>
          <w:p w14:paraId="0F0A7B96">
            <w:pPr>
              <w:jc w:val="left"/>
              <w:rPr>
                <w:rFonts w:hint="eastAsia" w:ascii="宋体" w:hAnsi="宋体" w:eastAsia="宋体" w:cs="宋体"/>
                <w:sz w:val="24"/>
                <w:szCs w:val="24"/>
              </w:rPr>
            </w:pPr>
          </w:p>
        </w:tc>
      </w:tr>
      <w:tr w14:paraId="6767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37" w:type="dxa"/>
            <w:noWrap w:val="0"/>
            <w:vAlign w:val="top"/>
          </w:tcPr>
          <w:p w14:paraId="3DE52230">
            <w:pPr>
              <w:jc w:val="center"/>
              <w:rPr>
                <w:rFonts w:hint="eastAsia" w:ascii="宋体" w:hAnsi="宋体" w:eastAsia="宋体" w:cs="宋体"/>
                <w:sz w:val="24"/>
                <w:szCs w:val="24"/>
              </w:rPr>
            </w:pPr>
          </w:p>
        </w:tc>
        <w:tc>
          <w:tcPr>
            <w:tcW w:w="1049" w:type="dxa"/>
            <w:noWrap w:val="0"/>
            <w:vAlign w:val="top"/>
          </w:tcPr>
          <w:p w14:paraId="22C71968">
            <w:pPr>
              <w:jc w:val="center"/>
              <w:rPr>
                <w:rFonts w:hint="eastAsia" w:ascii="宋体" w:hAnsi="宋体" w:eastAsia="宋体" w:cs="宋体"/>
                <w:sz w:val="24"/>
                <w:szCs w:val="24"/>
              </w:rPr>
            </w:pPr>
          </w:p>
        </w:tc>
        <w:tc>
          <w:tcPr>
            <w:tcW w:w="1013" w:type="dxa"/>
            <w:noWrap w:val="0"/>
            <w:vAlign w:val="top"/>
          </w:tcPr>
          <w:p w14:paraId="07C8D740">
            <w:pPr>
              <w:rPr>
                <w:rFonts w:hint="eastAsia" w:ascii="宋体" w:hAnsi="宋体" w:eastAsia="宋体" w:cs="宋体"/>
                <w:sz w:val="24"/>
                <w:szCs w:val="24"/>
              </w:rPr>
            </w:pPr>
          </w:p>
        </w:tc>
        <w:tc>
          <w:tcPr>
            <w:tcW w:w="1125" w:type="dxa"/>
            <w:noWrap w:val="0"/>
            <w:vAlign w:val="top"/>
          </w:tcPr>
          <w:p w14:paraId="64F80018">
            <w:pPr>
              <w:jc w:val="center"/>
              <w:rPr>
                <w:rFonts w:hint="eastAsia" w:ascii="宋体" w:hAnsi="宋体" w:eastAsia="宋体" w:cs="宋体"/>
                <w:sz w:val="24"/>
                <w:szCs w:val="24"/>
              </w:rPr>
            </w:pPr>
          </w:p>
        </w:tc>
        <w:tc>
          <w:tcPr>
            <w:tcW w:w="1125" w:type="dxa"/>
            <w:noWrap w:val="0"/>
            <w:vAlign w:val="top"/>
          </w:tcPr>
          <w:p w14:paraId="4E96960D">
            <w:pPr>
              <w:jc w:val="center"/>
              <w:rPr>
                <w:rFonts w:hint="eastAsia" w:ascii="宋体" w:hAnsi="宋体" w:eastAsia="宋体" w:cs="宋体"/>
                <w:sz w:val="24"/>
                <w:szCs w:val="24"/>
              </w:rPr>
            </w:pPr>
          </w:p>
        </w:tc>
        <w:tc>
          <w:tcPr>
            <w:tcW w:w="1125" w:type="dxa"/>
            <w:noWrap w:val="0"/>
            <w:vAlign w:val="top"/>
          </w:tcPr>
          <w:p w14:paraId="14629D13">
            <w:pPr>
              <w:jc w:val="center"/>
              <w:rPr>
                <w:rFonts w:hint="eastAsia" w:ascii="宋体" w:hAnsi="宋体" w:eastAsia="宋体" w:cs="宋体"/>
                <w:sz w:val="24"/>
                <w:szCs w:val="24"/>
              </w:rPr>
            </w:pPr>
          </w:p>
        </w:tc>
        <w:tc>
          <w:tcPr>
            <w:tcW w:w="1313" w:type="dxa"/>
            <w:noWrap w:val="0"/>
            <w:vAlign w:val="top"/>
          </w:tcPr>
          <w:p w14:paraId="60D93428">
            <w:pPr>
              <w:jc w:val="center"/>
              <w:rPr>
                <w:rFonts w:hint="eastAsia" w:ascii="宋体" w:hAnsi="宋体" w:eastAsia="宋体" w:cs="宋体"/>
                <w:sz w:val="24"/>
                <w:szCs w:val="24"/>
              </w:rPr>
            </w:pPr>
          </w:p>
        </w:tc>
        <w:tc>
          <w:tcPr>
            <w:tcW w:w="937" w:type="dxa"/>
            <w:noWrap w:val="0"/>
            <w:vAlign w:val="top"/>
          </w:tcPr>
          <w:p w14:paraId="4C4CE2D8">
            <w:pPr>
              <w:jc w:val="center"/>
              <w:rPr>
                <w:rFonts w:hint="eastAsia" w:ascii="宋体" w:hAnsi="宋体" w:eastAsia="宋体" w:cs="宋体"/>
                <w:sz w:val="24"/>
                <w:szCs w:val="24"/>
              </w:rPr>
            </w:pPr>
          </w:p>
        </w:tc>
      </w:tr>
      <w:tr w14:paraId="5128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37" w:type="dxa"/>
            <w:noWrap w:val="0"/>
            <w:vAlign w:val="top"/>
          </w:tcPr>
          <w:p w14:paraId="3670DF5F">
            <w:pPr>
              <w:jc w:val="center"/>
              <w:rPr>
                <w:rFonts w:hint="eastAsia" w:ascii="宋体" w:hAnsi="宋体" w:eastAsia="宋体" w:cs="宋体"/>
                <w:sz w:val="24"/>
                <w:szCs w:val="24"/>
              </w:rPr>
            </w:pPr>
          </w:p>
        </w:tc>
        <w:tc>
          <w:tcPr>
            <w:tcW w:w="1049" w:type="dxa"/>
            <w:noWrap w:val="0"/>
            <w:vAlign w:val="top"/>
          </w:tcPr>
          <w:p w14:paraId="6AC0B607">
            <w:pPr>
              <w:jc w:val="center"/>
              <w:rPr>
                <w:rFonts w:hint="eastAsia" w:ascii="宋体" w:hAnsi="宋体" w:eastAsia="宋体" w:cs="宋体"/>
                <w:sz w:val="24"/>
                <w:szCs w:val="24"/>
              </w:rPr>
            </w:pPr>
          </w:p>
        </w:tc>
        <w:tc>
          <w:tcPr>
            <w:tcW w:w="1013" w:type="dxa"/>
            <w:noWrap w:val="0"/>
            <w:vAlign w:val="top"/>
          </w:tcPr>
          <w:p w14:paraId="204EFE4E">
            <w:pPr>
              <w:rPr>
                <w:rFonts w:hint="eastAsia" w:ascii="宋体" w:hAnsi="宋体" w:eastAsia="宋体" w:cs="宋体"/>
                <w:sz w:val="24"/>
                <w:szCs w:val="24"/>
              </w:rPr>
            </w:pPr>
          </w:p>
        </w:tc>
        <w:tc>
          <w:tcPr>
            <w:tcW w:w="1125" w:type="dxa"/>
            <w:noWrap w:val="0"/>
            <w:vAlign w:val="top"/>
          </w:tcPr>
          <w:p w14:paraId="4E93F90F">
            <w:pPr>
              <w:rPr>
                <w:rFonts w:hint="eastAsia" w:ascii="宋体" w:hAnsi="宋体" w:eastAsia="宋体" w:cs="宋体"/>
                <w:sz w:val="24"/>
                <w:szCs w:val="24"/>
              </w:rPr>
            </w:pPr>
          </w:p>
        </w:tc>
        <w:tc>
          <w:tcPr>
            <w:tcW w:w="1125" w:type="dxa"/>
            <w:noWrap w:val="0"/>
            <w:vAlign w:val="top"/>
          </w:tcPr>
          <w:p w14:paraId="45548E49">
            <w:pPr>
              <w:rPr>
                <w:rFonts w:hint="eastAsia" w:ascii="宋体" w:hAnsi="宋体" w:eastAsia="宋体" w:cs="宋体"/>
                <w:sz w:val="24"/>
                <w:szCs w:val="24"/>
              </w:rPr>
            </w:pPr>
          </w:p>
        </w:tc>
        <w:tc>
          <w:tcPr>
            <w:tcW w:w="1125" w:type="dxa"/>
            <w:noWrap w:val="0"/>
            <w:vAlign w:val="top"/>
          </w:tcPr>
          <w:p w14:paraId="691660A9">
            <w:pPr>
              <w:rPr>
                <w:rFonts w:hint="eastAsia" w:ascii="宋体" w:hAnsi="宋体" w:eastAsia="宋体" w:cs="宋体"/>
                <w:sz w:val="24"/>
                <w:szCs w:val="24"/>
              </w:rPr>
            </w:pPr>
          </w:p>
        </w:tc>
        <w:tc>
          <w:tcPr>
            <w:tcW w:w="1313" w:type="dxa"/>
            <w:noWrap w:val="0"/>
            <w:vAlign w:val="top"/>
          </w:tcPr>
          <w:p w14:paraId="61E78173">
            <w:pPr>
              <w:rPr>
                <w:rFonts w:hint="eastAsia" w:ascii="宋体" w:hAnsi="宋体" w:eastAsia="宋体" w:cs="宋体"/>
                <w:sz w:val="24"/>
                <w:szCs w:val="24"/>
              </w:rPr>
            </w:pPr>
          </w:p>
        </w:tc>
        <w:tc>
          <w:tcPr>
            <w:tcW w:w="937" w:type="dxa"/>
            <w:noWrap w:val="0"/>
            <w:vAlign w:val="top"/>
          </w:tcPr>
          <w:p w14:paraId="4AA7C4B5">
            <w:pPr>
              <w:rPr>
                <w:rFonts w:hint="eastAsia" w:ascii="宋体" w:hAnsi="宋体" w:eastAsia="宋体" w:cs="宋体"/>
                <w:sz w:val="24"/>
                <w:szCs w:val="24"/>
              </w:rPr>
            </w:pPr>
          </w:p>
        </w:tc>
      </w:tr>
      <w:tr w14:paraId="55BA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37" w:type="dxa"/>
            <w:noWrap w:val="0"/>
            <w:vAlign w:val="top"/>
          </w:tcPr>
          <w:p w14:paraId="44D6944C">
            <w:pPr>
              <w:jc w:val="center"/>
              <w:rPr>
                <w:rFonts w:hint="eastAsia" w:ascii="宋体" w:hAnsi="宋体" w:eastAsia="宋体" w:cs="宋体"/>
                <w:sz w:val="24"/>
                <w:szCs w:val="24"/>
              </w:rPr>
            </w:pPr>
          </w:p>
        </w:tc>
        <w:tc>
          <w:tcPr>
            <w:tcW w:w="1049" w:type="dxa"/>
            <w:noWrap w:val="0"/>
            <w:vAlign w:val="top"/>
          </w:tcPr>
          <w:p w14:paraId="1E561F5B">
            <w:pPr>
              <w:jc w:val="center"/>
              <w:rPr>
                <w:rFonts w:hint="eastAsia" w:ascii="宋体" w:hAnsi="宋体" w:eastAsia="宋体" w:cs="宋体"/>
                <w:sz w:val="24"/>
                <w:szCs w:val="24"/>
              </w:rPr>
            </w:pPr>
          </w:p>
        </w:tc>
        <w:tc>
          <w:tcPr>
            <w:tcW w:w="1013" w:type="dxa"/>
            <w:noWrap w:val="0"/>
            <w:vAlign w:val="top"/>
          </w:tcPr>
          <w:p w14:paraId="5C801C92">
            <w:pPr>
              <w:rPr>
                <w:rFonts w:hint="eastAsia" w:ascii="宋体" w:hAnsi="宋体" w:eastAsia="宋体" w:cs="宋体"/>
                <w:sz w:val="24"/>
                <w:szCs w:val="24"/>
              </w:rPr>
            </w:pPr>
          </w:p>
        </w:tc>
        <w:tc>
          <w:tcPr>
            <w:tcW w:w="1125" w:type="dxa"/>
            <w:noWrap w:val="0"/>
            <w:vAlign w:val="top"/>
          </w:tcPr>
          <w:p w14:paraId="71211F6A">
            <w:pPr>
              <w:rPr>
                <w:rFonts w:hint="eastAsia" w:ascii="宋体" w:hAnsi="宋体" w:eastAsia="宋体" w:cs="宋体"/>
                <w:sz w:val="24"/>
                <w:szCs w:val="24"/>
              </w:rPr>
            </w:pPr>
          </w:p>
        </w:tc>
        <w:tc>
          <w:tcPr>
            <w:tcW w:w="1125" w:type="dxa"/>
            <w:noWrap w:val="0"/>
            <w:vAlign w:val="top"/>
          </w:tcPr>
          <w:p w14:paraId="06599823">
            <w:pPr>
              <w:rPr>
                <w:rFonts w:hint="eastAsia" w:ascii="宋体" w:hAnsi="宋体" w:eastAsia="宋体" w:cs="宋体"/>
                <w:sz w:val="24"/>
                <w:szCs w:val="24"/>
              </w:rPr>
            </w:pPr>
          </w:p>
        </w:tc>
        <w:tc>
          <w:tcPr>
            <w:tcW w:w="1125" w:type="dxa"/>
            <w:noWrap w:val="0"/>
            <w:vAlign w:val="top"/>
          </w:tcPr>
          <w:p w14:paraId="5125B55E">
            <w:pPr>
              <w:rPr>
                <w:rFonts w:hint="eastAsia" w:ascii="宋体" w:hAnsi="宋体" w:eastAsia="宋体" w:cs="宋体"/>
                <w:sz w:val="24"/>
                <w:szCs w:val="24"/>
              </w:rPr>
            </w:pPr>
          </w:p>
        </w:tc>
        <w:tc>
          <w:tcPr>
            <w:tcW w:w="1313" w:type="dxa"/>
            <w:noWrap w:val="0"/>
            <w:vAlign w:val="top"/>
          </w:tcPr>
          <w:p w14:paraId="3D836160">
            <w:pPr>
              <w:rPr>
                <w:rFonts w:hint="eastAsia" w:ascii="宋体" w:hAnsi="宋体" w:eastAsia="宋体" w:cs="宋体"/>
                <w:sz w:val="24"/>
                <w:szCs w:val="24"/>
              </w:rPr>
            </w:pPr>
          </w:p>
        </w:tc>
        <w:tc>
          <w:tcPr>
            <w:tcW w:w="937" w:type="dxa"/>
            <w:noWrap w:val="0"/>
            <w:vAlign w:val="top"/>
          </w:tcPr>
          <w:p w14:paraId="343003B6">
            <w:pPr>
              <w:rPr>
                <w:rFonts w:hint="eastAsia" w:ascii="宋体" w:hAnsi="宋体" w:eastAsia="宋体" w:cs="宋体"/>
                <w:sz w:val="24"/>
                <w:szCs w:val="24"/>
              </w:rPr>
            </w:pPr>
          </w:p>
        </w:tc>
      </w:tr>
      <w:tr w14:paraId="6C33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524" w:type="dxa"/>
            <w:gridSpan w:val="8"/>
            <w:noWrap w:val="0"/>
            <w:vAlign w:val="top"/>
          </w:tcPr>
          <w:p w14:paraId="07838FD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r>
    </w:tbl>
    <w:p w14:paraId="222B870F">
      <w:pPr>
        <w:widowControl/>
        <w:rPr>
          <w:rFonts w:hint="eastAsia" w:ascii="宋体" w:hAnsi="宋体" w:eastAsia="宋体" w:cs="宋体"/>
          <w:b/>
          <w:bCs/>
          <w:color w:val="FF0000"/>
          <w:kern w:val="0"/>
          <w:sz w:val="24"/>
          <w:szCs w:val="24"/>
        </w:rPr>
      </w:pPr>
    </w:p>
    <w:p w14:paraId="05433FD6">
      <w:pPr>
        <w:widowControl/>
        <w:rPr>
          <w:rFonts w:hint="eastAsia" w:ascii="宋体" w:hAnsi="宋体" w:eastAsia="宋体" w:cs="宋体"/>
          <w:kern w:val="0"/>
          <w:sz w:val="24"/>
          <w:szCs w:val="24"/>
        </w:rPr>
      </w:pPr>
      <w:r>
        <w:rPr>
          <w:rFonts w:hint="eastAsia" w:ascii="宋体" w:hAnsi="宋体" w:eastAsia="宋体" w:cs="宋体"/>
          <w:kern w:val="0"/>
          <w:sz w:val="24"/>
          <w:szCs w:val="24"/>
        </w:rPr>
        <w:t>注：1、投标费用包括项目实施所需的货物、服务、装卸费、运输费、税金（含关税、增值税）等其他一切费用；</w:t>
      </w:r>
    </w:p>
    <w:p w14:paraId="5863DE56">
      <w:pPr>
        <w:widowControl/>
        <w:ind w:firstLine="480" w:firstLineChars="200"/>
        <w:outlineLvl w:val="0"/>
        <w:rPr>
          <w:rFonts w:hint="eastAsia" w:ascii="宋体" w:hAnsi="宋体" w:eastAsia="宋体" w:cs="宋体"/>
          <w:kern w:val="0"/>
          <w:sz w:val="24"/>
          <w:szCs w:val="24"/>
        </w:rPr>
      </w:pPr>
      <w:bookmarkStart w:id="44" w:name="_Toc374"/>
      <w:r>
        <w:rPr>
          <w:rFonts w:hint="eastAsia" w:ascii="宋体" w:hAnsi="宋体" w:eastAsia="宋体" w:cs="宋体"/>
          <w:kern w:val="0"/>
          <w:sz w:val="24"/>
          <w:szCs w:val="24"/>
        </w:rPr>
        <w:t>2、此表格若不够用，可根据实际自行扩展表格；</w:t>
      </w:r>
      <w:bookmarkEnd w:id="44"/>
    </w:p>
    <w:p w14:paraId="62648BDF">
      <w:pPr>
        <w:widowControl/>
        <w:wordWrap w:val="0"/>
        <w:ind w:firstLine="420"/>
        <w:jc w:val="right"/>
        <w:rPr>
          <w:rFonts w:hint="eastAsia" w:ascii="宋体" w:hAnsi="宋体" w:eastAsia="宋体" w:cs="宋体"/>
          <w:kern w:val="0"/>
          <w:sz w:val="24"/>
          <w:szCs w:val="24"/>
        </w:rPr>
      </w:pPr>
    </w:p>
    <w:p w14:paraId="6CED1E1D">
      <w:pPr>
        <w:widowControl/>
        <w:ind w:firstLine="420"/>
        <w:jc w:val="right"/>
        <w:rPr>
          <w:rFonts w:hint="eastAsia" w:ascii="宋体" w:hAnsi="宋体" w:eastAsia="宋体" w:cs="宋体"/>
          <w:kern w:val="0"/>
          <w:sz w:val="24"/>
          <w:szCs w:val="24"/>
        </w:rPr>
      </w:pPr>
    </w:p>
    <w:p w14:paraId="02AF9FED">
      <w:pPr>
        <w:widowControl/>
        <w:spacing w:line="360" w:lineRule="auto"/>
        <w:ind w:firstLine="420"/>
        <w:jc w:val="right"/>
        <w:rPr>
          <w:rFonts w:hint="eastAsia" w:ascii="宋体" w:hAnsi="宋体" w:eastAsia="宋体" w:cs="宋体"/>
          <w:kern w:val="0"/>
          <w:sz w:val="24"/>
          <w:szCs w:val="24"/>
        </w:rPr>
      </w:pPr>
      <w:r>
        <w:rPr>
          <w:rFonts w:hint="eastAsia" w:ascii="宋体" w:hAnsi="宋体" w:eastAsia="宋体" w:cs="宋体"/>
          <w:kern w:val="0"/>
          <w:sz w:val="24"/>
          <w:szCs w:val="24"/>
        </w:rPr>
        <w:t>投标供应商：</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（电子签章）</w:t>
      </w:r>
    </w:p>
    <w:p w14:paraId="5BADD0F0">
      <w:pPr>
        <w:widowControl/>
        <w:spacing w:line="360" w:lineRule="auto"/>
        <w:ind w:firstLine="420"/>
        <w:jc w:val="right"/>
        <w:rPr>
          <w:rFonts w:hint="eastAsia"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（电子签章）</w:t>
      </w:r>
    </w:p>
    <w:p w14:paraId="056E8216">
      <w:pPr>
        <w:widowControl/>
        <w:spacing w:line="360" w:lineRule="auto"/>
        <w:ind w:firstLine="420"/>
        <w:jc w:val="right"/>
        <w:rPr>
          <w:rFonts w:hint="eastAsia" w:ascii="宋体" w:hAnsi="宋体" w:eastAsia="宋体" w:cs="宋体"/>
          <w:kern w:val="0"/>
          <w:sz w:val="28"/>
          <w:szCs w:val="28"/>
          <w:lang w:eastAsia="zh-CN"/>
        </w:rPr>
        <w:sectPr>
          <w:footerReference r:id="rId4" w:type="default"/>
          <w:pgSz w:w="11906" w:h="16838"/>
          <w:pgMar w:top="1440" w:right="1797" w:bottom="1440" w:left="1797" w:header="851" w:footer="992" w:gutter="0"/>
          <w:pgNumType w:start="1"/>
          <w:cols w:space="720" w:num="1"/>
          <w:docGrid w:linePitch="312" w:charSpace="0"/>
        </w:sect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日 期：  年  月  </w:t>
      </w:r>
      <w:r>
        <w:rPr>
          <w:rFonts w:hint="eastAsia" w:ascii="宋体" w:hAnsi="宋体" w:eastAsia="宋体" w:cs="宋体"/>
          <w:kern w:val="0"/>
          <w:sz w:val="28"/>
          <w:szCs w:val="28"/>
          <w:lang w:eastAsia="zh-CN"/>
        </w:rPr>
        <w:t>日</w:t>
      </w:r>
    </w:p>
    <w:p w14:paraId="24DE597D">
      <w:pPr>
        <w:numPr>
          <w:ilvl w:val="0"/>
          <w:numId w:val="0"/>
        </w:numPr>
        <w:spacing w:line="360" w:lineRule="auto"/>
        <w:ind w:firstLine="2891" w:firstLineChars="1200"/>
        <w:jc w:val="both"/>
        <w:outlineLvl w:val="1"/>
        <w:rPr>
          <w:rFonts w:hint="eastAsia" w:ascii="宋体" w:hAnsi="宋体" w:eastAsia="宋体" w:cs="宋体"/>
          <w:b/>
          <w:color w:val="auto"/>
          <w:sz w:val="24"/>
          <w:szCs w:val="24"/>
        </w:rPr>
      </w:pPr>
      <w:r>
        <w:rPr>
          <w:rFonts w:hint="eastAsia" w:ascii="宋体" w:hAnsi="宋体" w:cs="宋体"/>
          <w:b/>
          <w:color w:val="auto"/>
          <w:sz w:val="24"/>
          <w:szCs w:val="24"/>
          <w:lang w:val="en-US" w:eastAsia="zh-CN"/>
        </w:rPr>
        <w:t>三</w:t>
      </w:r>
      <w:r>
        <w:rPr>
          <w:rFonts w:hint="eastAsia" w:ascii="宋体" w:hAnsi="宋体" w:cs="宋体"/>
          <w:b/>
          <w:color w:val="auto"/>
          <w:sz w:val="24"/>
          <w:szCs w:val="24"/>
        </w:rPr>
        <w:t>、</w:t>
      </w:r>
      <w:r>
        <w:rPr>
          <w:rFonts w:hint="eastAsia" w:ascii="宋体" w:hAnsi="宋体" w:eastAsia="宋体" w:cs="宋体"/>
          <w:b/>
          <w:color w:val="auto"/>
          <w:sz w:val="24"/>
          <w:szCs w:val="24"/>
        </w:rPr>
        <w:t>法定代表人</w:t>
      </w:r>
      <w:r>
        <w:rPr>
          <w:rFonts w:hint="eastAsia" w:ascii="宋体" w:hAnsi="宋体" w:eastAsia="宋体" w:cs="宋体"/>
          <w:b/>
          <w:color w:val="auto"/>
          <w:sz w:val="24"/>
          <w:szCs w:val="24"/>
          <w:lang w:eastAsia="zh-CN"/>
        </w:rPr>
        <w:t>证明及</w:t>
      </w:r>
      <w:r>
        <w:rPr>
          <w:rFonts w:hint="eastAsia" w:ascii="宋体" w:hAnsi="宋体" w:eastAsia="宋体" w:cs="宋体"/>
          <w:b/>
          <w:color w:val="auto"/>
          <w:sz w:val="24"/>
          <w:szCs w:val="24"/>
        </w:rPr>
        <w:t>授权书</w:t>
      </w:r>
    </w:p>
    <w:p w14:paraId="0D3C03FA">
      <w:pPr>
        <w:spacing w:line="360" w:lineRule="auto"/>
        <w:jc w:val="center"/>
        <w:rPr>
          <w:rFonts w:ascii="宋体" w:hAnsi="宋体" w:cs="宋体"/>
          <w:b/>
          <w:color w:val="auto"/>
          <w:sz w:val="24"/>
          <w:szCs w:val="24"/>
        </w:rPr>
      </w:pPr>
      <w:r>
        <w:rPr>
          <w:rFonts w:hint="eastAsia" w:ascii="宋体" w:hAnsi="宋体" w:cs="宋体"/>
          <w:b/>
          <w:color w:val="auto"/>
          <w:sz w:val="24"/>
          <w:szCs w:val="24"/>
          <w:lang w:eastAsia="zh-CN"/>
        </w:rPr>
        <w:t>（一）</w:t>
      </w:r>
      <w:r>
        <w:rPr>
          <w:rFonts w:hint="eastAsia" w:ascii="宋体" w:hAnsi="宋体" w:cs="宋体"/>
          <w:b/>
          <w:color w:val="auto"/>
          <w:sz w:val="24"/>
          <w:szCs w:val="24"/>
        </w:rPr>
        <w:t>法定代表人身份证明书</w:t>
      </w:r>
    </w:p>
    <w:p w14:paraId="55D41A22">
      <w:pPr>
        <w:spacing w:line="360" w:lineRule="auto"/>
        <w:jc w:val="both"/>
        <w:rPr>
          <w:rFonts w:ascii="宋体" w:hAnsi="宋体"/>
          <w:color w:val="auto"/>
          <w:sz w:val="24"/>
          <w:szCs w:val="24"/>
        </w:rPr>
      </w:pPr>
      <w:r>
        <w:rPr>
          <w:rFonts w:hint="eastAsia" w:ascii="宋体" w:hAnsi="宋体" w:cs="宋体"/>
          <w:b/>
          <w:color w:val="auto"/>
          <w:sz w:val="24"/>
          <w:szCs w:val="24"/>
        </w:rPr>
        <w:t xml:space="preserve"> </w:t>
      </w:r>
    </w:p>
    <w:p w14:paraId="5060F4A4">
      <w:pPr>
        <w:spacing w:line="360" w:lineRule="auto"/>
        <w:ind w:firstLine="610"/>
        <w:jc w:val="both"/>
        <w:rPr>
          <w:rFonts w:ascii="宋体" w:hAnsi="宋体"/>
          <w:color w:val="auto"/>
          <w:sz w:val="24"/>
          <w:szCs w:val="24"/>
        </w:rPr>
      </w:pPr>
      <w:r>
        <w:rPr>
          <w:rFonts w:hint="eastAsia" w:ascii="宋体" w:hAnsi="宋体" w:cs="宋体"/>
          <w:color w:val="auto"/>
          <w:sz w:val="24"/>
          <w:szCs w:val="24"/>
        </w:rPr>
        <w:t>单位名称：</w:t>
      </w:r>
      <w:r>
        <w:rPr>
          <w:rFonts w:hint="eastAsia" w:ascii="宋体" w:hAnsi="宋体" w:cs="宋体"/>
          <w:color w:val="auto"/>
          <w:sz w:val="24"/>
          <w:szCs w:val="24"/>
          <w:u w:val="single"/>
        </w:rPr>
        <w:t xml:space="preserve">                     </w:t>
      </w:r>
    </w:p>
    <w:p w14:paraId="408E6AC2">
      <w:pPr>
        <w:spacing w:line="360" w:lineRule="auto"/>
        <w:ind w:firstLine="610"/>
        <w:jc w:val="both"/>
        <w:rPr>
          <w:rFonts w:ascii="宋体" w:hAnsi="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xml:space="preserve">                       </w:t>
      </w:r>
    </w:p>
    <w:p w14:paraId="77AC5226">
      <w:pPr>
        <w:spacing w:line="360" w:lineRule="auto"/>
        <w:ind w:firstLine="610"/>
        <w:jc w:val="both"/>
        <w:rPr>
          <w:rFonts w:ascii="宋体" w:hAnsi="宋体"/>
          <w:color w:val="auto"/>
          <w:sz w:val="24"/>
          <w:szCs w:val="24"/>
        </w:rPr>
      </w:pPr>
      <w:r>
        <w:rPr>
          <w:rFonts w:hint="eastAsia" w:ascii="宋体" w:hAnsi="宋体" w:cs="宋体"/>
          <w:color w:val="auto"/>
          <w:sz w:val="24"/>
          <w:szCs w:val="24"/>
        </w:rPr>
        <w:t>地 址：</w:t>
      </w:r>
      <w:r>
        <w:rPr>
          <w:rFonts w:hint="eastAsia" w:ascii="宋体" w:hAnsi="宋体" w:cs="宋体"/>
          <w:color w:val="auto"/>
          <w:sz w:val="24"/>
          <w:szCs w:val="24"/>
          <w:u w:val="single"/>
        </w:rPr>
        <w:t xml:space="preserve">                         </w:t>
      </w:r>
    </w:p>
    <w:p w14:paraId="6A9D33CD">
      <w:pPr>
        <w:spacing w:line="360" w:lineRule="auto"/>
        <w:ind w:firstLine="610"/>
        <w:jc w:val="both"/>
        <w:rPr>
          <w:rFonts w:ascii="宋体" w:hAnsi="宋体"/>
          <w:color w:val="auto"/>
          <w:sz w:val="24"/>
          <w:szCs w:val="24"/>
        </w:rPr>
      </w:pPr>
      <w:r>
        <w:rPr>
          <w:rFonts w:hint="eastAsia" w:ascii="宋体" w:hAnsi="宋体" w:cs="宋体"/>
          <w:color w:val="auto"/>
          <w:sz w:val="24"/>
          <w:szCs w:val="24"/>
        </w:rPr>
        <w:t>成立时间：年月日</w:t>
      </w:r>
    </w:p>
    <w:p w14:paraId="102A2681">
      <w:pPr>
        <w:spacing w:line="360" w:lineRule="auto"/>
        <w:ind w:firstLine="610"/>
        <w:jc w:val="both"/>
        <w:rPr>
          <w:rFonts w:ascii="宋体" w:hAnsi="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xml:space="preserve">       </w:t>
      </w:r>
    </w:p>
    <w:p w14:paraId="788CF4F4">
      <w:pPr>
        <w:spacing w:line="360" w:lineRule="auto"/>
        <w:ind w:firstLine="610"/>
        <w:jc w:val="both"/>
        <w:rPr>
          <w:rFonts w:ascii="宋体" w:hAnsi="宋体"/>
          <w:color w:val="auto"/>
          <w:sz w:val="24"/>
          <w:szCs w:val="24"/>
        </w:rPr>
      </w:pPr>
      <w:r>
        <w:rPr>
          <w:rFonts w:hint="eastAsia" w:ascii="宋体" w:hAnsi="宋体" w:cs="宋体"/>
          <w:color w:val="auto"/>
          <w:sz w:val="24"/>
          <w:szCs w:val="24"/>
        </w:rPr>
        <w:t>姓 名：性别：年龄：职务：</w:t>
      </w:r>
      <w:r>
        <w:rPr>
          <w:rFonts w:hint="eastAsia" w:ascii="宋体" w:hAnsi="宋体" w:cs="宋体"/>
          <w:color w:val="auto"/>
          <w:sz w:val="24"/>
          <w:szCs w:val="24"/>
          <w:u w:val="single"/>
        </w:rPr>
        <w:t xml:space="preserve">       </w:t>
      </w:r>
    </w:p>
    <w:p w14:paraId="26DBDC19">
      <w:pPr>
        <w:spacing w:line="360" w:lineRule="auto"/>
        <w:ind w:firstLine="610"/>
        <w:jc w:val="both"/>
        <w:rPr>
          <w:rFonts w:ascii="宋体" w:hAnsi="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xml:space="preserve"> （磋商供应商单位名称） </w:t>
      </w:r>
      <w:r>
        <w:rPr>
          <w:rFonts w:hint="eastAsia" w:ascii="宋体" w:hAnsi="宋体" w:cs="宋体"/>
          <w:color w:val="auto"/>
          <w:sz w:val="24"/>
          <w:szCs w:val="24"/>
        </w:rPr>
        <w:t>的法定代表人。</w:t>
      </w:r>
    </w:p>
    <w:p w14:paraId="52D5593D">
      <w:pPr>
        <w:spacing w:line="360" w:lineRule="auto"/>
        <w:ind w:firstLine="610"/>
        <w:jc w:val="both"/>
        <w:rPr>
          <w:rFonts w:ascii="宋体" w:hAnsi="宋体"/>
          <w:color w:val="auto"/>
          <w:sz w:val="24"/>
          <w:szCs w:val="24"/>
        </w:rPr>
      </w:pPr>
      <w:r>
        <w:rPr>
          <w:rFonts w:hint="eastAsia" w:ascii="宋体" w:hAnsi="宋体" w:cs="宋体"/>
          <w:color w:val="auto"/>
          <w:sz w:val="24"/>
          <w:szCs w:val="24"/>
        </w:rPr>
        <w:t xml:space="preserve"> </w:t>
      </w:r>
    </w:p>
    <w:p w14:paraId="50CC6F10">
      <w:pPr>
        <w:spacing w:line="360" w:lineRule="auto"/>
        <w:ind w:firstLine="1090"/>
        <w:jc w:val="both"/>
        <w:rPr>
          <w:rFonts w:ascii="宋体" w:hAnsi="宋体"/>
          <w:color w:val="auto"/>
          <w:sz w:val="24"/>
          <w:szCs w:val="24"/>
        </w:rPr>
      </w:pPr>
      <w:r>
        <w:rPr>
          <w:rFonts w:hint="eastAsia" w:ascii="宋体" w:hAnsi="宋体" w:cs="宋体"/>
          <w:color w:val="auto"/>
          <w:sz w:val="24"/>
          <w:szCs w:val="24"/>
        </w:rPr>
        <w:t>特此证明。</w:t>
      </w:r>
    </w:p>
    <w:p w14:paraId="74BCA853">
      <w:pPr>
        <w:spacing w:line="360" w:lineRule="auto"/>
        <w:ind w:firstLine="5040"/>
        <w:jc w:val="both"/>
        <w:rPr>
          <w:rFonts w:ascii="宋体" w:hAnsi="宋体" w:cs="宋体"/>
          <w:color w:val="auto"/>
          <w:sz w:val="24"/>
          <w:szCs w:val="24"/>
        </w:rPr>
      </w:pPr>
    </w:p>
    <w:p w14:paraId="4EF5E7F9">
      <w:pPr>
        <w:spacing w:line="360" w:lineRule="auto"/>
        <w:ind w:firstLine="5040"/>
        <w:jc w:val="both"/>
        <w:rPr>
          <w:rFonts w:ascii="宋体" w:hAnsi="宋体"/>
          <w:color w:val="auto"/>
          <w:sz w:val="24"/>
          <w:szCs w:val="24"/>
        </w:rPr>
      </w:pPr>
      <w:r>
        <w:rPr>
          <w:rFonts w:hint="eastAsia" w:ascii="宋体" w:hAnsi="宋体" w:cs="宋体"/>
          <w:color w:val="auto"/>
          <w:sz w:val="24"/>
          <w:szCs w:val="24"/>
        </w:rPr>
        <w:t>磋商供应商：</w:t>
      </w:r>
      <w:r>
        <w:rPr>
          <w:rFonts w:hint="eastAsia" w:ascii="宋体" w:hAnsi="宋体" w:cs="宋体"/>
          <w:color w:val="auto"/>
          <w:sz w:val="24"/>
          <w:szCs w:val="24"/>
          <w:u w:val="single"/>
        </w:rPr>
        <w:t xml:space="preserve"> （公章签章）</w:t>
      </w:r>
      <w:r>
        <w:rPr>
          <w:rFonts w:hint="eastAsia" w:ascii="宋体" w:hAnsi="宋体" w:cs="宋体"/>
          <w:color w:val="auto"/>
          <w:sz w:val="24"/>
          <w:szCs w:val="24"/>
        </w:rPr>
        <w:t xml:space="preserve"> </w:t>
      </w:r>
    </w:p>
    <w:p w14:paraId="30A79EE9">
      <w:pPr>
        <w:spacing w:line="360" w:lineRule="auto"/>
        <w:ind w:firstLine="5040"/>
        <w:jc w:val="both"/>
        <w:rPr>
          <w:rFonts w:ascii="宋体" w:hAnsi="宋体"/>
          <w:color w:val="auto"/>
          <w:sz w:val="24"/>
          <w:szCs w:val="24"/>
        </w:rPr>
      </w:pPr>
    </w:p>
    <w:p w14:paraId="692F2D3A">
      <w:pPr>
        <w:spacing w:line="360" w:lineRule="auto"/>
        <w:jc w:val="center"/>
        <w:rPr>
          <w:rFonts w:ascii="宋体" w:hAnsi="宋体" w:cs="宋体"/>
          <w:color w:val="auto"/>
          <w:sz w:val="24"/>
          <w:szCs w:val="24"/>
        </w:rPr>
      </w:pPr>
      <w:r>
        <w:rPr>
          <w:rFonts w:hint="eastAsia" w:ascii="宋体" w:hAnsi="宋体" w:cs="宋体"/>
          <w:color w:val="auto"/>
          <w:sz w:val="24"/>
          <w:szCs w:val="24"/>
        </w:rPr>
        <w:t xml:space="preserve">                       日 期：年月日</w:t>
      </w:r>
    </w:p>
    <w:p w14:paraId="1D2A1696">
      <w:pPr>
        <w:spacing w:line="360" w:lineRule="auto"/>
        <w:jc w:val="center"/>
        <w:rPr>
          <w:rFonts w:ascii="宋体" w:hAnsi="宋体" w:cs="宋体"/>
          <w:color w:val="auto"/>
          <w:sz w:val="24"/>
          <w:szCs w:val="24"/>
        </w:rPr>
      </w:pPr>
      <w:r>
        <w:rPr>
          <w:rFonts w:hint="eastAsia" w:ascii="宋体" w:hAnsi="宋体" w:cs="宋体"/>
          <w:color w:val="auto"/>
          <w:sz w:val="24"/>
          <w:szCs w:val="24"/>
        </w:rPr>
        <w:t xml:space="preserve"> </w:t>
      </w:r>
    </w:p>
    <w:p w14:paraId="3CCF1CEF">
      <w:pPr>
        <w:widowControl w:val="0"/>
        <w:spacing w:line="360" w:lineRule="auto"/>
        <w:jc w:val="both"/>
        <w:outlineLvl w:val="9"/>
        <w:rPr>
          <w:rFonts w:ascii="宋体" w:hAnsi="宋体" w:cs="宋体"/>
          <w:color w:val="auto"/>
          <w:sz w:val="24"/>
          <w:szCs w:val="24"/>
        </w:rPr>
      </w:pPr>
      <w:r>
        <w:rPr>
          <w:rFonts w:hint="eastAsia" w:ascii="宋体" w:hAnsi="宋体" w:cs="宋体"/>
          <w:color w:val="auto"/>
          <w:kern w:val="2"/>
          <w:sz w:val="24"/>
          <w:szCs w:val="24"/>
        </w:rPr>
        <w:t xml:space="preserve"> </w:t>
      </w:r>
    </w:p>
    <w:p w14:paraId="7CA0D7BD">
      <w:pPr>
        <w:keepNext/>
        <w:keepLines/>
        <w:widowControl w:val="0"/>
        <w:spacing w:before="20" w:after="20" w:line="360" w:lineRule="auto"/>
        <w:jc w:val="center"/>
        <w:outlineLvl w:val="9"/>
        <w:rPr>
          <w:rFonts w:ascii="宋体" w:hAnsi="宋体"/>
          <w:b/>
          <w:color w:val="auto"/>
          <w:kern w:val="2"/>
          <w:sz w:val="24"/>
          <w:szCs w:val="24"/>
        </w:rPr>
      </w:pPr>
      <w:bookmarkStart w:id="45" w:name="_Toc461977432"/>
      <w:bookmarkEnd w:id="45"/>
      <w:r>
        <w:rPr>
          <w:rFonts w:hint="eastAsia" w:ascii="宋体" w:hAnsi="宋体"/>
          <w:b/>
          <w:color w:val="auto"/>
          <w:kern w:val="2"/>
          <w:sz w:val="24"/>
          <w:szCs w:val="24"/>
        </w:rPr>
        <w:t xml:space="preserve"> </w:t>
      </w:r>
    </w:p>
    <w:p w14:paraId="39F2395B">
      <w:pPr>
        <w:keepNext/>
        <w:keepLines/>
        <w:widowControl w:val="0"/>
        <w:spacing w:before="20" w:after="20" w:line="360" w:lineRule="auto"/>
        <w:jc w:val="center"/>
        <w:outlineLvl w:val="9"/>
        <w:rPr>
          <w:rFonts w:ascii="宋体" w:hAnsi="宋体"/>
          <w:b/>
          <w:color w:val="auto"/>
          <w:kern w:val="2"/>
          <w:sz w:val="24"/>
          <w:szCs w:val="24"/>
        </w:rPr>
      </w:pPr>
    </w:p>
    <w:p w14:paraId="16B665E9">
      <w:pPr>
        <w:pStyle w:val="6"/>
        <w:rPr>
          <w:rFonts w:ascii="宋体" w:hAnsi="宋体"/>
          <w:b/>
          <w:color w:val="auto"/>
          <w:sz w:val="24"/>
        </w:rPr>
      </w:pPr>
    </w:p>
    <w:p w14:paraId="3DB28669">
      <w:pPr>
        <w:spacing w:line="360" w:lineRule="auto"/>
        <w:jc w:val="both"/>
        <w:rPr>
          <w:rFonts w:hint="eastAsia" w:ascii="宋体" w:hAnsi="宋体" w:cs="宋体"/>
          <w:b/>
          <w:color w:val="auto"/>
          <w:sz w:val="24"/>
          <w:szCs w:val="24"/>
        </w:rPr>
      </w:pPr>
    </w:p>
    <w:p w14:paraId="5DF9E355">
      <w:pPr>
        <w:spacing w:line="360" w:lineRule="auto"/>
        <w:jc w:val="center"/>
        <w:rPr>
          <w:rFonts w:hint="eastAsia" w:ascii="宋体" w:hAnsi="宋体" w:cs="宋体"/>
          <w:b/>
          <w:color w:val="auto"/>
          <w:sz w:val="24"/>
          <w:szCs w:val="24"/>
        </w:rPr>
      </w:pPr>
    </w:p>
    <w:p w14:paraId="715CB4F0">
      <w:pPr>
        <w:spacing w:line="360" w:lineRule="auto"/>
        <w:jc w:val="center"/>
        <w:rPr>
          <w:rFonts w:hint="eastAsia" w:ascii="宋体" w:hAnsi="宋体" w:cs="宋体"/>
          <w:b/>
          <w:color w:val="auto"/>
          <w:sz w:val="24"/>
          <w:szCs w:val="24"/>
          <w:lang w:eastAsia="zh-CN"/>
        </w:rPr>
      </w:pPr>
    </w:p>
    <w:p w14:paraId="598750F0">
      <w:pPr>
        <w:spacing w:line="360" w:lineRule="auto"/>
        <w:jc w:val="center"/>
        <w:rPr>
          <w:rFonts w:hint="eastAsia" w:ascii="宋体" w:hAnsi="宋体" w:cs="宋体"/>
          <w:b/>
          <w:color w:val="auto"/>
          <w:sz w:val="24"/>
          <w:szCs w:val="24"/>
          <w:lang w:eastAsia="zh-CN"/>
        </w:rPr>
      </w:pPr>
    </w:p>
    <w:p w14:paraId="05910E57">
      <w:pPr>
        <w:spacing w:line="360" w:lineRule="auto"/>
        <w:jc w:val="center"/>
        <w:rPr>
          <w:rFonts w:hint="eastAsia" w:ascii="宋体" w:hAnsi="宋体" w:cs="宋体"/>
          <w:b/>
          <w:color w:val="auto"/>
          <w:sz w:val="24"/>
          <w:szCs w:val="24"/>
          <w:lang w:eastAsia="zh-CN"/>
        </w:rPr>
      </w:pPr>
    </w:p>
    <w:p w14:paraId="08A6AF2A">
      <w:pPr>
        <w:spacing w:line="360" w:lineRule="auto"/>
        <w:jc w:val="center"/>
        <w:rPr>
          <w:rFonts w:hint="eastAsia" w:ascii="宋体" w:hAnsi="宋体" w:cs="宋体"/>
          <w:b/>
          <w:color w:val="auto"/>
          <w:sz w:val="24"/>
          <w:szCs w:val="24"/>
          <w:lang w:eastAsia="zh-CN"/>
        </w:rPr>
      </w:pPr>
    </w:p>
    <w:p w14:paraId="058D4DE5">
      <w:pPr>
        <w:spacing w:line="360" w:lineRule="auto"/>
        <w:jc w:val="center"/>
        <w:rPr>
          <w:rFonts w:hint="eastAsia" w:ascii="宋体" w:hAnsi="宋体" w:cs="宋体"/>
          <w:b/>
          <w:color w:val="auto"/>
          <w:sz w:val="24"/>
          <w:szCs w:val="24"/>
          <w:lang w:eastAsia="zh-CN"/>
        </w:rPr>
      </w:pPr>
    </w:p>
    <w:p w14:paraId="2EA06E1D">
      <w:pPr>
        <w:spacing w:line="360" w:lineRule="auto"/>
        <w:jc w:val="center"/>
        <w:rPr>
          <w:rFonts w:hint="eastAsia" w:ascii="宋体" w:hAnsi="宋体" w:cs="宋体"/>
          <w:b/>
          <w:color w:val="auto"/>
          <w:sz w:val="24"/>
          <w:szCs w:val="24"/>
          <w:lang w:eastAsia="zh-CN"/>
        </w:rPr>
      </w:pPr>
    </w:p>
    <w:p w14:paraId="180E5153">
      <w:pPr>
        <w:spacing w:line="360" w:lineRule="auto"/>
        <w:jc w:val="center"/>
        <w:rPr>
          <w:rFonts w:ascii="宋体" w:hAnsi="宋体"/>
          <w:color w:val="auto"/>
          <w:sz w:val="24"/>
          <w:szCs w:val="24"/>
        </w:rPr>
      </w:pPr>
      <w:r>
        <w:rPr>
          <w:rFonts w:hint="eastAsia" w:ascii="宋体" w:hAnsi="宋体" w:cs="宋体"/>
          <w:b/>
          <w:color w:val="auto"/>
          <w:sz w:val="24"/>
          <w:szCs w:val="24"/>
          <w:lang w:eastAsia="zh-CN"/>
        </w:rPr>
        <w:t>（二）</w:t>
      </w:r>
      <w:r>
        <w:rPr>
          <w:rFonts w:hint="eastAsia" w:ascii="宋体" w:hAnsi="宋体" w:cs="宋体"/>
          <w:b/>
          <w:color w:val="auto"/>
          <w:sz w:val="24"/>
          <w:szCs w:val="24"/>
        </w:rPr>
        <w:t xml:space="preserve"> 法定代表人授权书</w:t>
      </w:r>
    </w:p>
    <w:p w14:paraId="17EE25C1">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本授权书声明：注册于</w:t>
      </w:r>
      <w:r>
        <w:rPr>
          <w:rFonts w:hint="eastAsia" w:ascii="宋体" w:hAnsi="宋体"/>
          <w:color w:val="auto"/>
          <w:sz w:val="24"/>
          <w:szCs w:val="24"/>
          <w:u w:val="single"/>
        </w:rPr>
        <w:t xml:space="preserve">     注册地址      </w:t>
      </w:r>
      <w:r>
        <w:rPr>
          <w:rFonts w:hint="eastAsia" w:ascii="宋体" w:hAnsi="宋体"/>
          <w:color w:val="auto"/>
          <w:sz w:val="24"/>
          <w:szCs w:val="24"/>
        </w:rPr>
        <w:t xml:space="preserve"> 的</w:t>
      </w:r>
      <w:r>
        <w:rPr>
          <w:rFonts w:hint="eastAsia" w:ascii="宋体" w:hAnsi="宋体"/>
          <w:color w:val="auto"/>
          <w:sz w:val="24"/>
          <w:szCs w:val="24"/>
          <w:u w:val="single"/>
        </w:rPr>
        <w:t xml:space="preserve">     公司名称     </w:t>
      </w:r>
      <w:r>
        <w:rPr>
          <w:rFonts w:hint="eastAsia" w:ascii="宋体" w:hAnsi="宋体"/>
          <w:color w:val="auto"/>
          <w:sz w:val="24"/>
          <w:szCs w:val="24"/>
        </w:rPr>
        <w:t>的在下面签字的</w:t>
      </w:r>
      <w:r>
        <w:rPr>
          <w:rFonts w:hint="eastAsia" w:ascii="宋体" w:hAnsi="宋体"/>
          <w:color w:val="auto"/>
          <w:sz w:val="24"/>
          <w:szCs w:val="24"/>
          <w:u w:val="single"/>
        </w:rPr>
        <w:t xml:space="preserve"> 法人姓名  </w:t>
      </w:r>
      <w:r>
        <w:rPr>
          <w:rFonts w:hint="eastAsia" w:ascii="宋体" w:hAnsi="宋体"/>
          <w:color w:val="auto"/>
          <w:sz w:val="24"/>
          <w:szCs w:val="24"/>
        </w:rPr>
        <w:t>代表本公司授权</w:t>
      </w:r>
      <w:r>
        <w:rPr>
          <w:rFonts w:hint="eastAsia" w:ascii="宋体" w:hAnsi="宋体"/>
          <w:color w:val="auto"/>
          <w:sz w:val="24"/>
          <w:szCs w:val="24"/>
          <w:u w:val="single"/>
        </w:rPr>
        <w:t xml:space="preserve">  公司名称   </w:t>
      </w:r>
      <w:r>
        <w:rPr>
          <w:rFonts w:hint="eastAsia" w:ascii="宋体" w:hAnsi="宋体"/>
          <w:color w:val="auto"/>
          <w:sz w:val="24"/>
          <w:szCs w:val="24"/>
        </w:rPr>
        <w:t>的在下面签字的</w:t>
      </w:r>
      <w:r>
        <w:rPr>
          <w:rFonts w:hint="eastAsia" w:ascii="宋体" w:hAnsi="宋体"/>
          <w:color w:val="auto"/>
          <w:sz w:val="24"/>
          <w:szCs w:val="24"/>
          <w:u w:val="single"/>
        </w:rPr>
        <w:t xml:space="preserve">   受权人姓名称  </w:t>
      </w:r>
      <w:r>
        <w:rPr>
          <w:rFonts w:hint="eastAsia" w:ascii="宋体" w:hAnsi="宋体"/>
          <w:color w:val="auto"/>
          <w:sz w:val="24"/>
          <w:szCs w:val="24"/>
        </w:rPr>
        <w:t>为本公司的合法代理人，就</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的投标，以本公司名义处理一切与之有关的事务。 </w:t>
      </w:r>
    </w:p>
    <w:p w14:paraId="4F8E7E75">
      <w:pPr>
        <w:spacing w:line="360" w:lineRule="auto"/>
        <w:ind w:firstLine="480" w:firstLineChars="200"/>
        <w:rPr>
          <w:rFonts w:ascii="宋体" w:hAnsi="宋体"/>
          <w:color w:val="auto"/>
          <w:sz w:val="24"/>
          <w:szCs w:val="24"/>
        </w:rPr>
      </w:pPr>
      <w:r>
        <w:rPr>
          <w:rFonts w:hint="eastAsia" w:ascii="宋体" w:hAnsi="宋体"/>
          <w:color w:val="auto"/>
          <w:sz w:val="24"/>
          <w:szCs w:val="24"/>
        </w:rPr>
        <w:t>本授权书于</w:t>
      </w:r>
      <w:r>
        <w:rPr>
          <w:rFonts w:hint="eastAsia" w:ascii="宋体" w:hAnsi="宋体"/>
          <w:color w:val="auto"/>
          <w:sz w:val="24"/>
          <w:szCs w:val="24"/>
          <w:u w:val="single" w:color="auto"/>
        </w:rPr>
        <w:t xml:space="preserve">   </w:t>
      </w:r>
      <w:r>
        <w:rPr>
          <w:rFonts w:hint="eastAsia" w:ascii="宋体" w:hAnsi="宋体"/>
          <w:color w:val="auto"/>
          <w:sz w:val="24"/>
          <w:szCs w:val="24"/>
        </w:rPr>
        <w:t>年</w:t>
      </w:r>
      <w:r>
        <w:rPr>
          <w:rFonts w:hint="eastAsia" w:ascii="宋体" w:hAnsi="宋体"/>
          <w:color w:val="auto"/>
          <w:sz w:val="24"/>
          <w:szCs w:val="24"/>
          <w:u w:val="single" w:color="auto"/>
        </w:rPr>
        <w:t xml:space="preserve">   </w:t>
      </w:r>
      <w:r>
        <w:rPr>
          <w:rFonts w:hint="eastAsia" w:ascii="宋体" w:hAnsi="宋体"/>
          <w:color w:val="auto"/>
          <w:sz w:val="24"/>
          <w:szCs w:val="24"/>
        </w:rPr>
        <w:t xml:space="preserve">月 </w:t>
      </w:r>
      <w:r>
        <w:rPr>
          <w:rFonts w:hint="eastAsia" w:ascii="宋体" w:hAnsi="宋体"/>
          <w:color w:val="auto"/>
          <w:sz w:val="24"/>
          <w:szCs w:val="24"/>
          <w:u w:val="single" w:color="auto"/>
        </w:rPr>
        <w:t xml:space="preserve">  </w:t>
      </w:r>
      <w:r>
        <w:rPr>
          <w:rFonts w:hint="eastAsia" w:ascii="宋体" w:hAnsi="宋体"/>
          <w:color w:val="auto"/>
          <w:sz w:val="24"/>
          <w:szCs w:val="24"/>
        </w:rPr>
        <w:t>日签字生效， 特此声明。</w:t>
      </w:r>
    </w:p>
    <w:p w14:paraId="551960D0">
      <w:pPr>
        <w:spacing w:line="360" w:lineRule="auto"/>
        <w:ind w:firstLine="480" w:firstLineChars="200"/>
        <w:rPr>
          <w:rFonts w:ascii="宋体" w:hAnsi="宋体"/>
          <w:color w:val="auto"/>
          <w:sz w:val="24"/>
          <w:szCs w:val="24"/>
        </w:rPr>
      </w:pPr>
      <w:r>
        <w:rPr>
          <w:rFonts w:hint="eastAsia" w:ascii="宋体" w:hAnsi="宋体"/>
          <w:color w:val="auto"/>
          <w:sz w:val="24"/>
          <w:szCs w:val="24"/>
        </w:rPr>
        <w:t>附：法定代表人身份证明和委托人身份证明</w:t>
      </w:r>
    </w:p>
    <w:p w14:paraId="74719BC3">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 </w:t>
      </w:r>
    </w:p>
    <w:p w14:paraId="0AE42DBC">
      <w:pPr>
        <w:spacing w:line="360" w:lineRule="auto"/>
        <w:rPr>
          <w:rFonts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：（公章签章）</w:t>
      </w:r>
    </w:p>
    <w:p w14:paraId="58EE0A66">
      <w:pPr>
        <w:spacing w:line="360" w:lineRule="auto"/>
        <w:rPr>
          <w:rFonts w:ascii="宋体" w:hAnsi="宋体"/>
          <w:color w:val="auto"/>
          <w:sz w:val="24"/>
          <w:szCs w:val="24"/>
          <w:u w:val="single"/>
        </w:rPr>
      </w:pPr>
      <w:r>
        <w:rPr>
          <w:rFonts w:hint="eastAsia" w:ascii="宋体" w:hAnsi="宋体"/>
          <w:color w:val="auto"/>
          <w:sz w:val="24"/>
          <w:szCs w:val="24"/>
        </w:rPr>
        <w:t>法定代表人：（法人签章）                        　　　　</w:t>
      </w:r>
    </w:p>
    <w:p w14:paraId="090744B1">
      <w:pPr>
        <w:spacing w:line="360" w:lineRule="auto"/>
        <w:rPr>
          <w:rFonts w:ascii="宋体" w:hAnsi="宋体"/>
          <w:color w:val="auto"/>
          <w:sz w:val="24"/>
          <w:szCs w:val="24"/>
        </w:rPr>
      </w:pPr>
      <w:r>
        <w:rPr>
          <w:rFonts w:hint="eastAsia" w:ascii="宋体" w:hAnsi="宋体"/>
          <w:color w:val="auto"/>
          <w:sz w:val="24"/>
          <w:szCs w:val="24"/>
        </w:rPr>
        <w:t xml:space="preserve">身份证号码：  </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3425B902">
      <w:pPr>
        <w:spacing w:line="360" w:lineRule="auto"/>
        <w:rPr>
          <w:rFonts w:ascii="宋体" w:hAnsi="宋体"/>
          <w:color w:val="auto"/>
          <w:sz w:val="24"/>
          <w:szCs w:val="24"/>
          <w:u w:val="single"/>
        </w:rPr>
      </w:pPr>
      <w:r>
        <w:rPr>
          <w:rFonts w:hint="eastAsia" w:ascii="宋体" w:hAnsi="宋体"/>
          <w:color w:val="auto"/>
          <w:sz w:val="24"/>
          <w:szCs w:val="24"/>
        </w:rPr>
        <w:t>委托代理人：</w:t>
      </w:r>
      <w:r>
        <w:rPr>
          <w:rFonts w:hint="eastAsia" w:ascii="宋体" w:hAnsi="宋体"/>
          <w:color w:val="auto"/>
          <w:sz w:val="24"/>
          <w:szCs w:val="24"/>
          <w:u w:val="single"/>
        </w:rPr>
        <w:t xml:space="preserve">             </w:t>
      </w:r>
    </w:p>
    <w:p w14:paraId="02CD5A70">
      <w:pPr>
        <w:spacing w:line="360" w:lineRule="auto"/>
        <w:jc w:val="both"/>
        <w:rPr>
          <w:rFonts w:ascii="宋体" w:hAnsi="宋体" w:cs="宋体"/>
          <w:b/>
          <w:color w:val="auto"/>
          <w:sz w:val="24"/>
          <w:szCs w:val="24"/>
        </w:rPr>
      </w:pPr>
      <w:r>
        <w:rPr>
          <w:rFonts w:hint="eastAsia" w:ascii="宋体" w:hAnsi="宋体"/>
          <w:color w:val="auto"/>
          <w:sz w:val="24"/>
          <w:szCs w:val="24"/>
        </w:rPr>
        <w:t xml:space="preserve">身份证号码：   </w:t>
      </w:r>
    </w:p>
    <w:p w14:paraId="70171348">
      <w:pPr>
        <w:spacing w:line="360" w:lineRule="auto"/>
        <w:jc w:val="both"/>
        <w:rPr>
          <w:rFonts w:ascii="宋体" w:hAnsi="宋体" w:cs="宋体"/>
          <w:b w:val="0"/>
          <w:bCs/>
          <w:color w:val="auto"/>
          <w:sz w:val="24"/>
          <w:szCs w:val="24"/>
        </w:rPr>
      </w:pPr>
      <w:r>
        <w:rPr>
          <w:rFonts w:hint="eastAsia" w:ascii="宋体" w:hAnsi="宋体" w:cs="宋体"/>
          <w:b w:val="0"/>
          <w:bCs/>
          <w:color w:val="auto"/>
          <w:sz w:val="24"/>
          <w:szCs w:val="24"/>
          <w:lang w:eastAsia="zh-CN"/>
        </w:rPr>
        <w:t>联系方式：</w:t>
      </w:r>
    </w:p>
    <w:p w14:paraId="39F89771">
      <w:pPr>
        <w:spacing w:line="360" w:lineRule="auto"/>
        <w:jc w:val="both"/>
        <w:rPr>
          <w:rFonts w:ascii="宋体" w:hAnsi="宋体" w:cs="宋体"/>
          <w:b/>
          <w:color w:val="auto"/>
          <w:sz w:val="24"/>
          <w:szCs w:val="24"/>
        </w:rPr>
      </w:pPr>
      <w:r>
        <w:rPr>
          <w:rFonts w:hint="eastAsia" w:ascii="宋体" w:hAnsi="宋体" w:cs="宋体"/>
          <w:b/>
          <w:color w:val="auto"/>
          <w:sz w:val="24"/>
          <w:szCs w:val="24"/>
        </w:rPr>
        <w:t xml:space="preserve">                                      </w:t>
      </w:r>
      <w:r>
        <w:rPr>
          <w:rFonts w:hint="eastAsia" w:ascii="宋体" w:hAnsi="宋体" w:cs="宋体"/>
          <w:b w:val="0"/>
          <w:bCs/>
          <w:color w:val="auto"/>
          <w:sz w:val="24"/>
          <w:szCs w:val="24"/>
        </w:rPr>
        <w:t xml:space="preserve"> 年  月  日</w:t>
      </w:r>
    </w:p>
    <w:p w14:paraId="2376892B">
      <w:pPr>
        <w:widowControl w:val="0"/>
        <w:spacing w:line="360" w:lineRule="auto"/>
        <w:ind w:firstLine="3410" w:firstLineChars="1421"/>
        <w:jc w:val="both"/>
        <w:rPr>
          <w:rFonts w:ascii="宋体" w:hAnsi="宋体"/>
          <w:color w:val="auto"/>
          <w:sz w:val="24"/>
          <w:szCs w:val="24"/>
        </w:rPr>
      </w:pPr>
      <w:bookmarkStart w:id="46" w:name="_Toc269219203"/>
      <w:bookmarkEnd w:id="46"/>
      <w:bookmarkStart w:id="47" w:name="_Toc90712554"/>
      <w:bookmarkEnd w:id="47"/>
      <w:bookmarkStart w:id="48" w:name="_Toc90713373"/>
      <w:bookmarkEnd w:id="48"/>
      <w:bookmarkStart w:id="49" w:name="_Hlk450185103"/>
      <w:bookmarkEnd w:id="49"/>
      <w:bookmarkStart w:id="50" w:name="_Toc87621074"/>
      <w:bookmarkEnd w:id="50"/>
      <w:bookmarkStart w:id="51" w:name="_Toc461977433"/>
      <w:r>
        <w:rPr>
          <w:rFonts w:hint="eastAsia" w:ascii="宋体" w:hAnsi="宋体"/>
          <w:color w:val="auto"/>
          <w:kern w:val="2"/>
          <w:sz w:val="24"/>
          <w:szCs w:val="24"/>
        </w:rPr>
        <w:t xml:space="preserve"> </w:t>
      </w:r>
      <w:bookmarkEnd w:id="51"/>
    </w:p>
    <w:p w14:paraId="4AFF592E">
      <w:pPr>
        <w:widowControl w:val="0"/>
        <w:spacing w:line="360" w:lineRule="auto"/>
        <w:ind w:firstLine="3410" w:firstLineChars="1421"/>
        <w:jc w:val="both"/>
        <w:rPr>
          <w:rFonts w:ascii="宋体" w:hAnsi="宋体"/>
          <w:color w:val="auto"/>
          <w:sz w:val="24"/>
          <w:szCs w:val="24"/>
        </w:rPr>
      </w:pPr>
      <w:r>
        <w:rPr>
          <w:rFonts w:hint="eastAsia" w:ascii="宋体" w:hAnsi="宋体"/>
          <w:color w:val="auto"/>
          <w:kern w:val="2"/>
          <w:sz w:val="24"/>
          <w:szCs w:val="24"/>
        </w:rPr>
        <w:t xml:space="preserve"> </w:t>
      </w:r>
    </w:p>
    <w:p w14:paraId="01DCDAE3">
      <w:pPr>
        <w:widowControl w:val="0"/>
        <w:spacing w:line="360" w:lineRule="auto"/>
        <w:ind w:firstLine="3410" w:firstLineChars="1421"/>
        <w:jc w:val="both"/>
        <w:rPr>
          <w:rFonts w:ascii="宋体" w:hAnsi="宋体" w:cs="宋体"/>
          <w:color w:val="auto"/>
          <w:kern w:val="2"/>
          <w:sz w:val="24"/>
          <w:szCs w:val="24"/>
        </w:rPr>
      </w:pPr>
    </w:p>
    <w:p w14:paraId="673EC341">
      <w:pPr>
        <w:widowControl w:val="0"/>
        <w:spacing w:line="360" w:lineRule="auto"/>
        <w:ind w:firstLine="3410" w:firstLineChars="1421"/>
        <w:jc w:val="both"/>
        <w:rPr>
          <w:rFonts w:ascii="宋体" w:hAnsi="宋体" w:cs="宋体"/>
          <w:color w:val="auto"/>
          <w:kern w:val="2"/>
          <w:sz w:val="24"/>
          <w:szCs w:val="24"/>
        </w:rPr>
      </w:pPr>
    </w:p>
    <w:p w14:paraId="5358D896">
      <w:pPr>
        <w:widowControl w:val="0"/>
        <w:spacing w:line="360" w:lineRule="auto"/>
        <w:ind w:firstLine="3424" w:firstLineChars="1421"/>
        <w:jc w:val="center"/>
        <w:rPr>
          <w:rFonts w:ascii="宋体" w:hAnsi="宋体" w:cs="宋体"/>
          <w:b/>
          <w:color w:val="auto"/>
          <w:sz w:val="24"/>
          <w:szCs w:val="24"/>
        </w:rPr>
      </w:pPr>
    </w:p>
    <w:p w14:paraId="6D6C7275">
      <w:pPr>
        <w:widowControl w:val="0"/>
        <w:spacing w:line="360" w:lineRule="auto"/>
        <w:jc w:val="center"/>
        <w:outlineLvl w:val="9"/>
        <w:rPr>
          <w:rFonts w:ascii="宋体" w:hAnsi="宋体" w:cs="宋体"/>
          <w:b/>
          <w:color w:val="auto"/>
          <w:sz w:val="24"/>
          <w:szCs w:val="24"/>
        </w:rPr>
      </w:pPr>
      <w:bookmarkStart w:id="52" w:name="_Toc269219204"/>
      <w:bookmarkEnd w:id="52"/>
      <w:bookmarkStart w:id="53" w:name="_Toc461977434"/>
    </w:p>
    <w:p w14:paraId="1BB3F18D">
      <w:pPr>
        <w:widowControl w:val="0"/>
        <w:spacing w:line="360" w:lineRule="auto"/>
        <w:jc w:val="center"/>
        <w:outlineLvl w:val="9"/>
        <w:rPr>
          <w:rFonts w:ascii="宋体" w:hAnsi="宋体" w:cs="宋体"/>
          <w:b/>
          <w:color w:val="auto"/>
          <w:sz w:val="24"/>
          <w:szCs w:val="24"/>
        </w:rPr>
      </w:pPr>
    </w:p>
    <w:p w14:paraId="1BD4E0D9">
      <w:pPr>
        <w:widowControl w:val="0"/>
        <w:spacing w:line="360" w:lineRule="auto"/>
        <w:jc w:val="both"/>
        <w:outlineLvl w:val="9"/>
        <w:rPr>
          <w:rFonts w:ascii="宋体" w:hAnsi="宋体" w:cs="宋体"/>
          <w:b/>
          <w:color w:val="auto"/>
          <w:sz w:val="24"/>
          <w:szCs w:val="24"/>
        </w:rPr>
      </w:pPr>
    </w:p>
    <w:p w14:paraId="5D558952">
      <w:pPr>
        <w:pStyle w:val="6"/>
        <w:rPr>
          <w:rFonts w:ascii="宋体" w:hAnsi="宋体" w:cs="宋体"/>
          <w:b/>
          <w:color w:val="auto"/>
          <w:sz w:val="24"/>
        </w:rPr>
      </w:pPr>
    </w:p>
    <w:p w14:paraId="017C3724">
      <w:pPr>
        <w:widowControl w:val="0"/>
        <w:spacing w:line="360" w:lineRule="auto"/>
        <w:jc w:val="center"/>
        <w:outlineLvl w:val="1"/>
        <w:rPr>
          <w:rFonts w:ascii="宋体" w:hAnsi="宋体"/>
          <w:color w:val="auto"/>
          <w:sz w:val="24"/>
          <w:szCs w:val="24"/>
        </w:rPr>
      </w:pPr>
      <w:r>
        <w:rPr>
          <w:rFonts w:hint="eastAsia" w:ascii="宋体" w:hAnsi="宋体" w:cs="宋体"/>
          <w:b/>
          <w:color w:val="auto"/>
          <w:sz w:val="24"/>
          <w:szCs w:val="24"/>
        </w:rPr>
        <w:br w:type="page"/>
      </w:r>
      <w:r>
        <w:rPr>
          <w:rFonts w:hint="eastAsia" w:ascii="宋体" w:hAnsi="宋体" w:cs="宋体"/>
          <w:b/>
          <w:color w:val="auto"/>
          <w:sz w:val="24"/>
          <w:szCs w:val="24"/>
          <w:lang w:val="en-US" w:eastAsia="zh-CN"/>
        </w:rPr>
        <w:t>四</w:t>
      </w:r>
      <w:r>
        <w:rPr>
          <w:rFonts w:hint="eastAsia" w:ascii="宋体" w:hAnsi="宋体" w:cs="宋体"/>
          <w:b/>
          <w:color w:val="auto"/>
          <w:sz w:val="24"/>
          <w:szCs w:val="24"/>
        </w:rPr>
        <w:t>、</w:t>
      </w:r>
      <w:bookmarkEnd w:id="53"/>
      <w:r>
        <w:rPr>
          <w:rFonts w:hint="eastAsia" w:ascii="宋体" w:hAnsi="宋体" w:cs="宋体"/>
          <w:b/>
          <w:color w:val="auto"/>
          <w:sz w:val="24"/>
          <w:szCs w:val="24"/>
        </w:rPr>
        <w:t>供应商资格证明材料</w:t>
      </w:r>
    </w:p>
    <w:p w14:paraId="421EAD51">
      <w:pPr>
        <w:pStyle w:val="6"/>
        <w:spacing w:line="360" w:lineRule="auto"/>
        <w:jc w:val="both"/>
        <w:rPr>
          <w:rFonts w:ascii="宋体" w:hAnsi="宋体" w:cs="宋体"/>
          <w:color w:val="auto"/>
          <w:sz w:val="24"/>
        </w:rPr>
      </w:pPr>
    </w:p>
    <w:p w14:paraId="3E841905">
      <w:pPr>
        <w:widowControl w:val="0"/>
        <w:spacing w:line="360" w:lineRule="auto"/>
        <w:jc w:val="both"/>
        <w:rPr>
          <w:rFonts w:ascii="宋体" w:hAnsi="宋体" w:cs="宋体"/>
          <w:b/>
          <w:color w:val="auto"/>
          <w:sz w:val="24"/>
          <w:szCs w:val="24"/>
        </w:rPr>
      </w:pPr>
      <w:bookmarkStart w:id="54" w:name="_Toc269219206"/>
      <w:bookmarkEnd w:id="54"/>
    </w:p>
    <w:p w14:paraId="33F8269E">
      <w:pPr>
        <w:widowControl w:val="0"/>
        <w:spacing w:line="360" w:lineRule="auto"/>
        <w:jc w:val="center"/>
        <w:rPr>
          <w:rFonts w:ascii="宋体" w:hAnsi="宋体" w:cs="宋体"/>
          <w:b/>
          <w:color w:val="auto"/>
          <w:sz w:val="24"/>
          <w:szCs w:val="24"/>
        </w:rPr>
      </w:pPr>
      <w:r>
        <w:rPr>
          <w:rFonts w:hint="eastAsia" w:ascii="宋体" w:hAnsi="宋体" w:cs="宋体"/>
          <w:b/>
          <w:color w:val="auto"/>
          <w:sz w:val="24"/>
          <w:szCs w:val="24"/>
        </w:rPr>
        <w:br w:type="page"/>
      </w:r>
      <w:r>
        <w:rPr>
          <w:rFonts w:hint="eastAsia" w:ascii="宋体" w:hAnsi="宋体" w:cs="宋体"/>
          <w:b/>
          <w:color w:val="auto"/>
          <w:sz w:val="24"/>
          <w:szCs w:val="24"/>
          <w:lang w:val="en-US" w:eastAsia="zh-CN"/>
        </w:rPr>
        <w:t>五</w:t>
      </w:r>
      <w:r>
        <w:rPr>
          <w:rFonts w:hint="eastAsia" w:ascii="宋体" w:hAnsi="宋体" w:cs="宋体"/>
          <w:b/>
          <w:color w:val="auto"/>
          <w:sz w:val="24"/>
          <w:szCs w:val="24"/>
        </w:rPr>
        <w:t>、</w:t>
      </w:r>
      <w:r>
        <w:rPr>
          <w:rFonts w:hint="eastAsia" w:ascii="宋体" w:hAnsi="宋体" w:cs="宋体"/>
          <w:b/>
          <w:color w:val="auto"/>
          <w:sz w:val="24"/>
          <w:szCs w:val="24"/>
          <w:lang w:eastAsia="zh-CN"/>
        </w:rPr>
        <w:t>技术</w:t>
      </w:r>
      <w:r>
        <w:rPr>
          <w:rFonts w:hint="eastAsia" w:ascii="宋体" w:hAnsi="宋体" w:cs="宋体"/>
          <w:b/>
          <w:color w:val="auto"/>
          <w:sz w:val="24"/>
          <w:szCs w:val="24"/>
        </w:rPr>
        <w:t>方案</w:t>
      </w:r>
    </w:p>
    <w:p w14:paraId="07D2902E">
      <w:pPr>
        <w:widowControl w:val="0"/>
        <w:autoSpaceDE w:val="0"/>
        <w:autoSpaceDN w:val="0"/>
        <w:adjustRightInd w:val="0"/>
        <w:spacing w:line="360" w:lineRule="auto"/>
        <w:jc w:val="center"/>
        <w:rPr>
          <w:rFonts w:ascii="宋体" w:hAnsi="宋体" w:cs="宋体"/>
          <w:b/>
          <w:color w:val="auto"/>
          <w:spacing w:val="10"/>
          <w:sz w:val="24"/>
          <w:szCs w:val="24"/>
        </w:rPr>
      </w:pPr>
      <w:r>
        <w:rPr>
          <w:rFonts w:hint="eastAsia" w:ascii="宋体" w:hAnsi="宋体" w:cs="宋体"/>
          <w:b/>
          <w:color w:val="auto"/>
          <w:spacing w:val="10"/>
          <w:sz w:val="24"/>
          <w:szCs w:val="24"/>
        </w:rPr>
        <w:t xml:space="preserve"> </w:t>
      </w:r>
    </w:p>
    <w:p w14:paraId="1EBA41EC">
      <w:pPr>
        <w:widowControl w:val="0"/>
        <w:autoSpaceDE w:val="0"/>
        <w:autoSpaceDN w:val="0"/>
        <w:adjustRightInd w:val="0"/>
        <w:spacing w:line="360" w:lineRule="auto"/>
        <w:rPr>
          <w:rFonts w:ascii="宋体" w:hAnsi="宋体" w:cs="宋体"/>
          <w:color w:val="auto"/>
          <w:spacing w:val="10"/>
          <w:sz w:val="24"/>
          <w:szCs w:val="24"/>
        </w:rPr>
      </w:pPr>
    </w:p>
    <w:p w14:paraId="53D7A53B">
      <w:pPr>
        <w:widowControl w:val="0"/>
        <w:autoSpaceDE w:val="0"/>
        <w:autoSpaceDN w:val="0"/>
        <w:adjustRightInd w:val="0"/>
        <w:spacing w:line="360" w:lineRule="auto"/>
        <w:jc w:val="center"/>
        <w:rPr>
          <w:rFonts w:ascii="宋体" w:hAnsi="宋体" w:cs="宋体"/>
          <w:color w:val="auto"/>
          <w:spacing w:val="10"/>
          <w:sz w:val="24"/>
          <w:szCs w:val="24"/>
        </w:rPr>
      </w:pPr>
      <w:r>
        <w:rPr>
          <w:rFonts w:hint="eastAsia" w:ascii="宋体" w:hAnsi="宋体" w:cs="宋体"/>
          <w:color w:val="auto"/>
          <w:spacing w:val="10"/>
          <w:sz w:val="24"/>
          <w:szCs w:val="24"/>
        </w:rPr>
        <w:t>格式自拟</w:t>
      </w:r>
    </w:p>
    <w:p w14:paraId="7BB0E7E2">
      <w:pPr>
        <w:widowControl w:val="0"/>
        <w:autoSpaceDE w:val="0"/>
        <w:autoSpaceDN w:val="0"/>
        <w:adjustRightInd w:val="0"/>
        <w:spacing w:line="360" w:lineRule="auto"/>
        <w:rPr>
          <w:rFonts w:ascii="宋体" w:hAnsi="宋体" w:cs="宋体"/>
          <w:color w:val="auto"/>
          <w:spacing w:val="10"/>
          <w:sz w:val="24"/>
          <w:szCs w:val="24"/>
        </w:rPr>
      </w:pPr>
      <w:r>
        <w:rPr>
          <w:rFonts w:hint="eastAsia" w:ascii="宋体" w:hAnsi="宋体" w:cs="宋体"/>
          <w:color w:val="auto"/>
          <w:spacing w:val="10"/>
          <w:sz w:val="24"/>
          <w:szCs w:val="24"/>
        </w:rPr>
        <w:t xml:space="preserve">                  </w:t>
      </w:r>
    </w:p>
    <w:p w14:paraId="41BA2504">
      <w:pPr>
        <w:widowControl w:val="0"/>
        <w:autoSpaceDE w:val="0"/>
        <w:autoSpaceDN w:val="0"/>
        <w:adjustRightInd w:val="0"/>
        <w:spacing w:line="360" w:lineRule="auto"/>
        <w:rPr>
          <w:rFonts w:ascii="宋体" w:hAnsi="宋体" w:cs="宋体"/>
          <w:color w:val="auto"/>
          <w:spacing w:val="10"/>
          <w:sz w:val="24"/>
          <w:szCs w:val="24"/>
        </w:rPr>
      </w:pPr>
      <w:r>
        <w:rPr>
          <w:rFonts w:hint="eastAsia" w:ascii="宋体" w:hAnsi="宋体" w:cs="宋体"/>
          <w:color w:val="auto"/>
          <w:spacing w:val="10"/>
          <w:sz w:val="24"/>
          <w:szCs w:val="24"/>
        </w:rPr>
        <w:t xml:space="preserve"> </w:t>
      </w:r>
    </w:p>
    <w:p w14:paraId="4272B9C7">
      <w:pPr>
        <w:widowControl w:val="0"/>
        <w:autoSpaceDE w:val="0"/>
        <w:autoSpaceDN w:val="0"/>
        <w:adjustRightInd w:val="0"/>
        <w:spacing w:line="360" w:lineRule="auto"/>
        <w:rPr>
          <w:rFonts w:ascii="宋体" w:hAnsi="宋体" w:cs="宋体"/>
          <w:color w:val="auto"/>
          <w:spacing w:val="10"/>
          <w:sz w:val="24"/>
          <w:szCs w:val="24"/>
        </w:rPr>
      </w:pPr>
      <w:r>
        <w:rPr>
          <w:rFonts w:hint="eastAsia" w:ascii="宋体" w:hAnsi="宋体" w:cs="宋体"/>
          <w:color w:val="auto"/>
          <w:spacing w:val="10"/>
          <w:sz w:val="24"/>
          <w:szCs w:val="24"/>
        </w:rPr>
        <w:t xml:space="preserve"> </w:t>
      </w:r>
    </w:p>
    <w:p w14:paraId="59E624CF">
      <w:pPr>
        <w:widowControl w:val="0"/>
        <w:autoSpaceDE w:val="0"/>
        <w:autoSpaceDN w:val="0"/>
        <w:adjustRightInd w:val="0"/>
        <w:spacing w:line="360" w:lineRule="auto"/>
        <w:rPr>
          <w:rFonts w:ascii="宋体" w:hAnsi="宋体" w:cs="宋体"/>
          <w:color w:val="auto"/>
          <w:spacing w:val="10"/>
          <w:sz w:val="24"/>
          <w:szCs w:val="24"/>
        </w:rPr>
      </w:pPr>
      <w:r>
        <w:rPr>
          <w:rFonts w:hint="eastAsia" w:ascii="宋体" w:hAnsi="宋体" w:cs="宋体"/>
          <w:color w:val="auto"/>
          <w:spacing w:val="10"/>
          <w:sz w:val="24"/>
          <w:szCs w:val="24"/>
        </w:rPr>
        <w:t xml:space="preserve"> </w:t>
      </w:r>
    </w:p>
    <w:p w14:paraId="3E0BD3F7">
      <w:pPr>
        <w:widowControl w:val="0"/>
        <w:autoSpaceDE w:val="0"/>
        <w:autoSpaceDN w:val="0"/>
        <w:adjustRightInd w:val="0"/>
        <w:spacing w:line="360" w:lineRule="auto"/>
        <w:rPr>
          <w:rFonts w:ascii="宋体" w:hAnsi="宋体" w:cs="宋体"/>
          <w:color w:val="auto"/>
          <w:spacing w:val="10"/>
          <w:sz w:val="24"/>
          <w:szCs w:val="24"/>
        </w:rPr>
      </w:pPr>
      <w:r>
        <w:rPr>
          <w:rFonts w:hint="eastAsia" w:ascii="宋体" w:hAnsi="宋体" w:cs="宋体"/>
          <w:color w:val="auto"/>
          <w:spacing w:val="10"/>
          <w:sz w:val="24"/>
          <w:szCs w:val="24"/>
        </w:rPr>
        <w:t xml:space="preserve"> </w:t>
      </w:r>
    </w:p>
    <w:p w14:paraId="4B0D2673">
      <w:pPr>
        <w:widowControl w:val="0"/>
        <w:autoSpaceDE w:val="0"/>
        <w:autoSpaceDN w:val="0"/>
        <w:adjustRightInd w:val="0"/>
        <w:spacing w:line="360" w:lineRule="auto"/>
        <w:rPr>
          <w:rFonts w:ascii="宋体" w:hAnsi="宋体" w:cs="宋体"/>
          <w:color w:val="auto"/>
          <w:spacing w:val="10"/>
          <w:sz w:val="24"/>
          <w:szCs w:val="24"/>
        </w:rPr>
      </w:pPr>
      <w:r>
        <w:rPr>
          <w:rFonts w:hint="eastAsia" w:ascii="宋体" w:hAnsi="宋体" w:cs="宋体"/>
          <w:color w:val="auto"/>
          <w:spacing w:val="10"/>
          <w:sz w:val="24"/>
          <w:szCs w:val="24"/>
        </w:rPr>
        <w:t xml:space="preserve"> </w:t>
      </w:r>
    </w:p>
    <w:p w14:paraId="6555442A">
      <w:pPr>
        <w:widowControl w:val="0"/>
        <w:autoSpaceDE w:val="0"/>
        <w:autoSpaceDN w:val="0"/>
        <w:adjustRightInd w:val="0"/>
        <w:spacing w:line="360" w:lineRule="auto"/>
        <w:rPr>
          <w:rFonts w:hint="eastAsia" w:ascii="宋体" w:hAnsi="宋体" w:cs="宋体"/>
          <w:color w:val="auto"/>
          <w:spacing w:val="10"/>
          <w:sz w:val="24"/>
          <w:szCs w:val="24"/>
        </w:rPr>
      </w:pPr>
      <w:r>
        <w:rPr>
          <w:rFonts w:hint="eastAsia" w:ascii="宋体" w:hAnsi="宋体" w:cs="宋体"/>
          <w:color w:val="auto"/>
          <w:spacing w:val="10"/>
          <w:sz w:val="24"/>
          <w:szCs w:val="24"/>
        </w:rPr>
        <w:t xml:space="preserve"> </w:t>
      </w:r>
    </w:p>
    <w:p w14:paraId="0F1CE541">
      <w:pPr>
        <w:pStyle w:val="24"/>
        <w:rPr>
          <w:rFonts w:hint="eastAsia" w:ascii="宋体" w:hAnsi="宋体" w:cs="宋体"/>
          <w:color w:val="auto"/>
          <w:spacing w:val="10"/>
          <w:sz w:val="24"/>
          <w:szCs w:val="24"/>
        </w:rPr>
      </w:pPr>
    </w:p>
    <w:p w14:paraId="3B1EBD45">
      <w:pPr>
        <w:pStyle w:val="24"/>
        <w:rPr>
          <w:rFonts w:hint="eastAsia" w:ascii="宋体" w:hAnsi="宋体" w:cs="宋体"/>
          <w:color w:val="auto"/>
          <w:spacing w:val="10"/>
          <w:sz w:val="24"/>
          <w:szCs w:val="24"/>
        </w:rPr>
      </w:pPr>
    </w:p>
    <w:p w14:paraId="1E3DC7CF">
      <w:pPr>
        <w:pStyle w:val="24"/>
        <w:rPr>
          <w:rFonts w:hint="eastAsia" w:ascii="宋体" w:hAnsi="宋体" w:cs="宋体"/>
          <w:color w:val="auto"/>
          <w:spacing w:val="10"/>
          <w:sz w:val="24"/>
          <w:szCs w:val="24"/>
        </w:rPr>
      </w:pPr>
    </w:p>
    <w:p w14:paraId="602A5538">
      <w:pPr>
        <w:widowControl w:val="0"/>
        <w:autoSpaceDE w:val="0"/>
        <w:autoSpaceDN w:val="0"/>
        <w:adjustRightInd w:val="0"/>
        <w:spacing w:line="360" w:lineRule="auto"/>
        <w:rPr>
          <w:rFonts w:ascii="宋体" w:hAnsi="宋体" w:cs="宋体"/>
          <w:color w:val="auto"/>
          <w:spacing w:val="10"/>
          <w:sz w:val="24"/>
          <w:szCs w:val="24"/>
        </w:rPr>
      </w:pPr>
      <w:r>
        <w:rPr>
          <w:rFonts w:hint="eastAsia" w:ascii="宋体" w:hAnsi="宋体" w:cs="宋体"/>
          <w:color w:val="auto"/>
          <w:spacing w:val="10"/>
          <w:sz w:val="24"/>
          <w:szCs w:val="24"/>
        </w:rPr>
        <w:t xml:space="preserve"> </w:t>
      </w:r>
    </w:p>
    <w:p w14:paraId="0CA2F1E8">
      <w:pPr>
        <w:widowControl w:val="0"/>
        <w:autoSpaceDE w:val="0"/>
        <w:autoSpaceDN w:val="0"/>
        <w:adjustRightInd w:val="0"/>
        <w:spacing w:line="360" w:lineRule="auto"/>
        <w:ind w:firstLine="2990" w:firstLineChars="1150"/>
        <w:rPr>
          <w:rFonts w:ascii="宋体" w:hAnsi="宋体" w:cs="宋体"/>
          <w:color w:val="auto"/>
          <w:spacing w:val="10"/>
          <w:sz w:val="24"/>
          <w:szCs w:val="24"/>
        </w:rPr>
      </w:pPr>
      <w:r>
        <w:rPr>
          <w:rFonts w:hint="eastAsia" w:ascii="宋体" w:hAnsi="宋体" w:cs="宋体"/>
          <w:color w:val="auto"/>
          <w:spacing w:val="10"/>
          <w:sz w:val="24"/>
          <w:szCs w:val="24"/>
        </w:rPr>
        <w:t xml:space="preserve"> 供应商（</w:t>
      </w:r>
      <w:r>
        <w:rPr>
          <w:rFonts w:hint="eastAsia" w:ascii="宋体" w:hAnsi="宋体" w:cs="宋体"/>
          <w:color w:val="auto"/>
          <w:spacing w:val="10"/>
          <w:sz w:val="24"/>
          <w:szCs w:val="24"/>
          <w:lang w:val="en-US" w:eastAsia="zh-CN"/>
        </w:rPr>
        <w:t>公章</w:t>
      </w:r>
      <w:r>
        <w:rPr>
          <w:rFonts w:hint="eastAsia" w:ascii="宋体" w:hAnsi="宋体" w:cs="宋体"/>
          <w:color w:val="auto"/>
          <w:spacing w:val="10"/>
          <w:sz w:val="24"/>
          <w:szCs w:val="24"/>
        </w:rPr>
        <w:t>签章）：</w:t>
      </w:r>
    </w:p>
    <w:p w14:paraId="6C9BCB04">
      <w:pPr>
        <w:widowControl w:val="0"/>
        <w:autoSpaceDE w:val="0"/>
        <w:autoSpaceDN w:val="0"/>
        <w:adjustRightInd w:val="0"/>
        <w:spacing w:line="360" w:lineRule="auto"/>
        <w:ind w:firstLine="1300" w:firstLineChars="500"/>
        <w:rPr>
          <w:rFonts w:ascii="宋体" w:hAnsi="宋体" w:cs="宋体"/>
          <w:color w:val="auto"/>
          <w:spacing w:val="10"/>
          <w:sz w:val="24"/>
          <w:szCs w:val="24"/>
        </w:rPr>
      </w:pPr>
      <w:r>
        <w:rPr>
          <w:rFonts w:hint="eastAsia" w:ascii="宋体" w:hAnsi="宋体" w:cs="宋体"/>
          <w:color w:val="auto"/>
          <w:spacing w:val="10"/>
          <w:sz w:val="24"/>
          <w:szCs w:val="24"/>
        </w:rPr>
        <w:t>法定代表人/委托代理人（签章）：</w:t>
      </w:r>
    </w:p>
    <w:p w14:paraId="2BA53C34">
      <w:pPr>
        <w:widowControl w:val="0"/>
        <w:autoSpaceDE w:val="0"/>
        <w:autoSpaceDN w:val="0"/>
        <w:adjustRightInd w:val="0"/>
        <w:spacing w:line="360" w:lineRule="auto"/>
        <w:rPr>
          <w:rFonts w:ascii="宋体" w:hAnsi="宋体" w:cs="宋体"/>
          <w:color w:val="auto"/>
          <w:spacing w:val="10"/>
          <w:sz w:val="24"/>
          <w:szCs w:val="24"/>
        </w:rPr>
      </w:pPr>
      <w:r>
        <w:rPr>
          <w:rFonts w:hint="eastAsia" w:ascii="宋体" w:hAnsi="宋体" w:cs="宋体"/>
          <w:color w:val="auto"/>
          <w:spacing w:val="10"/>
          <w:sz w:val="24"/>
          <w:szCs w:val="24"/>
        </w:rPr>
        <w:t xml:space="preserve">                        日期：</w:t>
      </w:r>
    </w:p>
    <w:p w14:paraId="4C6620C6">
      <w:pPr>
        <w:widowControl w:val="0"/>
        <w:spacing w:line="360" w:lineRule="auto"/>
        <w:jc w:val="center"/>
        <w:rPr>
          <w:rFonts w:ascii="宋体" w:hAnsi="宋体"/>
          <w:b/>
          <w:color w:val="auto"/>
          <w:sz w:val="24"/>
          <w:szCs w:val="24"/>
        </w:rPr>
      </w:pPr>
      <w:r>
        <w:rPr>
          <w:rFonts w:ascii="宋体" w:hAnsi="宋体"/>
          <w:b/>
          <w:color w:val="auto"/>
          <w:spacing w:val="10"/>
          <w:sz w:val="24"/>
          <w:szCs w:val="24"/>
        </w:rPr>
        <w:br w:type="page"/>
      </w:r>
      <w:bookmarkStart w:id="55" w:name="_Toc269219207"/>
      <w:bookmarkEnd w:id="55"/>
      <w:bookmarkStart w:id="56" w:name="_Toc461977437"/>
      <w:r>
        <w:rPr>
          <w:rFonts w:hint="eastAsia" w:ascii="宋体" w:hAnsi="宋体" w:cs="宋体"/>
          <w:b/>
          <w:color w:val="auto"/>
          <w:sz w:val="24"/>
          <w:szCs w:val="24"/>
          <w:lang w:val="en-US" w:eastAsia="zh-CN"/>
        </w:rPr>
        <w:t>六</w:t>
      </w:r>
      <w:r>
        <w:rPr>
          <w:rFonts w:hint="eastAsia" w:ascii="宋体" w:hAnsi="宋体" w:cs="宋体"/>
          <w:b/>
          <w:color w:val="auto"/>
          <w:sz w:val="24"/>
          <w:szCs w:val="24"/>
        </w:rPr>
        <w:t>、投标承诺函</w:t>
      </w:r>
      <w:bookmarkEnd w:id="56"/>
    </w:p>
    <w:p w14:paraId="5F9419B9">
      <w:pPr>
        <w:keepNext w:val="0"/>
        <w:keepLines w:val="0"/>
        <w:pageBreakBefore w:val="0"/>
        <w:kinsoku/>
        <w:wordWrap w:val="0"/>
        <w:overflowPunct/>
        <w:topLinePunct w:val="0"/>
        <w:bidi w:val="0"/>
        <w:snapToGrid/>
        <w:spacing w:line="360" w:lineRule="auto"/>
        <w:textAlignment w:val="auto"/>
        <w:rPr>
          <w:rFonts w:hint="eastAsia" w:ascii="宋体" w:hAnsi="宋体" w:cs="宋体"/>
          <w:sz w:val="24"/>
          <w:highlight w:val="none"/>
        </w:rPr>
      </w:pPr>
      <w:r>
        <w:rPr>
          <w:rFonts w:hint="eastAsia" w:ascii="宋体" w:hAnsi="宋体" w:cs="宋体"/>
          <w:sz w:val="24"/>
          <w:highlight w:val="none"/>
        </w:rPr>
        <w:t>致 （采购人）：</w:t>
      </w:r>
    </w:p>
    <w:p w14:paraId="24E9AB4F">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我公司作为本次采购项目的供应商，根据竞争性磋商文件要求，现郑重承诺如下：</w:t>
      </w:r>
    </w:p>
    <w:p w14:paraId="68027C3C">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一、具备《中华人民共和国政府采购法》第二十二条第一款和本项目规定的条件：</w:t>
      </w:r>
    </w:p>
    <w:p w14:paraId="3331612E">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（一）具有独立承担民事责任的能力；</w:t>
      </w:r>
    </w:p>
    <w:p w14:paraId="23F3F60D">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（二）具有良好的商业信誉和健全的财务会计制度；</w:t>
      </w:r>
    </w:p>
    <w:p w14:paraId="7CB1FB1B">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（三）具有履行合同所必需的设备和专业技术能力；</w:t>
      </w:r>
    </w:p>
    <w:p w14:paraId="5A5D53F2">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（四）有依法缴纳税收和社会保障资金的良好记录；</w:t>
      </w:r>
    </w:p>
    <w:p w14:paraId="2F5DC932">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（五）参加政府采购活动前三年内，在经营活动中没有重大违法记录；</w:t>
      </w:r>
    </w:p>
    <w:p w14:paraId="1C1395EB">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（六）法律、行政法规规定的其他条件；</w:t>
      </w:r>
    </w:p>
    <w:p w14:paraId="5D77E1D8">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（七）根据采购项目提出的特殊条件。</w:t>
      </w:r>
    </w:p>
    <w:p w14:paraId="01B795C5">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14:paraId="17F12B2F">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三、参加本次招标采购活动，不存在与单位负责人为同一人或者存在直接控股、管理关系的其他供应商参与同一合同项下的政府采购活动的行为。</w:t>
      </w:r>
    </w:p>
    <w:p w14:paraId="6813A7D4">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四、参加本次招标采购活动，不存在为采购项目提供整体设计、规范编制或者项目管理、监理、检测等服务的行为。</w:t>
      </w:r>
    </w:p>
    <w:p w14:paraId="607ACE2F">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五、参加本次招标采购活动，不存在和其他供应商在同一合同项下的采购项目中，同时委托同一个自然人、同一家庭的人员、同一单位的人员作为代理人的行为。</w:t>
      </w:r>
    </w:p>
    <w:p w14:paraId="73EF064F">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六、供应商参加本次政府采购活动要求在近三年内供应商和其法定代表人没有行贿犯罪行为。</w:t>
      </w:r>
    </w:p>
    <w:p w14:paraId="30C2C085">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七、参加本次招标采购活动，不存在联合体投标。</w:t>
      </w:r>
    </w:p>
    <w:p w14:paraId="5E18760C">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八、响应文件中提供的能够给予我公司带来优惠、好处的任何材料资料和技术、服务、商务等响应承诺情况都是真实的、有效的、合法的。</w:t>
      </w:r>
    </w:p>
    <w:p w14:paraId="01405507">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九、存在以下行为之一的愿意接受相关部门的处理：</w:t>
      </w:r>
    </w:p>
    <w:p w14:paraId="243A403C">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（一）投标有效期内撤销响应文件的；</w:t>
      </w:r>
    </w:p>
    <w:p w14:paraId="7D9F7E16">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（二）在采购人确定中标人以前放弃中标候选资格的；</w:t>
      </w:r>
    </w:p>
    <w:p w14:paraId="665F84F6">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（三）由于中标人的原因未能按照竞争性磋商文件的规定与采购人签订合同；</w:t>
      </w:r>
    </w:p>
    <w:p w14:paraId="5D72ADD5">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（四）由于中标人的原因未能按照竞争性磋商文件的规定交纳履约保证金；</w:t>
      </w:r>
    </w:p>
    <w:p w14:paraId="4B13942B">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（五）在响应文件中提供虚假材料谋取中标；</w:t>
      </w:r>
    </w:p>
    <w:p w14:paraId="1B9A687E">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（六）与采购人、其他供应商或者采购代理机构恶意串通的；</w:t>
      </w:r>
    </w:p>
    <w:p w14:paraId="393EE912">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（七）投标有效期内，供应商在政府采购活动中有违法、违规、违纪行为。</w:t>
      </w:r>
    </w:p>
    <w:p w14:paraId="47E2914C">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由此产生的一切法律后果和责任由我公司承担。我公司声明放弃对此提出任何异议和追索的权利。</w:t>
      </w:r>
    </w:p>
    <w:p w14:paraId="575C52E2">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本公司对上述承诺的内容事项真实性负责。如经查实上述承诺的内容事项存在虚假，我公司愿意接受以提供虚假材料谋取中标追究法律责任。</w:t>
      </w:r>
    </w:p>
    <w:p w14:paraId="3D7BC858">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 xml:space="preserve"> </w:t>
      </w:r>
    </w:p>
    <w:p w14:paraId="2F861E00">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供应商名称：               （</w:t>
      </w:r>
      <w:r>
        <w:rPr>
          <w:rFonts w:hint="eastAsia" w:ascii="宋体" w:hAnsi="宋体" w:cs="宋体"/>
          <w:sz w:val="24"/>
          <w:highlight w:val="none"/>
          <w:lang w:val="en-US" w:eastAsia="zh-CN"/>
        </w:rPr>
        <w:t>公章签章</w:t>
      </w:r>
      <w:r>
        <w:rPr>
          <w:rFonts w:hint="eastAsia" w:ascii="宋体" w:hAnsi="宋体" w:cs="宋体"/>
          <w:sz w:val="24"/>
          <w:highlight w:val="none"/>
        </w:rPr>
        <w:t>）</w:t>
      </w:r>
    </w:p>
    <w:p w14:paraId="326C8842">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法定代表人：               （</w:t>
      </w:r>
      <w:r>
        <w:rPr>
          <w:rFonts w:hint="eastAsia" w:ascii="宋体" w:hAnsi="宋体" w:cs="宋体"/>
          <w:sz w:val="24"/>
          <w:highlight w:val="none"/>
          <w:lang w:val="en-US" w:eastAsia="zh-CN"/>
        </w:rPr>
        <w:t>法人签章</w:t>
      </w:r>
      <w:r>
        <w:rPr>
          <w:rFonts w:hint="eastAsia" w:ascii="宋体" w:hAnsi="宋体" w:cs="宋体"/>
          <w:sz w:val="24"/>
          <w:highlight w:val="none"/>
        </w:rPr>
        <w:t>）</w:t>
      </w:r>
    </w:p>
    <w:p w14:paraId="4C8E6D17">
      <w:pPr>
        <w:widowControl w:val="0"/>
        <w:spacing w:line="360" w:lineRule="auto"/>
        <w:jc w:val="center"/>
        <w:outlineLvl w:val="1"/>
        <w:rPr>
          <w:rFonts w:ascii="宋体" w:hAnsi="宋体" w:cs="仿宋"/>
          <w:color w:val="auto"/>
          <w:sz w:val="24"/>
          <w:szCs w:val="24"/>
        </w:rPr>
      </w:pPr>
      <w:r>
        <w:rPr>
          <w:rFonts w:hint="eastAsia" w:ascii="宋体" w:hAnsi="宋体" w:cs="宋体"/>
          <w:sz w:val="24"/>
          <w:highlight w:val="none"/>
        </w:rPr>
        <w:t xml:space="preserve">日期：              </w:t>
      </w:r>
      <w:bookmarkStart w:id="57" w:name="_Toc144974862"/>
      <w:bookmarkEnd w:id="57"/>
      <w:bookmarkStart w:id="58" w:name="_Hlk3282331"/>
      <w:bookmarkEnd w:id="58"/>
      <w:bookmarkStart w:id="59" w:name="_Toc244934213"/>
      <w:bookmarkEnd w:id="59"/>
      <w:bookmarkStart w:id="60" w:name="_Toc361989462"/>
      <w:bookmarkEnd w:id="60"/>
      <w:bookmarkStart w:id="61" w:name="_Toc152042583"/>
      <w:bookmarkEnd w:id="61"/>
      <w:bookmarkStart w:id="62" w:name="_Toc244934212"/>
      <w:bookmarkEnd w:id="62"/>
      <w:bookmarkStart w:id="63" w:name="_Toc246997105"/>
      <w:bookmarkEnd w:id="63"/>
      <w:bookmarkStart w:id="64" w:name="_Toc179632814"/>
      <w:bookmarkEnd w:id="64"/>
      <w:bookmarkStart w:id="65" w:name="_Toc528078071"/>
      <w:bookmarkEnd w:id="65"/>
      <w:bookmarkStart w:id="66" w:name="_Toc247085880"/>
      <w:bookmarkEnd w:id="66"/>
      <w:bookmarkStart w:id="67" w:name="_Toc246996362"/>
      <w:bookmarkEnd w:id="67"/>
      <w:bookmarkStart w:id="68" w:name="_Toc394651926"/>
      <w:bookmarkEnd w:id="68"/>
      <w:bookmarkStart w:id="69" w:name="_Toc361989463"/>
      <w:bookmarkEnd w:id="69"/>
      <w:bookmarkStart w:id="70" w:name="_Toc152045794"/>
      <w:bookmarkEnd w:id="70"/>
    </w:p>
    <w:p w14:paraId="38EA1F6D">
      <w:pPr>
        <w:widowControl w:val="0"/>
        <w:spacing w:line="360" w:lineRule="auto"/>
        <w:jc w:val="center"/>
        <w:outlineLvl w:val="1"/>
        <w:rPr>
          <w:rFonts w:ascii="宋体" w:hAnsi="宋体" w:cs="仿宋"/>
          <w:b/>
          <w:color w:val="auto"/>
          <w:sz w:val="24"/>
          <w:szCs w:val="24"/>
        </w:rPr>
      </w:pPr>
      <w:r>
        <w:rPr>
          <w:rFonts w:hint="eastAsia" w:ascii="宋体" w:hAnsi="宋体" w:cs="仿宋"/>
          <w:b/>
          <w:color w:val="auto"/>
          <w:kern w:val="2"/>
          <w:sz w:val="24"/>
          <w:szCs w:val="24"/>
        </w:rPr>
        <w:br w:type="page"/>
      </w:r>
      <w:r>
        <w:rPr>
          <w:rFonts w:hint="eastAsia" w:ascii="宋体" w:hAnsi="宋体" w:cs="仿宋"/>
          <w:b/>
          <w:color w:val="auto"/>
          <w:kern w:val="2"/>
          <w:sz w:val="24"/>
          <w:szCs w:val="24"/>
          <w:lang w:val="en-US" w:eastAsia="zh-CN"/>
        </w:rPr>
        <w:t>七</w:t>
      </w:r>
      <w:r>
        <w:rPr>
          <w:rFonts w:hint="eastAsia" w:ascii="宋体" w:hAnsi="宋体" w:cs="仿宋"/>
          <w:b/>
          <w:color w:val="auto"/>
          <w:kern w:val="2"/>
          <w:sz w:val="24"/>
          <w:szCs w:val="24"/>
        </w:rPr>
        <w:t>、</w:t>
      </w:r>
      <w:r>
        <w:rPr>
          <w:rFonts w:hint="eastAsia" w:ascii="宋体" w:hAnsi="宋体" w:cs="仿宋"/>
          <w:b/>
          <w:color w:val="auto"/>
          <w:kern w:val="2"/>
          <w:sz w:val="28"/>
          <w:szCs w:val="28"/>
        </w:rPr>
        <w:t>服务承诺及优惠条件</w:t>
      </w:r>
    </w:p>
    <w:p w14:paraId="598B706C">
      <w:pPr>
        <w:widowControl w:val="0"/>
        <w:spacing w:line="360" w:lineRule="auto"/>
        <w:jc w:val="center"/>
        <w:outlineLvl w:val="9"/>
        <w:rPr>
          <w:rFonts w:ascii="宋体" w:hAnsi="宋体"/>
          <w:color w:val="auto"/>
          <w:sz w:val="24"/>
          <w:szCs w:val="24"/>
        </w:rPr>
      </w:pPr>
      <w:r>
        <w:rPr>
          <w:rFonts w:hint="eastAsia" w:ascii="宋体" w:hAnsi="宋体" w:cs="仿宋"/>
          <w:b/>
          <w:color w:val="auto"/>
          <w:kern w:val="2"/>
          <w:sz w:val="24"/>
          <w:szCs w:val="24"/>
        </w:rPr>
        <w:t xml:space="preserve"> </w:t>
      </w:r>
      <w:bookmarkStart w:id="71" w:name="_Toc461977439"/>
      <w:bookmarkEnd w:id="71"/>
    </w:p>
    <w:p w14:paraId="0A30DBC7">
      <w:pPr>
        <w:widowControl w:val="0"/>
        <w:jc w:val="both"/>
        <w:rPr>
          <w:rFonts w:ascii="宋体" w:hAnsi="宋体"/>
          <w:color w:val="auto"/>
          <w:sz w:val="24"/>
          <w:szCs w:val="24"/>
        </w:rPr>
      </w:pPr>
    </w:p>
    <w:p w14:paraId="1574BA60">
      <w:pPr>
        <w:widowControl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评分办法中提到的承诺书、其他资料</w:t>
      </w:r>
    </w:p>
    <w:p w14:paraId="6429C532">
      <w:pPr>
        <w:rPr>
          <w:rFonts w:hint="eastAsia"/>
          <w:color w:val="auto"/>
          <w:sz w:val="28"/>
          <w:szCs w:val="28"/>
          <w:highlight w:val="none"/>
        </w:rPr>
      </w:pPr>
    </w:p>
    <w:p w14:paraId="4CE685A5">
      <w:pPr>
        <w:widowControl w:val="0"/>
        <w:spacing w:line="360" w:lineRule="auto"/>
        <w:jc w:val="center"/>
        <w:outlineLvl w:val="1"/>
        <w:rPr>
          <w:rFonts w:hint="default" w:ascii="宋体" w:hAnsi="宋体" w:cs="仿宋"/>
          <w:b/>
          <w:color w:val="auto"/>
          <w:kern w:val="2"/>
          <w:sz w:val="28"/>
          <w:szCs w:val="28"/>
          <w:lang w:val="en-US" w:eastAsia="zh-CN"/>
        </w:rPr>
      </w:pPr>
      <w:r>
        <w:rPr>
          <w:rFonts w:hint="eastAsia"/>
          <w:color w:val="auto"/>
          <w:sz w:val="28"/>
          <w:szCs w:val="28"/>
          <w:highlight w:val="none"/>
        </w:rPr>
        <w:br w:type="page"/>
      </w:r>
      <w:r>
        <w:rPr>
          <w:rFonts w:hint="eastAsia" w:ascii="宋体" w:hAnsi="宋体" w:cs="仿宋"/>
          <w:b/>
          <w:color w:val="auto"/>
          <w:kern w:val="2"/>
          <w:sz w:val="24"/>
          <w:szCs w:val="24"/>
          <w:lang w:val="en-US" w:eastAsia="zh-CN"/>
        </w:rPr>
        <w:t>八、</w:t>
      </w:r>
      <w:r>
        <w:rPr>
          <w:rFonts w:hint="eastAsia" w:ascii="宋体" w:hAnsi="宋体" w:cs="仿宋"/>
          <w:b/>
          <w:color w:val="auto"/>
          <w:kern w:val="2"/>
          <w:sz w:val="28"/>
          <w:szCs w:val="28"/>
          <w:lang w:val="en-US" w:eastAsia="zh-CN"/>
        </w:rPr>
        <w:t>供应商认为应附的其他资料</w:t>
      </w:r>
    </w:p>
    <w:p w14:paraId="41335DD0">
      <w:pPr>
        <w:widowControl w:val="0"/>
        <w:spacing w:line="360" w:lineRule="auto"/>
        <w:jc w:val="center"/>
        <w:outlineLvl w:val="9"/>
        <w:rPr>
          <w:rFonts w:hint="eastAsia" w:ascii="宋体" w:hAnsi="宋体" w:cs="仿宋"/>
          <w:b/>
          <w:color w:val="auto"/>
          <w:kern w:val="2"/>
          <w:sz w:val="24"/>
          <w:szCs w:val="24"/>
          <w:lang w:val="en-US" w:eastAsia="zh-CN"/>
        </w:rPr>
      </w:pPr>
    </w:p>
    <w:p w14:paraId="1C55C46C">
      <w:pPr>
        <w:rPr>
          <w:rFonts w:hint="eastAsia"/>
          <w:color w:val="auto"/>
          <w:sz w:val="28"/>
          <w:szCs w:val="28"/>
          <w:highlight w:val="none"/>
        </w:rPr>
      </w:pPr>
    </w:p>
    <w:p w14:paraId="39166DBF">
      <w:pPr>
        <w:rPr>
          <w:rFonts w:hint="eastAsia"/>
          <w:color w:val="auto"/>
          <w:sz w:val="28"/>
          <w:szCs w:val="28"/>
          <w:highlight w:val="none"/>
        </w:rPr>
      </w:pPr>
    </w:p>
    <w:p w14:paraId="6766E9AE">
      <w:pPr>
        <w:rPr>
          <w:rFonts w:hint="eastAsia"/>
          <w:color w:val="auto"/>
          <w:sz w:val="28"/>
          <w:szCs w:val="28"/>
          <w:highlight w:val="none"/>
        </w:rPr>
      </w:pPr>
    </w:p>
    <w:p w14:paraId="1FF98325">
      <w:pPr>
        <w:rPr>
          <w:rFonts w:hint="eastAsia"/>
          <w:color w:val="auto"/>
          <w:sz w:val="28"/>
          <w:szCs w:val="28"/>
          <w:highlight w:val="none"/>
        </w:rPr>
      </w:pPr>
    </w:p>
    <w:p w14:paraId="4B168B7E">
      <w:pPr>
        <w:rPr>
          <w:rFonts w:hint="eastAsia"/>
          <w:color w:val="auto"/>
          <w:sz w:val="28"/>
          <w:szCs w:val="28"/>
          <w:highlight w:val="none"/>
        </w:rPr>
      </w:pPr>
    </w:p>
    <w:p w14:paraId="2672BCBD">
      <w:pPr>
        <w:rPr>
          <w:rFonts w:hint="eastAsia"/>
          <w:color w:val="auto"/>
          <w:sz w:val="28"/>
          <w:szCs w:val="28"/>
          <w:highlight w:val="none"/>
        </w:rPr>
      </w:pPr>
    </w:p>
    <w:p w14:paraId="1CFDCF5E">
      <w:pPr>
        <w:rPr>
          <w:rFonts w:hint="eastAsia"/>
          <w:color w:val="auto"/>
          <w:sz w:val="28"/>
          <w:szCs w:val="28"/>
          <w:highlight w:val="none"/>
        </w:rPr>
      </w:pPr>
    </w:p>
    <w:p w14:paraId="50534E21">
      <w:pPr>
        <w:rPr>
          <w:rFonts w:hint="eastAsia"/>
          <w:color w:val="auto"/>
          <w:sz w:val="28"/>
          <w:szCs w:val="28"/>
          <w:highlight w:val="none"/>
        </w:rPr>
      </w:pPr>
    </w:p>
    <w:p w14:paraId="3B4C463D">
      <w:pPr>
        <w:rPr>
          <w:rFonts w:hint="eastAsia"/>
          <w:color w:val="auto"/>
          <w:sz w:val="28"/>
          <w:szCs w:val="28"/>
          <w:highlight w:val="none"/>
        </w:rPr>
      </w:pPr>
    </w:p>
    <w:p w14:paraId="7CF6802A">
      <w:pPr>
        <w:rPr>
          <w:rFonts w:hint="eastAsia"/>
          <w:color w:val="auto"/>
          <w:sz w:val="28"/>
          <w:szCs w:val="28"/>
          <w:highlight w:val="none"/>
        </w:rPr>
      </w:pPr>
    </w:p>
    <w:p w14:paraId="0AB582E7">
      <w:pPr>
        <w:rPr>
          <w:rFonts w:hint="eastAsia"/>
          <w:color w:val="auto"/>
          <w:sz w:val="28"/>
          <w:szCs w:val="28"/>
          <w:highlight w:val="none"/>
        </w:rPr>
      </w:pPr>
    </w:p>
    <w:p w14:paraId="7602EFA3">
      <w:pPr>
        <w:rPr>
          <w:rFonts w:hint="eastAsia"/>
          <w:color w:val="auto"/>
          <w:sz w:val="28"/>
          <w:szCs w:val="28"/>
          <w:highlight w:val="none"/>
        </w:rPr>
      </w:pPr>
    </w:p>
    <w:p w14:paraId="13005D07">
      <w:pPr>
        <w:rPr>
          <w:rFonts w:hint="eastAsia"/>
          <w:color w:val="auto"/>
          <w:sz w:val="28"/>
          <w:szCs w:val="28"/>
          <w:highlight w:val="none"/>
        </w:rPr>
      </w:pPr>
    </w:p>
    <w:p w14:paraId="105AABD3">
      <w:pPr>
        <w:rPr>
          <w:rFonts w:hint="eastAsia"/>
          <w:color w:val="auto"/>
          <w:sz w:val="28"/>
          <w:szCs w:val="28"/>
          <w:highlight w:val="none"/>
        </w:rPr>
      </w:pPr>
    </w:p>
    <w:p w14:paraId="0A8EBC0A">
      <w:pPr>
        <w:rPr>
          <w:rFonts w:hint="eastAsia"/>
          <w:color w:val="auto"/>
          <w:sz w:val="28"/>
          <w:szCs w:val="28"/>
          <w:highlight w:val="none"/>
        </w:rPr>
      </w:pPr>
    </w:p>
    <w:p w14:paraId="3A71E0A4">
      <w:pPr>
        <w:rPr>
          <w:rFonts w:hint="eastAsia"/>
          <w:color w:val="auto"/>
          <w:sz w:val="28"/>
          <w:szCs w:val="28"/>
          <w:highlight w:val="none"/>
        </w:rPr>
      </w:pPr>
    </w:p>
    <w:p w14:paraId="6A9396EC">
      <w:pPr>
        <w:rPr>
          <w:rFonts w:hint="eastAsia"/>
          <w:color w:val="auto"/>
          <w:sz w:val="28"/>
          <w:szCs w:val="28"/>
          <w:highlight w:val="none"/>
        </w:rPr>
      </w:pPr>
    </w:p>
    <w:p w14:paraId="1D78060E">
      <w:pPr>
        <w:rPr>
          <w:rFonts w:hint="eastAsia"/>
          <w:color w:val="auto"/>
          <w:sz w:val="28"/>
          <w:szCs w:val="28"/>
          <w:highlight w:val="none"/>
        </w:rPr>
      </w:pPr>
    </w:p>
    <w:p w14:paraId="0C5DE033">
      <w:pPr>
        <w:rPr>
          <w:rFonts w:hint="eastAsia"/>
          <w:color w:val="auto"/>
          <w:sz w:val="28"/>
          <w:szCs w:val="28"/>
          <w:highlight w:val="none"/>
        </w:rPr>
      </w:pPr>
    </w:p>
    <w:p w14:paraId="4695579C">
      <w:pPr>
        <w:rPr>
          <w:rFonts w:hint="eastAsia"/>
          <w:color w:val="auto"/>
          <w:sz w:val="28"/>
          <w:szCs w:val="28"/>
          <w:highlight w:val="none"/>
        </w:rPr>
      </w:pPr>
    </w:p>
    <w:p w14:paraId="0D968CA7">
      <w:pPr>
        <w:rPr>
          <w:rFonts w:hint="eastAsia"/>
          <w:color w:val="auto"/>
          <w:sz w:val="28"/>
          <w:szCs w:val="28"/>
          <w:highlight w:val="none"/>
        </w:rPr>
      </w:pPr>
    </w:p>
    <w:p w14:paraId="2D793545">
      <w:pPr>
        <w:pStyle w:val="6"/>
        <w:spacing w:after="0" w:line="362" w:lineRule="auto"/>
        <w:ind w:left="63" w:right="63"/>
        <w:jc w:val="center"/>
        <w:outlineLvl w:val="0"/>
        <w:rPr>
          <w:rFonts w:hint="eastAsia" w:ascii="宋体" w:hAnsi="宋体" w:eastAsia="宋体" w:cs="宋体"/>
          <w:b/>
          <w:color w:val="auto"/>
          <w:sz w:val="24"/>
          <w:szCs w:val="24"/>
          <w:highlight w:val="none"/>
        </w:rPr>
      </w:pPr>
      <w:bookmarkStart w:id="72" w:name="_Toc28073"/>
      <w:r>
        <w:rPr>
          <w:rFonts w:hint="eastAsia" w:ascii="宋体" w:hAnsi="宋体" w:eastAsia="宋体" w:cs="宋体"/>
          <w:b/>
          <w:color w:val="auto"/>
          <w:sz w:val="24"/>
          <w:szCs w:val="24"/>
          <w:highlight w:val="none"/>
        </w:rPr>
        <w:t>中小微企业声明函（</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rPr>
        <w:t>）</w:t>
      </w:r>
      <w:bookmarkEnd w:id="72"/>
    </w:p>
    <w:p w14:paraId="388D317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标段</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5EAA6FD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6C1E87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BC0B6E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D90C17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703E2A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2B7F7C5">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3480B2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w:t>
      </w:r>
      <w:r>
        <w:rPr>
          <w:rFonts w:hint="eastAsia" w:ascii="宋体" w:hAnsi="宋体" w:cs="宋体"/>
          <w:color w:val="auto"/>
          <w:sz w:val="24"/>
          <w:szCs w:val="24"/>
          <w:highlight w:val="none"/>
          <w:lang w:val="en-US" w:eastAsia="zh-CN"/>
        </w:rPr>
        <w:t>公章签章</w:t>
      </w:r>
      <w:r>
        <w:rPr>
          <w:rFonts w:hint="eastAsia" w:ascii="宋体" w:hAnsi="宋体" w:eastAsia="宋体" w:cs="宋体"/>
          <w:color w:val="auto"/>
          <w:sz w:val="24"/>
          <w:szCs w:val="24"/>
          <w:highlight w:val="none"/>
        </w:rPr>
        <w:t>）：</w:t>
      </w:r>
    </w:p>
    <w:p w14:paraId="2136C82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E8185A7">
      <w:pPr>
        <w:pStyle w:val="2"/>
        <w:spacing w:line="360" w:lineRule="auto"/>
        <w:rPr>
          <w:rFonts w:hint="eastAsia" w:ascii="宋体" w:hAnsi="宋体" w:eastAsia="宋体" w:cs="宋体"/>
          <w:color w:val="auto"/>
          <w:sz w:val="28"/>
          <w:szCs w:val="28"/>
          <w:highlight w:val="none"/>
        </w:rPr>
      </w:pPr>
    </w:p>
    <w:p w14:paraId="716BC480">
      <w:pPr>
        <w:adjustRightInd w:val="0"/>
        <w:snapToGrid w:val="0"/>
        <w:spacing w:line="360" w:lineRule="auto"/>
        <w:rPr>
          <w:rFonts w:hint="eastAsia" w:ascii="宋体" w:hAnsi="宋体" w:eastAsia="宋体" w:cs="宋体"/>
          <w:color w:val="auto"/>
          <w:spacing w:val="6"/>
          <w:kern w:val="0"/>
          <w:sz w:val="24"/>
          <w:szCs w:val="24"/>
          <w:highlight w:val="none"/>
        </w:rPr>
      </w:pPr>
    </w:p>
    <w:p w14:paraId="2651873C">
      <w:pPr>
        <w:pStyle w:val="2"/>
        <w:spacing w:line="360" w:lineRule="auto"/>
        <w:ind w:left="0" w:leftChars="0" w:firstLine="0" w:firstLineChars="0"/>
        <w:rPr>
          <w:rFonts w:hint="eastAsia" w:ascii="宋体" w:hAnsi="宋体" w:eastAsia="宋体" w:cs="宋体"/>
          <w:color w:val="auto"/>
          <w:sz w:val="24"/>
          <w:szCs w:val="24"/>
        </w:rPr>
      </w:pPr>
    </w:p>
    <w:p w14:paraId="0DB391EA">
      <w:pPr>
        <w:widowControl/>
        <w:spacing w:line="520" w:lineRule="atLeast"/>
        <w:ind w:firstLine="482" w:firstLineChars="200"/>
        <w:outlineLvl w:val="0"/>
        <w:rPr>
          <w:rFonts w:hint="eastAsia" w:ascii="宋体" w:hAnsi="宋体" w:eastAsia="宋体" w:cs="宋体"/>
          <w:b/>
          <w:bCs/>
          <w:sz w:val="24"/>
          <w:szCs w:val="24"/>
        </w:rPr>
      </w:pPr>
      <w:bookmarkStart w:id="73" w:name="_Toc9976"/>
      <w:bookmarkStart w:id="74" w:name="_Toc29790"/>
      <w:r>
        <w:rPr>
          <w:rFonts w:hint="eastAsia" w:ascii="宋体" w:hAnsi="宋体" w:eastAsia="宋体" w:cs="宋体"/>
          <w:b/>
          <w:bCs/>
          <w:sz w:val="24"/>
          <w:szCs w:val="24"/>
        </w:rPr>
        <w:t>从业人员、营业收入、资产总额填报上一年度数据，无上一年度数据的</w:t>
      </w:r>
      <w:bookmarkEnd w:id="73"/>
      <w:bookmarkEnd w:id="74"/>
    </w:p>
    <w:p w14:paraId="1EC77F5B">
      <w:pPr>
        <w:widowControl/>
        <w:spacing w:line="520" w:lineRule="atLeast"/>
        <w:ind w:left="0" w:leftChars="0" w:firstLine="0" w:firstLineChars="0"/>
        <w:outlineLvl w:val="0"/>
        <w:rPr>
          <w:rFonts w:hint="eastAsia" w:ascii="宋体" w:hAnsi="宋体" w:eastAsia="宋体" w:cs="宋体"/>
          <w:b/>
          <w:bCs/>
          <w:sz w:val="24"/>
          <w:szCs w:val="24"/>
        </w:rPr>
      </w:pPr>
      <w:bookmarkStart w:id="75" w:name="_Toc12308"/>
      <w:bookmarkStart w:id="76" w:name="_Toc30673"/>
      <w:r>
        <w:rPr>
          <w:rFonts w:hint="eastAsia" w:ascii="宋体" w:hAnsi="宋体" w:eastAsia="宋体" w:cs="宋体"/>
          <w:b/>
          <w:bCs/>
          <w:sz w:val="24"/>
          <w:szCs w:val="24"/>
        </w:rPr>
        <w:t>新成立企业可不填报</w:t>
      </w:r>
      <w:bookmarkEnd w:id="75"/>
      <w:bookmarkEnd w:id="76"/>
    </w:p>
    <w:p w14:paraId="40610DD4">
      <w:pPr>
        <w:pStyle w:val="5"/>
        <w:rPr>
          <w:rFonts w:hint="eastAsia"/>
        </w:rPr>
      </w:pPr>
    </w:p>
    <w:p w14:paraId="5F2574EC">
      <w:pPr>
        <w:pStyle w:val="12"/>
        <w:numPr>
          <w:ilvl w:val="0"/>
          <w:numId w:val="0"/>
        </w:numPr>
        <w:jc w:val="center"/>
        <w:rPr>
          <w:rFonts w:hint="eastAsia" w:ascii="宋体" w:hAnsi="宋体" w:cs="宋体"/>
          <w:b/>
          <w:color w:val="000000"/>
          <w:sz w:val="24"/>
          <w:highlight w:val="none"/>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BF61E">
    <w:pPr>
      <w:pStyle w:val="14"/>
      <w:tabs>
        <w:tab w:val="center" w:pos="464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733F">
    <w:pPr>
      <w:pStyle w:val="14"/>
      <w:tabs>
        <w:tab w:val="center" w:pos="464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A74331">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DA7433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FC52C"/>
    <w:multiLevelType w:val="singleLevel"/>
    <w:tmpl w:val="9F8FC52C"/>
    <w:lvl w:ilvl="0" w:tentative="0">
      <w:start w:val="1"/>
      <w:numFmt w:val="decimal"/>
      <w:lvlText w:val="%1."/>
      <w:lvlJc w:val="left"/>
      <w:pPr>
        <w:tabs>
          <w:tab w:val="left" w:pos="312"/>
        </w:tabs>
      </w:pPr>
    </w:lvl>
  </w:abstractNum>
  <w:abstractNum w:abstractNumId="1">
    <w:nsid w:val="1CFAB9E1"/>
    <w:multiLevelType w:val="singleLevel"/>
    <w:tmpl w:val="1CFAB9E1"/>
    <w:lvl w:ilvl="0" w:tentative="0">
      <w:start w:val="3"/>
      <w:numFmt w:val="chineseCounting"/>
      <w:suff w:val="space"/>
      <w:lvlText w:val="第%1章"/>
      <w:lvlJc w:val="left"/>
      <w:rPr>
        <w:rFonts w:hint="eastAsia"/>
      </w:rPr>
    </w:lvl>
  </w:abstractNum>
  <w:abstractNum w:abstractNumId="2">
    <w:nsid w:val="7EE98C82"/>
    <w:multiLevelType w:val="singleLevel"/>
    <w:tmpl w:val="7EE98C8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mBEzrc3oHNLXtUk8+KeLVtTNDOk=" w:salt="reAAEx6YbUPmpZ1ZP4AGY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4581F"/>
    <w:rsid w:val="03A173F2"/>
    <w:rsid w:val="03A67BA5"/>
    <w:rsid w:val="04FD4E7F"/>
    <w:rsid w:val="09677E65"/>
    <w:rsid w:val="09E35B78"/>
    <w:rsid w:val="0BE97049"/>
    <w:rsid w:val="0C422F7C"/>
    <w:rsid w:val="0C6D1692"/>
    <w:rsid w:val="1030063C"/>
    <w:rsid w:val="16721071"/>
    <w:rsid w:val="17487A62"/>
    <w:rsid w:val="1C1D16A7"/>
    <w:rsid w:val="1CC61291"/>
    <w:rsid w:val="1EAB12A3"/>
    <w:rsid w:val="1ED064AC"/>
    <w:rsid w:val="215B4B4B"/>
    <w:rsid w:val="291C3B20"/>
    <w:rsid w:val="2A4F46D9"/>
    <w:rsid w:val="2D3A6A30"/>
    <w:rsid w:val="2E302163"/>
    <w:rsid w:val="30B763FB"/>
    <w:rsid w:val="339C56D8"/>
    <w:rsid w:val="39C069E5"/>
    <w:rsid w:val="3A642BC3"/>
    <w:rsid w:val="42392BA5"/>
    <w:rsid w:val="42A94390"/>
    <w:rsid w:val="45516C9F"/>
    <w:rsid w:val="47B74789"/>
    <w:rsid w:val="4E411AF6"/>
    <w:rsid w:val="552C7BAF"/>
    <w:rsid w:val="5A1A25B4"/>
    <w:rsid w:val="5AB330AD"/>
    <w:rsid w:val="5ACC03AC"/>
    <w:rsid w:val="5B5F1C4F"/>
    <w:rsid w:val="5D1C70D3"/>
    <w:rsid w:val="5EE00C5D"/>
    <w:rsid w:val="5F885DEF"/>
    <w:rsid w:val="60E06AA4"/>
    <w:rsid w:val="63481304"/>
    <w:rsid w:val="638F7CA2"/>
    <w:rsid w:val="63FB6B87"/>
    <w:rsid w:val="669A2B54"/>
    <w:rsid w:val="66CA0391"/>
    <w:rsid w:val="71161354"/>
    <w:rsid w:val="748A7EA3"/>
    <w:rsid w:val="74DA2613"/>
    <w:rsid w:val="77955909"/>
    <w:rsid w:val="77F85708"/>
    <w:rsid w:val="7EA629C9"/>
    <w:rsid w:val="7F4F35EA"/>
    <w:rsid w:val="7F652806"/>
    <w:rsid w:val="7FDC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rPr>
      <w:rFonts w:ascii="Times New Roman" w:hAnsi="Times New Roman" w:eastAsia="宋体" w:cs="Times New Roman"/>
      <w:lang w:val="en-US" w:eastAsia="zh-CN" w:bidi="ar-SA"/>
    </w:rPr>
  </w:style>
  <w:style w:type="paragraph" w:styleId="8">
    <w:name w:val="heading 1"/>
    <w:next w:val="1"/>
    <w:qFormat/>
    <w:uiPriority w:val="0"/>
    <w:pPr>
      <w:keepNext/>
      <w:keepLines/>
      <w:widowControl w:val="0"/>
      <w:adjustRightInd w:val="0"/>
      <w:snapToGrid w:val="0"/>
      <w:spacing w:beforeLines="0" w:beforeAutospacing="0" w:afterLines="0" w:afterAutospacing="0" w:line="360" w:lineRule="auto"/>
      <w:ind w:firstLine="0" w:firstLineChars="0"/>
      <w:jc w:val="center"/>
      <w:outlineLvl w:val="0"/>
    </w:pPr>
    <w:rPr>
      <w:rFonts w:ascii="Times New Roman" w:hAnsi="Times New Roman" w:eastAsia="宋体" w:cs="Times New Roman"/>
      <w:b/>
      <w:kern w:val="44"/>
      <w:sz w:val="44"/>
      <w:szCs w:val="24"/>
      <w:lang w:val="en-US" w:eastAsia="zh-CN" w:bidi="ar-SA"/>
    </w:rPr>
  </w:style>
  <w:style w:type="paragraph" w:styleId="9">
    <w:name w:val="heading 2"/>
    <w:basedOn w:val="1"/>
    <w:next w:val="1"/>
    <w:link w:val="21"/>
    <w:semiHidden/>
    <w:unhideWhenUsed/>
    <w:qFormat/>
    <w:uiPriority w:val="0"/>
    <w:pPr>
      <w:spacing w:before="1"/>
      <w:ind w:left="1600"/>
      <w:jc w:val="center"/>
      <w:outlineLvl w:val="1"/>
    </w:pPr>
    <w:rPr>
      <w:rFonts w:eastAsia="宋体" w:asciiTheme="minorAscii" w:hAnsiTheme="minorAscii" w:cstheme="minorBidi"/>
      <w:b/>
      <w:sz w:val="30"/>
      <w:szCs w:val="30"/>
    </w:rPr>
  </w:style>
  <w:style w:type="paragraph" w:styleId="10">
    <w:name w:val="heading 3"/>
    <w:basedOn w:val="1"/>
    <w:next w:val="1"/>
    <w:semiHidden/>
    <w:unhideWhenUsed/>
    <w:qFormat/>
    <w:uiPriority w:val="0"/>
    <w:pPr>
      <w:keepNext/>
      <w:keepLines/>
      <w:spacing w:line="416" w:lineRule="auto"/>
      <w:ind w:left="0"/>
      <w:outlineLvl w:val="2"/>
    </w:pPr>
    <w:rPr>
      <w:rFonts w:ascii="Times New Roman" w:hAnsi="Times New Roman" w:eastAsia="宋体" w:cs="Times New Roman"/>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Normal Indent"/>
    <w:basedOn w:val="1"/>
    <w:next w:val="1"/>
    <w:qFormat/>
    <w:uiPriority w:val="0"/>
    <w:pPr>
      <w:widowControl w:val="0"/>
      <w:ind w:firstLine="420"/>
      <w:jc w:val="both"/>
    </w:pPr>
    <w:rPr>
      <w:kern w:val="2"/>
      <w:sz w:val="21"/>
    </w:rPr>
  </w:style>
  <w:style w:type="paragraph" w:styleId="5">
    <w:name w:val="Body Text First Indent"/>
    <w:basedOn w:val="6"/>
    <w:next w:val="2"/>
    <w:unhideWhenUsed/>
    <w:qFormat/>
    <w:uiPriority w:val="99"/>
    <w:pPr>
      <w:ind w:firstLine="420"/>
    </w:pPr>
    <w:rPr>
      <w:rFonts w:eastAsia="楷体_GB2312"/>
      <w:sz w:val="20"/>
      <w:szCs w:val="20"/>
    </w:rPr>
  </w:style>
  <w:style w:type="paragraph" w:styleId="6">
    <w:name w:val="Body Text"/>
    <w:basedOn w:val="1"/>
    <w:next w:val="7"/>
    <w:qFormat/>
    <w:uiPriority w:val="0"/>
    <w:pPr>
      <w:spacing w:after="120" w:afterLines="0" w:afterAutospacing="0"/>
    </w:pPr>
  </w:style>
  <w:style w:type="paragraph" w:styleId="7">
    <w:name w:val="Body Text 2"/>
    <w:basedOn w:val="1"/>
    <w:next w:val="6"/>
    <w:qFormat/>
    <w:uiPriority w:val="0"/>
    <w:pPr>
      <w:spacing w:after="120" w:line="480" w:lineRule="auto"/>
      <w:ind w:firstLine="560" w:firstLineChars="200"/>
    </w:pPr>
    <w:rPr>
      <w:rFonts w:ascii="Calibri" w:hAnsi="Calibri" w:eastAsia="仿宋_GB2312"/>
      <w:sz w:val="28"/>
      <w:szCs w:val="24"/>
    </w:rPr>
  </w:style>
  <w:style w:type="paragraph" w:styleId="11">
    <w:name w:val="annotation text"/>
    <w:basedOn w:val="1"/>
    <w:qFormat/>
    <w:uiPriority w:val="0"/>
    <w:pPr>
      <w:jc w:val="left"/>
    </w:pPr>
  </w:style>
  <w:style w:type="paragraph" w:styleId="12">
    <w:name w:val="List 2"/>
    <w:basedOn w:val="1"/>
    <w:unhideWhenUsed/>
    <w:qFormat/>
    <w:uiPriority w:val="99"/>
    <w:pPr>
      <w:ind w:left="100" w:leftChars="200" w:hanging="200" w:hangingChars="200"/>
    </w:pPr>
  </w:style>
  <w:style w:type="paragraph" w:styleId="13">
    <w:name w:val="Plain Text"/>
    <w:basedOn w:val="1"/>
    <w:unhideWhenUsed/>
    <w:qFormat/>
    <w:uiPriority w:val="0"/>
    <w:rPr>
      <w:rFonts w:hint="eastAsia" w:ascii="宋体" w:hAnsi="Courier New"/>
      <w:sz w:val="21"/>
      <w:szCs w:val="21"/>
    </w:rPr>
  </w:style>
  <w:style w:type="paragraph" w:styleId="14">
    <w:name w:val="footer"/>
    <w:basedOn w:val="1"/>
    <w:unhideWhenUsed/>
    <w:qFormat/>
    <w:uiPriority w:val="0"/>
    <w:pPr>
      <w:tabs>
        <w:tab w:val="center" w:pos="4153"/>
        <w:tab w:val="right" w:pos="8306"/>
      </w:tabs>
      <w:snapToGrid w:val="0"/>
    </w:pPr>
    <w:rPr>
      <w:kern w:val="2"/>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widowControl w:val="0"/>
      <w:jc w:val="both"/>
    </w:pPr>
    <w:rPr>
      <w:kern w:val="2"/>
      <w:sz w:val="21"/>
      <w:szCs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table" w:styleId="19">
    <w:name w:val="Table Grid"/>
    <w:basedOn w:val="18"/>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2 Char"/>
    <w:link w:val="9"/>
    <w:qFormat/>
    <w:uiPriority w:val="0"/>
    <w:rPr>
      <w:rFonts w:ascii="Arial" w:hAnsi="Arial" w:eastAsia="宋体" w:cstheme="minorBidi"/>
      <w:b/>
      <w:bCs/>
      <w:kern w:val="0"/>
      <w:sz w:val="36"/>
      <w:szCs w:val="32"/>
      <w:lang w:val="en-US" w:eastAsia="zh-CN" w:bidi="ar-SA"/>
    </w:rPr>
  </w:style>
  <w:style w:type="paragraph" w:customStyle="1" w:styleId="22">
    <w:name w:val="我的正文"/>
    <w:basedOn w:val="3"/>
    <w:qFormat/>
    <w:uiPriority w:val="0"/>
    <w:pPr>
      <w:ind w:firstLine="480" w:firstLineChars="200"/>
    </w:pPr>
    <w:rPr>
      <w:rFonts w:ascii="Calibri" w:hAnsi="Calibri" w:eastAsia="宋体"/>
      <w:sz w:val="28"/>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文档正文5"/>
    <w:basedOn w:val="4"/>
    <w:qFormat/>
    <w:uiPriority w:val="0"/>
    <w:pPr>
      <w:autoSpaceDE w:val="0"/>
      <w:autoSpaceDN w:val="0"/>
      <w:snapToGrid w:val="0"/>
      <w:spacing w:line="440" w:lineRule="exact"/>
      <w:ind w:firstLine="505"/>
    </w:pPr>
    <w:rPr>
      <w:spacing w:val="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15471</Words>
  <Characters>16734</Characters>
  <Lines>0</Lines>
  <Paragraphs>0</Paragraphs>
  <TotalTime>0</TotalTime>
  <ScaleCrop>false</ScaleCrop>
  <LinksUpToDate>false</LinksUpToDate>
  <CharactersWithSpaces>16841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2025-03-09T01:42:00Z</dcterms:created>
  <dc:creator>Administrator</dc:creator>
  <cp:lastModifiedBy>宇博商贸*白佳</cp:lastModifiedBy>
  <cp:lastPrinted>2025-09-30T03:24:00Z</cp:lastPrinted>
  <dcterms:modified xsi:type="dcterms:W3CDTF">2025-09-30T09:19:28Z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AC6F27574D464A89BCC962E9152AC7DC_13</vt:lpwstr>
  </property>
  <property fmtid="{D5CDD505-2E9C-101B-9397-08002B2CF9AE}" pid="4" name="KSOTemplateDocerSaveRecord">
    <vt:lpwstr>eyJoZGlkIjoiY2RkOTU1NGNlMjE0YzhmNTM0NzdhYzc1MjJiZDg0ZjciLCJ1c2VySWQiOiIzMzk2MjcwMjYifQ==</vt:lpwstr>
  </property>
</Properties>
</file>